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lang w:val="en-US" w:eastAsia="zh-CN"/>
        </w:rPr>
      </w:pPr>
    </w:p>
    <w:p>
      <w:pPr>
        <w:spacing w:before="120" w:beforeLines="50" w:line="360" w:lineRule="auto"/>
        <w:jc w:val="center"/>
        <w:rPr>
          <w:rFonts w:hint="eastAsia" w:ascii="宋体" w:hAnsi="宋体"/>
          <w:b/>
          <w:sz w:val="44"/>
          <w:szCs w:val="44"/>
          <w:lang w:val="en-US" w:eastAsia="zh-CN"/>
        </w:rPr>
      </w:pPr>
      <w:r>
        <w:rPr>
          <w:rFonts w:hint="eastAsia" w:ascii="宋体" w:hAnsi="宋体"/>
          <w:b/>
          <w:sz w:val="44"/>
          <w:szCs w:val="44"/>
          <w:lang w:val="en-US" w:eastAsia="zh-CN"/>
        </w:rPr>
        <w:t>金华市婺城区康复医院改扩建工程</w:t>
      </w:r>
    </w:p>
    <w:p>
      <w:pPr>
        <w:spacing w:before="120" w:beforeLines="50" w:line="360" w:lineRule="auto"/>
        <w:jc w:val="center"/>
        <w:rPr>
          <w:rFonts w:hint="default" w:ascii="宋体" w:hAnsi="宋体"/>
          <w:b/>
          <w:sz w:val="44"/>
          <w:szCs w:val="44"/>
          <w:lang w:val="en-US"/>
        </w:rPr>
      </w:pPr>
      <w:r>
        <w:rPr>
          <w:rFonts w:hint="eastAsia" w:ascii="宋体" w:hAnsi="宋体"/>
          <w:b/>
          <w:sz w:val="44"/>
          <w:szCs w:val="44"/>
          <w:lang w:val="en-US" w:eastAsia="zh-CN"/>
        </w:rPr>
        <w:t>医疗定制家具采购项目</w:t>
      </w:r>
    </w:p>
    <w:p>
      <w:pPr>
        <w:pStyle w:val="127"/>
        <w:ind w:firstLine="0"/>
        <w:rPr>
          <w:rFonts w:hint="eastAsia"/>
        </w:rPr>
      </w:pPr>
    </w:p>
    <w:p>
      <w:pPr>
        <w:bidi w:val="0"/>
        <w:rPr>
          <w:rFonts w:hint="eastAsia"/>
        </w:rPr>
      </w:pPr>
    </w:p>
    <w:p>
      <w:pPr>
        <w:pStyle w:val="127"/>
        <w:rPr>
          <w:rFonts w:hint="eastAsia"/>
        </w:rPr>
      </w:pPr>
    </w:p>
    <w:p>
      <w:pPr>
        <w:spacing w:before="120" w:beforeLines="50" w:line="360" w:lineRule="auto"/>
        <w:jc w:val="center"/>
        <w:rPr>
          <w:rFonts w:hint="eastAsia" w:ascii="宋体" w:hAnsi="宋体" w:cs="宋体"/>
          <w:b/>
          <w:spacing w:val="44"/>
          <w:sz w:val="84"/>
          <w:szCs w:val="84"/>
        </w:rPr>
      </w:pPr>
      <w:r>
        <w:rPr>
          <w:rFonts w:hint="eastAsia" w:ascii="宋体" w:hAnsi="宋体" w:cs="宋体"/>
          <w:b/>
          <w:spacing w:val="44"/>
          <w:sz w:val="84"/>
          <w:szCs w:val="84"/>
          <w:lang w:bidi="ar"/>
        </w:rPr>
        <w:t>招标文件</w:t>
      </w:r>
    </w:p>
    <w:p>
      <w:pPr>
        <w:pStyle w:val="25"/>
        <w:snapToGrid w:val="0"/>
        <w:spacing w:before="120" w:beforeLines="0" w:after="120" w:afterLines="0" w:line="360" w:lineRule="auto"/>
        <w:jc w:val="center"/>
        <w:rPr>
          <w:rFonts w:hAnsi="宋体"/>
          <w:b/>
          <w:color w:val="auto"/>
          <w:sz w:val="30"/>
          <w:szCs w:val="30"/>
        </w:rPr>
      </w:pPr>
      <w:r>
        <w:rPr>
          <w:rFonts w:hAnsi="宋体"/>
          <w:b/>
          <w:color w:val="auto"/>
          <w:sz w:val="30"/>
          <w:szCs w:val="30"/>
        </w:rPr>
        <w:t>（政采云电子标、专门面向中小企业采购）</w:t>
      </w:r>
    </w:p>
    <w:p>
      <w:pPr>
        <w:pStyle w:val="25"/>
        <w:spacing w:before="156" w:after="156" w:line="360" w:lineRule="auto"/>
        <w:jc w:val="center"/>
        <w:rPr>
          <w:rFonts w:hint="eastAsia" w:ascii="宋体" w:hAnsi="宋体" w:eastAsia="宋体" w:cs="宋体"/>
          <w:b/>
          <w:bCs/>
          <w:color w:val="auto"/>
          <w:sz w:val="32"/>
          <w:szCs w:val="32"/>
          <w:highlight w:val="none"/>
        </w:rPr>
      </w:pPr>
    </w:p>
    <w:p>
      <w:pPr>
        <w:rPr>
          <w:rFonts w:hint="eastAsia" w:ascii="宋体" w:hAnsi="宋体" w:eastAsia="宋体" w:cs="宋体"/>
          <w:b/>
          <w:bCs/>
          <w:color w:val="auto"/>
          <w:sz w:val="32"/>
          <w:szCs w:val="32"/>
          <w:highlight w:val="none"/>
        </w:rPr>
      </w:pPr>
    </w:p>
    <w:p>
      <w:pPr>
        <w:pStyle w:val="8"/>
        <w:rPr>
          <w:rFonts w:hint="eastAsia"/>
        </w:rPr>
      </w:pPr>
    </w:p>
    <w:p>
      <w:pPr>
        <w:rPr>
          <w:rFonts w:hint="eastAsia"/>
        </w:rPr>
      </w:pPr>
    </w:p>
    <w:p>
      <w:pPr>
        <w:pStyle w:val="25"/>
        <w:spacing w:before="156" w:after="156" w:line="360" w:lineRule="auto"/>
        <w:jc w:val="center"/>
        <w:rPr>
          <w:rFonts w:hint="eastAsia" w:ascii="宋体" w:hAnsi="宋体" w:eastAsia="宋体" w:cs="宋体"/>
          <w:b/>
          <w:bCs/>
          <w:color w:val="auto"/>
          <w:sz w:val="32"/>
          <w:szCs w:val="32"/>
          <w:highlight w:val="none"/>
        </w:rPr>
      </w:pPr>
    </w:p>
    <w:p>
      <w:pPr>
        <w:rPr>
          <w:rFonts w:hint="eastAsia" w:ascii="宋体" w:hAnsi="宋体" w:eastAsia="宋体" w:cs="宋体"/>
          <w:b/>
          <w:bCs/>
          <w:color w:val="auto"/>
          <w:sz w:val="32"/>
          <w:szCs w:val="32"/>
          <w:highlight w:val="none"/>
        </w:rPr>
      </w:pPr>
    </w:p>
    <w:p>
      <w:pPr>
        <w:pStyle w:val="56"/>
        <w:ind w:left="0" w:leftChars="0" w:firstLine="0" w:firstLineChars="0"/>
        <w:rPr>
          <w:rFonts w:hint="eastAsia" w:ascii="宋体" w:hAnsi="宋体" w:eastAsia="宋体" w:cs="宋体"/>
          <w:b/>
          <w:bCs/>
          <w:color w:val="auto"/>
          <w:sz w:val="32"/>
          <w:szCs w:val="32"/>
          <w:highlight w:val="none"/>
        </w:rPr>
      </w:pPr>
    </w:p>
    <w:p>
      <w:pPr>
        <w:pStyle w:val="25"/>
        <w:kinsoku w:val="0"/>
        <w:overflowPunct w:val="0"/>
        <w:autoSpaceDE w:val="0"/>
        <w:snapToGrid w:val="0"/>
        <w:spacing w:beforeLines="0" w:afterLines="0" w:line="360" w:lineRule="auto"/>
        <w:ind w:firstLine="2108" w:firstLineChars="700"/>
        <w:rPr>
          <w:rFonts w:hint="default"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rPr>
        <w:t>项目编号：</w:t>
      </w:r>
      <w:r>
        <w:rPr>
          <w:rFonts w:hint="eastAsia" w:ascii="宋体" w:hAnsi="宋体" w:eastAsia="宋体" w:cs="宋体"/>
          <w:b/>
          <w:bCs/>
          <w:color w:val="auto"/>
          <w:sz w:val="30"/>
          <w:szCs w:val="30"/>
          <w:highlight w:val="none"/>
          <w:lang w:val="en-US" w:eastAsia="zh-CN"/>
        </w:rPr>
        <w:t>ZGJHCG202</w:t>
      </w:r>
      <w:r>
        <w:rPr>
          <w:rFonts w:hint="eastAsia" w:hAnsi="宋体" w:cs="宋体"/>
          <w:b/>
          <w:bCs/>
          <w:color w:val="auto"/>
          <w:sz w:val="30"/>
          <w:szCs w:val="30"/>
          <w:highlight w:val="none"/>
          <w:lang w:val="en-US" w:eastAsia="zh-CN"/>
        </w:rPr>
        <w:t>3</w:t>
      </w:r>
      <w:r>
        <w:rPr>
          <w:rFonts w:hint="eastAsia" w:ascii="宋体" w:hAnsi="宋体" w:eastAsia="宋体" w:cs="宋体"/>
          <w:b/>
          <w:bCs/>
          <w:color w:val="auto"/>
          <w:sz w:val="30"/>
          <w:szCs w:val="30"/>
          <w:highlight w:val="none"/>
          <w:lang w:val="en-US" w:eastAsia="zh-CN"/>
        </w:rPr>
        <w:t>-00</w:t>
      </w:r>
      <w:r>
        <w:rPr>
          <w:rFonts w:hint="eastAsia" w:hAnsi="宋体" w:cs="宋体"/>
          <w:b/>
          <w:bCs/>
          <w:color w:val="auto"/>
          <w:sz w:val="30"/>
          <w:szCs w:val="30"/>
          <w:highlight w:val="none"/>
          <w:lang w:val="en-US" w:eastAsia="zh-CN"/>
        </w:rPr>
        <w:t>3</w:t>
      </w:r>
    </w:p>
    <w:p>
      <w:pPr>
        <w:pStyle w:val="25"/>
        <w:kinsoku w:val="0"/>
        <w:overflowPunct w:val="0"/>
        <w:autoSpaceDE w:val="0"/>
        <w:snapToGrid w:val="0"/>
        <w:spacing w:beforeLines="0" w:afterLines="0" w:line="360" w:lineRule="auto"/>
        <w:ind w:firstLine="2108" w:firstLineChars="700"/>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rPr>
        <w:t>采购单位：</w:t>
      </w:r>
      <w:r>
        <w:rPr>
          <w:rFonts w:hint="eastAsia" w:ascii="宋体" w:hAnsi="宋体" w:eastAsia="宋体" w:cs="宋体"/>
          <w:b/>
          <w:bCs/>
          <w:color w:val="auto"/>
          <w:sz w:val="30"/>
          <w:szCs w:val="30"/>
          <w:highlight w:val="none"/>
          <w:lang w:val="en-US" w:eastAsia="zh-CN"/>
        </w:rPr>
        <w:t>金华市婺城区康复医院</w:t>
      </w:r>
    </w:p>
    <w:p>
      <w:pPr>
        <w:pStyle w:val="25"/>
        <w:kinsoku w:val="0"/>
        <w:overflowPunct w:val="0"/>
        <w:autoSpaceDE w:val="0"/>
        <w:snapToGrid w:val="0"/>
        <w:spacing w:beforeLines="0" w:afterLines="0" w:line="360" w:lineRule="auto"/>
        <w:ind w:firstLine="2108" w:firstLineChars="700"/>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rPr>
        <w:t>代理单位：</w:t>
      </w:r>
      <w:r>
        <w:rPr>
          <w:rFonts w:hint="eastAsia" w:ascii="宋体" w:hAnsi="宋体" w:eastAsia="宋体" w:cs="宋体"/>
          <w:b/>
          <w:bCs/>
          <w:color w:val="auto"/>
          <w:sz w:val="30"/>
          <w:szCs w:val="30"/>
          <w:highlight w:val="none"/>
          <w:lang w:eastAsia="zh-CN"/>
        </w:rPr>
        <w:t>中冠工程管理咨询有限公司</w:t>
      </w:r>
    </w:p>
    <w:p>
      <w:pPr>
        <w:pStyle w:val="25"/>
        <w:kinsoku w:val="0"/>
        <w:overflowPunct w:val="0"/>
        <w:autoSpaceDE w:val="0"/>
        <w:snapToGrid w:val="0"/>
        <w:spacing w:beforeLines="0" w:afterLines="0" w:line="360" w:lineRule="auto"/>
        <w:ind w:firstLine="2108" w:firstLineChars="700"/>
        <w:rPr>
          <w:rFonts w:hint="eastAsia" w:ascii="宋体" w:hAnsi="宋体" w:eastAsia="宋体" w:cs="宋体"/>
          <w:b/>
          <w:bCs/>
          <w:color w:val="auto"/>
          <w:sz w:val="32"/>
          <w:szCs w:val="32"/>
          <w:highlight w:val="none"/>
        </w:rPr>
      </w:pPr>
      <w:r>
        <w:rPr>
          <w:rFonts w:hint="eastAsia" w:ascii="宋体" w:hAnsi="宋体" w:eastAsia="宋体" w:cs="宋体"/>
          <w:b/>
          <w:bCs/>
          <w:color w:val="auto"/>
          <w:sz w:val="30"/>
          <w:szCs w:val="30"/>
          <w:highlight w:val="none"/>
        </w:rPr>
        <w:t>日</w:t>
      </w:r>
      <w:r>
        <w:rPr>
          <w:rFonts w:hint="eastAsia" w:ascii="宋体" w:hAnsi="宋体" w:eastAsia="宋体" w:cs="宋体"/>
          <w:b/>
          <w:bCs/>
          <w:color w:val="auto"/>
          <w:sz w:val="30"/>
          <w:szCs w:val="30"/>
          <w:highlight w:val="none"/>
          <w:lang w:val="en-US" w:eastAsia="zh-CN"/>
        </w:rPr>
        <w:t xml:space="preserve">    </w:t>
      </w:r>
      <w:r>
        <w:rPr>
          <w:rFonts w:hint="eastAsia" w:ascii="宋体" w:hAnsi="宋体" w:eastAsia="宋体" w:cs="宋体"/>
          <w:b/>
          <w:bCs/>
          <w:color w:val="auto"/>
          <w:sz w:val="30"/>
          <w:szCs w:val="30"/>
          <w:highlight w:val="none"/>
        </w:rPr>
        <w:t>期：二〇二</w:t>
      </w:r>
      <w:r>
        <w:rPr>
          <w:rFonts w:hint="eastAsia" w:hAnsi="宋体" w:cs="宋体"/>
          <w:b/>
          <w:bCs/>
          <w:color w:val="auto"/>
          <w:sz w:val="30"/>
          <w:szCs w:val="30"/>
          <w:highlight w:val="none"/>
          <w:lang w:val="en-US" w:eastAsia="zh-CN"/>
        </w:rPr>
        <w:t>三</w:t>
      </w:r>
      <w:r>
        <w:rPr>
          <w:rFonts w:hint="eastAsia" w:ascii="宋体" w:hAnsi="宋体" w:eastAsia="宋体" w:cs="宋体"/>
          <w:b/>
          <w:bCs/>
          <w:color w:val="auto"/>
          <w:sz w:val="30"/>
          <w:szCs w:val="30"/>
          <w:highlight w:val="none"/>
        </w:rPr>
        <w:t>年</w:t>
      </w:r>
      <w:r>
        <w:rPr>
          <w:rFonts w:hint="eastAsia" w:hAnsi="宋体" w:cs="宋体"/>
          <w:b/>
          <w:bCs/>
          <w:color w:val="auto"/>
          <w:sz w:val="30"/>
          <w:szCs w:val="30"/>
          <w:highlight w:val="none"/>
          <w:lang w:val="en-US" w:eastAsia="zh-CN"/>
        </w:rPr>
        <w:t>三</w:t>
      </w:r>
      <w:r>
        <w:rPr>
          <w:rFonts w:hint="eastAsia" w:ascii="宋体" w:hAnsi="宋体" w:eastAsia="宋体" w:cs="宋体"/>
          <w:b/>
          <w:bCs/>
          <w:color w:val="auto"/>
          <w:sz w:val="30"/>
          <w:szCs w:val="30"/>
          <w:highlight w:val="none"/>
        </w:rPr>
        <w:t>月</w:t>
      </w:r>
    </w:p>
    <w:p>
      <w:pPr>
        <w:pStyle w:val="25"/>
        <w:spacing w:before="156" w:after="156" w:line="360" w:lineRule="auto"/>
        <w:rPr>
          <w:rFonts w:hint="eastAsia" w:ascii="宋体" w:hAnsi="宋体" w:eastAsia="宋体" w:cs="宋体"/>
          <w:color w:val="auto"/>
          <w:w w:val="95"/>
          <w:sz w:val="44"/>
          <w:szCs w:val="44"/>
          <w:highlight w:val="none"/>
        </w:rPr>
        <w:sectPr>
          <w:headerReference r:id="rId7" w:type="first"/>
          <w:footerReference r:id="rId10" w:type="first"/>
          <w:headerReference r:id="rId5" w:type="default"/>
          <w:footerReference r:id="rId8" w:type="default"/>
          <w:headerReference r:id="rId6" w:type="even"/>
          <w:footerReference r:id="rId9" w:type="even"/>
          <w:pgSz w:w="11905" w:h="16838"/>
          <w:pgMar w:top="1417" w:right="1417" w:bottom="1417" w:left="1417" w:header="851" w:footer="992" w:gutter="0"/>
          <w:pgNumType w:start="0"/>
          <w:cols w:space="0" w:num="1"/>
          <w:titlePg/>
          <w:rtlGutter w:val="0"/>
          <w:docGrid w:linePitch="312" w:charSpace="0"/>
        </w:sectPr>
      </w:pPr>
    </w:p>
    <w:sdt>
      <w:sdtPr>
        <w:rPr>
          <w:rFonts w:hint="eastAsia"/>
          <w:lang w:val="en-US" w:eastAsia="zh-CN"/>
        </w:rPr>
        <w:id w:val="147451537"/>
        <w15:color w:val="DBDBDB"/>
        <w:docPartObj>
          <w:docPartGallery w:val="Table of Contents"/>
          <w:docPartUnique/>
        </w:docPartObj>
      </w:sdtPr>
      <w:sdtEndPr>
        <w:rPr>
          <w:rFonts w:hint="eastAsia" w:ascii="宋体" w:hAnsi="宋体" w:eastAsia="宋体" w:cs="宋体"/>
          <w:b/>
          <w:bCs/>
          <w:color w:val="auto"/>
          <w:w w:val="95"/>
          <w:kern w:val="2"/>
          <w:sz w:val="28"/>
          <w:szCs w:val="28"/>
          <w:highlight w:val="none"/>
          <w:lang w:val="en-US" w:eastAsia="zh-CN" w:bidi="ar-SA"/>
        </w:rPr>
      </w:sdtEndPr>
      <w:sdtContent>
        <w:p>
          <w:pPr>
            <w:bidi w:val="0"/>
            <w:rPr>
              <w:rFonts w:hint="eastAsia"/>
              <w:lang w:val="en-US" w:eastAsia="zh-CN"/>
            </w:rPr>
          </w:pPr>
        </w:p>
        <w:p>
          <w:pPr>
            <w:pStyle w:val="25"/>
            <w:spacing w:before="156" w:after="156" w:line="360" w:lineRule="auto"/>
            <w:jc w:val="center"/>
            <w:rPr>
              <w:rFonts w:hint="eastAsia" w:ascii="宋体" w:hAnsi="宋体" w:eastAsia="宋体" w:cs="宋体"/>
              <w:b/>
              <w:bCs/>
              <w:color w:val="auto"/>
              <w:w w:val="95"/>
              <w:sz w:val="40"/>
              <w:szCs w:val="40"/>
              <w:highlight w:val="none"/>
            </w:rPr>
          </w:pPr>
          <w:r>
            <w:rPr>
              <w:rFonts w:hint="eastAsia" w:ascii="宋体" w:hAnsi="宋体" w:eastAsia="宋体" w:cs="宋体"/>
              <w:b/>
              <w:bCs/>
              <w:color w:val="auto"/>
              <w:w w:val="95"/>
              <w:sz w:val="28"/>
              <w:szCs w:val="28"/>
              <w:highlight w:val="none"/>
            </w:rPr>
            <w:t>目</w:t>
          </w:r>
          <w:r>
            <w:rPr>
              <w:rFonts w:hint="eastAsia" w:hAnsi="宋体" w:cs="宋体"/>
              <w:b/>
              <w:bCs/>
              <w:color w:val="auto"/>
              <w:w w:val="95"/>
              <w:sz w:val="28"/>
              <w:szCs w:val="28"/>
              <w:highlight w:val="none"/>
              <w:lang w:val="en-US" w:eastAsia="zh-CN"/>
            </w:rPr>
            <w:t xml:space="preserve">  </w:t>
          </w:r>
          <w:r>
            <w:rPr>
              <w:rFonts w:hint="eastAsia" w:ascii="宋体" w:hAnsi="宋体" w:eastAsia="宋体" w:cs="宋体"/>
              <w:b/>
              <w:bCs/>
              <w:color w:val="auto"/>
              <w:w w:val="95"/>
              <w:sz w:val="28"/>
              <w:szCs w:val="28"/>
              <w:highlight w:val="none"/>
            </w:rPr>
            <w:t>录</w:t>
          </w:r>
        </w:p>
        <w:p>
          <w:pPr>
            <w:pStyle w:val="32"/>
            <w:tabs>
              <w:tab w:val="right" w:leader="dot" w:pos="9072"/>
            </w:tabs>
            <w:spacing w:line="360" w:lineRule="auto"/>
            <w:rPr>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TOC \o "1-1" \h \u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_Toc32406 </w:instrText>
          </w:r>
          <w:r>
            <w:rPr>
              <w:rFonts w:hint="eastAsia" w:ascii="宋体" w:hAnsi="宋体" w:eastAsia="宋体" w:cs="宋体"/>
              <w:b/>
              <w:bCs/>
              <w:sz w:val="24"/>
              <w:szCs w:val="24"/>
            </w:rPr>
            <w:fldChar w:fldCharType="separate"/>
          </w:r>
          <w:r>
            <w:rPr>
              <w:rFonts w:hint="eastAsia" w:cs="宋体"/>
              <w:b/>
              <w:bCs/>
              <w:sz w:val="24"/>
              <w:szCs w:val="24"/>
              <w:lang w:val="en-US" w:eastAsia="zh-CN"/>
            </w:rPr>
            <w:t>第一部分 招标公告</w:t>
          </w:r>
          <w:r>
            <w:rPr>
              <w:b/>
              <w:bCs/>
              <w:sz w:val="24"/>
              <w:szCs w:val="24"/>
            </w:rPr>
            <w:tab/>
          </w:r>
          <w:r>
            <w:rPr>
              <w:b/>
              <w:bCs/>
              <w:sz w:val="24"/>
              <w:szCs w:val="24"/>
            </w:rPr>
            <w:fldChar w:fldCharType="begin"/>
          </w:r>
          <w:r>
            <w:rPr>
              <w:b/>
              <w:bCs/>
              <w:sz w:val="24"/>
              <w:szCs w:val="24"/>
            </w:rPr>
            <w:instrText xml:space="preserve"> PAGEREF _Toc32406 \h </w:instrText>
          </w:r>
          <w:r>
            <w:rPr>
              <w:b/>
              <w:bCs/>
              <w:sz w:val="24"/>
              <w:szCs w:val="24"/>
            </w:rPr>
            <w:fldChar w:fldCharType="separate"/>
          </w:r>
          <w:r>
            <w:rPr>
              <w:b/>
              <w:bCs/>
              <w:sz w:val="24"/>
              <w:szCs w:val="24"/>
            </w:rPr>
            <w:t>1</w:t>
          </w:r>
          <w:r>
            <w:rPr>
              <w:b/>
              <w:bCs/>
              <w:sz w:val="24"/>
              <w:szCs w:val="24"/>
            </w:rPr>
            <w:fldChar w:fldCharType="end"/>
          </w:r>
          <w:r>
            <w:rPr>
              <w:rFonts w:hint="eastAsia" w:ascii="宋体" w:hAnsi="宋体" w:eastAsia="宋体" w:cs="宋体"/>
              <w:b/>
              <w:bCs/>
              <w:sz w:val="24"/>
              <w:szCs w:val="24"/>
            </w:rPr>
            <w:fldChar w:fldCharType="end"/>
          </w:r>
        </w:p>
        <w:p>
          <w:pPr>
            <w:pStyle w:val="32"/>
            <w:tabs>
              <w:tab w:val="right" w:leader="dot" w:pos="9072"/>
            </w:tabs>
            <w:spacing w:line="360" w:lineRule="auto"/>
            <w:rPr>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_Toc25990 </w:instrText>
          </w:r>
          <w:r>
            <w:rPr>
              <w:rFonts w:hint="eastAsia" w:ascii="宋体" w:hAnsi="宋体" w:eastAsia="宋体" w:cs="宋体"/>
              <w:b/>
              <w:bCs/>
              <w:sz w:val="24"/>
              <w:szCs w:val="24"/>
            </w:rPr>
            <w:fldChar w:fldCharType="separate"/>
          </w:r>
          <w:r>
            <w:rPr>
              <w:rFonts w:hint="eastAsia" w:cs="宋体"/>
              <w:b/>
              <w:bCs/>
              <w:sz w:val="24"/>
              <w:szCs w:val="24"/>
              <w:lang w:val="en-US" w:eastAsia="zh-CN"/>
            </w:rPr>
            <w:t>第二部分 供应商须知</w:t>
          </w:r>
          <w:r>
            <w:rPr>
              <w:b/>
              <w:bCs/>
              <w:sz w:val="24"/>
              <w:szCs w:val="24"/>
            </w:rPr>
            <w:tab/>
          </w:r>
          <w:r>
            <w:rPr>
              <w:b/>
              <w:bCs/>
              <w:sz w:val="24"/>
              <w:szCs w:val="24"/>
            </w:rPr>
            <w:fldChar w:fldCharType="begin"/>
          </w:r>
          <w:r>
            <w:rPr>
              <w:b/>
              <w:bCs/>
              <w:sz w:val="24"/>
              <w:szCs w:val="24"/>
            </w:rPr>
            <w:instrText xml:space="preserve"> PAGEREF _Toc25990 \h </w:instrText>
          </w:r>
          <w:r>
            <w:rPr>
              <w:b/>
              <w:bCs/>
              <w:sz w:val="24"/>
              <w:szCs w:val="24"/>
            </w:rPr>
            <w:fldChar w:fldCharType="separate"/>
          </w:r>
          <w:r>
            <w:rPr>
              <w:b/>
              <w:bCs/>
              <w:sz w:val="24"/>
              <w:szCs w:val="24"/>
            </w:rPr>
            <w:t>5</w:t>
          </w:r>
          <w:r>
            <w:rPr>
              <w:b/>
              <w:bCs/>
              <w:sz w:val="24"/>
              <w:szCs w:val="24"/>
            </w:rPr>
            <w:fldChar w:fldCharType="end"/>
          </w:r>
          <w:r>
            <w:rPr>
              <w:rFonts w:hint="eastAsia" w:ascii="宋体" w:hAnsi="宋体" w:eastAsia="宋体" w:cs="宋体"/>
              <w:b/>
              <w:bCs/>
              <w:sz w:val="24"/>
              <w:szCs w:val="24"/>
            </w:rPr>
            <w:fldChar w:fldCharType="end"/>
          </w:r>
        </w:p>
        <w:p>
          <w:pPr>
            <w:pStyle w:val="32"/>
            <w:tabs>
              <w:tab w:val="right" w:leader="dot" w:pos="9072"/>
            </w:tabs>
            <w:spacing w:line="360" w:lineRule="auto"/>
            <w:rPr>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_Toc28512 </w:instrText>
          </w:r>
          <w:r>
            <w:rPr>
              <w:rFonts w:hint="eastAsia" w:ascii="宋体" w:hAnsi="宋体" w:eastAsia="宋体" w:cs="宋体"/>
              <w:b/>
              <w:bCs/>
              <w:sz w:val="24"/>
              <w:szCs w:val="24"/>
            </w:rPr>
            <w:fldChar w:fldCharType="separate"/>
          </w:r>
          <w:r>
            <w:rPr>
              <w:rFonts w:hint="eastAsia" w:cs="宋体"/>
              <w:b/>
              <w:bCs/>
              <w:sz w:val="24"/>
              <w:szCs w:val="24"/>
              <w:lang w:val="en-US" w:eastAsia="zh-CN"/>
            </w:rPr>
            <w:t xml:space="preserve">第三部分 </w:t>
          </w:r>
          <w:r>
            <w:rPr>
              <w:rFonts w:hint="eastAsia" w:ascii="宋体" w:hAnsi="宋体" w:eastAsia="宋体" w:cs="宋体"/>
              <w:b/>
              <w:bCs/>
              <w:sz w:val="24"/>
              <w:szCs w:val="24"/>
              <w:lang w:val="en-US" w:eastAsia="zh-CN"/>
            </w:rPr>
            <w:t>采购需求</w:t>
          </w:r>
          <w:r>
            <w:rPr>
              <w:b/>
              <w:bCs/>
              <w:sz w:val="24"/>
              <w:szCs w:val="24"/>
            </w:rPr>
            <w:tab/>
          </w:r>
          <w:r>
            <w:rPr>
              <w:b/>
              <w:bCs/>
              <w:sz w:val="24"/>
              <w:szCs w:val="24"/>
            </w:rPr>
            <w:fldChar w:fldCharType="begin"/>
          </w:r>
          <w:r>
            <w:rPr>
              <w:b/>
              <w:bCs/>
              <w:sz w:val="24"/>
              <w:szCs w:val="24"/>
            </w:rPr>
            <w:instrText xml:space="preserve"> PAGEREF _Toc28512 \h </w:instrText>
          </w:r>
          <w:r>
            <w:rPr>
              <w:b/>
              <w:bCs/>
              <w:sz w:val="24"/>
              <w:szCs w:val="24"/>
            </w:rPr>
            <w:fldChar w:fldCharType="separate"/>
          </w:r>
          <w:r>
            <w:rPr>
              <w:b/>
              <w:bCs/>
              <w:sz w:val="24"/>
              <w:szCs w:val="24"/>
            </w:rPr>
            <w:t>19</w:t>
          </w:r>
          <w:r>
            <w:rPr>
              <w:b/>
              <w:bCs/>
              <w:sz w:val="24"/>
              <w:szCs w:val="24"/>
            </w:rPr>
            <w:fldChar w:fldCharType="end"/>
          </w:r>
          <w:r>
            <w:rPr>
              <w:rFonts w:hint="eastAsia" w:ascii="宋体" w:hAnsi="宋体" w:eastAsia="宋体" w:cs="宋体"/>
              <w:b/>
              <w:bCs/>
              <w:sz w:val="24"/>
              <w:szCs w:val="24"/>
            </w:rPr>
            <w:fldChar w:fldCharType="end"/>
          </w:r>
        </w:p>
        <w:p>
          <w:pPr>
            <w:pStyle w:val="32"/>
            <w:tabs>
              <w:tab w:val="right" w:leader="dot" w:pos="9072"/>
            </w:tabs>
            <w:spacing w:line="360" w:lineRule="auto"/>
            <w:rPr>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_Toc27903 </w:instrText>
          </w:r>
          <w:r>
            <w:rPr>
              <w:rFonts w:hint="eastAsia" w:ascii="宋体" w:hAnsi="宋体" w:eastAsia="宋体" w:cs="宋体"/>
              <w:b/>
              <w:bCs/>
              <w:sz w:val="24"/>
              <w:szCs w:val="24"/>
            </w:rPr>
            <w:fldChar w:fldCharType="separate"/>
          </w:r>
          <w:r>
            <w:rPr>
              <w:rFonts w:hint="eastAsia" w:cs="宋体"/>
              <w:b/>
              <w:bCs/>
              <w:sz w:val="24"/>
              <w:szCs w:val="24"/>
              <w:lang w:val="en-US" w:eastAsia="zh-CN"/>
            </w:rPr>
            <w:t>第四部分 评标办法及评分标准</w:t>
          </w:r>
          <w:r>
            <w:rPr>
              <w:b/>
              <w:bCs/>
              <w:sz w:val="24"/>
              <w:szCs w:val="24"/>
            </w:rPr>
            <w:tab/>
          </w:r>
          <w:r>
            <w:rPr>
              <w:b/>
              <w:bCs/>
              <w:sz w:val="24"/>
              <w:szCs w:val="24"/>
            </w:rPr>
            <w:fldChar w:fldCharType="begin"/>
          </w:r>
          <w:r>
            <w:rPr>
              <w:b/>
              <w:bCs/>
              <w:sz w:val="24"/>
              <w:szCs w:val="24"/>
            </w:rPr>
            <w:instrText xml:space="preserve"> PAGEREF _Toc27903 \h </w:instrText>
          </w:r>
          <w:r>
            <w:rPr>
              <w:b/>
              <w:bCs/>
              <w:sz w:val="24"/>
              <w:szCs w:val="24"/>
            </w:rPr>
            <w:fldChar w:fldCharType="separate"/>
          </w:r>
          <w:r>
            <w:rPr>
              <w:b/>
              <w:bCs/>
              <w:sz w:val="24"/>
              <w:szCs w:val="24"/>
            </w:rPr>
            <w:t>42</w:t>
          </w:r>
          <w:r>
            <w:rPr>
              <w:b/>
              <w:bCs/>
              <w:sz w:val="24"/>
              <w:szCs w:val="24"/>
            </w:rPr>
            <w:fldChar w:fldCharType="end"/>
          </w:r>
          <w:r>
            <w:rPr>
              <w:rFonts w:hint="eastAsia" w:ascii="宋体" w:hAnsi="宋体" w:eastAsia="宋体" w:cs="宋体"/>
              <w:b/>
              <w:bCs/>
              <w:sz w:val="24"/>
              <w:szCs w:val="24"/>
            </w:rPr>
            <w:fldChar w:fldCharType="end"/>
          </w:r>
        </w:p>
        <w:p>
          <w:pPr>
            <w:pStyle w:val="32"/>
            <w:tabs>
              <w:tab w:val="right" w:leader="dot" w:pos="9072"/>
            </w:tabs>
            <w:spacing w:line="360" w:lineRule="auto"/>
            <w:rPr>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_Toc23823 </w:instrText>
          </w:r>
          <w:r>
            <w:rPr>
              <w:rFonts w:hint="eastAsia" w:ascii="宋体" w:hAnsi="宋体" w:eastAsia="宋体" w:cs="宋体"/>
              <w:b/>
              <w:bCs/>
              <w:sz w:val="24"/>
              <w:szCs w:val="24"/>
            </w:rPr>
            <w:fldChar w:fldCharType="separate"/>
          </w:r>
          <w:r>
            <w:rPr>
              <w:rFonts w:hint="eastAsia" w:cs="宋体"/>
              <w:b/>
              <w:bCs/>
              <w:sz w:val="24"/>
              <w:szCs w:val="24"/>
              <w:lang w:val="en-US" w:eastAsia="zh-CN"/>
            </w:rPr>
            <w:t>第五部分 合同条款</w:t>
          </w:r>
          <w:r>
            <w:rPr>
              <w:b/>
              <w:bCs/>
              <w:sz w:val="24"/>
              <w:szCs w:val="24"/>
            </w:rPr>
            <w:tab/>
          </w:r>
          <w:r>
            <w:rPr>
              <w:b/>
              <w:bCs/>
              <w:sz w:val="24"/>
              <w:szCs w:val="24"/>
            </w:rPr>
            <w:fldChar w:fldCharType="begin"/>
          </w:r>
          <w:r>
            <w:rPr>
              <w:b/>
              <w:bCs/>
              <w:sz w:val="24"/>
              <w:szCs w:val="24"/>
            </w:rPr>
            <w:instrText xml:space="preserve"> PAGEREF _Toc23823 \h </w:instrText>
          </w:r>
          <w:r>
            <w:rPr>
              <w:b/>
              <w:bCs/>
              <w:sz w:val="24"/>
              <w:szCs w:val="24"/>
            </w:rPr>
            <w:fldChar w:fldCharType="separate"/>
          </w:r>
          <w:r>
            <w:rPr>
              <w:b/>
              <w:bCs/>
              <w:sz w:val="24"/>
              <w:szCs w:val="24"/>
            </w:rPr>
            <w:t>48</w:t>
          </w:r>
          <w:r>
            <w:rPr>
              <w:b/>
              <w:bCs/>
              <w:sz w:val="24"/>
              <w:szCs w:val="24"/>
            </w:rPr>
            <w:fldChar w:fldCharType="end"/>
          </w:r>
          <w:r>
            <w:rPr>
              <w:rFonts w:hint="eastAsia" w:ascii="宋体" w:hAnsi="宋体" w:eastAsia="宋体" w:cs="宋体"/>
              <w:b/>
              <w:bCs/>
              <w:sz w:val="24"/>
              <w:szCs w:val="24"/>
            </w:rPr>
            <w:fldChar w:fldCharType="end"/>
          </w:r>
        </w:p>
        <w:p>
          <w:pPr>
            <w:pStyle w:val="32"/>
            <w:tabs>
              <w:tab w:val="right" w:leader="dot" w:pos="9072"/>
            </w:tabs>
            <w:spacing w:line="360" w:lineRule="auto"/>
            <w:rPr>
              <w:b/>
              <w:bCs/>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_Toc5940 </w:instrText>
          </w:r>
          <w:r>
            <w:rPr>
              <w:rFonts w:hint="eastAsia" w:ascii="宋体" w:hAnsi="宋体" w:eastAsia="宋体" w:cs="宋体"/>
              <w:b/>
              <w:bCs/>
              <w:sz w:val="24"/>
              <w:szCs w:val="24"/>
            </w:rPr>
            <w:fldChar w:fldCharType="separate"/>
          </w:r>
          <w:r>
            <w:rPr>
              <w:rFonts w:hint="eastAsia" w:cs="宋体"/>
              <w:b/>
              <w:bCs/>
              <w:sz w:val="24"/>
              <w:szCs w:val="24"/>
              <w:lang w:val="en-US" w:eastAsia="zh-CN"/>
            </w:rPr>
            <w:t>第六部分 投标文件格式</w:t>
          </w:r>
          <w:r>
            <w:rPr>
              <w:b/>
              <w:bCs/>
              <w:sz w:val="24"/>
              <w:szCs w:val="24"/>
            </w:rPr>
            <w:tab/>
          </w:r>
          <w:r>
            <w:rPr>
              <w:b/>
              <w:bCs/>
              <w:sz w:val="24"/>
              <w:szCs w:val="24"/>
            </w:rPr>
            <w:fldChar w:fldCharType="begin"/>
          </w:r>
          <w:r>
            <w:rPr>
              <w:b/>
              <w:bCs/>
              <w:sz w:val="24"/>
              <w:szCs w:val="24"/>
            </w:rPr>
            <w:instrText xml:space="preserve"> PAGEREF _Toc5940 \h </w:instrText>
          </w:r>
          <w:r>
            <w:rPr>
              <w:b/>
              <w:bCs/>
              <w:sz w:val="24"/>
              <w:szCs w:val="24"/>
            </w:rPr>
            <w:fldChar w:fldCharType="separate"/>
          </w:r>
          <w:r>
            <w:rPr>
              <w:b/>
              <w:bCs/>
              <w:sz w:val="24"/>
              <w:szCs w:val="24"/>
            </w:rPr>
            <w:t>61</w:t>
          </w:r>
          <w:r>
            <w:rPr>
              <w:b/>
              <w:bCs/>
              <w:sz w:val="24"/>
              <w:szCs w:val="24"/>
            </w:rPr>
            <w:fldChar w:fldCharType="end"/>
          </w:r>
          <w:r>
            <w:rPr>
              <w:rFonts w:hint="eastAsia" w:ascii="宋体" w:hAnsi="宋体" w:eastAsia="宋体" w:cs="宋体"/>
              <w:b/>
              <w:bCs/>
              <w:sz w:val="24"/>
              <w:szCs w:val="24"/>
            </w:rPr>
            <w:fldChar w:fldCharType="end"/>
          </w:r>
        </w:p>
        <w:p>
          <w:pPr>
            <w:pStyle w:val="32"/>
            <w:tabs>
              <w:tab w:val="right" w:leader="dot" w:pos="9072"/>
            </w:tabs>
            <w:spacing w:line="360" w:lineRule="auto"/>
            <w:rPr>
              <w:rFonts w:hint="eastAsia" w:ascii="宋体" w:hAnsi="宋体" w:eastAsia="宋体" w:cs="宋体"/>
              <w:sz w:val="28"/>
              <w:szCs w:val="28"/>
            </w:rPr>
          </w:pPr>
          <w:r>
            <w:rPr>
              <w:rFonts w:hint="eastAsia" w:ascii="宋体" w:hAnsi="宋体" w:eastAsia="宋体" w:cs="宋体"/>
              <w:b/>
              <w:bCs/>
              <w:sz w:val="24"/>
              <w:szCs w:val="24"/>
            </w:rPr>
            <w:fldChar w:fldCharType="end"/>
          </w:r>
        </w:p>
      </w:sdtContent>
    </w:sdt>
    <w:p>
      <w:pPr>
        <w:pStyle w:val="25"/>
        <w:snapToGrid w:val="0"/>
        <w:spacing w:beforeLines="0" w:afterLines="0" w:line="900" w:lineRule="exact"/>
        <w:jc w:val="center"/>
        <w:outlineLvl w:val="9"/>
        <w:rPr>
          <w:rFonts w:hint="eastAsia" w:ascii="宋体" w:hAnsi="宋体" w:eastAsia="宋体" w:cs="宋体"/>
          <w:b/>
          <w:bCs/>
          <w:color w:val="auto"/>
          <w:sz w:val="32"/>
          <w:szCs w:val="32"/>
          <w:highlight w:val="none"/>
        </w:rPr>
      </w:pPr>
    </w:p>
    <w:p>
      <w:pPr>
        <w:rPr>
          <w:rFonts w:hint="eastAsia" w:ascii="宋体" w:hAnsi="宋体" w:eastAsia="宋体" w:cs="宋体"/>
          <w:b/>
          <w:bCs/>
          <w:color w:val="auto"/>
          <w:sz w:val="32"/>
          <w:szCs w:val="32"/>
          <w:highlight w:val="none"/>
        </w:rPr>
      </w:pPr>
    </w:p>
    <w:p>
      <w:pPr>
        <w:pStyle w:val="8"/>
        <w:rPr>
          <w:rFonts w:hint="eastAsia"/>
        </w:rPr>
      </w:pPr>
    </w:p>
    <w:p>
      <w:pPr>
        <w:rPr>
          <w:rFonts w:hint="eastAsia"/>
        </w:rPr>
      </w:pPr>
    </w:p>
    <w:p>
      <w:pPr>
        <w:pStyle w:val="55"/>
        <w:ind w:left="0" w:leftChars="0" w:firstLine="0" w:firstLineChars="0"/>
        <w:rPr>
          <w:rFonts w:hint="eastAsia" w:ascii="宋体" w:hAnsi="宋体" w:eastAsia="宋体" w:cs="宋体"/>
          <w:b/>
          <w:bCs/>
          <w:color w:val="auto"/>
          <w:sz w:val="32"/>
          <w:szCs w:val="32"/>
          <w:highlight w:val="none"/>
        </w:rPr>
      </w:pPr>
    </w:p>
    <w:p>
      <w:pPr>
        <w:pBdr>
          <w:top w:val="single" w:color="auto" w:sz="4" w:space="1"/>
          <w:left w:val="single" w:color="auto" w:sz="4" w:space="4"/>
          <w:bottom w:val="single" w:color="auto" w:sz="4" w:space="1"/>
          <w:right w:val="single" w:color="auto" w:sz="4" w:space="4"/>
        </w:pBdr>
        <w:snapToGrid w:val="0"/>
        <w:spacing w:before="120" w:beforeLines="50" w:after="120" w:afterLines="50" w:line="400" w:lineRule="exact"/>
        <w:ind w:firstLine="482" w:firstLineChars="200"/>
        <w:jc w:val="left"/>
        <w:outlineLvl w:val="0"/>
        <w:rPr>
          <w:rFonts w:ascii="宋体" w:hAnsi="Courier New"/>
          <w:b/>
          <w:sz w:val="24"/>
          <w:szCs w:val="24"/>
        </w:rPr>
      </w:pPr>
      <w:bookmarkStart w:id="0" w:name="_Toc18810"/>
      <w:bookmarkStart w:id="1" w:name="_Toc493"/>
      <w:bookmarkStart w:id="2" w:name="_Toc2671"/>
      <w:r>
        <w:rPr>
          <w:rFonts w:hint="eastAsia" w:ascii="宋体" w:hAnsi="Courier New"/>
          <w:b/>
          <w:sz w:val="24"/>
          <w:szCs w:val="24"/>
        </w:rPr>
        <w:t>为确保招投标活动的公开、公平、公正，切实维护各方合法权益，凡在招标投标、开标评标过程中，受到敲诈、勒索或发现围标串标、虚假投标、恶意竞标等涉黑涉恶线索者，请及时保留相关证据并向有关部门举报！</w:t>
      </w:r>
      <w:bookmarkEnd w:id="0"/>
      <w:bookmarkEnd w:id="1"/>
      <w:bookmarkEnd w:id="2"/>
    </w:p>
    <w:p>
      <w:pPr>
        <w:pBdr>
          <w:top w:val="single" w:color="auto" w:sz="4" w:space="1"/>
          <w:left w:val="single" w:color="auto" w:sz="4" w:space="4"/>
          <w:bottom w:val="single" w:color="auto" w:sz="4" w:space="1"/>
          <w:right w:val="single" w:color="auto" w:sz="4" w:space="4"/>
        </w:pBdr>
        <w:snapToGrid w:val="0"/>
        <w:spacing w:before="120" w:beforeLines="50" w:after="120" w:afterLines="50" w:line="400" w:lineRule="exact"/>
        <w:ind w:firstLine="482" w:firstLineChars="200"/>
        <w:outlineLvl w:val="0"/>
        <w:rPr>
          <w:rFonts w:ascii="宋体" w:hAnsi="Courier New"/>
          <w:b/>
          <w:sz w:val="24"/>
          <w:szCs w:val="24"/>
        </w:rPr>
      </w:pPr>
      <w:bookmarkStart w:id="3" w:name="_Toc735"/>
      <w:bookmarkStart w:id="4" w:name="_Toc32610"/>
      <w:bookmarkStart w:id="5" w:name="_Toc17019"/>
      <w:r>
        <w:rPr>
          <w:rFonts w:hint="eastAsia" w:ascii="宋体" w:hAnsi="Courier New"/>
          <w:b/>
          <w:sz w:val="24"/>
          <w:szCs w:val="24"/>
        </w:rPr>
        <w:t>举报电话：</w:t>
      </w:r>
      <w:bookmarkEnd w:id="3"/>
      <w:bookmarkEnd w:id="4"/>
      <w:bookmarkEnd w:id="5"/>
      <w:r>
        <w:rPr>
          <w:rFonts w:hint="eastAsia" w:ascii="宋体" w:hAnsi="Courier New"/>
          <w:b/>
          <w:sz w:val="24"/>
          <w:szCs w:val="24"/>
        </w:rPr>
        <w:t xml:space="preserve">  </w:t>
      </w:r>
    </w:p>
    <w:p>
      <w:pPr>
        <w:pBdr>
          <w:top w:val="single" w:color="auto" w:sz="4" w:space="1"/>
          <w:left w:val="single" w:color="auto" w:sz="4" w:space="4"/>
          <w:bottom w:val="single" w:color="auto" w:sz="4" w:space="1"/>
          <w:right w:val="single" w:color="auto" w:sz="4" w:space="4"/>
        </w:pBdr>
        <w:snapToGrid w:val="0"/>
        <w:spacing w:before="120" w:beforeLines="50" w:after="120" w:afterLines="50" w:line="400" w:lineRule="exact"/>
        <w:ind w:firstLine="482" w:firstLineChars="200"/>
        <w:outlineLvl w:val="0"/>
        <w:rPr>
          <w:rFonts w:ascii="宋体" w:hAnsi="Courier New"/>
          <w:b/>
          <w:sz w:val="24"/>
          <w:szCs w:val="24"/>
        </w:rPr>
      </w:pPr>
      <w:bookmarkStart w:id="6" w:name="_Toc26600"/>
      <w:bookmarkStart w:id="7" w:name="_Toc12928"/>
      <w:bookmarkStart w:id="8" w:name="_Toc26999"/>
      <w:r>
        <w:rPr>
          <w:rFonts w:hint="eastAsia" w:ascii="宋体" w:hAnsi="Courier New"/>
          <w:b/>
          <w:sz w:val="24"/>
          <w:szCs w:val="24"/>
        </w:rPr>
        <w:t>市扫黑办  0579-82495227</w:t>
      </w:r>
      <w:bookmarkEnd w:id="6"/>
      <w:bookmarkEnd w:id="7"/>
      <w:bookmarkEnd w:id="8"/>
    </w:p>
    <w:p>
      <w:pPr>
        <w:pBdr>
          <w:top w:val="single" w:color="auto" w:sz="4" w:space="1"/>
          <w:left w:val="single" w:color="auto" w:sz="4" w:space="4"/>
          <w:bottom w:val="single" w:color="auto" w:sz="4" w:space="1"/>
          <w:right w:val="single" w:color="auto" w:sz="4" w:space="4"/>
        </w:pBdr>
        <w:snapToGrid w:val="0"/>
        <w:spacing w:before="120" w:beforeLines="50" w:after="120" w:afterLines="50" w:line="400" w:lineRule="exact"/>
        <w:ind w:firstLine="482" w:firstLineChars="200"/>
        <w:outlineLvl w:val="0"/>
        <w:rPr>
          <w:rFonts w:ascii="宋体" w:hAnsi="Courier New"/>
          <w:b/>
          <w:sz w:val="24"/>
          <w:szCs w:val="24"/>
        </w:rPr>
      </w:pPr>
      <w:bookmarkStart w:id="9" w:name="_Toc7124"/>
      <w:bookmarkStart w:id="10" w:name="_Toc25546"/>
      <w:bookmarkStart w:id="11" w:name="_Toc808"/>
      <w:r>
        <w:rPr>
          <w:rFonts w:hint="eastAsia" w:ascii="宋体" w:hAnsi="Courier New"/>
          <w:b/>
          <w:sz w:val="24"/>
          <w:szCs w:val="24"/>
        </w:rPr>
        <w:t>市公安局  110、0579-82512110</w:t>
      </w:r>
      <w:bookmarkEnd w:id="9"/>
      <w:bookmarkEnd w:id="10"/>
      <w:bookmarkEnd w:id="11"/>
    </w:p>
    <w:p>
      <w:pPr>
        <w:pBdr>
          <w:top w:val="single" w:color="auto" w:sz="4" w:space="1"/>
          <w:left w:val="single" w:color="auto" w:sz="4" w:space="4"/>
          <w:bottom w:val="single" w:color="auto" w:sz="4" w:space="1"/>
          <w:right w:val="single" w:color="auto" w:sz="4" w:space="4"/>
        </w:pBdr>
        <w:snapToGrid w:val="0"/>
        <w:spacing w:before="120" w:beforeLines="50" w:after="120" w:afterLines="50" w:line="400" w:lineRule="exact"/>
        <w:ind w:firstLine="482" w:firstLineChars="200"/>
        <w:outlineLvl w:val="0"/>
        <w:rPr>
          <w:rFonts w:ascii="宋体" w:hAnsi="Courier New"/>
          <w:b/>
          <w:sz w:val="24"/>
          <w:szCs w:val="24"/>
        </w:rPr>
      </w:pPr>
      <w:bookmarkStart w:id="12" w:name="_Toc18184"/>
      <w:bookmarkStart w:id="13" w:name="_Toc30510"/>
      <w:bookmarkStart w:id="14" w:name="_Toc13180"/>
      <w:r>
        <w:rPr>
          <w:rFonts w:hint="eastAsia" w:ascii="宋体" w:hAnsi="Courier New"/>
          <w:b/>
          <w:sz w:val="24"/>
          <w:szCs w:val="24"/>
        </w:rPr>
        <w:t>市检察院  0579-82537082</w:t>
      </w:r>
      <w:bookmarkEnd w:id="12"/>
      <w:bookmarkEnd w:id="13"/>
      <w:bookmarkEnd w:id="14"/>
    </w:p>
    <w:p>
      <w:pPr>
        <w:pBdr>
          <w:top w:val="single" w:color="auto" w:sz="4" w:space="1"/>
          <w:left w:val="single" w:color="auto" w:sz="4" w:space="4"/>
          <w:bottom w:val="single" w:color="auto" w:sz="4" w:space="1"/>
          <w:right w:val="single" w:color="auto" w:sz="4" w:space="4"/>
        </w:pBdr>
        <w:snapToGrid w:val="0"/>
        <w:spacing w:before="120" w:beforeLines="50" w:after="120" w:afterLines="50" w:line="400" w:lineRule="exact"/>
        <w:ind w:firstLine="482" w:firstLineChars="200"/>
        <w:outlineLvl w:val="0"/>
        <w:rPr>
          <w:rFonts w:ascii="宋体" w:hAnsi="Courier New"/>
          <w:b/>
          <w:sz w:val="24"/>
          <w:szCs w:val="24"/>
        </w:rPr>
      </w:pPr>
      <w:bookmarkStart w:id="15" w:name="_Toc28234"/>
      <w:bookmarkStart w:id="16" w:name="_Toc562"/>
      <w:bookmarkStart w:id="17" w:name="_Toc20440"/>
      <w:r>
        <w:rPr>
          <w:rFonts w:hint="eastAsia" w:ascii="宋体" w:hAnsi="Courier New"/>
          <w:b/>
          <w:sz w:val="24"/>
          <w:szCs w:val="24"/>
        </w:rPr>
        <w:t>市 法 院  0579-82688725</w:t>
      </w:r>
      <w:bookmarkEnd w:id="15"/>
      <w:bookmarkEnd w:id="16"/>
      <w:bookmarkEnd w:id="17"/>
    </w:p>
    <w:p>
      <w:pPr>
        <w:pBdr>
          <w:top w:val="single" w:color="auto" w:sz="4" w:space="1"/>
          <w:left w:val="single" w:color="auto" w:sz="4" w:space="4"/>
          <w:bottom w:val="single" w:color="auto" w:sz="4" w:space="1"/>
          <w:right w:val="single" w:color="auto" w:sz="4" w:space="4"/>
        </w:pBdr>
        <w:snapToGrid w:val="0"/>
        <w:spacing w:before="120" w:beforeLines="50" w:after="120" w:afterLines="50" w:line="400" w:lineRule="exact"/>
        <w:ind w:firstLine="482" w:firstLineChars="200"/>
        <w:outlineLvl w:val="0"/>
        <w:rPr>
          <w:rFonts w:ascii="宋体" w:hAnsi="Courier New"/>
          <w:b/>
          <w:sz w:val="24"/>
          <w:szCs w:val="24"/>
        </w:rPr>
      </w:pPr>
      <w:bookmarkStart w:id="18" w:name="_Toc32646"/>
      <w:bookmarkStart w:id="19" w:name="_Toc627"/>
      <w:bookmarkStart w:id="20" w:name="_Toc9555"/>
      <w:r>
        <w:rPr>
          <w:rFonts w:hint="eastAsia" w:ascii="宋体" w:hAnsi="Courier New"/>
          <w:b/>
          <w:sz w:val="24"/>
          <w:szCs w:val="24"/>
        </w:rPr>
        <w:t>市公共资源交易管理办公室  0579-82469285</w:t>
      </w:r>
      <w:bookmarkEnd w:id="18"/>
      <w:bookmarkEnd w:id="19"/>
      <w:bookmarkEnd w:id="20"/>
    </w:p>
    <w:p>
      <w:pPr>
        <w:pBdr>
          <w:top w:val="single" w:color="auto" w:sz="4" w:space="1"/>
          <w:left w:val="single" w:color="auto" w:sz="4" w:space="4"/>
          <w:bottom w:val="single" w:color="auto" w:sz="4" w:space="1"/>
          <w:right w:val="single" w:color="auto" w:sz="4" w:space="4"/>
        </w:pBdr>
        <w:snapToGrid w:val="0"/>
        <w:spacing w:before="120" w:beforeLines="50" w:after="120" w:afterLines="50"/>
        <w:ind w:firstLine="482" w:firstLineChars="200"/>
        <w:outlineLvl w:val="0"/>
        <w:rPr>
          <w:rFonts w:hint="eastAsia" w:ascii="宋体" w:hAnsi="Courier New"/>
          <w:b/>
          <w:sz w:val="24"/>
          <w:szCs w:val="24"/>
        </w:rPr>
      </w:pPr>
      <w:bookmarkStart w:id="21" w:name="_Toc23877"/>
      <w:bookmarkStart w:id="22" w:name="_Toc11497"/>
      <w:bookmarkStart w:id="23" w:name="_Toc16492"/>
      <w:r>
        <w:rPr>
          <w:rFonts w:hint="eastAsia" w:ascii="宋体" w:hAnsi="Courier New"/>
          <w:b/>
          <w:sz w:val="24"/>
          <w:szCs w:val="24"/>
        </w:rPr>
        <w:t>市公共资源交易中心  0579-83187211</w:t>
      </w:r>
      <w:bookmarkEnd w:id="21"/>
      <w:bookmarkEnd w:id="22"/>
      <w:bookmarkEnd w:id="23"/>
    </w:p>
    <w:p>
      <w:pPr>
        <w:bidi w:val="0"/>
        <w:rPr>
          <w:rFonts w:hint="eastAsia"/>
        </w:rPr>
        <w:sectPr>
          <w:footerReference r:id="rId12" w:type="first"/>
          <w:footerReference r:id="rId11" w:type="default"/>
          <w:pgSz w:w="11905" w:h="16838"/>
          <w:pgMar w:top="1417" w:right="1417" w:bottom="1417" w:left="1417" w:header="851" w:footer="992" w:gutter="0"/>
          <w:pgNumType w:start="1"/>
          <w:cols w:space="0" w:num="1"/>
          <w:titlePg/>
          <w:rtlGutter w:val="0"/>
          <w:docGrid w:linePitch="312" w:charSpace="0"/>
        </w:sectPr>
      </w:pPr>
    </w:p>
    <w:p>
      <w:pPr>
        <w:snapToGrid w:val="0"/>
        <w:spacing w:line="360" w:lineRule="auto"/>
        <w:jc w:val="center"/>
        <w:outlineLvl w:val="0"/>
        <w:rPr>
          <w:rFonts w:hint="eastAsia" w:cs="宋体"/>
          <w:b/>
          <w:bCs/>
          <w:color w:val="auto"/>
          <w:sz w:val="32"/>
          <w:szCs w:val="32"/>
          <w:lang w:val="en-US" w:eastAsia="zh-CN"/>
        </w:rPr>
      </w:pPr>
      <w:bookmarkStart w:id="24" w:name="_Toc32406"/>
      <w:bookmarkStart w:id="25" w:name="_Toc26201"/>
      <w:bookmarkStart w:id="26" w:name="_Toc10327"/>
      <w:bookmarkStart w:id="27" w:name="_Toc444767515"/>
      <w:bookmarkStart w:id="28" w:name="_Toc16906"/>
      <w:r>
        <w:rPr>
          <w:rFonts w:hint="eastAsia" w:cs="宋体"/>
          <w:b/>
          <w:bCs/>
          <w:color w:val="auto"/>
          <w:sz w:val="32"/>
          <w:szCs w:val="32"/>
          <w:lang w:val="en-US" w:eastAsia="zh-CN"/>
        </w:rPr>
        <w:t>第一部分 招标公告</w:t>
      </w:r>
      <w:bookmarkEnd w:id="24"/>
      <w:bookmarkEnd w:id="25"/>
    </w:p>
    <w:p>
      <w:pPr>
        <w:keepNext w:val="0"/>
        <w:keepLines w:val="0"/>
        <w:pageBreakBefore w:val="0"/>
        <w:widowControl w:val="0"/>
        <w:pBdr>
          <w:top w:val="single" w:color="auto" w:sz="4" w:space="1"/>
          <w:left w:val="single" w:color="auto" w:sz="4" w:space="4"/>
          <w:bottom w:val="single" w:color="auto" w:sz="4" w:space="14"/>
          <w:right w:val="single" w:color="auto" w:sz="4" w:space="4"/>
        </w:pBdr>
        <w:kinsoku/>
        <w:wordWrap/>
        <w:overflowPunct/>
        <w:topLinePunct w:val="0"/>
        <w:autoSpaceDE/>
        <w:autoSpaceDN/>
        <w:bidi w:val="0"/>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pPr>
        <w:keepNext w:val="0"/>
        <w:keepLines w:val="0"/>
        <w:pageBreakBefore w:val="0"/>
        <w:widowControl w:val="0"/>
        <w:pBdr>
          <w:top w:val="single" w:color="auto" w:sz="4" w:space="1"/>
          <w:left w:val="single" w:color="auto" w:sz="4" w:space="4"/>
          <w:bottom w:val="single" w:color="auto" w:sz="4" w:space="14"/>
          <w:right w:val="single" w:color="auto" w:sz="4" w:space="4"/>
        </w:pBdr>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cs="宋体"/>
          <w:color w:val="auto"/>
          <w:sz w:val="21"/>
          <w:szCs w:val="21"/>
          <w:highlight w:val="none"/>
          <w:u w:val="single"/>
          <w:lang w:val="en-US" w:eastAsia="zh-CN"/>
        </w:rPr>
        <w:t xml:space="preserve"> 金</w:t>
      </w:r>
      <w:r>
        <w:rPr>
          <w:rFonts w:hint="eastAsia" w:ascii="宋体" w:hAnsi="宋体" w:eastAsia="宋体" w:cs="宋体"/>
          <w:color w:val="auto"/>
          <w:sz w:val="21"/>
          <w:szCs w:val="21"/>
          <w:highlight w:val="none"/>
          <w:u w:val="single"/>
          <w:lang w:val="en-US" w:eastAsia="zh-CN"/>
        </w:rPr>
        <w:t xml:space="preserve">华市婺城区康复医院改扩建工程医疗定制家具采购项目 </w:t>
      </w:r>
      <w:r>
        <w:rPr>
          <w:rFonts w:hint="eastAsia" w:ascii="宋体" w:hAnsi="宋体" w:eastAsia="宋体" w:cs="宋体"/>
          <w:color w:val="auto"/>
          <w:sz w:val="21"/>
          <w:szCs w:val="21"/>
          <w:highlight w:val="none"/>
        </w:rPr>
        <w:t>的潜在</w:t>
      </w:r>
      <w:r>
        <w:rPr>
          <w:rFonts w:hint="eastAsia" w:cs="宋体"/>
          <w:color w:val="auto"/>
          <w:sz w:val="21"/>
          <w:szCs w:val="21"/>
          <w:highlight w:val="none"/>
          <w:lang w:eastAsia="zh-CN"/>
        </w:rPr>
        <w:t>供应商</w:t>
      </w:r>
      <w:r>
        <w:rPr>
          <w:rFonts w:hint="eastAsia" w:ascii="宋体" w:hAnsi="宋体" w:eastAsia="宋体" w:cs="宋体"/>
          <w:color w:val="auto"/>
          <w:sz w:val="21"/>
          <w:szCs w:val="21"/>
          <w:highlight w:val="none"/>
        </w:rPr>
        <w:t>应在政采云平台（</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"https://www.zcygov.cn/）获取（下载）招标文件，并于202%20年%20月%20日%20点%20分00秒"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https://www.zcygov.cn/）获取（下载）招标文件，并于</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202</w:t>
      </w:r>
      <w:r>
        <w:rPr>
          <w:rFonts w:hint="eastAsia"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年</w:t>
      </w:r>
      <w:r>
        <w:rPr>
          <w:rFonts w:hint="eastAsia" w:cs="宋体"/>
          <w:color w:val="auto"/>
          <w:sz w:val="21"/>
          <w:szCs w:val="21"/>
          <w:highlight w:val="none"/>
          <w:u w:val="single"/>
          <w:lang w:val="en-US" w:eastAsia="zh-CN"/>
        </w:rPr>
        <w:t xml:space="preserve"> 04 </w:t>
      </w:r>
      <w:r>
        <w:rPr>
          <w:rFonts w:hint="eastAsia" w:ascii="宋体" w:hAnsi="宋体" w:eastAsia="宋体" w:cs="宋体"/>
          <w:color w:val="auto"/>
          <w:sz w:val="21"/>
          <w:szCs w:val="21"/>
          <w:highlight w:val="none"/>
          <w:u w:val="single"/>
        </w:rPr>
        <w:t>月</w:t>
      </w:r>
      <w:r>
        <w:rPr>
          <w:rFonts w:hint="eastAsia" w:cs="宋体"/>
          <w:color w:val="auto"/>
          <w:sz w:val="21"/>
          <w:szCs w:val="21"/>
          <w:highlight w:val="none"/>
          <w:u w:val="single"/>
          <w:lang w:val="en-US" w:eastAsia="zh-CN"/>
        </w:rPr>
        <w:t xml:space="preserve"> 04 </w:t>
      </w:r>
      <w:r>
        <w:rPr>
          <w:rFonts w:hint="eastAsia" w:ascii="宋体" w:hAnsi="宋体" w:eastAsia="宋体" w:cs="宋体"/>
          <w:color w:val="auto"/>
          <w:sz w:val="21"/>
          <w:szCs w:val="21"/>
          <w:highlight w:val="none"/>
          <w:u w:val="single"/>
        </w:rPr>
        <w:t>日</w:t>
      </w:r>
      <w:r>
        <w:rPr>
          <w:rFonts w:hint="eastAsia" w:cs="宋体"/>
          <w:color w:val="auto"/>
          <w:sz w:val="21"/>
          <w:szCs w:val="21"/>
          <w:highlight w:val="none"/>
          <w:u w:val="single"/>
          <w:lang w:val="en-US" w:eastAsia="zh-CN"/>
        </w:rPr>
        <w:t xml:space="preserve"> 14 </w:t>
      </w:r>
      <w:r>
        <w:rPr>
          <w:rFonts w:hint="eastAsia" w:ascii="宋体" w:hAnsi="宋体" w:eastAsia="宋体" w:cs="宋体"/>
          <w:color w:val="auto"/>
          <w:sz w:val="21"/>
          <w:szCs w:val="21"/>
          <w:highlight w:val="none"/>
          <w:u w:val="single"/>
        </w:rPr>
        <w:t>点</w:t>
      </w:r>
      <w:r>
        <w:rPr>
          <w:rFonts w:hint="eastAsia" w:cs="宋体"/>
          <w:color w:val="auto"/>
          <w:sz w:val="21"/>
          <w:szCs w:val="21"/>
          <w:highlight w:val="none"/>
          <w:u w:val="single"/>
          <w:lang w:val="en-US" w:eastAsia="zh-CN"/>
        </w:rPr>
        <w:t xml:space="preserve"> 00 </w:t>
      </w:r>
      <w:r>
        <w:rPr>
          <w:rFonts w:hint="eastAsia" w:ascii="宋体" w:hAnsi="宋体" w:eastAsia="宋体" w:cs="宋体"/>
          <w:color w:val="auto"/>
          <w:sz w:val="21"/>
          <w:szCs w:val="21"/>
          <w:highlight w:val="none"/>
          <w:u w:val="single"/>
        </w:rPr>
        <w:t>分</w:t>
      </w:r>
      <w:r>
        <w:rPr>
          <w:rFonts w:hint="eastAsia" w:ascii="宋体" w:hAnsi="宋体" w:eastAsia="宋体" w:cs="宋体"/>
          <w:color w:val="auto"/>
          <w:sz w:val="21"/>
          <w:szCs w:val="21"/>
          <w:highlight w:val="none"/>
        </w:rPr>
        <w:fldChar w:fldCharType="end"/>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（北京时间）前递交（上传）投标文件。</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b/>
          <w:bCs/>
        </w:rPr>
      </w:pPr>
      <w:bookmarkStart w:id="29" w:name="_Toc28359002"/>
      <w:bookmarkStart w:id="30" w:name="_Toc35393621"/>
      <w:bookmarkStart w:id="31" w:name="_Toc35393790"/>
      <w:bookmarkStart w:id="32" w:name="_Toc28359079"/>
      <w:bookmarkStart w:id="33" w:name="_Hlk24379207"/>
      <w:r>
        <w:rPr>
          <w:rFonts w:hint="eastAsia"/>
          <w:b/>
          <w:bCs/>
        </w:rPr>
        <w:t>一、项目基本情况</w:t>
      </w:r>
      <w:bookmarkEnd w:id="29"/>
      <w:bookmarkEnd w:id="30"/>
      <w:bookmarkEnd w:id="31"/>
      <w:bookmarkEnd w:id="32"/>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lang w:val="en-US" w:eastAsia="zh-CN"/>
        </w:rPr>
      </w:pPr>
      <w:r>
        <w:rPr>
          <w:rFonts w:hint="eastAsia"/>
        </w:rPr>
        <w:t>项目编号：</w:t>
      </w:r>
      <w:r>
        <w:rPr>
          <w:rFonts w:hint="eastAsia" w:ascii="宋体" w:hAnsi="宋体" w:eastAsia="宋体" w:cs="宋体"/>
          <w:color w:val="auto"/>
          <w:sz w:val="21"/>
          <w:szCs w:val="21"/>
          <w:highlight w:val="none"/>
          <w:lang w:val="en-US" w:eastAsia="zh-CN"/>
        </w:rPr>
        <w:t xml:space="preserve">ZGJHCG2023-003 </w:t>
      </w:r>
    </w:p>
    <w:p>
      <w:pPr>
        <w:keepNext w:val="0"/>
        <w:keepLines w:val="0"/>
        <w:pageBreakBefore w:val="0"/>
        <w:widowControl w:val="0"/>
        <w:kinsoku/>
        <w:wordWrap/>
        <w:overflowPunct/>
        <w:topLinePunct w:val="0"/>
        <w:autoSpaceDE/>
        <w:autoSpaceDN/>
        <w:bidi w:val="0"/>
        <w:adjustRightInd/>
        <w:snapToGrid/>
        <w:spacing w:line="360" w:lineRule="auto"/>
        <w:ind w:firstLine="472" w:firstLineChars="225"/>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政府采购计划编号：临[2023]88号</w:t>
      </w:r>
    </w:p>
    <w:p>
      <w:pPr>
        <w:keepNext w:val="0"/>
        <w:keepLines w:val="0"/>
        <w:pageBreakBefore w:val="0"/>
        <w:widowControl w:val="0"/>
        <w:kinsoku/>
        <w:wordWrap/>
        <w:overflowPunct/>
        <w:topLinePunct w:val="0"/>
        <w:autoSpaceDE/>
        <w:autoSpaceDN/>
        <w:bidi w:val="0"/>
        <w:adjustRightInd/>
        <w:snapToGrid/>
        <w:spacing w:line="360" w:lineRule="auto"/>
        <w:ind w:firstLine="472" w:firstLineChars="225"/>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cs="宋体"/>
          <w:color w:val="auto"/>
          <w:sz w:val="21"/>
          <w:szCs w:val="21"/>
          <w:highlight w:val="none"/>
          <w:lang w:eastAsia="zh-CN"/>
        </w:rPr>
        <w:t>金华市婺城区康复医院改扩建工程医疗定制家具采购项目</w:t>
      </w:r>
    </w:p>
    <w:bookmarkEnd w:id="33"/>
    <w:p>
      <w:pPr>
        <w:keepNext w:val="0"/>
        <w:keepLines w:val="0"/>
        <w:pageBreakBefore w:val="0"/>
        <w:widowControl w:val="0"/>
        <w:kinsoku/>
        <w:wordWrap/>
        <w:overflowPunct/>
        <w:topLinePunct w:val="0"/>
        <w:autoSpaceDE/>
        <w:autoSpaceDN/>
        <w:bidi w:val="0"/>
        <w:adjustRightInd/>
        <w:snapToGrid/>
        <w:spacing w:line="360" w:lineRule="auto"/>
        <w:ind w:firstLine="472" w:firstLineChars="225"/>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预算金额：</w:t>
      </w:r>
      <w:r>
        <w:rPr>
          <w:rFonts w:hint="eastAsia" w:cs="宋体"/>
          <w:color w:val="auto"/>
          <w:sz w:val="21"/>
          <w:szCs w:val="21"/>
          <w:highlight w:val="none"/>
          <w:shd w:val="clear" w:color="auto" w:fill="auto"/>
          <w:lang w:val="en-US" w:eastAsia="zh-CN"/>
        </w:rPr>
        <w:t>86</w:t>
      </w:r>
      <w:r>
        <w:rPr>
          <w:rFonts w:hint="eastAsia" w:ascii="宋体" w:hAnsi="宋体" w:eastAsia="宋体" w:cs="宋体"/>
          <w:color w:val="auto"/>
          <w:sz w:val="21"/>
          <w:szCs w:val="21"/>
          <w:highlight w:val="none"/>
          <w:shd w:val="clear" w:color="auto" w:fill="auto"/>
          <w:lang w:val="en-US" w:eastAsia="zh-CN"/>
        </w:rPr>
        <w:t>0</w:t>
      </w:r>
      <w:r>
        <w:rPr>
          <w:rFonts w:hint="eastAsia" w:ascii="宋体" w:hAnsi="宋体" w:eastAsia="宋体" w:cs="宋体"/>
          <w:color w:val="auto"/>
          <w:sz w:val="21"/>
          <w:szCs w:val="21"/>
          <w:highlight w:val="none"/>
          <w:shd w:val="clear" w:color="auto" w:fill="auto"/>
        </w:rPr>
        <w:t xml:space="preserve">万元 </w:t>
      </w:r>
    </w:p>
    <w:p>
      <w:pPr>
        <w:keepNext w:val="0"/>
        <w:keepLines w:val="0"/>
        <w:pageBreakBefore w:val="0"/>
        <w:widowControl w:val="0"/>
        <w:kinsoku/>
        <w:wordWrap/>
        <w:overflowPunct/>
        <w:topLinePunct w:val="0"/>
        <w:autoSpaceDE/>
        <w:autoSpaceDN/>
        <w:bidi w:val="0"/>
        <w:adjustRightInd/>
        <w:snapToGrid/>
        <w:spacing w:line="360" w:lineRule="auto"/>
        <w:ind w:firstLine="472" w:firstLineChars="225"/>
        <w:textAlignment w:val="auto"/>
        <w:rPr>
          <w:rFonts w:hint="eastAsia" w:ascii="宋体" w:hAnsi="宋体" w:eastAsia="宋体" w:cs="宋体"/>
          <w:color w:val="auto"/>
          <w:sz w:val="21"/>
          <w:szCs w:val="21"/>
          <w:highlight w:val="yellow"/>
          <w:shd w:val="clear" w:color="auto" w:fill="auto"/>
        </w:rPr>
      </w:pPr>
      <w:r>
        <w:rPr>
          <w:rFonts w:hint="eastAsia" w:ascii="宋体" w:hAnsi="宋体" w:eastAsia="宋体" w:cs="宋体"/>
          <w:color w:val="auto"/>
          <w:sz w:val="21"/>
          <w:szCs w:val="21"/>
          <w:highlight w:val="none"/>
          <w:shd w:val="clear" w:color="auto" w:fill="auto"/>
        </w:rPr>
        <w:t>最高限价：</w:t>
      </w:r>
      <w:r>
        <w:rPr>
          <w:rFonts w:hint="eastAsia" w:cs="宋体"/>
          <w:color w:val="auto"/>
          <w:sz w:val="21"/>
          <w:szCs w:val="21"/>
          <w:highlight w:val="none"/>
          <w:shd w:val="clear" w:color="auto" w:fill="auto"/>
          <w:lang w:val="en-US" w:eastAsia="zh-CN"/>
        </w:rPr>
        <w:t>86</w:t>
      </w:r>
      <w:r>
        <w:rPr>
          <w:rFonts w:hint="eastAsia" w:ascii="宋体" w:hAnsi="宋体" w:eastAsia="宋体" w:cs="宋体"/>
          <w:color w:val="auto"/>
          <w:sz w:val="21"/>
          <w:szCs w:val="21"/>
          <w:highlight w:val="none"/>
          <w:shd w:val="clear" w:color="auto" w:fill="auto"/>
          <w:lang w:val="en-US" w:eastAsia="zh-CN"/>
        </w:rPr>
        <w:t>0万元</w:t>
      </w:r>
    </w:p>
    <w:p>
      <w:pPr>
        <w:keepNext w:val="0"/>
        <w:keepLines w:val="0"/>
        <w:pageBreakBefore w:val="0"/>
        <w:widowControl w:val="0"/>
        <w:kinsoku/>
        <w:wordWrap/>
        <w:overflowPunct/>
        <w:topLinePunct w:val="0"/>
        <w:autoSpaceDE/>
        <w:autoSpaceDN/>
        <w:bidi w:val="0"/>
        <w:adjustRightInd/>
        <w:snapToGrid/>
        <w:spacing w:line="360" w:lineRule="auto"/>
        <w:ind w:firstLine="472" w:firstLineChars="225"/>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采购需求：</w:t>
      </w:r>
      <w:r>
        <w:rPr>
          <w:rFonts w:hint="eastAsia" w:ascii="宋体" w:hAnsi="宋体" w:eastAsia="宋体" w:cs="宋体"/>
          <w:color w:val="auto"/>
          <w:sz w:val="21"/>
          <w:szCs w:val="21"/>
          <w:highlight w:val="none"/>
          <w:lang w:val="en-US" w:eastAsia="zh-CN"/>
        </w:rPr>
        <w:t>金华市婺城区康复医院改扩建工程医疗定制家具采购项目</w:t>
      </w:r>
      <w:r>
        <w:rPr>
          <w:rFonts w:hint="eastAsia" w:ascii="宋体" w:hAnsi="宋体" w:eastAsia="宋体" w:cs="宋体"/>
          <w:color w:val="auto"/>
          <w:sz w:val="21"/>
          <w:szCs w:val="21"/>
          <w:highlight w:val="none"/>
        </w:rPr>
        <w:t>主要内容：</w:t>
      </w:r>
      <w:r>
        <w:rPr>
          <w:rFonts w:hint="eastAsia" w:ascii="宋体" w:hAnsi="宋体" w:eastAsia="宋体" w:cs="宋体"/>
          <w:color w:val="auto"/>
          <w:sz w:val="21"/>
          <w:szCs w:val="21"/>
          <w:highlight w:val="none"/>
          <w:lang w:eastAsia="zh-CN"/>
        </w:rPr>
        <w:t>医疗定制家具采购</w:t>
      </w:r>
      <w:r>
        <w:rPr>
          <w:rFonts w:hint="eastAsia" w:cs="宋体"/>
          <w:color w:val="auto"/>
          <w:sz w:val="21"/>
          <w:szCs w:val="21"/>
          <w:highlight w:val="none"/>
          <w:lang w:val="en-US" w:eastAsia="zh-CN"/>
        </w:rPr>
        <w:t>及安装</w:t>
      </w:r>
      <w:r>
        <w:rPr>
          <w:rFonts w:hint="eastAsia" w:ascii="宋体" w:hAnsi="宋体" w:eastAsia="宋体" w:cs="宋体"/>
          <w:color w:val="auto"/>
          <w:sz w:val="21"/>
          <w:szCs w:val="21"/>
          <w:highlight w:val="none"/>
        </w:rPr>
        <w:t>。具体以招标文件第三部分采购需求为准，供应商可点击本公告下方“浏览采购文件”查看采购需求</w:t>
      </w:r>
      <w:r>
        <w:rPr>
          <w:rFonts w:hint="eastAsia"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72" w:firstLineChars="225"/>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合同履行期限：</w:t>
      </w:r>
      <w:r>
        <w:rPr>
          <w:rFonts w:hint="eastAsia" w:cs="宋体"/>
          <w:color w:val="auto"/>
          <w:sz w:val="21"/>
          <w:szCs w:val="21"/>
          <w:highlight w:val="none"/>
          <w:lang w:val="en-US" w:eastAsia="zh-CN"/>
        </w:rPr>
        <w:t>合同签订后60天内完成供货及安装。</w:t>
      </w:r>
    </w:p>
    <w:p>
      <w:pPr>
        <w:keepNext w:val="0"/>
        <w:keepLines w:val="0"/>
        <w:pageBreakBefore w:val="0"/>
        <w:widowControl w:val="0"/>
        <w:kinsoku/>
        <w:wordWrap/>
        <w:overflowPunct/>
        <w:topLinePunct w:val="0"/>
        <w:autoSpaceDE/>
        <w:autoSpaceDN/>
        <w:bidi w:val="0"/>
        <w:spacing w:line="360" w:lineRule="auto"/>
        <w:ind w:firstLine="472" w:firstLineChars="22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本项目不接受联合投标。</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b/>
          <w:bCs/>
        </w:rPr>
      </w:pPr>
      <w:bookmarkStart w:id="34" w:name="_Toc35393622"/>
      <w:bookmarkStart w:id="35" w:name="_Toc28359003"/>
      <w:bookmarkStart w:id="36" w:name="_Toc35393791"/>
      <w:bookmarkStart w:id="37" w:name="_Toc28359080"/>
      <w:r>
        <w:rPr>
          <w:rFonts w:hint="eastAsia" w:ascii="宋体" w:hAnsi="宋体" w:eastAsia="宋体"/>
          <w:b/>
          <w:bCs/>
        </w:rPr>
        <w:t>二、申请人的资格要求</w:t>
      </w:r>
      <w:bookmarkEnd w:id="34"/>
      <w:bookmarkEnd w:id="35"/>
      <w:bookmarkEnd w:id="36"/>
      <w:bookmarkEnd w:id="37"/>
    </w:p>
    <w:p>
      <w:pPr>
        <w:keepNext w:val="0"/>
        <w:keepLines w:val="0"/>
        <w:pageBreakBefore w:val="0"/>
        <w:widowControl w:val="0"/>
        <w:kinsoku/>
        <w:wordWrap/>
        <w:overflowPunct/>
        <w:topLinePunct w:val="0"/>
        <w:autoSpaceDE/>
        <w:autoSpaceDN/>
        <w:bidi w:val="0"/>
        <w:spacing w:line="360" w:lineRule="auto"/>
        <w:ind w:firstLine="472" w:firstLineChars="225"/>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w:t>
      </w:r>
      <w:r>
        <w:rPr>
          <w:rFonts w:hint="eastAsia" w:ascii="宋体" w:cs="宋体"/>
          <w:b w:val="0"/>
          <w:bCs w:val="0"/>
          <w:color w:val="auto"/>
          <w:highlight w:val="none"/>
        </w:rPr>
        <w:t>满足《中华人民共和国政府采购法》第二十二条规定</w:t>
      </w:r>
      <w:r>
        <w:rPr>
          <w:rFonts w:hint="eastAsia" w:ascii="宋体" w:cs="宋体"/>
          <w:b w:val="0"/>
          <w:bCs w:val="0"/>
          <w:color w:val="auto"/>
        </w:rPr>
        <w:t>，未被“信用中国”（www.creditchina.gov.cn）、中国政府采购网（www.ccgp.gov.cn）列入失信被执行人、重大税收违法案件当事人名单、政府采购严重违法失信行为记录名单</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spacing w:line="360" w:lineRule="auto"/>
        <w:ind w:firstLine="472" w:firstLineChars="225"/>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落实政府采购政策需满足的资格要求：专门面向中小企业</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rPr>
        <w:t>，即货物全部由符合政策要求的中小企业制造，提供中小企业声明函</w:t>
      </w:r>
      <w:r>
        <w:rPr>
          <w:rFonts w:hint="eastAsia"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72" w:firstLineChars="225"/>
        <w:textAlignment w:val="auto"/>
        <w:rPr>
          <w:rFonts w:hint="eastAsia" w:ascii="宋体" w:hAnsi="宋体" w:eastAsia="宋体" w:cs="宋体"/>
          <w:b w:val="0"/>
          <w:bCs w:val="0"/>
          <w:color w:val="auto"/>
          <w:sz w:val="21"/>
          <w:szCs w:val="21"/>
          <w:highlight w:val="none"/>
          <w:lang w:val="en-US" w:eastAsia="zh-CN"/>
        </w:rPr>
      </w:pPr>
      <w:r>
        <w:rPr>
          <w:rFonts w:hint="eastAsia" w:cs="宋体"/>
          <w:color w:val="auto"/>
          <w:sz w:val="21"/>
          <w:szCs w:val="21"/>
          <w:highlight w:val="none"/>
          <w:lang w:val="en-US" w:eastAsia="zh-CN"/>
        </w:rPr>
        <w:t>3.</w:t>
      </w:r>
      <w:r>
        <w:rPr>
          <w:rFonts w:hint="eastAsia" w:ascii="宋体" w:hAnsi="宋体" w:eastAsia="宋体" w:cs="宋体"/>
          <w:b w:val="0"/>
          <w:bCs w:val="0"/>
          <w:color w:val="auto"/>
          <w:sz w:val="21"/>
          <w:szCs w:val="21"/>
          <w:highlight w:val="none"/>
        </w:rPr>
        <w:t>本项目的特定资格要求：</w:t>
      </w:r>
      <w:r>
        <w:rPr>
          <w:rFonts w:hint="eastAsia" w:ascii="宋体" w:hAnsi="宋体" w:eastAsia="宋体" w:cs="宋体"/>
          <w:b w:val="0"/>
          <w:bCs w:val="0"/>
          <w:color w:val="auto"/>
          <w:sz w:val="21"/>
          <w:szCs w:val="21"/>
          <w:highlight w:val="none"/>
          <w:lang w:val="en-US" w:eastAsia="zh-CN"/>
        </w:rPr>
        <w:t>无。</w:t>
      </w:r>
    </w:p>
    <w:p>
      <w:pPr>
        <w:keepNext w:val="0"/>
        <w:keepLines w:val="0"/>
        <w:pageBreakBefore w:val="0"/>
        <w:widowControl w:val="0"/>
        <w:kinsoku/>
        <w:wordWrap/>
        <w:overflowPunct/>
        <w:topLinePunct w:val="0"/>
        <w:autoSpaceDE/>
        <w:autoSpaceDN/>
        <w:bidi w:val="0"/>
        <w:spacing w:line="360" w:lineRule="auto"/>
        <w:ind w:firstLine="472" w:firstLineChars="225"/>
        <w:textAlignment w:val="auto"/>
        <w:rPr>
          <w:rFonts w:hint="default" w:ascii="宋体" w:hAnsi="宋体" w:eastAsia="宋体" w:cs="宋体"/>
          <w:b w:val="0"/>
          <w:bCs w:val="0"/>
          <w:color w:val="auto"/>
          <w:sz w:val="21"/>
          <w:szCs w:val="21"/>
          <w:highlight w:val="none"/>
          <w:lang w:val="en-US"/>
        </w:rPr>
      </w:pPr>
      <w:r>
        <w:rPr>
          <w:rFonts w:hint="eastAsia" w:cs="宋体"/>
          <w:b w:val="0"/>
          <w:bCs w:val="0"/>
          <w:color w:val="auto"/>
          <w:sz w:val="21"/>
          <w:szCs w:val="21"/>
          <w:highlight w:val="none"/>
          <w:lang w:val="en-US" w:eastAsia="zh-CN"/>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rPr>
      </w:pPr>
      <w:bookmarkStart w:id="38" w:name="_Toc35393623"/>
      <w:bookmarkStart w:id="39" w:name="_Toc35393792"/>
      <w:r>
        <w:rPr>
          <w:rFonts w:hint="eastAsia" w:ascii="宋体" w:hAnsi="宋体" w:eastAsia="宋体" w:cs="宋体"/>
          <w:b/>
          <w:bCs/>
          <w:sz w:val="21"/>
          <w:szCs w:val="21"/>
        </w:rPr>
        <w:t>三、获取</w:t>
      </w:r>
      <w:r>
        <w:rPr>
          <w:rFonts w:hint="eastAsia" w:ascii="宋体" w:hAnsi="宋体" w:eastAsia="宋体" w:cs="宋体"/>
          <w:b/>
          <w:bCs/>
          <w:sz w:val="21"/>
          <w:szCs w:val="21"/>
          <w:lang w:eastAsia="zh-CN"/>
        </w:rPr>
        <w:t>采购</w:t>
      </w:r>
      <w:r>
        <w:rPr>
          <w:rFonts w:hint="eastAsia" w:ascii="宋体" w:hAnsi="宋体" w:eastAsia="宋体" w:cs="宋体"/>
          <w:b/>
          <w:bCs/>
          <w:sz w:val="21"/>
          <w:szCs w:val="21"/>
        </w:rPr>
        <w:t>文件</w:t>
      </w:r>
      <w:bookmarkEnd w:id="38"/>
      <w:bookmarkEnd w:id="39"/>
    </w:p>
    <w:p>
      <w:pPr>
        <w:spacing w:line="360" w:lineRule="auto"/>
        <w:ind w:firstLine="420" w:firstLineChars="200"/>
        <w:rPr>
          <w:rFonts w:hint="eastAsia" w:ascii="宋体" w:hAnsi="宋体" w:eastAsia="宋体" w:cs="宋体"/>
          <w:sz w:val="21"/>
          <w:szCs w:val="21"/>
        </w:rPr>
      </w:pPr>
      <w:bookmarkStart w:id="40" w:name="_Toc28359005"/>
      <w:bookmarkStart w:id="41" w:name="_Toc35393624"/>
      <w:bookmarkStart w:id="42" w:name="_Toc35393793"/>
      <w:bookmarkStart w:id="43" w:name="_Toc28359082"/>
      <w:r>
        <w:rPr>
          <w:rFonts w:hint="eastAsia" w:ascii="宋体" w:hAnsi="宋体" w:eastAsia="宋体" w:cs="宋体"/>
          <w:b w:val="0"/>
          <w:bCs/>
          <w:sz w:val="21"/>
          <w:szCs w:val="21"/>
        </w:rPr>
        <w:t>时间：</w:t>
      </w:r>
      <w:r>
        <w:rPr>
          <w:rFonts w:hint="eastAsia" w:ascii="宋体" w:hAnsi="宋体" w:eastAsia="宋体" w:cs="宋体"/>
          <w:b w:val="0"/>
          <w:bCs/>
          <w:sz w:val="21"/>
          <w:szCs w:val="21"/>
          <w:u w:val="single"/>
          <w:lang w:val="en-US" w:eastAsia="zh-CN"/>
        </w:rPr>
        <w:t xml:space="preserve"> 即</w:t>
      </w:r>
      <w:r>
        <w:rPr>
          <w:rFonts w:hint="eastAsia" w:ascii="宋体" w:hAnsi="宋体" w:eastAsia="宋体" w:cs="宋体"/>
          <w:sz w:val="21"/>
          <w:szCs w:val="21"/>
          <w:u w:val="single"/>
        </w:rPr>
        <w:t>日起至投标截止时间前</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，每天上午00:00至12:00，下午12:00至23:59（北京时间，线上获取法定节假日均可，线下获取文件法定节假日除外</w:t>
      </w:r>
      <w:r>
        <w:rPr>
          <w:rFonts w:hint="eastAsia" w:ascii="宋体" w:hAnsi="宋体" w:eastAsia="宋体" w:cs="宋体"/>
          <w:sz w:val="21"/>
          <w:szCs w:val="21"/>
          <w:lang w:eastAsia="zh-CN"/>
        </w:rPr>
        <w:t>。</w:t>
      </w:r>
      <w:r>
        <w:rPr>
          <w:rFonts w:hint="eastAsia" w:ascii="宋体" w:hAnsi="宋体" w:eastAsia="宋体" w:cs="宋体"/>
          <w:sz w:val="21"/>
          <w:szCs w:val="21"/>
        </w:rPr>
        <w:t>）</w:t>
      </w:r>
    </w:p>
    <w:p>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 xml:space="preserve">地点（网址）：政采云平台（https://www.zcygov.cn/） </w:t>
      </w:r>
    </w:p>
    <w:p>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 xml:space="preserve">方式：供应商登录政采云平台https://www.zcygov.cn/在线申请获取采购文件（进入“项目采购”应用，在获取采购文件菜单中选择项目，申请获取采购文件）。 </w:t>
      </w:r>
    </w:p>
    <w:p>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 xml:space="preserve">售价（元）：0 </w:t>
      </w:r>
      <w:r>
        <w:rPr>
          <w:rFonts w:hint="eastAsia" w:ascii="宋体" w:hAnsi="宋体" w:eastAsia="宋体" w:cs="宋体"/>
          <w:b w:val="0"/>
          <w:bCs/>
          <w:sz w:val="21"/>
          <w:szCs w:val="21"/>
        </w:rPr>
        <w:tab/>
      </w:r>
    </w:p>
    <w:p>
      <w:pPr>
        <w:spacing w:line="360" w:lineRule="auto"/>
        <w:ind w:firstLine="422" w:firstLineChars="200"/>
        <w:rPr>
          <w:rFonts w:hint="eastAsia" w:ascii="宋体" w:hAnsi="宋体" w:eastAsia="宋体" w:cs="宋体"/>
          <w:b/>
          <w:sz w:val="21"/>
          <w:szCs w:val="21"/>
        </w:rPr>
      </w:pPr>
      <w:r>
        <w:rPr>
          <w:rFonts w:hint="eastAsia" w:ascii="宋体" w:hAnsi="宋体" w:eastAsia="宋体" w:cs="宋体"/>
          <w:b/>
          <w:sz w:val="21"/>
          <w:szCs w:val="21"/>
        </w:rPr>
        <w:t>四、提交投标文件截止时间、开标时间和地点</w:t>
      </w:r>
    </w:p>
    <w:p>
      <w:pPr>
        <w:spacing w:line="360" w:lineRule="auto"/>
        <w:ind w:firstLine="420" w:firstLineChars="20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提交投标文件截止时间：</w:t>
      </w:r>
      <w:r>
        <w:rPr>
          <w:rFonts w:hint="eastAsia" w:ascii="宋体" w:hAnsi="宋体" w:eastAsia="宋体" w:cs="宋体"/>
          <w:b w:val="0"/>
          <w:bCs/>
          <w:color w:val="auto"/>
          <w:sz w:val="21"/>
          <w:szCs w:val="21"/>
          <w:u w:val="single"/>
        </w:rPr>
        <w:t xml:space="preserve"> 202</w:t>
      </w:r>
      <w:r>
        <w:rPr>
          <w:rFonts w:hint="eastAsia" w:ascii="宋体" w:hAnsi="宋体" w:eastAsia="宋体" w:cs="宋体"/>
          <w:b w:val="0"/>
          <w:bCs/>
          <w:color w:val="auto"/>
          <w:sz w:val="21"/>
          <w:szCs w:val="21"/>
          <w:u w:val="single"/>
          <w:lang w:val="en-US" w:eastAsia="zh-CN"/>
        </w:rPr>
        <w:t>3</w:t>
      </w:r>
      <w:r>
        <w:rPr>
          <w:rFonts w:hint="eastAsia" w:ascii="宋体" w:hAnsi="宋体" w:eastAsia="宋体" w:cs="宋体"/>
          <w:b w:val="0"/>
          <w:bCs/>
          <w:color w:val="auto"/>
          <w:sz w:val="21"/>
          <w:szCs w:val="21"/>
          <w:u w:val="single"/>
        </w:rPr>
        <w:t>年</w:t>
      </w:r>
      <w:r>
        <w:rPr>
          <w:rFonts w:hint="eastAsia" w:ascii="宋体" w:hAnsi="宋体" w:eastAsia="宋体" w:cs="宋体"/>
          <w:b w:val="0"/>
          <w:bCs/>
          <w:color w:val="auto"/>
          <w:sz w:val="21"/>
          <w:szCs w:val="21"/>
          <w:u w:val="single"/>
          <w:lang w:val="en-US" w:eastAsia="zh-CN"/>
        </w:rPr>
        <w:t>04</w:t>
      </w:r>
      <w:r>
        <w:rPr>
          <w:rFonts w:hint="eastAsia" w:ascii="宋体" w:hAnsi="宋体" w:eastAsia="宋体" w:cs="宋体"/>
          <w:b w:val="0"/>
          <w:bCs/>
          <w:color w:val="auto"/>
          <w:sz w:val="21"/>
          <w:szCs w:val="21"/>
          <w:u w:val="single"/>
        </w:rPr>
        <w:t>月</w:t>
      </w:r>
      <w:r>
        <w:rPr>
          <w:rFonts w:hint="eastAsia" w:ascii="宋体" w:hAnsi="宋体" w:eastAsia="宋体" w:cs="宋体"/>
          <w:b w:val="0"/>
          <w:bCs/>
          <w:color w:val="auto"/>
          <w:sz w:val="21"/>
          <w:szCs w:val="21"/>
          <w:u w:val="single"/>
          <w:lang w:val="en-US" w:eastAsia="zh-CN"/>
        </w:rPr>
        <w:t>04</w:t>
      </w:r>
      <w:r>
        <w:rPr>
          <w:rFonts w:hint="eastAsia" w:ascii="宋体" w:hAnsi="宋体" w:eastAsia="宋体" w:cs="宋体"/>
          <w:b w:val="0"/>
          <w:bCs/>
          <w:color w:val="auto"/>
          <w:sz w:val="21"/>
          <w:szCs w:val="21"/>
          <w:u w:val="single"/>
        </w:rPr>
        <w:t>日</w:t>
      </w:r>
      <w:r>
        <w:rPr>
          <w:rFonts w:hint="eastAsia" w:ascii="宋体" w:hAnsi="宋体" w:eastAsia="宋体" w:cs="宋体"/>
          <w:b w:val="0"/>
          <w:bCs/>
          <w:color w:val="auto"/>
          <w:sz w:val="21"/>
          <w:szCs w:val="21"/>
          <w:u w:val="single"/>
          <w:lang w:val="en-US" w:eastAsia="zh-CN"/>
        </w:rPr>
        <w:t>14</w:t>
      </w:r>
      <w:r>
        <w:rPr>
          <w:rFonts w:hint="eastAsia" w:ascii="宋体" w:hAnsi="宋体" w:eastAsia="宋体" w:cs="宋体"/>
          <w:b w:val="0"/>
          <w:bCs/>
          <w:color w:val="auto"/>
          <w:sz w:val="21"/>
          <w:szCs w:val="21"/>
          <w:u w:val="single"/>
        </w:rPr>
        <w:t>点</w:t>
      </w:r>
      <w:r>
        <w:rPr>
          <w:rFonts w:hint="eastAsia" w:ascii="宋体" w:hAnsi="宋体" w:eastAsia="宋体" w:cs="宋体"/>
          <w:b w:val="0"/>
          <w:bCs/>
          <w:color w:val="auto"/>
          <w:sz w:val="21"/>
          <w:szCs w:val="21"/>
          <w:u w:val="single"/>
          <w:lang w:val="en-US" w:eastAsia="zh-CN"/>
        </w:rPr>
        <w:t>00</w:t>
      </w:r>
      <w:r>
        <w:rPr>
          <w:rFonts w:hint="eastAsia" w:ascii="宋体" w:hAnsi="宋体" w:eastAsia="宋体" w:cs="宋体"/>
          <w:b w:val="0"/>
          <w:bCs/>
          <w:color w:val="auto"/>
          <w:sz w:val="21"/>
          <w:szCs w:val="21"/>
          <w:u w:val="single"/>
        </w:rPr>
        <w:t>分00秒</w:t>
      </w:r>
      <w:r>
        <w:rPr>
          <w:rFonts w:hint="eastAsia" w:ascii="宋体" w:hAnsi="宋体" w:eastAsia="宋体" w:cs="宋体"/>
          <w:b w:val="0"/>
          <w:bCs/>
          <w:color w:val="auto"/>
          <w:sz w:val="21"/>
          <w:szCs w:val="21"/>
        </w:rPr>
        <w:t>（北京时间）</w:t>
      </w:r>
    </w:p>
    <w:p>
      <w:pPr>
        <w:spacing w:line="360" w:lineRule="auto"/>
        <w:ind w:firstLine="420" w:firstLineChars="20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投标地点（网址）：政采云平台（https://www.zcygov.cn/） </w:t>
      </w:r>
    </w:p>
    <w:p>
      <w:pPr>
        <w:spacing w:line="360" w:lineRule="auto"/>
        <w:ind w:firstLine="420" w:firstLineChars="200"/>
        <w:rPr>
          <w:rFonts w:hint="eastAsia" w:ascii="宋体" w:hAnsi="宋体" w:eastAsia="宋体" w:cs="宋体"/>
          <w:b w:val="0"/>
          <w:bCs/>
          <w:color w:val="auto"/>
          <w:sz w:val="21"/>
          <w:szCs w:val="21"/>
          <w:u w:val="single"/>
        </w:rPr>
      </w:pPr>
      <w:r>
        <w:rPr>
          <w:rFonts w:hint="eastAsia" w:ascii="宋体" w:hAnsi="宋体" w:eastAsia="宋体" w:cs="宋体"/>
          <w:b w:val="0"/>
          <w:bCs/>
          <w:color w:val="auto"/>
          <w:sz w:val="21"/>
          <w:szCs w:val="21"/>
        </w:rPr>
        <w:t>开标时间：</w:t>
      </w:r>
      <w:r>
        <w:rPr>
          <w:rFonts w:hint="eastAsia" w:ascii="宋体" w:hAnsi="宋体" w:eastAsia="宋体" w:cs="宋体"/>
          <w:b w:val="0"/>
          <w:bCs/>
          <w:color w:val="auto"/>
          <w:sz w:val="21"/>
          <w:szCs w:val="21"/>
          <w:u w:val="single"/>
        </w:rPr>
        <w:t>202</w:t>
      </w:r>
      <w:r>
        <w:rPr>
          <w:rFonts w:hint="eastAsia" w:ascii="宋体" w:hAnsi="宋体" w:eastAsia="宋体" w:cs="宋体"/>
          <w:b w:val="0"/>
          <w:bCs/>
          <w:color w:val="auto"/>
          <w:sz w:val="21"/>
          <w:szCs w:val="21"/>
          <w:u w:val="single"/>
          <w:lang w:val="en-US" w:eastAsia="zh-CN"/>
        </w:rPr>
        <w:t>3</w:t>
      </w:r>
      <w:r>
        <w:rPr>
          <w:rFonts w:hint="eastAsia" w:ascii="宋体" w:hAnsi="宋体" w:eastAsia="宋体" w:cs="宋体"/>
          <w:b w:val="0"/>
          <w:bCs/>
          <w:color w:val="auto"/>
          <w:sz w:val="21"/>
          <w:szCs w:val="21"/>
          <w:u w:val="single"/>
        </w:rPr>
        <w:t>年</w:t>
      </w:r>
      <w:r>
        <w:rPr>
          <w:rFonts w:hint="eastAsia" w:ascii="宋体" w:hAnsi="宋体" w:eastAsia="宋体" w:cs="宋体"/>
          <w:b w:val="0"/>
          <w:bCs/>
          <w:color w:val="auto"/>
          <w:sz w:val="21"/>
          <w:szCs w:val="21"/>
          <w:u w:val="single"/>
          <w:lang w:val="en-US" w:eastAsia="zh-CN"/>
        </w:rPr>
        <w:t>04</w:t>
      </w:r>
      <w:r>
        <w:rPr>
          <w:rFonts w:hint="eastAsia" w:ascii="宋体" w:hAnsi="宋体" w:eastAsia="宋体" w:cs="宋体"/>
          <w:b w:val="0"/>
          <w:bCs/>
          <w:color w:val="auto"/>
          <w:sz w:val="21"/>
          <w:szCs w:val="21"/>
          <w:u w:val="single"/>
        </w:rPr>
        <w:t>月</w:t>
      </w:r>
      <w:r>
        <w:rPr>
          <w:rFonts w:hint="eastAsia" w:ascii="宋体" w:hAnsi="宋体" w:eastAsia="宋体" w:cs="宋体"/>
          <w:b w:val="0"/>
          <w:bCs/>
          <w:color w:val="auto"/>
          <w:sz w:val="21"/>
          <w:szCs w:val="21"/>
          <w:u w:val="single"/>
          <w:lang w:val="en-US" w:eastAsia="zh-CN"/>
        </w:rPr>
        <w:t>04</w:t>
      </w:r>
      <w:r>
        <w:rPr>
          <w:rFonts w:hint="eastAsia" w:ascii="宋体" w:hAnsi="宋体" w:eastAsia="宋体" w:cs="宋体"/>
          <w:b w:val="0"/>
          <w:bCs/>
          <w:color w:val="auto"/>
          <w:sz w:val="21"/>
          <w:szCs w:val="21"/>
          <w:u w:val="single"/>
        </w:rPr>
        <w:t>日</w:t>
      </w:r>
      <w:r>
        <w:rPr>
          <w:rFonts w:hint="eastAsia" w:ascii="宋体" w:hAnsi="宋体" w:eastAsia="宋体" w:cs="宋体"/>
          <w:b w:val="0"/>
          <w:bCs/>
          <w:color w:val="auto"/>
          <w:sz w:val="21"/>
          <w:szCs w:val="21"/>
          <w:u w:val="single"/>
          <w:lang w:val="en-US" w:eastAsia="zh-CN"/>
        </w:rPr>
        <w:t>14</w:t>
      </w:r>
      <w:r>
        <w:rPr>
          <w:rFonts w:hint="eastAsia" w:ascii="宋体" w:hAnsi="宋体" w:eastAsia="宋体" w:cs="宋体"/>
          <w:b w:val="0"/>
          <w:bCs/>
          <w:color w:val="auto"/>
          <w:sz w:val="21"/>
          <w:szCs w:val="21"/>
          <w:u w:val="single"/>
        </w:rPr>
        <w:t>点</w:t>
      </w:r>
      <w:r>
        <w:rPr>
          <w:rFonts w:hint="eastAsia" w:ascii="宋体" w:hAnsi="宋体" w:eastAsia="宋体" w:cs="宋体"/>
          <w:b w:val="0"/>
          <w:bCs/>
          <w:color w:val="auto"/>
          <w:sz w:val="21"/>
          <w:szCs w:val="21"/>
          <w:u w:val="single"/>
          <w:lang w:val="en-US" w:eastAsia="zh-CN"/>
        </w:rPr>
        <w:t>00</w:t>
      </w:r>
      <w:r>
        <w:rPr>
          <w:rFonts w:hint="eastAsia" w:ascii="宋体" w:hAnsi="宋体" w:eastAsia="宋体" w:cs="宋体"/>
          <w:b w:val="0"/>
          <w:bCs/>
          <w:color w:val="auto"/>
          <w:sz w:val="21"/>
          <w:szCs w:val="21"/>
          <w:u w:val="single"/>
        </w:rPr>
        <w:t>分00秒</w:t>
      </w:r>
    </w:p>
    <w:p>
      <w:pPr>
        <w:spacing w:line="360" w:lineRule="auto"/>
        <w:ind w:firstLine="420" w:firstLineChars="200"/>
        <w:rPr>
          <w:rFonts w:hint="eastAsia" w:ascii="宋体" w:hAnsi="宋体" w:eastAsia="宋体" w:cs="宋体"/>
          <w:b w:val="0"/>
          <w:bCs/>
          <w:sz w:val="21"/>
          <w:szCs w:val="21"/>
        </w:rPr>
      </w:pPr>
      <w:r>
        <w:rPr>
          <w:rFonts w:hint="eastAsia" w:ascii="宋体" w:hAnsi="宋体" w:eastAsia="宋体" w:cs="宋体"/>
          <w:b w:val="0"/>
          <w:bCs/>
          <w:sz w:val="21"/>
          <w:szCs w:val="21"/>
        </w:rPr>
        <w:t>开标地点（网址）：政采云平台（https://www.zcygov.cn/）</w:t>
      </w:r>
    </w:p>
    <w:p>
      <w:pPr>
        <w:spacing w:line="360" w:lineRule="auto"/>
        <w:ind w:firstLine="422" w:firstLineChars="200"/>
        <w:rPr>
          <w:rFonts w:hint="eastAsia" w:ascii="宋体" w:hAnsi="宋体" w:eastAsia="宋体" w:cs="宋体"/>
          <w:sz w:val="21"/>
          <w:szCs w:val="21"/>
        </w:rPr>
      </w:pPr>
      <w:r>
        <w:rPr>
          <w:rFonts w:hint="eastAsia" w:ascii="宋体" w:hAnsi="宋体" w:eastAsia="宋体" w:cs="宋体"/>
          <w:b/>
          <w:sz w:val="21"/>
          <w:szCs w:val="21"/>
        </w:rPr>
        <w:t xml:space="preserve">五、公告期限 </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自本公告发布之日起5个工作日。</w:t>
      </w:r>
    </w:p>
    <w:p>
      <w:pPr>
        <w:spacing w:line="360" w:lineRule="auto"/>
        <w:ind w:firstLine="422" w:firstLineChars="200"/>
        <w:rPr>
          <w:rFonts w:hint="eastAsia" w:ascii="宋体" w:hAnsi="宋体" w:eastAsia="宋体" w:cs="宋体"/>
          <w:b/>
          <w:sz w:val="21"/>
          <w:szCs w:val="21"/>
        </w:rPr>
      </w:pPr>
      <w:r>
        <w:rPr>
          <w:rFonts w:hint="eastAsia" w:ascii="宋体" w:hAnsi="宋体" w:eastAsia="宋体" w:cs="宋体"/>
          <w:b/>
          <w:sz w:val="21"/>
          <w:szCs w:val="21"/>
        </w:rPr>
        <w:t>六、其他补充事宜</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keepNext w:val="0"/>
        <w:keepLines w:val="0"/>
        <w:pageBreakBefore w:val="0"/>
        <w:widowControl w:val="0"/>
        <w:kinsoku/>
        <w:wordWrap/>
        <w:overflowPunct/>
        <w:topLinePunct w:val="0"/>
        <w:autoSpaceDE/>
        <w:autoSpaceDN/>
        <w:bidi w:val="0"/>
        <w:spacing w:line="360" w:lineRule="auto"/>
        <w:ind w:firstLine="472" w:firstLineChars="225"/>
        <w:textAlignment w:val="auto"/>
        <w:rPr>
          <w:rFonts w:hint="eastAsia" w:ascii="宋体" w:hAnsi="宋体" w:eastAsia="宋体" w:cs="宋体"/>
          <w:sz w:val="21"/>
          <w:szCs w:val="21"/>
        </w:rPr>
      </w:pPr>
      <w:r>
        <w:rPr>
          <w:rFonts w:hint="eastAsia" w:ascii="宋体" w:hAnsi="宋体" w:eastAsia="宋体" w:cs="宋体"/>
          <w:sz w:val="21"/>
          <w:szCs w:val="21"/>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eastAsia="宋体" w:cs="宋体"/>
          <w:sz w:val="21"/>
          <w:szCs w:val="21"/>
          <w:lang w:eastAsia="zh-CN"/>
        </w:rPr>
        <w:t>采购代理机构</w:t>
      </w:r>
      <w:r>
        <w:rPr>
          <w:rFonts w:hint="eastAsia" w:ascii="宋体" w:hAnsi="宋体" w:eastAsia="宋体" w:cs="宋体"/>
          <w:sz w:val="21"/>
          <w:szCs w:val="21"/>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w:t>
      </w:r>
      <w:r>
        <w:rPr>
          <w:rFonts w:hint="eastAsia" w:ascii="宋体" w:hAnsi="宋体" w:eastAsia="宋体" w:cs="宋体"/>
          <w:sz w:val="21"/>
          <w:szCs w:val="21"/>
          <w:lang w:eastAsia="zh-CN"/>
        </w:rPr>
        <w:t>供应商</w:t>
      </w:r>
      <w:r>
        <w:rPr>
          <w:rFonts w:hint="eastAsia" w:ascii="宋体" w:hAnsi="宋体" w:eastAsia="宋体" w:cs="宋体"/>
          <w:sz w:val="21"/>
          <w:szCs w:val="21"/>
        </w:rPr>
        <w:t>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w:t>
      </w:r>
      <w:r>
        <w:rPr>
          <w:rFonts w:hint="eastAsia" w:ascii="宋体" w:hAnsi="宋体" w:eastAsia="宋体" w:cs="宋体"/>
          <w:sz w:val="21"/>
          <w:szCs w:val="21"/>
          <w:lang w:eastAsia="zh-CN"/>
        </w:rPr>
        <w:t>供应商</w:t>
      </w:r>
      <w:r>
        <w:rPr>
          <w:rFonts w:hint="eastAsia" w:ascii="宋体" w:hAnsi="宋体" w:eastAsia="宋体" w:cs="宋体"/>
          <w:sz w:val="21"/>
          <w:szCs w:val="21"/>
        </w:rPr>
        <w:t>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w:t>
      </w:r>
      <w:r>
        <w:rPr>
          <w:rFonts w:hint="eastAsia" w:ascii="宋体" w:hAnsi="宋体" w:eastAsia="宋体" w:cs="宋体"/>
          <w:sz w:val="21"/>
          <w:szCs w:val="21"/>
          <w:lang w:eastAsia="zh-CN"/>
        </w:rPr>
        <w:t>供应商</w:t>
      </w:r>
      <w:r>
        <w:rPr>
          <w:rFonts w:hint="eastAsia" w:ascii="宋体" w:hAnsi="宋体" w:eastAsia="宋体" w:cs="宋体"/>
          <w:sz w:val="21"/>
          <w:szCs w:val="21"/>
        </w:rPr>
        <w:t>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bookmarkEnd w:id="40"/>
    <w:bookmarkEnd w:id="41"/>
    <w:bookmarkEnd w:id="42"/>
    <w:bookmarkEnd w:id="43"/>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rPr>
      </w:pPr>
      <w:bookmarkStart w:id="44" w:name="_Toc28359008"/>
      <w:bookmarkStart w:id="45" w:name="_Toc35393627"/>
      <w:bookmarkStart w:id="46" w:name="_Toc35393796"/>
      <w:bookmarkStart w:id="47" w:name="_Toc28359085"/>
      <w:r>
        <w:rPr>
          <w:rFonts w:hint="eastAsia" w:ascii="宋体" w:hAnsi="宋体" w:eastAsia="宋体" w:cs="宋体"/>
          <w:b/>
          <w:bCs/>
          <w:sz w:val="21"/>
          <w:szCs w:val="21"/>
          <w:lang w:val="en-US" w:eastAsia="zh-CN"/>
        </w:rPr>
        <w:t>七</w:t>
      </w:r>
      <w:r>
        <w:rPr>
          <w:rFonts w:hint="eastAsia" w:ascii="宋体" w:hAnsi="宋体" w:eastAsia="宋体" w:cs="宋体"/>
          <w:b/>
          <w:bCs/>
          <w:sz w:val="21"/>
          <w:szCs w:val="21"/>
        </w:rPr>
        <w:t>、对本次</w:t>
      </w:r>
      <w:r>
        <w:rPr>
          <w:rFonts w:hint="eastAsia" w:ascii="宋体" w:hAnsi="宋体" w:eastAsia="宋体" w:cs="宋体"/>
          <w:b/>
          <w:bCs/>
          <w:sz w:val="21"/>
          <w:szCs w:val="21"/>
          <w:lang w:eastAsia="zh-CN"/>
        </w:rPr>
        <w:t>采购</w:t>
      </w:r>
      <w:r>
        <w:rPr>
          <w:rFonts w:hint="eastAsia" w:ascii="宋体" w:hAnsi="宋体" w:eastAsia="宋体" w:cs="宋体"/>
          <w:b/>
          <w:bCs/>
          <w:sz w:val="21"/>
          <w:szCs w:val="21"/>
        </w:rPr>
        <w:t>提出询问，请按以下方式联系</w:t>
      </w:r>
      <w:bookmarkEnd w:id="44"/>
      <w:bookmarkEnd w:id="45"/>
      <w:bookmarkEnd w:id="46"/>
      <w:bookmarkEnd w:id="47"/>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采购人信息</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名</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称：</w:t>
      </w:r>
      <w:r>
        <w:rPr>
          <w:rFonts w:hint="eastAsia" w:ascii="宋体" w:hAnsi="宋体" w:eastAsia="宋体" w:cs="宋体"/>
          <w:color w:val="auto"/>
          <w:sz w:val="21"/>
          <w:szCs w:val="21"/>
          <w:highlight w:val="none"/>
          <w:lang w:val="en-US" w:eastAsia="zh-CN"/>
        </w:rPr>
        <w:t>金华市婺城区康复医院</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址：</w:t>
      </w:r>
      <w:r>
        <w:rPr>
          <w:rFonts w:hint="eastAsia" w:ascii="宋体" w:hAnsi="宋体" w:eastAsia="宋体" w:cs="宋体"/>
          <w:color w:val="auto"/>
          <w:sz w:val="21"/>
          <w:szCs w:val="21"/>
          <w:highlight w:val="none"/>
          <w:lang w:eastAsia="zh-CN"/>
        </w:rPr>
        <w:t>金华市婺城新区白龙桥镇十二局基地</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联系人：</w:t>
      </w:r>
      <w:r>
        <w:rPr>
          <w:rFonts w:hint="eastAsia" w:ascii="宋体" w:hAnsi="宋体" w:eastAsia="宋体" w:cs="宋体"/>
          <w:sz w:val="21"/>
          <w:szCs w:val="21"/>
          <w:lang w:val="en-US" w:eastAsia="zh-CN"/>
        </w:rPr>
        <w:t>周先生</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sz w:val="21"/>
          <w:szCs w:val="21"/>
          <w:lang w:val="en-US" w:eastAsia="zh-CN"/>
        </w:rPr>
        <w:t>13505799403</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采购代理机构信息</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名</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称：</w:t>
      </w:r>
      <w:r>
        <w:rPr>
          <w:rFonts w:hint="eastAsia" w:ascii="宋体" w:hAnsi="宋体" w:eastAsia="宋体" w:cs="宋体"/>
          <w:color w:val="auto"/>
          <w:sz w:val="21"/>
          <w:szCs w:val="21"/>
          <w:highlight w:val="none"/>
          <w:lang w:eastAsia="zh-CN"/>
        </w:rPr>
        <w:t>中冠工程管理咨询有限公司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址：</w:t>
      </w:r>
      <w:r>
        <w:rPr>
          <w:rFonts w:hint="eastAsia" w:ascii="宋体" w:hAnsi="宋体" w:eastAsia="宋体" w:cs="宋体"/>
          <w:color w:val="auto"/>
          <w:sz w:val="21"/>
          <w:szCs w:val="21"/>
          <w:highlight w:val="none"/>
          <w:lang w:eastAsia="zh-CN"/>
        </w:rPr>
        <w:t>金华市婺州街929号510室</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联系人：</w:t>
      </w:r>
      <w:r>
        <w:rPr>
          <w:rFonts w:hint="eastAsia" w:ascii="宋体" w:hAnsi="宋体" w:eastAsia="宋体" w:cs="宋体"/>
          <w:sz w:val="21"/>
          <w:szCs w:val="21"/>
          <w:lang w:val="en-US" w:eastAsia="zh-CN"/>
        </w:rPr>
        <w:t>楼女士、滕女士</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联系电话：</w:t>
      </w:r>
      <w:bookmarkStart w:id="48" w:name="_Toc28359010"/>
      <w:bookmarkStart w:id="49" w:name="_Toc28359087"/>
      <w:r>
        <w:rPr>
          <w:rFonts w:hint="eastAsia" w:ascii="宋体" w:hAnsi="宋体" w:eastAsia="宋体" w:cs="宋体"/>
          <w:color w:val="auto"/>
          <w:sz w:val="21"/>
          <w:szCs w:val="21"/>
          <w:highlight w:val="none"/>
          <w:lang w:val="en-US" w:eastAsia="zh-CN"/>
        </w:rPr>
        <w:t>0579-82169277</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项目质疑联系方式</w:t>
      </w:r>
      <w:bookmarkEnd w:id="48"/>
      <w:bookmarkEnd w:id="49"/>
      <w:r>
        <w:rPr>
          <w:rFonts w:hint="eastAsia" w:ascii="宋体" w:hAnsi="宋体" w:eastAsia="宋体" w:cs="宋体"/>
          <w:color w:val="auto"/>
          <w:sz w:val="21"/>
          <w:szCs w:val="21"/>
          <w:highlight w:val="none"/>
          <w:lang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质疑联系人：</w:t>
      </w:r>
      <w:r>
        <w:rPr>
          <w:rFonts w:hint="eastAsia" w:ascii="宋体" w:hAnsi="宋体" w:eastAsia="宋体" w:cs="宋体"/>
          <w:color w:val="auto"/>
          <w:sz w:val="21"/>
          <w:szCs w:val="21"/>
          <w:highlight w:val="none"/>
          <w:lang w:val="en-US" w:eastAsia="zh-CN"/>
        </w:rPr>
        <w:t>黄先生          联系电话：</w:t>
      </w:r>
      <w:r>
        <w:rPr>
          <w:rFonts w:hint="eastAsia" w:ascii="宋体" w:hAnsi="宋体" w:eastAsia="宋体" w:cs="宋体"/>
          <w:color w:val="auto"/>
          <w:sz w:val="21"/>
          <w:szCs w:val="21"/>
          <w:highlight w:val="none"/>
          <w:lang w:eastAsia="zh-CN"/>
        </w:rPr>
        <w:t>0579-</w:t>
      </w:r>
      <w:r>
        <w:rPr>
          <w:rFonts w:hint="eastAsia" w:ascii="宋体" w:hAnsi="宋体" w:eastAsia="宋体" w:cs="宋体"/>
          <w:color w:val="auto"/>
          <w:sz w:val="21"/>
          <w:szCs w:val="21"/>
          <w:highlight w:val="none"/>
          <w:lang w:val="en-US" w:eastAsia="zh-CN"/>
        </w:rPr>
        <w:t>82169239</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投诉举报人：</w:t>
      </w:r>
      <w:r>
        <w:rPr>
          <w:rFonts w:hint="eastAsia" w:ascii="宋体" w:hAnsi="宋体" w:eastAsia="宋体" w:cs="宋体"/>
          <w:color w:val="auto"/>
          <w:sz w:val="21"/>
          <w:szCs w:val="21"/>
          <w:highlight w:val="none"/>
          <w:lang w:val="en-US" w:eastAsia="zh-CN"/>
        </w:rPr>
        <w:t>黄先生          联系电话：</w:t>
      </w:r>
      <w:r>
        <w:rPr>
          <w:rFonts w:hint="eastAsia" w:ascii="宋体" w:hAnsi="宋体" w:eastAsia="宋体" w:cs="宋体"/>
          <w:color w:val="auto"/>
          <w:sz w:val="21"/>
          <w:szCs w:val="21"/>
          <w:highlight w:val="none"/>
          <w:lang w:eastAsia="zh-CN"/>
        </w:rPr>
        <w:t>0579-</w:t>
      </w:r>
      <w:r>
        <w:rPr>
          <w:rFonts w:hint="eastAsia" w:ascii="宋体" w:hAnsi="宋体" w:eastAsia="宋体" w:cs="宋体"/>
          <w:color w:val="auto"/>
          <w:sz w:val="21"/>
          <w:szCs w:val="21"/>
          <w:highlight w:val="none"/>
          <w:lang w:val="en-US" w:eastAsia="zh-CN"/>
        </w:rPr>
        <w:t>82169239</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rPr>
        <w:t>政府采购行政监管及投诉受理部门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名  称：</w:t>
      </w:r>
      <w:r>
        <w:rPr>
          <w:rFonts w:hint="eastAsia" w:ascii="宋体" w:hAnsi="宋体" w:eastAsia="宋体" w:cs="宋体"/>
          <w:color w:val="auto"/>
          <w:sz w:val="21"/>
          <w:szCs w:val="21"/>
          <w:highlight w:val="none"/>
          <w:lang w:eastAsia="zh-CN"/>
        </w:rPr>
        <w:t>金华市</w:t>
      </w:r>
      <w:r>
        <w:rPr>
          <w:rFonts w:hint="eastAsia" w:ascii="宋体" w:hAnsi="宋体" w:eastAsia="宋体" w:cs="宋体"/>
          <w:color w:val="auto"/>
          <w:sz w:val="21"/>
          <w:szCs w:val="21"/>
          <w:highlight w:val="none"/>
          <w:lang w:val="en-US" w:eastAsia="zh-CN"/>
        </w:rPr>
        <w:t>婺城区</w:t>
      </w:r>
      <w:r>
        <w:rPr>
          <w:rFonts w:hint="eastAsia" w:ascii="宋体" w:hAnsi="宋体" w:eastAsia="宋体" w:cs="宋体"/>
          <w:color w:val="auto"/>
          <w:sz w:val="21"/>
          <w:szCs w:val="21"/>
          <w:highlight w:val="none"/>
          <w:lang w:eastAsia="zh-CN"/>
        </w:rPr>
        <w:t>财政局政府采购监管科</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lang w:val="en-US" w:eastAsia="zh-CN"/>
        </w:rPr>
        <w:t xml:space="preserve">陈女士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lang w:eastAsia="zh-CN"/>
        </w:rPr>
        <w:t>0579-82487292</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b/>
          <w:bCs/>
          <w:lang w:val="en-US" w:eastAsia="zh-CN"/>
        </w:rPr>
      </w:pPr>
      <w:r>
        <w:rPr>
          <w:rFonts w:hint="eastAsia" w:ascii="宋体" w:hAnsi="宋体" w:eastAsia="宋体"/>
          <w:b/>
          <w:bCs/>
          <w:lang w:val="en-US" w:eastAsia="zh-CN"/>
        </w:rPr>
        <w:t>八、电子标系统咨询</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若对项目采购电子交易系统操作有疑问，可登录政采云（https://www.zcygov.cn/），点击右侧咨询小采，获取采小蜜智能服务管家帮助，或拨打政采云服务热线95763获取热线服务帮助。CA问题联系电话（人工）：汇信CA 400-888-4636；天谷CA 400-087-8198。</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b/>
          <w:bCs/>
          <w:lang w:val="en-US" w:eastAsia="zh-CN"/>
        </w:rPr>
      </w:pPr>
      <w:r>
        <w:rPr>
          <w:rFonts w:hint="eastAsia" w:ascii="宋体" w:hAnsi="宋体" w:eastAsia="宋体"/>
          <w:b/>
          <w:bCs/>
          <w:lang w:val="en-US" w:eastAsia="zh-CN"/>
        </w:rPr>
        <w:t>九、政府采购金融服务提示</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为扩大政府采购金融服务面，除政采云网上金融服务合作银行外，金华市范围增加线下合作银行两家，具体信息如下：</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金华银行文创支行     联系人：姜峰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联系电话：13905792828/0579-82479020</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浙商银行金华分行     联系人：朱晨祥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联系电话：15857978811/0579-82999581  </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b/>
          <w:bCs/>
          <w:lang w:val="en-US" w:eastAsia="zh-CN"/>
        </w:rPr>
      </w:pPr>
      <w:r>
        <w:rPr>
          <w:rFonts w:hint="eastAsia" w:ascii="宋体" w:hAnsi="宋体" w:eastAsia="宋体"/>
          <w:b/>
          <w:bCs/>
          <w:lang w:val="en-US" w:eastAsia="zh-CN"/>
        </w:rPr>
        <w:t>十、企业信用融资</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s="宋体"/>
          <w:color w:val="auto"/>
          <w:sz w:val="21"/>
          <w:szCs w:val="21"/>
          <w:highlight w:val="none"/>
          <w:lang w:val="en-US" w:eastAsia="zh-CN"/>
        </w:rPr>
        <w:sectPr>
          <w:footerReference r:id="rId14" w:type="first"/>
          <w:footerReference r:id="rId13" w:type="default"/>
          <w:pgSz w:w="11905" w:h="16838"/>
          <w:pgMar w:top="1417" w:right="1417" w:bottom="1417" w:left="1417" w:header="851" w:footer="992" w:gutter="0"/>
          <w:pgNumType w:fmt="decimal" w:start="1"/>
          <w:cols w:space="0" w:num="1"/>
          <w:titlePg/>
          <w:rtlGutter w:val="0"/>
          <w:docGrid w:linePitch="312" w:charSpace="0"/>
        </w:sectPr>
      </w:pPr>
      <w:r>
        <w:rPr>
          <w:rFonts w:hint="eastAsia" w:ascii="宋体" w:hAnsi="宋体" w:eastAsia="宋体" w:cs="宋体"/>
          <w:color w:val="auto"/>
          <w:sz w:val="21"/>
          <w:szCs w:val="21"/>
          <w:highlight w:val="none"/>
          <w:lang w:val="en-US" w:eastAsia="zh-CN"/>
        </w:rPr>
        <w:t>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供应商发放贷款的一种融资方式。供应商可登录浙江政府采购网的中小企业信用融资栏目了解相关信息。供应商可以通过浙江政府采购网（https://zfcg. czt.zj. gov.cn/）首页的“浙江政采贷”模块进入申请，还可以通过政府采购云平台（https://www.zcygov.cn/）首页的“金融服务”模块进入申请</w:t>
      </w:r>
    </w:p>
    <w:p>
      <w:pPr>
        <w:tabs>
          <w:tab w:val="left" w:pos="2906"/>
          <w:tab w:val="center" w:pos="4574"/>
        </w:tabs>
        <w:snapToGrid w:val="0"/>
        <w:spacing w:line="360" w:lineRule="auto"/>
        <w:jc w:val="center"/>
        <w:outlineLvl w:val="0"/>
        <w:rPr>
          <w:rFonts w:hint="eastAsia" w:cs="宋体"/>
          <w:b/>
          <w:bCs/>
          <w:color w:val="auto"/>
          <w:sz w:val="32"/>
          <w:szCs w:val="32"/>
          <w:lang w:val="en-US" w:eastAsia="zh-CN"/>
        </w:rPr>
      </w:pPr>
      <w:bookmarkStart w:id="50" w:name="_Toc25990"/>
      <w:bookmarkStart w:id="51" w:name="_Toc31178"/>
      <w:bookmarkStart w:id="52" w:name="_Toc10298"/>
      <w:bookmarkStart w:id="53" w:name="_Toc23022"/>
      <w:bookmarkStart w:id="54" w:name="_Toc5427"/>
      <w:bookmarkStart w:id="55" w:name="_Toc3550"/>
      <w:bookmarkStart w:id="56" w:name="_Toc32592"/>
      <w:bookmarkStart w:id="57" w:name="_Toc788"/>
      <w:bookmarkStart w:id="58" w:name="_Toc9047"/>
      <w:bookmarkStart w:id="59" w:name="_Toc5410"/>
      <w:bookmarkStart w:id="60" w:name="_Toc20258"/>
      <w:r>
        <w:rPr>
          <w:rFonts w:hint="eastAsia" w:cs="宋体"/>
          <w:b/>
          <w:bCs/>
          <w:color w:val="auto"/>
          <w:sz w:val="32"/>
          <w:szCs w:val="32"/>
          <w:lang w:val="en-US" w:eastAsia="zh-CN"/>
        </w:rPr>
        <w:t>第二部分 供应商须知</w:t>
      </w:r>
      <w:bookmarkEnd w:id="50"/>
      <w:bookmarkEnd w:id="51"/>
    </w:p>
    <w:p>
      <w:pPr>
        <w:bidi w:val="0"/>
        <w:jc w:val="center"/>
        <w:rPr>
          <w:rFonts w:hint="eastAsia"/>
          <w:b/>
          <w:bCs/>
          <w:sz w:val="24"/>
          <w:szCs w:val="24"/>
        </w:rPr>
      </w:pPr>
      <w:r>
        <w:rPr>
          <w:rFonts w:hint="eastAsia"/>
          <w:b/>
          <w:bCs/>
          <w:sz w:val="24"/>
          <w:szCs w:val="24"/>
        </w:rPr>
        <w:t>前附表</w:t>
      </w:r>
    </w:p>
    <w:tbl>
      <w:tblPr>
        <w:tblStyle w:val="42"/>
        <w:tblW w:w="1027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57" w:type="dxa"/>
          <w:left w:w="108" w:type="dxa"/>
          <w:bottom w:w="57" w:type="dxa"/>
          <w:right w:w="108" w:type="dxa"/>
        </w:tblCellMar>
      </w:tblPr>
      <w:tblGrid>
        <w:gridCol w:w="760"/>
        <w:gridCol w:w="1970"/>
        <w:gridCol w:w="754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44" w:hRule="atLeast"/>
          <w:jc w:val="center"/>
        </w:trPr>
        <w:tc>
          <w:tcPr>
            <w:tcW w:w="760" w:type="dxa"/>
            <w:noWrap w:val="0"/>
            <w:vAlign w:val="center"/>
          </w:tcPr>
          <w:p>
            <w:pPr>
              <w:bidi w:val="0"/>
              <w:spacing w:line="240" w:lineRule="auto"/>
              <w:jc w:val="center"/>
              <w:rPr>
                <w:rFonts w:hint="eastAsia"/>
                <w:b w:val="0"/>
                <w:bCs w:val="0"/>
                <w:sz w:val="21"/>
                <w:szCs w:val="21"/>
              </w:rPr>
            </w:pPr>
            <w:r>
              <w:rPr>
                <w:rFonts w:hint="eastAsia"/>
                <w:b w:val="0"/>
                <w:bCs w:val="0"/>
                <w:sz w:val="21"/>
                <w:szCs w:val="21"/>
              </w:rPr>
              <w:t>序号</w:t>
            </w:r>
          </w:p>
        </w:tc>
        <w:tc>
          <w:tcPr>
            <w:tcW w:w="1970" w:type="dxa"/>
            <w:noWrap w:val="0"/>
            <w:vAlign w:val="center"/>
          </w:tcPr>
          <w:p>
            <w:pPr>
              <w:bidi w:val="0"/>
              <w:spacing w:line="240" w:lineRule="auto"/>
              <w:jc w:val="center"/>
              <w:rPr>
                <w:rFonts w:hint="eastAsia"/>
                <w:b w:val="0"/>
                <w:bCs w:val="0"/>
                <w:sz w:val="21"/>
                <w:szCs w:val="21"/>
              </w:rPr>
            </w:pPr>
            <w:r>
              <w:rPr>
                <w:rFonts w:hint="eastAsia"/>
                <w:b w:val="0"/>
                <w:bCs w:val="0"/>
                <w:sz w:val="21"/>
                <w:szCs w:val="21"/>
              </w:rPr>
              <w:t>内容</w:t>
            </w:r>
          </w:p>
        </w:tc>
        <w:tc>
          <w:tcPr>
            <w:tcW w:w="7545" w:type="dxa"/>
            <w:noWrap w:val="0"/>
            <w:vAlign w:val="center"/>
          </w:tcPr>
          <w:p>
            <w:pPr>
              <w:bidi w:val="0"/>
              <w:spacing w:line="240" w:lineRule="auto"/>
              <w:jc w:val="center"/>
              <w:rPr>
                <w:rFonts w:hint="eastAsia"/>
                <w:b w:val="0"/>
                <w:bCs w:val="0"/>
                <w:sz w:val="21"/>
                <w:szCs w:val="21"/>
              </w:rPr>
            </w:pPr>
            <w:r>
              <w:rPr>
                <w:rFonts w:hint="eastAsia"/>
                <w:b w:val="0"/>
                <w:bCs w:val="0"/>
                <w:sz w:val="21"/>
                <w:szCs w:val="21"/>
              </w:rPr>
              <w:t>说明与要求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41" w:hRule="atLeast"/>
          <w:jc w:val="center"/>
        </w:trPr>
        <w:tc>
          <w:tcPr>
            <w:tcW w:w="760" w:type="dxa"/>
            <w:noWrap w:val="0"/>
            <w:vAlign w:val="center"/>
          </w:tcPr>
          <w:p>
            <w:pPr>
              <w:bidi w:val="0"/>
              <w:spacing w:line="240" w:lineRule="auto"/>
              <w:jc w:val="center"/>
              <w:rPr>
                <w:rFonts w:hint="eastAsia"/>
                <w:sz w:val="21"/>
                <w:szCs w:val="21"/>
                <w:lang w:val="zh-CN"/>
              </w:rPr>
            </w:pPr>
            <w:r>
              <w:rPr>
                <w:rFonts w:hint="eastAsia"/>
                <w:sz w:val="21"/>
                <w:szCs w:val="21"/>
                <w:lang w:val="zh-CN"/>
              </w:rPr>
              <w:t>1</w:t>
            </w:r>
          </w:p>
        </w:tc>
        <w:tc>
          <w:tcPr>
            <w:tcW w:w="1970" w:type="dxa"/>
            <w:noWrap w:val="0"/>
            <w:vAlign w:val="center"/>
          </w:tcPr>
          <w:p>
            <w:pPr>
              <w:bidi w:val="0"/>
              <w:spacing w:line="240" w:lineRule="auto"/>
              <w:jc w:val="center"/>
              <w:rPr>
                <w:rFonts w:hint="eastAsia"/>
                <w:sz w:val="21"/>
                <w:szCs w:val="21"/>
              </w:rPr>
            </w:pPr>
            <w:r>
              <w:rPr>
                <w:rFonts w:hint="eastAsia"/>
                <w:sz w:val="21"/>
                <w:szCs w:val="21"/>
              </w:rPr>
              <w:t>项目名称</w:t>
            </w:r>
          </w:p>
        </w:tc>
        <w:tc>
          <w:tcPr>
            <w:tcW w:w="7545" w:type="dxa"/>
            <w:noWrap w:val="0"/>
            <w:vAlign w:val="center"/>
          </w:tcPr>
          <w:p>
            <w:pPr>
              <w:bidi w:val="0"/>
              <w:spacing w:line="240" w:lineRule="auto"/>
              <w:jc w:val="left"/>
              <w:rPr>
                <w:rFonts w:hint="eastAsia" w:eastAsia="宋体"/>
                <w:sz w:val="21"/>
                <w:szCs w:val="21"/>
                <w:lang w:eastAsia="zh-CN"/>
              </w:rPr>
            </w:pPr>
            <w:r>
              <w:rPr>
                <w:rFonts w:hint="eastAsia"/>
                <w:sz w:val="21"/>
                <w:szCs w:val="21"/>
                <w:lang w:eastAsia="zh-CN"/>
              </w:rPr>
              <w:t>金华市婺城区康复医院改扩建工程医疗定制家具采购项目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75"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2</w:t>
            </w:r>
          </w:p>
        </w:tc>
        <w:tc>
          <w:tcPr>
            <w:tcW w:w="1970" w:type="dxa"/>
            <w:noWrap w:val="0"/>
            <w:vAlign w:val="center"/>
          </w:tcPr>
          <w:p>
            <w:pPr>
              <w:bidi w:val="0"/>
              <w:spacing w:line="240" w:lineRule="auto"/>
              <w:jc w:val="center"/>
              <w:rPr>
                <w:rFonts w:hint="eastAsia"/>
                <w:sz w:val="21"/>
                <w:szCs w:val="21"/>
              </w:rPr>
            </w:pPr>
            <w:r>
              <w:rPr>
                <w:rFonts w:hint="eastAsia"/>
                <w:sz w:val="21"/>
                <w:szCs w:val="21"/>
              </w:rPr>
              <w:t>招标内容</w:t>
            </w:r>
          </w:p>
        </w:tc>
        <w:tc>
          <w:tcPr>
            <w:tcW w:w="7545" w:type="dxa"/>
            <w:noWrap w:val="0"/>
            <w:vAlign w:val="center"/>
          </w:tcPr>
          <w:p>
            <w:pPr>
              <w:bidi w:val="0"/>
              <w:spacing w:line="240" w:lineRule="auto"/>
              <w:jc w:val="left"/>
              <w:rPr>
                <w:rFonts w:hint="eastAsia"/>
                <w:sz w:val="21"/>
                <w:szCs w:val="21"/>
              </w:rPr>
            </w:pPr>
            <w:r>
              <w:rPr>
                <w:rFonts w:hint="eastAsia"/>
                <w:sz w:val="21"/>
                <w:szCs w:val="21"/>
              </w:rPr>
              <w:t>见第</w:t>
            </w:r>
            <w:r>
              <w:rPr>
                <w:rFonts w:hint="eastAsia"/>
                <w:sz w:val="21"/>
                <w:szCs w:val="21"/>
                <w:lang w:val="en-US" w:eastAsia="zh-CN"/>
              </w:rPr>
              <w:t>三</w:t>
            </w:r>
            <w:r>
              <w:rPr>
                <w:rFonts w:hint="eastAsia"/>
                <w:sz w:val="21"/>
                <w:szCs w:val="21"/>
              </w:rPr>
              <w:t>章采购需求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96"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3</w:t>
            </w:r>
          </w:p>
        </w:tc>
        <w:tc>
          <w:tcPr>
            <w:tcW w:w="1970" w:type="dxa"/>
            <w:noWrap w:val="0"/>
            <w:vAlign w:val="center"/>
          </w:tcPr>
          <w:p>
            <w:pPr>
              <w:bidi w:val="0"/>
              <w:spacing w:line="240" w:lineRule="auto"/>
              <w:jc w:val="center"/>
              <w:rPr>
                <w:rFonts w:hint="eastAsia"/>
                <w:sz w:val="21"/>
                <w:szCs w:val="21"/>
              </w:rPr>
            </w:pPr>
            <w:r>
              <w:rPr>
                <w:rFonts w:hint="eastAsia"/>
                <w:sz w:val="21"/>
                <w:szCs w:val="21"/>
              </w:rPr>
              <w:t>政府采购计划编号</w:t>
            </w:r>
          </w:p>
        </w:tc>
        <w:tc>
          <w:tcPr>
            <w:tcW w:w="7545" w:type="dxa"/>
            <w:noWrap w:val="0"/>
            <w:vAlign w:val="center"/>
          </w:tcPr>
          <w:p>
            <w:pPr>
              <w:bidi w:val="0"/>
              <w:spacing w:line="240" w:lineRule="auto"/>
              <w:jc w:val="left"/>
              <w:rPr>
                <w:rFonts w:hint="eastAsia"/>
                <w:sz w:val="21"/>
                <w:szCs w:val="21"/>
              </w:rPr>
            </w:pPr>
            <w:r>
              <w:rPr>
                <w:rFonts w:hint="eastAsia"/>
                <w:sz w:val="21"/>
                <w:szCs w:val="21"/>
              </w:rPr>
              <w:t>临[2023]88号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214"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4</w:t>
            </w:r>
          </w:p>
        </w:tc>
        <w:tc>
          <w:tcPr>
            <w:tcW w:w="1970" w:type="dxa"/>
            <w:noWrap w:val="0"/>
            <w:vAlign w:val="center"/>
          </w:tcPr>
          <w:p>
            <w:pPr>
              <w:bidi w:val="0"/>
              <w:spacing w:line="240" w:lineRule="auto"/>
              <w:jc w:val="center"/>
              <w:rPr>
                <w:rFonts w:hint="eastAsia"/>
                <w:sz w:val="21"/>
                <w:szCs w:val="21"/>
              </w:rPr>
            </w:pPr>
            <w:r>
              <w:rPr>
                <w:rFonts w:hint="eastAsia"/>
                <w:sz w:val="21"/>
                <w:szCs w:val="21"/>
              </w:rPr>
              <w:t>项目属性</w:t>
            </w:r>
          </w:p>
          <w:p>
            <w:pPr>
              <w:bidi w:val="0"/>
              <w:spacing w:line="240" w:lineRule="auto"/>
              <w:jc w:val="center"/>
              <w:rPr>
                <w:rFonts w:hint="eastAsia"/>
                <w:sz w:val="21"/>
                <w:szCs w:val="21"/>
              </w:rPr>
            </w:pPr>
            <w:r>
              <w:rPr>
                <w:rFonts w:hint="eastAsia"/>
                <w:sz w:val="21"/>
                <w:szCs w:val="21"/>
              </w:rPr>
              <w:t>与核心产品</w:t>
            </w:r>
          </w:p>
        </w:tc>
        <w:tc>
          <w:tcPr>
            <w:tcW w:w="7545" w:type="dxa"/>
            <w:noWrap w:val="0"/>
            <w:vAlign w:val="center"/>
          </w:tcPr>
          <w:p>
            <w:pPr>
              <w:bidi w:val="0"/>
              <w:spacing w:line="240" w:lineRule="auto"/>
              <w:jc w:val="left"/>
              <w:rPr>
                <w:rFonts w:hint="eastAsia"/>
                <w:sz w:val="21"/>
                <w:szCs w:val="21"/>
              </w:rPr>
            </w:pPr>
            <w:r>
              <w:rPr>
                <w:rFonts w:hint="eastAsia"/>
                <w:sz w:val="21"/>
                <w:szCs w:val="21"/>
                <w:lang w:eastAsia="zh-CN"/>
              </w:rPr>
              <w:sym w:font="Wingdings 2" w:char="0052"/>
            </w:r>
            <w:r>
              <w:rPr>
                <w:rFonts w:hint="eastAsia"/>
                <w:sz w:val="21"/>
                <w:szCs w:val="21"/>
                <w:lang w:val="en-US" w:eastAsia="zh-CN"/>
              </w:rPr>
              <w:t xml:space="preserve"> </w:t>
            </w:r>
            <w:r>
              <w:rPr>
                <w:rFonts w:hint="eastAsia"/>
                <w:sz w:val="21"/>
                <w:szCs w:val="21"/>
              </w:rPr>
              <w:t>A货物类。</w:t>
            </w:r>
          </w:p>
          <w:p>
            <w:pPr>
              <w:bidi w:val="0"/>
              <w:spacing w:line="240" w:lineRule="auto"/>
              <w:jc w:val="left"/>
              <w:rPr>
                <w:rFonts w:hint="eastAsia"/>
                <w:sz w:val="21"/>
                <w:szCs w:val="21"/>
              </w:rPr>
            </w:pPr>
            <w:r>
              <w:rPr>
                <w:rFonts w:hint="eastAsia"/>
                <w:sz w:val="21"/>
                <w:szCs w:val="21"/>
              </w:rPr>
              <w:sym w:font="Wingdings 2" w:char="00A3"/>
            </w:r>
            <w:r>
              <w:rPr>
                <w:rFonts w:hint="eastAsia"/>
                <w:sz w:val="21"/>
                <w:szCs w:val="21"/>
                <w:lang w:val="en-US" w:eastAsia="zh-CN"/>
              </w:rPr>
              <w:t xml:space="preserve"> </w:t>
            </w:r>
            <w:r>
              <w:rPr>
                <w:rFonts w:hint="eastAsia"/>
                <w:sz w:val="21"/>
                <w:szCs w:val="21"/>
              </w:rPr>
              <w:t>B服务类。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1029"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5</w:t>
            </w:r>
          </w:p>
        </w:tc>
        <w:tc>
          <w:tcPr>
            <w:tcW w:w="1970" w:type="dxa"/>
            <w:noWrap w:val="0"/>
            <w:vAlign w:val="center"/>
          </w:tcPr>
          <w:p>
            <w:pPr>
              <w:bidi w:val="0"/>
              <w:spacing w:line="240" w:lineRule="auto"/>
              <w:jc w:val="center"/>
              <w:rPr>
                <w:rFonts w:hint="eastAsia"/>
                <w:sz w:val="21"/>
                <w:szCs w:val="21"/>
              </w:rPr>
            </w:pPr>
            <w:r>
              <w:rPr>
                <w:rFonts w:hint="eastAsia"/>
                <w:sz w:val="21"/>
                <w:szCs w:val="21"/>
              </w:rPr>
              <w:t>本项目明确的所属行业类别</w:t>
            </w:r>
          </w:p>
        </w:tc>
        <w:tc>
          <w:tcPr>
            <w:tcW w:w="7545" w:type="dxa"/>
            <w:noWrap w:val="0"/>
            <w:vAlign w:val="center"/>
          </w:tcPr>
          <w:p>
            <w:pPr>
              <w:widowControl w:val="0"/>
              <w:adjustRightInd w:val="0"/>
              <w:snapToGrid w:val="0"/>
              <w:spacing w:line="276" w:lineRule="auto"/>
              <w:jc w:val="both"/>
              <w:rPr>
                <w:rFonts w:hint="eastAsia" w:ascii="Times New Roman" w:hAnsi="Times New Roman" w:eastAsia="宋体" w:cs="Times New Roman"/>
                <w:b/>
                <w:bCs/>
                <w:color w:val="auto"/>
                <w:lang w:val="en-US" w:eastAsia="zh-CN"/>
              </w:rPr>
            </w:pPr>
            <w:r>
              <w:rPr>
                <w:rFonts w:ascii="Times New Roman" w:hAnsi="Times New Roman" w:eastAsia="宋体" w:cs="Times New Roman"/>
                <w:b/>
                <w:bCs/>
                <w:color w:val="auto"/>
              </w:rPr>
              <w:t>属于工信部【2011】300号文件规定的</w:t>
            </w:r>
            <w:r>
              <w:rPr>
                <w:rFonts w:hint="eastAsia" w:ascii="Times New Roman" w:hAnsi="Times New Roman" w:eastAsia="宋体" w:cs="Times New Roman"/>
                <w:b/>
                <w:bCs/>
                <w:color w:val="auto"/>
                <w:u w:val="single"/>
                <w:lang w:val="en-US" w:eastAsia="zh-CN"/>
              </w:rPr>
              <w:t xml:space="preserve"> </w:t>
            </w:r>
            <w:r>
              <w:rPr>
                <w:rFonts w:ascii="Times New Roman" w:hAnsi="Times New Roman" w:eastAsia="宋体" w:cs="Times New Roman"/>
                <w:b/>
                <w:bCs/>
                <w:color w:val="auto"/>
                <w:u w:val="single"/>
              </w:rPr>
              <w:t>工业行业</w:t>
            </w:r>
            <w:r>
              <w:rPr>
                <w:rFonts w:hint="eastAsia" w:ascii="Times New Roman" w:hAnsi="Times New Roman" w:eastAsia="宋体" w:cs="Times New Roman"/>
                <w:b/>
                <w:bCs/>
                <w:color w:val="auto"/>
                <w:u w:val="single"/>
                <w:lang w:val="en-US" w:eastAsia="zh-CN"/>
              </w:rPr>
              <w:t xml:space="preserve"> </w:t>
            </w:r>
          </w:p>
          <w:p>
            <w:pPr>
              <w:bidi w:val="0"/>
              <w:spacing w:line="240" w:lineRule="auto"/>
              <w:jc w:val="left"/>
              <w:rPr>
                <w:rFonts w:hint="eastAsia"/>
                <w:sz w:val="21"/>
                <w:szCs w:val="21"/>
              </w:rPr>
            </w:pPr>
            <w:r>
              <w:rPr>
                <w:rFonts w:hint="eastAsia" w:ascii="Times New Roman" w:hAnsi="Times New Roman" w:eastAsia="宋体" w:cs="Times New Roman"/>
                <w:color w:val="auto"/>
              </w:rPr>
              <w:t>（备注：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817"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6</w:t>
            </w:r>
          </w:p>
        </w:tc>
        <w:tc>
          <w:tcPr>
            <w:tcW w:w="1970" w:type="dxa"/>
            <w:noWrap w:val="0"/>
            <w:vAlign w:val="center"/>
          </w:tcPr>
          <w:p>
            <w:pPr>
              <w:bidi w:val="0"/>
              <w:spacing w:line="240" w:lineRule="auto"/>
              <w:jc w:val="center"/>
              <w:rPr>
                <w:rFonts w:hint="eastAsia"/>
                <w:sz w:val="21"/>
                <w:szCs w:val="21"/>
              </w:rPr>
            </w:pPr>
            <w:r>
              <w:rPr>
                <w:rFonts w:hint="eastAsia"/>
                <w:sz w:val="21"/>
                <w:szCs w:val="21"/>
              </w:rPr>
              <w:t>是否允许采购进口产品</w:t>
            </w:r>
          </w:p>
        </w:tc>
        <w:tc>
          <w:tcPr>
            <w:tcW w:w="7545" w:type="dxa"/>
            <w:noWrap w:val="0"/>
            <w:vAlign w:val="center"/>
          </w:tcPr>
          <w:p>
            <w:pPr>
              <w:bidi w:val="0"/>
              <w:spacing w:line="240" w:lineRule="auto"/>
              <w:jc w:val="left"/>
              <w:rPr>
                <w:rFonts w:hint="eastAsia"/>
                <w:sz w:val="21"/>
                <w:szCs w:val="21"/>
              </w:rPr>
            </w:pPr>
            <w:r>
              <w:rPr>
                <w:rFonts w:hint="eastAsia"/>
                <w:sz w:val="21"/>
                <w:szCs w:val="21"/>
              </w:rPr>
              <w:sym w:font="Wingdings 2" w:char="0052"/>
            </w:r>
            <w:r>
              <w:rPr>
                <w:rFonts w:hint="eastAsia"/>
                <w:sz w:val="21"/>
                <w:szCs w:val="21"/>
              </w:rPr>
              <w:t>本项目不允许采购进口产品。</w:t>
            </w:r>
          </w:p>
          <w:p>
            <w:pPr>
              <w:bidi w:val="0"/>
              <w:spacing w:line="240" w:lineRule="auto"/>
              <w:jc w:val="left"/>
              <w:rPr>
                <w:rFonts w:hint="eastAsia"/>
                <w:sz w:val="21"/>
                <w:szCs w:val="21"/>
              </w:rPr>
            </w:pPr>
            <w:r>
              <w:rPr>
                <w:rFonts w:hint="eastAsia"/>
                <w:sz w:val="21"/>
                <w:szCs w:val="21"/>
              </w:rPr>
              <w:t>☐可以采购进口产品，优先采购向我国企业转让技术、与我国企业签订消化吸收再创新方案的</w:t>
            </w:r>
            <w:r>
              <w:rPr>
                <w:rFonts w:hint="eastAsia"/>
                <w:sz w:val="21"/>
                <w:szCs w:val="21"/>
                <w:lang w:eastAsia="zh-CN"/>
              </w:rPr>
              <w:t>供应商</w:t>
            </w:r>
            <w:r>
              <w:rPr>
                <w:rFonts w:hint="eastAsia"/>
                <w:sz w:val="21"/>
                <w:szCs w:val="21"/>
              </w:rPr>
              <w:t>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203"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7</w:t>
            </w:r>
          </w:p>
        </w:tc>
        <w:tc>
          <w:tcPr>
            <w:tcW w:w="1970" w:type="dxa"/>
            <w:noWrap w:val="0"/>
            <w:vAlign w:val="center"/>
          </w:tcPr>
          <w:p>
            <w:pPr>
              <w:bidi w:val="0"/>
              <w:spacing w:line="240" w:lineRule="auto"/>
              <w:jc w:val="center"/>
              <w:rPr>
                <w:rFonts w:hint="eastAsia"/>
                <w:sz w:val="21"/>
                <w:szCs w:val="21"/>
              </w:rPr>
            </w:pPr>
            <w:r>
              <w:rPr>
                <w:rFonts w:hint="eastAsia"/>
                <w:sz w:val="21"/>
                <w:szCs w:val="21"/>
              </w:rPr>
              <w:t>是否接受联合体</w:t>
            </w:r>
          </w:p>
          <w:p>
            <w:pPr>
              <w:bidi w:val="0"/>
              <w:spacing w:line="240" w:lineRule="auto"/>
              <w:jc w:val="center"/>
              <w:rPr>
                <w:rFonts w:hint="eastAsia"/>
                <w:sz w:val="21"/>
                <w:szCs w:val="21"/>
              </w:rPr>
            </w:pPr>
            <w:r>
              <w:rPr>
                <w:rFonts w:hint="eastAsia"/>
                <w:sz w:val="21"/>
                <w:szCs w:val="21"/>
              </w:rPr>
              <w:t>投标</w:t>
            </w:r>
          </w:p>
        </w:tc>
        <w:tc>
          <w:tcPr>
            <w:tcW w:w="7545" w:type="dxa"/>
            <w:noWrap w:val="0"/>
            <w:vAlign w:val="center"/>
          </w:tcPr>
          <w:p>
            <w:pPr>
              <w:bidi w:val="0"/>
              <w:spacing w:line="240" w:lineRule="auto"/>
              <w:jc w:val="left"/>
              <w:rPr>
                <w:rFonts w:hint="eastAsia"/>
                <w:sz w:val="21"/>
                <w:szCs w:val="21"/>
              </w:rPr>
            </w:pPr>
            <w:r>
              <w:rPr>
                <w:rFonts w:hint="eastAsia"/>
                <w:sz w:val="21"/>
                <w:szCs w:val="21"/>
                <w:lang w:eastAsia="zh-CN"/>
              </w:rPr>
              <w:sym w:font="Wingdings 2" w:char="0052"/>
            </w:r>
            <w:r>
              <w:rPr>
                <w:rFonts w:hint="eastAsia"/>
                <w:sz w:val="21"/>
                <w:szCs w:val="21"/>
                <w:lang w:val="en-US" w:eastAsia="zh-CN"/>
              </w:rPr>
              <w:t xml:space="preserve"> </w:t>
            </w:r>
            <w:r>
              <w:rPr>
                <w:rFonts w:hint="eastAsia"/>
                <w:sz w:val="21"/>
                <w:szCs w:val="21"/>
              </w:rPr>
              <w:t>不接受</w:t>
            </w:r>
          </w:p>
          <w:p>
            <w:pPr>
              <w:bidi w:val="0"/>
              <w:spacing w:line="240" w:lineRule="auto"/>
              <w:jc w:val="left"/>
              <w:rPr>
                <w:rFonts w:hint="eastAsia"/>
                <w:sz w:val="21"/>
                <w:szCs w:val="21"/>
              </w:rPr>
            </w:pPr>
            <w:r>
              <w:rPr>
                <w:rFonts w:hint="eastAsia"/>
                <w:sz w:val="21"/>
                <w:szCs w:val="21"/>
              </w:rPr>
              <w:sym w:font="Wingdings 2" w:char="00A3"/>
            </w:r>
            <w:r>
              <w:rPr>
                <w:rFonts w:hint="eastAsia"/>
                <w:sz w:val="21"/>
                <w:szCs w:val="21"/>
                <w:lang w:val="en-US" w:eastAsia="zh-CN"/>
              </w:rPr>
              <w:t xml:space="preserve"> </w:t>
            </w:r>
            <w:r>
              <w:rPr>
                <w:rFonts w:hint="eastAsia"/>
                <w:sz w:val="21"/>
                <w:szCs w:val="21"/>
              </w:rPr>
              <w:t>接受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36"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8</w:t>
            </w:r>
          </w:p>
        </w:tc>
        <w:tc>
          <w:tcPr>
            <w:tcW w:w="1970" w:type="dxa"/>
            <w:noWrap w:val="0"/>
            <w:vAlign w:val="center"/>
          </w:tcPr>
          <w:p>
            <w:pPr>
              <w:bidi w:val="0"/>
              <w:spacing w:line="240" w:lineRule="auto"/>
              <w:jc w:val="center"/>
              <w:rPr>
                <w:rFonts w:hint="eastAsia"/>
                <w:sz w:val="21"/>
                <w:szCs w:val="21"/>
              </w:rPr>
            </w:pPr>
            <w:r>
              <w:rPr>
                <w:rFonts w:hint="eastAsia"/>
                <w:sz w:val="21"/>
                <w:szCs w:val="21"/>
              </w:rPr>
              <w:t>转包</w:t>
            </w:r>
          </w:p>
        </w:tc>
        <w:tc>
          <w:tcPr>
            <w:tcW w:w="7545" w:type="dxa"/>
            <w:noWrap w:val="0"/>
            <w:vAlign w:val="center"/>
          </w:tcPr>
          <w:p>
            <w:pPr>
              <w:bidi w:val="0"/>
              <w:spacing w:line="240" w:lineRule="auto"/>
              <w:jc w:val="left"/>
              <w:rPr>
                <w:rFonts w:hint="eastAsia"/>
                <w:sz w:val="21"/>
                <w:szCs w:val="21"/>
              </w:rPr>
            </w:pPr>
            <w:r>
              <w:rPr>
                <w:rFonts w:hint="eastAsia"/>
                <w:sz w:val="21"/>
                <w:szCs w:val="21"/>
                <w:lang w:eastAsia="zh-CN"/>
              </w:rPr>
              <w:sym w:font="Wingdings 2" w:char="0052"/>
            </w:r>
            <w:r>
              <w:rPr>
                <w:rFonts w:hint="eastAsia"/>
                <w:sz w:val="21"/>
                <w:szCs w:val="21"/>
              </w:rPr>
              <w:t xml:space="preserve"> 不同意转包。</w:t>
            </w:r>
          </w:p>
          <w:p>
            <w:pPr>
              <w:bidi w:val="0"/>
              <w:spacing w:line="240" w:lineRule="auto"/>
              <w:jc w:val="left"/>
              <w:rPr>
                <w:rFonts w:hint="eastAsia"/>
                <w:sz w:val="21"/>
                <w:szCs w:val="21"/>
              </w:rPr>
            </w:pPr>
            <w:r>
              <w:rPr>
                <w:rFonts w:hint="eastAsia"/>
                <w:sz w:val="21"/>
                <w:szCs w:val="21"/>
              </w:rPr>
              <w:sym w:font="Wingdings 2" w:char="00A3"/>
            </w:r>
            <w:r>
              <w:rPr>
                <w:rFonts w:hint="eastAsia"/>
                <w:sz w:val="21"/>
                <w:szCs w:val="21"/>
              </w:rPr>
              <w:t xml:space="preserve"> 同意转包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9</w:t>
            </w:r>
          </w:p>
        </w:tc>
        <w:tc>
          <w:tcPr>
            <w:tcW w:w="1970" w:type="dxa"/>
            <w:noWrap w:val="0"/>
            <w:vAlign w:val="center"/>
          </w:tcPr>
          <w:p>
            <w:pPr>
              <w:bidi w:val="0"/>
              <w:spacing w:line="240" w:lineRule="auto"/>
              <w:jc w:val="center"/>
              <w:rPr>
                <w:rFonts w:hint="eastAsia"/>
                <w:sz w:val="21"/>
                <w:szCs w:val="21"/>
              </w:rPr>
            </w:pPr>
            <w:r>
              <w:rPr>
                <w:rFonts w:hint="eastAsia"/>
                <w:sz w:val="21"/>
                <w:szCs w:val="21"/>
              </w:rPr>
              <w:t>分包</w:t>
            </w:r>
          </w:p>
        </w:tc>
        <w:tc>
          <w:tcPr>
            <w:tcW w:w="7545" w:type="dxa"/>
            <w:noWrap w:val="0"/>
            <w:vAlign w:val="center"/>
          </w:tcPr>
          <w:p>
            <w:pPr>
              <w:bidi w:val="0"/>
              <w:spacing w:line="240" w:lineRule="auto"/>
              <w:jc w:val="left"/>
              <w:rPr>
                <w:rFonts w:hint="eastAsia"/>
                <w:sz w:val="21"/>
                <w:szCs w:val="21"/>
              </w:rPr>
            </w:pPr>
            <w:r>
              <w:rPr>
                <w:rFonts w:hint="eastAsia"/>
                <w:sz w:val="21"/>
                <w:szCs w:val="21"/>
                <w:lang w:eastAsia="zh-CN"/>
              </w:rPr>
              <w:sym w:font="Wingdings 2" w:char="00A3"/>
            </w:r>
            <w:r>
              <w:rPr>
                <w:rFonts w:hint="eastAsia"/>
                <w:sz w:val="21"/>
                <w:szCs w:val="21"/>
                <w:lang w:val="en-US" w:eastAsia="zh-CN"/>
              </w:rPr>
              <w:t xml:space="preserve"> </w:t>
            </w:r>
            <w:r>
              <w:rPr>
                <w:rFonts w:hint="eastAsia"/>
                <w:sz w:val="21"/>
                <w:szCs w:val="21"/>
              </w:rPr>
              <w:t>A同意将非主体、非关键性的工作分包。</w:t>
            </w:r>
          </w:p>
          <w:p>
            <w:pPr>
              <w:bidi w:val="0"/>
              <w:spacing w:line="240" w:lineRule="auto"/>
              <w:jc w:val="left"/>
              <w:rPr>
                <w:rFonts w:hint="eastAsia"/>
                <w:sz w:val="21"/>
                <w:szCs w:val="21"/>
              </w:rPr>
            </w:pPr>
            <w:r>
              <w:rPr>
                <w:rFonts w:hint="eastAsia"/>
                <w:sz w:val="21"/>
                <w:szCs w:val="21"/>
                <w:lang w:eastAsia="zh-CN"/>
              </w:rPr>
              <w:sym w:font="Wingdings 2" w:char="0052"/>
            </w:r>
            <w:r>
              <w:rPr>
                <w:rFonts w:hint="eastAsia"/>
                <w:sz w:val="21"/>
                <w:szCs w:val="21"/>
                <w:lang w:val="en-US" w:eastAsia="zh-CN"/>
              </w:rPr>
              <w:t xml:space="preserve"> </w:t>
            </w:r>
            <w:r>
              <w:rPr>
                <w:rFonts w:hint="eastAsia"/>
                <w:sz w:val="21"/>
                <w:szCs w:val="21"/>
              </w:rPr>
              <w:t>B 不同意分包。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216"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10</w:t>
            </w:r>
          </w:p>
        </w:tc>
        <w:tc>
          <w:tcPr>
            <w:tcW w:w="1970" w:type="dxa"/>
            <w:noWrap w:val="0"/>
            <w:vAlign w:val="center"/>
          </w:tcPr>
          <w:p>
            <w:pPr>
              <w:bidi w:val="0"/>
              <w:spacing w:line="240" w:lineRule="auto"/>
              <w:jc w:val="center"/>
              <w:rPr>
                <w:rFonts w:hint="eastAsia"/>
                <w:sz w:val="21"/>
                <w:szCs w:val="21"/>
              </w:rPr>
            </w:pPr>
            <w:r>
              <w:rPr>
                <w:rFonts w:hint="eastAsia"/>
                <w:sz w:val="21"/>
                <w:szCs w:val="21"/>
              </w:rPr>
              <w:t>开标前答疑会或现场考察</w:t>
            </w:r>
          </w:p>
        </w:tc>
        <w:tc>
          <w:tcPr>
            <w:tcW w:w="7545" w:type="dxa"/>
            <w:noWrap w:val="0"/>
            <w:vAlign w:val="center"/>
          </w:tcPr>
          <w:p>
            <w:pPr>
              <w:bidi w:val="0"/>
              <w:spacing w:line="240" w:lineRule="auto"/>
              <w:jc w:val="left"/>
              <w:rPr>
                <w:rFonts w:hint="eastAsia"/>
                <w:sz w:val="21"/>
                <w:szCs w:val="21"/>
              </w:rPr>
            </w:pPr>
            <w:r>
              <w:rPr>
                <w:rFonts w:hint="eastAsia"/>
                <w:sz w:val="21"/>
                <w:szCs w:val="21"/>
                <w:lang w:eastAsia="zh-CN"/>
              </w:rPr>
              <w:sym w:font="Wingdings 2" w:char="0052"/>
            </w:r>
            <w:r>
              <w:rPr>
                <w:rFonts w:hint="eastAsia"/>
                <w:sz w:val="21"/>
                <w:szCs w:val="21"/>
                <w:lang w:val="en-US" w:eastAsia="zh-CN"/>
              </w:rPr>
              <w:t xml:space="preserve"> </w:t>
            </w:r>
            <w:r>
              <w:rPr>
                <w:rFonts w:hint="eastAsia"/>
                <w:sz w:val="21"/>
                <w:szCs w:val="21"/>
              </w:rPr>
              <w:t>A不组织。</w:t>
            </w:r>
          </w:p>
          <w:p>
            <w:pPr>
              <w:bidi w:val="0"/>
              <w:spacing w:line="240" w:lineRule="auto"/>
              <w:jc w:val="left"/>
              <w:rPr>
                <w:rFonts w:hint="eastAsia"/>
                <w:sz w:val="21"/>
                <w:szCs w:val="21"/>
              </w:rPr>
            </w:pPr>
            <w:r>
              <w:rPr>
                <w:rFonts w:hint="eastAsia"/>
                <w:sz w:val="21"/>
                <w:szCs w:val="21"/>
                <w:lang w:eastAsia="zh-CN"/>
              </w:rPr>
              <w:sym w:font="Wingdings 2" w:char="00A3"/>
            </w:r>
            <w:r>
              <w:rPr>
                <w:rFonts w:hint="eastAsia"/>
                <w:sz w:val="21"/>
                <w:szCs w:val="21"/>
                <w:lang w:val="en-US" w:eastAsia="zh-CN"/>
              </w:rPr>
              <w:t xml:space="preserve"> </w:t>
            </w:r>
            <w:r>
              <w:rPr>
                <w:rFonts w:hint="eastAsia"/>
                <w:sz w:val="21"/>
                <w:szCs w:val="21"/>
              </w:rPr>
              <w:t>B组织，时间：</w:t>
            </w:r>
            <w:r>
              <w:rPr>
                <w:rFonts w:hint="eastAsia"/>
                <w:sz w:val="21"/>
                <w:szCs w:val="21"/>
                <w:u w:val="single"/>
              </w:rPr>
              <w:t xml:space="preserve">    </w:t>
            </w:r>
            <w:r>
              <w:rPr>
                <w:rFonts w:hint="eastAsia"/>
                <w:sz w:val="21"/>
                <w:szCs w:val="21"/>
                <w:u w:val="none"/>
                <w:lang w:eastAsia="zh-CN"/>
              </w:rPr>
              <w:t>，</w:t>
            </w:r>
            <w:r>
              <w:rPr>
                <w:rFonts w:hint="eastAsia"/>
                <w:sz w:val="21"/>
                <w:szCs w:val="21"/>
              </w:rPr>
              <w:t>地点：</w:t>
            </w:r>
            <w:r>
              <w:rPr>
                <w:rFonts w:hint="eastAsia"/>
                <w:sz w:val="21"/>
                <w:szCs w:val="21"/>
                <w:u w:val="single"/>
              </w:rPr>
              <w:t xml:space="preserve">    </w:t>
            </w:r>
            <w:r>
              <w:rPr>
                <w:rFonts w:hint="eastAsia"/>
                <w:sz w:val="21"/>
                <w:szCs w:val="21"/>
              </w:rPr>
              <w:t>，联系人：</w:t>
            </w:r>
            <w:r>
              <w:rPr>
                <w:rFonts w:hint="eastAsia"/>
                <w:sz w:val="21"/>
                <w:szCs w:val="21"/>
                <w:u w:val="single"/>
              </w:rPr>
              <w:t xml:space="preserve">    </w:t>
            </w:r>
            <w:r>
              <w:rPr>
                <w:rFonts w:hint="eastAsia"/>
                <w:sz w:val="21"/>
                <w:szCs w:val="21"/>
              </w:rPr>
              <w:t>，联系方式：</w:t>
            </w:r>
            <w:r>
              <w:rPr>
                <w:rFonts w:hint="eastAsia"/>
                <w:sz w:val="21"/>
                <w:szCs w:val="21"/>
                <w:u w:val="single"/>
              </w:rPr>
              <w:t xml:space="preserve">    </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808"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11</w:t>
            </w:r>
          </w:p>
        </w:tc>
        <w:tc>
          <w:tcPr>
            <w:tcW w:w="1970" w:type="dxa"/>
            <w:noWrap w:val="0"/>
            <w:vAlign w:val="center"/>
          </w:tcPr>
          <w:p>
            <w:pPr>
              <w:bidi w:val="0"/>
              <w:spacing w:line="240" w:lineRule="auto"/>
              <w:jc w:val="center"/>
              <w:rPr>
                <w:rFonts w:hint="eastAsia"/>
                <w:sz w:val="21"/>
                <w:szCs w:val="21"/>
              </w:rPr>
            </w:pPr>
            <w:r>
              <w:rPr>
                <w:rFonts w:hint="eastAsia"/>
                <w:color w:val="auto"/>
                <w:sz w:val="21"/>
                <w:szCs w:val="21"/>
              </w:rPr>
              <w:t>样品提供</w:t>
            </w:r>
          </w:p>
        </w:tc>
        <w:tc>
          <w:tcPr>
            <w:tcW w:w="7545" w:type="dxa"/>
            <w:noWrap w:val="0"/>
            <w:vAlign w:val="center"/>
          </w:tcPr>
          <w:p>
            <w:pPr>
              <w:bidi w:val="0"/>
              <w:spacing w:line="240" w:lineRule="auto"/>
              <w:jc w:val="left"/>
              <w:rPr>
                <w:rFonts w:hint="eastAsia"/>
                <w:sz w:val="21"/>
                <w:szCs w:val="21"/>
              </w:rPr>
            </w:pPr>
            <w:r>
              <w:rPr>
                <w:rFonts w:hint="eastAsia"/>
                <w:sz w:val="21"/>
                <w:szCs w:val="21"/>
                <w:lang w:eastAsia="zh-CN"/>
              </w:rPr>
              <w:sym w:font="Wingdings 2" w:char="0052"/>
            </w:r>
            <w:r>
              <w:rPr>
                <w:rFonts w:hint="eastAsia"/>
                <w:sz w:val="21"/>
                <w:szCs w:val="21"/>
                <w:lang w:val="en-US" w:eastAsia="zh-CN"/>
              </w:rPr>
              <w:t xml:space="preserve"> </w:t>
            </w:r>
            <w:r>
              <w:rPr>
                <w:rFonts w:hint="eastAsia"/>
                <w:sz w:val="21"/>
                <w:szCs w:val="21"/>
              </w:rPr>
              <w:t>A不要求提供。</w:t>
            </w:r>
          </w:p>
          <w:p>
            <w:pPr>
              <w:bidi w:val="0"/>
              <w:spacing w:line="240" w:lineRule="auto"/>
              <w:jc w:val="left"/>
              <w:rPr>
                <w:rFonts w:hint="eastAsia"/>
                <w:sz w:val="21"/>
                <w:szCs w:val="21"/>
              </w:rPr>
            </w:pPr>
            <w:r>
              <w:rPr>
                <w:rFonts w:hint="eastAsia"/>
                <w:sz w:val="21"/>
                <w:szCs w:val="21"/>
                <w:lang w:eastAsia="zh-CN"/>
              </w:rPr>
              <w:sym w:font="Wingdings 2" w:char="00A3"/>
            </w:r>
            <w:r>
              <w:rPr>
                <w:rFonts w:hint="eastAsia"/>
                <w:sz w:val="21"/>
                <w:szCs w:val="21"/>
                <w:lang w:val="en-US" w:eastAsia="zh-CN"/>
              </w:rPr>
              <w:t xml:space="preserve"> </w:t>
            </w:r>
            <w:r>
              <w:rPr>
                <w:rFonts w:hint="eastAsia"/>
                <w:sz w:val="21"/>
                <w:szCs w:val="21"/>
              </w:rPr>
              <w:t>B要求提供，</w:t>
            </w:r>
          </w:p>
          <w:p>
            <w:pPr>
              <w:bidi w:val="0"/>
              <w:spacing w:line="240" w:lineRule="auto"/>
              <w:jc w:val="left"/>
              <w:rPr>
                <w:rFonts w:hint="eastAsia"/>
                <w:sz w:val="21"/>
                <w:szCs w:val="21"/>
              </w:rPr>
            </w:pPr>
            <w:r>
              <w:rPr>
                <w:rFonts w:hint="eastAsia"/>
                <w:sz w:val="21"/>
                <w:szCs w:val="21"/>
              </w:rPr>
              <w:t>（1）样品</w:t>
            </w:r>
            <w:r>
              <w:rPr>
                <w:rFonts w:hint="eastAsia"/>
                <w:sz w:val="21"/>
                <w:szCs w:val="21"/>
                <w:u w:val="none"/>
              </w:rPr>
              <w:t>：</w:t>
            </w:r>
            <w:r>
              <w:rPr>
                <w:rFonts w:hint="eastAsia"/>
                <w:sz w:val="21"/>
                <w:szCs w:val="21"/>
                <w:u w:val="single"/>
                <w:lang w:val="en-US" w:eastAsia="zh-CN"/>
              </w:rPr>
              <w:t xml:space="preserve"> </w:t>
            </w:r>
            <w:r>
              <w:rPr>
                <w:rFonts w:hint="eastAsia"/>
                <w:sz w:val="21"/>
                <w:szCs w:val="21"/>
                <w:u w:val="single"/>
              </w:rPr>
              <w:t xml:space="preserve">详见招标文件第三部分采购需求 </w:t>
            </w:r>
            <w:r>
              <w:rPr>
                <w:rFonts w:hint="eastAsia"/>
                <w:sz w:val="21"/>
                <w:szCs w:val="21"/>
              </w:rPr>
              <w:t>；</w:t>
            </w:r>
          </w:p>
          <w:p>
            <w:pPr>
              <w:bidi w:val="0"/>
              <w:spacing w:line="240" w:lineRule="auto"/>
              <w:jc w:val="left"/>
              <w:rPr>
                <w:rFonts w:hint="eastAsia"/>
                <w:sz w:val="21"/>
                <w:szCs w:val="21"/>
              </w:rPr>
            </w:pPr>
            <w:r>
              <w:rPr>
                <w:rFonts w:hint="eastAsia"/>
                <w:sz w:val="21"/>
                <w:szCs w:val="21"/>
              </w:rPr>
              <w:t>（2）样品制作的标准和要求： 详见招标文件技术要求 ；</w:t>
            </w:r>
          </w:p>
          <w:p>
            <w:pPr>
              <w:bidi w:val="0"/>
              <w:spacing w:line="240" w:lineRule="auto"/>
              <w:jc w:val="left"/>
              <w:rPr>
                <w:rFonts w:hint="eastAsia"/>
                <w:sz w:val="21"/>
                <w:szCs w:val="21"/>
              </w:rPr>
            </w:pPr>
            <w:r>
              <w:rPr>
                <w:rFonts w:hint="eastAsia"/>
                <w:sz w:val="21"/>
                <w:szCs w:val="21"/>
              </w:rPr>
              <w:t>（3）样品的评审方法以及评审标准：详见评标办法；</w:t>
            </w:r>
          </w:p>
          <w:p>
            <w:pPr>
              <w:bidi w:val="0"/>
              <w:spacing w:line="240" w:lineRule="auto"/>
              <w:jc w:val="left"/>
              <w:rPr>
                <w:rFonts w:hint="eastAsia"/>
                <w:sz w:val="21"/>
                <w:szCs w:val="21"/>
              </w:rPr>
            </w:pPr>
            <w:r>
              <w:rPr>
                <w:rFonts w:hint="eastAsia"/>
                <w:sz w:val="21"/>
                <w:szCs w:val="21"/>
              </w:rPr>
              <w:t>（4）是否需要随样品提交检测报告：</w:t>
            </w:r>
            <w:r>
              <w:rPr>
                <w:rFonts w:hint="eastAsia"/>
                <w:sz w:val="21"/>
                <w:szCs w:val="21"/>
              </w:rPr>
              <w:sym w:font="Wingdings" w:char="00A8"/>
            </w:r>
            <w:r>
              <w:rPr>
                <w:rFonts w:hint="eastAsia"/>
                <w:sz w:val="21"/>
                <w:szCs w:val="21"/>
              </w:rPr>
              <w:t>否；☐是，检测机构的要求：</w:t>
            </w:r>
            <w:r>
              <w:rPr>
                <w:rFonts w:hint="eastAsia"/>
                <w:sz w:val="21"/>
                <w:szCs w:val="21"/>
                <w:u w:val="single"/>
              </w:rPr>
              <w:t xml:space="preserve">    </w:t>
            </w:r>
            <w:r>
              <w:rPr>
                <w:rFonts w:hint="eastAsia"/>
                <w:sz w:val="21"/>
                <w:szCs w:val="21"/>
              </w:rPr>
              <w:t>；检测内容：</w:t>
            </w:r>
            <w:r>
              <w:rPr>
                <w:rFonts w:hint="eastAsia"/>
                <w:sz w:val="21"/>
                <w:szCs w:val="21"/>
                <w:u w:val="single"/>
              </w:rPr>
              <w:t xml:space="preserve">    </w:t>
            </w:r>
            <w:r>
              <w:rPr>
                <w:rFonts w:hint="eastAsia"/>
                <w:sz w:val="21"/>
                <w:szCs w:val="21"/>
              </w:rPr>
              <w:t>。</w:t>
            </w:r>
          </w:p>
          <w:p>
            <w:pPr>
              <w:bidi w:val="0"/>
              <w:spacing w:line="240" w:lineRule="auto"/>
              <w:jc w:val="left"/>
              <w:rPr>
                <w:rFonts w:hint="eastAsia"/>
                <w:sz w:val="21"/>
                <w:szCs w:val="21"/>
              </w:rPr>
            </w:pPr>
            <w:r>
              <w:rPr>
                <w:rFonts w:hint="eastAsia"/>
                <w:sz w:val="21"/>
                <w:szCs w:val="21"/>
              </w:rPr>
              <w:t>（5）提供样品的时间：</w:t>
            </w:r>
            <w:r>
              <w:rPr>
                <w:rFonts w:hint="eastAsia"/>
                <w:sz w:val="21"/>
                <w:szCs w:val="21"/>
                <w:u w:val="single"/>
              </w:rPr>
              <w:t xml:space="preserve"> </w:t>
            </w:r>
            <w:r>
              <w:rPr>
                <w:rFonts w:hint="eastAsia"/>
                <w:sz w:val="21"/>
                <w:szCs w:val="21"/>
                <w:u w:val="single"/>
                <w:lang w:val="en-US" w:eastAsia="zh-CN"/>
              </w:rPr>
              <w:t xml:space="preserve">       </w:t>
            </w:r>
            <w:r>
              <w:rPr>
                <w:rFonts w:hint="eastAsia"/>
                <w:sz w:val="21"/>
                <w:szCs w:val="21"/>
                <w:u w:val="single"/>
              </w:rPr>
              <w:t xml:space="preserve"> </w:t>
            </w:r>
            <w:r>
              <w:rPr>
                <w:rFonts w:hint="eastAsia"/>
                <w:sz w:val="21"/>
                <w:szCs w:val="21"/>
              </w:rPr>
              <w:t>；地点：</w:t>
            </w:r>
            <w:r>
              <w:rPr>
                <w:rFonts w:hint="eastAsia"/>
                <w:sz w:val="21"/>
                <w:szCs w:val="21"/>
                <w:u w:val="single"/>
              </w:rPr>
              <w:t xml:space="preserve">    </w:t>
            </w:r>
            <w:r>
              <w:rPr>
                <w:rFonts w:hint="eastAsia"/>
                <w:sz w:val="21"/>
                <w:szCs w:val="21"/>
              </w:rPr>
              <w:t>；联系人：</w:t>
            </w:r>
            <w:r>
              <w:rPr>
                <w:rFonts w:hint="eastAsia"/>
                <w:sz w:val="21"/>
                <w:szCs w:val="21"/>
                <w:u w:val="single"/>
              </w:rPr>
              <w:t xml:space="preserve">    </w:t>
            </w:r>
            <w:r>
              <w:rPr>
                <w:rFonts w:hint="eastAsia"/>
                <w:sz w:val="21"/>
                <w:szCs w:val="21"/>
              </w:rPr>
              <w:t>，联系电话：</w:t>
            </w:r>
            <w:r>
              <w:rPr>
                <w:rFonts w:hint="eastAsia"/>
                <w:sz w:val="21"/>
                <w:szCs w:val="21"/>
                <w:u w:val="single"/>
              </w:rPr>
              <w:t xml:space="preserve">    </w:t>
            </w:r>
            <w:r>
              <w:rPr>
                <w:rFonts w:hint="eastAsia"/>
                <w:sz w:val="21"/>
                <w:szCs w:val="21"/>
              </w:rPr>
              <w:t>。请</w:t>
            </w:r>
            <w:r>
              <w:rPr>
                <w:rFonts w:hint="eastAsia"/>
                <w:sz w:val="21"/>
                <w:szCs w:val="21"/>
                <w:lang w:eastAsia="zh-CN"/>
              </w:rPr>
              <w:t>供应商</w:t>
            </w:r>
            <w:r>
              <w:rPr>
                <w:rFonts w:hint="eastAsia"/>
                <w:sz w:val="21"/>
                <w:szCs w:val="21"/>
              </w:rPr>
              <w:t>在上述时间内提供样品并按规定位置安装完毕。超过截止时间的，采购人或采购代理机构将不予接收，并将清场并封闭样品现场。</w:t>
            </w:r>
          </w:p>
          <w:p>
            <w:pPr>
              <w:bidi w:val="0"/>
              <w:spacing w:line="240" w:lineRule="auto"/>
              <w:jc w:val="left"/>
              <w:rPr>
                <w:rFonts w:hint="eastAsia"/>
                <w:sz w:val="21"/>
                <w:szCs w:val="21"/>
              </w:rPr>
            </w:pPr>
            <w:r>
              <w:rPr>
                <w:rFonts w:hint="eastAsia"/>
                <w:sz w:val="21"/>
                <w:szCs w:val="21"/>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bidi w:val="0"/>
              <w:spacing w:line="240" w:lineRule="auto"/>
              <w:jc w:val="left"/>
              <w:rPr>
                <w:rFonts w:hint="eastAsia"/>
                <w:sz w:val="21"/>
                <w:szCs w:val="21"/>
              </w:rPr>
            </w:pPr>
            <w:r>
              <w:rPr>
                <w:rFonts w:hint="eastAsia"/>
                <w:sz w:val="21"/>
                <w:szCs w:val="21"/>
              </w:rPr>
              <w:t>（7）制作、运输、安装和保管样品所发生的一切费用由</w:t>
            </w:r>
            <w:r>
              <w:rPr>
                <w:rFonts w:hint="eastAsia"/>
                <w:sz w:val="21"/>
                <w:szCs w:val="21"/>
                <w:lang w:eastAsia="zh-CN"/>
              </w:rPr>
              <w:t>供应商</w:t>
            </w:r>
            <w:r>
              <w:rPr>
                <w:rFonts w:hint="eastAsia"/>
                <w:sz w:val="21"/>
                <w:szCs w:val="21"/>
              </w:rPr>
              <w:t>自理。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1864"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12</w:t>
            </w:r>
          </w:p>
        </w:tc>
        <w:tc>
          <w:tcPr>
            <w:tcW w:w="1970" w:type="dxa"/>
            <w:noWrap w:val="0"/>
            <w:vAlign w:val="center"/>
          </w:tcPr>
          <w:p>
            <w:pPr>
              <w:bidi w:val="0"/>
              <w:spacing w:line="240" w:lineRule="auto"/>
              <w:jc w:val="center"/>
              <w:rPr>
                <w:rFonts w:hint="eastAsia"/>
                <w:sz w:val="21"/>
                <w:szCs w:val="21"/>
              </w:rPr>
            </w:pPr>
            <w:r>
              <w:rPr>
                <w:rFonts w:hint="eastAsia"/>
                <w:sz w:val="21"/>
                <w:szCs w:val="21"/>
              </w:rPr>
              <w:t>方案讲解演示</w:t>
            </w:r>
          </w:p>
        </w:tc>
        <w:tc>
          <w:tcPr>
            <w:tcW w:w="7545" w:type="dxa"/>
            <w:noWrap w:val="0"/>
            <w:vAlign w:val="center"/>
          </w:tcPr>
          <w:p>
            <w:pPr>
              <w:bidi w:val="0"/>
              <w:spacing w:line="240" w:lineRule="auto"/>
              <w:jc w:val="left"/>
              <w:rPr>
                <w:rFonts w:hint="eastAsia"/>
                <w:sz w:val="21"/>
                <w:szCs w:val="21"/>
              </w:rPr>
            </w:pPr>
            <w:r>
              <w:rPr>
                <w:rFonts w:hint="eastAsia"/>
                <w:sz w:val="21"/>
                <w:szCs w:val="21"/>
                <w:lang w:eastAsia="zh-CN"/>
              </w:rPr>
              <w:sym w:font="Wingdings 2" w:char="0052"/>
            </w:r>
            <w:r>
              <w:rPr>
                <w:rFonts w:hint="eastAsia"/>
                <w:sz w:val="21"/>
                <w:szCs w:val="21"/>
                <w:lang w:val="en-US" w:eastAsia="zh-CN"/>
              </w:rPr>
              <w:t xml:space="preserve"> </w:t>
            </w:r>
            <w:r>
              <w:rPr>
                <w:rFonts w:hint="eastAsia"/>
                <w:sz w:val="21"/>
                <w:szCs w:val="21"/>
              </w:rPr>
              <w:t>A不组织。</w:t>
            </w:r>
          </w:p>
          <w:p>
            <w:pPr>
              <w:bidi w:val="0"/>
              <w:spacing w:line="240" w:lineRule="auto"/>
              <w:jc w:val="left"/>
              <w:rPr>
                <w:rFonts w:hint="eastAsia"/>
                <w:sz w:val="21"/>
                <w:szCs w:val="21"/>
              </w:rPr>
            </w:pPr>
            <w:r>
              <w:rPr>
                <w:rFonts w:hint="eastAsia"/>
                <w:sz w:val="21"/>
                <w:szCs w:val="21"/>
                <w:lang w:eastAsia="zh-CN"/>
              </w:rPr>
              <w:sym w:font="Wingdings 2" w:char="00A3"/>
            </w:r>
            <w:r>
              <w:rPr>
                <w:rFonts w:hint="eastAsia"/>
                <w:sz w:val="21"/>
                <w:szCs w:val="21"/>
                <w:lang w:val="en-US" w:eastAsia="zh-CN"/>
              </w:rPr>
              <w:t xml:space="preserve"> </w:t>
            </w:r>
            <w:r>
              <w:rPr>
                <w:rFonts w:hint="eastAsia"/>
                <w:sz w:val="21"/>
                <w:szCs w:val="21"/>
              </w:rPr>
              <w:t>B组织。</w:t>
            </w:r>
          </w:p>
          <w:p>
            <w:pPr>
              <w:bidi w:val="0"/>
              <w:spacing w:line="240" w:lineRule="auto"/>
              <w:jc w:val="left"/>
              <w:rPr>
                <w:rFonts w:hint="eastAsia"/>
                <w:sz w:val="21"/>
                <w:szCs w:val="21"/>
              </w:rPr>
            </w:pPr>
            <w:r>
              <w:rPr>
                <w:rFonts w:hint="eastAsia"/>
                <w:sz w:val="21"/>
                <w:szCs w:val="21"/>
              </w:rPr>
              <w:t>（1）在评标时安排每个</w:t>
            </w:r>
            <w:r>
              <w:rPr>
                <w:rFonts w:hint="eastAsia"/>
                <w:sz w:val="21"/>
                <w:szCs w:val="21"/>
                <w:lang w:eastAsia="zh-CN"/>
              </w:rPr>
              <w:t>供应商</w:t>
            </w:r>
            <w:r>
              <w:rPr>
                <w:rFonts w:hint="eastAsia"/>
                <w:sz w:val="21"/>
                <w:szCs w:val="21"/>
              </w:rPr>
              <w:t>进行方案讲解演示。每个</w:t>
            </w:r>
            <w:r>
              <w:rPr>
                <w:rFonts w:hint="eastAsia"/>
                <w:sz w:val="21"/>
                <w:szCs w:val="21"/>
                <w:lang w:eastAsia="zh-CN"/>
              </w:rPr>
              <w:t>供应商</w:t>
            </w:r>
            <w:r>
              <w:rPr>
                <w:rFonts w:hint="eastAsia"/>
                <w:sz w:val="21"/>
                <w:szCs w:val="21"/>
              </w:rPr>
              <w:t>时间不超过20分钟，讲解次序以投标文件解密时间先后次序为准，讲解演示人员不超过2人。讲解演示结束后按要求解答评标委员会提问。</w:t>
            </w:r>
          </w:p>
          <w:p>
            <w:pPr>
              <w:bidi w:val="0"/>
              <w:spacing w:line="240" w:lineRule="auto"/>
              <w:jc w:val="left"/>
              <w:rPr>
                <w:rFonts w:hint="eastAsia"/>
                <w:sz w:val="21"/>
                <w:szCs w:val="21"/>
              </w:rPr>
            </w:pPr>
            <w:r>
              <w:rPr>
                <w:rFonts w:hint="eastAsia"/>
                <w:sz w:val="21"/>
                <w:szCs w:val="21"/>
              </w:rPr>
              <w:t>（2）方案讲解方式：评审现场讲解演示。现场讲解地点为</w:t>
            </w:r>
            <w:r>
              <w:rPr>
                <w:rFonts w:hint="eastAsia"/>
                <w:sz w:val="21"/>
                <w:szCs w:val="21"/>
                <w:u w:val="single"/>
              </w:rPr>
              <w:t xml:space="preserve">   </w:t>
            </w:r>
            <w:r>
              <w:rPr>
                <w:rFonts w:hint="eastAsia"/>
                <w:sz w:val="21"/>
                <w:szCs w:val="21"/>
              </w:rPr>
              <w:t>，讲解演示所用电脑、网络等设备由</w:t>
            </w:r>
            <w:r>
              <w:rPr>
                <w:rFonts w:hint="eastAsia"/>
                <w:sz w:val="21"/>
                <w:szCs w:val="21"/>
                <w:lang w:eastAsia="zh-CN"/>
              </w:rPr>
              <w:t>供应商</w:t>
            </w:r>
            <w:r>
              <w:rPr>
                <w:rFonts w:hint="eastAsia"/>
                <w:sz w:val="21"/>
                <w:szCs w:val="21"/>
              </w:rPr>
              <w:t>自备。现场讲解演示人员进场时提供讲解人员名单（加盖公章）及身份证明。</w:t>
            </w:r>
          </w:p>
          <w:p>
            <w:pPr>
              <w:bidi w:val="0"/>
              <w:spacing w:line="240" w:lineRule="auto"/>
              <w:jc w:val="left"/>
              <w:rPr>
                <w:rFonts w:hint="eastAsia"/>
                <w:sz w:val="21"/>
                <w:szCs w:val="21"/>
              </w:rPr>
            </w:pPr>
            <w:r>
              <w:rPr>
                <w:rFonts w:hint="eastAsia"/>
                <w:sz w:val="21"/>
                <w:szCs w:val="21"/>
              </w:rPr>
              <w:t>注：因</w:t>
            </w:r>
            <w:r>
              <w:rPr>
                <w:rFonts w:hint="eastAsia"/>
                <w:sz w:val="21"/>
                <w:szCs w:val="21"/>
                <w:lang w:eastAsia="zh-CN"/>
              </w:rPr>
              <w:t>供应商</w:t>
            </w:r>
            <w:r>
              <w:rPr>
                <w:rFonts w:hint="eastAsia"/>
                <w:sz w:val="21"/>
                <w:szCs w:val="21"/>
              </w:rPr>
              <w:t>自身原因导致无法演示或者演示效果不理想的，责任自负。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02"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13</w:t>
            </w:r>
          </w:p>
        </w:tc>
        <w:tc>
          <w:tcPr>
            <w:tcW w:w="1970" w:type="dxa"/>
            <w:noWrap w:val="0"/>
            <w:vAlign w:val="center"/>
          </w:tcPr>
          <w:p>
            <w:pPr>
              <w:bidi w:val="0"/>
              <w:spacing w:line="240" w:lineRule="auto"/>
              <w:jc w:val="center"/>
              <w:rPr>
                <w:rFonts w:hint="eastAsia"/>
                <w:sz w:val="21"/>
                <w:szCs w:val="21"/>
              </w:rPr>
            </w:pPr>
            <w:r>
              <w:rPr>
                <w:rFonts w:hint="eastAsia"/>
                <w:sz w:val="21"/>
                <w:szCs w:val="21"/>
              </w:rPr>
              <w:t>履约担保</w:t>
            </w:r>
          </w:p>
        </w:tc>
        <w:tc>
          <w:tcPr>
            <w:tcW w:w="7545" w:type="dxa"/>
            <w:noWrap w:val="0"/>
            <w:vAlign w:val="center"/>
          </w:tcPr>
          <w:p>
            <w:pPr>
              <w:bidi w:val="0"/>
              <w:spacing w:line="240" w:lineRule="auto"/>
              <w:jc w:val="left"/>
              <w:rPr>
                <w:rFonts w:hint="eastAsia"/>
                <w:sz w:val="21"/>
                <w:szCs w:val="21"/>
              </w:rPr>
            </w:pPr>
            <w:r>
              <w:rPr>
                <w:rFonts w:hint="eastAsia"/>
                <w:sz w:val="21"/>
                <w:szCs w:val="21"/>
              </w:rPr>
              <w:sym w:font="Wingdings 2" w:char="00A3"/>
            </w:r>
            <w:r>
              <w:rPr>
                <w:rFonts w:hint="eastAsia"/>
                <w:sz w:val="21"/>
                <w:szCs w:val="21"/>
              </w:rPr>
              <w:t xml:space="preserve"> 不需要</w:t>
            </w:r>
          </w:p>
          <w:p>
            <w:pPr>
              <w:bidi w:val="0"/>
              <w:spacing w:line="240" w:lineRule="auto"/>
              <w:jc w:val="left"/>
              <w:rPr>
                <w:rFonts w:hint="eastAsia"/>
                <w:sz w:val="21"/>
                <w:szCs w:val="21"/>
              </w:rPr>
            </w:pPr>
            <w:r>
              <w:rPr>
                <w:rFonts w:hint="eastAsia"/>
                <w:sz w:val="21"/>
                <w:szCs w:val="21"/>
              </w:rPr>
              <w:sym w:font="Wingdings 2" w:char="0052"/>
            </w:r>
            <w:r>
              <w:rPr>
                <w:rFonts w:hint="eastAsia"/>
                <w:sz w:val="21"/>
                <w:szCs w:val="21"/>
              </w:rPr>
              <w:t xml:space="preserve"> 需要</w:t>
            </w:r>
            <w:r>
              <w:rPr>
                <w:rFonts w:hint="eastAsia"/>
                <w:sz w:val="21"/>
                <w:szCs w:val="21"/>
                <w:lang w:eastAsia="zh-CN"/>
              </w:rPr>
              <w:t>。履约保证金：按合同总金额的</w:t>
            </w:r>
            <w:r>
              <w:rPr>
                <w:rFonts w:hint="eastAsia"/>
                <w:sz w:val="21"/>
                <w:szCs w:val="21"/>
                <w:lang w:val="en-US" w:eastAsia="zh-CN"/>
              </w:rPr>
              <w:t>1</w:t>
            </w:r>
            <w:r>
              <w:rPr>
                <w:rFonts w:hint="eastAsia"/>
                <w:sz w:val="21"/>
                <w:szCs w:val="21"/>
                <w:lang w:eastAsia="zh-CN"/>
              </w:rPr>
              <w:t>% 计收，以转账或保函的形式。领取中标通知书后15日内交至采购人指定账户。</w:t>
            </w:r>
            <w:r>
              <w:rPr>
                <w:rFonts w:hint="eastAsia"/>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251"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14</w:t>
            </w:r>
          </w:p>
        </w:tc>
        <w:tc>
          <w:tcPr>
            <w:tcW w:w="1970" w:type="dxa"/>
            <w:noWrap w:val="0"/>
            <w:vAlign w:val="center"/>
          </w:tcPr>
          <w:p>
            <w:pPr>
              <w:bidi w:val="0"/>
              <w:spacing w:line="240" w:lineRule="auto"/>
              <w:jc w:val="center"/>
              <w:rPr>
                <w:rFonts w:hint="eastAsia"/>
                <w:sz w:val="21"/>
                <w:szCs w:val="21"/>
              </w:rPr>
            </w:pPr>
            <w:r>
              <w:rPr>
                <w:rFonts w:hint="eastAsia"/>
                <w:sz w:val="21"/>
                <w:szCs w:val="21"/>
              </w:rPr>
              <w:t>投标文件的形式</w:t>
            </w:r>
          </w:p>
        </w:tc>
        <w:tc>
          <w:tcPr>
            <w:tcW w:w="7545" w:type="dxa"/>
            <w:noWrap w:val="0"/>
            <w:vAlign w:val="center"/>
          </w:tcPr>
          <w:p>
            <w:pPr>
              <w:bidi w:val="0"/>
              <w:spacing w:line="240" w:lineRule="auto"/>
              <w:jc w:val="left"/>
              <w:rPr>
                <w:rFonts w:hint="eastAsia"/>
                <w:sz w:val="21"/>
                <w:szCs w:val="21"/>
              </w:rPr>
            </w:pPr>
            <w:r>
              <w:rPr>
                <w:rFonts w:hint="eastAsia"/>
                <w:sz w:val="21"/>
                <w:szCs w:val="21"/>
                <w:lang w:eastAsia="zh-CN"/>
              </w:rPr>
              <w:t>供应商</w:t>
            </w:r>
            <w:r>
              <w:rPr>
                <w:rFonts w:hint="eastAsia"/>
                <w:sz w:val="21"/>
                <w:szCs w:val="21"/>
              </w:rPr>
              <w:t>应准备电子投标文件。</w:t>
            </w:r>
          </w:p>
          <w:p>
            <w:pPr>
              <w:bidi w:val="0"/>
              <w:spacing w:line="240" w:lineRule="auto"/>
              <w:jc w:val="left"/>
              <w:rPr>
                <w:rFonts w:hint="eastAsia"/>
                <w:sz w:val="21"/>
                <w:szCs w:val="21"/>
              </w:rPr>
            </w:pPr>
            <w:r>
              <w:rPr>
                <w:rFonts w:hint="eastAsia"/>
                <w:sz w:val="21"/>
                <w:szCs w:val="21"/>
              </w:rPr>
              <w:t>电子投标文件是指通过“政采云电子交易客户端”完成投标文件编制后生成并加密的数据电文形式的电子加密投标文件。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90"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15</w:t>
            </w:r>
          </w:p>
        </w:tc>
        <w:tc>
          <w:tcPr>
            <w:tcW w:w="1970" w:type="dxa"/>
            <w:noWrap w:val="0"/>
            <w:vAlign w:val="center"/>
          </w:tcPr>
          <w:p>
            <w:pPr>
              <w:bidi w:val="0"/>
              <w:spacing w:line="240" w:lineRule="auto"/>
              <w:jc w:val="center"/>
              <w:rPr>
                <w:rFonts w:hint="eastAsia"/>
                <w:sz w:val="21"/>
                <w:szCs w:val="21"/>
              </w:rPr>
            </w:pPr>
            <w:r>
              <w:rPr>
                <w:rFonts w:hint="eastAsia"/>
                <w:sz w:val="21"/>
                <w:szCs w:val="21"/>
              </w:rPr>
              <w:t>投标文件的编制</w:t>
            </w:r>
          </w:p>
        </w:tc>
        <w:tc>
          <w:tcPr>
            <w:tcW w:w="7545" w:type="dxa"/>
            <w:noWrap w:val="0"/>
            <w:vAlign w:val="center"/>
          </w:tcPr>
          <w:p>
            <w:pPr>
              <w:bidi w:val="0"/>
              <w:spacing w:line="240" w:lineRule="auto"/>
              <w:jc w:val="left"/>
              <w:rPr>
                <w:rFonts w:hint="eastAsia"/>
                <w:sz w:val="21"/>
                <w:szCs w:val="21"/>
              </w:rPr>
            </w:pPr>
            <w:r>
              <w:rPr>
                <w:rFonts w:hint="eastAsia"/>
                <w:sz w:val="21"/>
                <w:szCs w:val="21"/>
                <w:lang w:eastAsia="zh-CN"/>
              </w:rPr>
              <w:t>供应商</w:t>
            </w:r>
            <w:r>
              <w:rPr>
                <w:rFonts w:hint="eastAsia"/>
                <w:sz w:val="21"/>
                <w:szCs w:val="21"/>
              </w:rPr>
              <w:t>应先安装“政采云电子交易客户端”，并按照本招标文件和“政府采购云平台”的要求，通过“政采云电子交易客户端”编制并加密投标文件。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72" w:hRule="atLeast"/>
          <w:jc w:val="center"/>
        </w:trPr>
        <w:tc>
          <w:tcPr>
            <w:tcW w:w="760" w:type="dxa"/>
            <w:noWrap w:val="0"/>
            <w:vAlign w:val="center"/>
          </w:tcPr>
          <w:p>
            <w:pPr>
              <w:bidi w:val="0"/>
              <w:spacing w:line="240" w:lineRule="auto"/>
              <w:jc w:val="center"/>
              <w:rPr>
                <w:rFonts w:hint="eastAsia"/>
                <w:sz w:val="21"/>
                <w:szCs w:val="21"/>
                <w:lang w:val="zh-CN"/>
              </w:rPr>
            </w:pPr>
            <w:r>
              <w:rPr>
                <w:rFonts w:hint="eastAsia"/>
                <w:sz w:val="21"/>
                <w:szCs w:val="21"/>
                <w:lang w:val="zh-CN"/>
              </w:rPr>
              <w:t>1</w:t>
            </w:r>
            <w:r>
              <w:rPr>
                <w:rFonts w:hint="eastAsia"/>
                <w:sz w:val="21"/>
                <w:szCs w:val="21"/>
              </w:rPr>
              <w:t>6</w:t>
            </w:r>
          </w:p>
        </w:tc>
        <w:tc>
          <w:tcPr>
            <w:tcW w:w="1970" w:type="dxa"/>
            <w:noWrap w:val="0"/>
            <w:vAlign w:val="center"/>
          </w:tcPr>
          <w:p>
            <w:pPr>
              <w:bidi w:val="0"/>
              <w:spacing w:line="240" w:lineRule="auto"/>
              <w:jc w:val="center"/>
              <w:rPr>
                <w:rFonts w:hint="eastAsia"/>
                <w:sz w:val="21"/>
                <w:szCs w:val="21"/>
              </w:rPr>
            </w:pPr>
            <w:r>
              <w:rPr>
                <w:rFonts w:hint="eastAsia"/>
                <w:sz w:val="21"/>
                <w:szCs w:val="21"/>
              </w:rPr>
              <w:t>投标文件的组成</w:t>
            </w:r>
          </w:p>
        </w:tc>
        <w:tc>
          <w:tcPr>
            <w:tcW w:w="7545" w:type="dxa"/>
            <w:noWrap w:val="0"/>
            <w:vAlign w:val="center"/>
          </w:tcPr>
          <w:p>
            <w:pPr>
              <w:bidi w:val="0"/>
              <w:spacing w:line="240" w:lineRule="auto"/>
              <w:jc w:val="left"/>
              <w:rPr>
                <w:rFonts w:hint="eastAsia"/>
                <w:sz w:val="21"/>
                <w:szCs w:val="21"/>
              </w:rPr>
            </w:pPr>
            <w:r>
              <w:rPr>
                <w:rFonts w:hint="eastAsia"/>
                <w:sz w:val="21"/>
                <w:szCs w:val="21"/>
              </w:rPr>
              <w:t>由“资格文件”、“技术商务文件”和“报价文件”三个部分组成。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14" w:hRule="atLeast"/>
          <w:jc w:val="center"/>
        </w:trPr>
        <w:tc>
          <w:tcPr>
            <w:tcW w:w="760" w:type="dxa"/>
            <w:noWrap w:val="0"/>
            <w:vAlign w:val="center"/>
          </w:tcPr>
          <w:p>
            <w:pPr>
              <w:bidi w:val="0"/>
              <w:spacing w:line="240" w:lineRule="auto"/>
              <w:jc w:val="center"/>
              <w:rPr>
                <w:rFonts w:hint="eastAsia"/>
                <w:sz w:val="21"/>
                <w:szCs w:val="21"/>
                <w:lang w:val="zh-CN"/>
              </w:rPr>
            </w:pPr>
            <w:r>
              <w:rPr>
                <w:rFonts w:hint="eastAsia"/>
                <w:sz w:val="21"/>
                <w:szCs w:val="21"/>
              </w:rPr>
              <w:t>17</w:t>
            </w:r>
          </w:p>
        </w:tc>
        <w:tc>
          <w:tcPr>
            <w:tcW w:w="1970" w:type="dxa"/>
            <w:noWrap w:val="0"/>
            <w:vAlign w:val="center"/>
          </w:tcPr>
          <w:p>
            <w:pPr>
              <w:bidi w:val="0"/>
              <w:spacing w:line="240" w:lineRule="auto"/>
              <w:jc w:val="center"/>
              <w:rPr>
                <w:rFonts w:hint="eastAsia"/>
                <w:sz w:val="21"/>
                <w:szCs w:val="21"/>
              </w:rPr>
            </w:pPr>
            <w:r>
              <w:rPr>
                <w:rFonts w:hint="eastAsia"/>
                <w:sz w:val="21"/>
                <w:szCs w:val="21"/>
              </w:rPr>
              <w:t>投标文件的盖章</w:t>
            </w:r>
          </w:p>
        </w:tc>
        <w:tc>
          <w:tcPr>
            <w:tcW w:w="7545" w:type="dxa"/>
            <w:noWrap w:val="0"/>
            <w:vAlign w:val="center"/>
          </w:tcPr>
          <w:p>
            <w:pPr>
              <w:bidi w:val="0"/>
              <w:spacing w:line="240" w:lineRule="auto"/>
              <w:jc w:val="left"/>
              <w:rPr>
                <w:rFonts w:hint="eastAsia"/>
                <w:sz w:val="21"/>
                <w:szCs w:val="21"/>
              </w:rPr>
            </w:pPr>
            <w:r>
              <w:rPr>
                <w:rFonts w:hint="eastAsia"/>
                <w:sz w:val="21"/>
                <w:szCs w:val="21"/>
              </w:rPr>
              <w:t>投标文件中所涉及的加盖公章均采用CA电子签章。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02"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18</w:t>
            </w:r>
          </w:p>
        </w:tc>
        <w:tc>
          <w:tcPr>
            <w:tcW w:w="1970" w:type="dxa"/>
            <w:noWrap w:val="0"/>
            <w:vAlign w:val="center"/>
          </w:tcPr>
          <w:p>
            <w:pPr>
              <w:bidi w:val="0"/>
              <w:spacing w:line="240" w:lineRule="auto"/>
              <w:jc w:val="center"/>
              <w:rPr>
                <w:rFonts w:hint="eastAsia"/>
                <w:sz w:val="21"/>
                <w:szCs w:val="21"/>
              </w:rPr>
            </w:pPr>
            <w:r>
              <w:rPr>
                <w:rFonts w:hint="eastAsia"/>
                <w:sz w:val="21"/>
                <w:szCs w:val="21"/>
              </w:rPr>
              <w:t>法定代表人或其授权代表签字或盖章</w:t>
            </w:r>
          </w:p>
        </w:tc>
        <w:tc>
          <w:tcPr>
            <w:tcW w:w="7545" w:type="dxa"/>
            <w:noWrap w:val="0"/>
            <w:vAlign w:val="center"/>
          </w:tcPr>
          <w:p>
            <w:pPr>
              <w:bidi w:val="0"/>
              <w:spacing w:line="240" w:lineRule="auto"/>
              <w:jc w:val="left"/>
              <w:rPr>
                <w:rFonts w:hint="eastAsia"/>
                <w:sz w:val="21"/>
                <w:szCs w:val="21"/>
              </w:rPr>
            </w:pPr>
            <w:r>
              <w:rPr>
                <w:rFonts w:hint="eastAsia"/>
                <w:sz w:val="21"/>
                <w:szCs w:val="21"/>
              </w:rPr>
              <w:t>本招标文件所涉及的法定代表人或其授权代表签字或盖章的内容，如果投标单位没有法定代表人电子签章，涉及到法定代表人或其授权代表签字或盖章的内容，投标单位可以线下签字或盖章后扫描上传。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19</w:t>
            </w:r>
          </w:p>
        </w:tc>
        <w:tc>
          <w:tcPr>
            <w:tcW w:w="1970" w:type="dxa"/>
            <w:noWrap w:val="0"/>
            <w:vAlign w:val="center"/>
          </w:tcPr>
          <w:p>
            <w:pPr>
              <w:bidi w:val="0"/>
              <w:spacing w:line="240" w:lineRule="auto"/>
              <w:jc w:val="center"/>
              <w:rPr>
                <w:rFonts w:hint="eastAsia"/>
                <w:sz w:val="21"/>
                <w:szCs w:val="21"/>
              </w:rPr>
            </w:pPr>
            <w:r>
              <w:rPr>
                <w:rFonts w:hint="eastAsia"/>
                <w:sz w:val="21"/>
                <w:szCs w:val="21"/>
              </w:rPr>
              <w:t>投标文件份数</w:t>
            </w:r>
          </w:p>
        </w:tc>
        <w:tc>
          <w:tcPr>
            <w:tcW w:w="7545" w:type="dxa"/>
            <w:noWrap w:val="0"/>
            <w:vAlign w:val="center"/>
          </w:tcPr>
          <w:p>
            <w:pPr>
              <w:bidi w:val="0"/>
              <w:spacing w:line="240" w:lineRule="auto"/>
              <w:jc w:val="left"/>
              <w:rPr>
                <w:rFonts w:hint="eastAsia"/>
                <w:sz w:val="21"/>
                <w:szCs w:val="21"/>
              </w:rPr>
            </w:pPr>
            <w:r>
              <w:rPr>
                <w:rFonts w:hint="eastAsia"/>
                <w:sz w:val="21"/>
                <w:szCs w:val="21"/>
              </w:rPr>
              <w:t>1.电子加密投标文件在线上传递交一份。</w:t>
            </w:r>
          </w:p>
          <w:p>
            <w:pPr>
              <w:bidi w:val="0"/>
              <w:spacing w:line="240" w:lineRule="auto"/>
              <w:jc w:val="left"/>
              <w:rPr>
                <w:rFonts w:hint="eastAsia"/>
                <w:sz w:val="21"/>
                <w:szCs w:val="21"/>
              </w:rPr>
            </w:pPr>
            <w:r>
              <w:rPr>
                <w:rFonts w:hint="eastAsia"/>
                <w:sz w:val="21"/>
                <w:szCs w:val="21"/>
              </w:rPr>
              <w:t>2.中标人在评标结束3个工作日内向采购代理机构递交与政采云系统上传文件一致的完整（“资格文件”、“技术商务文件”和“报价文件”）纸质投标文件</w:t>
            </w:r>
            <w:r>
              <w:rPr>
                <w:rFonts w:hint="eastAsia"/>
                <w:sz w:val="21"/>
                <w:szCs w:val="21"/>
                <w:lang w:val="en-US" w:eastAsia="zh-CN"/>
              </w:rPr>
              <w:t>四</w:t>
            </w:r>
            <w:r>
              <w:rPr>
                <w:rFonts w:hint="eastAsia"/>
                <w:sz w:val="21"/>
                <w:szCs w:val="21"/>
              </w:rPr>
              <w:t>套（需装订好），供采购人项目存档用。</w:t>
            </w:r>
          </w:p>
          <w:p>
            <w:pPr>
              <w:bidi w:val="0"/>
              <w:spacing w:line="240" w:lineRule="auto"/>
              <w:jc w:val="left"/>
              <w:rPr>
                <w:rFonts w:hint="eastAsia"/>
                <w:sz w:val="21"/>
                <w:szCs w:val="21"/>
              </w:rPr>
            </w:pPr>
            <w:r>
              <w:rPr>
                <w:rFonts w:hint="eastAsia"/>
                <w:sz w:val="21"/>
                <w:szCs w:val="21"/>
              </w:rPr>
              <w:t>纸质投标文件邮寄或递交至代理机构现场。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20</w:t>
            </w:r>
          </w:p>
        </w:tc>
        <w:tc>
          <w:tcPr>
            <w:tcW w:w="1970" w:type="dxa"/>
            <w:noWrap w:val="0"/>
            <w:vAlign w:val="center"/>
          </w:tcPr>
          <w:p>
            <w:pPr>
              <w:bidi w:val="0"/>
              <w:spacing w:line="240" w:lineRule="auto"/>
              <w:jc w:val="center"/>
              <w:rPr>
                <w:rFonts w:hint="eastAsia"/>
                <w:sz w:val="21"/>
                <w:szCs w:val="21"/>
              </w:rPr>
            </w:pPr>
            <w:r>
              <w:rPr>
                <w:rFonts w:hint="eastAsia"/>
                <w:sz w:val="21"/>
                <w:szCs w:val="21"/>
              </w:rPr>
              <w:t>投标文件的上传</w:t>
            </w:r>
          </w:p>
          <w:p>
            <w:pPr>
              <w:bidi w:val="0"/>
              <w:spacing w:line="240" w:lineRule="auto"/>
              <w:jc w:val="center"/>
              <w:rPr>
                <w:rFonts w:hint="eastAsia"/>
                <w:sz w:val="21"/>
                <w:szCs w:val="21"/>
              </w:rPr>
            </w:pPr>
            <w:r>
              <w:rPr>
                <w:rFonts w:hint="eastAsia"/>
                <w:sz w:val="21"/>
                <w:szCs w:val="21"/>
              </w:rPr>
              <w:t>和递交</w:t>
            </w:r>
          </w:p>
        </w:tc>
        <w:tc>
          <w:tcPr>
            <w:tcW w:w="7545" w:type="dxa"/>
            <w:noWrap w:val="0"/>
            <w:vAlign w:val="center"/>
          </w:tcPr>
          <w:p>
            <w:pPr>
              <w:bidi w:val="0"/>
              <w:spacing w:line="240" w:lineRule="auto"/>
              <w:jc w:val="left"/>
              <w:rPr>
                <w:rFonts w:hint="eastAsia"/>
                <w:sz w:val="21"/>
                <w:szCs w:val="21"/>
              </w:rPr>
            </w:pPr>
            <w:r>
              <w:rPr>
                <w:rFonts w:hint="eastAsia"/>
                <w:sz w:val="21"/>
                <w:szCs w:val="21"/>
              </w:rPr>
              <w:t>本项目通过“政府采购云平台（www.zcygov.cn）”实行在线投标响应（电子投标），</w:t>
            </w:r>
            <w:r>
              <w:rPr>
                <w:rFonts w:hint="eastAsia"/>
                <w:sz w:val="21"/>
                <w:szCs w:val="21"/>
                <w:lang w:eastAsia="zh-CN"/>
              </w:rPr>
              <w:t>供应商</w:t>
            </w:r>
            <w:r>
              <w:rPr>
                <w:rFonts w:hint="eastAsia"/>
                <w:sz w:val="21"/>
                <w:szCs w:val="21"/>
              </w:rPr>
              <w:t>应当在投标截止时间前，将生成的“电子加密投标文件”上传递交至“政府采购云平台”。</w:t>
            </w:r>
          </w:p>
          <w:p>
            <w:pPr>
              <w:bidi w:val="0"/>
              <w:spacing w:line="240" w:lineRule="auto"/>
              <w:jc w:val="left"/>
              <w:rPr>
                <w:rFonts w:hint="eastAsia"/>
                <w:sz w:val="21"/>
                <w:szCs w:val="21"/>
              </w:rPr>
            </w:pPr>
            <w:r>
              <w:rPr>
                <w:rFonts w:hint="eastAsia"/>
                <w:sz w:val="21"/>
                <w:szCs w:val="21"/>
              </w:rPr>
              <w:t>“电子加密投标文件”的上传、递交：</w:t>
            </w:r>
          </w:p>
          <w:p>
            <w:pPr>
              <w:bidi w:val="0"/>
              <w:spacing w:line="240" w:lineRule="auto"/>
              <w:jc w:val="left"/>
              <w:rPr>
                <w:rFonts w:hint="eastAsia"/>
                <w:sz w:val="21"/>
                <w:szCs w:val="21"/>
              </w:rPr>
            </w:pPr>
            <w:r>
              <w:rPr>
                <w:rFonts w:hint="eastAsia"/>
                <w:sz w:val="21"/>
                <w:szCs w:val="21"/>
              </w:rPr>
              <w:t>a.</w:t>
            </w:r>
            <w:r>
              <w:rPr>
                <w:rFonts w:hint="eastAsia"/>
                <w:sz w:val="21"/>
                <w:szCs w:val="21"/>
                <w:lang w:eastAsia="zh-CN"/>
              </w:rPr>
              <w:t>供应商</w:t>
            </w:r>
            <w:r>
              <w:rPr>
                <w:rFonts w:hint="eastAsia"/>
                <w:sz w:val="21"/>
                <w:szCs w:val="21"/>
              </w:rPr>
              <w:t>应在投标截止时间前将“电子加密投标文件”成功上传递交至“政府采购云平台”，否则投标无效。</w:t>
            </w:r>
          </w:p>
          <w:p>
            <w:pPr>
              <w:bidi w:val="0"/>
              <w:spacing w:line="240" w:lineRule="auto"/>
              <w:jc w:val="left"/>
              <w:rPr>
                <w:rFonts w:hint="eastAsia"/>
                <w:sz w:val="21"/>
                <w:szCs w:val="21"/>
              </w:rPr>
            </w:pPr>
            <w:r>
              <w:rPr>
                <w:rFonts w:hint="eastAsia"/>
                <w:sz w:val="21"/>
                <w:szCs w:val="21"/>
              </w:rPr>
              <w:t>b.“电子加密投标文件”成功上传递交后，</w:t>
            </w:r>
            <w:r>
              <w:rPr>
                <w:rFonts w:hint="eastAsia"/>
                <w:sz w:val="21"/>
                <w:szCs w:val="21"/>
                <w:lang w:eastAsia="zh-CN"/>
              </w:rPr>
              <w:t>供应商</w:t>
            </w:r>
            <w:r>
              <w:rPr>
                <w:rFonts w:hint="eastAsia"/>
                <w:sz w:val="21"/>
                <w:szCs w:val="21"/>
              </w:rPr>
              <w:t>可自行打印投标文件接收回执。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667"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21</w:t>
            </w:r>
          </w:p>
        </w:tc>
        <w:tc>
          <w:tcPr>
            <w:tcW w:w="1970" w:type="dxa"/>
            <w:noWrap w:val="0"/>
            <w:vAlign w:val="center"/>
          </w:tcPr>
          <w:p>
            <w:pPr>
              <w:bidi w:val="0"/>
              <w:spacing w:line="240" w:lineRule="auto"/>
              <w:jc w:val="center"/>
              <w:rPr>
                <w:rFonts w:hint="eastAsia"/>
                <w:sz w:val="21"/>
                <w:szCs w:val="21"/>
              </w:rPr>
            </w:pPr>
            <w:r>
              <w:rPr>
                <w:rFonts w:hint="eastAsia"/>
                <w:sz w:val="21"/>
                <w:szCs w:val="21"/>
              </w:rPr>
              <w:t>投标文件加密解密</w:t>
            </w:r>
          </w:p>
        </w:tc>
        <w:tc>
          <w:tcPr>
            <w:tcW w:w="7545" w:type="dxa"/>
            <w:noWrap w:val="0"/>
            <w:vAlign w:val="center"/>
          </w:tcPr>
          <w:p>
            <w:pPr>
              <w:bidi w:val="0"/>
              <w:spacing w:line="240" w:lineRule="auto"/>
              <w:jc w:val="left"/>
              <w:rPr>
                <w:rFonts w:hint="eastAsia"/>
                <w:sz w:val="21"/>
                <w:szCs w:val="21"/>
              </w:rPr>
            </w:pPr>
            <w:r>
              <w:rPr>
                <w:rFonts w:hint="eastAsia"/>
                <w:sz w:val="21"/>
                <w:szCs w:val="21"/>
              </w:rPr>
              <w:t>1.开标后，采购组织机构将向各</w:t>
            </w:r>
            <w:r>
              <w:rPr>
                <w:rFonts w:hint="eastAsia"/>
                <w:sz w:val="21"/>
                <w:szCs w:val="21"/>
                <w:lang w:eastAsia="zh-CN"/>
              </w:rPr>
              <w:t>供应商</w:t>
            </w:r>
            <w:r>
              <w:rPr>
                <w:rFonts w:hint="eastAsia"/>
                <w:sz w:val="21"/>
                <w:szCs w:val="21"/>
              </w:rPr>
              <w:t>发出“电子加密投标文件”的解密通知，各</w:t>
            </w:r>
            <w:r>
              <w:rPr>
                <w:rFonts w:hint="eastAsia"/>
                <w:sz w:val="21"/>
                <w:szCs w:val="21"/>
                <w:lang w:eastAsia="zh-CN"/>
              </w:rPr>
              <w:t>供应商</w:t>
            </w:r>
            <w:r>
              <w:rPr>
                <w:rFonts w:hint="eastAsia"/>
                <w:sz w:val="21"/>
                <w:szCs w:val="21"/>
              </w:rPr>
              <w:t>代表应当在接到解密通知后30分钟内自行完成“电子加密投标文件”的在线解密。</w:t>
            </w:r>
          </w:p>
          <w:p>
            <w:pPr>
              <w:bidi w:val="0"/>
              <w:spacing w:line="240" w:lineRule="auto"/>
              <w:jc w:val="left"/>
              <w:rPr>
                <w:rFonts w:hint="eastAsia"/>
                <w:sz w:val="21"/>
                <w:szCs w:val="21"/>
              </w:rPr>
            </w:pPr>
            <w:r>
              <w:rPr>
                <w:rFonts w:hint="eastAsia"/>
                <w:sz w:val="21"/>
                <w:szCs w:val="21"/>
              </w:rPr>
              <w:t>2.通过“政府采购云平台”成功上传递交的“电子加密投标文件”无法按时解密的，其投标文件按拒收处理。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236"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22</w:t>
            </w:r>
          </w:p>
        </w:tc>
        <w:tc>
          <w:tcPr>
            <w:tcW w:w="1970" w:type="dxa"/>
            <w:noWrap w:val="0"/>
            <w:vAlign w:val="center"/>
          </w:tcPr>
          <w:p>
            <w:pPr>
              <w:bidi w:val="0"/>
              <w:spacing w:line="240" w:lineRule="auto"/>
              <w:jc w:val="center"/>
              <w:rPr>
                <w:rFonts w:hint="eastAsia"/>
                <w:sz w:val="21"/>
                <w:szCs w:val="21"/>
              </w:rPr>
            </w:pPr>
            <w:r>
              <w:rPr>
                <w:rFonts w:hint="eastAsia"/>
                <w:sz w:val="21"/>
                <w:szCs w:val="21"/>
              </w:rPr>
              <w:t>是否允许递交备选投标方案</w:t>
            </w:r>
          </w:p>
        </w:tc>
        <w:tc>
          <w:tcPr>
            <w:tcW w:w="7545" w:type="dxa"/>
            <w:noWrap w:val="0"/>
            <w:vAlign w:val="center"/>
          </w:tcPr>
          <w:p>
            <w:pPr>
              <w:bidi w:val="0"/>
              <w:spacing w:line="240" w:lineRule="auto"/>
              <w:jc w:val="left"/>
              <w:rPr>
                <w:rFonts w:hint="eastAsia"/>
                <w:sz w:val="21"/>
                <w:szCs w:val="21"/>
              </w:rPr>
            </w:pPr>
            <w:r>
              <w:rPr>
                <w:rFonts w:hint="eastAsia"/>
                <w:sz w:val="21"/>
                <w:szCs w:val="21"/>
              </w:rPr>
              <w:sym w:font="Wingdings 2" w:char="0052"/>
            </w:r>
            <w:r>
              <w:rPr>
                <w:rFonts w:hint="eastAsia"/>
                <w:sz w:val="21"/>
                <w:szCs w:val="21"/>
              </w:rPr>
              <w:t xml:space="preserve"> 不允许</w:t>
            </w:r>
          </w:p>
          <w:p>
            <w:pPr>
              <w:bidi w:val="0"/>
              <w:spacing w:line="240" w:lineRule="auto"/>
              <w:jc w:val="left"/>
              <w:rPr>
                <w:rFonts w:hint="eastAsia"/>
                <w:sz w:val="21"/>
                <w:szCs w:val="21"/>
              </w:rPr>
            </w:pPr>
            <w:r>
              <w:rPr>
                <w:rFonts w:hint="eastAsia"/>
                <w:sz w:val="21"/>
                <w:szCs w:val="21"/>
              </w:rPr>
              <w:sym w:font="Wingdings 2" w:char="00A3"/>
            </w:r>
            <w:r>
              <w:rPr>
                <w:rFonts w:hint="eastAsia"/>
                <w:sz w:val="21"/>
                <w:szCs w:val="21"/>
              </w:rPr>
              <w:t xml:space="preserve"> 允许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67" w:hRule="atLeast"/>
          <w:jc w:val="center"/>
        </w:trPr>
        <w:tc>
          <w:tcPr>
            <w:tcW w:w="760" w:type="dxa"/>
            <w:noWrap w:val="0"/>
            <w:vAlign w:val="center"/>
          </w:tcPr>
          <w:p>
            <w:pPr>
              <w:bidi w:val="0"/>
              <w:spacing w:line="240" w:lineRule="auto"/>
              <w:jc w:val="center"/>
              <w:rPr>
                <w:rFonts w:hint="eastAsia"/>
                <w:sz w:val="21"/>
                <w:szCs w:val="21"/>
              </w:rPr>
            </w:pPr>
            <w:r>
              <w:rPr>
                <w:rFonts w:hint="eastAsia"/>
                <w:sz w:val="21"/>
                <w:szCs w:val="21"/>
              </w:rPr>
              <w:t>23</w:t>
            </w:r>
          </w:p>
        </w:tc>
        <w:tc>
          <w:tcPr>
            <w:tcW w:w="1970" w:type="dxa"/>
            <w:noWrap w:val="0"/>
            <w:vAlign w:val="center"/>
          </w:tcPr>
          <w:p>
            <w:pPr>
              <w:bidi w:val="0"/>
              <w:spacing w:line="240" w:lineRule="auto"/>
              <w:jc w:val="center"/>
              <w:rPr>
                <w:rFonts w:hint="eastAsia"/>
                <w:sz w:val="21"/>
                <w:szCs w:val="21"/>
              </w:rPr>
            </w:pPr>
            <w:r>
              <w:rPr>
                <w:rFonts w:hint="eastAsia"/>
                <w:sz w:val="21"/>
                <w:szCs w:val="21"/>
              </w:rPr>
              <w:t>评审委员会的组建</w:t>
            </w:r>
          </w:p>
        </w:tc>
        <w:tc>
          <w:tcPr>
            <w:tcW w:w="7545" w:type="dxa"/>
            <w:noWrap w:val="0"/>
            <w:vAlign w:val="center"/>
          </w:tcPr>
          <w:p>
            <w:pPr>
              <w:bidi w:val="0"/>
              <w:spacing w:line="240" w:lineRule="auto"/>
              <w:jc w:val="left"/>
              <w:rPr>
                <w:rFonts w:hint="eastAsia"/>
                <w:sz w:val="21"/>
                <w:szCs w:val="21"/>
              </w:rPr>
            </w:pPr>
            <w:r>
              <w:rPr>
                <w:rFonts w:hint="eastAsia"/>
                <w:sz w:val="21"/>
                <w:szCs w:val="21"/>
              </w:rPr>
              <w:t>评审委员会构成：由采购人代表以及有关技术、经济等方面的专家组成，成员为5人及以上单数，其中技术、经济类专家不得少于总人数的2/3；评标专家确定方式：按相关规定从专家库中抽取。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2201" w:hRule="atLeast"/>
          <w:jc w:val="center"/>
        </w:trPr>
        <w:tc>
          <w:tcPr>
            <w:tcW w:w="760" w:type="dxa"/>
            <w:noWrap w:val="0"/>
            <w:vAlign w:val="center"/>
          </w:tcPr>
          <w:p>
            <w:pPr>
              <w:bidi w:val="0"/>
              <w:spacing w:line="240" w:lineRule="auto"/>
              <w:jc w:val="center"/>
              <w:rPr>
                <w:rFonts w:hint="eastAsia" w:eastAsia="宋体"/>
                <w:sz w:val="21"/>
                <w:szCs w:val="21"/>
                <w:lang w:eastAsia="zh-CN"/>
              </w:rPr>
            </w:pPr>
            <w:r>
              <w:rPr>
                <w:rFonts w:hint="eastAsia"/>
                <w:sz w:val="21"/>
                <w:szCs w:val="21"/>
              </w:rPr>
              <w:t>2</w:t>
            </w:r>
            <w:r>
              <w:rPr>
                <w:rFonts w:hint="eastAsia"/>
                <w:sz w:val="21"/>
                <w:szCs w:val="21"/>
                <w:lang w:val="en-US" w:eastAsia="zh-CN"/>
              </w:rPr>
              <w:t>4</w:t>
            </w:r>
          </w:p>
        </w:tc>
        <w:tc>
          <w:tcPr>
            <w:tcW w:w="1970" w:type="dxa"/>
            <w:noWrap w:val="0"/>
            <w:vAlign w:val="center"/>
          </w:tcPr>
          <w:p>
            <w:pPr>
              <w:bidi w:val="0"/>
              <w:spacing w:line="240" w:lineRule="auto"/>
              <w:jc w:val="center"/>
              <w:rPr>
                <w:rFonts w:hint="eastAsia"/>
                <w:sz w:val="21"/>
                <w:szCs w:val="21"/>
              </w:rPr>
            </w:pPr>
            <w:r>
              <w:rPr>
                <w:rFonts w:hint="eastAsia"/>
                <w:sz w:val="21"/>
                <w:szCs w:val="21"/>
                <w:lang w:eastAsia="zh-CN"/>
              </w:rPr>
              <w:t>供应商</w:t>
            </w:r>
            <w:r>
              <w:rPr>
                <w:rFonts w:hint="eastAsia"/>
                <w:sz w:val="21"/>
                <w:szCs w:val="21"/>
              </w:rPr>
              <w:t>信用查询</w:t>
            </w:r>
          </w:p>
        </w:tc>
        <w:tc>
          <w:tcPr>
            <w:tcW w:w="7545" w:type="dxa"/>
            <w:noWrap w:val="0"/>
            <w:vAlign w:val="center"/>
          </w:tcPr>
          <w:p>
            <w:pPr>
              <w:bidi w:val="0"/>
              <w:spacing w:line="240" w:lineRule="auto"/>
              <w:jc w:val="left"/>
              <w:rPr>
                <w:rFonts w:hint="eastAsia"/>
                <w:sz w:val="21"/>
                <w:szCs w:val="21"/>
              </w:rPr>
            </w:pPr>
            <w:r>
              <w:rPr>
                <w:rFonts w:hint="eastAsia"/>
                <w:sz w:val="21"/>
                <w:szCs w:val="21"/>
              </w:rPr>
              <w:t>根据《关于在政府采购活动中查询及使用信用记录有关问题的通知》财库[2016]125号的规定：</w:t>
            </w:r>
          </w:p>
          <w:p>
            <w:pPr>
              <w:bidi w:val="0"/>
              <w:spacing w:line="240" w:lineRule="auto"/>
              <w:jc w:val="left"/>
              <w:rPr>
                <w:rFonts w:hint="eastAsia"/>
                <w:sz w:val="21"/>
                <w:szCs w:val="21"/>
              </w:rPr>
            </w:pPr>
            <w:r>
              <w:rPr>
                <w:rFonts w:hint="eastAsia"/>
                <w:sz w:val="21"/>
                <w:szCs w:val="21"/>
                <w:lang w:val="en-US" w:eastAsia="zh-CN"/>
              </w:rPr>
              <w:t>1.</w:t>
            </w:r>
            <w:r>
              <w:rPr>
                <w:rFonts w:hint="eastAsia"/>
                <w:sz w:val="21"/>
                <w:szCs w:val="21"/>
              </w:rPr>
              <w:t>招标人或采购代理机构将对本项目</w:t>
            </w:r>
            <w:r>
              <w:rPr>
                <w:rFonts w:hint="eastAsia"/>
                <w:sz w:val="21"/>
                <w:szCs w:val="21"/>
                <w:lang w:eastAsia="zh-CN"/>
              </w:rPr>
              <w:t>供应商</w:t>
            </w:r>
            <w:r>
              <w:rPr>
                <w:rFonts w:hint="eastAsia"/>
                <w:sz w:val="21"/>
                <w:szCs w:val="21"/>
              </w:rPr>
              <w:t>的信用记录进行查询。查询渠道为信用中国网站（www.creditchina.gov.cn）、中国政府采购网（www.ccgp.gov.cn）；</w:t>
            </w:r>
          </w:p>
          <w:p>
            <w:pPr>
              <w:bidi w:val="0"/>
              <w:spacing w:line="240" w:lineRule="auto"/>
              <w:jc w:val="left"/>
              <w:rPr>
                <w:rFonts w:hint="eastAsia"/>
                <w:sz w:val="21"/>
                <w:szCs w:val="21"/>
              </w:rPr>
            </w:pPr>
            <w:r>
              <w:rPr>
                <w:rFonts w:hint="eastAsia"/>
                <w:sz w:val="21"/>
                <w:szCs w:val="21"/>
                <w:lang w:val="en-US" w:eastAsia="zh-CN"/>
              </w:rPr>
              <w:t>2.</w:t>
            </w:r>
            <w:r>
              <w:rPr>
                <w:rFonts w:hint="eastAsia"/>
                <w:sz w:val="21"/>
                <w:szCs w:val="21"/>
              </w:rPr>
              <w:t>截止时点：提交投标文件（响应文件）截止时间前3年内；</w:t>
            </w:r>
          </w:p>
          <w:p>
            <w:pPr>
              <w:bidi w:val="0"/>
              <w:spacing w:line="240" w:lineRule="auto"/>
              <w:jc w:val="left"/>
              <w:rPr>
                <w:rFonts w:hint="eastAsia"/>
                <w:sz w:val="21"/>
                <w:szCs w:val="21"/>
              </w:rPr>
            </w:pPr>
            <w:r>
              <w:rPr>
                <w:rFonts w:hint="eastAsia"/>
                <w:sz w:val="21"/>
                <w:szCs w:val="21"/>
                <w:lang w:val="en-US" w:eastAsia="zh-CN"/>
              </w:rPr>
              <w:t>3.</w:t>
            </w:r>
            <w:r>
              <w:rPr>
                <w:rFonts w:hint="eastAsia"/>
                <w:sz w:val="21"/>
                <w:szCs w:val="21"/>
              </w:rPr>
              <w:t>查询记录和证据的留存：信用信息查询记录和证据以网页截图等方式留存。</w:t>
            </w:r>
          </w:p>
          <w:p>
            <w:pPr>
              <w:bidi w:val="0"/>
              <w:spacing w:line="240" w:lineRule="auto"/>
              <w:jc w:val="left"/>
              <w:rPr>
                <w:rFonts w:hint="eastAsia"/>
                <w:sz w:val="21"/>
                <w:szCs w:val="21"/>
              </w:rPr>
            </w:pPr>
            <w:r>
              <w:rPr>
                <w:rFonts w:hint="eastAsia"/>
                <w:sz w:val="21"/>
                <w:szCs w:val="21"/>
                <w:lang w:val="en-US" w:eastAsia="zh-CN"/>
              </w:rPr>
              <w:t>4.</w:t>
            </w:r>
            <w:r>
              <w:rPr>
                <w:rFonts w:hint="eastAsia"/>
                <w:sz w:val="21"/>
                <w:szCs w:val="21"/>
              </w:rPr>
              <w:t>使用规则：被列入失信被执行人、重大税收违法案件当事人名单、政府采购严重违法失信行为记录名单及其它不符合《中华人民共和国政府采购法》第二十二条规定条件的，其投标将被拒绝。</w:t>
            </w:r>
          </w:p>
          <w:p>
            <w:pPr>
              <w:bidi w:val="0"/>
              <w:spacing w:line="240" w:lineRule="auto"/>
              <w:jc w:val="left"/>
              <w:rPr>
                <w:rFonts w:hint="eastAsia"/>
                <w:sz w:val="21"/>
                <w:szCs w:val="21"/>
              </w:rPr>
            </w:pPr>
            <w:r>
              <w:rPr>
                <w:rFonts w:hint="eastAsia"/>
                <w:sz w:val="21"/>
                <w:szCs w:val="21"/>
                <w:lang w:val="en-US" w:eastAsia="zh-CN"/>
              </w:rPr>
              <w:t>5.</w:t>
            </w:r>
            <w:r>
              <w:rPr>
                <w:rFonts w:hint="eastAsia"/>
                <w:sz w:val="21"/>
                <w:szCs w:val="21"/>
              </w:rPr>
              <w:t>联合体成员任意一方存在不良信用记录的，视同联合体存在不良信用记录。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59" w:hRule="atLeast"/>
          <w:jc w:val="center"/>
        </w:trPr>
        <w:tc>
          <w:tcPr>
            <w:tcW w:w="760" w:type="dxa"/>
            <w:noWrap w:val="0"/>
            <w:vAlign w:val="center"/>
          </w:tcPr>
          <w:p>
            <w:pPr>
              <w:bidi w:val="0"/>
              <w:spacing w:line="240" w:lineRule="auto"/>
              <w:jc w:val="center"/>
              <w:rPr>
                <w:rFonts w:hint="eastAsia" w:eastAsia="宋体"/>
                <w:sz w:val="21"/>
                <w:szCs w:val="21"/>
                <w:lang w:eastAsia="zh-CN"/>
              </w:rPr>
            </w:pPr>
            <w:r>
              <w:rPr>
                <w:rFonts w:hint="eastAsia"/>
                <w:sz w:val="21"/>
                <w:szCs w:val="21"/>
              </w:rPr>
              <w:t>2</w:t>
            </w:r>
            <w:r>
              <w:rPr>
                <w:rFonts w:hint="eastAsia"/>
                <w:sz w:val="21"/>
                <w:szCs w:val="21"/>
                <w:lang w:val="en-US" w:eastAsia="zh-CN"/>
              </w:rPr>
              <w:t>5</w:t>
            </w:r>
          </w:p>
        </w:tc>
        <w:tc>
          <w:tcPr>
            <w:tcW w:w="1970" w:type="dxa"/>
            <w:noWrap w:val="0"/>
            <w:vAlign w:val="center"/>
          </w:tcPr>
          <w:p>
            <w:pPr>
              <w:bidi w:val="0"/>
              <w:spacing w:line="240" w:lineRule="auto"/>
              <w:jc w:val="center"/>
              <w:rPr>
                <w:rFonts w:hint="eastAsia"/>
                <w:sz w:val="21"/>
                <w:szCs w:val="21"/>
              </w:rPr>
            </w:pPr>
            <w:r>
              <w:rPr>
                <w:rFonts w:hint="eastAsia"/>
                <w:sz w:val="21"/>
                <w:szCs w:val="21"/>
              </w:rPr>
              <w:t>合同备案</w:t>
            </w:r>
          </w:p>
        </w:tc>
        <w:tc>
          <w:tcPr>
            <w:tcW w:w="7545" w:type="dxa"/>
            <w:noWrap w:val="0"/>
            <w:vAlign w:val="center"/>
          </w:tcPr>
          <w:p>
            <w:pPr>
              <w:bidi w:val="0"/>
              <w:spacing w:line="240" w:lineRule="auto"/>
              <w:jc w:val="left"/>
              <w:rPr>
                <w:rFonts w:hint="eastAsia"/>
                <w:sz w:val="21"/>
                <w:szCs w:val="21"/>
              </w:rPr>
            </w:pPr>
            <w:r>
              <w:rPr>
                <w:rFonts w:hint="eastAsia"/>
                <w:sz w:val="21"/>
                <w:szCs w:val="21"/>
              </w:rPr>
              <w:t>1.中标人在中标通知书发出之日起</w:t>
            </w:r>
            <w:r>
              <w:rPr>
                <w:rFonts w:hint="eastAsia"/>
                <w:sz w:val="21"/>
                <w:szCs w:val="21"/>
                <w:lang w:val="en-US" w:eastAsia="zh-CN"/>
              </w:rPr>
              <w:t>15</w:t>
            </w:r>
            <w:r>
              <w:rPr>
                <w:rFonts w:hint="eastAsia"/>
                <w:sz w:val="21"/>
                <w:szCs w:val="21"/>
              </w:rPr>
              <w:t>日内尽快与采购人签订合同。</w:t>
            </w:r>
          </w:p>
          <w:p>
            <w:pPr>
              <w:bidi w:val="0"/>
              <w:spacing w:line="240" w:lineRule="auto"/>
              <w:jc w:val="left"/>
              <w:rPr>
                <w:rFonts w:hint="eastAsia"/>
                <w:sz w:val="21"/>
                <w:szCs w:val="21"/>
              </w:rPr>
            </w:pPr>
            <w:r>
              <w:rPr>
                <w:rFonts w:hint="eastAsia"/>
                <w:sz w:val="21"/>
                <w:szCs w:val="21"/>
              </w:rPr>
              <w:t>2.中标人与采购人签订合同后，2个工作日内将合同原件送至采购代理机构上传浙江政府采购网政采云平台备案。并在浙江政府采购网予以公告。</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01" w:hRule="atLeast"/>
          <w:jc w:val="center"/>
        </w:trPr>
        <w:tc>
          <w:tcPr>
            <w:tcW w:w="760" w:type="dxa"/>
            <w:noWrap w:val="0"/>
            <w:vAlign w:val="center"/>
          </w:tcPr>
          <w:p>
            <w:pPr>
              <w:bidi w:val="0"/>
              <w:spacing w:line="240" w:lineRule="auto"/>
              <w:jc w:val="center"/>
              <w:rPr>
                <w:rFonts w:hint="default" w:eastAsia="宋体"/>
                <w:sz w:val="21"/>
                <w:szCs w:val="21"/>
                <w:lang w:val="en-US" w:eastAsia="zh-CN"/>
              </w:rPr>
            </w:pPr>
            <w:r>
              <w:rPr>
                <w:rFonts w:hint="eastAsia"/>
                <w:sz w:val="21"/>
                <w:szCs w:val="21"/>
                <w:lang w:val="en-US" w:eastAsia="zh-CN"/>
              </w:rPr>
              <w:t>26</w:t>
            </w:r>
          </w:p>
        </w:tc>
        <w:tc>
          <w:tcPr>
            <w:tcW w:w="1970" w:type="dxa"/>
            <w:noWrap w:val="0"/>
            <w:vAlign w:val="center"/>
          </w:tcPr>
          <w:p>
            <w:pPr>
              <w:bidi w:val="0"/>
              <w:spacing w:line="240" w:lineRule="auto"/>
              <w:jc w:val="center"/>
              <w:rPr>
                <w:rFonts w:hint="eastAsia" w:ascii="宋体" w:hAnsi="宋体" w:eastAsia="宋体" w:cs="Times New Roman"/>
                <w:kern w:val="2"/>
                <w:sz w:val="21"/>
                <w:szCs w:val="21"/>
                <w:lang w:val="en-US" w:eastAsia="zh-CN" w:bidi="ar-SA"/>
              </w:rPr>
            </w:pPr>
            <w:r>
              <w:rPr>
                <w:rFonts w:hint="eastAsia"/>
                <w:sz w:val="21"/>
                <w:szCs w:val="21"/>
              </w:rPr>
              <w:t>相关费用</w:t>
            </w:r>
          </w:p>
        </w:tc>
        <w:tc>
          <w:tcPr>
            <w:tcW w:w="7545" w:type="dxa"/>
            <w:noWrap w:val="0"/>
            <w:vAlign w:val="center"/>
          </w:tcPr>
          <w:p>
            <w:pPr>
              <w:bidi w:val="0"/>
              <w:spacing w:line="240" w:lineRule="auto"/>
              <w:jc w:val="left"/>
              <w:rPr>
                <w:rFonts w:hint="eastAsia"/>
                <w:sz w:val="21"/>
                <w:szCs w:val="21"/>
              </w:rPr>
            </w:pPr>
            <w:r>
              <w:rPr>
                <w:rFonts w:hint="eastAsia"/>
                <w:sz w:val="21"/>
                <w:szCs w:val="21"/>
              </w:rPr>
              <w:t>1.</w:t>
            </w:r>
            <w:r>
              <w:rPr>
                <w:rFonts w:hint="eastAsia"/>
                <w:sz w:val="21"/>
                <w:szCs w:val="21"/>
                <w:lang w:eastAsia="zh-CN"/>
              </w:rPr>
              <w:t>供应商</w:t>
            </w:r>
            <w:r>
              <w:rPr>
                <w:rFonts w:hint="eastAsia"/>
                <w:sz w:val="21"/>
                <w:szCs w:val="21"/>
              </w:rPr>
              <w:t>自行承担投标过程中产生的费用。无论何种因素导致采购项目延期开标、</w:t>
            </w:r>
            <w:r>
              <w:rPr>
                <w:rFonts w:hint="eastAsia"/>
                <w:sz w:val="21"/>
                <w:szCs w:val="21"/>
                <w:lang w:val="en-US" w:eastAsia="zh-CN"/>
              </w:rPr>
              <w:t>无效</w:t>
            </w:r>
            <w:r>
              <w:rPr>
                <w:rFonts w:hint="eastAsia"/>
                <w:sz w:val="21"/>
                <w:szCs w:val="21"/>
              </w:rPr>
              <w:t>标（流标）、</w:t>
            </w:r>
            <w:r>
              <w:rPr>
                <w:rFonts w:hint="eastAsia"/>
                <w:sz w:val="21"/>
                <w:szCs w:val="21"/>
                <w:lang w:eastAsia="zh-CN"/>
              </w:rPr>
              <w:t>供应商</w:t>
            </w:r>
            <w:r>
              <w:rPr>
                <w:rFonts w:hint="eastAsia"/>
                <w:sz w:val="21"/>
                <w:szCs w:val="21"/>
              </w:rPr>
              <w:t>未中标、项目终止采购的，采购人与采购机构均不承担</w:t>
            </w:r>
            <w:r>
              <w:rPr>
                <w:rFonts w:hint="eastAsia"/>
                <w:sz w:val="21"/>
                <w:szCs w:val="21"/>
                <w:lang w:eastAsia="zh-CN"/>
              </w:rPr>
              <w:t>供应商</w:t>
            </w:r>
            <w:r>
              <w:rPr>
                <w:rFonts w:hint="eastAsia"/>
                <w:sz w:val="21"/>
                <w:szCs w:val="21"/>
              </w:rPr>
              <w:t>投标费用。</w:t>
            </w:r>
          </w:p>
          <w:p>
            <w:pPr>
              <w:bidi w:val="0"/>
              <w:spacing w:line="240" w:lineRule="auto"/>
              <w:jc w:val="left"/>
              <w:rPr>
                <w:rFonts w:hint="eastAsia"/>
                <w:sz w:val="21"/>
                <w:szCs w:val="21"/>
              </w:rPr>
            </w:pPr>
            <w:r>
              <w:rPr>
                <w:rFonts w:hint="eastAsia"/>
                <w:sz w:val="21"/>
                <w:szCs w:val="21"/>
              </w:rPr>
              <w:t>2.</w:t>
            </w:r>
            <w:r>
              <w:rPr>
                <w:rFonts w:hint="eastAsia"/>
                <w:sz w:val="21"/>
                <w:szCs w:val="21"/>
                <w:lang w:eastAsia="zh-CN"/>
              </w:rPr>
              <w:t>供应商</w:t>
            </w:r>
            <w:r>
              <w:rPr>
                <w:rFonts w:hint="eastAsia"/>
                <w:sz w:val="21"/>
                <w:szCs w:val="21"/>
              </w:rPr>
              <w:t>在投标、合同履行过程中必须做好安全保障工作，不因项目实施而危及自身及第三方人员、财产安全。若发生任何安全事故，由中标人自行承担一切责任并赔偿损失。</w:t>
            </w:r>
          </w:p>
          <w:p>
            <w:pPr>
              <w:bidi w:val="0"/>
              <w:spacing w:line="240" w:lineRule="auto"/>
              <w:jc w:val="left"/>
              <w:rPr>
                <w:rFonts w:hint="eastAsia"/>
                <w:sz w:val="21"/>
                <w:szCs w:val="21"/>
              </w:rPr>
            </w:pPr>
            <w:r>
              <w:rPr>
                <w:rFonts w:hint="eastAsia"/>
                <w:sz w:val="21"/>
                <w:szCs w:val="21"/>
              </w:rPr>
              <w:t>3.本项目代理服务费</w:t>
            </w:r>
            <w:r>
              <w:rPr>
                <w:rFonts w:hint="eastAsia"/>
                <w:sz w:val="21"/>
                <w:szCs w:val="21"/>
                <w:lang w:eastAsia="zh-CN"/>
              </w:rPr>
              <w:t>：</w:t>
            </w:r>
            <w:r>
              <w:rPr>
                <w:rFonts w:hint="eastAsia"/>
                <w:sz w:val="21"/>
                <w:szCs w:val="21"/>
                <w:lang w:val="en-US" w:eastAsia="zh-CN"/>
              </w:rPr>
              <w:t>供应商取得中标资格后，须按中标金额计收中标服务费（100万以内部分按1.5%计收，100-500万部分按1.1%计收，500万-1000万部分按0.8%计收），</w:t>
            </w:r>
            <w:r>
              <w:rPr>
                <w:rFonts w:hint="eastAsia"/>
                <w:sz w:val="21"/>
                <w:szCs w:val="21"/>
              </w:rPr>
              <w:t>该费用中标方须在领取中标通知书时一次性付清，本项费用由</w:t>
            </w:r>
            <w:r>
              <w:rPr>
                <w:rFonts w:hint="eastAsia"/>
                <w:sz w:val="21"/>
                <w:szCs w:val="21"/>
                <w:lang w:eastAsia="zh-CN"/>
              </w:rPr>
              <w:t>供应商</w:t>
            </w:r>
            <w:r>
              <w:rPr>
                <w:rFonts w:hint="eastAsia"/>
                <w:sz w:val="21"/>
                <w:szCs w:val="21"/>
              </w:rPr>
              <w:t>自行考虑，分摊在标报价中，结算时不再另行计取。</w:t>
            </w:r>
          </w:p>
          <w:p>
            <w:pPr>
              <w:bidi w:val="0"/>
              <w:spacing w:line="240" w:lineRule="auto"/>
              <w:jc w:val="left"/>
              <w:rPr>
                <w:rFonts w:hint="eastAsia"/>
                <w:sz w:val="21"/>
                <w:szCs w:val="21"/>
              </w:rPr>
            </w:pPr>
            <w:r>
              <w:rPr>
                <w:rFonts w:hint="eastAsia"/>
                <w:sz w:val="21"/>
                <w:szCs w:val="21"/>
              </w:rPr>
              <w:t>账户名称：中冠工程管理咨询有限公司金华分公司</w:t>
            </w:r>
          </w:p>
          <w:p>
            <w:pPr>
              <w:bidi w:val="0"/>
              <w:spacing w:line="240" w:lineRule="auto"/>
              <w:jc w:val="left"/>
              <w:rPr>
                <w:rFonts w:hint="eastAsia"/>
                <w:sz w:val="21"/>
                <w:szCs w:val="21"/>
              </w:rPr>
            </w:pPr>
            <w:r>
              <w:rPr>
                <w:rFonts w:hint="eastAsia"/>
                <w:sz w:val="21"/>
                <w:szCs w:val="21"/>
              </w:rPr>
              <w:t>开户银行：宁波银行金华分行</w:t>
            </w:r>
          </w:p>
          <w:p>
            <w:pPr>
              <w:bidi w:val="0"/>
              <w:spacing w:line="240" w:lineRule="auto"/>
              <w:jc w:val="left"/>
              <w:rPr>
                <w:rFonts w:hint="eastAsia"/>
                <w:sz w:val="21"/>
                <w:szCs w:val="21"/>
              </w:rPr>
            </w:pPr>
            <w:r>
              <w:rPr>
                <w:rFonts w:hint="eastAsia"/>
                <w:sz w:val="21"/>
                <w:szCs w:val="21"/>
              </w:rPr>
              <w:t>银行账号：7901 0122 0003 09881</w:t>
            </w:r>
          </w:p>
          <w:p>
            <w:pPr>
              <w:bidi w:val="0"/>
              <w:spacing w:line="240" w:lineRule="auto"/>
              <w:jc w:val="left"/>
              <w:rPr>
                <w:rFonts w:hint="eastAsia" w:ascii="宋体" w:hAnsi="宋体" w:eastAsia="宋体" w:cs="Times New Roman"/>
                <w:kern w:val="2"/>
                <w:sz w:val="21"/>
                <w:szCs w:val="21"/>
                <w:lang w:val="en-US" w:eastAsia="zh-CN" w:bidi="ar-SA"/>
              </w:rPr>
            </w:pPr>
            <w:r>
              <w:rPr>
                <w:rFonts w:hint="eastAsia"/>
                <w:sz w:val="21"/>
                <w:szCs w:val="21"/>
              </w:rPr>
              <w:t>注：汇款用途请注明项目名称  项目编号：</w:t>
            </w:r>
            <w:r>
              <w:rPr>
                <w:rFonts w:hint="eastAsia"/>
                <w:sz w:val="21"/>
                <w:szCs w:val="21"/>
                <w:lang w:eastAsia="zh-CN"/>
              </w:rPr>
              <w:t>ZGJHCG2023-003</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517" w:hRule="atLeast"/>
          <w:jc w:val="center"/>
        </w:trPr>
        <w:tc>
          <w:tcPr>
            <w:tcW w:w="760" w:type="dxa"/>
            <w:noWrap w:val="0"/>
            <w:vAlign w:val="center"/>
          </w:tcPr>
          <w:p>
            <w:pPr>
              <w:bidi w:val="0"/>
              <w:spacing w:line="240" w:lineRule="auto"/>
              <w:jc w:val="center"/>
              <w:rPr>
                <w:rFonts w:hint="eastAsia" w:eastAsia="宋体"/>
                <w:sz w:val="21"/>
                <w:szCs w:val="21"/>
                <w:lang w:eastAsia="zh-CN"/>
              </w:rPr>
            </w:pPr>
            <w:r>
              <w:rPr>
                <w:rFonts w:hint="eastAsia"/>
                <w:sz w:val="21"/>
                <w:szCs w:val="21"/>
              </w:rPr>
              <w:t>2</w:t>
            </w:r>
            <w:r>
              <w:rPr>
                <w:rFonts w:hint="eastAsia"/>
                <w:sz w:val="21"/>
                <w:szCs w:val="21"/>
                <w:lang w:val="en-US" w:eastAsia="zh-CN"/>
              </w:rPr>
              <w:t>7</w:t>
            </w:r>
          </w:p>
        </w:tc>
        <w:tc>
          <w:tcPr>
            <w:tcW w:w="1970" w:type="dxa"/>
            <w:noWrap w:val="0"/>
            <w:vAlign w:val="center"/>
          </w:tcPr>
          <w:p>
            <w:pPr>
              <w:bidi w:val="0"/>
              <w:spacing w:line="240" w:lineRule="auto"/>
              <w:jc w:val="center"/>
              <w:rPr>
                <w:rFonts w:hint="eastAsia" w:ascii="宋体" w:hAnsi="宋体" w:eastAsia="宋体" w:cs="Times New Roman"/>
                <w:kern w:val="2"/>
                <w:sz w:val="21"/>
                <w:szCs w:val="21"/>
                <w:lang w:val="en-US" w:eastAsia="zh-CN" w:bidi="ar-SA"/>
              </w:rPr>
            </w:pPr>
            <w:r>
              <w:rPr>
                <w:rFonts w:hint="eastAsia"/>
                <w:sz w:val="21"/>
                <w:szCs w:val="21"/>
              </w:rPr>
              <w:t>解释权</w:t>
            </w:r>
          </w:p>
        </w:tc>
        <w:tc>
          <w:tcPr>
            <w:tcW w:w="7545" w:type="dxa"/>
            <w:noWrap w:val="0"/>
            <w:vAlign w:val="center"/>
          </w:tcPr>
          <w:p>
            <w:pPr>
              <w:bidi w:val="0"/>
              <w:spacing w:line="240" w:lineRule="auto"/>
              <w:jc w:val="left"/>
              <w:rPr>
                <w:rFonts w:hint="eastAsia" w:ascii="宋体" w:hAnsi="宋体" w:eastAsia="宋体" w:cs="Times New Roman"/>
                <w:kern w:val="2"/>
                <w:sz w:val="21"/>
                <w:szCs w:val="21"/>
                <w:lang w:val="en-US" w:eastAsia="zh-CN" w:bidi="ar-SA"/>
              </w:rPr>
            </w:pPr>
            <w:r>
              <w:rPr>
                <w:rFonts w:hint="eastAsia"/>
                <w:sz w:val="21"/>
                <w:szCs w:val="21"/>
              </w:rPr>
              <w:t>构成本招标文件的各个组成文件应互为解释，互为说明；如有不明确或不一致，按招标公告、招标需求、</w:t>
            </w:r>
            <w:r>
              <w:rPr>
                <w:rFonts w:hint="eastAsia"/>
                <w:sz w:val="21"/>
                <w:szCs w:val="21"/>
                <w:lang w:eastAsia="zh-CN"/>
              </w:rPr>
              <w:t>供应商</w:t>
            </w:r>
            <w:r>
              <w:rPr>
                <w:rFonts w:hint="eastAsia"/>
                <w:sz w:val="21"/>
                <w:szCs w:val="21"/>
              </w:rPr>
              <w:t>须知、评标办法、投标文件格式的先后顺序解释；同一文件中就同一事项的约定不一致的，以逻辑顺序在后者为准；同一文件不同版本之间有不一致的，以形成时间在后者为准。按本款前述约定仍不能形成结论的，由代理机构或采购人负责解释。</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36" w:hRule="atLeast"/>
          <w:jc w:val="center"/>
        </w:trPr>
        <w:tc>
          <w:tcPr>
            <w:tcW w:w="760" w:type="dxa"/>
            <w:noWrap w:val="0"/>
            <w:vAlign w:val="center"/>
          </w:tcPr>
          <w:p>
            <w:pPr>
              <w:bidi w:val="0"/>
              <w:spacing w:line="240" w:lineRule="auto"/>
              <w:jc w:val="center"/>
              <w:rPr>
                <w:rFonts w:hint="eastAsia" w:eastAsia="宋体"/>
                <w:sz w:val="21"/>
                <w:szCs w:val="21"/>
                <w:lang w:eastAsia="zh-CN"/>
              </w:rPr>
            </w:pPr>
            <w:r>
              <w:rPr>
                <w:rFonts w:hint="eastAsia"/>
                <w:sz w:val="21"/>
                <w:szCs w:val="21"/>
              </w:rPr>
              <w:t>2</w:t>
            </w:r>
            <w:r>
              <w:rPr>
                <w:rFonts w:hint="eastAsia"/>
                <w:sz w:val="21"/>
                <w:szCs w:val="21"/>
                <w:lang w:val="en-US" w:eastAsia="zh-CN"/>
              </w:rPr>
              <w:t>8</w:t>
            </w:r>
          </w:p>
        </w:tc>
        <w:tc>
          <w:tcPr>
            <w:tcW w:w="1970" w:type="dxa"/>
            <w:noWrap w:val="0"/>
            <w:vAlign w:val="center"/>
          </w:tcPr>
          <w:p>
            <w:pPr>
              <w:bidi w:val="0"/>
              <w:spacing w:line="240" w:lineRule="auto"/>
              <w:jc w:val="center"/>
              <w:rPr>
                <w:rFonts w:hint="eastAsia" w:ascii="宋体" w:hAnsi="宋体" w:eastAsia="宋体" w:cs="Times New Roman"/>
                <w:kern w:val="2"/>
                <w:sz w:val="21"/>
                <w:szCs w:val="21"/>
                <w:lang w:val="en-US" w:eastAsia="zh-CN" w:bidi="ar-SA"/>
              </w:rPr>
            </w:pPr>
            <w:r>
              <w:rPr>
                <w:rFonts w:hint="eastAsia"/>
                <w:sz w:val="21"/>
                <w:szCs w:val="21"/>
              </w:rPr>
              <w:t>投标有效期</w:t>
            </w:r>
          </w:p>
        </w:tc>
        <w:tc>
          <w:tcPr>
            <w:tcW w:w="7545" w:type="dxa"/>
            <w:noWrap w:val="0"/>
            <w:vAlign w:val="center"/>
          </w:tcPr>
          <w:p>
            <w:pPr>
              <w:bidi w:val="0"/>
              <w:spacing w:line="240" w:lineRule="auto"/>
              <w:jc w:val="left"/>
              <w:rPr>
                <w:rFonts w:hint="eastAsia" w:ascii="宋体" w:hAnsi="宋体" w:eastAsia="宋体" w:cs="Times New Roman"/>
                <w:kern w:val="2"/>
                <w:sz w:val="21"/>
                <w:szCs w:val="21"/>
                <w:lang w:val="en-US" w:eastAsia="zh-CN" w:bidi="ar-SA"/>
              </w:rPr>
            </w:pPr>
            <w:r>
              <w:rPr>
                <w:rFonts w:hint="eastAsia"/>
                <w:sz w:val="21"/>
                <w:szCs w:val="21"/>
              </w:rPr>
              <w:t>提交投标文件截止时间起90天。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38" w:hRule="atLeast"/>
          <w:jc w:val="center"/>
        </w:trPr>
        <w:tc>
          <w:tcPr>
            <w:tcW w:w="760" w:type="dxa"/>
            <w:noWrap w:val="0"/>
            <w:vAlign w:val="center"/>
          </w:tcPr>
          <w:p>
            <w:pPr>
              <w:bidi w:val="0"/>
              <w:spacing w:line="240" w:lineRule="auto"/>
              <w:jc w:val="center"/>
              <w:rPr>
                <w:rFonts w:hint="default" w:eastAsia="宋体"/>
                <w:sz w:val="21"/>
                <w:szCs w:val="21"/>
                <w:lang w:val="en-US" w:eastAsia="zh-CN"/>
              </w:rPr>
            </w:pPr>
            <w:r>
              <w:rPr>
                <w:rFonts w:hint="eastAsia"/>
                <w:sz w:val="21"/>
                <w:szCs w:val="21"/>
                <w:lang w:val="en-US" w:eastAsia="zh-CN"/>
              </w:rPr>
              <w:t>29</w:t>
            </w:r>
          </w:p>
        </w:tc>
        <w:tc>
          <w:tcPr>
            <w:tcW w:w="1970" w:type="dxa"/>
            <w:noWrap w:val="0"/>
            <w:vAlign w:val="center"/>
          </w:tcPr>
          <w:p>
            <w:pPr>
              <w:bidi w:val="0"/>
              <w:spacing w:line="240" w:lineRule="auto"/>
              <w:jc w:val="center"/>
              <w:rPr>
                <w:rFonts w:hint="eastAsia" w:ascii="宋体" w:hAnsi="宋体" w:eastAsia="宋体" w:cs="Times New Roman"/>
                <w:kern w:val="2"/>
                <w:sz w:val="21"/>
                <w:szCs w:val="21"/>
                <w:lang w:val="en-US" w:eastAsia="zh-CN" w:bidi="ar-SA"/>
              </w:rPr>
            </w:pPr>
            <w:r>
              <w:rPr>
                <w:rFonts w:hint="eastAsia"/>
                <w:sz w:val="21"/>
                <w:szCs w:val="21"/>
              </w:rPr>
              <w:t>注意事项</w:t>
            </w:r>
          </w:p>
        </w:tc>
        <w:tc>
          <w:tcPr>
            <w:tcW w:w="7545" w:type="dxa"/>
            <w:noWrap w:val="0"/>
            <w:vAlign w:val="center"/>
          </w:tcPr>
          <w:p>
            <w:pPr>
              <w:bidi w:val="0"/>
              <w:spacing w:line="240" w:lineRule="auto"/>
              <w:jc w:val="left"/>
              <w:rPr>
                <w:rFonts w:hint="eastAsia"/>
                <w:sz w:val="21"/>
                <w:szCs w:val="21"/>
              </w:rPr>
            </w:pPr>
            <w:r>
              <w:rPr>
                <w:rFonts w:hint="eastAsia"/>
                <w:sz w:val="21"/>
                <w:szCs w:val="21"/>
              </w:rPr>
              <w:t>1.请务必确保投标文件制作客户端为最新版本，旧版本可能导致投标文件解密失败。</w:t>
            </w:r>
          </w:p>
          <w:p>
            <w:pPr>
              <w:bidi w:val="0"/>
              <w:spacing w:line="240" w:lineRule="auto"/>
              <w:jc w:val="left"/>
              <w:rPr>
                <w:rFonts w:hint="eastAsia" w:ascii="宋体" w:hAnsi="宋体" w:eastAsia="宋体" w:cs="Times New Roman"/>
                <w:kern w:val="2"/>
                <w:sz w:val="21"/>
                <w:szCs w:val="21"/>
                <w:lang w:val="en-US" w:eastAsia="zh-CN" w:bidi="ar-SA"/>
              </w:rPr>
            </w:pPr>
            <w:r>
              <w:rPr>
                <w:rFonts w:hint="eastAsia"/>
                <w:sz w:val="21"/>
                <w:szCs w:val="21"/>
              </w:rPr>
              <w:t>2.请务必确保投标文件制作时所用的 CA 锁与投标文件解密时的 CA 锁为同一把，否则可能导致投标文件解密失败。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110" w:hRule="atLeast"/>
          <w:jc w:val="center"/>
        </w:trPr>
        <w:tc>
          <w:tcPr>
            <w:tcW w:w="760" w:type="dxa"/>
            <w:noWrap w:val="0"/>
            <w:vAlign w:val="center"/>
          </w:tcPr>
          <w:p>
            <w:pPr>
              <w:bidi w:val="0"/>
              <w:spacing w:line="240" w:lineRule="auto"/>
              <w:jc w:val="center"/>
              <w:rPr>
                <w:rFonts w:hint="eastAsia" w:eastAsia="宋体"/>
                <w:sz w:val="21"/>
                <w:szCs w:val="21"/>
                <w:lang w:eastAsia="zh-CN"/>
              </w:rPr>
            </w:pPr>
            <w:r>
              <w:rPr>
                <w:rFonts w:hint="eastAsia"/>
                <w:sz w:val="21"/>
                <w:szCs w:val="21"/>
              </w:rPr>
              <w:t>3</w:t>
            </w:r>
            <w:r>
              <w:rPr>
                <w:rFonts w:hint="eastAsia"/>
                <w:sz w:val="21"/>
                <w:szCs w:val="21"/>
                <w:lang w:val="en-US" w:eastAsia="zh-CN"/>
              </w:rPr>
              <w:t>0</w:t>
            </w:r>
          </w:p>
        </w:tc>
        <w:tc>
          <w:tcPr>
            <w:tcW w:w="1970" w:type="dxa"/>
            <w:noWrap w:val="0"/>
            <w:vAlign w:val="center"/>
          </w:tcPr>
          <w:p>
            <w:pPr>
              <w:bidi w:val="0"/>
              <w:spacing w:line="240" w:lineRule="auto"/>
              <w:jc w:val="center"/>
              <w:rPr>
                <w:rFonts w:hint="eastAsia"/>
                <w:sz w:val="21"/>
                <w:szCs w:val="21"/>
                <w:lang w:val="en-US" w:eastAsia="zh-CN"/>
              </w:rPr>
            </w:pPr>
            <w:r>
              <w:rPr>
                <w:rFonts w:hint="eastAsia"/>
                <w:sz w:val="21"/>
                <w:szCs w:val="21"/>
              </w:rPr>
              <w:t>其他</w:t>
            </w:r>
          </w:p>
        </w:tc>
        <w:tc>
          <w:tcPr>
            <w:tcW w:w="7545" w:type="dxa"/>
            <w:noWrap w:val="0"/>
            <w:vAlign w:val="center"/>
          </w:tcPr>
          <w:p>
            <w:pPr>
              <w:bidi w:val="0"/>
              <w:spacing w:line="240" w:lineRule="auto"/>
              <w:jc w:val="left"/>
              <w:rPr>
                <w:rFonts w:hint="eastAsia" w:ascii="宋体" w:hAnsi="宋体" w:eastAsia="宋体" w:cs="Times New Roman"/>
                <w:kern w:val="2"/>
                <w:sz w:val="21"/>
                <w:szCs w:val="21"/>
                <w:lang w:val="en-US" w:eastAsia="zh-CN" w:bidi="ar-SA"/>
              </w:rPr>
            </w:pPr>
            <w:r>
              <w:rPr>
                <w:rFonts w:hint="eastAsia"/>
                <w:sz w:val="21"/>
                <w:szCs w:val="21"/>
              </w:rPr>
              <w:t>金融、保险、通讯等特定行业的全国性企业所设立的区域性分支机构，以及个体工商户、个人独资企业、合伙企业，如果已经依法办理了市场监督经营登记手续，并且获得总公司（总机构）授权或能够提供房产权证或其他有效财产证明材料（在响应文件中提供相关材料），证明其具备实际承担责任的能力和法定的缔结合同能力，可以独立参加采购活动，由单位负责人签署相关文件材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23" w:hRule="atLeast"/>
          <w:jc w:val="center"/>
        </w:trPr>
        <w:tc>
          <w:tcPr>
            <w:tcW w:w="760" w:type="dxa"/>
            <w:noWrap w:val="0"/>
            <w:vAlign w:val="center"/>
          </w:tcPr>
          <w:p>
            <w:pPr>
              <w:bidi w:val="0"/>
              <w:spacing w:line="240" w:lineRule="auto"/>
              <w:jc w:val="center"/>
              <w:rPr>
                <w:rFonts w:hint="default" w:eastAsia="宋体"/>
                <w:sz w:val="21"/>
                <w:szCs w:val="21"/>
                <w:lang w:val="en-US" w:eastAsia="zh-CN"/>
              </w:rPr>
            </w:pPr>
            <w:r>
              <w:rPr>
                <w:rFonts w:hint="eastAsia"/>
                <w:sz w:val="21"/>
                <w:szCs w:val="21"/>
                <w:lang w:val="en-US" w:eastAsia="zh-CN"/>
              </w:rPr>
              <w:t>31</w:t>
            </w:r>
          </w:p>
        </w:tc>
        <w:tc>
          <w:tcPr>
            <w:tcW w:w="1970" w:type="dxa"/>
            <w:noWrap w:val="0"/>
            <w:vAlign w:val="center"/>
          </w:tcPr>
          <w:p>
            <w:pPr>
              <w:bidi w:val="0"/>
              <w:spacing w:line="240" w:lineRule="auto"/>
              <w:jc w:val="center"/>
              <w:rPr>
                <w:rFonts w:hint="eastAsia"/>
                <w:lang w:val="en-US" w:eastAsia="zh-CN"/>
              </w:rPr>
            </w:pPr>
            <w:r>
              <w:rPr>
                <w:rFonts w:hint="eastAsia"/>
                <w:lang w:val="en-US" w:eastAsia="zh-CN"/>
              </w:rPr>
              <w:t>节能产品</w:t>
            </w:r>
          </w:p>
        </w:tc>
        <w:tc>
          <w:tcPr>
            <w:tcW w:w="7545" w:type="dxa"/>
            <w:noWrap w:val="0"/>
            <w:vAlign w:val="center"/>
          </w:tcPr>
          <w:p>
            <w:pPr>
              <w:bidi w:val="0"/>
              <w:spacing w:line="240" w:lineRule="auto"/>
              <w:jc w:val="left"/>
              <w:rPr>
                <w:rFonts w:hint="eastAsia"/>
                <w:sz w:val="21"/>
                <w:szCs w:val="21"/>
              </w:rPr>
            </w:pPr>
            <w:r>
              <w:rPr>
                <w:rFonts w:hint="eastAsia"/>
                <w:sz w:val="21"/>
                <w:szCs w:val="21"/>
              </w:rPr>
              <w:t>□ 强制采购节能产品</w:t>
            </w:r>
          </w:p>
          <w:p>
            <w:pPr>
              <w:bidi w:val="0"/>
              <w:spacing w:line="240" w:lineRule="auto"/>
              <w:jc w:val="left"/>
              <w:rPr>
                <w:rFonts w:hint="eastAsia"/>
                <w:sz w:val="21"/>
                <w:szCs w:val="21"/>
              </w:rPr>
            </w:pPr>
            <w:r>
              <w:rPr>
                <w:rFonts w:hint="eastAsia"/>
                <w:sz w:val="21"/>
                <w:szCs w:val="21"/>
              </w:rPr>
              <w:sym w:font="Wingdings 2" w:char="0052"/>
            </w:r>
            <w:r>
              <w:rPr>
                <w:rFonts w:hint="eastAsia"/>
                <w:sz w:val="21"/>
                <w:szCs w:val="21"/>
              </w:rPr>
              <w:t xml:space="preserve"> 优先采购节能产品</w:t>
            </w:r>
          </w:p>
          <w:p>
            <w:pPr>
              <w:bidi w:val="0"/>
              <w:spacing w:line="240" w:lineRule="auto"/>
              <w:jc w:val="left"/>
              <w:rPr>
                <w:rFonts w:hint="eastAsia"/>
                <w:sz w:val="21"/>
                <w:szCs w:val="21"/>
              </w:rPr>
            </w:pPr>
            <w:r>
              <w:rPr>
                <w:rFonts w:hint="eastAsia"/>
                <w:sz w:val="21"/>
                <w:szCs w:val="21"/>
              </w:rPr>
              <w:sym w:font="Wingdings" w:char="00A8"/>
            </w:r>
            <w:r>
              <w:rPr>
                <w:rFonts w:hint="eastAsia"/>
                <w:sz w:val="21"/>
                <w:szCs w:val="21"/>
              </w:rPr>
              <w:t xml:space="preserve"> 不适用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337" w:hRule="atLeast"/>
          <w:jc w:val="center"/>
        </w:trPr>
        <w:tc>
          <w:tcPr>
            <w:tcW w:w="760" w:type="dxa"/>
            <w:noWrap w:val="0"/>
            <w:vAlign w:val="center"/>
          </w:tcPr>
          <w:p>
            <w:pPr>
              <w:bidi w:val="0"/>
              <w:spacing w:line="240" w:lineRule="auto"/>
              <w:jc w:val="center"/>
              <w:rPr>
                <w:rFonts w:hint="default" w:eastAsia="宋体"/>
                <w:sz w:val="21"/>
                <w:szCs w:val="21"/>
                <w:lang w:val="en-US" w:eastAsia="zh-CN"/>
              </w:rPr>
            </w:pPr>
            <w:r>
              <w:rPr>
                <w:rFonts w:hint="eastAsia"/>
                <w:sz w:val="21"/>
                <w:szCs w:val="21"/>
                <w:lang w:val="en-US" w:eastAsia="zh-CN"/>
              </w:rPr>
              <w:t>32</w:t>
            </w:r>
          </w:p>
        </w:tc>
        <w:tc>
          <w:tcPr>
            <w:tcW w:w="1970" w:type="dxa"/>
            <w:noWrap w:val="0"/>
            <w:vAlign w:val="center"/>
          </w:tcPr>
          <w:p>
            <w:pPr>
              <w:bidi w:val="0"/>
              <w:spacing w:line="240" w:lineRule="auto"/>
              <w:jc w:val="center"/>
              <w:rPr>
                <w:rFonts w:hint="eastAsia"/>
                <w:lang w:val="en-US" w:eastAsia="zh-CN"/>
              </w:rPr>
            </w:pPr>
            <w:r>
              <w:rPr>
                <w:rFonts w:hint="eastAsia"/>
                <w:lang w:val="en-US" w:eastAsia="zh-CN"/>
              </w:rPr>
              <w:t>环境标志产品</w:t>
            </w:r>
          </w:p>
        </w:tc>
        <w:tc>
          <w:tcPr>
            <w:tcW w:w="7545" w:type="dxa"/>
            <w:noWrap w:val="0"/>
            <w:vAlign w:val="center"/>
          </w:tcPr>
          <w:p>
            <w:pPr>
              <w:pStyle w:val="128"/>
              <w:spacing w:line="240" w:lineRule="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sym w:font="Wingdings 2" w:char="0052"/>
            </w:r>
            <w:r>
              <w:rPr>
                <w:rFonts w:hint="eastAsia" w:ascii="宋体" w:hAnsi="宋体" w:eastAsia="宋体" w:cs="Times New Roman"/>
                <w:kern w:val="2"/>
                <w:sz w:val="21"/>
                <w:szCs w:val="21"/>
                <w:lang w:val="en-US" w:eastAsia="zh-CN" w:bidi="ar-SA"/>
              </w:rPr>
              <w:t xml:space="preserve"> 优先采购环境标志产品</w:t>
            </w:r>
          </w:p>
          <w:p>
            <w:pPr>
              <w:snapToGrid w:val="0"/>
              <w:spacing w:line="240" w:lineRule="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sym w:font="Wingdings" w:char="00A8"/>
            </w:r>
            <w:r>
              <w:rPr>
                <w:rFonts w:hint="eastAsia" w:ascii="宋体" w:hAnsi="宋体" w:eastAsia="宋体" w:cs="Times New Roman"/>
                <w:kern w:val="2"/>
                <w:sz w:val="21"/>
                <w:szCs w:val="21"/>
                <w:lang w:val="en-US" w:eastAsia="zh-CN" w:bidi="ar-SA"/>
              </w:rPr>
              <w:t xml:space="preserve"> 不适用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108" w:type="dxa"/>
            <w:bottom w:w="57" w:type="dxa"/>
            <w:right w:w="108" w:type="dxa"/>
          </w:tblCellMar>
        </w:tblPrEx>
        <w:trPr>
          <w:trHeight w:val="4595" w:hRule="atLeast"/>
          <w:jc w:val="center"/>
        </w:trPr>
        <w:tc>
          <w:tcPr>
            <w:tcW w:w="760" w:type="dxa"/>
            <w:noWrap w:val="0"/>
            <w:vAlign w:val="center"/>
          </w:tcPr>
          <w:p>
            <w:pPr>
              <w:bidi w:val="0"/>
              <w:spacing w:line="240" w:lineRule="auto"/>
              <w:jc w:val="center"/>
              <w:rPr>
                <w:rFonts w:hint="default"/>
                <w:sz w:val="21"/>
                <w:szCs w:val="21"/>
                <w:lang w:val="en-US" w:eastAsia="zh-CN"/>
              </w:rPr>
            </w:pPr>
            <w:r>
              <w:rPr>
                <w:rFonts w:hint="eastAsia"/>
                <w:sz w:val="21"/>
                <w:szCs w:val="21"/>
                <w:lang w:val="en-US" w:eastAsia="zh-CN"/>
              </w:rPr>
              <w:t>33</w:t>
            </w:r>
          </w:p>
        </w:tc>
        <w:tc>
          <w:tcPr>
            <w:tcW w:w="1970" w:type="dxa"/>
            <w:noWrap w:val="0"/>
            <w:vAlign w:val="center"/>
          </w:tcPr>
          <w:p>
            <w:pPr>
              <w:bidi w:val="0"/>
              <w:spacing w:line="240" w:lineRule="auto"/>
              <w:jc w:val="center"/>
              <w:rPr>
                <w:rFonts w:hint="default"/>
                <w:lang w:val="en-US" w:eastAsia="zh-CN"/>
              </w:rPr>
            </w:pPr>
            <w:r>
              <w:rPr>
                <w:rFonts w:hint="eastAsia"/>
                <w:lang w:val="en-US" w:eastAsia="zh-CN"/>
              </w:rPr>
              <w:t>验收</w:t>
            </w:r>
          </w:p>
        </w:tc>
        <w:tc>
          <w:tcPr>
            <w:tcW w:w="7545" w:type="dxa"/>
            <w:noWrap w:val="0"/>
            <w:vAlign w:val="center"/>
          </w:tcPr>
          <w:p>
            <w:pPr>
              <w:snapToGrid w:val="0"/>
              <w:spacing w:line="240" w:lineRule="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1.采购人组织对</w:t>
            </w:r>
            <w:r>
              <w:rPr>
                <w:rFonts w:hint="eastAsia" w:cs="Times New Roman"/>
                <w:kern w:val="2"/>
                <w:sz w:val="21"/>
                <w:szCs w:val="21"/>
                <w:lang w:val="en-US" w:eastAsia="zh-CN" w:bidi="ar-SA"/>
              </w:rPr>
              <w:t>供应商</w:t>
            </w:r>
            <w:r>
              <w:rPr>
                <w:rFonts w:hint="eastAsia" w:ascii="宋体" w:hAnsi="宋体" w:eastAsia="宋体" w:cs="Times New Roman"/>
                <w:kern w:val="2"/>
                <w:sz w:val="21"/>
                <w:szCs w:val="21"/>
                <w:lang w:val="en-US" w:eastAsia="zh-CN" w:bidi="ar-SA"/>
              </w:rPr>
              <w:t>履约的验收。大型或者复杂的政府采购项目，应当邀请国家认可的质量检测机构参加验收工作。验收方成员应当在验收书上签字，并承担相应的法律责任。如果发现与合同中要求不符，</w:t>
            </w:r>
            <w:r>
              <w:rPr>
                <w:rFonts w:hint="eastAsia" w:cs="Times New Roman"/>
                <w:kern w:val="2"/>
                <w:sz w:val="21"/>
                <w:szCs w:val="21"/>
                <w:lang w:val="en-US" w:eastAsia="zh-CN" w:bidi="ar-SA"/>
              </w:rPr>
              <w:t>供应商</w:t>
            </w:r>
            <w:r>
              <w:rPr>
                <w:rFonts w:hint="eastAsia" w:ascii="宋体" w:hAnsi="宋体" w:eastAsia="宋体" w:cs="Times New Roman"/>
                <w:kern w:val="2"/>
                <w:sz w:val="21"/>
                <w:szCs w:val="21"/>
                <w:lang w:val="en-US" w:eastAsia="zh-CN" w:bidi="ar-SA"/>
              </w:rPr>
              <w:t>须承担由此发生的一切损失和费用，并接受相应的处理。</w:t>
            </w:r>
          </w:p>
          <w:p>
            <w:pPr>
              <w:snapToGrid w:val="0"/>
              <w:spacing w:line="240" w:lineRule="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2.采购人可以邀请参加本项目的其他</w:t>
            </w:r>
            <w:r>
              <w:rPr>
                <w:rFonts w:hint="eastAsia" w:cs="Times New Roman"/>
                <w:kern w:val="2"/>
                <w:sz w:val="21"/>
                <w:szCs w:val="21"/>
                <w:lang w:val="en-US" w:eastAsia="zh-CN" w:bidi="ar-SA"/>
              </w:rPr>
              <w:t>供应商</w:t>
            </w:r>
            <w:r>
              <w:rPr>
                <w:rFonts w:hint="eastAsia" w:ascii="宋体" w:hAnsi="宋体" w:eastAsia="宋体" w:cs="Times New Roman"/>
                <w:kern w:val="2"/>
                <w:sz w:val="21"/>
                <w:szCs w:val="21"/>
                <w:lang w:val="en-US" w:eastAsia="zh-CN" w:bidi="ar-SA"/>
              </w:rPr>
              <w:t>或者第三方机构参与验收。参与验收的</w:t>
            </w:r>
            <w:r>
              <w:rPr>
                <w:rFonts w:hint="eastAsia" w:cs="Times New Roman"/>
                <w:kern w:val="2"/>
                <w:sz w:val="21"/>
                <w:szCs w:val="21"/>
                <w:lang w:val="en-US" w:eastAsia="zh-CN" w:bidi="ar-SA"/>
              </w:rPr>
              <w:t>供应商</w:t>
            </w:r>
            <w:r>
              <w:rPr>
                <w:rFonts w:hint="eastAsia" w:ascii="宋体" w:hAnsi="宋体" w:eastAsia="宋体" w:cs="Times New Roman"/>
                <w:kern w:val="2"/>
                <w:sz w:val="21"/>
                <w:szCs w:val="21"/>
                <w:lang w:val="en-US" w:eastAsia="zh-CN" w:bidi="ar-SA"/>
              </w:rPr>
              <w:t>或者第三方机构的意见作为验收书的参考资料一并存档。</w:t>
            </w:r>
          </w:p>
          <w:p>
            <w:pPr>
              <w:snapToGrid w:val="0"/>
              <w:spacing w:line="240" w:lineRule="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3.严格按照采购合同开展履约验收。采购人成立验收小组，按照采购合同的约定对</w:t>
            </w:r>
            <w:r>
              <w:rPr>
                <w:rFonts w:hint="eastAsia" w:cs="Times New Roman"/>
                <w:kern w:val="2"/>
                <w:sz w:val="21"/>
                <w:szCs w:val="21"/>
                <w:lang w:val="en-US" w:eastAsia="zh-CN" w:bidi="ar-SA"/>
              </w:rPr>
              <w:t>供应商</w:t>
            </w:r>
            <w:r>
              <w:rPr>
                <w:rFonts w:hint="eastAsia" w:ascii="宋体" w:hAnsi="宋体" w:eastAsia="宋体" w:cs="Times New Roman"/>
                <w:kern w:val="2"/>
                <w:sz w:val="21"/>
                <w:szCs w:val="21"/>
                <w:lang w:val="en-US" w:eastAsia="zh-CN" w:bidi="ar-SA"/>
              </w:rPr>
              <w:t>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snapToGrid w:val="0"/>
              <w:spacing w:line="240" w:lineRule="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4.采购人原则上应当在履约验收之日起2个工作日内，将履约验收结果在浙江政府采购网上公告。</w:t>
            </w:r>
          </w:p>
          <w:p>
            <w:pPr>
              <w:snapToGrid w:val="0"/>
              <w:spacing w:line="240" w:lineRule="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5.验收合格的项目，采购人将根据采购合同的约定及时向</w:t>
            </w:r>
            <w:r>
              <w:rPr>
                <w:rFonts w:hint="eastAsia" w:cs="Times New Roman"/>
                <w:kern w:val="2"/>
                <w:sz w:val="21"/>
                <w:szCs w:val="21"/>
                <w:lang w:val="en-US" w:eastAsia="zh-CN" w:bidi="ar-SA"/>
              </w:rPr>
              <w:t>供应商</w:t>
            </w:r>
            <w:r>
              <w:rPr>
                <w:rFonts w:hint="eastAsia" w:ascii="宋体" w:hAnsi="宋体" w:eastAsia="宋体" w:cs="Times New Roman"/>
                <w:kern w:val="2"/>
                <w:sz w:val="21"/>
                <w:szCs w:val="21"/>
                <w:lang w:val="en-US" w:eastAsia="zh-CN" w:bidi="ar-SA"/>
              </w:rPr>
              <w:t>支付采购资金、退还履约保证金。</w:t>
            </w:r>
          </w:p>
          <w:p>
            <w:pPr>
              <w:snapToGrid w:val="0"/>
              <w:spacing w:line="240" w:lineRule="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验收不合格的项目，采购人将依法及时处理。采购合同的履行、违约责任和解决争议的方式等适用《中华人民共和国民法典》。</w:t>
            </w:r>
            <w:r>
              <w:rPr>
                <w:rFonts w:hint="eastAsia" w:cs="Times New Roman"/>
                <w:kern w:val="2"/>
                <w:sz w:val="21"/>
                <w:szCs w:val="21"/>
                <w:lang w:val="en-US" w:eastAsia="zh-CN" w:bidi="ar-SA"/>
              </w:rPr>
              <w:t>供应商</w:t>
            </w:r>
            <w:r>
              <w:rPr>
                <w:rFonts w:hint="eastAsia" w:ascii="宋体" w:hAnsi="宋体" w:eastAsia="宋体" w:cs="Times New Roman"/>
                <w:kern w:val="2"/>
                <w:sz w:val="21"/>
                <w:szCs w:val="21"/>
                <w:lang w:val="en-US" w:eastAsia="zh-CN" w:bidi="ar-SA"/>
              </w:rPr>
              <w:t>在履约过程中有政府采购法律法规规定的违法违规情形的，采购人应当及时报告本级财政部门。</w:t>
            </w:r>
          </w:p>
        </w:tc>
      </w:tr>
    </w:tbl>
    <w:p>
      <w:pPr>
        <w:snapToGrid w:val="0"/>
        <w:spacing w:line="400" w:lineRule="exact"/>
        <w:rPr>
          <w:rFonts w:hint="eastAsia" w:ascii="宋体" w:hAnsi="宋体" w:eastAsia="宋体" w:cs="宋体"/>
          <w:b/>
          <w:bCs/>
          <w:color w:val="auto"/>
          <w:sz w:val="21"/>
          <w:szCs w:val="21"/>
        </w:rPr>
        <w:sectPr>
          <w:pgSz w:w="11905" w:h="16838"/>
          <w:pgMar w:top="1417" w:right="1417" w:bottom="1417" w:left="1417" w:header="851" w:footer="992" w:gutter="0"/>
          <w:pgNumType w:fmt="decimal"/>
          <w:cols w:space="0" w:num="1"/>
          <w:titlePg/>
          <w:rtlGutter w:val="0"/>
          <w:docGrid w:linePitch="312" w:charSpace="0"/>
        </w:sectPr>
      </w:pPr>
      <w:r>
        <w:rPr>
          <w:rFonts w:hint="eastAsia" w:ascii="宋体" w:hAnsi="宋体" w:eastAsia="宋体" w:cs="宋体"/>
          <w:b/>
          <w:bCs/>
          <w:color w:val="auto"/>
          <w:sz w:val="21"/>
          <w:szCs w:val="21"/>
        </w:rPr>
        <w:t>注：</w:t>
      </w:r>
      <w:r>
        <w:rPr>
          <w:rFonts w:hint="eastAsia" w:cs="宋体"/>
          <w:b/>
          <w:bCs/>
          <w:color w:val="auto"/>
          <w:sz w:val="21"/>
          <w:szCs w:val="21"/>
          <w:lang w:eastAsia="zh-CN"/>
        </w:rPr>
        <w:t>供应商</w:t>
      </w:r>
      <w:r>
        <w:rPr>
          <w:rFonts w:hint="eastAsia" w:ascii="宋体" w:hAnsi="宋体" w:eastAsia="宋体" w:cs="宋体"/>
          <w:b/>
          <w:bCs/>
          <w:color w:val="auto"/>
          <w:sz w:val="21"/>
          <w:szCs w:val="21"/>
        </w:rPr>
        <w:t>须知前附表内容与本</w:t>
      </w:r>
      <w:r>
        <w:rPr>
          <w:rFonts w:hint="eastAsia" w:ascii="宋体" w:hAnsi="宋体" w:eastAsia="宋体" w:cs="宋体"/>
          <w:b/>
          <w:bCs/>
          <w:color w:val="auto"/>
          <w:sz w:val="21"/>
          <w:szCs w:val="21"/>
          <w:lang w:eastAsia="zh-CN"/>
        </w:rPr>
        <w:t>采购</w:t>
      </w:r>
      <w:r>
        <w:rPr>
          <w:rFonts w:hint="eastAsia" w:ascii="宋体" w:hAnsi="宋体" w:eastAsia="宋体" w:cs="宋体"/>
          <w:b/>
          <w:bCs/>
          <w:color w:val="auto"/>
          <w:sz w:val="21"/>
          <w:szCs w:val="21"/>
        </w:rPr>
        <w:t>文件内容不一致的，以前附表为准。</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bCs/>
          <w:color w:val="auto"/>
          <w:sz w:val="24"/>
          <w:szCs w:val="24"/>
          <w:lang w:val="en-US" w:eastAsia="zh-CN"/>
        </w:rPr>
      </w:pPr>
      <w:r>
        <w:rPr>
          <w:rFonts w:hint="eastAsia" w:cs="宋体"/>
          <w:b/>
          <w:bCs/>
          <w:color w:val="auto"/>
          <w:sz w:val="24"/>
          <w:szCs w:val="24"/>
          <w:lang w:val="en-US" w:eastAsia="zh-CN"/>
        </w:rPr>
        <w:t>一、</w:t>
      </w:r>
      <w:r>
        <w:rPr>
          <w:rFonts w:hint="eastAsia" w:ascii="宋体" w:hAnsi="宋体" w:eastAsia="宋体" w:cs="宋体"/>
          <w:b/>
          <w:bCs/>
          <w:color w:val="auto"/>
          <w:sz w:val="24"/>
          <w:szCs w:val="24"/>
          <w:lang w:val="en-US" w:eastAsia="zh-CN"/>
        </w:rPr>
        <w:t>总则</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 w:val="21"/>
          <w:szCs w:val="21"/>
          <w:lang w:val="en-US" w:eastAsia="zh-CN"/>
        </w:rPr>
      </w:pPr>
      <w:r>
        <w:rPr>
          <w:rFonts w:hint="eastAsia" w:cs="宋体"/>
          <w:b/>
          <w:bCs/>
          <w:color w:val="auto"/>
          <w:sz w:val="21"/>
          <w:szCs w:val="21"/>
          <w:lang w:val="en-US" w:eastAsia="zh-CN"/>
        </w:rPr>
        <w:t>1.</w:t>
      </w:r>
      <w:r>
        <w:rPr>
          <w:rFonts w:hint="eastAsia" w:ascii="宋体" w:hAnsi="宋体" w:eastAsia="宋体" w:cs="宋体"/>
          <w:b/>
          <w:bCs/>
          <w:color w:val="auto"/>
          <w:sz w:val="21"/>
          <w:szCs w:val="21"/>
          <w:lang w:val="en-US" w:eastAsia="zh-CN"/>
        </w:rPr>
        <w:t>适用范围</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bCs/>
          <w:color w:val="auto"/>
          <w:sz w:val="21"/>
          <w:szCs w:val="21"/>
        </w:rPr>
      </w:pPr>
      <w:r>
        <w:rPr>
          <w:rFonts w:hint="eastAsia" w:ascii="宋体" w:hAnsi="宋体" w:eastAsia="宋体" w:cs="宋体"/>
          <w:b w:val="0"/>
          <w:bCs w:val="0"/>
          <w:color w:val="auto"/>
          <w:sz w:val="21"/>
          <w:szCs w:val="21"/>
        </w:rPr>
        <w:t>本招标文件适用于该项目的招标、投标、开标、资格审查及信用信息查询、评标、定标、合同、验收等行为（法律、法规另有规定的，从其规定）。</w:t>
      </w:r>
    </w:p>
    <w:p>
      <w:pPr>
        <w:autoSpaceDE/>
        <w:autoSpaceDN/>
        <w:adjustRightInd w:val="0"/>
        <w:snapToGrid w:val="0"/>
        <w:spacing w:line="360" w:lineRule="auto"/>
        <w:ind w:firstLine="422" w:firstLineChars="200"/>
        <w:jc w:val="left"/>
        <w:textAlignment w:val="auto"/>
        <w:rPr>
          <w:rFonts w:hAnsi="宋体" w:cs="Times New Roman"/>
          <w:b/>
          <w:bCs/>
          <w:color w:val="auto"/>
          <w:sz w:val="21"/>
          <w:szCs w:val="21"/>
          <w:highlight w:val="none"/>
        </w:rPr>
      </w:pPr>
      <w:r>
        <w:rPr>
          <w:rFonts w:hint="eastAsia"/>
          <w:b/>
          <w:bCs/>
          <w:color w:val="auto"/>
          <w:sz w:val="21"/>
          <w:szCs w:val="21"/>
          <w:highlight w:val="none"/>
          <w:lang w:val="en-US" w:eastAsia="zh-CN"/>
        </w:rPr>
        <w:t>2.</w:t>
      </w:r>
      <w:r>
        <w:rPr>
          <w:rFonts w:hint="eastAsia" w:hAnsi="宋体"/>
          <w:b/>
          <w:bCs/>
          <w:color w:val="auto"/>
          <w:sz w:val="21"/>
          <w:szCs w:val="21"/>
          <w:highlight w:val="none"/>
        </w:rPr>
        <w:t>定义</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s="宋体"/>
          <w:sz w:val="21"/>
          <w:szCs w:val="21"/>
          <w:lang w:val="en-US" w:eastAsia="zh-CN"/>
        </w:rPr>
      </w:pPr>
      <w:r>
        <w:rPr>
          <w:rFonts w:hint="eastAsia" w:cs="宋体"/>
          <w:sz w:val="21"/>
          <w:szCs w:val="21"/>
          <w:lang w:val="en-US" w:eastAsia="zh-CN"/>
        </w:rPr>
        <w:t>2.1 “采购人”系指招标公告中载明的本项目的采购人。</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s="宋体"/>
          <w:sz w:val="21"/>
          <w:szCs w:val="21"/>
          <w:lang w:val="en-US" w:eastAsia="zh-CN"/>
        </w:rPr>
      </w:pPr>
      <w:r>
        <w:rPr>
          <w:rFonts w:hint="eastAsia" w:cs="宋体"/>
          <w:sz w:val="21"/>
          <w:szCs w:val="21"/>
          <w:lang w:val="en-US" w:eastAsia="zh-CN"/>
        </w:rPr>
        <w:t>2.2 “采购代理机构”系指招标公告中载明的本项目的采购代理机构。</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s="宋体"/>
          <w:sz w:val="21"/>
          <w:szCs w:val="21"/>
          <w:lang w:val="en-US" w:eastAsia="zh-CN"/>
        </w:rPr>
      </w:pPr>
      <w:r>
        <w:rPr>
          <w:rFonts w:hint="eastAsia" w:cs="宋体"/>
          <w:sz w:val="21"/>
          <w:szCs w:val="21"/>
          <w:lang w:val="en-US" w:eastAsia="zh-CN"/>
        </w:rPr>
        <w:t>2.3 “供应商”系指是指响应招标、参加投标竞争的法人、其他组织或者自然人。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s="宋体"/>
          <w:sz w:val="21"/>
          <w:szCs w:val="21"/>
          <w:lang w:val="en-US" w:eastAsia="zh-CN"/>
        </w:rPr>
      </w:pPr>
      <w:r>
        <w:rPr>
          <w:rFonts w:hint="eastAsia" w:cs="宋体"/>
          <w:sz w:val="21"/>
          <w:szCs w:val="21"/>
          <w:lang w:val="en-US" w:eastAsia="zh-CN"/>
        </w:rPr>
        <w:t>2.4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s="宋体"/>
          <w:sz w:val="21"/>
          <w:szCs w:val="21"/>
          <w:lang w:val="en-US" w:eastAsia="zh-CN"/>
        </w:rPr>
      </w:pPr>
      <w:r>
        <w:rPr>
          <w:rFonts w:hint="eastAsia" w:cs="宋体"/>
          <w:sz w:val="21"/>
          <w:szCs w:val="21"/>
          <w:lang w:val="en-US" w:eastAsia="zh-CN"/>
        </w:rPr>
        <w:t>2.5“电子签名”系指数据电文中以电子形式所含、所附用于识别签名人身份并表明签名人认可其中内容的数据；“公章”系指单位法定名称章。</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cs="宋体"/>
          <w:sz w:val="21"/>
          <w:szCs w:val="21"/>
          <w:lang w:val="en-US" w:eastAsia="zh-CN"/>
        </w:rPr>
      </w:pPr>
      <w:r>
        <w:rPr>
          <w:rFonts w:hint="eastAsia" w:cs="宋体"/>
          <w:sz w:val="21"/>
          <w:szCs w:val="21"/>
          <w:lang w:val="en-US" w:eastAsia="zh-CN"/>
        </w:rPr>
        <w:t>2.6“电子交易平台”系指本项目政府采购活动所依托的政府采购云平台（https://www.zcygov.cn/）。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sz w:val="21"/>
          <w:szCs w:val="21"/>
        </w:rPr>
      </w:pPr>
      <w:r>
        <w:rPr>
          <w:rFonts w:hint="eastAsia" w:cs="宋体"/>
          <w:sz w:val="21"/>
          <w:szCs w:val="21"/>
          <w:lang w:val="en-US" w:eastAsia="zh-CN"/>
        </w:rPr>
        <w:t>2.7 “▲” 系指实质性要求条款，系指适用本项目的要求</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3. 采购项目需要落实的政府采购政策</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3.2 支持绿色发展</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须按招标文件要求提供相关产品认证证书。▲采购人拟采购的产品属于政府强制采购的节能产品品目清单范围的，</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相应的投标产品未获得国家确定的认证机构出具的、处于有效期之内的节能产品认证证书的，投标无效。</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3.2.2 纳入政府采购管理的修缮、装修类项目采购建材的，鼓励采购单位将绿色建材性能、指标等作为实质性条件纳入采购文件和合同，具体性能指标要求参考相关绿色建材政府采购需求标准。</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61" w:name="_Hlk107568539"/>
      <w:r>
        <w:rPr>
          <w:rFonts w:hint="eastAsia" w:ascii="宋体" w:hAnsi="宋体" w:eastAsia="宋体" w:cs="宋体"/>
          <w:b w:val="0"/>
          <w:bCs w:val="0"/>
          <w:sz w:val="21"/>
          <w:szCs w:val="21"/>
          <w:lang w:val="en-US" w:eastAsia="zh-CN"/>
        </w:rPr>
        <w:t>鼓励采购单位优先采购秸秆环保板材等资源综合利用产品。鼓励采购单位优先采购绿色物流配送服务、提供新能源交通工具的租赁服务。</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61"/>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3.3支持中小企业发展</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符合中小企业划分标准的个体工商户，在政府采购活动中视同中小企业。</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3.3.2在政府采购活动中，</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提供的货物符合下列情形的，享受中小企业扶持政策：在货物采购项目中，货物由中小企业制造，即货物由中小企业生产且使用该中小企业商号或者注册商标；在货物采购项目中，</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提供的货物既有中小企业制造货物，也有大型企业制造货物的，不享受中小企业扶持政策。</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以联合体形式参加政府采购活动，联合体各方均为中小企业的，联合体视同中小企业。其中，联合体各方均为小微企业的，联合体视同小微企业。</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3.3.3对于未预留份额专门面向中小企业的政府采购货物项目，以及预留份额政府采购货物项目中的非预留部分标项，对小型和微型企业的投标报价给予10%-20%的扣除，用扣除后的价格参与评审。接受大中型企业与小微企业组成联合体或者允许大中型企业向一家或者多家小微企业分包的政府采购货物项目，对于</w:t>
      </w:r>
      <w:bookmarkStart w:id="62" w:name="_Hlk101132181"/>
      <w:r>
        <w:rPr>
          <w:rFonts w:hint="eastAsia" w:ascii="宋体" w:hAnsi="宋体" w:eastAsia="宋体" w:cs="宋体"/>
          <w:b w:val="0"/>
          <w:bCs w:val="0"/>
          <w:sz w:val="21"/>
          <w:szCs w:val="21"/>
          <w:lang w:val="en-US" w:eastAsia="zh-CN"/>
        </w:rPr>
        <w:t>联合协议或者分包意向协议约定小微企业的合同份额占到合同总金额30%以上的</w:t>
      </w:r>
      <w:bookmarkEnd w:id="62"/>
      <w:r>
        <w:rPr>
          <w:rFonts w:hint="eastAsia" w:ascii="宋体" w:hAnsi="宋体" w:eastAsia="宋体" w:cs="宋体"/>
          <w:b w:val="0"/>
          <w:bCs w:val="0"/>
          <w:sz w:val="21"/>
          <w:szCs w:val="21"/>
          <w:lang w:val="en-US" w:eastAsia="zh-CN"/>
        </w:rPr>
        <w:t>，对联合体或者大中型企业的报价给予4%-6%的扣除，用扣除后的价格参加评审。组成联合体或者接受分包的小微企业与联合体内其他企业、分包企业之间存在直接控股、管理关系的，不享受价格扣除优惠政策。</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3.3.4符合《关于促进残疾人就业政府采购政策的通知》（财库〔2017〕141号）规定的条件并提供《残疾人福利性单位声明函》（附件1）的残疾人福利性单位视同小型、微型企业；</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3.3.6可享受中小企业扶持政策的</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应按照招标文件格式要求提供《中小企业声明函》，</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提供的《中小企业声明函》与实际情况不符的，不享受中小企业扶持政策。声明内容不实的，属于提供虚假材料谋取中标、成交的，依法承担法律责任。</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3.3.7中小企业享受扶持政策获得政府采购合同的，小微企业不得将合同分包给大中型企业，中型企业不得将合同分包给大型企业。</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3.4支持创新发展</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3.4.1 采购人优先采购被认定为首台套产品和“制造精品”的自主创新产品。</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3.5平等对待内外资企业和符合条件的破产重整企业</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平等对待内外资企业和符合条件的破产重整企业，切实保障企业公平竞争，平等维护企业的合法利益。</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4.询问、质疑、投诉</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4.1在线询问、质疑、投诉</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4.2供应商询问</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4.3供应商质疑</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4.3.1提出质疑的供应商应当是参与所质疑项目采购活动的供应商。潜在供应商已依法获取其可质疑的招标文件的，可以对该文件提出质疑。</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4.3.2.1对招标文件提出质疑的，质疑期限为供应商获得招标文件之日或者招标文件公告期限届满之日起计算。</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4.3.2.2对采购过程提出质疑的，质疑期限为各采购程序环节结束之日起计算。</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4.3.2.3对采购结果提出质疑的，质疑期限自采购结果公告期限届满之日起计算。</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4.3.3供应商提出质疑应当提交质疑函和必要的证明材料。质疑函应当包括下列内容：</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4.3.3.1供应商的姓名或者名称、地址、邮编、联系人及联系电话；</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4.3.3.2质疑项目的名称、编号；</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4.3.3.3具体、明确的质疑事项和与质疑事项相关的请求；</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4.3.3.4事实依据；</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4.3.3.5必要的法律依据；</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4.3.3.6提出质疑的日期。</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供应商提交的质疑函需一式三份。供应商为自然人的，应当由本人签字；供应商为法人或者其他组织的，应当由法定代表人、主要负责人，或者其授权代表签字或者盖章，并加盖公章。</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4.3.4对同一采购程序环节的质疑，供应商须在法定质疑期内一次性提出。</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4.3.5采购人或者采购代理机构应当在收到供应商的书面质疑后七个工作日内作出答复，并以书面形式通知质疑供应商和其他与质疑处理结果有利害关系的政府采购当事人，但答复的内容不得涉及商业秘密。</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4.3.6询问或者质疑事项可能影响采购结果的，采购人应当暂停签订合同，已经签订合同的，应当中止履行合同。</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4.4供应商投诉</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4.4.1质疑供应商对采购人、采购代理机构的答复不满意或者采购人、采购代理机构未在规定的时间内作出答复的，可以在答复期满后十五个工作日内向同级政府采购监督管理部门提出投诉。</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4.4.2供应商投诉的事项不得超出已质疑事项的范围，基于质疑答复内容提出的投诉事项除外。</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4.4.3供应商投诉应当有明确的请求和必要的证明材料。</w:t>
      </w:r>
    </w:p>
    <w:p>
      <w:pPr>
        <w:bidi w:val="0"/>
        <w:spacing w:line="240" w:lineRule="auto"/>
        <w:rPr>
          <w:rFonts w:hint="eastAsia"/>
          <w:lang w:val="en-US" w:eastAsia="zh-CN"/>
        </w:rPr>
      </w:pP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4"/>
          <w:szCs w:val="24"/>
          <w:lang w:val="en-US" w:eastAsia="zh-CN"/>
        </w:rPr>
        <w:t>二、招标文件的构成、澄清、修改</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5</w:t>
      </w:r>
      <w:r>
        <w:rPr>
          <w:rFonts w:hint="eastAsia" w:cs="宋体"/>
          <w:b/>
          <w:bCs/>
          <w:sz w:val="21"/>
          <w:szCs w:val="21"/>
          <w:lang w:val="en-US" w:eastAsia="zh-CN"/>
        </w:rPr>
        <w:t>.</w:t>
      </w:r>
      <w:r>
        <w:rPr>
          <w:rFonts w:hint="eastAsia" w:ascii="宋体" w:hAnsi="宋体" w:eastAsia="宋体" w:cs="宋体"/>
          <w:b/>
          <w:bCs/>
          <w:sz w:val="21"/>
          <w:szCs w:val="21"/>
          <w:lang w:val="en-US" w:eastAsia="zh-CN"/>
        </w:rPr>
        <w:t>招标文件的构成</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5.1招标文件包括下列文件及附件：</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5.1.1招标公告；</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5.1.2</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须知；</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5.1.3采购需求；</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5.1.4评标办法；</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5.1.5拟签订的合同文本；</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5.1.6应提交的有关格式范例。</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5.2与本项目有关的澄清或者修改的内容为招标文件的组成部分。</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6.招标文件的澄清、修改</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6.1已获取招标文件的潜在</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，若有问题需要澄清，应于投标截止时间前，以书面形式向采购代理机构提出。</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6.2采购代理机构对招标文件进行澄清或修改的，将同时通过电子交易平台通知已获取招标文件的潜在</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。依法应当公告的，将按规定公告，同时视情况延长投标截止时间和开标时间。该澄清或者修改的内容为招标文件的组成部分。</w:t>
      </w:r>
    </w:p>
    <w:p>
      <w:pPr>
        <w:bidi w:val="0"/>
        <w:spacing w:line="240" w:lineRule="auto"/>
        <w:rPr>
          <w:rFonts w:hint="eastAsia"/>
          <w:lang w:val="en-US" w:eastAsia="zh-CN"/>
        </w:rPr>
      </w:pP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三、投标</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7.招标文件的获取</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详见招标公告中获取招标文件的时间期限、地点、方式及招标文件售价。</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8.开标前答疑会或现场考察</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采购人组织潜在供应商现场考察或者召开开标前答疑会的，潜在供应商按第二部分供应商须知前附表的规定参加现场考察或者开标前答疑会。</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9.投标保证金</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本项目不需缴纳投标保证金。</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10.投标文件的语言</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投标文件及供应商与采购有关的来往通知、函件和文件均应使用中文。</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11.投标文件的组成</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11.1资格文件：</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11.1.1符合参加政府采购活动应当具备的一般条件的承诺函；</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11.1.2</w:t>
      </w:r>
      <w:bookmarkStart w:id="63" w:name="_Hlk101259339"/>
      <w:r>
        <w:rPr>
          <w:rFonts w:hint="eastAsia" w:ascii="宋体" w:hAnsi="宋体" w:eastAsia="宋体" w:cs="宋体"/>
          <w:b w:val="0"/>
          <w:bCs w:val="0"/>
          <w:sz w:val="21"/>
          <w:szCs w:val="21"/>
          <w:lang w:val="en-US" w:eastAsia="zh-CN"/>
        </w:rPr>
        <w:t>联合协议</w:t>
      </w:r>
      <w:bookmarkEnd w:id="63"/>
      <w:r>
        <w:rPr>
          <w:rFonts w:hint="eastAsia" w:ascii="宋体" w:hAnsi="宋体" w:eastAsia="宋体" w:cs="宋体"/>
          <w:b w:val="0"/>
          <w:bCs w:val="0"/>
          <w:sz w:val="21"/>
          <w:szCs w:val="21"/>
          <w:lang w:val="en-US" w:eastAsia="zh-CN"/>
        </w:rPr>
        <w:t>（如果有)；</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11.1.3落实政府采购政策需满足的资格要求（如果有)；</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11.1.4本项目的特定资格要求（如果有)。</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11.2 商务技术文件：</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11.2.1投标函； </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11.2.2授权委托书或法定代表人（单位负责人、自然人本人）身份证明；</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11.2.3分包意向协议（如果有)；</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11.2.4符合性审查资料；</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11.2.5评标标准相应的商务技术资料；</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11.2.6投标标的清单；</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11.2.7商务技术偏离表；</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11.2.8政府采购供应商廉洁自律承诺书；</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11.3报价文件： </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11.3.1开标一览表（报价表）；</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11.3.2报价明细表</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cs="宋体"/>
          <w:b w:val="0"/>
          <w:bCs w:val="0"/>
          <w:sz w:val="21"/>
          <w:szCs w:val="21"/>
          <w:lang w:val="en-US" w:eastAsia="zh-CN"/>
        </w:rPr>
        <w:t>11.3.3</w:t>
      </w:r>
      <w:r>
        <w:rPr>
          <w:rFonts w:hint="eastAsia" w:ascii="宋体" w:hAnsi="宋体" w:eastAsia="宋体" w:cs="宋体"/>
          <w:b w:val="0"/>
          <w:bCs w:val="0"/>
          <w:sz w:val="21"/>
          <w:szCs w:val="21"/>
          <w:lang w:val="en-US" w:eastAsia="zh-CN"/>
        </w:rPr>
        <w:t>中小企业声明函。</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投标文件含有采购人不能接受的附加条件的，投标无效；</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供应商提供虚假材料投标的，投标无效。</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12.投标文件的编制</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12.1投标文件分为资格文件、商务技术文件、报价文件三部分。各供应商在编制投标文件时请按照招标文件第六部分规定的格式进行，混乱的编排导致投标文件被误读或评标委员会查找不到有效文件是供应商的风险。</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12.2供应商进行电子投标应安装客户端软件—“政采云电子交易客户端”，并按照招标文件和电子交易平台的要求编制并加密投标文件。供应商未按规定加密的投标文件，电子交易平台将拒收并提示。</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12.3使用“政采云电子交易客户端”需要提前申领CA数字证书，申领流程请自行前往“浙江政府采购网-下载专区-电子交易客户端-CA驱动和申领流程”进行查阅。</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13.投标文件的签署、盖章</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13.1投标文件按照招标文件第六部分格式要求进行签署、盖章。▲供应商的投标文件未按照招标文件要求签署、盖章的，其投标无效。</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13.2为确保网上操作合法、有效和安全，供应商应当在投标截止时间前完成在“政府采购云平台”的身份认证，确保在电子投标过程中能够对相关数据电文进行加密和使用电子签名。</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13.3招标文件对投标文件签署、盖章的要求适用于电子签名。</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14.投标文件的提交、补充、修改、撤回</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14.1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14.2电子交易平台收到投标文件，将妥善保存并即时向供应商发出确认回执通知。在投标截止时间前，除供应商补充、修改或者撤回投标文件外，任何单位和个人不得解密或提取投标文件。</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14.3采购人、采购代理机构可以视情况延长投标文件提交的截止时间。在上述情况下，采购代理机构与供应商以前在投标截止期方面的全部权利、责任和义务，将适用于延长至新的投标截止期。</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15.备份投标文件</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15.1供应商在电子交易平台传输递交投标文件后，还可以在投标截止时间前直接提交或者以邮政快递方式递交备份投标文件1份，但采购人、采购代理机构不强制或变相强制供应商提交备份投标文件。</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15.2备份投标文件须在“政采云投标客户端”制作生成，并储存在DVD光盘等存储介质中。备份投标文件应当密封包装并在包装上加盖公章并注明投标项目名称，供应商名称(联合体投标的，包装物封面需注明联合体投标，并注明联合体成员各方的名称和联合协议中约定的牵头人的名称)。不符合上述制作、存储、密封规定的备份投标文件将被视为无效或者被拒绝接收。</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15.3直接提交备份投标文件的，供应商应于投标截止时间前在招标公告中载明的开标地点将备份投标文件提交给采购代理机构，采购代理机构将拒绝接受逾期送达的备份投标文件。</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15.4以邮政快递方式递交备份投标文件的，供应商应先将备份投标文件按要求密封和标记，再进行邮政快递包装后邮寄。备份投标文件须在投标截止时间之前送达招标文件第二部分供应商须知前附表规定的备份投标文件送达地点；送达时间以签收人签收时间为准。采购代理机构将拒绝接受逾期送达的备份投标文件。邮寄过程中，电子备份投标文件发生泄露、遗失、损坏或延期送达等情况的，由供应商自行负责。</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15.5供应商仅提交备份投标文件，未在电子交易平台传输递交投标文件的，投标无效。</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16.投标文件的无效处理</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有招标文件第四部分4.2规定的情形之一的，投标无效：</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17.投标有效期</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17.1投标有效期为从提交投标文件的截止之日起90天。▲供应商的投标文件中承诺的投标有效期少于招标文件中载明的投标有效期的，投标无效。</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17.2投标文件合格投递后，自投标截止日期起，在投标有效期内有效。</w:t>
      </w:r>
    </w:p>
    <w:p>
      <w:pPr>
        <w:bidi w:val="0"/>
        <w:ind w:firstLine="420" w:firstLineChars="200"/>
        <w:rPr>
          <w:rFonts w:hint="eastAsia"/>
          <w:lang w:val="en-US" w:eastAsia="zh-CN"/>
        </w:rPr>
      </w:pPr>
      <w:r>
        <w:rPr>
          <w:rFonts w:hint="eastAsia"/>
          <w:lang w:val="en-US" w:eastAsia="zh-CN"/>
        </w:rPr>
        <w:t>17.3在原定投标有效期满之前，如果出现特殊情况，采购代理机构可以以书面形式通知供应商延长投标有效期。供应商同意延长的，不得要求或被允许修改其投标文件，供应商拒绝延长的，其投标无效。</w:t>
      </w: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四、开标、资格审查与信用信息查询</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18.开标</w:t>
      </w:r>
      <w:r>
        <w:rPr>
          <w:rFonts w:hint="eastAsia" w:ascii="宋体" w:hAnsi="宋体" w:eastAsia="宋体" w:cs="宋体"/>
          <w:b w:val="0"/>
          <w:bCs w:val="0"/>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18.1采购代理机构按照招标文件规定的时间通过电子交易平台组织开标，所有</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均应当准时在线参加。</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不足3家的，不得开标。</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18.2开标时，电子交易平台按开标时间自动提取所有投标文件。采购代理机构依托电子交易平台发起开始解密指令，</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按照平台提示和招标文件的规定在半小时内完成在线解密。</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18.3投标文件未按时解密，</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提供了备份投标文件的，以备份投标文件作为依据，否则视为投标文件撤回。投标文件已按时解密的，备份投标文件自动失效。</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19</w:t>
      </w:r>
      <w:r>
        <w:rPr>
          <w:rFonts w:hint="eastAsia" w:cs="宋体"/>
          <w:b/>
          <w:bCs/>
          <w:sz w:val="21"/>
          <w:szCs w:val="21"/>
          <w:lang w:val="en-US" w:eastAsia="zh-CN"/>
        </w:rPr>
        <w:t>.</w:t>
      </w:r>
      <w:r>
        <w:rPr>
          <w:rFonts w:hint="eastAsia" w:ascii="宋体" w:hAnsi="宋体" w:eastAsia="宋体" w:cs="宋体"/>
          <w:b/>
          <w:bCs/>
          <w:sz w:val="21"/>
          <w:szCs w:val="21"/>
          <w:lang w:val="en-US" w:eastAsia="zh-CN"/>
        </w:rPr>
        <w:t>资格审查</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19.1采购人或采购代理机构依据</w:t>
      </w:r>
      <w:r>
        <w:rPr>
          <w:rFonts w:hint="eastAsia" w:ascii="宋体" w:hAnsi="宋体" w:eastAsia="宋体" w:cs="宋体"/>
          <w:b/>
          <w:bCs/>
          <w:sz w:val="21"/>
          <w:szCs w:val="21"/>
          <w:lang w:val="en-US" w:eastAsia="zh-CN"/>
        </w:rPr>
        <w:t>法律法规和招标文件的规定，对</w:t>
      </w:r>
      <w:r>
        <w:rPr>
          <w:rFonts w:hint="eastAsia" w:cs="宋体"/>
          <w:b/>
          <w:bCs/>
          <w:sz w:val="21"/>
          <w:szCs w:val="21"/>
          <w:lang w:val="en-US" w:eastAsia="zh-CN"/>
        </w:rPr>
        <w:t>供应商</w:t>
      </w:r>
      <w:r>
        <w:rPr>
          <w:rFonts w:hint="eastAsia" w:ascii="宋体" w:hAnsi="宋体" w:eastAsia="宋体" w:cs="宋体"/>
          <w:b/>
          <w:bCs/>
          <w:sz w:val="21"/>
          <w:szCs w:val="21"/>
          <w:lang w:val="en-US" w:eastAsia="zh-CN"/>
        </w:rPr>
        <w:t>的资格进行审查。</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19.2</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未按照招标文件要求提供与资格条件相应的有效资格证明材料的，视为</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不具备招标文件中规定的资格要求，其投标无效。</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19.3对未通过资格审查的</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，采购人或采购代理机构告知其未通过的原因。</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19.4合格</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不足3家的，不再评标。</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20</w:t>
      </w:r>
      <w:r>
        <w:rPr>
          <w:rFonts w:hint="eastAsia" w:cs="宋体"/>
          <w:b/>
          <w:bCs/>
          <w:sz w:val="21"/>
          <w:szCs w:val="21"/>
          <w:lang w:val="en-US" w:eastAsia="zh-CN"/>
        </w:rPr>
        <w:t>.</w:t>
      </w:r>
      <w:r>
        <w:rPr>
          <w:rFonts w:hint="eastAsia" w:ascii="宋体" w:hAnsi="宋体" w:eastAsia="宋体" w:cs="宋体"/>
          <w:b/>
          <w:bCs/>
          <w:sz w:val="21"/>
          <w:szCs w:val="21"/>
          <w:lang w:val="en-US" w:eastAsia="zh-CN"/>
        </w:rPr>
        <w:t>信用信息查询</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20.1信用信息查询渠道及截止时间：采购代理机构将在资格审查时通过“信用中国”网站(www.creditchina.gov.cn)、中国政府采购网(www.ccgp.gov.cn)渠道查询</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接受资格审查时的信用记录。</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20.2信用信息查询记录和证据留存的具体方式：现场查询的</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的信用记录、查询结果经确认后将与采购文件一起存档。</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20.3信用信息的使用规则：经查询列入失信被执行人名单、重大税收违法案件当事人名单、政府采购严重违法失信行为记录名单的</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将被拒绝参与政府采购活动。</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bidi w:val="0"/>
        <w:spacing w:line="240" w:lineRule="auto"/>
        <w:rPr>
          <w:rFonts w:hint="eastAsia"/>
          <w:lang w:val="en-US" w:eastAsia="zh-CN"/>
        </w:rPr>
      </w:pPr>
    </w:p>
    <w:p>
      <w:pPr>
        <w:keepNext w:val="0"/>
        <w:keepLines w:val="0"/>
        <w:pageBreakBefore w:val="0"/>
        <w:widowControl w:val="0"/>
        <w:kinsoku/>
        <w:wordWrap/>
        <w:overflowPunct/>
        <w:topLinePunct w:val="0"/>
        <w:autoSpaceDE/>
        <w:autoSpaceDN/>
        <w:bidi w:val="0"/>
        <w:adjustRightInd/>
        <w:spacing w:line="36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五、评标</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21.评标委员会将根据招标文件和有关规定，履行评标工作职责，并按照评标方法及评分标准，全面衡量各</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对招标文件的响应情况。对实质上响应招标文件的</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，按照评审因素的量化指标排出推荐中标的</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的先后顺序，并按顺序提出授标建议。详见招标文件第四部分评标办法。</w:t>
      </w: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六、定 标</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22.确定中标供应商</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23.中标通知与中标结果公告</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23.1自中标人确定之日起2个工作日内，采购代理机构通过电子交易平台向中标人发出中标通知书，同时编制发布采购结果公告。采购代理机构也可以以纸质形式进行中标通知。</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bidi w:val="0"/>
        <w:ind w:firstLine="420" w:firstLineChars="200"/>
        <w:rPr>
          <w:rFonts w:hint="eastAsia"/>
          <w:lang w:val="en-US" w:eastAsia="zh-CN"/>
        </w:rPr>
      </w:pPr>
      <w:r>
        <w:rPr>
          <w:rFonts w:hint="eastAsia"/>
          <w:lang w:val="en-US" w:eastAsia="zh-CN"/>
        </w:rPr>
        <w:t>23.3公告期限为1个工作日。</w:t>
      </w:r>
    </w:p>
    <w:p>
      <w:pPr>
        <w:bidi w:val="0"/>
        <w:spacing w:line="240" w:lineRule="auto"/>
        <w:rPr>
          <w:rFonts w:hint="eastAsia"/>
          <w:lang w:val="en-US" w:eastAsia="zh-CN"/>
        </w:rPr>
      </w:pPr>
    </w:p>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七</w:t>
      </w:r>
      <w:r>
        <w:rPr>
          <w:rFonts w:hint="eastAsia" w:cs="宋体"/>
          <w:b/>
          <w:bCs/>
          <w:sz w:val="24"/>
          <w:szCs w:val="24"/>
          <w:lang w:val="en-US" w:eastAsia="zh-CN"/>
        </w:rPr>
        <w:t>、</w:t>
      </w:r>
      <w:r>
        <w:rPr>
          <w:rFonts w:hint="eastAsia" w:ascii="宋体" w:hAnsi="宋体" w:eastAsia="宋体" w:cs="宋体"/>
          <w:b/>
          <w:bCs/>
          <w:sz w:val="24"/>
          <w:szCs w:val="24"/>
          <w:lang w:val="en-US" w:eastAsia="zh-CN"/>
        </w:rPr>
        <w:t>合同授予</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24.合同主要条款详见第五部分拟签订的合同文本。</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25.合同的签订</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25.1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25.2中标人按规定的日期、时间、地点，由法定代表人或其授权代表与采购人代表签订合同。如中标人为联合体的，由联合体成员各方法定代表人或其授权代表与采购人代表签订合同。</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25.3如签订合同并生效后，供应商无故拒绝或延期，除按照合同条款处理外，列入不良行为记录一次，并给予通报。</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25.4中标供应商拒绝与采购人签订合同的，采购人可以按照评审报告推荐的中标或者成交候选人名单排序，确定下一候选人为中标供应商，也可以重新开展政府采购活动。</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25.5采购合同由采购人与中标供应商根据招标文件、投标文件等内容通过政府采购电子交易平台在线签订，自动备案。</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26.履约保证金</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拟签订的合同文本要求中标供应商提交履约保证金的，供应商应当以支票、汇票、本票或者金融机构、担保机构出具的保函等非现金形式提交。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供应商可登录政采云平台-【金融服务】—【我的项目】—【已备案合同】以保函形式提供：1</w:t>
      </w:r>
      <w:r>
        <w:rPr>
          <w:rFonts w:hint="eastAsia" w:cs="宋体"/>
          <w:b w:val="0"/>
          <w:bCs w:val="0"/>
          <w:sz w:val="21"/>
          <w:szCs w:val="21"/>
          <w:lang w:val="en-US" w:eastAsia="zh-CN"/>
        </w:rPr>
        <w:t>.</w:t>
      </w:r>
      <w:r>
        <w:rPr>
          <w:rFonts w:hint="eastAsia" w:ascii="宋体" w:hAnsi="宋体" w:eastAsia="宋体" w:cs="宋体"/>
          <w:b w:val="0"/>
          <w:bCs w:val="0"/>
          <w:sz w:val="21"/>
          <w:szCs w:val="21"/>
          <w:lang w:val="en-US" w:eastAsia="zh-CN"/>
        </w:rPr>
        <w:t>供应商在合同列表选择需要投保的合同，点击[保函推荐]。2</w:t>
      </w:r>
      <w:r>
        <w:rPr>
          <w:rFonts w:hint="eastAsia" w:cs="宋体"/>
          <w:b w:val="0"/>
          <w:bCs w:val="0"/>
          <w:sz w:val="21"/>
          <w:szCs w:val="21"/>
          <w:lang w:val="en-US" w:eastAsia="zh-CN"/>
        </w:rPr>
        <w:t>.</w:t>
      </w:r>
      <w:r>
        <w:rPr>
          <w:rFonts w:hint="eastAsia" w:ascii="宋体" w:hAnsi="宋体" w:eastAsia="宋体" w:cs="宋体"/>
          <w:b w:val="0"/>
          <w:bCs w:val="0"/>
          <w:sz w:val="21"/>
          <w:szCs w:val="21"/>
          <w:lang w:val="en-US" w:eastAsia="zh-CN"/>
        </w:rPr>
        <w:t>在弹框里查看推荐的保函产品，供应商自行选择保函产品，点击[立即申请]。3</w:t>
      </w:r>
      <w:r>
        <w:rPr>
          <w:rFonts w:hint="eastAsia" w:cs="宋体"/>
          <w:b w:val="0"/>
          <w:bCs w:val="0"/>
          <w:sz w:val="21"/>
          <w:szCs w:val="21"/>
          <w:lang w:val="en-US" w:eastAsia="zh-CN"/>
        </w:rPr>
        <w:t>.</w:t>
      </w:r>
      <w:r>
        <w:rPr>
          <w:rFonts w:hint="eastAsia" w:ascii="宋体" w:hAnsi="宋体" w:eastAsia="宋体" w:cs="宋体"/>
          <w:b w:val="0"/>
          <w:bCs w:val="0"/>
          <w:sz w:val="21"/>
          <w:szCs w:val="21"/>
          <w:lang w:val="en-US" w:eastAsia="zh-CN"/>
        </w:rPr>
        <w:t>在弹框里填写保函申请信息。具体步骤：选择产品—填写供应商信息—选择中标项目—确认信息—等待保险/保函受理—确认保单—支付保费—成功出单。政采云金融专线400-903-9583。</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27.预付款</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bidi w:val="0"/>
        <w:spacing w:line="240" w:lineRule="auto"/>
        <w:rPr>
          <w:rFonts w:hint="eastAsia"/>
          <w:lang w:val="en-US" w:eastAsia="zh-CN"/>
        </w:rPr>
      </w:pPr>
    </w:p>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八、电子交易活动的中止</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28.电子交易活动的中止。</w:t>
      </w:r>
      <w:r>
        <w:rPr>
          <w:rFonts w:hint="eastAsia" w:ascii="宋体" w:hAnsi="宋体" w:eastAsia="宋体" w:cs="宋体"/>
          <w:b w:val="0"/>
          <w:bCs w:val="0"/>
          <w:sz w:val="21"/>
          <w:szCs w:val="21"/>
          <w:lang w:val="en-US" w:eastAsia="zh-CN"/>
        </w:rPr>
        <w:t>采购过程中出现以下情形，导致电子交易平台无法正常运行，或者无法保证电子交易的公平、公正和安全时，采购代理机构可中止电子交易活动：</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28.1电子交易平台发生故障而无法登录访问的； </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28.2电子交易平台应用或数据库出现错误，不能进行正常操作的；</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28.3电子交易平台发现严重安全漏洞，有潜在泄密危险的；</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28.4病毒发作导致不能进行正常操作的； </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28.5其他无法保证电子交易的公平、公正和安全的情况。</w:t>
      </w:r>
    </w:p>
    <w:p>
      <w:pPr>
        <w:keepNext w:val="0"/>
        <w:keepLines w:val="0"/>
        <w:pageBreakBefore w:val="0"/>
        <w:widowControl w:val="0"/>
        <w:numPr>
          <w:ilvl w:val="0"/>
          <w:numId w:val="1"/>
        </w:numPr>
        <w:kinsoku/>
        <w:wordWrap/>
        <w:overflowPunct/>
        <w:topLinePunct w:val="0"/>
        <w:autoSpaceDE/>
        <w:autoSpaceDN/>
        <w:bidi w:val="0"/>
        <w:adjustRightInd/>
        <w:spacing w:line="360" w:lineRule="auto"/>
        <w:ind w:firstLine="420" w:firstLineChars="200"/>
        <w:textAlignment w:val="auto"/>
        <w:rPr>
          <w:rFonts w:hint="eastAsia"/>
          <w:lang w:val="en-US" w:eastAsia="zh-CN"/>
        </w:rPr>
      </w:pPr>
      <w:r>
        <w:rPr>
          <w:rFonts w:hint="eastAsia" w:ascii="宋体" w:hAnsi="宋体" w:eastAsia="宋体" w:cs="宋体"/>
          <w:b w:val="0"/>
          <w:bCs w:val="0"/>
          <w:sz w:val="21"/>
          <w:szCs w:val="21"/>
          <w:lang w:val="en-US" w:eastAsia="zh-CN"/>
        </w:rPr>
        <w:t>出现以上情形，不影响采购公平、公正性的，采购组织机构可以待上述情形消除后继续组织电子交易活动，也可以决定某些环节以纸质形式进行；影响或可能影响采购公平、公正性的，应当重新采购。</w:t>
      </w:r>
    </w:p>
    <w:p>
      <w:pPr>
        <w:bidi w:val="0"/>
        <w:spacing w:line="240" w:lineRule="auto"/>
        <w:rPr>
          <w:rFonts w:hint="eastAsia"/>
          <w:lang w:val="en-US" w:eastAsia="zh-CN"/>
        </w:rPr>
      </w:pPr>
    </w:p>
    <w:p>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九、验收</w:t>
      </w:r>
    </w:p>
    <w:p>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30.验收</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30.2采购人可以邀请参加本项目的其他</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或者第三方机构参与验收。参与验收的</w:t>
      </w:r>
      <w:r>
        <w:rPr>
          <w:rFonts w:hint="eastAsia" w:cs="宋体"/>
          <w:b w:val="0"/>
          <w:bCs w:val="0"/>
          <w:sz w:val="21"/>
          <w:szCs w:val="21"/>
          <w:lang w:val="en-US" w:eastAsia="zh-CN"/>
        </w:rPr>
        <w:t>供应商</w:t>
      </w:r>
      <w:r>
        <w:rPr>
          <w:rFonts w:hint="eastAsia" w:ascii="宋体" w:hAnsi="宋体" w:eastAsia="宋体" w:cs="宋体"/>
          <w:b w:val="0"/>
          <w:bCs w:val="0"/>
          <w:sz w:val="21"/>
          <w:szCs w:val="21"/>
          <w:lang w:val="en-US" w:eastAsia="zh-CN"/>
        </w:rPr>
        <w:t>或者第三方机构的意见作为验收书的参考资料一并存档。</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26"/>
    <w:bookmarkEnd w:id="27"/>
    <w:bookmarkEnd w:id="28"/>
    <w:bookmarkEnd w:id="52"/>
    <w:bookmarkEnd w:id="53"/>
    <w:bookmarkEnd w:id="54"/>
    <w:bookmarkEnd w:id="55"/>
    <w:bookmarkEnd w:id="56"/>
    <w:bookmarkEnd w:id="57"/>
    <w:bookmarkEnd w:id="58"/>
    <w:bookmarkEnd w:id="59"/>
    <w:bookmarkEnd w:id="60"/>
    <w:p>
      <w:pPr>
        <w:snapToGrid w:val="0"/>
        <w:spacing w:line="360" w:lineRule="auto"/>
        <w:jc w:val="center"/>
        <w:outlineLvl w:val="0"/>
        <w:rPr>
          <w:rFonts w:hint="eastAsia" w:cs="宋体"/>
          <w:b/>
          <w:bCs/>
          <w:color w:val="auto"/>
          <w:sz w:val="32"/>
          <w:szCs w:val="32"/>
          <w:lang w:val="en-US" w:eastAsia="zh-CN"/>
        </w:rPr>
      </w:pPr>
      <w:bookmarkStart w:id="64" w:name="_Toc22092"/>
      <w:bookmarkStart w:id="65" w:name="_Toc17715"/>
      <w:bookmarkStart w:id="66" w:name="_Toc22563"/>
      <w:bookmarkStart w:id="67" w:name="_Toc18737"/>
      <w:bookmarkStart w:id="68" w:name="_Toc14426"/>
      <w:bookmarkStart w:id="69" w:name="_Toc25157"/>
      <w:bookmarkStart w:id="70" w:name="_Toc29172"/>
      <w:bookmarkStart w:id="71" w:name="_Toc21389"/>
      <w:bookmarkStart w:id="72" w:name="_Toc18108"/>
      <w:bookmarkStart w:id="73" w:name="_Toc444767520"/>
      <w:bookmarkStart w:id="74" w:name="_Toc27439"/>
      <w:bookmarkStart w:id="75" w:name="_Toc10818"/>
      <w:bookmarkStart w:id="76" w:name="_Toc20701"/>
      <w:bookmarkStart w:id="77" w:name="_Toc601"/>
    </w:p>
    <w:p>
      <w:pPr>
        <w:snapToGrid w:val="0"/>
        <w:spacing w:line="360" w:lineRule="auto"/>
        <w:jc w:val="center"/>
        <w:outlineLvl w:val="0"/>
        <w:rPr>
          <w:rFonts w:hint="eastAsia" w:cs="宋体"/>
          <w:b/>
          <w:bCs/>
          <w:color w:val="auto"/>
          <w:sz w:val="32"/>
          <w:szCs w:val="32"/>
          <w:lang w:val="en-US" w:eastAsia="zh-CN"/>
        </w:rPr>
      </w:pPr>
    </w:p>
    <w:p>
      <w:pPr>
        <w:pStyle w:val="8"/>
        <w:rPr>
          <w:rFonts w:hint="eastAsia" w:cs="宋体"/>
          <w:b/>
          <w:bCs/>
          <w:color w:val="auto"/>
          <w:sz w:val="32"/>
          <w:szCs w:val="32"/>
          <w:lang w:val="en-US" w:eastAsia="zh-CN"/>
        </w:rPr>
      </w:pPr>
    </w:p>
    <w:p>
      <w:pPr>
        <w:rPr>
          <w:rFonts w:hint="eastAsia" w:cs="宋体"/>
          <w:b/>
          <w:bCs/>
          <w:color w:val="auto"/>
          <w:sz w:val="32"/>
          <w:szCs w:val="32"/>
          <w:lang w:val="en-US" w:eastAsia="zh-CN"/>
        </w:rPr>
      </w:pPr>
    </w:p>
    <w:p>
      <w:pPr>
        <w:pStyle w:val="8"/>
        <w:rPr>
          <w:rFonts w:hint="eastAsia" w:cs="宋体"/>
          <w:b/>
          <w:bCs/>
          <w:color w:val="auto"/>
          <w:sz w:val="32"/>
          <w:szCs w:val="32"/>
          <w:lang w:val="en-US" w:eastAsia="zh-CN"/>
        </w:rPr>
      </w:pPr>
    </w:p>
    <w:p>
      <w:pPr>
        <w:rPr>
          <w:rFonts w:hint="eastAsia" w:cs="宋体"/>
          <w:b/>
          <w:bCs/>
          <w:color w:val="auto"/>
          <w:sz w:val="32"/>
          <w:szCs w:val="32"/>
          <w:lang w:val="en-US" w:eastAsia="zh-CN"/>
        </w:rPr>
      </w:pPr>
    </w:p>
    <w:p>
      <w:pPr>
        <w:rPr>
          <w:rFonts w:hint="eastAsia"/>
          <w:lang w:val="en-US" w:eastAsia="zh-CN"/>
        </w:rPr>
      </w:pPr>
    </w:p>
    <w:p>
      <w:pPr>
        <w:bidi w:val="0"/>
        <w:rPr>
          <w:rFonts w:hint="eastAsia"/>
          <w:lang w:val="en-US" w:eastAsia="zh-CN"/>
        </w:rPr>
      </w:pPr>
    </w:p>
    <w:p>
      <w:pPr>
        <w:snapToGrid w:val="0"/>
        <w:spacing w:line="360" w:lineRule="auto"/>
        <w:jc w:val="center"/>
        <w:outlineLvl w:val="0"/>
        <w:rPr>
          <w:rFonts w:hint="eastAsia" w:ascii="宋体" w:hAnsi="宋体" w:eastAsia="宋体" w:cs="宋体"/>
          <w:b/>
          <w:bCs/>
          <w:color w:val="auto"/>
          <w:sz w:val="32"/>
          <w:szCs w:val="32"/>
          <w:lang w:val="en-US" w:eastAsia="zh-CN"/>
        </w:rPr>
      </w:pPr>
      <w:bookmarkStart w:id="78" w:name="_Toc28512"/>
      <w:r>
        <w:rPr>
          <w:rFonts w:hint="eastAsia" w:cs="宋体"/>
          <w:b/>
          <w:bCs/>
          <w:color w:val="auto"/>
          <w:sz w:val="32"/>
          <w:szCs w:val="32"/>
          <w:lang w:val="en-US" w:eastAsia="zh-CN"/>
        </w:rPr>
        <w:t xml:space="preserve">第三部分 </w:t>
      </w:r>
      <w:r>
        <w:rPr>
          <w:rFonts w:hint="eastAsia" w:ascii="宋体" w:hAnsi="宋体" w:eastAsia="宋体" w:cs="宋体"/>
          <w:b/>
          <w:bCs/>
          <w:color w:val="auto"/>
          <w:sz w:val="32"/>
          <w:szCs w:val="32"/>
          <w:lang w:val="en-US" w:eastAsia="zh-CN"/>
        </w:rPr>
        <w:t>采购需求</w:t>
      </w:r>
      <w:bookmarkEnd w:id="64"/>
      <w:bookmarkEnd w:id="78"/>
    </w:p>
    <w:p>
      <w:pPr>
        <w:bidi w:val="0"/>
        <w:spacing w:line="240" w:lineRule="auto"/>
        <w:rPr>
          <w:rFonts w:hint="eastAsia"/>
          <w:lang w:val="en-US" w:eastAsia="zh-CN"/>
        </w:rPr>
      </w:pPr>
    </w:p>
    <w:p>
      <w:pPr>
        <w:numPr>
          <w:ilvl w:val="0"/>
          <w:numId w:val="2"/>
        </w:numPr>
        <w:snapToGrid w:val="0"/>
        <w:spacing w:line="360" w:lineRule="auto"/>
        <w:ind w:firstLine="422" w:firstLineChars="200"/>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标的需求概况</w:t>
      </w:r>
    </w:p>
    <w:p>
      <w:pPr>
        <w:numPr>
          <w:ilvl w:val="0"/>
          <w:numId w:val="0"/>
        </w:numPr>
        <w:snapToGrid w:val="0"/>
        <w:spacing w:line="360" w:lineRule="auto"/>
        <w:ind w:firstLine="420" w:firstLineChars="200"/>
        <w:jc w:val="left"/>
        <w:rPr>
          <w:rFonts w:hint="eastAsia" w:ascii="宋体" w:hAnsi="宋体" w:eastAsia="宋体" w:cs="宋体"/>
          <w:sz w:val="21"/>
          <w:szCs w:val="21"/>
          <w:highlight w:val="none"/>
        </w:rPr>
      </w:pPr>
      <w:r>
        <w:rPr>
          <w:rFonts w:hint="eastAsia" w:cs="宋体"/>
          <w:sz w:val="21"/>
          <w:szCs w:val="21"/>
          <w:highlight w:val="none"/>
          <w:lang w:eastAsia="zh-CN"/>
        </w:rPr>
        <w:t>（</w:t>
      </w:r>
      <w:r>
        <w:rPr>
          <w:rFonts w:hint="eastAsia" w:cs="宋体"/>
          <w:sz w:val="21"/>
          <w:szCs w:val="21"/>
          <w:highlight w:val="none"/>
          <w:lang w:val="en-US" w:eastAsia="zh-CN"/>
        </w:rPr>
        <w:t>一</w:t>
      </w:r>
      <w:r>
        <w:rPr>
          <w:rFonts w:hint="eastAsia" w:cs="宋体"/>
          <w:sz w:val="21"/>
          <w:szCs w:val="21"/>
          <w:highlight w:val="none"/>
          <w:lang w:eastAsia="zh-CN"/>
        </w:rPr>
        <w:t>）</w:t>
      </w:r>
      <w:r>
        <w:rPr>
          <w:rFonts w:hint="eastAsia" w:ascii="宋体" w:hAnsi="宋体" w:eastAsia="宋体" w:cs="宋体"/>
          <w:sz w:val="21"/>
          <w:szCs w:val="21"/>
          <w:highlight w:val="none"/>
        </w:rPr>
        <w:t>招标内容</w:t>
      </w:r>
    </w:p>
    <w:p>
      <w:pPr>
        <w:snapToGrid w:val="0"/>
        <w:spacing w:line="360" w:lineRule="auto"/>
        <w:ind w:firstLine="420" w:firstLineChars="200"/>
        <w:jc w:val="left"/>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本次招标包含</w:t>
      </w:r>
      <w:r>
        <w:rPr>
          <w:rFonts w:hint="eastAsia" w:ascii="宋体" w:hAnsi="宋体" w:eastAsia="宋体" w:cs="宋体"/>
          <w:sz w:val="21"/>
          <w:szCs w:val="21"/>
          <w:highlight w:val="none"/>
          <w:lang w:eastAsia="zh-CN"/>
        </w:rPr>
        <w:t>金华市婺城区康复医院改扩建工程医疗定制家具采购</w:t>
      </w:r>
      <w:r>
        <w:rPr>
          <w:rFonts w:hint="eastAsia" w:ascii="宋体" w:hAnsi="宋体" w:eastAsia="宋体" w:cs="宋体"/>
          <w:sz w:val="21"/>
          <w:szCs w:val="21"/>
          <w:highlight w:val="none"/>
        </w:rPr>
        <w:t>，包括了上述所有</w:t>
      </w:r>
      <w:r>
        <w:rPr>
          <w:rFonts w:hint="eastAsia" w:ascii="宋体" w:hAnsi="宋体" w:eastAsia="宋体" w:cs="宋体"/>
          <w:sz w:val="21"/>
          <w:szCs w:val="21"/>
          <w:highlight w:val="none"/>
          <w:lang w:val="en-US" w:eastAsia="zh-CN"/>
        </w:rPr>
        <w:t>医疗</w:t>
      </w:r>
      <w:r>
        <w:rPr>
          <w:rFonts w:hint="eastAsia" w:ascii="宋体" w:hAnsi="宋体" w:eastAsia="宋体" w:cs="宋体"/>
          <w:sz w:val="21"/>
          <w:szCs w:val="21"/>
          <w:highlight w:val="none"/>
        </w:rPr>
        <w:t>家具的设计、打样、制造、供货、运输、安装、验收及售后服务等工作。</w:t>
      </w:r>
    </w:p>
    <w:p>
      <w:pPr>
        <w:snapToGrid w:val="0"/>
        <w:spacing w:line="360" w:lineRule="auto"/>
        <w:ind w:left="480"/>
        <w:jc w:val="left"/>
        <w:rPr>
          <w:rFonts w:hint="eastAsia" w:ascii="宋体" w:hAnsi="宋体" w:eastAsia="宋体" w:cs="宋体"/>
          <w:sz w:val="21"/>
          <w:szCs w:val="21"/>
          <w:highlight w:val="none"/>
        </w:rPr>
      </w:pPr>
      <w:r>
        <w:rPr>
          <w:rFonts w:hint="eastAsia" w:cs="宋体"/>
          <w:sz w:val="21"/>
          <w:szCs w:val="21"/>
          <w:highlight w:val="none"/>
          <w:lang w:eastAsia="zh-CN"/>
        </w:rPr>
        <w:t>（</w:t>
      </w:r>
      <w:r>
        <w:rPr>
          <w:rFonts w:hint="eastAsia" w:cs="宋体"/>
          <w:sz w:val="21"/>
          <w:szCs w:val="21"/>
          <w:highlight w:val="none"/>
          <w:lang w:val="en-US" w:eastAsia="zh-CN"/>
        </w:rPr>
        <w:t>二</w:t>
      </w:r>
      <w:r>
        <w:rPr>
          <w:rFonts w:hint="eastAsia" w:cs="宋体"/>
          <w:sz w:val="21"/>
          <w:szCs w:val="21"/>
          <w:highlight w:val="none"/>
          <w:lang w:eastAsia="zh-CN"/>
        </w:rPr>
        <w:t>）</w:t>
      </w:r>
      <w:r>
        <w:rPr>
          <w:rFonts w:hint="eastAsia" w:ascii="宋体" w:hAnsi="宋体" w:eastAsia="宋体" w:cs="宋体"/>
          <w:sz w:val="21"/>
          <w:szCs w:val="21"/>
          <w:highlight w:val="none"/>
        </w:rPr>
        <w:t>其他相关情况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sz w:val="21"/>
          <w:szCs w:val="21"/>
          <w:highlight w:val="none"/>
          <w:lang w:eastAsia="zh-CN"/>
        </w:rPr>
        <w:t>金华市婺城区康复医院</w:t>
      </w:r>
      <w:r>
        <w:rPr>
          <w:rFonts w:hint="eastAsia" w:ascii="宋体" w:hAnsi="宋体" w:eastAsia="宋体" w:cs="宋体"/>
          <w:sz w:val="21"/>
          <w:szCs w:val="21"/>
          <w:highlight w:val="none"/>
        </w:rPr>
        <w:t>位于</w:t>
      </w:r>
      <w:r>
        <w:rPr>
          <w:rFonts w:hint="eastAsia" w:ascii="宋体" w:hAnsi="宋体" w:eastAsia="宋体" w:cs="宋体"/>
          <w:sz w:val="21"/>
          <w:szCs w:val="21"/>
          <w:highlight w:val="none"/>
          <w:lang w:val="en-US" w:eastAsia="zh-CN"/>
        </w:rPr>
        <w:t>金华市婺城区白龙桥镇十二局基地（华电社区）婺城区康复医院现址内</w:t>
      </w:r>
      <w:r>
        <w:rPr>
          <w:rFonts w:hint="eastAsia" w:ascii="宋体" w:hAnsi="宋体" w:eastAsia="宋体" w:cs="宋体"/>
          <w:sz w:val="21"/>
          <w:szCs w:val="21"/>
          <w:highlight w:val="none"/>
        </w:rPr>
        <w:t>，工程总建筑面积</w:t>
      </w:r>
      <w:r>
        <w:rPr>
          <w:rFonts w:hint="eastAsia" w:ascii="宋体" w:hAnsi="宋体" w:eastAsia="宋体" w:cs="宋体"/>
          <w:sz w:val="21"/>
          <w:szCs w:val="21"/>
          <w:highlight w:val="none"/>
          <w:lang w:val="en-US" w:eastAsia="zh-CN"/>
        </w:rPr>
        <w:t>越37000</w:t>
      </w:r>
      <w:r>
        <w:rPr>
          <w:rFonts w:hint="eastAsia" w:ascii="宋体" w:hAnsi="宋体" w:eastAsia="宋体" w:cs="宋体"/>
          <w:sz w:val="21"/>
          <w:szCs w:val="21"/>
          <w:highlight w:val="none"/>
        </w:rPr>
        <w:t>㎡（地上建筑</w:t>
      </w:r>
      <w:r>
        <w:rPr>
          <w:rFonts w:hint="eastAsia" w:ascii="宋体" w:hAnsi="宋体" w:eastAsia="宋体" w:cs="宋体"/>
          <w:sz w:val="21"/>
          <w:szCs w:val="21"/>
          <w:highlight w:val="none"/>
          <w:lang w:val="en-US" w:eastAsia="zh-CN"/>
        </w:rPr>
        <w:t>29000</w:t>
      </w:r>
      <w:r>
        <w:rPr>
          <w:rFonts w:hint="eastAsia" w:ascii="宋体" w:hAnsi="宋体" w:eastAsia="宋体" w:cs="宋体"/>
          <w:sz w:val="21"/>
          <w:szCs w:val="21"/>
          <w:highlight w:val="none"/>
        </w:rPr>
        <w:t>㎡，地下建筑</w:t>
      </w:r>
      <w:r>
        <w:rPr>
          <w:rFonts w:hint="eastAsia" w:ascii="宋体" w:hAnsi="宋体" w:eastAsia="宋体" w:cs="宋体"/>
          <w:sz w:val="21"/>
          <w:szCs w:val="21"/>
          <w:highlight w:val="none"/>
          <w:lang w:val="en-US" w:eastAsia="zh-CN"/>
        </w:rPr>
        <w:t>8000</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新建建筑为两栋康养大楼，综合楼及地下室</w:t>
      </w:r>
      <w:r>
        <w:rPr>
          <w:rFonts w:hint="eastAsia" w:ascii="宋体" w:hAnsi="宋体" w:eastAsia="宋体" w:cs="宋体"/>
          <w:sz w:val="21"/>
          <w:szCs w:val="21"/>
          <w:highlight w:val="none"/>
        </w:rPr>
        <w:t>；计划竣工验收时间：202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年6月</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计划运营时间：202</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年</w:t>
      </w: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rPr>
        <w:t>月</w:t>
      </w:r>
      <w:r>
        <w:rPr>
          <w:rFonts w:hint="eastAsia" w:ascii="宋体" w:hAnsi="宋体" w:eastAsia="宋体" w:cs="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before="120" w:beforeLines="50" w:after="120" w:afterLines="50" w:line="360" w:lineRule="auto"/>
        <w:ind w:firstLine="495"/>
        <w:textAlignment w:val="auto"/>
        <w:rPr>
          <w:b/>
          <w:color w:val="auto"/>
          <w:sz w:val="21"/>
          <w:szCs w:val="21"/>
          <w:highlight w:val="none"/>
        </w:rPr>
      </w:pPr>
      <w:r>
        <w:rPr>
          <w:rFonts w:hint="eastAsia"/>
          <w:b/>
          <w:color w:val="auto"/>
          <w:sz w:val="21"/>
          <w:szCs w:val="21"/>
          <w:highlight w:val="none"/>
          <w:lang w:val="en-US" w:eastAsia="zh-CN"/>
        </w:rPr>
        <w:t>二、需求清单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（一）项目概况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本项目为</w:t>
      </w:r>
      <w:r>
        <w:rPr>
          <w:rFonts w:hint="eastAsia" w:cs="宋体"/>
          <w:sz w:val="21"/>
          <w:szCs w:val="21"/>
          <w:highlight w:val="none"/>
          <w:lang w:val="en-US" w:eastAsia="zh-CN"/>
        </w:rPr>
        <w:t>1</w:t>
      </w:r>
      <w:r>
        <w:rPr>
          <w:rFonts w:hint="eastAsia" w:ascii="宋体" w:hAnsi="宋体" w:eastAsia="宋体" w:cs="宋体"/>
          <w:sz w:val="21"/>
          <w:szCs w:val="21"/>
          <w:highlight w:val="none"/>
          <w:lang w:eastAsia="zh-CN"/>
        </w:rPr>
        <w:t>个标项，包括定</w:t>
      </w:r>
      <w:r>
        <w:rPr>
          <w:rFonts w:hint="eastAsia" w:cs="宋体"/>
          <w:sz w:val="21"/>
          <w:szCs w:val="21"/>
          <w:highlight w:val="none"/>
          <w:lang w:val="en-US" w:eastAsia="zh-CN"/>
        </w:rPr>
        <w:t>医用环保储物柜</w:t>
      </w:r>
      <w:r>
        <w:rPr>
          <w:rFonts w:hint="eastAsia" w:cs="宋体"/>
          <w:sz w:val="21"/>
          <w:szCs w:val="21"/>
          <w:highlight w:val="none"/>
          <w:lang w:eastAsia="zh-CN"/>
        </w:rPr>
        <w:t>、</w:t>
      </w:r>
      <w:r>
        <w:rPr>
          <w:rFonts w:hint="eastAsia" w:cs="宋体"/>
          <w:sz w:val="21"/>
          <w:szCs w:val="21"/>
          <w:highlight w:val="none"/>
          <w:lang w:val="en-US" w:eastAsia="zh-CN"/>
        </w:rPr>
        <w:t>医用换药柜</w:t>
      </w:r>
      <w:r>
        <w:rPr>
          <w:rFonts w:hint="eastAsia" w:cs="宋体"/>
          <w:sz w:val="21"/>
          <w:szCs w:val="21"/>
          <w:highlight w:val="none"/>
          <w:lang w:eastAsia="zh-CN"/>
        </w:rPr>
        <w:t>、</w:t>
      </w:r>
      <w:r>
        <w:rPr>
          <w:rFonts w:hint="eastAsia" w:cs="宋体"/>
          <w:sz w:val="21"/>
          <w:szCs w:val="21"/>
          <w:highlight w:val="none"/>
          <w:lang w:val="en-US" w:eastAsia="zh-CN"/>
        </w:rPr>
        <w:t>医用环保治疗柜、医用环保污物柜、</w:t>
      </w:r>
      <w:r>
        <w:rPr>
          <w:rFonts w:hint="eastAsia" w:ascii="宋体" w:hAnsi="宋体" w:eastAsia="宋体" w:cs="宋体"/>
          <w:sz w:val="21"/>
          <w:szCs w:val="21"/>
          <w:highlight w:val="none"/>
          <w:lang w:val="en-US" w:eastAsia="zh-CN"/>
        </w:rPr>
        <w:t>医用环保货架</w:t>
      </w:r>
      <w:r>
        <w:rPr>
          <w:rFonts w:hint="eastAsia" w:ascii="宋体" w:hAnsi="宋体" w:eastAsia="宋体" w:cs="宋体"/>
          <w:sz w:val="21"/>
          <w:szCs w:val="21"/>
          <w:highlight w:val="none"/>
          <w:lang w:eastAsia="zh-CN"/>
        </w:rPr>
        <w:t>等</w:t>
      </w:r>
      <w:r>
        <w:rPr>
          <w:rFonts w:hint="eastAsia" w:ascii="宋体" w:hAnsi="宋体" w:eastAsia="宋体" w:cs="宋体"/>
          <w:sz w:val="21"/>
          <w:szCs w:val="21"/>
          <w:highlight w:val="none"/>
          <w:lang w:val="en-US" w:eastAsia="zh-CN"/>
        </w:rPr>
        <w:t>金华市婺城区康复医院</w:t>
      </w:r>
      <w:r>
        <w:rPr>
          <w:rFonts w:hint="eastAsia" w:ascii="宋体" w:hAnsi="宋体" w:eastAsia="宋体" w:cs="宋体"/>
          <w:sz w:val="21"/>
          <w:szCs w:val="21"/>
          <w:highlight w:val="none"/>
          <w:lang w:eastAsia="zh-CN"/>
        </w:rPr>
        <w:t>工作及生活配套定制</w:t>
      </w:r>
      <w:r>
        <w:rPr>
          <w:rFonts w:hint="eastAsia" w:cs="宋体"/>
          <w:sz w:val="21"/>
          <w:szCs w:val="21"/>
          <w:highlight w:val="none"/>
          <w:lang w:eastAsia="zh-CN"/>
        </w:rPr>
        <w:t>医疗</w:t>
      </w:r>
      <w:r>
        <w:rPr>
          <w:rFonts w:hint="eastAsia" w:ascii="宋体" w:hAnsi="宋体" w:eastAsia="宋体" w:cs="宋体"/>
          <w:sz w:val="21"/>
          <w:szCs w:val="21"/>
          <w:highlight w:val="none"/>
          <w:lang w:eastAsia="zh-CN"/>
        </w:rPr>
        <w:t>家具。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（二）采购项目预算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预算：</w:t>
      </w:r>
      <w:r>
        <w:rPr>
          <w:rFonts w:hint="eastAsia" w:ascii="宋体" w:hAnsi="宋体" w:eastAsia="宋体" w:cs="宋体"/>
          <w:sz w:val="21"/>
          <w:szCs w:val="21"/>
          <w:highlight w:val="none"/>
          <w:lang w:val="en-US" w:eastAsia="zh-CN"/>
        </w:rPr>
        <w:t>8600000</w:t>
      </w:r>
      <w:r>
        <w:rPr>
          <w:rFonts w:hint="eastAsia" w:ascii="宋体" w:hAnsi="宋体" w:eastAsia="宋体" w:cs="宋体"/>
          <w:sz w:val="21"/>
          <w:szCs w:val="21"/>
          <w:highlight w:val="none"/>
          <w:lang w:eastAsia="zh-CN"/>
        </w:rPr>
        <w:t>元</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20" w:firstLineChars="200"/>
        <w:textAlignment w:val="auto"/>
        <w:rPr>
          <w:rFonts w:hint="eastAsia"/>
          <w:lang w:eastAsia="zh-CN"/>
        </w:rPr>
      </w:pPr>
      <w:r>
        <w:rPr>
          <w:rFonts w:hint="eastAsia" w:ascii="宋体" w:hAnsi="宋体" w:eastAsia="宋体" w:cs="宋体"/>
          <w:sz w:val="21"/>
          <w:szCs w:val="21"/>
          <w:highlight w:val="none"/>
          <w:lang w:eastAsia="zh-CN"/>
        </w:rPr>
        <w:t>采购项目清单</w:t>
      </w:r>
    </w:p>
    <w:p>
      <w:pPr>
        <w:bidi w:val="0"/>
        <w:jc w:val="center"/>
        <w:rPr>
          <w:rFonts w:hint="eastAsia"/>
          <w:b/>
          <w:bCs/>
          <w:sz w:val="24"/>
          <w:szCs w:val="24"/>
          <w:lang w:val="en-US" w:eastAsia="zh-CN"/>
        </w:rPr>
      </w:pPr>
      <w:r>
        <w:rPr>
          <w:rFonts w:hint="eastAsia"/>
          <w:b/>
          <w:bCs/>
          <w:sz w:val="24"/>
          <w:szCs w:val="24"/>
          <w:lang w:val="en-US" w:eastAsia="zh-CN"/>
        </w:rPr>
        <w:t>医疗定制家具清单</w:t>
      </w:r>
    </w:p>
    <w:tbl>
      <w:tblPr>
        <w:tblStyle w:val="43"/>
        <w:tblW w:w="104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040"/>
        <w:gridCol w:w="1182"/>
        <w:gridCol w:w="1595"/>
        <w:gridCol w:w="1080"/>
        <w:gridCol w:w="1529"/>
        <w:gridCol w:w="1341"/>
        <w:gridCol w:w="627"/>
        <w:gridCol w:w="680"/>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55" w:type="dxa"/>
            <w:vAlign w:val="center"/>
          </w:tcPr>
          <w:p>
            <w:pPr>
              <w:spacing w:line="240" w:lineRule="auto"/>
              <w:jc w:val="both"/>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序号</w:t>
            </w:r>
          </w:p>
        </w:tc>
        <w:tc>
          <w:tcPr>
            <w:tcW w:w="1040" w:type="dxa"/>
            <w:vAlign w:val="center"/>
          </w:tcPr>
          <w:p>
            <w:pPr>
              <w:spacing w:line="240" w:lineRule="auto"/>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科室</w:t>
            </w:r>
          </w:p>
        </w:tc>
        <w:tc>
          <w:tcPr>
            <w:tcW w:w="1182" w:type="dxa"/>
            <w:vAlign w:val="center"/>
          </w:tcPr>
          <w:p>
            <w:pPr>
              <w:spacing w:line="240" w:lineRule="auto"/>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产品布置图</w:t>
            </w:r>
          </w:p>
        </w:tc>
        <w:tc>
          <w:tcPr>
            <w:tcW w:w="1595" w:type="dxa"/>
            <w:vAlign w:val="center"/>
          </w:tcPr>
          <w:p>
            <w:pPr>
              <w:spacing w:line="240" w:lineRule="auto"/>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产品参考图</w:t>
            </w:r>
          </w:p>
        </w:tc>
        <w:tc>
          <w:tcPr>
            <w:tcW w:w="1080" w:type="dxa"/>
            <w:vAlign w:val="center"/>
          </w:tcPr>
          <w:p>
            <w:pPr>
              <w:spacing w:line="240" w:lineRule="auto"/>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产品名称</w:t>
            </w:r>
          </w:p>
        </w:tc>
        <w:tc>
          <w:tcPr>
            <w:tcW w:w="1529" w:type="dxa"/>
            <w:vAlign w:val="center"/>
          </w:tcPr>
          <w:p>
            <w:pPr>
              <w:spacing w:line="240" w:lineRule="auto"/>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组成</w:t>
            </w:r>
          </w:p>
        </w:tc>
        <w:tc>
          <w:tcPr>
            <w:tcW w:w="1341" w:type="dxa"/>
            <w:vAlign w:val="center"/>
          </w:tcPr>
          <w:p>
            <w:pPr>
              <w:spacing w:line="240" w:lineRule="auto"/>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规格</w:t>
            </w:r>
          </w:p>
        </w:tc>
        <w:tc>
          <w:tcPr>
            <w:tcW w:w="627" w:type="dxa"/>
            <w:vAlign w:val="center"/>
          </w:tcPr>
          <w:p>
            <w:pPr>
              <w:spacing w:line="240" w:lineRule="auto"/>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单位</w:t>
            </w:r>
          </w:p>
        </w:tc>
        <w:tc>
          <w:tcPr>
            <w:tcW w:w="680" w:type="dxa"/>
            <w:vAlign w:val="center"/>
          </w:tcPr>
          <w:p>
            <w:pPr>
              <w:spacing w:line="240" w:lineRule="auto"/>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数量</w:t>
            </w:r>
          </w:p>
        </w:tc>
        <w:tc>
          <w:tcPr>
            <w:tcW w:w="693" w:type="dxa"/>
            <w:vAlign w:val="center"/>
          </w:tcPr>
          <w:p>
            <w:pPr>
              <w:spacing w:line="240" w:lineRule="auto"/>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套数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0422" w:type="dxa"/>
            <w:gridSpan w:val="10"/>
            <w:vAlign w:val="center"/>
          </w:tcPr>
          <w:p>
            <w:pPr>
              <w:spacing w:line="240" w:lineRule="auto"/>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地下室战时平面图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污洗</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打包间</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699200" behindDoc="0" locked="0" layoutInCell="1" allowOverlap="1">
                  <wp:simplePos x="0" y="0"/>
                  <wp:positionH relativeFrom="column">
                    <wp:posOffset>106680</wp:posOffset>
                  </wp:positionH>
                  <wp:positionV relativeFrom="paragraph">
                    <wp:posOffset>38735</wp:posOffset>
                  </wp:positionV>
                  <wp:extent cx="311150" cy="516255"/>
                  <wp:effectExtent l="0" t="0" r="12700" b="17145"/>
                  <wp:wrapNone/>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22"/>
                          <a:srcRect l="12667" t="8912" r="11143" b="6560"/>
                          <a:stretch>
                            <a:fillRect/>
                          </a:stretch>
                        </pic:blipFill>
                        <pic:spPr>
                          <a:xfrm>
                            <a:off x="0" y="0"/>
                            <a:ext cx="311150" cy="516255"/>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698176" behindDoc="0" locked="0" layoutInCell="1" allowOverlap="1">
                  <wp:simplePos x="0" y="0"/>
                  <wp:positionH relativeFrom="column">
                    <wp:posOffset>74295</wp:posOffset>
                  </wp:positionH>
                  <wp:positionV relativeFrom="paragraph">
                    <wp:posOffset>27940</wp:posOffset>
                  </wp:positionV>
                  <wp:extent cx="791210" cy="537210"/>
                  <wp:effectExtent l="0" t="0" r="8890" b="15240"/>
                  <wp:wrapNone/>
                  <wp:docPr id="2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
                          <pic:cNvPicPr>
                            <a:picLocks noChangeAspect="1"/>
                          </pic:cNvPicPr>
                        </pic:nvPicPr>
                        <pic:blipFill>
                          <a:blip r:embed="rId23"/>
                          <a:srcRect t="40161"/>
                          <a:stretch>
                            <a:fillRect/>
                          </a:stretch>
                        </pic:blipFill>
                        <pic:spPr>
                          <a:xfrm>
                            <a:off x="0" y="0"/>
                            <a:ext cx="791210" cy="537210"/>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医用环保污物柜</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污物台（下）</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3.8</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污物台台面</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3.8</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女更衣</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00224" behindDoc="0" locked="0" layoutInCell="1" allowOverlap="1">
                  <wp:simplePos x="0" y="0"/>
                  <wp:positionH relativeFrom="column">
                    <wp:posOffset>10795</wp:posOffset>
                  </wp:positionH>
                  <wp:positionV relativeFrom="paragraph">
                    <wp:posOffset>29210</wp:posOffset>
                  </wp:positionV>
                  <wp:extent cx="554990" cy="523240"/>
                  <wp:effectExtent l="0" t="0" r="16510" b="10160"/>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24"/>
                          <a:stretch>
                            <a:fillRect/>
                          </a:stretch>
                        </pic:blipFill>
                        <pic:spPr>
                          <a:xfrm>
                            <a:off x="0" y="0"/>
                            <a:ext cx="554990" cy="523240"/>
                          </a:xfrm>
                          <a:prstGeom prst="rect">
                            <a:avLst/>
                          </a:prstGeom>
                          <a:noFill/>
                          <a:ln>
                            <a:noFill/>
                          </a:ln>
                        </pic:spPr>
                      </pic:pic>
                    </a:graphicData>
                  </a:graphic>
                </wp:anchor>
              </w:drawing>
            </w:r>
          </w:p>
        </w:tc>
        <w:tc>
          <w:tcPr>
            <w:tcW w:w="1595" w:type="dxa"/>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01248" behindDoc="0" locked="0" layoutInCell="1" allowOverlap="1">
                  <wp:simplePos x="0" y="0"/>
                  <wp:positionH relativeFrom="column">
                    <wp:posOffset>294640</wp:posOffset>
                  </wp:positionH>
                  <wp:positionV relativeFrom="paragraph">
                    <wp:posOffset>19685</wp:posOffset>
                  </wp:positionV>
                  <wp:extent cx="280670" cy="507365"/>
                  <wp:effectExtent l="0" t="0" r="5080" b="6985"/>
                  <wp:wrapNone/>
                  <wp:docPr id="27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6"/>
                          <pic:cNvPicPr>
                            <a:picLocks noChangeAspect="1"/>
                          </pic:cNvPicPr>
                        </pic:nvPicPr>
                        <pic:blipFill>
                          <a:blip r:embed="rId25"/>
                          <a:stretch>
                            <a:fillRect/>
                          </a:stretch>
                        </pic:blipFill>
                        <pic:spPr>
                          <a:xfrm>
                            <a:off x="0" y="0"/>
                            <a:ext cx="280670" cy="50736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1.8</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男更衣</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90336" behindDoc="0" locked="0" layoutInCell="1" allowOverlap="1">
                  <wp:simplePos x="0" y="0"/>
                  <wp:positionH relativeFrom="column">
                    <wp:posOffset>135255</wp:posOffset>
                  </wp:positionH>
                  <wp:positionV relativeFrom="paragraph">
                    <wp:posOffset>22860</wp:posOffset>
                  </wp:positionV>
                  <wp:extent cx="361950" cy="585470"/>
                  <wp:effectExtent l="0" t="0" r="0" b="5080"/>
                  <wp:wrapNone/>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26"/>
                          <a:stretch>
                            <a:fillRect/>
                          </a:stretch>
                        </pic:blipFill>
                        <pic:spPr>
                          <a:xfrm>
                            <a:off x="0" y="0"/>
                            <a:ext cx="361950" cy="585470"/>
                          </a:xfrm>
                          <a:prstGeom prst="rect">
                            <a:avLst/>
                          </a:prstGeom>
                          <a:noFill/>
                          <a:ln>
                            <a:noFill/>
                          </a:ln>
                        </pic:spPr>
                      </pic:pic>
                    </a:graphicData>
                  </a:graphic>
                </wp:anchor>
              </w:drawing>
            </w:r>
          </w:p>
        </w:tc>
        <w:tc>
          <w:tcPr>
            <w:tcW w:w="1595" w:type="dxa"/>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89312" behindDoc="0" locked="0" layoutInCell="1" allowOverlap="1">
                  <wp:simplePos x="0" y="0"/>
                  <wp:positionH relativeFrom="column">
                    <wp:posOffset>289560</wp:posOffset>
                  </wp:positionH>
                  <wp:positionV relativeFrom="paragraph">
                    <wp:posOffset>40005</wp:posOffset>
                  </wp:positionV>
                  <wp:extent cx="299720" cy="542290"/>
                  <wp:effectExtent l="0" t="0" r="5080" b="10160"/>
                  <wp:wrapNone/>
                  <wp:docPr id="2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6"/>
                          <pic:cNvPicPr>
                            <a:picLocks noChangeAspect="1"/>
                          </pic:cNvPicPr>
                        </pic:nvPicPr>
                        <pic:blipFill>
                          <a:blip r:embed="rId25"/>
                          <a:stretch>
                            <a:fillRect/>
                          </a:stretch>
                        </pic:blipFill>
                        <pic:spPr>
                          <a:xfrm>
                            <a:off x="0" y="0"/>
                            <a:ext cx="299720" cy="54229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2.3</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检查包装及灭值区</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04320" behindDoc="0" locked="0" layoutInCell="1" allowOverlap="1">
                  <wp:simplePos x="0" y="0"/>
                  <wp:positionH relativeFrom="column">
                    <wp:posOffset>98425</wp:posOffset>
                  </wp:positionH>
                  <wp:positionV relativeFrom="paragraph">
                    <wp:posOffset>23495</wp:posOffset>
                  </wp:positionV>
                  <wp:extent cx="351790" cy="676910"/>
                  <wp:effectExtent l="0" t="0" r="10160" b="889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7"/>
                          <a:srcRect l="17162" r="17162"/>
                          <a:stretch>
                            <a:fillRect/>
                          </a:stretch>
                        </pic:blipFill>
                        <pic:spPr>
                          <a:xfrm>
                            <a:off x="0" y="0"/>
                            <a:ext cx="351790" cy="676910"/>
                          </a:xfrm>
                          <a:prstGeom prst="rect">
                            <a:avLst/>
                          </a:prstGeom>
                          <a:noFill/>
                          <a:ln>
                            <a:noFill/>
                          </a:ln>
                        </pic:spPr>
                      </pic:pic>
                    </a:graphicData>
                  </a:graphic>
                </wp:anchor>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05344" behindDoc="0" locked="0" layoutInCell="1" allowOverlap="1">
                  <wp:simplePos x="0" y="0"/>
                  <wp:positionH relativeFrom="column">
                    <wp:posOffset>-24765</wp:posOffset>
                  </wp:positionH>
                  <wp:positionV relativeFrom="paragraph">
                    <wp:posOffset>33655</wp:posOffset>
                  </wp:positionV>
                  <wp:extent cx="936625" cy="664845"/>
                  <wp:effectExtent l="0" t="0" r="15875" b="1905"/>
                  <wp:wrapNone/>
                  <wp:docPr id="234" name="图片 8" descr="9bd87635ad9dfa4e53ee3a571b1e4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8" descr="9bd87635ad9dfa4e53ee3a571b1e4bf"/>
                          <pic:cNvPicPr>
                            <a:picLocks noChangeAspect="1"/>
                          </pic:cNvPicPr>
                        </pic:nvPicPr>
                        <pic:blipFill>
                          <a:blip r:embed="rId28"/>
                          <a:stretch>
                            <a:fillRect/>
                          </a:stretch>
                        </pic:blipFill>
                        <pic:spPr>
                          <a:xfrm>
                            <a:off x="0" y="0"/>
                            <a:ext cx="936625" cy="66484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不锈钢打</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包台</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不锈钢打</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包台</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L*1200*2000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3.5</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5</w:t>
            </w:r>
          </w:p>
        </w:tc>
        <w:tc>
          <w:tcPr>
            <w:tcW w:w="1040" w:type="dxa"/>
            <w:vMerge w:val="restart"/>
            <w:vAlign w:val="center"/>
          </w:tcPr>
          <w:p>
            <w:pPr>
              <w:spacing w:line="240" w:lineRule="auto"/>
              <w:jc w:val="center"/>
              <w:rPr>
                <w:rFonts w:hint="default" w:ascii="宋体" w:hAnsi="宋体" w:eastAsia="宋体" w:cs="宋体"/>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洁具室</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91360" behindDoc="0" locked="0" layoutInCell="1" allowOverlap="1">
                  <wp:simplePos x="0" y="0"/>
                  <wp:positionH relativeFrom="column">
                    <wp:posOffset>16510</wp:posOffset>
                  </wp:positionH>
                  <wp:positionV relativeFrom="paragraph">
                    <wp:posOffset>133985</wp:posOffset>
                  </wp:positionV>
                  <wp:extent cx="612775" cy="556895"/>
                  <wp:effectExtent l="0" t="0" r="15875" b="14605"/>
                  <wp:wrapNone/>
                  <wp:docPr id="2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5"/>
                          <pic:cNvPicPr>
                            <a:picLocks noChangeAspect="1"/>
                          </pic:cNvPicPr>
                        </pic:nvPicPr>
                        <pic:blipFill>
                          <a:blip r:embed="rId29"/>
                          <a:srcRect l="9300" t="11673" r="7972" b="5837"/>
                          <a:stretch>
                            <a:fillRect/>
                          </a:stretch>
                        </pic:blipFill>
                        <pic:spPr>
                          <a:xfrm>
                            <a:off x="0" y="0"/>
                            <a:ext cx="612775" cy="556895"/>
                          </a:xfrm>
                          <a:prstGeom prst="rect">
                            <a:avLst/>
                          </a:prstGeom>
                          <a:noFill/>
                          <a:ln>
                            <a:noFill/>
                          </a:ln>
                        </pic:spPr>
                      </pic:pic>
                    </a:graphicData>
                  </a:graphic>
                </wp:anchor>
              </w:drawing>
            </w: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51776" behindDoc="0" locked="0" layoutInCell="1" allowOverlap="1">
                  <wp:simplePos x="0" y="0"/>
                  <wp:positionH relativeFrom="column">
                    <wp:posOffset>-37465</wp:posOffset>
                  </wp:positionH>
                  <wp:positionV relativeFrom="paragraph">
                    <wp:posOffset>116840</wp:posOffset>
                  </wp:positionV>
                  <wp:extent cx="952500" cy="578485"/>
                  <wp:effectExtent l="0" t="0" r="0" b="12065"/>
                  <wp:wrapNone/>
                  <wp:docPr id="19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4"/>
                          <pic:cNvPicPr>
                            <a:picLocks noChangeAspect="1"/>
                          </pic:cNvPicPr>
                        </pic:nvPicPr>
                        <pic:blipFill>
                          <a:blip r:embed="rId30"/>
                          <a:stretch>
                            <a:fillRect/>
                          </a:stretch>
                        </pic:blipFill>
                        <pic:spPr>
                          <a:xfrm>
                            <a:off x="0" y="0"/>
                            <a:ext cx="952500" cy="578485"/>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304医用环保清洗柜</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清洗柜</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L*600*1100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0.75</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个</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拖把柜</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L*600*1100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0.75</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6</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无菌物品存放区</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92384" behindDoc="0" locked="0" layoutInCell="1" allowOverlap="1">
                  <wp:simplePos x="0" y="0"/>
                  <wp:positionH relativeFrom="column">
                    <wp:posOffset>144145</wp:posOffset>
                  </wp:positionH>
                  <wp:positionV relativeFrom="paragraph">
                    <wp:posOffset>34925</wp:posOffset>
                  </wp:positionV>
                  <wp:extent cx="358775" cy="594995"/>
                  <wp:effectExtent l="0" t="0" r="3175" b="14605"/>
                  <wp:wrapNone/>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1"/>
                          <a:srcRect l="9149" r="9149"/>
                          <a:stretch>
                            <a:fillRect/>
                          </a:stretch>
                        </pic:blipFill>
                        <pic:spPr>
                          <a:xfrm>
                            <a:off x="0" y="0"/>
                            <a:ext cx="358775" cy="594995"/>
                          </a:xfrm>
                          <a:prstGeom prst="rect">
                            <a:avLst/>
                          </a:prstGeom>
                          <a:noFill/>
                          <a:ln>
                            <a:noFill/>
                          </a:ln>
                        </pic:spPr>
                      </pic:pic>
                    </a:graphicData>
                  </a:graphic>
                </wp:anchor>
              </w:drawing>
            </w: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lang w:val="en-US" w:eastAsia="zh-CN"/>
              </w:rPr>
              <w:drawing>
                <wp:anchor distT="0" distB="0" distL="114300" distR="114300" simplePos="0" relativeHeight="251702272" behindDoc="0" locked="0" layoutInCell="1" allowOverlap="1">
                  <wp:simplePos x="0" y="0"/>
                  <wp:positionH relativeFrom="column">
                    <wp:posOffset>174625</wp:posOffset>
                  </wp:positionH>
                  <wp:positionV relativeFrom="paragraph">
                    <wp:posOffset>43180</wp:posOffset>
                  </wp:positionV>
                  <wp:extent cx="523875" cy="582930"/>
                  <wp:effectExtent l="0" t="0" r="9525" b="7620"/>
                  <wp:wrapNone/>
                  <wp:docPr id="236" name="图片 2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图片1"/>
                          <pic:cNvPicPr>
                            <a:picLocks noChangeAspect="1"/>
                          </pic:cNvPicPr>
                        </pic:nvPicPr>
                        <pic:blipFill>
                          <a:blip r:embed="rId32"/>
                          <a:srcRect l="6861" t="2376" r="38212"/>
                          <a:stretch>
                            <a:fillRect/>
                          </a:stretch>
                        </pic:blipFill>
                        <pic:spPr>
                          <a:xfrm>
                            <a:off x="0" y="0"/>
                            <a:ext cx="523875" cy="58293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药品存储</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货架</w:t>
            </w:r>
          </w:p>
        </w:tc>
        <w:tc>
          <w:tcPr>
            <w:tcW w:w="1529"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药品存储</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货架</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10.8</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5.64</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7</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一次性</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物品</w:t>
            </w:r>
            <w:r>
              <w:rPr>
                <w:rFonts w:hint="eastAsia" w:ascii="宋体" w:hAnsi="宋体" w:cs="宋体"/>
                <w:sz w:val="18"/>
                <w:szCs w:val="18"/>
                <w:highlight w:val="none"/>
                <w:vertAlign w:val="baseline"/>
                <w:lang w:val="en-US" w:eastAsia="zh-CN"/>
              </w:rPr>
              <w:t>室</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93408" behindDoc="0" locked="0" layoutInCell="1" allowOverlap="1">
                  <wp:simplePos x="0" y="0"/>
                  <wp:positionH relativeFrom="column">
                    <wp:posOffset>194310</wp:posOffset>
                  </wp:positionH>
                  <wp:positionV relativeFrom="paragraph">
                    <wp:posOffset>15875</wp:posOffset>
                  </wp:positionV>
                  <wp:extent cx="239395" cy="588645"/>
                  <wp:effectExtent l="0" t="0" r="8255" b="1905"/>
                  <wp:wrapNone/>
                  <wp:docPr id="2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8"/>
                          <pic:cNvPicPr>
                            <a:picLocks noChangeAspect="1"/>
                          </pic:cNvPicPr>
                        </pic:nvPicPr>
                        <pic:blipFill>
                          <a:blip r:embed="rId33"/>
                          <a:srcRect l="32441" r="18827"/>
                          <a:stretch>
                            <a:fillRect/>
                          </a:stretch>
                        </pic:blipFill>
                        <pic:spPr>
                          <a:xfrm>
                            <a:off x="0" y="0"/>
                            <a:ext cx="239395" cy="588645"/>
                          </a:xfrm>
                          <a:prstGeom prst="rect">
                            <a:avLst/>
                          </a:prstGeom>
                          <a:noFill/>
                          <a:ln>
                            <a:noFill/>
                          </a:ln>
                        </pic:spPr>
                      </pic:pic>
                    </a:graphicData>
                  </a:graphic>
                </wp:anchor>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lang w:val="en-US" w:eastAsia="zh-CN"/>
              </w:rPr>
              <w:drawing>
                <wp:anchor distT="0" distB="0" distL="114300" distR="114300" simplePos="0" relativeHeight="251703296" behindDoc="0" locked="0" layoutInCell="1" allowOverlap="1">
                  <wp:simplePos x="0" y="0"/>
                  <wp:positionH relativeFrom="column">
                    <wp:posOffset>181610</wp:posOffset>
                  </wp:positionH>
                  <wp:positionV relativeFrom="paragraph">
                    <wp:posOffset>23495</wp:posOffset>
                  </wp:positionV>
                  <wp:extent cx="535305" cy="595630"/>
                  <wp:effectExtent l="0" t="0" r="17145" b="13970"/>
                  <wp:wrapNone/>
                  <wp:docPr id="75" name="图片 7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图片1"/>
                          <pic:cNvPicPr>
                            <a:picLocks noChangeAspect="1"/>
                          </pic:cNvPicPr>
                        </pic:nvPicPr>
                        <pic:blipFill>
                          <a:blip r:embed="rId32"/>
                          <a:srcRect l="6861" t="2376" r="38212"/>
                          <a:stretch>
                            <a:fillRect/>
                          </a:stretch>
                        </pic:blipFill>
                        <pic:spPr>
                          <a:xfrm>
                            <a:off x="0" y="0"/>
                            <a:ext cx="535305" cy="59563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药品存储</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货架</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3.9</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8</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污洗</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打包间</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362585" cy="551180"/>
                  <wp:effectExtent l="0" t="0" r="18415" b="1270"/>
                  <wp:docPr id="2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9"/>
                          <pic:cNvPicPr>
                            <a:picLocks noChangeAspect="1"/>
                          </pic:cNvPicPr>
                        </pic:nvPicPr>
                        <pic:blipFill>
                          <a:blip r:embed="rId34"/>
                          <a:srcRect l="10823" r="10823"/>
                          <a:stretch>
                            <a:fillRect/>
                          </a:stretch>
                        </pic:blipFill>
                        <pic:spPr>
                          <a:xfrm>
                            <a:off x="0" y="0"/>
                            <a:ext cx="362585" cy="551180"/>
                          </a:xfrm>
                          <a:prstGeom prst="rect">
                            <a:avLst/>
                          </a:prstGeom>
                          <a:noFill/>
                          <a:ln>
                            <a:noFill/>
                          </a:ln>
                        </pic:spPr>
                      </pic:pic>
                    </a:graphicData>
                  </a:graphic>
                </wp:inline>
              </w:drawing>
            </w: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00224" behindDoc="0" locked="0" layoutInCell="1" allowOverlap="1">
                  <wp:simplePos x="0" y="0"/>
                  <wp:positionH relativeFrom="column">
                    <wp:posOffset>-38100</wp:posOffset>
                  </wp:positionH>
                  <wp:positionV relativeFrom="paragraph">
                    <wp:posOffset>31750</wp:posOffset>
                  </wp:positionV>
                  <wp:extent cx="948690" cy="576580"/>
                  <wp:effectExtent l="0" t="0" r="3810" b="13970"/>
                  <wp:wrapNone/>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pic:cNvPicPr>
                            <a:picLocks noChangeAspect="1"/>
                          </pic:cNvPicPr>
                        </pic:nvPicPr>
                        <pic:blipFill>
                          <a:blip r:embed="rId23"/>
                          <a:srcRect t="37034"/>
                          <a:stretch>
                            <a:fillRect/>
                          </a:stretch>
                        </pic:blipFill>
                        <pic:spPr>
                          <a:xfrm>
                            <a:off x="0" y="0"/>
                            <a:ext cx="948690" cy="576580"/>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 污物柜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污物台〈下）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rPr>
            </w:pPr>
          </w:p>
        </w:tc>
        <w:tc>
          <w:tcPr>
            <w:tcW w:w="1595" w:type="dxa"/>
            <w:vMerge w:val="continue"/>
          </w:tcPr>
          <w:p>
            <w:pPr>
              <w:spacing w:line="240" w:lineRule="auto"/>
              <w:rPr>
                <w:rFonts w:hint="eastAsia" w:ascii="宋体" w:hAnsi="宋体" w:eastAsia="宋体" w:cs="宋体"/>
                <w:sz w:val="18"/>
                <w:szCs w:val="18"/>
                <w:highlight w:val="none"/>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污物台台面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422" w:type="dxa"/>
            <w:gridSpan w:val="10"/>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地下室顶板平面图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值班室</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39488" behindDoc="0" locked="0" layoutInCell="1" allowOverlap="1">
                  <wp:simplePos x="0" y="0"/>
                  <wp:positionH relativeFrom="column">
                    <wp:posOffset>94615</wp:posOffset>
                  </wp:positionH>
                  <wp:positionV relativeFrom="paragraph">
                    <wp:posOffset>20320</wp:posOffset>
                  </wp:positionV>
                  <wp:extent cx="341630" cy="492125"/>
                  <wp:effectExtent l="0" t="0" r="1270" b="3175"/>
                  <wp:wrapNone/>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35"/>
                          <a:srcRect l="17096" t="6113" r="16192" b="5225"/>
                          <a:stretch>
                            <a:fillRect/>
                          </a:stretch>
                        </pic:blipFill>
                        <pic:spPr>
                          <a:xfrm>
                            <a:off x="0" y="0"/>
                            <a:ext cx="341630" cy="492125"/>
                          </a:xfrm>
                          <a:prstGeom prst="rect">
                            <a:avLst/>
                          </a:prstGeom>
                          <a:noFill/>
                          <a:ln>
                            <a:noFill/>
                          </a:ln>
                        </pic:spPr>
                      </pic:pic>
                    </a:graphicData>
                  </a:graphic>
                </wp:anchor>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27200" behindDoc="0" locked="0" layoutInCell="1" allowOverlap="1">
                  <wp:simplePos x="0" y="0"/>
                  <wp:positionH relativeFrom="column">
                    <wp:posOffset>312420</wp:posOffset>
                  </wp:positionH>
                  <wp:positionV relativeFrom="paragraph">
                    <wp:posOffset>20955</wp:posOffset>
                  </wp:positionV>
                  <wp:extent cx="294005" cy="531495"/>
                  <wp:effectExtent l="0" t="0" r="10795" b="1905"/>
                  <wp:wrapNone/>
                  <wp:docPr id="11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6"/>
                          <pic:cNvPicPr>
                            <a:picLocks noChangeAspect="1"/>
                          </pic:cNvPicPr>
                        </pic:nvPicPr>
                        <pic:blipFill>
                          <a:blip r:embed="rId25"/>
                          <a:stretch>
                            <a:fillRect/>
                          </a:stretch>
                        </pic:blipFill>
                        <pic:spPr>
                          <a:xfrm>
                            <a:off x="0" y="0"/>
                            <a:ext cx="294005" cy="53149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洁具室</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908050" cy="551180"/>
                  <wp:effectExtent l="0" t="0" r="6350" b="1270"/>
                  <wp:docPr id="1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4"/>
                          <pic:cNvPicPr>
                            <a:picLocks noChangeAspect="1"/>
                          </pic:cNvPicPr>
                        </pic:nvPicPr>
                        <pic:blipFill>
                          <a:blip r:embed="rId30"/>
                          <a:stretch>
                            <a:fillRect/>
                          </a:stretch>
                        </pic:blipFill>
                        <pic:spPr>
                          <a:xfrm>
                            <a:off x="0" y="0"/>
                            <a:ext cx="908050" cy="551180"/>
                          </a:xfrm>
                          <a:prstGeom prst="rect">
                            <a:avLst/>
                          </a:prstGeom>
                          <a:noFill/>
                          <a:ln>
                            <a:noFill/>
                          </a:ln>
                        </pic:spPr>
                      </pic:pic>
                    </a:graphicData>
                  </a:graphic>
                </wp:inline>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304医用环保清洗柜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清洗柜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L*600*1100</w:t>
            </w:r>
          </w:p>
        </w:tc>
        <w:tc>
          <w:tcPr>
            <w:tcW w:w="627"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both"/>
              <w:rPr>
                <w:rFonts w:hint="eastAsia" w:ascii="宋体" w:hAnsi="宋体" w:eastAsia="宋体" w:cs="宋体"/>
                <w:kern w:val="2"/>
                <w:sz w:val="18"/>
                <w:szCs w:val="18"/>
                <w:highlight w:val="none"/>
                <w:vertAlign w:val="baseline"/>
                <w:lang w:val="en-US" w:eastAsia="zh-CN" w:bidi="ar-SA"/>
              </w:rPr>
            </w:pPr>
          </w:p>
        </w:tc>
        <w:tc>
          <w:tcPr>
            <w:tcW w:w="627"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开水间</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11810" cy="711835"/>
                  <wp:effectExtent l="0" t="0" r="2540" b="1206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36"/>
                          <a:stretch>
                            <a:fillRect/>
                          </a:stretch>
                        </pic:blipFill>
                        <pic:spPr>
                          <a:xfrm>
                            <a:off x="0" y="0"/>
                            <a:ext cx="511810" cy="711835"/>
                          </a:xfrm>
                          <a:prstGeom prst="rect">
                            <a:avLst/>
                          </a:prstGeom>
                          <a:noFill/>
                          <a:ln>
                            <a:noFill/>
                          </a:ln>
                        </pic:spPr>
                      </pic:pic>
                    </a:graphicData>
                  </a:graphic>
                </wp:inline>
              </w:drawing>
            </w: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706368" behindDoc="0" locked="0" layoutInCell="1" allowOverlap="1">
                  <wp:simplePos x="0" y="0"/>
                  <wp:positionH relativeFrom="column">
                    <wp:posOffset>-42545</wp:posOffset>
                  </wp:positionH>
                  <wp:positionV relativeFrom="paragraph">
                    <wp:posOffset>563245</wp:posOffset>
                  </wp:positionV>
                  <wp:extent cx="966470" cy="652145"/>
                  <wp:effectExtent l="0" t="0" r="5080" b="14605"/>
                  <wp:wrapNone/>
                  <wp:docPr id="81" name="图片 81"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6 处置室"/>
                          <pic:cNvPicPr>
                            <a:picLocks noChangeAspect="1"/>
                          </pic:cNvPicPr>
                        </pic:nvPicPr>
                        <pic:blipFill>
                          <a:blip r:embed="rId37"/>
                          <a:srcRect r="16627"/>
                          <a:stretch>
                            <a:fillRect/>
                          </a:stretch>
                        </pic:blipFill>
                        <pic:spPr>
                          <a:xfrm>
                            <a:off x="0" y="0"/>
                            <a:ext cx="966470" cy="652145"/>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医用环保开水柜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2.5</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开水台（下）</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3.2</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开水台台面</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3.2</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更衣室</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11810" cy="558800"/>
                  <wp:effectExtent l="0" t="0" r="2540" b="1270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38"/>
                          <a:stretch>
                            <a:fillRect/>
                          </a:stretch>
                        </pic:blipFill>
                        <pic:spPr>
                          <a:xfrm>
                            <a:off x="0" y="0"/>
                            <a:ext cx="511810" cy="558800"/>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299720" cy="542290"/>
                  <wp:effectExtent l="0" t="0" r="5080" b="10160"/>
                  <wp:docPr id="27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6"/>
                          <pic:cNvPicPr>
                            <a:picLocks noChangeAspect="1"/>
                          </pic:cNvPicPr>
                        </pic:nvPicPr>
                        <pic:blipFill>
                          <a:blip r:embed="rId25"/>
                          <a:stretch>
                            <a:fillRect/>
                          </a:stretch>
                        </pic:blipFill>
                        <pic:spPr>
                          <a:xfrm>
                            <a:off x="0" y="0"/>
                            <a:ext cx="299720" cy="542290"/>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 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5</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值班室</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452755" cy="497840"/>
                  <wp:effectExtent l="0" t="0" r="4445" b="1651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39"/>
                          <a:stretch>
                            <a:fillRect/>
                          </a:stretch>
                        </pic:blipFill>
                        <pic:spPr>
                          <a:xfrm>
                            <a:off x="0" y="0"/>
                            <a:ext cx="452755" cy="497840"/>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305435" cy="552450"/>
                  <wp:effectExtent l="0" t="0" r="18415" b="0"/>
                  <wp:docPr id="27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6"/>
                          <pic:cNvPicPr>
                            <a:picLocks noChangeAspect="1"/>
                          </pic:cNvPicPr>
                        </pic:nvPicPr>
                        <pic:blipFill>
                          <a:blip r:embed="rId25"/>
                          <a:stretch>
                            <a:fillRect/>
                          </a:stretch>
                        </pic:blipFill>
                        <pic:spPr>
                          <a:xfrm>
                            <a:off x="0" y="0"/>
                            <a:ext cx="305435" cy="552450"/>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 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0.9</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6</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污洗</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打包间</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28224" behindDoc="0" locked="0" layoutInCell="1" allowOverlap="1">
                  <wp:simplePos x="0" y="0"/>
                  <wp:positionH relativeFrom="column">
                    <wp:posOffset>48895</wp:posOffset>
                  </wp:positionH>
                  <wp:positionV relativeFrom="paragraph">
                    <wp:posOffset>43815</wp:posOffset>
                  </wp:positionV>
                  <wp:extent cx="478790" cy="604520"/>
                  <wp:effectExtent l="0" t="0" r="16510" b="5080"/>
                  <wp:wrapNone/>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40"/>
                          <a:srcRect t="8803" b="7394"/>
                          <a:stretch>
                            <a:fillRect/>
                          </a:stretch>
                        </pic:blipFill>
                        <pic:spPr>
                          <a:xfrm>
                            <a:off x="0" y="0"/>
                            <a:ext cx="478790" cy="604520"/>
                          </a:xfrm>
                          <a:prstGeom prst="rect">
                            <a:avLst/>
                          </a:prstGeom>
                          <a:noFill/>
                          <a:ln>
                            <a:noFill/>
                          </a:ln>
                        </pic:spPr>
                      </pic:pic>
                    </a:graphicData>
                  </a:graphic>
                </wp:anchor>
              </w:drawing>
            </w:r>
          </w:p>
        </w:tc>
        <w:tc>
          <w:tcPr>
            <w:tcW w:w="1595"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07392" behindDoc="0" locked="0" layoutInCell="1" allowOverlap="1">
                  <wp:simplePos x="0" y="0"/>
                  <wp:positionH relativeFrom="column">
                    <wp:posOffset>-40005</wp:posOffset>
                  </wp:positionH>
                  <wp:positionV relativeFrom="paragraph">
                    <wp:posOffset>29845</wp:posOffset>
                  </wp:positionV>
                  <wp:extent cx="965200" cy="601345"/>
                  <wp:effectExtent l="0" t="0" r="6350" b="8255"/>
                  <wp:wrapNone/>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pic:cNvPicPr>
                            <a:picLocks noChangeAspect="1"/>
                          </pic:cNvPicPr>
                        </pic:nvPicPr>
                        <pic:blipFill>
                          <a:blip r:embed="rId23"/>
                          <a:srcRect t="41711"/>
                          <a:stretch>
                            <a:fillRect/>
                          </a:stretch>
                        </pic:blipFill>
                        <pic:spPr>
                          <a:xfrm>
                            <a:off x="0" y="0"/>
                            <a:ext cx="965200" cy="601345"/>
                          </a:xfrm>
                          <a:prstGeom prst="rect">
                            <a:avLst/>
                          </a:prstGeom>
                          <a:noFill/>
                          <a:ln>
                            <a:noFill/>
                          </a:ln>
                        </pic:spPr>
                      </pic:pic>
                    </a:graphicData>
                  </a:graphic>
                </wp:anchor>
              </w:drawing>
            </w:r>
          </w:p>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医用环保污物柜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污物台〈下）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污物台台面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7</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值班室</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223520" cy="586105"/>
                  <wp:effectExtent l="0" t="0" r="5080" b="4445"/>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41"/>
                          <a:srcRect l="28199" r="20070"/>
                          <a:stretch>
                            <a:fillRect/>
                          </a:stretch>
                        </pic:blipFill>
                        <pic:spPr>
                          <a:xfrm>
                            <a:off x="0" y="0"/>
                            <a:ext cx="223520" cy="586105"/>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307340" cy="555625"/>
                  <wp:effectExtent l="0" t="0" r="16510" b="15875"/>
                  <wp:docPr id="27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6"/>
                          <pic:cNvPicPr>
                            <a:picLocks noChangeAspect="1"/>
                          </pic:cNvPicPr>
                        </pic:nvPicPr>
                        <pic:blipFill>
                          <a:blip r:embed="rId25"/>
                          <a:stretch>
                            <a:fillRect/>
                          </a:stretch>
                        </pic:blipFill>
                        <pic:spPr>
                          <a:xfrm>
                            <a:off x="0" y="0"/>
                            <a:ext cx="307340" cy="555625"/>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 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lang w:val="en-US" w:eastAsia="zh-CN"/>
              </w:rPr>
              <w:t>0.9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8</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更衣室</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11810" cy="497840"/>
                  <wp:effectExtent l="0" t="0" r="2540" b="1651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42"/>
                          <a:stretch>
                            <a:fillRect/>
                          </a:stretch>
                        </pic:blipFill>
                        <pic:spPr>
                          <a:xfrm>
                            <a:off x="0" y="0"/>
                            <a:ext cx="511810" cy="497840"/>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279400" cy="505460"/>
                  <wp:effectExtent l="0" t="0" r="6350" b="8890"/>
                  <wp:docPr id="27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6"/>
                          <pic:cNvPicPr>
                            <a:picLocks noChangeAspect="1"/>
                          </pic:cNvPicPr>
                        </pic:nvPicPr>
                        <pic:blipFill>
                          <a:blip r:embed="rId25"/>
                          <a:stretch>
                            <a:fillRect/>
                          </a:stretch>
                        </pic:blipFill>
                        <pic:spPr>
                          <a:xfrm>
                            <a:off x="0" y="0"/>
                            <a:ext cx="279400" cy="505460"/>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 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lang w:val="en-US" w:eastAsia="zh-CN"/>
              </w:rPr>
              <w:t>1.9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9</w:t>
            </w:r>
          </w:p>
        </w:tc>
        <w:tc>
          <w:tcPr>
            <w:tcW w:w="104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更衣室</w:t>
            </w:r>
          </w:p>
        </w:tc>
        <w:tc>
          <w:tcPr>
            <w:tcW w:w="1182"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inline distT="0" distB="0" distL="114300" distR="114300">
                  <wp:extent cx="511810" cy="497840"/>
                  <wp:effectExtent l="0" t="0" r="2540" b="1651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42"/>
                          <a:stretch>
                            <a:fillRect/>
                          </a:stretch>
                        </pic:blipFill>
                        <pic:spPr>
                          <a:xfrm>
                            <a:off x="0" y="0"/>
                            <a:ext cx="511810" cy="497840"/>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inline distT="0" distB="0" distL="114300" distR="114300">
                  <wp:extent cx="279400" cy="505460"/>
                  <wp:effectExtent l="0" t="0" r="6350" b="8890"/>
                  <wp:docPr id="27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6"/>
                          <pic:cNvPicPr>
                            <a:picLocks noChangeAspect="1"/>
                          </pic:cNvPicPr>
                        </pic:nvPicPr>
                        <pic:blipFill>
                          <a:blip r:embed="rId25"/>
                          <a:stretch>
                            <a:fillRect/>
                          </a:stretch>
                        </pic:blipFill>
                        <pic:spPr>
                          <a:xfrm>
                            <a:off x="0" y="0"/>
                            <a:ext cx="279400" cy="505460"/>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 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2.05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10</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抢救室</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32320" behindDoc="0" locked="0" layoutInCell="1" allowOverlap="1">
                  <wp:simplePos x="0" y="0"/>
                  <wp:positionH relativeFrom="column">
                    <wp:posOffset>-20320</wp:posOffset>
                  </wp:positionH>
                  <wp:positionV relativeFrom="paragraph">
                    <wp:posOffset>578485</wp:posOffset>
                  </wp:positionV>
                  <wp:extent cx="621665" cy="609600"/>
                  <wp:effectExtent l="0" t="0" r="6985" b="0"/>
                  <wp:wrapNone/>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43"/>
                          <a:stretch>
                            <a:fillRect/>
                          </a:stretch>
                        </pic:blipFill>
                        <pic:spPr>
                          <a:xfrm>
                            <a:off x="0" y="0"/>
                            <a:ext cx="621665" cy="609600"/>
                          </a:xfrm>
                          <a:prstGeom prst="rect">
                            <a:avLst/>
                          </a:prstGeom>
                          <a:noFill/>
                          <a:ln>
                            <a:noFill/>
                          </a:ln>
                        </pic:spPr>
                      </pic:pic>
                    </a:graphicData>
                  </a:graphic>
                </wp:anchor>
              </w:drawing>
            </w: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708416" behindDoc="0" locked="0" layoutInCell="1" allowOverlap="1">
                  <wp:simplePos x="0" y="0"/>
                  <wp:positionH relativeFrom="column">
                    <wp:posOffset>-35560</wp:posOffset>
                  </wp:positionH>
                  <wp:positionV relativeFrom="paragraph">
                    <wp:posOffset>541655</wp:posOffset>
                  </wp:positionV>
                  <wp:extent cx="942340" cy="648970"/>
                  <wp:effectExtent l="0" t="0" r="10160" b="17780"/>
                  <wp:wrapNone/>
                  <wp:docPr id="76" name="图片 76"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6 处置室"/>
                          <pic:cNvPicPr>
                            <a:picLocks noChangeAspect="1"/>
                          </pic:cNvPicPr>
                        </pic:nvPicPr>
                        <pic:blipFill>
                          <a:blip r:embed="rId37"/>
                          <a:srcRect r="18372"/>
                          <a:stretch>
                            <a:fillRect/>
                          </a:stretch>
                        </pic:blipFill>
                        <pic:spPr>
                          <a:xfrm>
                            <a:off x="0" y="0"/>
                            <a:ext cx="942340" cy="64897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医用环保治疗柜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11</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配液室</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33344" behindDoc="0" locked="0" layoutInCell="1" allowOverlap="1">
                  <wp:simplePos x="0" y="0"/>
                  <wp:positionH relativeFrom="column">
                    <wp:posOffset>-40640</wp:posOffset>
                  </wp:positionH>
                  <wp:positionV relativeFrom="paragraph">
                    <wp:posOffset>532765</wp:posOffset>
                  </wp:positionV>
                  <wp:extent cx="695325" cy="719455"/>
                  <wp:effectExtent l="0" t="0" r="9525" b="4445"/>
                  <wp:wrapNone/>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44"/>
                          <a:stretch>
                            <a:fillRect/>
                          </a:stretch>
                        </pic:blipFill>
                        <pic:spPr>
                          <a:xfrm>
                            <a:off x="0" y="0"/>
                            <a:ext cx="695325" cy="719455"/>
                          </a:xfrm>
                          <a:prstGeom prst="rect">
                            <a:avLst/>
                          </a:prstGeom>
                          <a:noFill/>
                          <a:ln>
                            <a:noFill/>
                          </a:ln>
                        </pic:spPr>
                      </pic:pic>
                    </a:graphicData>
                  </a:graphic>
                </wp:anchor>
              </w:drawing>
            </w: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834368" behindDoc="0" locked="0" layoutInCell="1" allowOverlap="1">
                  <wp:simplePos x="0" y="0"/>
                  <wp:positionH relativeFrom="column">
                    <wp:posOffset>-20320</wp:posOffset>
                  </wp:positionH>
                  <wp:positionV relativeFrom="paragraph">
                    <wp:posOffset>570865</wp:posOffset>
                  </wp:positionV>
                  <wp:extent cx="925830" cy="648970"/>
                  <wp:effectExtent l="0" t="0" r="7620" b="17780"/>
                  <wp:wrapNone/>
                  <wp:docPr id="15" name="图片 15"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处置室"/>
                          <pic:cNvPicPr>
                            <a:picLocks noChangeAspect="1"/>
                          </pic:cNvPicPr>
                        </pic:nvPicPr>
                        <pic:blipFill>
                          <a:blip r:embed="rId37"/>
                          <a:srcRect r="19802"/>
                          <a:stretch>
                            <a:fillRect/>
                          </a:stretch>
                        </pic:blipFill>
                        <pic:spPr>
                          <a:xfrm>
                            <a:off x="0" y="0"/>
                            <a:ext cx="925830" cy="64897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 配液柜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配液台（下）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配液台台面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12</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女更衣</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11810" cy="434340"/>
                  <wp:effectExtent l="0" t="0" r="2540" b="3810"/>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45"/>
                          <a:stretch>
                            <a:fillRect/>
                          </a:stretch>
                        </pic:blipFill>
                        <pic:spPr>
                          <a:xfrm>
                            <a:off x="0" y="0"/>
                            <a:ext cx="511810" cy="434340"/>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314960" cy="569595"/>
                  <wp:effectExtent l="0" t="0" r="8890" b="1905"/>
                  <wp:docPr id="27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6"/>
                          <pic:cNvPicPr>
                            <a:picLocks noChangeAspect="1"/>
                          </pic:cNvPicPr>
                        </pic:nvPicPr>
                        <pic:blipFill>
                          <a:blip r:embed="rId25"/>
                          <a:stretch>
                            <a:fillRect/>
                          </a:stretch>
                        </pic:blipFill>
                        <pic:spPr>
                          <a:xfrm>
                            <a:off x="0" y="0"/>
                            <a:ext cx="314960" cy="569595"/>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 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2.6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13</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男更衣</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292100" cy="578485"/>
                  <wp:effectExtent l="0" t="0" r="12700" b="12065"/>
                  <wp:docPr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pic:cNvPicPr>
                            <a:picLocks noChangeAspect="1"/>
                          </pic:cNvPicPr>
                        </pic:nvPicPr>
                        <pic:blipFill>
                          <a:blip r:embed="rId46"/>
                          <a:srcRect l="14888" r="21464"/>
                          <a:stretch>
                            <a:fillRect/>
                          </a:stretch>
                        </pic:blipFill>
                        <pic:spPr>
                          <a:xfrm>
                            <a:off x="0" y="0"/>
                            <a:ext cx="292100" cy="578485"/>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306705" cy="553720"/>
                  <wp:effectExtent l="0" t="0" r="17145" b="17780"/>
                  <wp:docPr id="27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6"/>
                          <pic:cNvPicPr>
                            <a:picLocks noChangeAspect="1"/>
                          </pic:cNvPicPr>
                        </pic:nvPicPr>
                        <pic:blipFill>
                          <a:blip r:embed="rId25"/>
                          <a:stretch>
                            <a:fillRect/>
                          </a:stretch>
                        </pic:blipFill>
                        <pic:spPr>
                          <a:xfrm>
                            <a:off x="0" y="0"/>
                            <a:ext cx="306705" cy="553720"/>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 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3.6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14</w:t>
            </w:r>
          </w:p>
        </w:tc>
        <w:tc>
          <w:tcPr>
            <w:tcW w:w="1040" w:type="dxa"/>
            <w:vMerge w:val="restart"/>
            <w:vAlign w:val="center"/>
          </w:tcPr>
          <w:p>
            <w:pPr>
              <w:spacing w:line="240" w:lineRule="auto"/>
              <w:jc w:val="center"/>
              <w:rPr>
                <w:rFonts w:hint="default"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备餐室</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96480" behindDoc="0" locked="0" layoutInCell="1" allowOverlap="1">
                  <wp:simplePos x="0" y="0"/>
                  <wp:positionH relativeFrom="column">
                    <wp:posOffset>43180</wp:posOffset>
                  </wp:positionH>
                  <wp:positionV relativeFrom="paragraph">
                    <wp:posOffset>64135</wp:posOffset>
                  </wp:positionV>
                  <wp:extent cx="541020" cy="770255"/>
                  <wp:effectExtent l="0" t="0" r="11430" b="10795"/>
                  <wp:wrapNone/>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47"/>
                          <a:srcRect t="4681" b="5442"/>
                          <a:stretch>
                            <a:fillRect/>
                          </a:stretch>
                        </pic:blipFill>
                        <pic:spPr>
                          <a:xfrm>
                            <a:off x="0" y="0"/>
                            <a:ext cx="541020" cy="770255"/>
                          </a:xfrm>
                          <a:prstGeom prst="rect">
                            <a:avLst/>
                          </a:prstGeom>
                          <a:noFill/>
                          <a:ln>
                            <a:noFill/>
                          </a:ln>
                        </pic:spPr>
                      </pic:pic>
                    </a:graphicData>
                  </a:graphic>
                </wp:anchor>
              </w:drawing>
            </w: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698176" behindDoc="1" locked="0" layoutInCell="1" allowOverlap="1">
                  <wp:simplePos x="0" y="0"/>
                  <wp:positionH relativeFrom="column">
                    <wp:posOffset>-10160</wp:posOffset>
                  </wp:positionH>
                  <wp:positionV relativeFrom="paragraph">
                    <wp:posOffset>203835</wp:posOffset>
                  </wp:positionV>
                  <wp:extent cx="913765" cy="574675"/>
                  <wp:effectExtent l="0" t="0" r="635" b="15875"/>
                  <wp:wrapNone/>
                  <wp:docPr id="16" name="图片 16"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 处置室"/>
                          <pic:cNvPicPr>
                            <a:picLocks noChangeAspect="1"/>
                          </pic:cNvPicPr>
                        </pic:nvPicPr>
                        <pic:blipFill>
                          <a:blip r:embed="rId37"/>
                          <a:srcRect r="19590"/>
                          <a:stretch>
                            <a:fillRect/>
                          </a:stretch>
                        </pic:blipFill>
                        <pic:spPr>
                          <a:xfrm>
                            <a:off x="0" y="0"/>
                            <a:ext cx="913765" cy="574675"/>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医用环保备餐柜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备餐台（下）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备餐台台面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15</w:t>
            </w:r>
          </w:p>
        </w:tc>
        <w:tc>
          <w:tcPr>
            <w:tcW w:w="1040" w:type="dxa"/>
            <w:vMerge w:val="restart"/>
            <w:vAlign w:val="center"/>
          </w:tcPr>
          <w:p>
            <w:pPr>
              <w:spacing w:line="240" w:lineRule="auto"/>
              <w:jc w:val="center"/>
              <w:rPr>
                <w:rFonts w:hint="default"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开水间</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95456" behindDoc="0" locked="0" layoutInCell="1" allowOverlap="1">
                  <wp:simplePos x="0" y="0"/>
                  <wp:positionH relativeFrom="column">
                    <wp:posOffset>-32385</wp:posOffset>
                  </wp:positionH>
                  <wp:positionV relativeFrom="paragraph">
                    <wp:posOffset>347980</wp:posOffset>
                  </wp:positionV>
                  <wp:extent cx="705485" cy="1053465"/>
                  <wp:effectExtent l="0" t="0" r="18415" b="13335"/>
                  <wp:wrapNone/>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pic:cNvPicPr>
                        </pic:nvPicPr>
                        <pic:blipFill>
                          <a:blip r:embed="rId48"/>
                          <a:stretch>
                            <a:fillRect/>
                          </a:stretch>
                        </pic:blipFill>
                        <pic:spPr>
                          <a:xfrm>
                            <a:off x="0" y="0"/>
                            <a:ext cx="705485" cy="1053465"/>
                          </a:xfrm>
                          <a:prstGeom prst="rect">
                            <a:avLst/>
                          </a:prstGeom>
                          <a:noFill/>
                          <a:ln>
                            <a:noFill/>
                          </a:ln>
                        </pic:spPr>
                      </pic:pic>
                    </a:graphicData>
                  </a:graphic>
                </wp:anchor>
              </w:drawing>
            </w: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794432" behindDoc="0" locked="0" layoutInCell="1" allowOverlap="1">
                  <wp:simplePos x="0" y="0"/>
                  <wp:positionH relativeFrom="column">
                    <wp:posOffset>-26670</wp:posOffset>
                  </wp:positionH>
                  <wp:positionV relativeFrom="paragraph">
                    <wp:posOffset>494030</wp:posOffset>
                  </wp:positionV>
                  <wp:extent cx="942340" cy="784860"/>
                  <wp:effectExtent l="0" t="0" r="10160" b="15240"/>
                  <wp:wrapNone/>
                  <wp:docPr id="17" name="图片 17"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 处置室"/>
                          <pic:cNvPicPr>
                            <a:picLocks noChangeAspect="1"/>
                          </pic:cNvPicPr>
                        </pic:nvPicPr>
                        <pic:blipFill>
                          <a:blip r:embed="rId37"/>
                          <a:srcRect r="18372"/>
                          <a:stretch>
                            <a:fillRect/>
                          </a:stretch>
                        </pic:blipFill>
                        <pic:spPr>
                          <a:xfrm>
                            <a:off x="0" y="0"/>
                            <a:ext cx="942340" cy="78486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医用环保开水柜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1.7</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lang w:val="en-US" w:eastAsia="zh-CN"/>
              </w:rPr>
              <w:t>1.7</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lang w:val="en-US" w:eastAsia="zh-CN"/>
              </w:rPr>
              <w:t>1.7</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lang w:val="en-US" w:eastAsia="zh-CN"/>
              </w:rPr>
              <w:t>1.7</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422" w:type="dxa"/>
            <w:gridSpan w:val="10"/>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一层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存储间</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373380" cy="494030"/>
                  <wp:effectExtent l="0" t="0" r="7620" b="1270"/>
                  <wp:docPr id="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pic:cNvPicPr>
                            <a:picLocks noChangeAspect="1"/>
                          </pic:cNvPicPr>
                        </pic:nvPicPr>
                        <pic:blipFill>
                          <a:blip r:embed="rId49"/>
                          <a:stretch>
                            <a:fillRect/>
                          </a:stretch>
                        </pic:blipFill>
                        <pic:spPr>
                          <a:xfrm>
                            <a:off x="0" y="0"/>
                            <a:ext cx="373380" cy="494030"/>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lang w:val="en-US" w:eastAsia="zh-CN"/>
              </w:rPr>
              <w:drawing>
                <wp:inline distT="0" distB="0" distL="114300" distR="114300">
                  <wp:extent cx="539750" cy="602615"/>
                  <wp:effectExtent l="0" t="0" r="12700" b="6985"/>
                  <wp:docPr id="93" name="图片 9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图片1"/>
                          <pic:cNvPicPr>
                            <a:picLocks noChangeAspect="1"/>
                          </pic:cNvPicPr>
                        </pic:nvPicPr>
                        <pic:blipFill>
                          <a:blip r:embed="rId32"/>
                          <a:srcRect r="36675"/>
                          <a:stretch>
                            <a:fillRect/>
                          </a:stretch>
                        </pic:blipFill>
                        <pic:spPr>
                          <a:xfrm>
                            <a:off x="0" y="0"/>
                            <a:ext cx="539750" cy="602615"/>
                          </a:xfrm>
                          <a:prstGeom prst="rect">
                            <a:avLst/>
                          </a:prstGeom>
                        </pic:spPr>
                      </pic:pic>
                    </a:graphicData>
                  </a:graphic>
                </wp:inline>
              </w:drawing>
            </w:r>
          </w:p>
        </w:tc>
        <w:tc>
          <w:tcPr>
            <w:tcW w:w="10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药品存储</w:t>
            </w:r>
          </w:p>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1.45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2"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保洁间</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11175" cy="379730"/>
                  <wp:effectExtent l="0" t="0" r="3175" b="1270"/>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50"/>
                          <a:stretch>
                            <a:fillRect/>
                          </a:stretch>
                        </pic:blipFill>
                        <pic:spPr>
                          <a:xfrm>
                            <a:off x="0" y="0"/>
                            <a:ext cx="511175" cy="379730"/>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drawing>
                <wp:anchor distT="0" distB="0" distL="114300" distR="114300" simplePos="0" relativeHeight="251709440" behindDoc="0" locked="0" layoutInCell="1" allowOverlap="1">
                  <wp:simplePos x="0" y="0"/>
                  <wp:positionH relativeFrom="column">
                    <wp:posOffset>217170</wp:posOffset>
                  </wp:positionH>
                  <wp:positionV relativeFrom="paragraph">
                    <wp:posOffset>24765</wp:posOffset>
                  </wp:positionV>
                  <wp:extent cx="475615" cy="508635"/>
                  <wp:effectExtent l="0" t="0" r="635" b="5715"/>
                  <wp:wrapNone/>
                  <wp:docPr id="122" name="图片 122" descr="99833a34350e2cfef0393870186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99833a34350e2cfef03938701864894"/>
                          <pic:cNvPicPr>
                            <a:picLocks noChangeAspect="1"/>
                          </pic:cNvPicPr>
                        </pic:nvPicPr>
                        <pic:blipFill>
                          <a:blip r:embed="rId51"/>
                          <a:srcRect l="29793"/>
                          <a:stretch>
                            <a:fillRect/>
                          </a:stretch>
                        </pic:blipFill>
                        <pic:spPr>
                          <a:xfrm>
                            <a:off x="0" y="0"/>
                            <a:ext cx="475615" cy="508635"/>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304医用环保拖把柜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拖把柜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L*600*1100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w:t>
            </w:r>
          </w:p>
        </w:tc>
        <w:tc>
          <w:tcPr>
            <w:tcW w:w="1040" w:type="dxa"/>
            <w:vMerge w:val="restart"/>
            <w:vAlign w:val="center"/>
          </w:tcPr>
          <w:p>
            <w:pPr>
              <w:spacing w:line="240" w:lineRule="auto"/>
              <w:jc w:val="center"/>
              <w:rPr>
                <w:rFonts w:hint="default"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开水间</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613410" cy="812165"/>
                  <wp:effectExtent l="0" t="0" r="15240" b="6985"/>
                  <wp:docPr id="4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5"/>
                          <pic:cNvPicPr>
                            <a:picLocks noChangeAspect="1"/>
                          </pic:cNvPicPr>
                        </pic:nvPicPr>
                        <pic:blipFill>
                          <a:blip r:embed="rId52"/>
                          <a:stretch>
                            <a:fillRect/>
                          </a:stretch>
                        </pic:blipFill>
                        <pic:spPr>
                          <a:xfrm>
                            <a:off x="0" y="0"/>
                            <a:ext cx="613410" cy="812165"/>
                          </a:xfrm>
                          <a:prstGeom prst="rect">
                            <a:avLst/>
                          </a:prstGeom>
                          <a:noFill/>
                          <a:ln>
                            <a:noFill/>
                          </a:ln>
                        </pic:spPr>
                      </pic:pic>
                    </a:graphicData>
                  </a:graphic>
                </wp:inline>
              </w:drawing>
            </w: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56896" behindDoc="0" locked="0" layoutInCell="1" allowOverlap="1">
                  <wp:simplePos x="0" y="0"/>
                  <wp:positionH relativeFrom="column">
                    <wp:posOffset>-19050</wp:posOffset>
                  </wp:positionH>
                  <wp:positionV relativeFrom="paragraph">
                    <wp:posOffset>356870</wp:posOffset>
                  </wp:positionV>
                  <wp:extent cx="936625" cy="568325"/>
                  <wp:effectExtent l="0" t="0" r="15875" b="3175"/>
                  <wp:wrapNone/>
                  <wp:docPr id="2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4"/>
                          <pic:cNvPicPr>
                            <a:picLocks noChangeAspect="1"/>
                          </pic:cNvPicPr>
                        </pic:nvPicPr>
                        <pic:blipFill>
                          <a:blip r:embed="rId30"/>
                          <a:stretch>
                            <a:fillRect/>
                          </a:stretch>
                        </pic:blipFill>
                        <pic:spPr>
                          <a:xfrm>
                            <a:off x="0" y="0"/>
                            <a:ext cx="936625" cy="568325"/>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医用环保开水柜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西药房</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11810" cy="454025"/>
                  <wp:effectExtent l="0" t="0" r="3175" b="2540"/>
                  <wp:docPr id="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pic:cNvPicPr>
                            <a:picLocks noChangeAspect="1"/>
                          </pic:cNvPicPr>
                        </pic:nvPicPr>
                        <pic:blipFill>
                          <a:blip r:embed="rId53"/>
                          <a:stretch>
                            <a:fillRect/>
                          </a:stretch>
                        </pic:blipFill>
                        <pic:spPr>
                          <a:xfrm rot="5400000">
                            <a:off x="0" y="0"/>
                            <a:ext cx="511810" cy="454025"/>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368935" cy="707390"/>
                  <wp:effectExtent l="0" t="0" r="12065" b="16510"/>
                  <wp:docPr id="240"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59"/>
                          <pic:cNvPicPr>
                            <a:picLocks noChangeAspect="1"/>
                          </pic:cNvPicPr>
                        </pic:nvPicPr>
                        <pic:blipFill>
                          <a:blip r:embed="rId54" r:link="rId55" cstate="print"/>
                          <a:stretch>
                            <a:fillRect/>
                          </a:stretch>
                        </pic:blipFill>
                        <pic:spPr>
                          <a:xfrm>
                            <a:off x="0" y="0"/>
                            <a:ext cx="368935" cy="707390"/>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医用环保药架</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单面药架</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L*400*2000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8.2</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687936" behindDoc="0" locked="0" layoutInCell="1" allowOverlap="1">
                  <wp:simplePos x="0" y="0"/>
                  <wp:positionH relativeFrom="column">
                    <wp:posOffset>248285</wp:posOffset>
                  </wp:positionH>
                  <wp:positionV relativeFrom="paragraph">
                    <wp:posOffset>75565</wp:posOffset>
                  </wp:positionV>
                  <wp:extent cx="391160" cy="740410"/>
                  <wp:effectExtent l="0" t="0" r="8890" b="2540"/>
                  <wp:wrapNone/>
                  <wp:docPr id="241"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42"/>
                          <pic:cNvPicPr>
                            <a:picLocks noChangeAspect="1"/>
                          </pic:cNvPicPr>
                        </pic:nvPicPr>
                        <pic:blipFill>
                          <a:blip r:embed="rId56" r:link="rId55" cstate="print"/>
                          <a:stretch>
                            <a:fillRect/>
                          </a:stretch>
                        </pic:blipFill>
                        <pic:spPr>
                          <a:xfrm>
                            <a:off x="0" y="0"/>
                            <a:ext cx="391160" cy="74041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医用环保药架</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双面药架</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L*800*2000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29.7</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5</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污物打包间/污洗间</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394335" cy="504190"/>
                  <wp:effectExtent l="0" t="0" r="5715" b="10160"/>
                  <wp:docPr id="4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pic:cNvPicPr>
                            <a:picLocks noChangeAspect="1"/>
                          </pic:cNvPicPr>
                        </pic:nvPicPr>
                        <pic:blipFill>
                          <a:blip r:embed="rId57"/>
                          <a:stretch>
                            <a:fillRect/>
                          </a:stretch>
                        </pic:blipFill>
                        <pic:spPr>
                          <a:xfrm>
                            <a:off x="0" y="0"/>
                            <a:ext cx="394335" cy="504190"/>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drawing>
                <wp:anchor distT="0" distB="0" distL="114300" distR="114300" simplePos="0" relativeHeight="251857920" behindDoc="0" locked="0" layoutInCell="1" allowOverlap="1">
                  <wp:simplePos x="0" y="0"/>
                  <wp:positionH relativeFrom="column">
                    <wp:posOffset>151765</wp:posOffset>
                  </wp:positionH>
                  <wp:positionV relativeFrom="paragraph">
                    <wp:posOffset>19050</wp:posOffset>
                  </wp:positionV>
                  <wp:extent cx="568325" cy="594995"/>
                  <wp:effectExtent l="0" t="0" r="3175" b="14605"/>
                  <wp:wrapNone/>
                  <wp:docPr id="242" name="图片 242" descr="99833a34350e2cfef0393870186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99833a34350e2cfef03938701864894"/>
                          <pic:cNvPicPr>
                            <a:picLocks noChangeAspect="1"/>
                          </pic:cNvPicPr>
                        </pic:nvPicPr>
                        <pic:blipFill>
                          <a:blip r:embed="rId51"/>
                          <a:srcRect l="28322"/>
                          <a:stretch>
                            <a:fillRect/>
                          </a:stretch>
                        </pic:blipFill>
                        <pic:spPr>
                          <a:xfrm>
                            <a:off x="0" y="0"/>
                            <a:ext cx="568325" cy="594995"/>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医用环保拖把柜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拖把柜</w:t>
            </w:r>
          </w:p>
        </w:tc>
        <w:tc>
          <w:tcPr>
            <w:tcW w:w="1341" w:type="dxa"/>
            <w:vAlign w:val="center"/>
          </w:tcPr>
          <w:p>
            <w:pPr>
              <w:spacing w:line="240" w:lineRule="auto"/>
              <w:jc w:val="left"/>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L*600*1100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6</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更衣室</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12445" cy="459105"/>
                  <wp:effectExtent l="0" t="0" r="1905" b="17145"/>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8"/>
                          <pic:cNvPicPr>
                            <a:picLocks noChangeAspect="1"/>
                          </pic:cNvPicPr>
                        </pic:nvPicPr>
                        <pic:blipFill>
                          <a:blip r:embed="rId58"/>
                          <a:stretch>
                            <a:fillRect/>
                          </a:stretch>
                        </pic:blipFill>
                        <pic:spPr>
                          <a:xfrm>
                            <a:off x="0" y="0"/>
                            <a:ext cx="512445" cy="459105"/>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403225" cy="493395"/>
                  <wp:effectExtent l="0" t="0" r="15875" b="1905"/>
                  <wp:docPr id="28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6"/>
                          <pic:cNvPicPr>
                            <a:picLocks noChangeAspect="1"/>
                          </pic:cNvPicPr>
                        </pic:nvPicPr>
                        <pic:blipFill>
                          <a:blip r:embed="rId25"/>
                          <a:stretch>
                            <a:fillRect/>
                          </a:stretch>
                        </pic:blipFill>
                        <pic:spPr>
                          <a:xfrm>
                            <a:off x="0" y="0"/>
                            <a:ext cx="403225" cy="493395"/>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left"/>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1.9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7</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更衣室</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479425" cy="454025"/>
                  <wp:effectExtent l="0" t="0" r="15875" b="3175"/>
                  <wp:docPr id="4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9"/>
                          <pic:cNvPicPr>
                            <a:picLocks noChangeAspect="1"/>
                          </pic:cNvPicPr>
                        </pic:nvPicPr>
                        <pic:blipFill>
                          <a:blip r:embed="rId59"/>
                          <a:stretch>
                            <a:fillRect/>
                          </a:stretch>
                        </pic:blipFill>
                        <pic:spPr>
                          <a:xfrm>
                            <a:off x="0" y="0"/>
                            <a:ext cx="479425" cy="454025"/>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401320" cy="541655"/>
                  <wp:effectExtent l="0" t="0" r="17780" b="10795"/>
                  <wp:docPr id="2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6"/>
                          <pic:cNvPicPr>
                            <a:picLocks noChangeAspect="1"/>
                          </pic:cNvPicPr>
                        </pic:nvPicPr>
                        <pic:blipFill>
                          <a:blip r:embed="rId25"/>
                          <a:stretch>
                            <a:fillRect/>
                          </a:stretch>
                        </pic:blipFill>
                        <pic:spPr>
                          <a:xfrm>
                            <a:off x="0" y="0"/>
                            <a:ext cx="401320" cy="541655"/>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left"/>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2.05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8</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配液室</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11175" cy="478155"/>
                  <wp:effectExtent l="0" t="0" r="3175" b="17145"/>
                  <wp:docPr id="4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0"/>
                          <pic:cNvPicPr>
                            <a:picLocks noChangeAspect="1"/>
                          </pic:cNvPicPr>
                        </pic:nvPicPr>
                        <pic:blipFill>
                          <a:blip r:embed="rId60"/>
                          <a:stretch>
                            <a:fillRect/>
                          </a:stretch>
                        </pic:blipFill>
                        <pic:spPr>
                          <a:xfrm>
                            <a:off x="0" y="0"/>
                            <a:ext cx="511175" cy="478155"/>
                          </a:xfrm>
                          <a:prstGeom prst="rect">
                            <a:avLst/>
                          </a:prstGeom>
                          <a:noFill/>
                          <a:ln>
                            <a:noFill/>
                          </a:ln>
                        </pic:spPr>
                      </pic:pic>
                    </a:graphicData>
                  </a:graphic>
                </wp:inline>
              </w:drawing>
            </w: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710464" behindDoc="0" locked="0" layoutInCell="1" allowOverlap="1">
                  <wp:simplePos x="0" y="0"/>
                  <wp:positionH relativeFrom="column">
                    <wp:posOffset>-45085</wp:posOffset>
                  </wp:positionH>
                  <wp:positionV relativeFrom="paragraph">
                    <wp:posOffset>446405</wp:posOffset>
                  </wp:positionV>
                  <wp:extent cx="968375" cy="839470"/>
                  <wp:effectExtent l="0" t="0" r="3175" b="17780"/>
                  <wp:wrapNone/>
                  <wp:docPr id="96" name="图片 96"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6 处置室"/>
                          <pic:cNvPicPr>
                            <a:picLocks noChangeAspect="1"/>
                          </pic:cNvPicPr>
                        </pic:nvPicPr>
                        <pic:blipFill>
                          <a:blip r:embed="rId37"/>
                          <a:srcRect r="16117"/>
                          <a:stretch>
                            <a:fillRect/>
                          </a:stretch>
                        </pic:blipFill>
                        <pic:spPr>
                          <a:xfrm>
                            <a:off x="0" y="0"/>
                            <a:ext cx="968375" cy="83947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医用环保配液柜</w:t>
            </w:r>
          </w:p>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配液台（下）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配液台台面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9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655"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9</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更衣室</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614680" cy="566420"/>
                  <wp:effectExtent l="0" t="0" r="13970" b="5080"/>
                  <wp:docPr id="4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1"/>
                          <pic:cNvPicPr>
                            <a:picLocks noChangeAspect="1"/>
                          </pic:cNvPicPr>
                        </pic:nvPicPr>
                        <pic:blipFill>
                          <a:blip r:embed="rId61"/>
                          <a:stretch>
                            <a:fillRect/>
                          </a:stretch>
                        </pic:blipFill>
                        <pic:spPr>
                          <a:xfrm>
                            <a:off x="0" y="0"/>
                            <a:ext cx="614680" cy="566420"/>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47370" cy="602615"/>
                  <wp:effectExtent l="0" t="0" r="5080" b="6985"/>
                  <wp:docPr id="28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6"/>
                          <pic:cNvPicPr>
                            <a:picLocks noChangeAspect="1"/>
                          </pic:cNvPicPr>
                        </pic:nvPicPr>
                        <pic:blipFill>
                          <a:blip r:embed="rId25"/>
                          <a:stretch>
                            <a:fillRect/>
                          </a:stretch>
                        </pic:blipFill>
                        <pic:spPr>
                          <a:xfrm>
                            <a:off x="0" y="0"/>
                            <a:ext cx="547370" cy="602615"/>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1.35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10</w:t>
            </w:r>
          </w:p>
        </w:tc>
        <w:tc>
          <w:tcPr>
            <w:tcW w:w="1040" w:type="dxa"/>
            <w:vMerge w:val="restart"/>
            <w:vAlign w:val="center"/>
          </w:tcPr>
          <w:p>
            <w:pPr>
              <w:spacing w:line="240" w:lineRule="auto"/>
              <w:jc w:val="center"/>
              <w:rPr>
                <w:rFonts w:hint="default"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抽血室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12512" behindDoc="0" locked="0" layoutInCell="1" allowOverlap="1">
                  <wp:simplePos x="0" y="0"/>
                  <wp:positionH relativeFrom="column">
                    <wp:posOffset>-33655</wp:posOffset>
                  </wp:positionH>
                  <wp:positionV relativeFrom="paragraph">
                    <wp:posOffset>288290</wp:posOffset>
                  </wp:positionV>
                  <wp:extent cx="697230" cy="1162685"/>
                  <wp:effectExtent l="0" t="0" r="7620" b="18415"/>
                  <wp:wrapNone/>
                  <wp:docPr id="5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2"/>
                          <pic:cNvPicPr>
                            <a:picLocks noChangeAspect="1"/>
                          </pic:cNvPicPr>
                        </pic:nvPicPr>
                        <pic:blipFill>
                          <a:blip r:embed="rId62"/>
                          <a:stretch>
                            <a:fillRect/>
                          </a:stretch>
                        </pic:blipFill>
                        <pic:spPr>
                          <a:xfrm>
                            <a:off x="0" y="0"/>
                            <a:ext cx="697230" cy="1162685"/>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11488" behindDoc="0" locked="0" layoutInCell="1" allowOverlap="1">
                  <wp:simplePos x="0" y="0"/>
                  <wp:positionH relativeFrom="column">
                    <wp:posOffset>-34290</wp:posOffset>
                  </wp:positionH>
                  <wp:positionV relativeFrom="paragraph">
                    <wp:posOffset>544830</wp:posOffset>
                  </wp:positionV>
                  <wp:extent cx="940435" cy="744220"/>
                  <wp:effectExtent l="0" t="0" r="12065" b="17780"/>
                  <wp:wrapNone/>
                  <wp:docPr id="243" name="图片 130" descr="164221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30" descr="1642218119"/>
                          <pic:cNvPicPr>
                            <a:picLocks noChangeAspect="1"/>
                          </pic:cNvPicPr>
                        </pic:nvPicPr>
                        <pic:blipFill>
                          <a:blip r:embed="rId63"/>
                          <a:srcRect l="9202" r="12021"/>
                          <a:stretch>
                            <a:fillRect/>
                          </a:stretch>
                        </pic:blipFill>
                        <pic:spPr>
                          <a:xfrm>
                            <a:off x="0" y="0"/>
                            <a:ext cx="940435" cy="74422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医用环保护士站</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护士站站体</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L*600*750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7</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人造石（下台面）</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7</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医用环保侧边柜</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侧边柜台台面</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主机柜</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300*400*680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键盘架</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520*290*30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55" w:type="dxa"/>
            <w:vMerge w:val="continue"/>
            <w:vAlign w:val="top"/>
          </w:tcPr>
          <w:p>
            <w:pPr>
              <w:spacing w:line="240" w:lineRule="auto"/>
              <w:rPr>
                <w:rFonts w:hint="eastAsia" w:ascii="宋体" w:hAnsi="宋体" w:eastAsia="宋体" w:cs="宋体"/>
                <w:kern w:val="2"/>
                <w:sz w:val="18"/>
                <w:szCs w:val="18"/>
                <w:highlight w:val="none"/>
                <w:vertAlign w:val="baseline"/>
                <w:lang w:val="en-US" w:eastAsia="zh-CN" w:bidi="ar-SA"/>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三抽柜</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400*400*680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655"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11</w:t>
            </w:r>
          </w:p>
        </w:tc>
        <w:tc>
          <w:tcPr>
            <w:tcW w:w="1040"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更衣室</w:t>
            </w:r>
          </w:p>
        </w:tc>
        <w:tc>
          <w:tcPr>
            <w:tcW w:w="1182"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rPr>
              <w:drawing>
                <wp:inline distT="0" distB="0" distL="114300" distR="114300">
                  <wp:extent cx="561975" cy="584200"/>
                  <wp:effectExtent l="0" t="0" r="9525" b="6350"/>
                  <wp:docPr id="5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4"/>
                          <pic:cNvPicPr>
                            <a:picLocks noChangeAspect="1"/>
                          </pic:cNvPicPr>
                        </pic:nvPicPr>
                        <pic:blipFill>
                          <a:blip r:embed="rId64"/>
                          <a:stretch>
                            <a:fillRect/>
                          </a:stretch>
                        </pic:blipFill>
                        <pic:spPr>
                          <a:xfrm>
                            <a:off x="0" y="0"/>
                            <a:ext cx="561975" cy="584200"/>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rPr>
              <w:drawing>
                <wp:inline distT="0" distB="0" distL="114300" distR="114300">
                  <wp:extent cx="494665" cy="583565"/>
                  <wp:effectExtent l="0" t="0" r="635" b="6985"/>
                  <wp:docPr id="28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6"/>
                          <pic:cNvPicPr>
                            <a:picLocks noChangeAspect="1"/>
                          </pic:cNvPicPr>
                        </pic:nvPicPr>
                        <pic:blipFill>
                          <a:blip r:embed="rId25"/>
                          <a:stretch>
                            <a:fillRect/>
                          </a:stretch>
                        </pic:blipFill>
                        <pic:spPr>
                          <a:xfrm>
                            <a:off x="0" y="0"/>
                            <a:ext cx="494665" cy="583565"/>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2.5</w:t>
            </w:r>
          </w:p>
        </w:tc>
        <w:tc>
          <w:tcPr>
            <w:tcW w:w="693"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kern w:val="2"/>
                <w:sz w:val="18"/>
                <w:szCs w:val="18"/>
                <w:highlight w:val="none"/>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655"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12</w:t>
            </w:r>
          </w:p>
        </w:tc>
        <w:tc>
          <w:tcPr>
            <w:tcW w:w="1040"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女更衣</w:t>
            </w:r>
          </w:p>
        </w:tc>
        <w:tc>
          <w:tcPr>
            <w:tcW w:w="1182"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rPr>
              <w:drawing>
                <wp:inline distT="0" distB="0" distL="114300" distR="114300">
                  <wp:extent cx="560705" cy="526415"/>
                  <wp:effectExtent l="0" t="0" r="10795" b="6985"/>
                  <wp:docPr id="5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5"/>
                          <pic:cNvPicPr>
                            <a:picLocks noChangeAspect="1"/>
                          </pic:cNvPicPr>
                        </pic:nvPicPr>
                        <pic:blipFill>
                          <a:blip r:embed="rId65"/>
                          <a:stretch>
                            <a:fillRect/>
                          </a:stretch>
                        </pic:blipFill>
                        <pic:spPr>
                          <a:xfrm>
                            <a:off x="0" y="0"/>
                            <a:ext cx="560705" cy="526415"/>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rPr>
              <w:drawing>
                <wp:inline distT="0" distB="0" distL="114300" distR="114300">
                  <wp:extent cx="408305" cy="512445"/>
                  <wp:effectExtent l="0" t="0" r="10795" b="1905"/>
                  <wp:docPr id="28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6"/>
                          <pic:cNvPicPr>
                            <a:picLocks noChangeAspect="1"/>
                          </pic:cNvPicPr>
                        </pic:nvPicPr>
                        <pic:blipFill>
                          <a:blip r:embed="rId25"/>
                          <a:stretch>
                            <a:fillRect/>
                          </a:stretch>
                        </pic:blipFill>
                        <pic:spPr>
                          <a:xfrm>
                            <a:off x="0" y="0"/>
                            <a:ext cx="408305" cy="512445"/>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2.7</w:t>
            </w:r>
          </w:p>
        </w:tc>
        <w:tc>
          <w:tcPr>
            <w:tcW w:w="693"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55"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13</w:t>
            </w:r>
          </w:p>
        </w:tc>
        <w:tc>
          <w:tcPr>
            <w:tcW w:w="1040"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男更衣</w:t>
            </w:r>
          </w:p>
        </w:tc>
        <w:tc>
          <w:tcPr>
            <w:tcW w:w="1182"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rPr>
              <w:drawing>
                <wp:inline distT="0" distB="0" distL="114300" distR="114300">
                  <wp:extent cx="597535" cy="417195"/>
                  <wp:effectExtent l="0" t="0" r="12065" b="1905"/>
                  <wp:docPr id="5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6"/>
                          <pic:cNvPicPr>
                            <a:picLocks noChangeAspect="1"/>
                          </pic:cNvPicPr>
                        </pic:nvPicPr>
                        <pic:blipFill>
                          <a:blip r:embed="rId66"/>
                          <a:stretch>
                            <a:fillRect/>
                          </a:stretch>
                        </pic:blipFill>
                        <pic:spPr>
                          <a:xfrm>
                            <a:off x="0" y="0"/>
                            <a:ext cx="597535" cy="417195"/>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rPr>
              <w:drawing>
                <wp:inline distT="0" distB="0" distL="114300" distR="114300">
                  <wp:extent cx="414020" cy="542290"/>
                  <wp:effectExtent l="0" t="0" r="5080" b="10160"/>
                  <wp:docPr id="17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6"/>
                          <pic:cNvPicPr>
                            <a:picLocks noChangeAspect="1"/>
                          </pic:cNvPicPr>
                        </pic:nvPicPr>
                        <pic:blipFill>
                          <a:blip r:embed="rId25"/>
                          <a:stretch>
                            <a:fillRect/>
                          </a:stretch>
                        </pic:blipFill>
                        <pic:spPr>
                          <a:xfrm>
                            <a:off x="0" y="0"/>
                            <a:ext cx="414020" cy="542290"/>
                          </a:xfrm>
                          <a:prstGeom prst="rect">
                            <a:avLst/>
                          </a:prstGeom>
                          <a:noFill/>
                          <a:ln w="9525">
                            <a:noFill/>
                          </a:ln>
                        </pic:spPr>
                      </pic:pic>
                    </a:graphicData>
                  </a:graphic>
                </wp:inline>
              </w:drawing>
            </w:r>
          </w:p>
        </w:tc>
        <w:tc>
          <w:tcPr>
            <w:tcW w:w="1080"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18"/>
                <w:szCs w:val="18"/>
                <w:highlight w:val="none"/>
                <w:lang w:val="en-US" w:eastAsia="zh-CN" w:bidi="ar-SA"/>
              </w:rPr>
              <w:t>3.6</w:t>
            </w:r>
          </w:p>
        </w:tc>
        <w:tc>
          <w:tcPr>
            <w:tcW w:w="693"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55"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14</w:t>
            </w:r>
          </w:p>
        </w:tc>
        <w:tc>
          <w:tcPr>
            <w:tcW w:w="104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存储间</w:t>
            </w:r>
          </w:p>
        </w:tc>
        <w:tc>
          <w:tcPr>
            <w:tcW w:w="1182"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inline distT="0" distB="0" distL="114300" distR="114300">
                  <wp:extent cx="576580" cy="469265"/>
                  <wp:effectExtent l="0" t="0" r="13970" b="6985"/>
                  <wp:docPr id="5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7"/>
                          <pic:cNvPicPr>
                            <a:picLocks noChangeAspect="1"/>
                          </pic:cNvPicPr>
                        </pic:nvPicPr>
                        <pic:blipFill>
                          <a:blip r:embed="rId67"/>
                          <a:stretch>
                            <a:fillRect/>
                          </a:stretch>
                        </pic:blipFill>
                        <pic:spPr>
                          <a:xfrm>
                            <a:off x="0" y="0"/>
                            <a:ext cx="576580" cy="469265"/>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b/>
                <w:bCs/>
                <w:sz w:val="18"/>
                <w:szCs w:val="18"/>
                <w:highlight w:val="none"/>
                <w:lang w:val="en-US" w:eastAsia="zh-CN"/>
              </w:rPr>
              <w:drawing>
                <wp:inline distT="0" distB="0" distL="114300" distR="114300">
                  <wp:extent cx="539115" cy="609600"/>
                  <wp:effectExtent l="0" t="0" r="13335" b="0"/>
                  <wp:docPr id="101" name="图片 10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图片1"/>
                          <pic:cNvPicPr>
                            <a:picLocks noChangeAspect="1"/>
                          </pic:cNvPicPr>
                        </pic:nvPicPr>
                        <pic:blipFill>
                          <a:blip r:embed="rId32"/>
                          <a:srcRect r="37469"/>
                          <a:stretch>
                            <a:fillRect/>
                          </a:stretch>
                        </pic:blipFill>
                        <pic:spPr>
                          <a:xfrm>
                            <a:off x="0" y="0"/>
                            <a:ext cx="539115" cy="609600"/>
                          </a:xfrm>
                          <a:prstGeom prst="rect">
                            <a:avLst/>
                          </a:prstGeom>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药品存储</w:t>
            </w:r>
          </w:p>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55"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15</w:t>
            </w:r>
          </w:p>
        </w:tc>
        <w:tc>
          <w:tcPr>
            <w:tcW w:w="104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存储间</w:t>
            </w:r>
          </w:p>
        </w:tc>
        <w:tc>
          <w:tcPr>
            <w:tcW w:w="1182"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inline distT="0" distB="0" distL="114300" distR="114300">
                  <wp:extent cx="511810" cy="490220"/>
                  <wp:effectExtent l="0" t="0" r="2540" b="5080"/>
                  <wp:docPr id="6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8"/>
                          <pic:cNvPicPr>
                            <a:picLocks noChangeAspect="1"/>
                          </pic:cNvPicPr>
                        </pic:nvPicPr>
                        <pic:blipFill>
                          <a:blip r:embed="rId68"/>
                          <a:stretch>
                            <a:fillRect/>
                          </a:stretch>
                        </pic:blipFill>
                        <pic:spPr>
                          <a:xfrm>
                            <a:off x="0" y="0"/>
                            <a:ext cx="511810" cy="490220"/>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b/>
                <w:bCs/>
                <w:sz w:val="18"/>
                <w:szCs w:val="18"/>
                <w:highlight w:val="none"/>
                <w:lang w:val="en-US" w:eastAsia="zh-CN"/>
              </w:rPr>
              <w:drawing>
                <wp:inline distT="0" distB="0" distL="114300" distR="114300">
                  <wp:extent cx="557530" cy="630555"/>
                  <wp:effectExtent l="0" t="0" r="13970" b="17145"/>
                  <wp:docPr id="72" name="图片 7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图片1"/>
                          <pic:cNvPicPr>
                            <a:picLocks noChangeAspect="1"/>
                          </pic:cNvPicPr>
                        </pic:nvPicPr>
                        <pic:blipFill>
                          <a:blip r:embed="rId32"/>
                          <a:srcRect r="37469"/>
                          <a:stretch>
                            <a:fillRect/>
                          </a:stretch>
                        </pic:blipFill>
                        <pic:spPr>
                          <a:xfrm>
                            <a:off x="0" y="0"/>
                            <a:ext cx="557530" cy="630555"/>
                          </a:xfrm>
                          <a:prstGeom prst="rect">
                            <a:avLst/>
                          </a:prstGeom>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药品存储</w:t>
            </w:r>
          </w:p>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16</w:t>
            </w:r>
          </w:p>
        </w:tc>
        <w:tc>
          <w:tcPr>
            <w:tcW w:w="1040" w:type="dxa"/>
            <w:vMerge w:val="restart"/>
            <w:vAlign w:val="center"/>
          </w:tcPr>
          <w:p>
            <w:pPr>
              <w:spacing w:line="240" w:lineRule="auto"/>
              <w:jc w:val="center"/>
              <w:rPr>
                <w:rFonts w:hint="default"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开水间</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87375" cy="709930"/>
                  <wp:effectExtent l="0" t="0" r="3175" b="13970"/>
                  <wp:docPr id="6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9"/>
                          <pic:cNvPicPr>
                            <a:picLocks noChangeAspect="1"/>
                          </pic:cNvPicPr>
                        </pic:nvPicPr>
                        <pic:blipFill>
                          <a:blip r:embed="rId69"/>
                          <a:stretch>
                            <a:fillRect/>
                          </a:stretch>
                        </pic:blipFill>
                        <pic:spPr>
                          <a:xfrm>
                            <a:off x="0" y="0"/>
                            <a:ext cx="587375" cy="709930"/>
                          </a:xfrm>
                          <a:prstGeom prst="rect">
                            <a:avLst/>
                          </a:prstGeom>
                          <a:noFill/>
                          <a:ln>
                            <a:noFill/>
                          </a:ln>
                        </pic:spPr>
                      </pic:pic>
                    </a:graphicData>
                  </a:graphic>
                </wp:inline>
              </w:drawing>
            </w: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58944" behindDoc="0" locked="0" layoutInCell="1" allowOverlap="1">
                  <wp:simplePos x="0" y="0"/>
                  <wp:positionH relativeFrom="column">
                    <wp:posOffset>-19050</wp:posOffset>
                  </wp:positionH>
                  <wp:positionV relativeFrom="paragraph">
                    <wp:posOffset>328295</wp:posOffset>
                  </wp:positionV>
                  <wp:extent cx="937895" cy="569595"/>
                  <wp:effectExtent l="0" t="0" r="14605" b="1905"/>
                  <wp:wrapNone/>
                  <wp:docPr id="1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
                          <pic:cNvPicPr>
                            <a:picLocks noChangeAspect="1"/>
                          </pic:cNvPicPr>
                        </pic:nvPicPr>
                        <pic:blipFill>
                          <a:blip r:embed="rId30"/>
                          <a:stretch>
                            <a:fillRect/>
                          </a:stretch>
                        </pic:blipFill>
                        <pic:spPr>
                          <a:xfrm>
                            <a:off x="0" y="0"/>
                            <a:ext cx="937895" cy="569595"/>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医用环保开水柜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422" w:type="dxa"/>
            <w:gridSpan w:val="10"/>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库房</w:t>
            </w:r>
          </w:p>
        </w:tc>
        <w:tc>
          <w:tcPr>
            <w:tcW w:w="1182"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11810" cy="372745"/>
                  <wp:effectExtent l="0" t="0" r="2540" b="8255"/>
                  <wp:docPr id="6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0"/>
                          <pic:cNvPicPr>
                            <a:picLocks noChangeAspect="1"/>
                          </pic:cNvPicPr>
                        </pic:nvPicPr>
                        <pic:blipFill>
                          <a:blip r:embed="rId70"/>
                          <a:stretch>
                            <a:fillRect/>
                          </a:stretch>
                        </pic:blipFill>
                        <pic:spPr>
                          <a:xfrm>
                            <a:off x="0" y="0"/>
                            <a:ext cx="511810" cy="372745"/>
                          </a:xfrm>
                          <a:prstGeom prst="rect">
                            <a:avLst/>
                          </a:prstGeom>
                          <a:noFill/>
                          <a:ln>
                            <a:noFill/>
                          </a:ln>
                        </pic:spPr>
                      </pic:pic>
                    </a:graphicData>
                  </a:graphic>
                </wp:inline>
              </w:drawing>
            </w:r>
          </w:p>
        </w:tc>
        <w:tc>
          <w:tcPr>
            <w:tcW w:w="159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lang w:val="en-US" w:eastAsia="zh-CN"/>
              </w:rPr>
              <w:drawing>
                <wp:inline distT="0" distB="0" distL="114300" distR="114300">
                  <wp:extent cx="557530" cy="630555"/>
                  <wp:effectExtent l="0" t="0" r="13970" b="17145"/>
                  <wp:docPr id="86" name="图片 8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图片1"/>
                          <pic:cNvPicPr>
                            <a:picLocks noChangeAspect="1"/>
                          </pic:cNvPicPr>
                        </pic:nvPicPr>
                        <pic:blipFill>
                          <a:blip r:embed="rId32"/>
                          <a:srcRect r="37469"/>
                          <a:stretch>
                            <a:fillRect/>
                          </a:stretch>
                        </pic:blipFill>
                        <pic:spPr>
                          <a:xfrm>
                            <a:off x="0" y="0"/>
                            <a:ext cx="557530" cy="630555"/>
                          </a:xfrm>
                          <a:prstGeom prst="rect">
                            <a:avLst/>
                          </a:prstGeom>
                        </pic:spPr>
                      </pic:pic>
                    </a:graphicData>
                  </a:graphic>
                </wp:inline>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药品存储</w:t>
            </w:r>
          </w:p>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16.15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技工室</w:t>
            </w:r>
          </w:p>
        </w:tc>
        <w:tc>
          <w:tcPr>
            <w:tcW w:w="1182"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11810" cy="882650"/>
                  <wp:effectExtent l="0" t="0" r="2540" b="12700"/>
                  <wp:docPr id="6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1"/>
                          <pic:cNvPicPr>
                            <a:picLocks noChangeAspect="1"/>
                          </pic:cNvPicPr>
                        </pic:nvPicPr>
                        <pic:blipFill>
                          <a:blip r:embed="rId71"/>
                          <a:stretch>
                            <a:fillRect/>
                          </a:stretch>
                        </pic:blipFill>
                        <pic:spPr>
                          <a:xfrm>
                            <a:off x="0" y="0"/>
                            <a:ext cx="511810" cy="882650"/>
                          </a:xfrm>
                          <a:prstGeom prst="rect">
                            <a:avLst/>
                          </a:prstGeom>
                          <a:noFill/>
                          <a:ln>
                            <a:noFill/>
                          </a:ln>
                        </pic:spPr>
                      </pic:pic>
                    </a:graphicData>
                  </a:graphic>
                </wp:inline>
              </w:drawing>
            </w:r>
          </w:p>
        </w:tc>
        <w:tc>
          <w:tcPr>
            <w:tcW w:w="159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713536" behindDoc="0" locked="0" layoutInCell="1" allowOverlap="1">
                  <wp:simplePos x="0" y="0"/>
                  <wp:positionH relativeFrom="column">
                    <wp:posOffset>-40640</wp:posOffset>
                  </wp:positionH>
                  <wp:positionV relativeFrom="paragraph">
                    <wp:posOffset>583565</wp:posOffset>
                  </wp:positionV>
                  <wp:extent cx="976630" cy="659130"/>
                  <wp:effectExtent l="0" t="0" r="13970" b="7620"/>
                  <wp:wrapNone/>
                  <wp:docPr id="244" name="图片 244"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6 处置室"/>
                          <pic:cNvPicPr>
                            <a:picLocks noChangeAspect="1"/>
                          </pic:cNvPicPr>
                        </pic:nvPicPr>
                        <pic:blipFill>
                          <a:blip r:embed="rId37"/>
                          <a:srcRect t="21483" r="15402"/>
                          <a:stretch>
                            <a:fillRect/>
                          </a:stretch>
                        </pic:blipFill>
                        <pic:spPr>
                          <a:xfrm>
                            <a:off x="0" y="0"/>
                            <a:ext cx="976630" cy="65913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医用环保治疗柜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1.85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1.85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5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4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清洗室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46304" behindDoc="0" locked="0" layoutInCell="1" allowOverlap="1">
                  <wp:simplePos x="0" y="0"/>
                  <wp:positionH relativeFrom="column">
                    <wp:posOffset>-34290</wp:posOffset>
                  </wp:positionH>
                  <wp:positionV relativeFrom="paragraph">
                    <wp:posOffset>221615</wp:posOffset>
                  </wp:positionV>
                  <wp:extent cx="702945" cy="683895"/>
                  <wp:effectExtent l="0" t="0" r="1905" b="1905"/>
                  <wp:wrapNone/>
                  <wp:docPr id="6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2"/>
                          <pic:cNvPicPr>
                            <a:picLocks noChangeAspect="1"/>
                          </pic:cNvPicPr>
                        </pic:nvPicPr>
                        <pic:blipFill>
                          <a:blip r:embed="rId72"/>
                          <a:stretch>
                            <a:fillRect/>
                          </a:stretch>
                        </pic:blipFill>
                        <pic:spPr>
                          <a:xfrm>
                            <a:off x="0" y="0"/>
                            <a:ext cx="702945" cy="683895"/>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45632" behindDoc="0" locked="0" layoutInCell="1" allowOverlap="1">
                  <wp:simplePos x="0" y="0"/>
                  <wp:positionH relativeFrom="column">
                    <wp:posOffset>-29845</wp:posOffset>
                  </wp:positionH>
                  <wp:positionV relativeFrom="paragraph">
                    <wp:posOffset>302260</wp:posOffset>
                  </wp:positionV>
                  <wp:extent cx="937895" cy="569595"/>
                  <wp:effectExtent l="0" t="0" r="14605" b="1905"/>
                  <wp:wrapNone/>
                  <wp:docPr id="1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
                          <pic:cNvPicPr>
                            <a:picLocks noChangeAspect="1"/>
                          </pic:cNvPicPr>
                        </pic:nvPicPr>
                        <pic:blipFill>
                          <a:blip r:embed="rId30"/>
                          <a:stretch>
                            <a:fillRect/>
                          </a:stretch>
                        </pic:blipFill>
                        <pic:spPr>
                          <a:xfrm>
                            <a:off x="0" y="0"/>
                            <a:ext cx="937895" cy="569595"/>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医用环保清洗柜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清洗台（下）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清洗台台面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缓冲</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准备间</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47328" behindDoc="0" locked="0" layoutInCell="1" allowOverlap="1">
                  <wp:simplePos x="0" y="0"/>
                  <wp:positionH relativeFrom="column">
                    <wp:posOffset>-45720</wp:posOffset>
                  </wp:positionH>
                  <wp:positionV relativeFrom="paragraph">
                    <wp:posOffset>91440</wp:posOffset>
                  </wp:positionV>
                  <wp:extent cx="678815" cy="569595"/>
                  <wp:effectExtent l="0" t="0" r="6985" b="1905"/>
                  <wp:wrapNone/>
                  <wp:docPr id="6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4"/>
                          <pic:cNvPicPr>
                            <a:picLocks noChangeAspect="1"/>
                          </pic:cNvPicPr>
                        </pic:nvPicPr>
                        <pic:blipFill>
                          <a:blip r:embed="rId73"/>
                          <a:stretch>
                            <a:fillRect/>
                          </a:stretch>
                        </pic:blipFill>
                        <pic:spPr>
                          <a:xfrm>
                            <a:off x="0" y="0"/>
                            <a:ext cx="678815" cy="569595"/>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46656" behindDoc="0" locked="0" layoutInCell="1" allowOverlap="1">
                  <wp:simplePos x="0" y="0"/>
                  <wp:positionH relativeFrom="column">
                    <wp:posOffset>-27940</wp:posOffset>
                  </wp:positionH>
                  <wp:positionV relativeFrom="paragraph">
                    <wp:posOffset>92075</wp:posOffset>
                  </wp:positionV>
                  <wp:extent cx="926465" cy="562610"/>
                  <wp:effectExtent l="0" t="0" r="6985" b="8890"/>
                  <wp:wrapNone/>
                  <wp:docPr id="1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4"/>
                          <pic:cNvPicPr>
                            <a:picLocks noChangeAspect="1"/>
                          </pic:cNvPicPr>
                        </pic:nvPicPr>
                        <pic:blipFill>
                          <a:blip r:embed="rId30"/>
                          <a:stretch>
                            <a:fillRect/>
                          </a:stretch>
                        </pic:blipFill>
                        <pic:spPr>
                          <a:xfrm>
                            <a:off x="0" y="0"/>
                            <a:ext cx="926465" cy="562610"/>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医用环保治疗柜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5</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诊室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45280" behindDoc="0" locked="0" layoutInCell="1" allowOverlap="1">
                  <wp:simplePos x="0" y="0"/>
                  <wp:positionH relativeFrom="column">
                    <wp:posOffset>-8890</wp:posOffset>
                  </wp:positionH>
                  <wp:positionV relativeFrom="paragraph">
                    <wp:posOffset>317500</wp:posOffset>
                  </wp:positionV>
                  <wp:extent cx="671195" cy="800100"/>
                  <wp:effectExtent l="0" t="0" r="14605" b="0"/>
                  <wp:wrapNone/>
                  <wp:docPr id="6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5"/>
                          <pic:cNvPicPr>
                            <a:picLocks noChangeAspect="1"/>
                          </pic:cNvPicPr>
                        </pic:nvPicPr>
                        <pic:blipFill>
                          <a:blip r:embed="rId74"/>
                          <a:stretch>
                            <a:fillRect/>
                          </a:stretch>
                        </pic:blipFill>
                        <pic:spPr>
                          <a:xfrm>
                            <a:off x="0" y="0"/>
                            <a:ext cx="671195" cy="800100"/>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50752" behindDoc="0" locked="0" layoutInCell="1" allowOverlap="1">
                  <wp:simplePos x="0" y="0"/>
                  <wp:positionH relativeFrom="column">
                    <wp:posOffset>-28575</wp:posOffset>
                  </wp:positionH>
                  <wp:positionV relativeFrom="paragraph">
                    <wp:posOffset>419735</wp:posOffset>
                  </wp:positionV>
                  <wp:extent cx="955040" cy="579755"/>
                  <wp:effectExtent l="0" t="0" r="16510" b="10795"/>
                  <wp:wrapNone/>
                  <wp:docPr id="17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4"/>
                          <pic:cNvPicPr>
                            <a:picLocks noChangeAspect="1"/>
                          </pic:cNvPicPr>
                        </pic:nvPicPr>
                        <pic:blipFill>
                          <a:blip r:embed="rId30"/>
                          <a:stretch>
                            <a:fillRect/>
                          </a:stretch>
                        </pic:blipFill>
                        <pic:spPr>
                          <a:xfrm>
                            <a:off x="0" y="0"/>
                            <a:ext cx="955040" cy="579755"/>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医用环保治疗柜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6</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储藏室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49376" behindDoc="0" locked="0" layoutInCell="1" allowOverlap="1">
                  <wp:simplePos x="0" y="0"/>
                  <wp:positionH relativeFrom="column">
                    <wp:posOffset>42545</wp:posOffset>
                  </wp:positionH>
                  <wp:positionV relativeFrom="paragraph">
                    <wp:posOffset>66675</wp:posOffset>
                  </wp:positionV>
                  <wp:extent cx="513080" cy="491490"/>
                  <wp:effectExtent l="0" t="0" r="1270" b="3810"/>
                  <wp:wrapNone/>
                  <wp:docPr id="6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6"/>
                          <pic:cNvPicPr>
                            <a:picLocks noChangeAspect="1"/>
                          </pic:cNvPicPr>
                        </pic:nvPicPr>
                        <pic:blipFill>
                          <a:blip r:embed="rId75"/>
                          <a:stretch>
                            <a:fillRect/>
                          </a:stretch>
                        </pic:blipFill>
                        <pic:spPr>
                          <a:xfrm>
                            <a:off x="0" y="0"/>
                            <a:ext cx="513080" cy="491490"/>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lang w:val="en-US" w:eastAsia="zh-CN"/>
              </w:rPr>
              <w:drawing>
                <wp:anchor distT="0" distB="0" distL="114300" distR="114300" simplePos="0" relativeHeight="251748352" behindDoc="0" locked="0" layoutInCell="1" allowOverlap="1">
                  <wp:simplePos x="0" y="0"/>
                  <wp:positionH relativeFrom="column">
                    <wp:posOffset>135890</wp:posOffset>
                  </wp:positionH>
                  <wp:positionV relativeFrom="paragraph">
                    <wp:posOffset>31115</wp:posOffset>
                  </wp:positionV>
                  <wp:extent cx="516255" cy="584200"/>
                  <wp:effectExtent l="0" t="0" r="17145" b="6350"/>
                  <wp:wrapNone/>
                  <wp:docPr id="110" name="图片 1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图片1"/>
                          <pic:cNvPicPr>
                            <a:picLocks noChangeAspect="1"/>
                          </pic:cNvPicPr>
                        </pic:nvPicPr>
                        <pic:blipFill>
                          <a:blip r:embed="rId32"/>
                          <a:srcRect r="37469"/>
                          <a:stretch>
                            <a:fillRect/>
                          </a:stretch>
                        </pic:blipFill>
                        <pic:spPr>
                          <a:xfrm>
                            <a:off x="0" y="0"/>
                            <a:ext cx="516255" cy="58420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1.95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7</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更衣室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11810" cy="545465"/>
                  <wp:effectExtent l="0" t="0" r="2540" b="6985"/>
                  <wp:docPr id="6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7"/>
                          <pic:cNvPicPr>
                            <a:picLocks noChangeAspect="1"/>
                          </pic:cNvPicPr>
                        </pic:nvPicPr>
                        <pic:blipFill>
                          <a:blip r:embed="rId76"/>
                          <a:stretch>
                            <a:fillRect/>
                          </a:stretch>
                        </pic:blipFill>
                        <pic:spPr>
                          <a:xfrm>
                            <a:off x="0" y="0"/>
                            <a:ext cx="511810" cy="545465"/>
                          </a:xfrm>
                          <a:prstGeom prst="rect">
                            <a:avLst/>
                          </a:prstGeom>
                          <a:noFill/>
                          <a:ln>
                            <a:noFill/>
                          </a:ln>
                        </pic:spPr>
                      </pic:pic>
                    </a:graphicData>
                  </a:graphic>
                </wp:inline>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50400" behindDoc="0" locked="0" layoutInCell="1" allowOverlap="1">
                  <wp:simplePos x="0" y="0"/>
                  <wp:positionH relativeFrom="column">
                    <wp:posOffset>269875</wp:posOffset>
                  </wp:positionH>
                  <wp:positionV relativeFrom="paragraph">
                    <wp:posOffset>22860</wp:posOffset>
                  </wp:positionV>
                  <wp:extent cx="298450" cy="539750"/>
                  <wp:effectExtent l="0" t="0" r="6350" b="12700"/>
                  <wp:wrapNone/>
                  <wp:docPr id="28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6"/>
                          <pic:cNvPicPr>
                            <a:picLocks noChangeAspect="1"/>
                          </pic:cNvPicPr>
                        </pic:nvPicPr>
                        <pic:blipFill>
                          <a:blip r:embed="rId25"/>
                          <a:stretch>
                            <a:fillRect/>
                          </a:stretch>
                        </pic:blipFill>
                        <pic:spPr>
                          <a:xfrm>
                            <a:off x="0" y="0"/>
                            <a:ext cx="298450" cy="53975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 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8</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护士站</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52448" behindDoc="0" locked="0" layoutInCell="1" allowOverlap="1">
                  <wp:simplePos x="0" y="0"/>
                  <wp:positionH relativeFrom="column">
                    <wp:posOffset>0</wp:posOffset>
                  </wp:positionH>
                  <wp:positionV relativeFrom="paragraph">
                    <wp:posOffset>456565</wp:posOffset>
                  </wp:positionV>
                  <wp:extent cx="630555" cy="831850"/>
                  <wp:effectExtent l="0" t="0" r="17145" b="6350"/>
                  <wp:wrapNone/>
                  <wp:docPr id="7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8"/>
                          <pic:cNvPicPr>
                            <a:picLocks noChangeAspect="1"/>
                          </pic:cNvPicPr>
                        </pic:nvPicPr>
                        <pic:blipFill>
                          <a:blip r:embed="rId77"/>
                          <a:stretch>
                            <a:fillRect/>
                          </a:stretch>
                        </pic:blipFill>
                        <pic:spPr>
                          <a:xfrm>
                            <a:off x="0" y="0"/>
                            <a:ext cx="630555" cy="831850"/>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51424" behindDoc="0" locked="0" layoutInCell="1" allowOverlap="1">
                  <wp:simplePos x="0" y="0"/>
                  <wp:positionH relativeFrom="column">
                    <wp:posOffset>-51435</wp:posOffset>
                  </wp:positionH>
                  <wp:positionV relativeFrom="paragraph">
                    <wp:posOffset>464185</wp:posOffset>
                  </wp:positionV>
                  <wp:extent cx="975360" cy="772160"/>
                  <wp:effectExtent l="0" t="0" r="15240" b="8890"/>
                  <wp:wrapNone/>
                  <wp:docPr id="245" name="图片 130" descr="164221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30" descr="1642218119"/>
                          <pic:cNvPicPr>
                            <a:picLocks noChangeAspect="1"/>
                          </pic:cNvPicPr>
                        </pic:nvPicPr>
                        <pic:blipFill>
                          <a:blip r:embed="rId63"/>
                          <a:srcRect l="9202" r="12021"/>
                          <a:stretch>
                            <a:fillRect/>
                          </a:stretch>
                        </pic:blipFill>
                        <pic:spPr>
                          <a:xfrm>
                            <a:off x="0" y="0"/>
                            <a:ext cx="975360" cy="77216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 护士站</w:t>
            </w:r>
          </w:p>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护士站站体</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L*700*750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人造石（下台面）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L*700*12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外挂人造石（半包）</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L*750*12</w:t>
            </w:r>
          </w:p>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主机柜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300*400*680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键盘架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520*290*30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三抽柜</w:t>
            </w:r>
          </w:p>
        </w:tc>
        <w:tc>
          <w:tcPr>
            <w:tcW w:w="1341" w:type="dxa"/>
            <w:vAlign w:val="center"/>
          </w:tcPr>
          <w:p>
            <w:pPr>
              <w:pStyle w:val="2"/>
              <w:spacing w:line="240" w:lineRule="auto"/>
              <w:ind w:left="0" w:leftChars="0" w:firstLine="0" w:firstLineChars="0"/>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400*400*680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9</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保洁间</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53472" behindDoc="0" locked="0" layoutInCell="1" allowOverlap="1">
                  <wp:simplePos x="0" y="0"/>
                  <wp:positionH relativeFrom="column">
                    <wp:posOffset>33655</wp:posOffset>
                  </wp:positionH>
                  <wp:positionV relativeFrom="paragraph">
                    <wp:posOffset>29210</wp:posOffset>
                  </wp:positionV>
                  <wp:extent cx="452755" cy="559435"/>
                  <wp:effectExtent l="0" t="0" r="4445" b="12065"/>
                  <wp:wrapNone/>
                  <wp:docPr id="7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9"/>
                          <pic:cNvPicPr>
                            <a:picLocks noChangeAspect="1"/>
                          </pic:cNvPicPr>
                        </pic:nvPicPr>
                        <pic:blipFill>
                          <a:blip r:embed="rId78"/>
                          <a:stretch>
                            <a:fillRect/>
                          </a:stretch>
                        </pic:blipFill>
                        <pic:spPr>
                          <a:xfrm>
                            <a:off x="0" y="0"/>
                            <a:ext cx="452755" cy="559435"/>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drawing>
                <wp:anchor distT="0" distB="0" distL="114300" distR="114300" simplePos="0" relativeHeight="251843584" behindDoc="0" locked="0" layoutInCell="1" allowOverlap="1">
                  <wp:simplePos x="0" y="0"/>
                  <wp:positionH relativeFrom="column">
                    <wp:posOffset>150495</wp:posOffset>
                  </wp:positionH>
                  <wp:positionV relativeFrom="paragraph">
                    <wp:posOffset>20320</wp:posOffset>
                  </wp:positionV>
                  <wp:extent cx="563880" cy="603250"/>
                  <wp:effectExtent l="0" t="0" r="7620" b="6350"/>
                  <wp:wrapNone/>
                  <wp:docPr id="117" name="图片 117" descr="99833a34350e2cfef0393870186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99833a34350e2cfef03938701864894"/>
                          <pic:cNvPicPr>
                            <a:picLocks noChangeAspect="1"/>
                          </pic:cNvPicPr>
                        </pic:nvPicPr>
                        <pic:blipFill>
                          <a:blip r:embed="rId51"/>
                          <a:srcRect l="29793"/>
                          <a:stretch>
                            <a:fillRect/>
                          </a:stretch>
                        </pic:blipFill>
                        <pic:spPr>
                          <a:xfrm>
                            <a:off x="0" y="0"/>
                            <a:ext cx="563880" cy="60325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医用环保拖把柜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拖把柜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L*600*1100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10</w:t>
            </w:r>
          </w:p>
        </w:tc>
        <w:tc>
          <w:tcPr>
            <w:tcW w:w="104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开水间</w:t>
            </w:r>
          </w:p>
        </w:tc>
        <w:tc>
          <w:tcPr>
            <w:tcW w:w="1182"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55520" behindDoc="0" locked="0" layoutInCell="1" allowOverlap="1">
                  <wp:simplePos x="0" y="0"/>
                  <wp:positionH relativeFrom="column">
                    <wp:posOffset>34290</wp:posOffset>
                  </wp:positionH>
                  <wp:positionV relativeFrom="paragraph">
                    <wp:posOffset>191770</wp:posOffset>
                  </wp:positionV>
                  <wp:extent cx="594995" cy="719455"/>
                  <wp:effectExtent l="0" t="0" r="14605" b="4445"/>
                  <wp:wrapNone/>
                  <wp:docPr id="7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9"/>
                          <pic:cNvPicPr>
                            <a:picLocks noChangeAspect="1"/>
                          </pic:cNvPicPr>
                        </pic:nvPicPr>
                        <pic:blipFill>
                          <a:blip r:embed="rId69"/>
                          <a:stretch>
                            <a:fillRect/>
                          </a:stretch>
                        </pic:blipFill>
                        <pic:spPr>
                          <a:xfrm>
                            <a:off x="0" y="0"/>
                            <a:ext cx="594995" cy="719455"/>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54496" behindDoc="0" locked="0" layoutInCell="1" allowOverlap="1">
                  <wp:simplePos x="0" y="0"/>
                  <wp:positionH relativeFrom="column">
                    <wp:posOffset>-19685</wp:posOffset>
                  </wp:positionH>
                  <wp:positionV relativeFrom="paragraph">
                    <wp:posOffset>298450</wp:posOffset>
                  </wp:positionV>
                  <wp:extent cx="918845" cy="558165"/>
                  <wp:effectExtent l="0" t="0" r="14605" b="13335"/>
                  <wp:wrapNone/>
                  <wp:docPr id="2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4"/>
                          <pic:cNvPicPr>
                            <a:picLocks noChangeAspect="1"/>
                          </pic:cNvPicPr>
                        </pic:nvPicPr>
                        <pic:blipFill>
                          <a:blip r:embed="rId30"/>
                          <a:stretch>
                            <a:fillRect/>
                          </a:stretch>
                        </pic:blipFill>
                        <pic:spPr>
                          <a:xfrm>
                            <a:off x="0" y="0"/>
                            <a:ext cx="918845" cy="558165"/>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医用环保开水柜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11</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更衣室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56544" behindDoc="0" locked="0" layoutInCell="1" allowOverlap="1">
                  <wp:simplePos x="0" y="0"/>
                  <wp:positionH relativeFrom="column">
                    <wp:posOffset>51435</wp:posOffset>
                  </wp:positionH>
                  <wp:positionV relativeFrom="paragraph">
                    <wp:posOffset>43815</wp:posOffset>
                  </wp:positionV>
                  <wp:extent cx="537210" cy="513080"/>
                  <wp:effectExtent l="0" t="0" r="15240" b="1270"/>
                  <wp:wrapNone/>
                  <wp:docPr id="7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0"/>
                          <pic:cNvPicPr>
                            <a:picLocks noChangeAspect="1"/>
                          </pic:cNvPicPr>
                        </pic:nvPicPr>
                        <pic:blipFill>
                          <a:blip r:embed="rId79"/>
                          <a:stretch>
                            <a:fillRect/>
                          </a:stretch>
                        </pic:blipFill>
                        <pic:spPr>
                          <a:xfrm>
                            <a:off x="0" y="0"/>
                            <a:ext cx="537210" cy="513080"/>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57568" behindDoc="0" locked="0" layoutInCell="1" allowOverlap="1">
                  <wp:simplePos x="0" y="0"/>
                  <wp:positionH relativeFrom="column">
                    <wp:posOffset>262255</wp:posOffset>
                  </wp:positionH>
                  <wp:positionV relativeFrom="paragraph">
                    <wp:posOffset>32385</wp:posOffset>
                  </wp:positionV>
                  <wp:extent cx="332105" cy="539750"/>
                  <wp:effectExtent l="0" t="0" r="10795" b="12700"/>
                  <wp:wrapNone/>
                  <wp:docPr id="28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6"/>
                          <pic:cNvPicPr>
                            <a:picLocks noChangeAspect="1"/>
                          </pic:cNvPicPr>
                        </pic:nvPicPr>
                        <pic:blipFill>
                          <a:blip r:embed="rId25"/>
                          <a:stretch>
                            <a:fillRect/>
                          </a:stretch>
                        </pic:blipFill>
                        <pic:spPr>
                          <a:xfrm>
                            <a:off x="0" y="0"/>
                            <a:ext cx="332105" cy="53975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 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3.9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12</w:t>
            </w:r>
          </w:p>
        </w:tc>
        <w:tc>
          <w:tcPr>
            <w:tcW w:w="104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储藏室</w:t>
            </w:r>
          </w:p>
        </w:tc>
        <w:tc>
          <w:tcPr>
            <w:tcW w:w="1182"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inline distT="0" distB="0" distL="114300" distR="114300">
                  <wp:extent cx="511810" cy="520065"/>
                  <wp:effectExtent l="0" t="0" r="2540" b="13335"/>
                  <wp:docPr id="7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1"/>
                          <pic:cNvPicPr>
                            <a:picLocks noChangeAspect="1"/>
                          </pic:cNvPicPr>
                        </pic:nvPicPr>
                        <pic:blipFill>
                          <a:blip r:embed="rId80"/>
                          <a:stretch>
                            <a:fillRect/>
                          </a:stretch>
                        </pic:blipFill>
                        <pic:spPr>
                          <a:xfrm>
                            <a:off x="0" y="0"/>
                            <a:ext cx="511810" cy="520065"/>
                          </a:xfrm>
                          <a:prstGeom prst="rect">
                            <a:avLst/>
                          </a:prstGeom>
                          <a:noFill/>
                          <a:ln>
                            <a:noFill/>
                          </a:ln>
                        </pic:spPr>
                      </pic:pic>
                    </a:graphicData>
                  </a:graphic>
                </wp:inline>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b/>
                <w:bCs/>
                <w:sz w:val="18"/>
                <w:szCs w:val="18"/>
                <w:highlight w:val="none"/>
                <w:lang w:val="en-US" w:eastAsia="zh-CN"/>
              </w:rPr>
              <w:drawing>
                <wp:anchor distT="0" distB="0" distL="114300" distR="114300" simplePos="0" relativeHeight="251844608" behindDoc="0" locked="0" layoutInCell="1" allowOverlap="1">
                  <wp:simplePos x="0" y="0"/>
                  <wp:positionH relativeFrom="column">
                    <wp:posOffset>172720</wp:posOffset>
                  </wp:positionH>
                  <wp:positionV relativeFrom="paragraph">
                    <wp:posOffset>30480</wp:posOffset>
                  </wp:positionV>
                  <wp:extent cx="489585" cy="568960"/>
                  <wp:effectExtent l="0" t="0" r="5715" b="2540"/>
                  <wp:wrapNone/>
                  <wp:docPr id="115" name="图片 1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图片1"/>
                          <pic:cNvPicPr>
                            <a:picLocks noChangeAspect="1"/>
                          </pic:cNvPicPr>
                        </pic:nvPicPr>
                        <pic:blipFill>
                          <a:blip r:embed="rId32"/>
                          <a:srcRect r="39120"/>
                          <a:stretch>
                            <a:fillRect/>
                          </a:stretch>
                        </pic:blipFill>
                        <pic:spPr>
                          <a:xfrm>
                            <a:off x="0" y="0"/>
                            <a:ext cx="489585" cy="56896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2.7</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13</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污物</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打包间</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59616" behindDoc="0" locked="0" layoutInCell="1" allowOverlap="1">
                  <wp:simplePos x="0" y="0"/>
                  <wp:positionH relativeFrom="column">
                    <wp:posOffset>88265</wp:posOffset>
                  </wp:positionH>
                  <wp:positionV relativeFrom="paragraph">
                    <wp:posOffset>38100</wp:posOffset>
                  </wp:positionV>
                  <wp:extent cx="368300" cy="679450"/>
                  <wp:effectExtent l="0" t="0" r="12700" b="6350"/>
                  <wp:wrapNone/>
                  <wp:docPr id="7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2"/>
                          <pic:cNvPicPr>
                            <a:picLocks noChangeAspect="1"/>
                          </pic:cNvPicPr>
                        </pic:nvPicPr>
                        <pic:blipFill>
                          <a:blip r:embed="rId81"/>
                          <a:srcRect l="14870" t="9493"/>
                          <a:stretch>
                            <a:fillRect/>
                          </a:stretch>
                        </pic:blipFill>
                        <pic:spPr>
                          <a:xfrm>
                            <a:off x="0" y="0"/>
                            <a:ext cx="368300" cy="679450"/>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58592" behindDoc="0" locked="0" layoutInCell="1" allowOverlap="1">
                  <wp:simplePos x="0" y="0"/>
                  <wp:positionH relativeFrom="column">
                    <wp:posOffset>-19685</wp:posOffset>
                  </wp:positionH>
                  <wp:positionV relativeFrom="paragraph">
                    <wp:posOffset>65405</wp:posOffset>
                  </wp:positionV>
                  <wp:extent cx="932180" cy="637540"/>
                  <wp:effectExtent l="0" t="0" r="1270" b="10160"/>
                  <wp:wrapNone/>
                  <wp:docPr id="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
                          <pic:cNvPicPr>
                            <a:picLocks noChangeAspect="1"/>
                          </pic:cNvPicPr>
                        </pic:nvPicPr>
                        <pic:blipFill>
                          <a:blip r:embed="rId23"/>
                          <a:srcRect t="42403" r="10085"/>
                          <a:stretch>
                            <a:fillRect/>
                          </a:stretch>
                        </pic:blipFill>
                        <pic:spPr>
                          <a:xfrm>
                            <a:off x="0" y="0"/>
                            <a:ext cx="932180" cy="637540"/>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医用环保污物柜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污物台</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拖把柜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L*600*1100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14</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无菌物品</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87375" cy="494030"/>
                  <wp:effectExtent l="0" t="0" r="3175" b="1270"/>
                  <wp:docPr id="7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3"/>
                          <pic:cNvPicPr>
                            <a:picLocks noChangeAspect="1"/>
                          </pic:cNvPicPr>
                        </pic:nvPicPr>
                        <pic:blipFill>
                          <a:blip r:embed="rId82"/>
                          <a:stretch>
                            <a:fillRect/>
                          </a:stretch>
                        </pic:blipFill>
                        <pic:spPr>
                          <a:xfrm>
                            <a:off x="0" y="0"/>
                            <a:ext cx="587375" cy="494030"/>
                          </a:xfrm>
                          <a:prstGeom prst="rect">
                            <a:avLst/>
                          </a:prstGeom>
                          <a:noFill/>
                          <a:ln>
                            <a:noFill/>
                          </a:ln>
                        </pic:spPr>
                      </pic:pic>
                    </a:graphicData>
                  </a:graphic>
                </wp:inline>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lang w:val="en-US" w:eastAsia="zh-CN"/>
              </w:rPr>
              <w:drawing>
                <wp:anchor distT="0" distB="0" distL="114300" distR="114300" simplePos="0" relativeHeight="251760640" behindDoc="0" locked="0" layoutInCell="1" allowOverlap="1">
                  <wp:simplePos x="0" y="0"/>
                  <wp:positionH relativeFrom="column">
                    <wp:posOffset>203200</wp:posOffset>
                  </wp:positionH>
                  <wp:positionV relativeFrom="paragraph">
                    <wp:posOffset>51435</wp:posOffset>
                  </wp:positionV>
                  <wp:extent cx="497840" cy="570865"/>
                  <wp:effectExtent l="0" t="0" r="16510" b="635"/>
                  <wp:wrapNone/>
                  <wp:docPr id="116" name="图片 1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图片1"/>
                          <pic:cNvPicPr>
                            <a:picLocks noChangeAspect="1"/>
                          </pic:cNvPicPr>
                        </pic:nvPicPr>
                        <pic:blipFill>
                          <a:blip r:embed="rId32"/>
                          <a:srcRect r="38325"/>
                          <a:stretch>
                            <a:fillRect/>
                          </a:stretch>
                        </pic:blipFill>
                        <pic:spPr>
                          <a:xfrm>
                            <a:off x="0" y="0"/>
                            <a:ext cx="497840" cy="570865"/>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655"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15</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男更衣</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62688" behindDoc="0" locked="0" layoutInCell="1" allowOverlap="1">
                  <wp:simplePos x="0" y="0"/>
                  <wp:positionH relativeFrom="column">
                    <wp:posOffset>76200</wp:posOffset>
                  </wp:positionH>
                  <wp:positionV relativeFrom="paragraph">
                    <wp:posOffset>38735</wp:posOffset>
                  </wp:positionV>
                  <wp:extent cx="402590" cy="570865"/>
                  <wp:effectExtent l="0" t="0" r="16510" b="635"/>
                  <wp:wrapNone/>
                  <wp:docPr id="8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4"/>
                          <pic:cNvPicPr>
                            <a:picLocks noChangeAspect="1"/>
                          </pic:cNvPicPr>
                        </pic:nvPicPr>
                        <pic:blipFill>
                          <a:blip r:embed="rId83"/>
                          <a:stretch>
                            <a:fillRect/>
                          </a:stretch>
                        </pic:blipFill>
                        <pic:spPr>
                          <a:xfrm>
                            <a:off x="0" y="0"/>
                            <a:ext cx="402590" cy="570865"/>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61664" behindDoc="0" locked="0" layoutInCell="1" allowOverlap="1">
                  <wp:simplePos x="0" y="0"/>
                  <wp:positionH relativeFrom="column">
                    <wp:posOffset>267335</wp:posOffset>
                  </wp:positionH>
                  <wp:positionV relativeFrom="paragraph">
                    <wp:posOffset>15875</wp:posOffset>
                  </wp:positionV>
                  <wp:extent cx="339725" cy="613410"/>
                  <wp:effectExtent l="0" t="0" r="3175" b="15240"/>
                  <wp:wrapNone/>
                  <wp:docPr id="28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6"/>
                          <pic:cNvPicPr>
                            <a:picLocks noChangeAspect="1"/>
                          </pic:cNvPicPr>
                        </pic:nvPicPr>
                        <pic:blipFill>
                          <a:blip r:embed="rId25"/>
                          <a:stretch>
                            <a:fillRect/>
                          </a:stretch>
                        </pic:blipFill>
                        <pic:spPr>
                          <a:xfrm>
                            <a:off x="0" y="0"/>
                            <a:ext cx="339725" cy="61341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1.8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655"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16</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女更衣</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689984" behindDoc="1" locked="0" layoutInCell="1" allowOverlap="1">
                  <wp:simplePos x="0" y="0"/>
                  <wp:positionH relativeFrom="column">
                    <wp:posOffset>-1270</wp:posOffset>
                  </wp:positionH>
                  <wp:positionV relativeFrom="paragraph">
                    <wp:posOffset>84455</wp:posOffset>
                  </wp:positionV>
                  <wp:extent cx="600075" cy="405765"/>
                  <wp:effectExtent l="0" t="0" r="9525" b="13335"/>
                  <wp:wrapNone/>
                  <wp:docPr id="8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7"/>
                          <pic:cNvPicPr>
                            <a:picLocks noChangeAspect="1"/>
                          </pic:cNvPicPr>
                        </pic:nvPicPr>
                        <pic:blipFill>
                          <a:blip r:embed="rId84"/>
                          <a:stretch>
                            <a:fillRect/>
                          </a:stretch>
                        </pic:blipFill>
                        <pic:spPr>
                          <a:xfrm>
                            <a:off x="0" y="0"/>
                            <a:ext cx="600075" cy="405765"/>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63712" behindDoc="0" locked="0" layoutInCell="1" allowOverlap="1">
                  <wp:simplePos x="0" y="0"/>
                  <wp:positionH relativeFrom="column">
                    <wp:posOffset>277495</wp:posOffset>
                  </wp:positionH>
                  <wp:positionV relativeFrom="paragraph">
                    <wp:posOffset>19050</wp:posOffset>
                  </wp:positionV>
                  <wp:extent cx="321945" cy="581660"/>
                  <wp:effectExtent l="0" t="0" r="1905" b="8890"/>
                  <wp:wrapNone/>
                  <wp:docPr id="10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6"/>
                          <pic:cNvPicPr>
                            <a:picLocks noChangeAspect="1"/>
                          </pic:cNvPicPr>
                        </pic:nvPicPr>
                        <pic:blipFill>
                          <a:blip r:embed="rId25"/>
                          <a:stretch>
                            <a:fillRect/>
                          </a:stretch>
                        </pic:blipFill>
                        <pic:spPr>
                          <a:xfrm>
                            <a:off x="0" y="0"/>
                            <a:ext cx="321945" cy="58166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 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2.7</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17</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存储间</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36416" behindDoc="0" locked="0" layoutInCell="1" allowOverlap="1">
                  <wp:simplePos x="0" y="0"/>
                  <wp:positionH relativeFrom="column">
                    <wp:posOffset>40640</wp:posOffset>
                  </wp:positionH>
                  <wp:positionV relativeFrom="paragraph">
                    <wp:posOffset>66675</wp:posOffset>
                  </wp:positionV>
                  <wp:extent cx="512445" cy="621030"/>
                  <wp:effectExtent l="0" t="0" r="1905" b="7620"/>
                  <wp:wrapNone/>
                  <wp:docPr id="8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6"/>
                          <pic:cNvPicPr>
                            <a:picLocks noChangeAspect="1"/>
                          </pic:cNvPicPr>
                        </pic:nvPicPr>
                        <pic:blipFill>
                          <a:blip r:embed="rId85"/>
                          <a:stretch>
                            <a:fillRect/>
                          </a:stretch>
                        </pic:blipFill>
                        <pic:spPr>
                          <a:xfrm>
                            <a:off x="0" y="0"/>
                            <a:ext cx="512445" cy="621030"/>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lang w:val="en-US" w:eastAsia="zh-CN"/>
              </w:rPr>
              <w:drawing>
                <wp:anchor distT="0" distB="0" distL="114300" distR="114300" simplePos="0" relativeHeight="251835392" behindDoc="0" locked="0" layoutInCell="1" allowOverlap="1">
                  <wp:simplePos x="0" y="0"/>
                  <wp:positionH relativeFrom="column">
                    <wp:posOffset>111760</wp:posOffset>
                  </wp:positionH>
                  <wp:positionV relativeFrom="paragraph">
                    <wp:posOffset>34925</wp:posOffset>
                  </wp:positionV>
                  <wp:extent cx="573405" cy="673100"/>
                  <wp:effectExtent l="0" t="0" r="17145" b="12700"/>
                  <wp:wrapNone/>
                  <wp:docPr id="119" name="图片 1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图片1"/>
                          <pic:cNvPicPr>
                            <a:picLocks noChangeAspect="1"/>
                          </pic:cNvPicPr>
                        </pic:nvPicPr>
                        <pic:blipFill>
                          <a:blip r:embed="rId32"/>
                          <a:srcRect r="37831"/>
                          <a:stretch>
                            <a:fillRect/>
                          </a:stretch>
                        </pic:blipFill>
                        <pic:spPr>
                          <a:xfrm>
                            <a:off x="0" y="0"/>
                            <a:ext cx="573405" cy="67310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18</w:t>
            </w:r>
          </w:p>
        </w:tc>
        <w:tc>
          <w:tcPr>
            <w:tcW w:w="104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开水间</w:t>
            </w:r>
          </w:p>
        </w:tc>
        <w:tc>
          <w:tcPr>
            <w:tcW w:w="1182"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64736" behindDoc="0" locked="0" layoutInCell="1" allowOverlap="1">
                  <wp:simplePos x="0" y="0"/>
                  <wp:positionH relativeFrom="column">
                    <wp:posOffset>-41910</wp:posOffset>
                  </wp:positionH>
                  <wp:positionV relativeFrom="paragraph">
                    <wp:posOffset>259080</wp:posOffset>
                  </wp:positionV>
                  <wp:extent cx="704850" cy="852170"/>
                  <wp:effectExtent l="0" t="0" r="0" b="5080"/>
                  <wp:wrapNone/>
                  <wp:docPr id="8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9"/>
                          <pic:cNvPicPr>
                            <a:picLocks noChangeAspect="1"/>
                          </pic:cNvPicPr>
                        </pic:nvPicPr>
                        <pic:blipFill>
                          <a:blip r:embed="rId69"/>
                          <a:stretch>
                            <a:fillRect/>
                          </a:stretch>
                        </pic:blipFill>
                        <pic:spPr>
                          <a:xfrm>
                            <a:off x="0" y="0"/>
                            <a:ext cx="704850" cy="852170"/>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848704" behindDoc="0" locked="0" layoutInCell="1" allowOverlap="1">
                  <wp:simplePos x="0" y="0"/>
                  <wp:positionH relativeFrom="column">
                    <wp:posOffset>0</wp:posOffset>
                  </wp:positionH>
                  <wp:positionV relativeFrom="paragraph">
                    <wp:posOffset>379095</wp:posOffset>
                  </wp:positionV>
                  <wp:extent cx="908050" cy="551180"/>
                  <wp:effectExtent l="0" t="0" r="6350" b="1270"/>
                  <wp:wrapNone/>
                  <wp:docPr id="18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4"/>
                          <pic:cNvPicPr>
                            <a:picLocks noChangeAspect="1"/>
                          </pic:cNvPicPr>
                        </pic:nvPicPr>
                        <pic:blipFill>
                          <a:blip r:embed="rId30"/>
                          <a:stretch>
                            <a:fillRect/>
                          </a:stretch>
                        </pic:blipFill>
                        <pic:spPr>
                          <a:xfrm>
                            <a:off x="0" y="0"/>
                            <a:ext cx="908050" cy="551180"/>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医用环保开水柜</w:t>
            </w:r>
          </w:p>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422" w:type="dxa"/>
            <w:gridSpan w:val="10"/>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b/>
                <w:bCs/>
                <w:kern w:val="2"/>
                <w:sz w:val="18"/>
                <w:szCs w:val="18"/>
                <w:highlight w:val="none"/>
                <w:vertAlign w:val="baseline"/>
                <w:lang w:val="en-US" w:eastAsia="zh-CN" w:bidi="ar-SA"/>
              </w:rPr>
              <w:t>三层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更衣室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65760" behindDoc="0" locked="0" layoutInCell="1" allowOverlap="1">
                  <wp:simplePos x="0" y="0"/>
                  <wp:positionH relativeFrom="column">
                    <wp:posOffset>8890</wp:posOffset>
                  </wp:positionH>
                  <wp:positionV relativeFrom="paragraph">
                    <wp:posOffset>140335</wp:posOffset>
                  </wp:positionV>
                  <wp:extent cx="614045" cy="360045"/>
                  <wp:effectExtent l="0" t="0" r="14605" b="1905"/>
                  <wp:wrapNone/>
                  <wp:docPr id="2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1"/>
                          <pic:cNvPicPr>
                            <a:picLocks noChangeAspect="1"/>
                          </pic:cNvPicPr>
                        </pic:nvPicPr>
                        <pic:blipFill>
                          <a:blip r:embed="rId86"/>
                          <a:stretch>
                            <a:fillRect/>
                          </a:stretch>
                        </pic:blipFill>
                        <pic:spPr>
                          <a:xfrm>
                            <a:off x="0" y="0"/>
                            <a:ext cx="614045" cy="360045"/>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66784" behindDoc="0" locked="0" layoutInCell="1" allowOverlap="1">
                  <wp:simplePos x="0" y="0"/>
                  <wp:positionH relativeFrom="column">
                    <wp:posOffset>313055</wp:posOffset>
                  </wp:positionH>
                  <wp:positionV relativeFrom="paragraph">
                    <wp:posOffset>15240</wp:posOffset>
                  </wp:positionV>
                  <wp:extent cx="366395" cy="661035"/>
                  <wp:effectExtent l="0" t="0" r="14605" b="5715"/>
                  <wp:wrapNone/>
                  <wp:docPr id="28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6"/>
                          <pic:cNvPicPr>
                            <a:picLocks noChangeAspect="1"/>
                          </pic:cNvPicPr>
                        </pic:nvPicPr>
                        <pic:blipFill>
                          <a:blip r:embed="rId25"/>
                          <a:stretch>
                            <a:fillRect/>
                          </a:stretch>
                        </pic:blipFill>
                        <pic:spPr>
                          <a:xfrm>
                            <a:off x="0" y="0"/>
                            <a:ext cx="366395" cy="66103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1.8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5"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库房</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11810" cy="454025"/>
                  <wp:effectExtent l="0" t="0" r="2540" b="3175"/>
                  <wp:docPr id="2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
                          <pic:cNvPicPr>
                            <a:picLocks noChangeAspect="1"/>
                          </pic:cNvPicPr>
                        </pic:nvPicPr>
                        <pic:blipFill>
                          <a:blip r:embed="rId87"/>
                          <a:stretch>
                            <a:fillRect/>
                          </a:stretch>
                        </pic:blipFill>
                        <pic:spPr>
                          <a:xfrm>
                            <a:off x="0" y="0"/>
                            <a:ext cx="511810" cy="454025"/>
                          </a:xfrm>
                          <a:prstGeom prst="rect">
                            <a:avLst/>
                          </a:prstGeom>
                          <a:noFill/>
                          <a:ln>
                            <a:noFill/>
                          </a:ln>
                        </pic:spPr>
                      </pic:pic>
                    </a:graphicData>
                  </a:graphic>
                </wp:inline>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lang w:val="en-US" w:eastAsia="zh-CN"/>
              </w:rPr>
              <w:drawing>
                <wp:anchor distT="0" distB="0" distL="114300" distR="114300" simplePos="0" relativeHeight="251768832" behindDoc="0" locked="0" layoutInCell="1" allowOverlap="1">
                  <wp:simplePos x="0" y="0"/>
                  <wp:positionH relativeFrom="column">
                    <wp:posOffset>154305</wp:posOffset>
                  </wp:positionH>
                  <wp:positionV relativeFrom="paragraph">
                    <wp:posOffset>32385</wp:posOffset>
                  </wp:positionV>
                  <wp:extent cx="538480" cy="609600"/>
                  <wp:effectExtent l="0" t="0" r="13970" b="0"/>
                  <wp:wrapNone/>
                  <wp:docPr id="123" name="图片 1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图片1"/>
                          <pic:cNvPicPr>
                            <a:picLocks noChangeAspect="1"/>
                          </pic:cNvPicPr>
                        </pic:nvPicPr>
                        <pic:blipFill>
                          <a:blip r:embed="rId32"/>
                          <a:srcRect r="37531"/>
                          <a:stretch>
                            <a:fillRect/>
                          </a:stretch>
                        </pic:blipFill>
                        <pic:spPr>
                          <a:xfrm>
                            <a:off x="0" y="0"/>
                            <a:ext cx="538480" cy="60960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w:t>
            </w:r>
          </w:p>
        </w:tc>
        <w:tc>
          <w:tcPr>
            <w:tcW w:w="1040" w:type="dxa"/>
            <w:vMerge w:val="restart"/>
            <w:vAlign w:val="center"/>
          </w:tcPr>
          <w:p>
            <w:pPr>
              <w:spacing w:line="240" w:lineRule="auto"/>
              <w:jc w:val="center"/>
              <w:rPr>
                <w:rFonts w:hint="default"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开水间</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67808" behindDoc="0" locked="0" layoutInCell="1" allowOverlap="1">
                  <wp:simplePos x="0" y="0"/>
                  <wp:positionH relativeFrom="column">
                    <wp:posOffset>-8255</wp:posOffset>
                  </wp:positionH>
                  <wp:positionV relativeFrom="paragraph">
                    <wp:posOffset>332105</wp:posOffset>
                  </wp:positionV>
                  <wp:extent cx="647700" cy="817880"/>
                  <wp:effectExtent l="0" t="0" r="0" b="1270"/>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8"/>
                          <a:stretch>
                            <a:fillRect/>
                          </a:stretch>
                        </pic:blipFill>
                        <pic:spPr>
                          <a:xfrm>
                            <a:off x="0" y="0"/>
                            <a:ext cx="647700" cy="817880"/>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47680" behindDoc="0" locked="0" layoutInCell="1" allowOverlap="1">
                  <wp:simplePos x="0" y="0"/>
                  <wp:positionH relativeFrom="column">
                    <wp:posOffset>-29210</wp:posOffset>
                  </wp:positionH>
                  <wp:positionV relativeFrom="paragraph">
                    <wp:posOffset>410845</wp:posOffset>
                  </wp:positionV>
                  <wp:extent cx="935990" cy="567690"/>
                  <wp:effectExtent l="0" t="0" r="16510" b="3810"/>
                  <wp:wrapNone/>
                  <wp:docPr id="18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4"/>
                          <pic:cNvPicPr>
                            <a:picLocks noChangeAspect="1"/>
                          </pic:cNvPicPr>
                        </pic:nvPicPr>
                        <pic:blipFill>
                          <a:blip r:embed="rId30"/>
                          <a:stretch>
                            <a:fillRect/>
                          </a:stretch>
                        </pic:blipFill>
                        <pic:spPr>
                          <a:xfrm>
                            <a:off x="0" y="0"/>
                            <a:ext cx="935990" cy="567690"/>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医用环保污物柜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2.03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2.03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医用环保拖把柜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L*600*1100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病区药房</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70880" behindDoc="0" locked="0" layoutInCell="1" allowOverlap="1">
                  <wp:simplePos x="0" y="0"/>
                  <wp:positionH relativeFrom="column">
                    <wp:posOffset>84455</wp:posOffset>
                  </wp:positionH>
                  <wp:positionV relativeFrom="paragraph">
                    <wp:posOffset>33020</wp:posOffset>
                  </wp:positionV>
                  <wp:extent cx="393700" cy="640715"/>
                  <wp:effectExtent l="0" t="0" r="6350" b="6985"/>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9"/>
                          <a:stretch>
                            <a:fillRect/>
                          </a:stretch>
                        </pic:blipFill>
                        <pic:spPr>
                          <a:xfrm>
                            <a:off x="0" y="0"/>
                            <a:ext cx="393700" cy="640715"/>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69856" behindDoc="0" locked="0" layoutInCell="1" allowOverlap="1">
                  <wp:simplePos x="0" y="0"/>
                  <wp:positionH relativeFrom="column">
                    <wp:posOffset>338455</wp:posOffset>
                  </wp:positionH>
                  <wp:positionV relativeFrom="paragraph">
                    <wp:posOffset>25400</wp:posOffset>
                  </wp:positionV>
                  <wp:extent cx="345440" cy="661670"/>
                  <wp:effectExtent l="0" t="0" r="16510" b="5080"/>
                  <wp:wrapNone/>
                  <wp:docPr id="125"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59"/>
                          <pic:cNvPicPr>
                            <a:picLocks noChangeAspect="1"/>
                          </pic:cNvPicPr>
                        </pic:nvPicPr>
                        <pic:blipFill>
                          <a:blip r:embed="rId54" r:link="rId55" cstate="print"/>
                          <a:stretch>
                            <a:fillRect/>
                          </a:stretch>
                        </pic:blipFill>
                        <pic:spPr>
                          <a:xfrm>
                            <a:off x="0" y="0"/>
                            <a:ext cx="345440" cy="66167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医用环保药架</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单面药架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L*400*2000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28.35</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5</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中药房</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72928" behindDoc="0" locked="0" layoutInCell="1" allowOverlap="1">
                  <wp:simplePos x="0" y="0"/>
                  <wp:positionH relativeFrom="column">
                    <wp:posOffset>-33020</wp:posOffset>
                  </wp:positionH>
                  <wp:positionV relativeFrom="paragraph">
                    <wp:posOffset>48895</wp:posOffset>
                  </wp:positionV>
                  <wp:extent cx="676275" cy="567055"/>
                  <wp:effectExtent l="0" t="0" r="9525" b="4445"/>
                  <wp:wrapNone/>
                  <wp:docPr id="1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
                          <pic:cNvPicPr>
                            <a:picLocks noChangeAspect="1"/>
                          </pic:cNvPicPr>
                        </pic:nvPicPr>
                        <pic:blipFill>
                          <a:blip r:embed="rId90"/>
                          <a:stretch>
                            <a:fillRect/>
                          </a:stretch>
                        </pic:blipFill>
                        <pic:spPr>
                          <a:xfrm>
                            <a:off x="0" y="0"/>
                            <a:ext cx="676275" cy="567055"/>
                          </a:xfrm>
                          <a:prstGeom prst="rect">
                            <a:avLst/>
                          </a:prstGeom>
                          <a:noFill/>
                          <a:ln>
                            <a:noFill/>
                          </a:ln>
                        </pic:spPr>
                      </pic:pic>
                    </a:graphicData>
                  </a:graphic>
                </wp:anchor>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71904" behindDoc="0" locked="0" layoutInCell="1" allowOverlap="1">
                  <wp:simplePos x="0" y="0"/>
                  <wp:positionH relativeFrom="column">
                    <wp:posOffset>342900</wp:posOffset>
                  </wp:positionH>
                  <wp:positionV relativeFrom="paragraph">
                    <wp:posOffset>16510</wp:posOffset>
                  </wp:positionV>
                  <wp:extent cx="379095" cy="725170"/>
                  <wp:effectExtent l="0" t="0" r="1905" b="17780"/>
                  <wp:wrapNone/>
                  <wp:docPr id="130"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59"/>
                          <pic:cNvPicPr>
                            <a:picLocks noChangeAspect="1"/>
                          </pic:cNvPicPr>
                        </pic:nvPicPr>
                        <pic:blipFill>
                          <a:blip r:embed="rId54" r:link="rId55" cstate="print"/>
                          <a:stretch>
                            <a:fillRect/>
                          </a:stretch>
                        </pic:blipFill>
                        <pic:spPr>
                          <a:xfrm>
                            <a:off x="0" y="0"/>
                            <a:ext cx="379095" cy="72517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医用环保药架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单面药架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L*400*2000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697152" behindDoc="0" locked="0" layoutInCell="1" allowOverlap="1">
                  <wp:simplePos x="0" y="0"/>
                  <wp:positionH relativeFrom="column">
                    <wp:posOffset>297180</wp:posOffset>
                  </wp:positionH>
                  <wp:positionV relativeFrom="paragraph">
                    <wp:posOffset>49530</wp:posOffset>
                  </wp:positionV>
                  <wp:extent cx="410845" cy="776605"/>
                  <wp:effectExtent l="0" t="0" r="8255" b="4445"/>
                  <wp:wrapNone/>
                  <wp:docPr id="249"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42"/>
                          <pic:cNvPicPr>
                            <a:picLocks noChangeAspect="1"/>
                          </pic:cNvPicPr>
                        </pic:nvPicPr>
                        <pic:blipFill>
                          <a:blip r:embed="rId56" r:link="rId55" cstate="print"/>
                          <a:stretch>
                            <a:fillRect/>
                          </a:stretch>
                        </pic:blipFill>
                        <pic:spPr>
                          <a:xfrm>
                            <a:off x="0" y="0"/>
                            <a:ext cx="410845" cy="77660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医用环保药架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双面药架</w:t>
            </w:r>
          </w:p>
        </w:tc>
        <w:tc>
          <w:tcPr>
            <w:tcW w:w="1341"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L*800*2000</w:t>
            </w:r>
          </w:p>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6</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中药库</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59968" behindDoc="0" locked="0" layoutInCell="1" allowOverlap="1">
                  <wp:simplePos x="0" y="0"/>
                  <wp:positionH relativeFrom="column">
                    <wp:posOffset>-28575</wp:posOffset>
                  </wp:positionH>
                  <wp:positionV relativeFrom="paragraph">
                    <wp:posOffset>466725</wp:posOffset>
                  </wp:positionV>
                  <wp:extent cx="675640" cy="849630"/>
                  <wp:effectExtent l="0" t="0" r="10160" b="7620"/>
                  <wp:wrapNone/>
                  <wp:docPr id="1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6"/>
                          <pic:cNvPicPr>
                            <a:picLocks noChangeAspect="1"/>
                          </pic:cNvPicPr>
                        </pic:nvPicPr>
                        <pic:blipFill>
                          <a:blip r:embed="rId91"/>
                          <a:stretch>
                            <a:fillRect/>
                          </a:stretch>
                        </pic:blipFill>
                        <pic:spPr>
                          <a:xfrm>
                            <a:off x="0" y="0"/>
                            <a:ext cx="675640" cy="849630"/>
                          </a:xfrm>
                          <a:prstGeom prst="rect">
                            <a:avLst/>
                          </a:prstGeom>
                          <a:noFill/>
                          <a:ln>
                            <a:noFill/>
                          </a:ln>
                        </pic:spPr>
                      </pic:pic>
                    </a:graphicData>
                  </a:graphic>
                </wp:anchor>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97504" behindDoc="0" locked="0" layoutInCell="1" allowOverlap="1">
                  <wp:simplePos x="0" y="0"/>
                  <wp:positionH relativeFrom="column">
                    <wp:posOffset>288290</wp:posOffset>
                  </wp:positionH>
                  <wp:positionV relativeFrom="paragraph">
                    <wp:posOffset>81915</wp:posOffset>
                  </wp:positionV>
                  <wp:extent cx="384810" cy="736600"/>
                  <wp:effectExtent l="0" t="0" r="15240" b="6350"/>
                  <wp:wrapNone/>
                  <wp:docPr id="144"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59"/>
                          <pic:cNvPicPr>
                            <a:picLocks noChangeAspect="1"/>
                          </pic:cNvPicPr>
                        </pic:nvPicPr>
                        <pic:blipFill>
                          <a:blip r:embed="rId54" r:link="rId55" cstate="print"/>
                          <a:stretch>
                            <a:fillRect/>
                          </a:stretch>
                        </pic:blipFill>
                        <pic:spPr>
                          <a:xfrm>
                            <a:off x="0" y="0"/>
                            <a:ext cx="384810" cy="73660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医用环保药架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单面药架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L*400*2000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10.3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695104" behindDoc="0" locked="0" layoutInCell="1" allowOverlap="1">
                  <wp:simplePos x="0" y="0"/>
                  <wp:positionH relativeFrom="column">
                    <wp:posOffset>250190</wp:posOffset>
                  </wp:positionH>
                  <wp:positionV relativeFrom="paragraph">
                    <wp:posOffset>48895</wp:posOffset>
                  </wp:positionV>
                  <wp:extent cx="384810" cy="726440"/>
                  <wp:effectExtent l="0" t="0" r="15240" b="16510"/>
                  <wp:wrapNone/>
                  <wp:docPr id="250"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42"/>
                          <pic:cNvPicPr>
                            <a:picLocks noChangeAspect="1"/>
                          </pic:cNvPicPr>
                        </pic:nvPicPr>
                        <pic:blipFill>
                          <a:blip r:embed="rId56" r:link="rId55" cstate="print"/>
                          <a:stretch>
                            <a:fillRect/>
                          </a:stretch>
                        </pic:blipFill>
                        <pic:spPr>
                          <a:xfrm>
                            <a:off x="0" y="0"/>
                            <a:ext cx="384810" cy="72644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医用环保药架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双面药架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L*800*2000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7</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西药库</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98528" behindDoc="0" locked="0" layoutInCell="1" allowOverlap="1">
                  <wp:simplePos x="0" y="0"/>
                  <wp:positionH relativeFrom="column">
                    <wp:posOffset>279400</wp:posOffset>
                  </wp:positionH>
                  <wp:positionV relativeFrom="paragraph">
                    <wp:posOffset>6350</wp:posOffset>
                  </wp:positionV>
                  <wp:extent cx="339725" cy="649605"/>
                  <wp:effectExtent l="0" t="0" r="3175" b="17145"/>
                  <wp:wrapNone/>
                  <wp:docPr id="148"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59"/>
                          <pic:cNvPicPr>
                            <a:picLocks noChangeAspect="1"/>
                          </pic:cNvPicPr>
                        </pic:nvPicPr>
                        <pic:blipFill>
                          <a:blip r:embed="rId54" r:link="rId55" cstate="print"/>
                          <a:stretch>
                            <a:fillRect/>
                          </a:stretch>
                        </pic:blipFill>
                        <pic:spPr>
                          <a:xfrm>
                            <a:off x="0" y="0"/>
                            <a:ext cx="339725" cy="64960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医用环保药架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单面药架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L*400*2000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8.5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696128" behindDoc="0" locked="0" layoutInCell="1" allowOverlap="1">
                  <wp:simplePos x="0" y="0"/>
                  <wp:positionH relativeFrom="column">
                    <wp:posOffset>295275</wp:posOffset>
                  </wp:positionH>
                  <wp:positionV relativeFrom="paragraph">
                    <wp:posOffset>37465</wp:posOffset>
                  </wp:positionV>
                  <wp:extent cx="337185" cy="639445"/>
                  <wp:effectExtent l="0" t="0" r="5715" b="8255"/>
                  <wp:wrapNone/>
                  <wp:docPr id="251"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42"/>
                          <pic:cNvPicPr>
                            <a:picLocks noChangeAspect="1"/>
                          </pic:cNvPicPr>
                        </pic:nvPicPr>
                        <pic:blipFill>
                          <a:blip r:embed="rId56" r:link="rId55" cstate="print"/>
                          <a:stretch>
                            <a:fillRect/>
                          </a:stretch>
                        </pic:blipFill>
                        <pic:spPr>
                          <a:xfrm>
                            <a:off x="0" y="0"/>
                            <a:ext cx="337185" cy="63944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医用环保药架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双面药架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L*800*2000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8</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污物</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打包间</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424180" cy="551180"/>
                  <wp:effectExtent l="0" t="0" r="13970" b="1270"/>
                  <wp:docPr id="1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7"/>
                          <pic:cNvPicPr>
                            <a:picLocks noChangeAspect="1"/>
                          </pic:cNvPicPr>
                        </pic:nvPicPr>
                        <pic:blipFill>
                          <a:blip r:embed="rId92"/>
                          <a:stretch>
                            <a:fillRect/>
                          </a:stretch>
                        </pic:blipFill>
                        <pic:spPr>
                          <a:xfrm>
                            <a:off x="0" y="0"/>
                            <a:ext cx="424180" cy="551180"/>
                          </a:xfrm>
                          <a:prstGeom prst="rect">
                            <a:avLst/>
                          </a:prstGeom>
                          <a:noFill/>
                          <a:ln>
                            <a:noFill/>
                          </a:ln>
                        </pic:spPr>
                      </pic:pic>
                    </a:graphicData>
                  </a:graphic>
                </wp:inline>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drawing>
                <wp:anchor distT="0" distB="0" distL="114300" distR="114300" simplePos="0" relativeHeight="251837440" behindDoc="0" locked="0" layoutInCell="1" allowOverlap="1">
                  <wp:simplePos x="0" y="0"/>
                  <wp:positionH relativeFrom="column">
                    <wp:posOffset>60960</wp:posOffset>
                  </wp:positionH>
                  <wp:positionV relativeFrom="paragraph">
                    <wp:posOffset>15240</wp:posOffset>
                  </wp:positionV>
                  <wp:extent cx="730250" cy="608965"/>
                  <wp:effectExtent l="0" t="0" r="12700" b="635"/>
                  <wp:wrapNone/>
                  <wp:docPr id="30" name="图片 30" descr="99833a34350e2cfef0393870186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9833a34350e2cfef03938701864894"/>
                          <pic:cNvPicPr>
                            <a:picLocks noChangeAspect="1"/>
                          </pic:cNvPicPr>
                        </pic:nvPicPr>
                        <pic:blipFill>
                          <a:blip r:embed="rId51"/>
                          <a:srcRect l="28322" t="20334"/>
                          <a:stretch>
                            <a:fillRect/>
                          </a:stretch>
                        </pic:blipFill>
                        <pic:spPr>
                          <a:xfrm>
                            <a:off x="0" y="0"/>
                            <a:ext cx="730250" cy="608965"/>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医用环保拖把柜</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拖把柜（304）</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L*600*1100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0.8</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9</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污物</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打包间</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00576" behindDoc="0" locked="0" layoutInCell="1" allowOverlap="1">
                  <wp:simplePos x="0" y="0"/>
                  <wp:positionH relativeFrom="column">
                    <wp:posOffset>67945</wp:posOffset>
                  </wp:positionH>
                  <wp:positionV relativeFrom="paragraph">
                    <wp:posOffset>83820</wp:posOffset>
                  </wp:positionV>
                  <wp:extent cx="393700" cy="621665"/>
                  <wp:effectExtent l="0" t="0" r="6350" b="6985"/>
                  <wp:wrapNone/>
                  <wp:docPr id="1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8"/>
                          <pic:cNvPicPr>
                            <a:picLocks noChangeAspect="1"/>
                          </pic:cNvPicPr>
                        </pic:nvPicPr>
                        <pic:blipFill>
                          <a:blip r:embed="rId93"/>
                          <a:stretch>
                            <a:fillRect/>
                          </a:stretch>
                        </pic:blipFill>
                        <pic:spPr>
                          <a:xfrm>
                            <a:off x="0" y="0"/>
                            <a:ext cx="393700" cy="621665"/>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99552" behindDoc="0" locked="0" layoutInCell="1" allowOverlap="1">
                  <wp:simplePos x="0" y="0"/>
                  <wp:positionH relativeFrom="column">
                    <wp:posOffset>-8255</wp:posOffset>
                  </wp:positionH>
                  <wp:positionV relativeFrom="paragraph">
                    <wp:posOffset>93345</wp:posOffset>
                  </wp:positionV>
                  <wp:extent cx="907415" cy="632460"/>
                  <wp:effectExtent l="0" t="0" r="6985" b="15240"/>
                  <wp:wrapNone/>
                  <wp:docPr id="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
                          <pic:cNvPicPr>
                            <a:picLocks noChangeAspect="1"/>
                          </pic:cNvPicPr>
                        </pic:nvPicPr>
                        <pic:blipFill>
                          <a:blip r:embed="rId23"/>
                          <a:srcRect t="44108" r="14380"/>
                          <a:stretch>
                            <a:fillRect/>
                          </a:stretch>
                        </pic:blipFill>
                        <pic:spPr>
                          <a:xfrm>
                            <a:off x="0" y="0"/>
                            <a:ext cx="907415" cy="632460"/>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医用环保污物柜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污物台（下）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拖把柜（304）</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L*600*1100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10</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更衣室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603885" cy="603885"/>
                  <wp:effectExtent l="0" t="0" r="5715" b="5715"/>
                  <wp:docPr id="1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9"/>
                          <pic:cNvPicPr>
                            <a:picLocks noChangeAspect="1"/>
                          </pic:cNvPicPr>
                        </pic:nvPicPr>
                        <pic:blipFill>
                          <a:blip r:embed="rId94"/>
                          <a:stretch>
                            <a:fillRect/>
                          </a:stretch>
                        </pic:blipFill>
                        <pic:spPr>
                          <a:xfrm>
                            <a:off x="0" y="0"/>
                            <a:ext cx="603885" cy="603885"/>
                          </a:xfrm>
                          <a:prstGeom prst="rect">
                            <a:avLst/>
                          </a:prstGeom>
                          <a:noFill/>
                          <a:ln>
                            <a:noFill/>
                          </a:ln>
                        </pic:spPr>
                      </pic:pic>
                    </a:graphicData>
                  </a:graphic>
                </wp:inline>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829248" behindDoc="0" locked="0" layoutInCell="1" allowOverlap="1">
                  <wp:simplePos x="0" y="0"/>
                  <wp:positionH relativeFrom="column">
                    <wp:posOffset>285750</wp:posOffset>
                  </wp:positionH>
                  <wp:positionV relativeFrom="paragraph">
                    <wp:posOffset>41275</wp:posOffset>
                  </wp:positionV>
                  <wp:extent cx="316865" cy="572135"/>
                  <wp:effectExtent l="0" t="0" r="6985" b="18415"/>
                  <wp:wrapNone/>
                  <wp:docPr id="29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6"/>
                          <pic:cNvPicPr>
                            <a:picLocks noChangeAspect="1"/>
                          </pic:cNvPicPr>
                        </pic:nvPicPr>
                        <pic:blipFill>
                          <a:blip r:embed="rId25"/>
                          <a:stretch>
                            <a:fillRect/>
                          </a:stretch>
                        </pic:blipFill>
                        <pic:spPr>
                          <a:xfrm>
                            <a:off x="0" y="0"/>
                            <a:ext cx="316865" cy="57213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1.8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11</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处置室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01600" behindDoc="0" locked="0" layoutInCell="1" allowOverlap="1">
                  <wp:simplePos x="0" y="0"/>
                  <wp:positionH relativeFrom="column">
                    <wp:posOffset>-33655</wp:posOffset>
                  </wp:positionH>
                  <wp:positionV relativeFrom="paragraph">
                    <wp:posOffset>294640</wp:posOffset>
                  </wp:positionV>
                  <wp:extent cx="671830" cy="671830"/>
                  <wp:effectExtent l="0" t="0" r="13970" b="13970"/>
                  <wp:wrapNone/>
                  <wp:docPr id="1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0"/>
                          <pic:cNvPicPr>
                            <a:picLocks noChangeAspect="1"/>
                          </pic:cNvPicPr>
                        </pic:nvPicPr>
                        <pic:blipFill>
                          <a:blip r:embed="rId95"/>
                          <a:stretch>
                            <a:fillRect/>
                          </a:stretch>
                        </pic:blipFill>
                        <pic:spPr>
                          <a:xfrm>
                            <a:off x="0" y="0"/>
                            <a:ext cx="671830" cy="671830"/>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849728" behindDoc="0" locked="0" layoutInCell="1" allowOverlap="1">
                  <wp:simplePos x="0" y="0"/>
                  <wp:positionH relativeFrom="column">
                    <wp:posOffset>-20320</wp:posOffset>
                  </wp:positionH>
                  <wp:positionV relativeFrom="paragraph">
                    <wp:posOffset>379095</wp:posOffset>
                  </wp:positionV>
                  <wp:extent cx="908050" cy="551180"/>
                  <wp:effectExtent l="0" t="0" r="6350" b="1270"/>
                  <wp:wrapNone/>
                  <wp:docPr id="19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4"/>
                          <pic:cNvPicPr>
                            <a:picLocks noChangeAspect="1"/>
                          </pic:cNvPicPr>
                        </pic:nvPicPr>
                        <pic:blipFill>
                          <a:blip r:embed="rId30"/>
                          <a:stretch>
                            <a:fillRect/>
                          </a:stretch>
                        </pic:blipFill>
                        <pic:spPr>
                          <a:xfrm>
                            <a:off x="0" y="0"/>
                            <a:ext cx="908050" cy="551180"/>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 xml:space="preserve">医用环保 </w:t>
            </w:r>
            <w:r>
              <w:rPr>
                <w:rFonts w:hint="eastAsia" w:ascii="宋体" w:hAnsi="宋体" w:cs="宋体"/>
                <w:sz w:val="18"/>
                <w:szCs w:val="18"/>
                <w:highlight w:val="none"/>
                <w:vertAlign w:val="baseline"/>
                <w:lang w:val="en-US" w:eastAsia="zh-CN"/>
              </w:rPr>
              <w:t>处置</w:t>
            </w:r>
            <w:r>
              <w:rPr>
                <w:rFonts w:hint="eastAsia" w:ascii="宋体" w:hAnsi="宋体" w:eastAsia="宋体" w:cs="宋体"/>
                <w:sz w:val="18"/>
                <w:szCs w:val="18"/>
                <w:highlight w:val="none"/>
                <w:vertAlign w:val="baseline"/>
                <w:lang w:val="en-US" w:eastAsia="zh-CN"/>
              </w:rPr>
              <w:t>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处置台〈下）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处置台台面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3.1</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12</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护士站</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后背柜</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60992" behindDoc="0" locked="0" layoutInCell="1" allowOverlap="1">
                  <wp:simplePos x="0" y="0"/>
                  <wp:positionH relativeFrom="column">
                    <wp:posOffset>19050</wp:posOffset>
                  </wp:positionH>
                  <wp:positionV relativeFrom="paragraph">
                    <wp:posOffset>48895</wp:posOffset>
                  </wp:positionV>
                  <wp:extent cx="482600" cy="1198880"/>
                  <wp:effectExtent l="0" t="0" r="12700" b="1270"/>
                  <wp:wrapNone/>
                  <wp:docPr id="1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1"/>
                          <pic:cNvPicPr>
                            <a:picLocks noChangeAspect="1"/>
                          </pic:cNvPicPr>
                        </pic:nvPicPr>
                        <pic:blipFill>
                          <a:blip r:embed="rId96"/>
                          <a:stretch>
                            <a:fillRect/>
                          </a:stretch>
                        </pic:blipFill>
                        <pic:spPr>
                          <a:xfrm>
                            <a:off x="0" y="0"/>
                            <a:ext cx="482600" cy="1198880"/>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802624" behindDoc="0" locked="0" layoutInCell="1" allowOverlap="1">
                  <wp:simplePos x="0" y="0"/>
                  <wp:positionH relativeFrom="column">
                    <wp:posOffset>-26035</wp:posOffset>
                  </wp:positionH>
                  <wp:positionV relativeFrom="paragraph">
                    <wp:posOffset>383540</wp:posOffset>
                  </wp:positionV>
                  <wp:extent cx="951230" cy="645160"/>
                  <wp:effectExtent l="0" t="0" r="1270" b="2540"/>
                  <wp:wrapNone/>
                  <wp:docPr id="161" name="图片 161"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6 处置室"/>
                          <pic:cNvPicPr>
                            <a:picLocks noChangeAspect="1"/>
                          </pic:cNvPicPr>
                        </pic:nvPicPr>
                        <pic:blipFill>
                          <a:blip r:embed="rId37"/>
                          <a:srcRect t="23147" r="17602"/>
                          <a:stretch>
                            <a:fillRect/>
                          </a:stretch>
                        </pic:blipFill>
                        <pic:spPr>
                          <a:xfrm>
                            <a:off x="0" y="0"/>
                            <a:ext cx="951230" cy="64516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医用环保治疗柜</w:t>
            </w:r>
          </w:p>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rPr>
            </w:pPr>
          </w:p>
        </w:tc>
        <w:tc>
          <w:tcPr>
            <w:tcW w:w="1595" w:type="dxa"/>
            <w:vMerge w:val="continue"/>
            <w:vAlign w:val="top"/>
          </w:tcPr>
          <w:p>
            <w:pPr>
              <w:spacing w:line="240" w:lineRule="auto"/>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1080"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2.43</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rPr>
            </w:pPr>
          </w:p>
        </w:tc>
        <w:tc>
          <w:tcPr>
            <w:tcW w:w="1595" w:type="dxa"/>
            <w:vMerge w:val="continue"/>
            <w:vAlign w:val="top"/>
          </w:tcPr>
          <w:p>
            <w:pPr>
              <w:spacing w:line="240" w:lineRule="auto"/>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pPr>
          </w:p>
        </w:tc>
        <w:tc>
          <w:tcPr>
            <w:tcW w:w="1080"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2.43</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2.43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13</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库房</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604520" cy="594360"/>
                  <wp:effectExtent l="0" t="0" r="5080" b="15240"/>
                  <wp:docPr id="1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2"/>
                          <pic:cNvPicPr>
                            <a:picLocks noChangeAspect="1"/>
                          </pic:cNvPicPr>
                        </pic:nvPicPr>
                        <pic:blipFill>
                          <a:blip r:embed="rId97"/>
                          <a:stretch>
                            <a:fillRect/>
                          </a:stretch>
                        </pic:blipFill>
                        <pic:spPr>
                          <a:xfrm>
                            <a:off x="0" y="0"/>
                            <a:ext cx="604520" cy="594360"/>
                          </a:xfrm>
                          <a:prstGeom prst="rect">
                            <a:avLst/>
                          </a:prstGeom>
                          <a:noFill/>
                          <a:ln>
                            <a:noFill/>
                          </a:ln>
                        </pic:spPr>
                      </pic:pic>
                    </a:graphicData>
                  </a:graphic>
                </wp:inline>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b/>
                <w:bCs/>
                <w:sz w:val="18"/>
                <w:szCs w:val="18"/>
                <w:highlight w:val="none"/>
                <w:lang w:val="en-US" w:eastAsia="zh-CN"/>
              </w:rPr>
              <w:drawing>
                <wp:anchor distT="0" distB="0" distL="114300" distR="114300" simplePos="0" relativeHeight="251803648" behindDoc="0" locked="0" layoutInCell="1" allowOverlap="1">
                  <wp:simplePos x="0" y="0"/>
                  <wp:positionH relativeFrom="column">
                    <wp:posOffset>152400</wp:posOffset>
                  </wp:positionH>
                  <wp:positionV relativeFrom="paragraph">
                    <wp:posOffset>33020</wp:posOffset>
                  </wp:positionV>
                  <wp:extent cx="539750" cy="610870"/>
                  <wp:effectExtent l="0" t="0" r="12700" b="17780"/>
                  <wp:wrapNone/>
                  <wp:docPr id="164" name="图片 16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图片1"/>
                          <pic:cNvPicPr>
                            <a:picLocks noChangeAspect="1"/>
                          </pic:cNvPicPr>
                        </pic:nvPicPr>
                        <pic:blipFill>
                          <a:blip r:embed="rId32"/>
                          <a:srcRect r="37531"/>
                          <a:stretch>
                            <a:fillRect/>
                          </a:stretch>
                        </pic:blipFill>
                        <pic:spPr>
                          <a:xfrm>
                            <a:off x="0" y="0"/>
                            <a:ext cx="539750" cy="61087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14</w:t>
            </w:r>
          </w:p>
        </w:tc>
        <w:tc>
          <w:tcPr>
            <w:tcW w:w="1040" w:type="dxa"/>
            <w:vMerge w:val="restart"/>
            <w:vAlign w:val="center"/>
          </w:tcPr>
          <w:p>
            <w:pPr>
              <w:spacing w:line="240" w:lineRule="auto"/>
              <w:jc w:val="center"/>
              <w:rPr>
                <w:rFonts w:hint="default"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配餐室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04672" behindDoc="0" locked="0" layoutInCell="1" allowOverlap="1">
                  <wp:simplePos x="0" y="0"/>
                  <wp:positionH relativeFrom="column">
                    <wp:posOffset>-19050</wp:posOffset>
                  </wp:positionH>
                  <wp:positionV relativeFrom="paragraph">
                    <wp:posOffset>162560</wp:posOffset>
                  </wp:positionV>
                  <wp:extent cx="646430" cy="1029335"/>
                  <wp:effectExtent l="0" t="0" r="1270" b="18415"/>
                  <wp:wrapNone/>
                  <wp:docPr id="1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
                          <pic:cNvPicPr>
                            <a:picLocks noChangeAspect="1"/>
                          </pic:cNvPicPr>
                        </pic:nvPicPr>
                        <pic:blipFill>
                          <a:blip r:embed="rId98"/>
                          <a:stretch>
                            <a:fillRect/>
                          </a:stretch>
                        </pic:blipFill>
                        <pic:spPr>
                          <a:xfrm>
                            <a:off x="0" y="0"/>
                            <a:ext cx="646430" cy="1029335"/>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医用环保配餐柜</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05696" behindDoc="0" locked="0" layoutInCell="1" allowOverlap="1">
                  <wp:simplePos x="0" y="0"/>
                  <wp:positionH relativeFrom="column">
                    <wp:posOffset>-1024255</wp:posOffset>
                  </wp:positionH>
                  <wp:positionV relativeFrom="paragraph">
                    <wp:posOffset>71755</wp:posOffset>
                  </wp:positionV>
                  <wp:extent cx="933450" cy="567055"/>
                  <wp:effectExtent l="0" t="0" r="0" b="4445"/>
                  <wp:wrapNone/>
                  <wp:docPr id="16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4"/>
                          <pic:cNvPicPr>
                            <a:picLocks noChangeAspect="1"/>
                          </pic:cNvPicPr>
                        </pic:nvPicPr>
                        <pic:blipFill>
                          <a:blip r:embed="rId30"/>
                          <a:stretch>
                            <a:fillRect/>
                          </a:stretch>
                        </pic:blipFill>
                        <pic:spPr>
                          <a:xfrm>
                            <a:off x="0" y="0"/>
                            <a:ext cx="933450" cy="567055"/>
                          </a:xfrm>
                          <a:prstGeom prst="rect">
                            <a:avLst/>
                          </a:prstGeom>
                          <a:noFill/>
                          <a:ln>
                            <a:noFill/>
                          </a:ln>
                        </pic:spPr>
                      </pic:pic>
                    </a:graphicData>
                  </a:graphic>
                </wp:anchor>
              </w:drawing>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配餐台（下）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配餐台台面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15</w:t>
            </w:r>
          </w:p>
        </w:tc>
        <w:tc>
          <w:tcPr>
            <w:tcW w:w="104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病房</w:t>
            </w:r>
          </w:p>
        </w:tc>
        <w:tc>
          <w:tcPr>
            <w:tcW w:w="1182"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44256" behindDoc="0" locked="0" layoutInCell="1" allowOverlap="1">
                  <wp:simplePos x="0" y="0"/>
                  <wp:positionH relativeFrom="column">
                    <wp:posOffset>118110</wp:posOffset>
                  </wp:positionH>
                  <wp:positionV relativeFrom="paragraph">
                    <wp:posOffset>46355</wp:posOffset>
                  </wp:positionV>
                  <wp:extent cx="359410" cy="727710"/>
                  <wp:effectExtent l="0" t="0" r="2540" b="15240"/>
                  <wp:wrapNone/>
                  <wp:docPr id="25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6"/>
                          <pic:cNvPicPr>
                            <a:picLocks noChangeAspect="1"/>
                          </pic:cNvPicPr>
                        </pic:nvPicPr>
                        <pic:blipFill>
                          <a:blip r:embed="rId99"/>
                          <a:stretch>
                            <a:fillRect/>
                          </a:stretch>
                        </pic:blipFill>
                        <pic:spPr>
                          <a:xfrm>
                            <a:off x="0" y="0"/>
                            <a:ext cx="359410" cy="727710"/>
                          </a:xfrm>
                          <a:prstGeom prst="rect">
                            <a:avLst/>
                          </a:prstGeom>
                          <a:noFill/>
                          <a:ln>
                            <a:noFill/>
                          </a:ln>
                        </pic:spPr>
                      </pic:pic>
                    </a:graphicData>
                  </a:graphic>
                </wp:anchor>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drawing>
                <wp:anchor distT="0" distB="0" distL="114300" distR="114300" simplePos="0" relativeHeight="251743232" behindDoc="0" locked="0" layoutInCell="1" allowOverlap="1">
                  <wp:simplePos x="0" y="0"/>
                  <wp:positionH relativeFrom="column">
                    <wp:posOffset>144145</wp:posOffset>
                  </wp:positionH>
                  <wp:positionV relativeFrom="paragraph">
                    <wp:posOffset>31750</wp:posOffset>
                  </wp:positionV>
                  <wp:extent cx="653415" cy="745490"/>
                  <wp:effectExtent l="0" t="0" r="13335" b="16510"/>
                  <wp:wrapNone/>
                  <wp:docPr id="252" name="图片 252" descr="e5beb3a418791159d1253f0e2995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e5beb3a418791159d1253f0e29953a0"/>
                          <pic:cNvPicPr>
                            <a:picLocks noChangeAspect="1"/>
                          </pic:cNvPicPr>
                        </pic:nvPicPr>
                        <pic:blipFill>
                          <a:blip r:embed="rId100"/>
                          <a:srcRect l="5046" t="10826" r="13022" b="19007"/>
                          <a:stretch>
                            <a:fillRect/>
                          </a:stretch>
                        </pic:blipFill>
                        <pic:spPr>
                          <a:xfrm>
                            <a:off x="0" y="0"/>
                            <a:ext cx="653415" cy="74549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入墙更衣柜</w:t>
            </w:r>
          </w:p>
        </w:tc>
        <w:tc>
          <w:tcPr>
            <w:tcW w:w="1341" w:type="dxa"/>
            <w:vAlign w:val="center"/>
          </w:tcPr>
          <w:p>
            <w:pPr>
              <w:pStyle w:val="2"/>
              <w:spacing w:line="240" w:lineRule="auto"/>
              <w:ind w:left="0" w:leftChars="0" w:firstLine="0" w:firstLineChars="0"/>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L*700*2530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64.8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Align w:val="center"/>
          </w:tcPr>
          <w:p>
            <w:pPr>
              <w:spacing w:line="240" w:lineRule="auto"/>
              <w:jc w:val="center"/>
              <w:rPr>
                <w:rFonts w:hint="eastAsia" w:ascii="宋体" w:hAnsi="宋体" w:eastAsia="宋体" w:cs="宋体"/>
                <w:b/>
                <w:bCs/>
                <w:kern w:val="2"/>
                <w:sz w:val="18"/>
                <w:szCs w:val="18"/>
                <w:highlight w:val="none"/>
                <w:vertAlign w:val="baseline"/>
                <w:lang w:val="en-US" w:eastAsia="zh-CN" w:bidi="ar-SA"/>
              </w:rPr>
            </w:pPr>
          </w:p>
        </w:tc>
        <w:tc>
          <w:tcPr>
            <w:tcW w:w="8394" w:type="dxa"/>
            <w:gridSpan w:val="7"/>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b/>
                <w:bCs/>
                <w:kern w:val="2"/>
                <w:sz w:val="18"/>
                <w:szCs w:val="18"/>
                <w:highlight w:val="none"/>
                <w:vertAlign w:val="baseline"/>
                <w:lang w:val="en-US" w:eastAsia="zh-CN" w:bidi="ar-SA"/>
              </w:rPr>
              <w:t>四层</w:t>
            </w:r>
          </w:p>
        </w:tc>
        <w:tc>
          <w:tcPr>
            <w:tcW w:w="680"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p>
        </w:tc>
        <w:tc>
          <w:tcPr>
            <w:tcW w:w="693"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配餐</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开水间</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42208" behindDoc="0" locked="0" layoutInCell="1" allowOverlap="1">
                  <wp:simplePos x="0" y="0"/>
                  <wp:positionH relativeFrom="column">
                    <wp:posOffset>0</wp:posOffset>
                  </wp:positionH>
                  <wp:positionV relativeFrom="paragraph">
                    <wp:posOffset>289560</wp:posOffset>
                  </wp:positionV>
                  <wp:extent cx="604520" cy="643255"/>
                  <wp:effectExtent l="0" t="0" r="5080" b="4445"/>
                  <wp:wrapNone/>
                  <wp:docPr id="1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5"/>
                          <pic:cNvPicPr>
                            <a:picLocks noChangeAspect="1"/>
                          </pic:cNvPicPr>
                        </pic:nvPicPr>
                        <pic:blipFill>
                          <a:blip r:embed="rId101"/>
                          <a:stretch>
                            <a:fillRect/>
                          </a:stretch>
                        </pic:blipFill>
                        <pic:spPr>
                          <a:xfrm>
                            <a:off x="0" y="0"/>
                            <a:ext cx="604520" cy="643255"/>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41184" behindDoc="0" locked="0" layoutInCell="1" allowOverlap="1">
                  <wp:simplePos x="0" y="0"/>
                  <wp:positionH relativeFrom="column">
                    <wp:posOffset>-12065</wp:posOffset>
                  </wp:positionH>
                  <wp:positionV relativeFrom="paragraph">
                    <wp:posOffset>348615</wp:posOffset>
                  </wp:positionV>
                  <wp:extent cx="912495" cy="553720"/>
                  <wp:effectExtent l="0" t="0" r="1905" b="17780"/>
                  <wp:wrapNone/>
                  <wp:docPr id="1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4"/>
                          <pic:cNvPicPr>
                            <a:picLocks noChangeAspect="1"/>
                          </pic:cNvPicPr>
                        </pic:nvPicPr>
                        <pic:blipFill>
                          <a:blip r:embed="rId30"/>
                          <a:stretch>
                            <a:fillRect/>
                          </a:stretch>
                        </pic:blipFill>
                        <pic:spPr>
                          <a:xfrm>
                            <a:off x="0" y="0"/>
                            <a:ext cx="912495" cy="553720"/>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医用环保开水柜</w:t>
            </w:r>
          </w:p>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vAlign w:val="top"/>
          </w:tcPr>
          <w:p>
            <w:pPr>
              <w:spacing w:line="240" w:lineRule="auto"/>
              <w:rPr>
                <w:rFonts w:hint="eastAsia" w:ascii="宋体" w:hAnsi="宋体" w:eastAsia="宋体" w:cs="宋体"/>
                <w:kern w:val="2"/>
                <w:sz w:val="18"/>
                <w:szCs w:val="18"/>
                <w:highlight w:val="none"/>
                <w:vertAlign w:val="baseline"/>
                <w:lang w:val="en-US" w:eastAsia="zh-CN" w:bidi="ar-SA"/>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被服仓库</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08768" behindDoc="0" locked="0" layoutInCell="1" allowOverlap="1">
                  <wp:simplePos x="0" y="0"/>
                  <wp:positionH relativeFrom="column">
                    <wp:posOffset>144145</wp:posOffset>
                  </wp:positionH>
                  <wp:positionV relativeFrom="paragraph">
                    <wp:posOffset>11430</wp:posOffset>
                  </wp:positionV>
                  <wp:extent cx="367030" cy="573405"/>
                  <wp:effectExtent l="0" t="0" r="13970" b="17145"/>
                  <wp:wrapNone/>
                  <wp:docPr id="17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6"/>
                          <pic:cNvPicPr>
                            <a:picLocks noChangeAspect="1"/>
                          </pic:cNvPicPr>
                        </pic:nvPicPr>
                        <pic:blipFill>
                          <a:blip r:embed="rId102"/>
                          <a:stretch>
                            <a:fillRect/>
                          </a:stretch>
                        </pic:blipFill>
                        <pic:spPr>
                          <a:xfrm>
                            <a:off x="0" y="0"/>
                            <a:ext cx="367030" cy="573405"/>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b/>
                <w:bCs/>
                <w:sz w:val="18"/>
                <w:szCs w:val="18"/>
                <w:highlight w:val="none"/>
                <w:lang w:val="en-US" w:eastAsia="zh-CN"/>
              </w:rPr>
              <w:drawing>
                <wp:anchor distT="0" distB="0" distL="114300" distR="114300" simplePos="0" relativeHeight="251806720" behindDoc="0" locked="0" layoutInCell="1" allowOverlap="1">
                  <wp:simplePos x="0" y="0"/>
                  <wp:positionH relativeFrom="column">
                    <wp:posOffset>160655</wp:posOffset>
                  </wp:positionH>
                  <wp:positionV relativeFrom="paragraph">
                    <wp:posOffset>22860</wp:posOffset>
                  </wp:positionV>
                  <wp:extent cx="514350" cy="581660"/>
                  <wp:effectExtent l="0" t="0" r="0" b="8890"/>
                  <wp:wrapNone/>
                  <wp:docPr id="175" name="图片 17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图片1"/>
                          <pic:cNvPicPr>
                            <a:picLocks noChangeAspect="1"/>
                          </pic:cNvPicPr>
                        </pic:nvPicPr>
                        <pic:blipFill>
                          <a:blip r:embed="rId32"/>
                          <a:srcRect r="37469"/>
                          <a:stretch>
                            <a:fillRect/>
                          </a:stretch>
                        </pic:blipFill>
                        <pic:spPr>
                          <a:xfrm>
                            <a:off x="0" y="0"/>
                            <a:ext cx="514350" cy="58166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4.75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耗材仓库</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02285" cy="596900"/>
                  <wp:effectExtent l="0" t="0" r="12065" b="12700"/>
                  <wp:docPr id="17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
                          <pic:cNvPicPr>
                            <a:picLocks noChangeAspect="1"/>
                          </pic:cNvPicPr>
                        </pic:nvPicPr>
                        <pic:blipFill>
                          <a:blip r:embed="rId103"/>
                          <a:stretch>
                            <a:fillRect/>
                          </a:stretch>
                        </pic:blipFill>
                        <pic:spPr>
                          <a:xfrm>
                            <a:off x="0" y="0"/>
                            <a:ext cx="502285" cy="596900"/>
                          </a:xfrm>
                          <a:prstGeom prst="rect">
                            <a:avLst/>
                          </a:prstGeom>
                          <a:noFill/>
                          <a:ln>
                            <a:noFill/>
                          </a:ln>
                        </pic:spPr>
                      </pic:pic>
                    </a:graphicData>
                  </a:graphic>
                </wp:inline>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b/>
                <w:bCs/>
                <w:sz w:val="18"/>
                <w:szCs w:val="18"/>
                <w:highlight w:val="none"/>
                <w:lang w:val="en-US" w:eastAsia="zh-CN"/>
              </w:rPr>
              <w:drawing>
                <wp:anchor distT="0" distB="0" distL="114300" distR="114300" simplePos="0" relativeHeight="251807744" behindDoc="0" locked="0" layoutInCell="1" allowOverlap="1">
                  <wp:simplePos x="0" y="0"/>
                  <wp:positionH relativeFrom="column">
                    <wp:posOffset>164465</wp:posOffset>
                  </wp:positionH>
                  <wp:positionV relativeFrom="paragraph">
                    <wp:posOffset>20320</wp:posOffset>
                  </wp:positionV>
                  <wp:extent cx="506095" cy="572770"/>
                  <wp:effectExtent l="0" t="0" r="8255" b="17780"/>
                  <wp:wrapNone/>
                  <wp:docPr id="177" name="图片 17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图片1"/>
                          <pic:cNvPicPr>
                            <a:picLocks noChangeAspect="1"/>
                          </pic:cNvPicPr>
                        </pic:nvPicPr>
                        <pic:blipFill>
                          <a:blip r:embed="rId32"/>
                          <a:srcRect r="37531"/>
                          <a:stretch>
                            <a:fillRect/>
                          </a:stretch>
                        </pic:blipFill>
                        <pic:spPr>
                          <a:xfrm>
                            <a:off x="0" y="0"/>
                            <a:ext cx="506095" cy="57277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医用环保货架/储物柜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6.9</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换药室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688960" behindDoc="0" locked="0" layoutInCell="1" allowOverlap="1">
                  <wp:simplePos x="0" y="0"/>
                  <wp:positionH relativeFrom="column">
                    <wp:posOffset>-5715</wp:posOffset>
                  </wp:positionH>
                  <wp:positionV relativeFrom="paragraph">
                    <wp:posOffset>368300</wp:posOffset>
                  </wp:positionV>
                  <wp:extent cx="654685" cy="1022985"/>
                  <wp:effectExtent l="0" t="0" r="12065" b="5715"/>
                  <wp:wrapNone/>
                  <wp:docPr id="17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8"/>
                          <pic:cNvPicPr>
                            <a:picLocks noChangeAspect="1"/>
                          </pic:cNvPicPr>
                        </pic:nvPicPr>
                        <pic:blipFill>
                          <a:blip r:embed="rId104"/>
                          <a:stretch>
                            <a:fillRect/>
                          </a:stretch>
                        </pic:blipFill>
                        <pic:spPr>
                          <a:xfrm>
                            <a:off x="0" y="0"/>
                            <a:ext cx="654685" cy="1022985"/>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809792" behindDoc="0" locked="0" layoutInCell="1" allowOverlap="1">
                  <wp:simplePos x="0" y="0"/>
                  <wp:positionH relativeFrom="column">
                    <wp:posOffset>-26670</wp:posOffset>
                  </wp:positionH>
                  <wp:positionV relativeFrom="paragraph">
                    <wp:posOffset>583565</wp:posOffset>
                  </wp:positionV>
                  <wp:extent cx="951230" cy="645160"/>
                  <wp:effectExtent l="0" t="0" r="1270" b="2540"/>
                  <wp:wrapNone/>
                  <wp:docPr id="108" name="图片 108"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6 处置室"/>
                          <pic:cNvPicPr>
                            <a:picLocks noChangeAspect="1"/>
                          </pic:cNvPicPr>
                        </pic:nvPicPr>
                        <pic:blipFill>
                          <a:blip r:embed="rId37"/>
                          <a:srcRect t="23147" r="17602"/>
                          <a:stretch>
                            <a:fillRect/>
                          </a:stretch>
                        </pic:blipFill>
                        <pic:spPr>
                          <a:xfrm>
                            <a:off x="0" y="0"/>
                            <a:ext cx="951230" cy="64516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换药柜</w:t>
            </w:r>
          </w:p>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1.86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1.86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换药台（下）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1.86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换药台台面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1.86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5</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值班室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650875" cy="640715"/>
                  <wp:effectExtent l="0" t="0" r="15875" b="6985"/>
                  <wp:wrapNone/>
                  <wp:docPr id="18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9"/>
                          <pic:cNvPicPr>
                            <a:picLocks noChangeAspect="1"/>
                          </pic:cNvPicPr>
                        </pic:nvPicPr>
                        <pic:blipFill>
                          <a:blip r:embed="rId105"/>
                          <a:stretch>
                            <a:fillRect/>
                          </a:stretch>
                        </pic:blipFill>
                        <pic:spPr>
                          <a:xfrm>
                            <a:off x="0" y="0"/>
                            <a:ext cx="650875" cy="640715"/>
                          </a:xfrm>
                          <a:prstGeom prst="rect">
                            <a:avLst/>
                          </a:prstGeom>
                          <a:noFill/>
                          <a:ln>
                            <a:noFill/>
                          </a:ln>
                        </pic:spPr>
                      </pic:pic>
                    </a:graphicData>
                  </a:graphic>
                </wp:anchor>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810816" behindDoc="0" locked="0" layoutInCell="1" allowOverlap="1">
                  <wp:simplePos x="0" y="0"/>
                  <wp:positionH relativeFrom="column">
                    <wp:posOffset>261620</wp:posOffset>
                  </wp:positionH>
                  <wp:positionV relativeFrom="paragraph">
                    <wp:posOffset>21590</wp:posOffset>
                  </wp:positionV>
                  <wp:extent cx="347980" cy="628650"/>
                  <wp:effectExtent l="0" t="0" r="13970" b="0"/>
                  <wp:wrapNone/>
                  <wp:docPr id="29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6"/>
                          <pic:cNvPicPr>
                            <a:picLocks noChangeAspect="1"/>
                          </pic:cNvPicPr>
                        </pic:nvPicPr>
                        <pic:blipFill>
                          <a:blip r:embed="rId25"/>
                          <a:stretch>
                            <a:fillRect/>
                          </a:stretch>
                        </pic:blipFill>
                        <pic:spPr>
                          <a:xfrm>
                            <a:off x="0" y="0"/>
                            <a:ext cx="347980" cy="62865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0.9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cs="宋体"/>
                <w:kern w:val="2"/>
                <w:sz w:val="18"/>
                <w:szCs w:val="18"/>
                <w:highlight w:val="none"/>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655" w:type="dxa"/>
            <w:vAlign w:val="center"/>
          </w:tcPr>
          <w:p>
            <w:pPr>
              <w:bidi w:val="0"/>
              <w:spacing w:line="240" w:lineRule="auto"/>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6</w:t>
            </w:r>
          </w:p>
        </w:tc>
        <w:tc>
          <w:tcPr>
            <w:tcW w:w="1040" w:type="dxa"/>
            <w:vAlign w:val="center"/>
          </w:tcPr>
          <w:p>
            <w:pPr>
              <w:bidi w:val="0"/>
              <w:spacing w:line="240" w:lineRule="auto"/>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更衣室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12864" behindDoc="0" locked="0" layoutInCell="1" allowOverlap="1">
                  <wp:simplePos x="0" y="0"/>
                  <wp:positionH relativeFrom="column">
                    <wp:posOffset>25400</wp:posOffset>
                  </wp:positionH>
                  <wp:positionV relativeFrom="paragraph">
                    <wp:posOffset>27305</wp:posOffset>
                  </wp:positionV>
                  <wp:extent cx="494030" cy="614045"/>
                  <wp:effectExtent l="0" t="0" r="1270" b="14605"/>
                  <wp:wrapNone/>
                  <wp:docPr id="18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0"/>
                          <pic:cNvPicPr>
                            <a:picLocks noChangeAspect="1"/>
                          </pic:cNvPicPr>
                        </pic:nvPicPr>
                        <pic:blipFill>
                          <a:blip r:embed="rId106"/>
                          <a:stretch>
                            <a:fillRect/>
                          </a:stretch>
                        </pic:blipFill>
                        <pic:spPr>
                          <a:xfrm>
                            <a:off x="0" y="0"/>
                            <a:ext cx="494030" cy="614045"/>
                          </a:xfrm>
                          <a:prstGeom prst="rect">
                            <a:avLst/>
                          </a:prstGeom>
                          <a:noFill/>
                          <a:ln>
                            <a:noFill/>
                          </a:ln>
                        </pic:spPr>
                      </pic:pic>
                    </a:graphicData>
                  </a:graphic>
                </wp:anchor>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811840" behindDoc="0" locked="0" layoutInCell="1" allowOverlap="1">
                  <wp:simplePos x="0" y="0"/>
                  <wp:positionH relativeFrom="column">
                    <wp:posOffset>255270</wp:posOffset>
                  </wp:positionH>
                  <wp:positionV relativeFrom="paragraph">
                    <wp:posOffset>15240</wp:posOffset>
                  </wp:positionV>
                  <wp:extent cx="350520" cy="632460"/>
                  <wp:effectExtent l="0" t="0" r="11430" b="15240"/>
                  <wp:wrapNone/>
                  <wp:docPr id="29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6"/>
                          <pic:cNvPicPr>
                            <a:picLocks noChangeAspect="1"/>
                          </pic:cNvPicPr>
                        </pic:nvPicPr>
                        <pic:blipFill>
                          <a:blip r:embed="rId25"/>
                          <a:stretch>
                            <a:fillRect/>
                          </a:stretch>
                        </pic:blipFill>
                        <pic:spPr>
                          <a:xfrm>
                            <a:off x="0" y="0"/>
                            <a:ext cx="350520" cy="63246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3.45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7</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治疗室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13888" behindDoc="0" locked="0" layoutInCell="1" allowOverlap="1">
                  <wp:simplePos x="0" y="0"/>
                  <wp:positionH relativeFrom="column">
                    <wp:posOffset>-38735</wp:posOffset>
                  </wp:positionH>
                  <wp:positionV relativeFrom="paragraph">
                    <wp:posOffset>875030</wp:posOffset>
                  </wp:positionV>
                  <wp:extent cx="675005" cy="947420"/>
                  <wp:effectExtent l="0" t="0" r="10795" b="5080"/>
                  <wp:wrapNone/>
                  <wp:docPr id="18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1"/>
                          <pic:cNvPicPr>
                            <a:picLocks noChangeAspect="1"/>
                          </pic:cNvPicPr>
                        </pic:nvPicPr>
                        <pic:blipFill>
                          <a:blip r:embed="rId107"/>
                          <a:stretch>
                            <a:fillRect/>
                          </a:stretch>
                        </pic:blipFill>
                        <pic:spPr>
                          <a:xfrm>
                            <a:off x="0" y="0"/>
                            <a:ext cx="675005" cy="947420"/>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689984" behindDoc="0" locked="0" layoutInCell="1" allowOverlap="1">
                  <wp:simplePos x="0" y="0"/>
                  <wp:positionH relativeFrom="column">
                    <wp:posOffset>-7620</wp:posOffset>
                  </wp:positionH>
                  <wp:positionV relativeFrom="paragraph">
                    <wp:posOffset>1024890</wp:posOffset>
                  </wp:positionV>
                  <wp:extent cx="908685" cy="586740"/>
                  <wp:effectExtent l="0" t="0" r="5715" b="3810"/>
                  <wp:wrapNone/>
                  <wp:docPr id="188" name="图片 188"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6 处置室"/>
                          <pic:cNvPicPr>
                            <a:picLocks noChangeAspect="1"/>
                          </pic:cNvPicPr>
                        </pic:nvPicPr>
                        <pic:blipFill>
                          <a:blip r:embed="rId37"/>
                          <a:srcRect t="25492" r="16117"/>
                          <a:stretch>
                            <a:fillRect/>
                          </a:stretch>
                        </pic:blipFill>
                        <pic:spPr>
                          <a:xfrm>
                            <a:off x="0" y="0"/>
                            <a:ext cx="908685" cy="58674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医用环保治疗柜</w:t>
            </w:r>
          </w:p>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壁柜（上）跌落式上柜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0.8</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无菌物品壁柜（上）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4.25</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5.05</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5.15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5.15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冰箱柜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0.8</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大输液存取柜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520*650*2000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8</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污物</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打包间</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14912" behindDoc="0" locked="0" layoutInCell="1" allowOverlap="1">
                  <wp:simplePos x="0" y="0"/>
                  <wp:positionH relativeFrom="column">
                    <wp:posOffset>93345</wp:posOffset>
                  </wp:positionH>
                  <wp:positionV relativeFrom="paragraph">
                    <wp:posOffset>20320</wp:posOffset>
                  </wp:positionV>
                  <wp:extent cx="426720" cy="560705"/>
                  <wp:effectExtent l="0" t="0" r="11430" b="10795"/>
                  <wp:wrapNone/>
                  <wp:docPr id="18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2"/>
                          <pic:cNvPicPr>
                            <a:picLocks noChangeAspect="1"/>
                          </pic:cNvPicPr>
                        </pic:nvPicPr>
                        <pic:blipFill>
                          <a:blip r:embed="rId108"/>
                          <a:stretch>
                            <a:fillRect/>
                          </a:stretch>
                        </pic:blipFill>
                        <pic:spPr>
                          <a:xfrm>
                            <a:off x="0" y="0"/>
                            <a:ext cx="426720" cy="560705"/>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39136" behindDoc="0" locked="0" layoutInCell="1" allowOverlap="1">
                  <wp:simplePos x="0" y="0"/>
                  <wp:positionH relativeFrom="column">
                    <wp:posOffset>8255</wp:posOffset>
                  </wp:positionH>
                  <wp:positionV relativeFrom="paragraph">
                    <wp:posOffset>27305</wp:posOffset>
                  </wp:positionV>
                  <wp:extent cx="819150" cy="565785"/>
                  <wp:effectExtent l="0" t="0" r="0" b="5715"/>
                  <wp:wrapNone/>
                  <wp:docPr id="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
                          <pic:cNvPicPr>
                            <a:picLocks noChangeAspect="1"/>
                          </pic:cNvPicPr>
                        </pic:nvPicPr>
                        <pic:blipFill>
                          <a:blip r:embed="rId23"/>
                          <a:srcRect t="41848" r="9963"/>
                          <a:stretch>
                            <a:fillRect/>
                          </a:stretch>
                        </pic:blipFill>
                        <pic:spPr>
                          <a:xfrm>
                            <a:off x="0" y="0"/>
                            <a:ext cx="819150" cy="565785"/>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医用环保污物柜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污物台〈下）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污物台台面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3.6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9</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护士</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值班室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533400" cy="618490"/>
                  <wp:effectExtent l="0" t="0" r="0" b="10160"/>
                  <wp:docPr id="19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3"/>
                          <pic:cNvPicPr>
                            <a:picLocks noChangeAspect="1"/>
                          </pic:cNvPicPr>
                        </pic:nvPicPr>
                        <pic:blipFill>
                          <a:blip r:embed="rId109"/>
                          <a:stretch>
                            <a:fillRect/>
                          </a:stretch>
                        </pic:blipFill>
                        <pic:spPr>
                          <a:xfrm>
                            <a:off x="0" y="0"/>
                            <a:ext cx="533400" cy="618490"/>
                          </a:xfrm>
                          <a:prstGeom prst="rect">
                            <a:avLst/>
                          </a:prstGeom>
                          <a:noFill/>
                          <a:ln>
                            <a:noFill/>
                          </a:ln>
                        </pic:spPr>
                      </pic:pic>
                    </a:graphicData>
                  </a:graphic>
                </wp:inline>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40160" behindDoc="0" locked="0" layoutInCell="1" allowOverlap="1">
                  <wp:simplePos x="0" y="0"/>
                  <wp:positionH relativeFrom="column">
                    <wp:posOffset>254000</wp:posOffset>
                  </wp:positionH>
                  <wp:positionV relativeFrom="paragraph">
                    <wp:posOffset>15240</wp:posOffset>
                  </wp:positionV>
                  <wp:extent cx="332740" cy="600710"/>
                  <wp:effectExtent l="0" t="0" r="10160" b="8890"/>
                  <wp:wrapNone/>
                  <wp:docPr id="29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6"/>
                          <pic:cNvPicPr>
                            <a:picLocks noChangeAspect="1"/>
                          </pic:cNvPicPr>
                        </pic:nvPicPr>
                        <pic:blipFill>
                          <a:blip r:embed="rId25"/>
                          <a:stretch>
                            <a:fillRect/>
                          </a:stretch>
                        </pic:blipFill>
                        <pic:spPr>
                          <a:xfrm>
                            <a:off x="0" y="0"/>
                            <a:ext cx="332740" cy="60071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2.5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10</w:t>
            </w:r>
          </w:p>
        </w:tc>
        <w:tc>
          <w:tcPr>
            <w:tcW w:w="104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病房</w:t>
            </w:r>
          </w:p>
        </w:tc>
        <w:tc>
          <w:tcPr>
            <w:tcW w:w="1182"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38112" behindDoc="0" locked="0" layoutInCell="1" allowOverlap="1">
                  <wp:simplePos x="0" y="0"/>
                  <wp:positionH relativeFrom="column">
                    <wp:posOffset>143510</wp:posOffset>
                  </wp:positionH>
                  <wp:positionV relativeFrom="paragraph">
                    <wp:posOffset>22860</wp:posOffset>
                  </wp:positionV>
                  <wp:extent cx="356870" cy="683895"/>
                  <wp:effectExtent l="0" t="0" r="5080" b="1905"/>
                  <wp:wrapNone/>
                  <wp:docPr id="1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8"/>
                          <pic:cNvPicPr>
                            <a:picLocks noChangeAspect="1"/>
                          </pic:cNvPicPr>
                        </pic:nvPicPr>
                        <pic:blipFill>
                          <a:blip r:embed="rId110"/>
                          <a:stretch>
                            <a:fillRect/>
                          </a:stretch>
                        </pic:blipFill>
                        <pic:spPr>
                          <a:xfrm>
                            <a:off x="0" y="0"/>
                            <a:ext cx="356870" cy="683895"/>
                          </a:xfrm>
                          <a:prstGeom prst="rect">
                            <a:avLst/>
                          </a:prstGeom>
                          <a:noFill/>
                          <a:ln>
                            <a:noFill/>
                          </a:ln>
                        </pic:spPr>
                      </pic:pic>
                    </a:graphicData>
                  </a:graphic>
                </wp:anchor>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drawing>
                <wp:anchor distT="0" distB="0" distL="114300" distR="114300" simplePos="0" relativeHeight="251737088" behindDoc="0" locked="0" layoutInCell="1" allowOverlap="1">
                  <wp:simplePos x="0" y="0"/>
                  <wp:positionH relativeFrom="column">
                    <wp:posOffset>177800</wp:posOffset>
                  </wp:positionH>
                  <wp:positionV relativeFrom="paragraph">
                    <wp:posOffset>23495</wp:posOffset>
                  </wp:positionV>
                  <wp:extent cx="570230" cy="734695"/>
                  <wp:effectExtent l="0" t="0" r="1270" b="8255"/>
                  <wp:wrapNone/>
                  <wp:docPr id="157" name="图片 157" descr="e5beb3a418791159d1253f0e2995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e5beb3a418791159d1253f0e29953a0"/>
                          <pic:cNvPicPr>
                            <a:picLocks noChangeAspect="1"/>
                          </pic:cNvPicPr>
                        </pic:nvPicPr>
                        <pic:blipFill>
                          <a:blip r:embed="rId100"/>
                          <a:srcRect r="12940" b="15852"/>
                          <a:stretch>
                            <a:fillRect/>
                          </a:stretch>
                        </pic:blipFill>
                        <pic:spPr>
                          <a:xfrm>
                            <a:off x="0" y="0"/>
                            <a:ext cx="570230" cy="734695"/>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入墙更衣柜</w:t>
            </w:r>
          </w:p>
        </w:tc>
        <w:tc>
          <w:tcPr>
            <w:tcW w:w="1341" w:type="dxa"/>
            <w:vAlign w:val="center"/>
          </w:tcPr>
          <w:p>
            <w:pPr>
              <w:pStyle w:val="2"/>
              <w:spacing w:line="240" w:lineRule="auto"/>
              <w:ind w:left="0" w:leftChars="0" w:firstLine="0" w:firstLineChars="0"/>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L*700*2530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58.4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11</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护士</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值班室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38464" behindDoc="0" locked="0" layoutInCell="1" allowOverlap="1">
                  <wp:simplePos x="0" y="0"/>
                  <wp:positionH relativeFrom="column">
                    <wp:posOffset>21590</wp:posOffset>
                  </wp:positionH>
                  <wp:positionV relativeFrom="paragraph">
                    <wp:posOffset>52070</wp:posOffset>
                  </wp:positionV>
                  <wp:extent cx="551815" cy="678180"/>
                  <wp:effectExtent l="0" t="0" r="635" b="7620"/>
                  <wp:wrapNone/>
                  <wp:docPr id="19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4"/>
                          <pic:cNvPicPr>
                            <a:picLocks noChangeAspect="1"/>
                          </pic:cNvPicPr>
                        </pic:nvPicPr>
                        <pic:blipFill>
                          <a:blip r:embed="rId111"/>
                          <a:stretch>
                            <a:fillRect/>
                          </a:stretch>
                        </pic:blipFill>
                        <pic:spPr>
                          <a:xfrm>
                            <a:off x="0" y="0"/>
                            <a:ext cx="551815" cy="678180"/>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73952" behindDoc="0" locked="0" layoutInCell="1" allowOverlap="1">
                  <wp:simplePos x="0" y="0"/>
                  <wp:positionH relativeFrom="column">
                    <wp:posOffset>280670</wp:posOffset>
                  </wp:positionH>
                  <wp:positionV relativeFrom="paragraph">
                    <wp:posOffset>20955</wp:posOffset>
                  </wp:positionV>
                  <wp:extent cx="393700" cy="711200"/>
                  <wp:effectExtent l="0" t="0" r="6350" b="12700"/>
                  <wp:wrapNone/>
                  <wp:docPr id="29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6"/>
                          <pic:cNvPicPr>
                            <a:picLocks noChangeAspect="1"/>
                          </pic:cNvPicPr>
                        </pic:nvPicPr>
                        <pic:blipFill>
                          <a:blip r:embed="rId25"/>
                          <a:stretch>
                            <a:fillRect/>
                          </a:stretch>
                        </pic:blipFill>
                        <pic:spPr>
                          <a:xfrm>
                            <a:off x="0" y="0"/>
                            <a:ext cx="393700" cy="71120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12</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污物</w:t>
            </w:r>
          </w:p>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打包间</w:t>
            </w:r>
          </w:p>
        </w:tc>
        <w:tc>
          <w:tcPr>
            <w:tcW w:w="1182"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831296" behindDoc="0" locked="0" layoutInCell="1" allowOverlap="1">
                  <wp:simplePos x="0" y="0"/>
                  <wp:positionH relativeFrom="column">
                    <wp:posOffset>53340</wp:posOffset>
                  </wp:positionH>
                  <wp:positionV relativeFrom="paragraph">
                    <wp:posOffset>20320</wp:posOffset>
                  </wp:positionV>
                  <wp:extent cx="519430" cy="682625"/>
                  <wp:effectExtent l="0" t="0" r="13970" b="3175"/>
                  <wp:wrapNone/>
                  <wp:docPr id="19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2"/>
                          <pic:cNvPicPr>
                            <a:picLocks noChangeAspect="1"/>
                          </pic:cNvPicPr>
                        </pic:nvPicPr>
                        <pic:blipFill>
                          <a:blip r:embed="rId108"/>
                          <a:stretch>
                            <a:fillRect/>
                          </a:stretch>
                        </pic:blipFill>
                        <pic:spPr>
                          <a:xfrm>
                            <a:off x="0" y="0"/>
                            <a:ext cx="519430" cy="682625"/>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830272" behindDoc="0" locked="0" layoutInCell="1" allowOverlap="1">
                  <wp:simplePos x="0" y="0"/>
                  <wp:positionH relativeFrom="column">
                    <wp:posOffset>-31115</wp:posOffset>
                  </wp:positionH>
                  <wp:positionV relativeFrom="paragraph">
                    <wp:posOffset>86995</wp:posOffset>
                  </wp:positionV>
                  <wp:extent cx="942340" cy="575945"/>
                  <wp:effectExtent l="0" t="0" r="10160" b="14605"/>
                  <wp:wrapNone/>
                  <wp:docPr id="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
                          <pic:cNvPicPr>
                            <a:picLocks noChangeAspect="1"/>
                          </pic:cNvPicPr>
                        </pic:nvPicPr>
                        <pic:blipFill>
                          <a:blip r:embed="rId23"/>
                          <a:srcRect t="42752"/>
                          <a:stretch>
                            <a:fillRect/>
                          </a:stretch>
                        </pic:blipFill>
                        <pic:spPr>
                          <a:xfrm>
                            <a:off x="0" y="0"/>
                            <a:ext cx="942340" cy="575945"/>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医用环保污物柜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污物台〈下）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污物台台面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3.6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13</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值班室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16960" behindDoc="0" locked="0" layoutInCell="1" allowOverlap="1">
                  <wp:simplePos x="0" y="0"/>
                  <wp:positionH relativeFrom="column">
                    <wp:posOffset>42545</wp:posOffset>
                  </wp:positionH>
                  <wp:positionV relativeFrom="paragraph">
                    <wp:posOffset>35560</wp:posOffset>
                  </wp:positionV>
                  <wp:extent cx="483235" cy="508635"/>
                  <wp:effectExtent l="0" t="0" r="12065" b="5715"/>
                  <wp:wrapNone/>
                  <wp:docPr id="19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5"/>
                          <pic:cNvPicPr>
                            <a:picLocks noChangeAspect="1"/>
                          </pic:cNvPicPr>
                        </pic:nvPicPr>
                        <pic:blipFill>
                          <a:blip r:embed="rId112"/>
                          <a:stretch>
                            <a:fillRect/>
                          </a:stretch>
                        </pic:blipFill>
                        <pic:spPr>
                          <a:xfrm>
                            <a:off x="0" y="0"/>
                            <a:ext cx="483235" cy="508635"/>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74976" behindDoc="0" locked="0" layoutInCell="1" allowOverlap="1">
                  <wp:simplePos x="0" y="0"/>
                  <wp:positionH relativeFrom="column">
                    <wp:posOffset>280035</wp:posOffset>
                  </wp:positionH>
                  <wp:positionV relativeFrom="paragraph">
                    <wp:posOffset>8255</wp:posOffset>
                  </wp:positionV>
                  <wp:extent cx="287655" cy="520065"/>
                  <wp:effectExtent l="0" t="0" r="17145" b="13335"/>
                  <wp:wrapNone/>
                  <wp:docPr id="29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6"/>
                          <pic:cNvPicPr>
                            <a:picLocks noChangeAspect="1"/>
                          </pic:cNvPicPr>
                        </pic:nvPicPr>
                        <pic:blipFill>
                          <a:blip r:embed="rId25"/>
                          <a:stretch>
                            <a:fillRect/>
                          </a:stretch>
                        </pic:blipFill>
                        <pic:spPr>
                          <a:xfrm>
                            <a:off x="0" y="0"/>
                            <a:ext cx="287655" cy="52006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0.9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14</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更衣室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17984" behindDoc="0" locked="0" layoutInCell="1" allowOverlap="1">
                  <wp:simplePos x="0" y="0"/>
                  <wp:positionH relativeFrom="column">
                    <wp:posOffset>50800</wp:posOffset>
                  </wp:positionH>
                  <wp:positionV relativeFrom="paragraph">
                    <wp:posOffset>8890</wp:posOffset>
                  </wp:positionV>
                  <wp:extent cx="539750" cy="526415"/>
                  <wp:effectExtent l="0" t="0" r="12700" b="6985"/>
                  <wp:wrapNone/>
                  <wp:docPr id="20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6"/>
                          <pic:cNvPicPr>
                            <a:picLocks noChangeAspect="1"/>
                          </pic:cNvPicPr>
                        </pic:nvPicPr>
                        <pic:blipFill>
                          <a:blip r:embed="rId113"/>
                          <a:stretch>
                            <a:fillRect/>
                          </a:stretch>
                        </pic:blipFill>
                        <pic:spPr>
                          <a:xfrm>
                            <a:off x="0" y="0"/>
                            <a:ext cx="539750" cy="526415"/>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76000" behindDoc="0" locked="0" layoutInCell="1" allowOverlap="1">
                  <wp:simplePos x="0" y="0"/>
                  <wp:positionH relativeFrom="column">
                    <wp:posOffset>279400</wp:posOffset>
                  </wp:positionH>
                  <wp:positionV relativeFrom="paragraph">
                    <wp:posOffset>22860</wp:posOffset>
                  </wp:positionV>
                  <wp:extent cx="288290" cy="521335"/>
                  <wp:effectExtent l="0" t="0" r="16510" b="12065"/>
                  <wp:wrapNone/>
                  <wp:docPr id="29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6"/>
                          <pic:cNvPicPr>
                            <a:picLocks noChangeAspect="1"/>
                          </pic:cNvPicPr>
                        </pic:nvPicPr>
                        <pic:blipFill>
                          <a:blip r:embed="rId25"/>
                          <a:stretch>
                            <a:fillRect/>
                          </a:stretch>
                        </pic:blipFill>
                        <pic:spPr>
                          <a:xfrm>
                            <a:off x="0" y="0"/>
                            <a:ext cx="288290" cy="52133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15</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处置室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15936" behindDoc="0" locked="0" layoutInCell="1" allowOverlap="1">
                  <wp:simplePos x="0" y="0"/>
                  <wp:positionH relativeFrom="column">
                    <wp:posOffset>-14605</wp:posOffset>
                  </wp:positionH>
                  <wp:positionV relativeFrom="paragraph">
                    <wp:posOffset>83185</wp:posOffset>
                  </wp:positionV>
                  <wp:extent cx="672465" cy="682625"/>
                  <wp:effectExtent l="0" t="0" r="13335" b="3175"/>
                  <wp:wrapNone/>
                  <wp:docPr id="20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7"/>
                          <pic:cNvPicPr>
                            <a:picLocks noChangeAspect="1"/>
                          </pic:cNvPicPr>
                        </pic:nvPicPr>
                        <pic:blipFill>
                          <a:blip r:embed="rId114"/>
                          <a:stretch>
                            <a:fillRect/>
                          </a:stretch>
                        </pic:blipFill>
                        <pic:spPr>
                          <a:xfrm>
                            <a:off x="0" y="0"/>
                            <a:ext cx="672465" cy="682625"/>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691008" behindDoc="1" locked="0" layoutInCell="1" allowOverlap="1">
                  <wp:simplePos x="0" y="0"/>
                  <wp:positionH relativeFrom="column">
                    <wp:posOffset>-33020</wp:posOffset>
                  </wp:positionH>
                  <wp:positionV relativeFrom="paragraph">
                    <wp:posOffset>81280</wp:posOffset>
                  </wp:positionV>
                  <wp:extent cx="935990" cy="647065"/>
                  <wp:effectExtent l="0" t="0" r="16510" b="635"/>
                  <wp:wrapNone/>
                  <wp:docPr id="204" name="图片 204"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6 处置室"/>
                          <pic:cNvPicPr>
                            <a:picLocks noChangeAspect="1"/>
                          </pic:cNvPicPr>
                        </pic:nvPicPr>
                        <pic:blipFill>
                          <a:blip r:embed="rId37"/>
                          <a:srcRect t="20701" r="16588"/>
                          <a:stretch>
                            <a:fillRect/>
                          </a:stretch>
                        </pic:blipFill>
                        <pic:spPr>
                          <a:xfrm>
                            <a:off x="0" y="0"/>
                            <a:ext cx="935990" cy="647065"/>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医用环保处置柜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w:t>
            </w:r>
            <w:r>
              <w:rPr>
                <w:rFonts w:hint="eastAsia" w:ascii="宋体" w:hAnsi="宋体" w:cs="宋体"/>
                <w:sz w:val="18"/>
                <w:szCs w:val="18"/>
                <w:highlight w:val="none"/>
                <w:vertAlign w:val="baseline"/>
                <w:lang w:val="en-US" w:eastAsia="zh-CN"/>
              </w:rPr>
              <w:t>6</w:t>
            </w:r>
            <w:r>
              <w:rPr>
                <w:rFonts w:hint="eastAsia" w:ascii="宋体" w:hAnsi="宋体" w:eastAsia="宋体" w:cs="宋体"/>
                <w:sz w:val="18"/>
                <w:szCs w:val="18"/>
                <w:highlight w:val="none"/>
                <w:vertAlign w:val="baseline"/>
                <w:lang w:val="en-US" w:eastAsia="zh-CN"/>
              </w:rPr>
              <w:t>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处置台（下）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处置台台面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16</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库房</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603885" cy="668655"/>
                  <wp:effectExtent l="0" t="0" r="5715" b="17145"/>
                  <wp:docPr id="20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8"/>
                          <pic:cNvPicPr>
                            <a:picLocks noChangeAspect="1"/>
                          </pic:cNvPicPr>
                        </pic:nvPicPr>
                        <pic:blipFill>
                          <a:blip r:embed="rId115"/>
                          <a:stretch>
                            <a:fillRect/>
                          </a:stretch>
                        </pic:blipFill>
                        <pic:spPr>
                          <a:xfrm>
                            <a:off x="0" y="0"/>
                            <a:ext cx="603885" cy="668655"/>
                          </a:xfrm>
                          <a:prstGeom prst="rect">
                            <a:avLst/>
                          </a:prstGeom>
                          <a:noFill/>
                          <a:ln>
                            <a:noFill/>
                          </a:ln>
                        </pic:spPr>
                      </pic:pic>
                    </a:graphicData>
                  </a:graphic>
                </wp:inline>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b/>
                <w:bCs/>
                <w:sz w:val="18"/>
                <w:szCs w:val="18"/>
                <w:highlight w:val="none"/>
                <w:lang w:val="en-US" w:eastAsia="zh-CN"/>
              </w:rPr>
              <w:drawing>
                <wp:anchor distT="0" distB="0" distL="114300" distR="114300" simplePos="0" relativeHeight="251819008" behindDoc="0" locked="0" layoutInCell="1" allowOverlap="1">
                  <wp:simplePos x="0" y="0"/>
                  <wp:positionH relativeFrom="column">
                    <wp:posOffset>67945</wp:posOffset>
                  </wp:positionH>
                  <wp:positionV relativeFrom="paragraph">
                    <wp:posOffset>22225</wp:posOffset>
                  </wp:positionV>
                  <wp:extent cx="581660" cy="649605"/>
                  <wp:effectExtent l="0" t="0" r="8890" b="17145"/>
                  <wp:wrapNone/>
                  <wp:docPr id="208" name="图片 20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图片1"/>
                          <pic:cNvPicPr>
                            <a:picLocks noChangeAspect="1"/>
                          </pic:cNvPicPr>
                        </pic:nvPicPr>
                        <pic:blipFill>
                          <a:blip r:embed="rId32"/>
                          <a:srcRect r="36675"/>
                          <a:stretch>
                            <a:fillRect/>
                          </a:stretch>
                        </pic:blipFill>
                        <pic:spPr>
                          <a:xfrm>
                            <a:off x="0" y="0"/>
                            <a:ext cx="581660" cy="649605"/>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4.4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17</w:t>
            </w:r>
          </w:p>
        </w:tc>
        <w:tc>
          <w:tcPr>
            <w:tcW w:w="1040" w:type="dxa"/>
            <w:vMerge w:val="restart"/>
            <w:vAlign w:val="center"/>
          </w:tcPr>
          <w:p>
            <w:pPr>
              <w:spacing w:line="240" w:lineRule="auto"/>
              <w:jc w:val="center"/>
              <w:rPr>
                <w:rFonts w:hint="default"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配餐室</w:t>
            </w:r>
          </w:p>
        </w:tc>
        <w:tc>
          <w:tcPr>
            <w:tcW w:w="1182"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820032" behindDoc="0" locked="0" layoutInCell="1" allowOverlap="1">
                  <wp:simplePos x="0" y="0"/>
                  <wp:positionH relativeFrom="column">
                    <wp:posOffset>-42545</wp:posOffset>
                  </wp:positionH>
                  <wp:positionV relativeFrom="paragraph">
                    <wp:posOffset>354330</wp:posOffset>
                  </wp:positionV>
                  <wp:extent cx="719455" cy="1144905"/>
                  <wp:effectExtent l="0" t="0" r="4445" b="17145"/>
                  <wp:wrapNone/>
                  <wp:docPr id="2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3"/>
                          <pic:cNvPicPr>
                            <a:picLocks noChangeAspect="1"/>
                          </pic:cNvPicPr>
                        </pic:nvPicPr>
                        <pic:blipFill>
                          <a:blip r:embed="rId98"/>
                          <a:stretch>
                            <a:fillRect/>
                          </a:stretch>
                        </pic:blipFill>
                        <pic:spPr>
                          <a:xfrm>
                            <a:off x="0" y="0"/>
                            <a:ext cx="719455" cy="1144905"/>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852800" behindDoc="0" locked="0" layoutInCell="1" allowOverlap="1">
                  <wp:simplePos x="0" y="0"/>
                  <wp:positionH relativeFrom="column">
                    <wp:posOffset>-23495</wp:posOffset>
                  </wp:positionH>
                  <wp:positionV relativeFrom="paragraph">
                    <wp:posOffset>533400</wp:posOffset>
                  </wp:positionV>
                  <wp:extent cx="951230" cy="680085"/>
                  <wp:effectExtent l="0" t="0" r="1270" b="5715"/>
                  <wp:wrapNone/>
                  <wp:docPr id="207" name="图片 207"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6 处置室"/>
                          <pic:cNvPicPr>
                            <a:picLocks noChangeAspect="1"/>
                          </pic:cNvPicPr>
                        </pic:nvPicPr>
                        <pic:blipFill>
                          <a:blip r:embed="rId37"/>
                          <a:srcRect t="21113" r="19802"/>
                          <a:stretch>
                            <a:fillRect/>
                          </a:stretch>
                        </pic:blipFill>
                        <pic:spPr>
                          <a:xfrm>
                            <a:off x="0" y="0"/>
                            <a:ext cx="951230" cy="680085"/>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医用环保配餐柜</w:t>
            </w:r>
          </w:p>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壁柜 （上）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vAlign w:val="top"/>
          </w:tcPr>
          <w:p>
            <w:pPr>
              <w:spacing w:line="240" w:lineRule="auto"/>
              <w:rPr>
                <w:rFonts w:hint="eastAsia" w:ascii="宋体" w:hAnsi="宋体" w:eastAsia="宋体" w:cs="宋体"/>
                <w:sz w:val="18"/>
                <w:szCs w:val="18"/>
                <w:highlight w:val="none"/>
              </w:rPr>
            </w:pPr>
          </w:p>
        </w:tc>
        <w:tc>
          <w:tcPr>
            <w:tcW w:w="1595" w:type="dxa"/>
            <w:vMerge w:val="continue"/>
            <w:vAlign w:val="top"/>
          </w:tcPr>
          <w:p>
            <w:pPr>
              <w:spacing w:line="240" w:lineRule="auto"/>
              <w:rPr>
                <w:rFonts w:hint="eastAsia" w:ascii="宋体" w:hAnsi="宋体" w:eastAsia="宋体" w:cs="宋体"/>
                <w:kern w:val="2"/>
                <w:sz w:val="18"/>
                <w:szCs w:val="18"/>
                <w:highlight w:val="none"/>
                <w:vertAlign w:val="baseline"/>
                <w:lang w:val="en-US" w:eastAsia="zh-CN" w:bidi="ar-SA"/>
              </w:rPr>
            </w:pPr>
          </w:p>
        </w:tc>
        <w:tc>
          <w:tcPr>
            <w:tcW w:w="1080"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040"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182" w:type="dxa"/>
            <w:vMerge w:val="continue"/>
            <w:vAlign w:val="top"/>
          </w:tcPr>
          <w:p>
            <w:pPr>
              <w:spacing w:line="240" w:lineRule="auto"/>
              <w:rPr>
                <w:rFonts w:hint="eastAsia" w:ascii="宋体" w:hAnsi="宋体" w:eastAsia="宋体" w:cs="宋体"/>
                <w:kern w:val="2"/>
                <w:sz w:val="18"/>
                <w:szCs w:val="18"/>
                <w:highlight w:val="none"/>
                <w:vertAlign w:val="baseline"/>
                <w:lang w:val="en-US" w:eastAsia="zh-CN" w:bidi="ar-SA"/>
              </w:rPr>
            </w:pPr>
          </w:p>
        </w:tc>
        <w:tc>
          <w:tcPr>
            <w:tcW w:w="1595" w:type="dxa"/>
            <w:vMerge w:val="continue"/>
            <w:vAlign w:val="top"/>
          </w:tcPr>
          <w:p>
            <w:pPr>
              <w:spacing w:line="240" w:lineRule="auto"/>
              <w:rPr>
                <w:rFonts w:hint="eastAsia" w:ascii="宋体" w:hAnsi="宋体" w:eastAsia="宋体" w:cs="宋体"/>
                <w:kern w:val="2"/>
                <w:sz w:val="18"/>
                <w:szCs w:val="18"/>
                <w:highlight w:val="none"/>
                <w:vertAlign w:val="baseline"/>
                <w:lang w:val="en-US" w:eastAsia="zh-CN" w:bidi="ar-SA"/>
              </w:rPr>
            </w:pPr>
          </w:p>
        </w:tc>
        <w:tc>
          <w:tcPr>
            <w:tcW w:w="1080"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配餐台（下）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配餐台台面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18</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护理用房</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603885" cy="619760"/>
                  <wp:effectExtent l="0" t="0" r="5715" b="8890"/>
                  <wp:docPr id="21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9"/>
                          <pic:cNvPicPr>
                            <a:picLocks noChangeAspect="1"/>
                          </pic:cNvPicPr>
                        </pic:nvPicPr>
                        <pic:blipFill>
                          <a:blip r:embed="rId116"/>
                          <a:stretch>
                            <a:fillRect/>
                          </a:stretch>
                        </pic:blipFill>
                        <pic:spPr>
                          <a:xfrm>
                            <a:off x="0" y="0"/>
                            <a:ext cx="603885" cy="619760"/>
                          </a:xfrm>
                          <a:prstGeom prst="rect">
                            <a:avLst/>
                          </a:prstGeom>
                          <a:noFill/>
                          <a:ln>
                            <a:noFill/>
                          </a:ln>
                        </pic:spPr>
                      </pic:pic>
                    </a:graphicData>
                  </a:graphic>
                </wp:inline>
              </w:drawing>
            </w:r>
          </w:p>
        </w:tc>
        <w:tc>
          <w:tcPr>
            <w:tcW w:w="1595" w:type="dxa"/>
            <w:vAlign w:val="top"/>
          </w:tcPr>
          <w:p>
            <w:pPr>
              <w:tabs>
                <w:tab w:val="left" w:pos="480"/>
              </w:tabs>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83168" behindDoc="0" locked="0" layoutInCell="1" allowOverlap="1">
                  <wp:simplePos x="0" y="0"/>
                  <wp:positionH relativeFrom="column">
                    <wp:posOffset>270510</wp:posOffset>
                  </wp:positionH>
                  <wp:positionV relativeFrom="paragraph">
                    <wp:posOffset>24130</wp:posOffset>
                  </wp:positionV>
                  <wp:extent cx="375920" cy="678180"/>
                  <wp:effectExtent l="0" t="0" r="5080" b="7620"/>
                  <wp:wrapNone/>
                  <wp:docPr id="29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6"/>
                          <pic:cNvPicPr>
                            <a:picLocks noChangeAspect="1"/>
                          </pic:cNvPicPr>
                        </pic:nvPicPr>
                        <pic:blipFill>
                          <a:blip r:embed="rId25"/>
                          <a:stretch>
                            <a:fillRect/>
                          </a:stretch>
                        </pic:blipFill>
                        <pic:spPr>
                          <a:xfrm>
                            <a:off x="0" y="0"/>
                            <a:ext cx="375920" cy="67818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0.9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19</w:t>
            </w:r>
          </w:p>
        </w:tc>
        <w:tc>
          <w:tcPr>
            <w:tcW w:w="104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病房</w:t>
            </w:r>
          </w:p>
        </w:tc>
        <w:tc>
          <w:tcPr>
            <w:tcW w:w="1182"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77024" behindDoc="0" locked="0" layoutInCell="1" allowOverlap="1">
                  <wp:simplePos x="0" y="0"/>
                  <wp:positionH relativeFrom="column">
                    <wp:posOffset>118745</wp:posOffset>
                  </wp:positionH>
                  <wp:positionV relativeFrom="paragraph">
                    <wp:posOffset>40005</wp:posOffset>
                  </wp:positionV>
                  <wp:extent cx="321310" cy="692150"/>
                  <wp:effectExtent l="0" t="0" r="2540" b="12700"/>
                  <wp:wrapNone/>
                  <wp:docPr id="145"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49"/>
                          <pic:cNvPicPr>
                            <a:picLocks noChangeAspect="1"/>
                          </pic:cNvPicPr>
                        </pic:nvPicPr>
                        <pic:blipFill>
                          <a:blip r:embed="rId117"/>
                          <a:stretch>
                            <a:fillRect/>
                          </a:stretch>
                        </pic:blipFill>
                        <pic:spPr>
                          <a:xfrm>
                            <a:off x="0" y="0"/>
                            <a:ext cx="321310" cy="692150"/>
                          </a:xfrm>
                          <a:prstGeom prst="rect">
                            <a:avLst/>
                          </a:prstGeom>
                        </pic:spPr>
                      </pic:pic>
                    </a:graphicData>
                  </a:graphic>
                </wp:anchor>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drawing>
                <wp:anchor distT="0" distB="0" distL="114300" distR="114300" simplePos="0" relativeHeight="251778048" behindDoc="0" locked="0" layoutInCell="1" allowOverlap="1">
                  <wp:simplePos x="0" y="0"/>
                  <wp:positionH relativeFrom="column">
                    <wp:posOffset>84455</wp:posOffset>
                  </wp:positionH>
                  <wp:positionV relativeFrom="paragraph">
                    <wp:posOffset>24765</wp:posOffset>
                  </wp:positionV>
                  <wp:extent cx="685800" cy="750570"/>
                  <wp:effectExtent l="0" t="0" r="0" b="11430"/>
                  <wp:wrapNone/>
                  <wp:docPr id="133" name="图片 133" descr="e5beb3a418791159d1253f0e2995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e5beb3a418791159d1253f0e29953a0"/>
                          <pic:cNvPicPr>
                            <a:picLocks noChangeAspect="1"/>
                          </pic:cNvPicPr>
                        </pic:nvPicPr>
                        <pic:blipFill>
                          <a:blip r:embed="rId100"/>
                          <a:srcRect t="12322" r="13960" b="17094"/>
                          <a:stretch>
                            <a:fillRect/>
                          </a:stretch>
                        </pic:blipFill>
                        <pic:spPr>
                          <a:xfrm>
                            <a:off x="0" y="0"/>
                            <a:ext cx="685800" cy="75057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w:t>
            </w:r>
          </w:p>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入墙更衣柜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L*700*2530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63.9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0422" w:type="dxa"/>
            <w:gridSpan w:val="10"/>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b/>
                <w:bCs/>
                <w:kern w:val="2"/>
                <w:sz w:val="18"/>
                <w:szCs w:val="18"/>
                <w:highlight w:val="none"/>
                <w:vertAlign w:val="baseline"/>
                <w:lang w:val="en-US" w:eastAsia="zh-CN" w:bidi="ar-SA"/>
              </w:rPr>
              <w:t>五-八层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1040" w:type="dxa"/>
            <w:vMerge w:val="restart"/>
            <w:vAlign w:val="center"/>
          </w:tcPr>
          <w:p>
            <w:pPr>
              <w:spacing w:line="240" w:lineRule="auto"/>
              <w:jc w:val="center"/>
              <w:rPr>
                <w:rFonts w:hint="default"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开水间</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79072" behindDoc="0" locked="0" layoutInCell="1" allowOverlap="1">
                  <wp:simplePos x="0" y="0"/>
                  <wp:positionH relativeFrom="column">
                    <wp:posOffset>8255</wp:posOffset>
                  </wp:positionH>
                  <wp:positionV relativeFrom="paragraph">
                    <wp:posOffset>372110</wp:posOffset>
                  </wp:positionV>
                  <wp:extent cx="603885" cy="431800"/>
                  <wp:effectExtent l="0" t="0" r="5715" b="6350"/>
                  <wp:wrapNone/>
                  <wp:docPr id="2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30"/>
                          <pic:cNvPicPr>
                            <a:picLocks noChangeAspect="1"/>
                          </pic:cNvPicPr>
                        </pic:nvPicPr>
                        <pic:blipFill>
                          <a:blip r:embed="rId118"/>
                          <a:stretch>
                            <a:fillRect/>
                          </a:stretch>
                        </pic:blipFill>
                        <pic:spPr>
                          <a:xfrm>
                            <a:off x="0" y="0"/>
                            <a:ext cx="603885" cy="431800"/>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53824" behindDoc="0" locked="0" layoutInCell="1" allowOverlap="1">
                  <wp:simplePos x="0" y="0"/>
                  <wp:positionH relativeFrom="column">
                    <wp:posOffset>-6985</wp:posOffset>
                  </wp:positionH>
                  <wp:positionV relativeFrom="paragraph">
                    <wp:posOffset>414655</wp:posOffset>
                  </wp:positionV>
                  <wp:extent cx="908050" cy="551180"/>
                  <wp:effectExtent l="0" t="0" r="6350" b="1270"/>
                  <wp:wrapNone/>
                  <wp:docPr id="20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4"/>
                          <pic:cNvPicPr>
                            <a:picLocks noChangeAspect="1"/>
                          </pic:cNvPicPr>
                        </pic:nvPicPr>
                        <pic:blipFill>
                          <a:blip r:embed="rId30"/>
                          <a:stretch>
                            <a:fillRect/>
                          </a:stretch>
                        </pic:blipFill>
                        <pic:spPr>
                          <a:xfrm>
                            <a:off x="0" y="0"/>
                            <a:ext cx="908050" cy="551180"/>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医用环保开水柜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库房</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82144" behindDoc="0" locked="0" layoutInCell="1" allowOverlap="1">
                  <wp:simplePos x="0" y="0"/>
                  <wp:positionH relativeFrom="column">
                    <wp:posOffset>169545</wp:posOffset>
                  </wp:positionH>
                  <wp:positionV relativeFrom="paragraph">
                    <wp:posOffset>49530</wp:posOffset>
                  </wp:positionV>
                  <wp:extent cx="265430" cy="505460"/>
                  <wp:effectExtent l="0" t="0" r="1270" b="8890"/>
                  <wp:wrapNone/>
                  <wp:docPr id="22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31"/>
                          <pic:cNvPicPr>
                            <a:picLocks noChangeAspect="1"/>
                          </pic:cNvPicPr>
                        </pic:nvPicPr>
                        <pic:blipFill>
                          <a:blip r:embed="rId119"/>
                          <a:stretch>
                            <a:fillRect/>
                          </a:stretch>
                        </pic:blipFill>
                        <pic:spPr>
                          <a:xfrm>
                            <a:off x="0" y="0"/>
                            <a:ext cx="265430" cy="505460"/>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b/>
                <w:bCs/>
                <w:sz w:val="18"/>
                <w:szCs w:val="18"/>
                <w:highlight w:val="none"/>
                <w:lang w:val="en-US" w:eastAsia="zh-CN"/>
              </w:rPr>
              <w:drawing>
                <wp:anchor distT="0" distB="0" distL="114300" distR="114300" simplePos="0" relativeHeight="251781120" behindDoc="0" locked="0" layoutInCell="1" allowOverlap="1">
                  <wp:simplePos x="0" y="0"/>
                  <wp:positionH relativeFrom="column">
                    <wp:posOffset>153035</wp:posOffset>
                  </wp:positionH>
                  <wp:positionV relativeFrom="paragraph">
                    <wp:posOffset>36195</wp:posOffset>
                  </wp:positionV>
                  <wp:extent cx="497840" cy="570865"/>
                  <wp:effectExtent l="0" t="0" r="16510" b="635"/>
                  <wp:wrapNone/>
                  <wp:docPr id="222" name="图片 2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图片1"/>
                          <pic:cNvPicPr>
                            <a:picLocks noChangeAspect="1"/>
                          </pic:cNvPicPr>
                        </pic:nvPicPr>
                        <pic:blipFill>
                          <a:blip r:embed="rId32"/>
                          <a:srcRect r="38264"/>
                          <a:stretch>
                            <a:fillRect/>
                          </a:stretch>
                        </pic:blipFill>
                        <pic:spPr>
                          <a:xfrm>
                            <a:off x="0" y="0"/>
                            <a:ext cx="497840" cy="570865"/>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4.75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换药室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80096" behindDoc="0" locked="0" layoutInCell="1" allowOverlap="1">
                  <wp:simplePos x="0" y="0"/>
                  <wp:positionH relativeFrom="column">
                    <wp:posOffset>-7620</wp:posOffset>
                  </wp:positionH>
                  <wp:positionV relativeFrom="paragraph">
                    <wp:posOffset>293370</wp:posOffset>
                  </wp:positionV>
                  <wp:extent cx="666115" cy="981710"/>
                  <wp:effectExtent l="0" t="0" r="635" b="8890"/>
                  <wp:wrapNone/>
                  <wp:docPr id="22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32"/>
                          <pic:cNvPicPr>
                            <a:picLocks noChangeAspect="1"/>
                          </pic:cNvPicPr>
                        </pic:nvPicPr>
                        <pic:blipFill>
                          <a:blip r:embed="rId120"/>
                          <a:stretch>
                            <a:fillRect/>
                          </a:stretch>
                        </pic:blipFill>
                        <pic:spPr>
                          <a:xfrm>
                            <a:off x="0" y="0"/>
                            <a:ext cx="666115" cy="981710"/>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842560" behindDoc="1" locked="0" layoutInCell="1" allowOverlap="1">
                  <wp:simplePos x="0" y="0"/>
                  <wp:positionH relativeFrom="column">
                    <wp:posOffset>-26670</wp:posOffset>
                  </wp:positionH>
                  <wp:positionV relativeFrom="paragraph">
                    <wp:posOffset>485775</wp:posOffset>
                  </wp:positionV>
                  <wp:extent cx="951230" cy="680085"/>
                  <wp:effectExtent l="0" t="0" r="1270" b="5715"/>
                  <wp:wrapNone/>
                  <wp:docPr id="113" name="图片 113"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6 处置室"/>
                          <pic:cNvPicPr>
                            <a:picLocks noChangeAspect="1"/>
                          </pic:cNvPicPr>
                        </pic:nvPicPr>
                        <pic:blipFill>
                          <a:blip r:embed="rId37"/>
                          <a:srcRect t="21113" r="19802"/>
                          <a:stretch>
                            <a:fillRect/>
                          </a:stretch>
                        </pic:blipFill>
                        <pic:spPr>
                          <a:xfrm>
                            <a:off x="0" y="0"/>
                            <a:ext cx="951230" cy="680085"/>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医用换</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药柜</w:t>
            </w:r>
          </w:p>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1.86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1.86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换药台（下）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1.86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1.86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1040"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值班室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603885" cy="614045"/>
                  <wp:effectExtent l="0" t="0" r="5715" b="14605"/>
                  <wp:docPr id="25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33"/>
                          <pic:cNvPicPr>
                            <a:picLocks noChangeAspect="1"/>
                          </pic:cNvPicPr>
                        </pic:nvPicPr>
                        <pic:blipFill>
                          <a:blip r:embed="rId121"/>
                          <a:stretch>
                            <a:fillRect/>
                          </a:stretch>
                        </pic:blipFill>
                        <pic:spPr>
                          <a:xfrm>
                            <a:off x="0" y="0"/>
                            <a:ext cx="603885" cy="614045"/>
                          </a:xfrm>
                          <a:prstGeom prst="rect">
                            <a:avLst/>
                          </a:prstGeom>
                          <a:noFill/>
                          <a:ln>
                            <a:noFill/>
                          </a:ln>
                        </pic:spPr>
                      </pic:pic>
                    </a:graphicData>
                  </a:graphic>
                </wp:inline>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84192" behindDoc="0" locked="0" layoutInCell="1" allowOverlap="1">
                  <wp:simplePos x="0" y="0"/>
                  <wp:positionH relativeFrom="column">
                    <wp:posOffset>245110</wp:posOffset>
                  </wp:positionH>
                  <wp:positionV relativeFrom="paragraph">
                    <wp:posOffset>15240</wp:posOffset>
                  </wp:positionV>
                  <wp:extent cx="333375" cy="601345"/>
                  <wp:effectExtent l="0" t="0" r="9525" b="8255"/>
                  <wp:wrapNone/>
                  <wp:docPr id="29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6"/>
                          <pic:cNvPicPr>
                            <a:picLocks noChangeAspect="1"/>
                          </pic:cNvPicPr>
                        </pic:nvPicPr>
                        <pic:blipFill>
                          <a:blip r:embed="rId25"/>
                          <a:stretch>
                            <a:fillRect/>
                          </a:stretch>
                        </pic:blipFill>
                        <pic:spPr>
                          <a:xfrm>
                            <a:off x="0" y="0"/>
                            <a:ext cx="333375" cy="60134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0.9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5</w:t>
            </w:r>
          </w:p>
        </w:tc>
        <w:tc>
          <w:tcPr>
            <w:tcW w:w="1040"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女更衣室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86240" behindDoc="0" locked="0" layoutInCell="1" allowOverlap="1">
                  <wp:simplePos x="0" y="0"/>
                  <wp:positionH relativeFrom="column">
                    <wp:posOffset>76200</wp:posOffset>
                  </wp:positionH>
                  <wp:positionV relativeFrom="paragraph">
                    <wp:posOffset>7620</wp:posOffset>
                  </wp:positionV>
                  <wp:extent cx="402590" cy="612775"/>
                  <wp:effectExtent l="0" t="0" r="16510" b="15875"/>
                  <wp:wrapNone/>
                  <wp:docPr id="25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34"/>
                          <pic:cNvPicPr>
                            <a:picLocks noChangeAspect="1"/>
                          </pic:cNvPicPr>
                        </pic:nvPicPr>
                        <pic:blipFill>
                          <a:blip r:embed="rId122"/>
                          <a:stretch>
                            <a:fillRect/>
                          </a:stretch>
                        </pic:blipFill>
                        <pic:spPr>
                          <a:xfrm>
                            <a:off x="0" y="0"/>
                            <a:ext cx="402590" cy="612775"/>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85216" behindDoc="0" locked="0" layoutInCell="1" allowOverlap="1">
                  <wp:simplePos x="0" y="0"/>
                  <wp:positionH relativeFrom="column">
                    <wp:posOffset>248920</wp:posOffset>
                  </wp:positionH>
                  <wp:positionV relativeFrom="paragraph">
                    <wp:posOffset>27305</wp:posOffset>
                  </wp:positionV>
                  <wp:extent cx="335915" cy="607695"/>
                  <wp:effectExtent l="0" t="0" r="6985" b="1905"/>
                  <wp:wrapNone/>
                  <wp:docPr id="29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6"/>
                          <pic:cNvPicPr>
                            <a:picLocks noChangeAspect="1"/>
                          </pic:cNvPicPr>
                        </pic:nvPicPr>
                        <pic:blipFill>
                          <a:blip r:embed="rId25"/>
                          <a:stretch>
                            <a:fillRect/>
                          </a:stretch>
                        </pic:blipFill>
                        <pic:spPr>
                          <a:xfrm>
                            <a:off x="0" y="0"/>
                            <a:ext cx="335915" cy="60769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3.45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6</w:t>
            </w:r>
          </w:p>
        </w:tc>
        <w:tc>
          <w:tcPr>
            <w:tcW w:w="1040" w:type="dxa"/>
            <w:vMerge w:val="restart"/>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护士站后背柜</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21056" behindDoc="0" locked="0" layoutInCell="1" allowOverlap="1">
                  <wp:simplePos x="0" y="0"/>
                  <wp:positionH relativeFrom="column">
                    <wp:posOffset>194945</wp:posOffset>
                  </wp:positionH>
                  <wp:positionV relativeFrom="paragraph">
                    <wp:posOffset>43180</wp:posOffset>
                  </wp:positionV>
                  <wp:extent cx="199390" cy="523240"/>
                  <wp:effectExtent l="0" t="0" r="10160" b="10160"/>
                  <wp:wrapNone/>
                  <wp:docPr id="25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35"/>
                          <pic:cNvPicPr>
                            <a:picLocks noChangeAspect="1"/>
                          </pic:cNvPicPr>
                        </pic:nvPicPr>
                        <pic:blipFill>
                          <a:blip r:embed="rId123"/>
                          <a:stretch>
                            <a:fillRect/>
                          </a:stretch>
                        </pic:blipFill>
                        <pic:spPr>
                          <a:xfrm>
                            <a:off x="0" y="0"/>
                            <a:ext cx="199390" cy="523240"/>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55872" behindDoc="0" locked="0" layoutInCell="1" allowOverlap="1">
                  <wp:simplePos x="0" y="0"/>
                  <wp:positionH relativeFrom="column">
                    <wp:posOffset>-20955</wp:posOffset>
                  </wp:positionH>
                  <wp:positionV relativeFrom="paragraph">
                    <wp:posOffset>23495</wp:posOffset>
                  </wp:positionV>
                  <wp:extent cx="908050" cy="551180"/>
                  <wp:effectExtent l="0" t="0" r="6350" b="1270"/>
                  <wp:wrapNone/>
                  <wp:docPr id="2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4"/>
                          <pic:cNvPicPr>
                            <a:picLocks noChangeAspect="1"/>
                          </pic:cNvPicPr>
                        </pic:nvPicPr>
                        <pic:blipFill>
                          <a:blip r:embed="rId30"/>
                          <a:stretch>
                            <a:fillRect/>
                          </a:stretch>
                        </pic:blipFill>
                        <pic:spPr>
                          <a:xfrm>
                            <a:off x="0" y="0"/>
                            <a:ext cx="908050" cy="551180"/>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医用环保治疗柜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6.7</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6.7</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7</w:t>
            </w:r>
          </w:p>
        </w:tc>
        <w:tc>
          <w:tcPr>
            <w:tcW w:w="1040" w:type="dxa"/>
            <w:vMerge w:val="restart"/>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治疗室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87264" behindDoc="0" locked="0" layoutInCell="1" allowOverlap="1">
                  <wp:simplePos x="0" y="0"/>
                  <wp:positionH relativeFrom="column">
                    <wp:posOffset>7620</wp:posOffset>
                  </wp:positionH>
                  <wp:positionV relativeFrom="paragraph">
                    <wp:posOffset>917575</wp:posOffset>
                  </wp:positionV>
                  <wp:extent cx="655320" cy="848360"/>
                  <wp:effectExtent l="0" t="0" r="11430" b="8890"/>
                  <wp:wrapNone/>
                  <wp:docPr id="25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36"/>
                          <pic:cNvPicPr>
                            <a:picLocks noChangeAspect="1"/>
                          </pic:cNvPicPr>
                        </pic:nvPicPr>
                        <pic:blipFill>
                          <a:blip r:embed="rId124"/>
                          <a:stretch>
                            <a:fillRect/>
                          </a:stretch>
                        </pic:blipFill>
                        <pic:spPr>
                          <a:xfrm>
                            <a:off x="0" y="0"/>
                            <a:ext cx="655320" cy="848360"/>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841536" behindDoc="1" locked="0" layoutInCell="1" allowOverlap="1">
                  <wp:simplePos x="0" y="0"/>
                  <wp:positionH relativeFrom="column">
                    <wp:posOffset>-33020</wp:posOffset>
                  </wp:positionH>
                  <wp:positionV relativeFrom="paragraph">
                    <wp:posOffset>1042670</wp:posOffset>
                  </wp:positionV>
                  <wp:extent cx="951230" cy="680085"/>
                  <wp:effectExtent l="0" t="0" r="1270" b="5715"/>
                  <wp:wrapNone/>
                  <wp:docPr id="111" name="图片 111"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6 处置室"/>
                          <pic:cNvPicPr>
                            <a:picLocks noChangeAspect="1"/>
                          </pic:cNvPicPr>
                        </pic:nvPicPr>
                        <pic:blipFill>
                          <a:blip r:embed="rId37"/>
                          <a:srcRect t="21113" r="19802"/>
                          <a:stretch>
                            <a:fillRect/>
                          </a:stretch>
                        </pic:blipFill>
                        <pic:spPr>
                          <a:xfrm>
                            <a:off x="0" y="0"/>
                            <a:ext cx="951230" cy="680085"/>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医用环保治疗柜</w:t>
            </w:r>
          </w:p>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壁柜（上）跌落式上柜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0.8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4.43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5.23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5.33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5.33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冰箱柜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0.8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大输液存取柜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520*650*2000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8</w:t>
            </w:r>
          </w:p>
        </w:tc>
        <w:tc>
          <w:tcPr>
            <w:tcW w:w="1040" w:type="dxa"/>
            <w:vMerge w:val="restart"/>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处置室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26176" behindDoc="0" locked="0" layoutInCell="1" allowOverlap="1">
                  <wp:simplePos x="0" y="0"/>
                  <wp:positionH relativeFrom="column">
                    <wp:posOffset>17145</wp:posOffset>
                  </wp:positionH>
                  <wp:positionV relativeFrom="paragraph">
                    <wp:posOffset>506095</wp:posOffset>
                  </wp:positionV>
                  <wp:extent cx="603250" cy="877570"/>
                  <wp:effectExtent l="0" t="0" r="6350" b="17780"/>
                  <wp:wrapNone/>
                  <wp:docPr id="25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37"/>
                          <pic:cNvPicPr>
                            <a:picLocks noChangeAspect="1"/>
                          </pic:cNvPicPr>
                        </pic:nvPicPr>
                        <pic:blipFill>
                          <a:blip r:embed="rId125"/>
                          <a:stretch>
                            <a:fillRect/>
                          </a:stretch>
                        </pic:blipFill>
                        <pic:spPr>
                          <a:xfrm>
                            <a:off x="0" y="0"/>
                            <a:ext cx="603250" cy="877570"/>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840512" behindDoc="1" locked="0" layoutInCell="1" allowOverlap="1">
                  <wp:simplePos x="0" y="0"/>
                  <wp:positionH relativeFrom="column">
                    <wp:posOffset>-26670</wp:posOffset>
                  </wp:positionH>
                  <wp:positionV relativeFrom="paragraph">
                    <wp:posOffset>621030</wp:posOffset>
                  </wp:positionV>
                  <wp:extent cx="951230" cy="680085"/>
                  <wp:effectExtent l="0" t="0" r="1270" b="5715"/>
                  <wp:wrapNone/>
                  <wp:docPr id="258" name="图片 258"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6 处置室"/>
                          <pic:cNvPicPr>
                            <a:picLocks noChangeAspect="1"/>
                          </pic:cNvPicPr>
                        </pic:nvPicPr>
                        <pic:blipFill>
                          <a:blip r:embed="rId37"/>
                          <a:srcRect t="21113" r="19802"/>
                          <a:stretch>
                            <a:fillRect/>
                          </a:stretch>
                        </pic:blipFill>
                        <pic:spPr>
                          <a:xfrm>
                            <a:off x="0" y="0"/>
                            <a:ext cx="951230" cy="680085"/>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医用环保处置柜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处置台（下）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处置台台面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9</w:t>
            </w:r>
          </w:p>
        </w:tc>
        <w:tc>
          <w:tcPr>
            <w:tcW w:w="1040" w:type="dxa"/>
            <w:vMerge w:val="restart"/>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护士值班室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36064" behindDoc="0" locked="0" layoutInCell="1" allowOverlap="1">
                  <wp:simplePos x="0" y="0"/>
                  <wp:positionH relativeFrom="column">
                    <wp:posOffset>17145</wp:posOffset>
                  </wp:positionH>
                  <wp:positionV relativeFrom="paragraph">
                    <wp:posOffset>348615</wp:posOffset>
                  </wp:positionV>
                  <wp:extent cx="654050" cy="790575"/>
                  <wp:effectExtent l="0" t="0" r="12700" b="9525"/>
                  <wp:wrapNone/>
                  <wp:docPr id="26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38"/>
                          <pic:cNvPicPr>
                            <a:picLocks noChangeAspect="1"/>
                          </pic:cNvPicPr>
                        </pic:nvPicPr>
                        <pic:blipFill>
                          <a:blip r:embed="rId126"/>
                          <a:stretch>
                            <a:fillRect/>
                          </a:stretch>
                        </pic:blipFill>
                        <pic:spPr>
                          <a:xfrm>
                            <a:off x="0" y="0"/>
                            <a:ext cx="654050" cy="790575"/>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54848" behindDoc="0" locked="0" layoutInCell="1" allowOverlap="1">
                  <wp:simplePos x="0" y="0"/>
                  <wp:positionH relativeFrom="column">
                    <wp:posOffset>-20320</wp:posOffset>
                  </wp:positionH>
                  <wp:positionV relativeFrom="paragraph">
                    <wp:posOffset>508000</wp:posOffset>
                  </wp:positionV>
                  <wp:extent cx="952500" cy="578485"/>
                  <wp:effectExtent l="0" t="0" r="0" b="12065"/>
                  <wp:wrapNone/>
                  <wp:docPr id="2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4"/>
                          <pic:cNvPicPr>
                            <a:picLocks noChangeAspect="1"/>
                          </pic:cNvPicPr>
                        </pic:nvPicPr>
                        <pic:blipFill>
                          <a:blip r:embed="rId30"/>
                          <a:stretch>
                            <a:fillRect/>
                          </a:stretch>
                        </pic:blipFill>
                        <pic:spPr>
                          <a:xfrm>
                            <a:off x="0" y="0"/>
                            <a:ext cx="952500" cy="578485"/>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医用环保污物柜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污物台（下）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3.7</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处置台台面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3.7</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医用环保清洗柜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L*600*1100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医用环保倾倒池</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L*600*1100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医用环保拖把池</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L*600*1100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0.8</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10</w:t>
            </w:r>
          </w:p>
        </w:tc>
        <w:tc>
          <w:tcPr>
            <w:tcW w:w="1040"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病房</w:t>
            </w:r>
          </w:p>
        </w:tc>
        <w:tc>
          <w:tcPr>
            <w:tcW w:w="1182"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35040" behindDoc="0" locked="0" layoutInCell="1" allowOverlap="1">
                  <wp:simplePos x="0" y="0"/>
                  <wp:positionH relativeFrom="column">
                    <wp:posOffset>194945</wp:posOffset>
                  </wp:positionH>
                  <wp:positionV relativeFrom="paragraph">
                    <wp:posOffset>20955</wp:posOffset>
                  </wp:positionV>
                  <wp:extent cx="243840" cy="467360"/>
                  <wp:effectExtent l="0" t="0" r="3810" b="8890"/>
                  <wp:wrapNone/>
                  <wp:docPr id="26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8"/>
                          <pic:cNvPicPr>
                            <a:picLocks noChangeAspect="1"/>
                          </pic:cNvPicPr>
                        </pic:nvPicPr>
                        <pic:blipFill>
                          <a:blip r:embed="rId110"/>
                          <a:stretch>
                            <a:fillRect/>
                          </a:stretch>
                        </pic:blipFill>
                        <pic:spPr>
                          <a:xfrm>
                            <a:off x="0" y="0"/>
                            <a:ext cx="243840" cy="467360"/>
                          </a:xfrm>
                          <a:prstGeom prst="rect">
                            <a:avLst/>
                          </a:prstGeom>
                          <a:noFill/>
                          <a:ln>
                            <a:noFill/>
                          </a:ln>
                        </pic:spPr>
                      </pic:pic>
                    </a:graphicData>
                  </a:graphic>
                </wp:anchor>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drawing>
                <wp:anchor distT="0" distB="0" distL="114300" distR="114300" simplePos="0" relativeHeight="251788288" behindDoc="0" locked="0" layoutInCell="1" allowOverlap="1">
                  <wp:simplePos x="0" y="0"/>
                  <wp:positionH relativeFrom="column">
                    <wp:posOffset>217805</wp:posOffset>
                  </wp:positionH>
                  <wp:positionV relativeFrom="paragraph">
                    <wp:posOffset>22860</wp:posOffset>
                  </wp:positionV>
                  <wp:extent cx="421640" cy="471170"/>
                  <wp:effectExtent l="0" t="0" r="16510" b="5080"/>
                  <wp:wrapNone/>
                  <wp:docPr id="90" name="图片 90" descr="e5beb3a418791159d1253f0e2995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e5beb3a418791159d1253f0e29953a0"/>
                          <pic:cNvPicPr>
                            <a:picLocks noChangeAspect="1"/>
                          </pic:cNvPicPr>
                        </pic:nvPicPr>
                        <pic:blipFill>
                          <a:blip r:embed="rId100"/>
                          <a:srcRect l="6511" t="11925" r="13022" b="20635"/>
                          <a:stretch>
                            <a:fillRect/>
                          </a:stretch>
                        </pic:blipFill>
                        <pic:spPr>
                          <a:xfrm>
                            <a:off x="0" y="0"/>
                            <a:ext cx="421640" cy="47117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入墙更衣柜</w:t>
            </w:r>
          </w:p>
        </w:tc>
        <w:tc>
          <w:tcPr>
            <w:tcW w:w="1341" w:type="dxa"/>
            <w:vAlign w:val="center"/>
          </w:tcPr>
          <w:p>
            <w:pPr>
              <w:pStyle w:val="2"/>
              <w:spacing w:line="240" w:lineRule="auto"/>
              <w:ind w:left="0" w:leftChars="0" w:firstLine="0" w:firstLineChars="0"/>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L*700*2530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58.4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11</w:t>
            </w:r>
          </w:p>
        </w:tc>
        <w:tc>
          <w:tcPr>
            <w:tcW w:w="1040" w:type="dxa"/>
            <w:vMerge w:val="restart"/>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处置室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34016" behindDoc="0" locked="0" layoutInCell="1" allowOverlap="1">
                  <wp:simplePos x="0" y="0"/>
                  <wp:positionH relativeFrom="column">
                    <wp:posOffset>143510</wp:posOffset>
                  </wp:positionH>
                  <wp:positionV relativeFrom="paragraph">
                    <wp:posOffset>4445</wp:posOffset>
                  </wp:positionV>
                  <wp:extent cx="353060" cy="561975"/>
                  <wp:effectExtent l="0" t="0" r="8890" b="9525"/>
                  <wp:wrapNone/>
                  <wp:docPr id="26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39"/>
                          <pic:cNvPicPr>
                            <a:picLocks noChangeAspect="1"/>
                          </pic:cNvPicPr>
                        </pic:nvPicPr>
                        <pic:blipFill>
                          <a:blip r:embed="rId127"/>
                          <a:stretch>
                            <a:fillRect/>
                          </a:stretch>
                        </pic:blipFill>
                        <pic:spPr>
                          <a:xfrm>
                            <a:off x="0" y="0"/>
                            <a:ext cx="353060" cy="561975"/>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32992" behindDoc="0" locked="0" layoutInCell="1" allowOverlap="1">
                  <wp:simplePos x="0" y="0"/>
                  <wp:positionH relativeFrom="column">
                    <wp:posOffset>-17145</wp:posOffset>
                  </wp:positionH>
                  <wp:positionV relativeFrom="paragraph">
                    <wp:posOffset>31750</wp:posOffset>
                  </wp:positionV>
                  <wp:extent cx="836930" cy="518160"/>
                  <wp:effectExtent l="0" t="0" r="1270" b="15240"/>
                  <wp:wrapNone/>
                  <wp:docPr id="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
                          <pic:cNvPicPr>
                            <a:picLocks noChangeAspect="1"/>
                          </pic:cNvPicPr>
                        </pic:nvPicPr>
                        <pic:blipFill>
                          <a:blip r:embed="rId23"/>
                          <a:srcRect t="42037"/>
                          <a:stretch>
                            <a:fillRect/>
                          </a:stretch>
                        </pic:blipFill>
                        <pic:spPr>
                          <a:xfrm>
                            <a:off x="0" y="0"/>
                            <a:ext cx="836930" cy="518160"/>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医用环保处置柜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处置台（下）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处置台台面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12</w:t>
            </w:r>
          </w:p>
        </w:tc>
        <w:tc>
          <w:tcPr>
            <w:tcW w:w="1040"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值班室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603250" cy="584835"/>
                  <wp:effectExtent l="0" t="0" r="6350" b="5715"/>
                  <wp:docPr id="26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40"/>
                          <pic:cNvPicPr>
                            <a:picLocks noChangeAspect="1"/>
                          </pic:cNvPicPr>
                        </pic:nvPicPr>
                        <pic:blipFill>
                          <a:blip r:embed="rId128"/>
                          <a:stretch>
                            <a:fillRect/>
                          </a:stretch>
                        </pic:blipFill>
                        <pic:spPr>
                          <a:xfrm>
                            <a:off x="0" y="0"/>
                            <a:ext cx="603250" cy="584835"/>
                          </a:xfrm>
                          <a:prstGeom prst="rect">
                            <a:avLst/>
                          </a:prstGeom>
                          <a:noFill/>
                          <a:ln>
                            <a:noFill/>
                          </a:ln>
                        </pic:spPr>
                      </pic:pic>
                    </a:graphicData>
                  </a:graphic>
                </wp:inline>
              </w:drawing>
            </w:r>
          </w:p>
        </w:tc>
        <w:tc>
          <w:tcPr>
            <w:tcW w:w="1595" w:type="dxa"/>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30944" behindDoc="0" locked="0" layoutInCell="1" allowOverlap="1">
                  <wp:simplePos x="0" y="0"/>
                  <wp:positionH relativeFrom="column">
                    <wp:posOffset>246380</wp:posOffset>
                  </wp:positionH>
                  <wp:positionV relativeFrom="paragraph">
                    <wp:posOffset>31115</wp:posOffset>
                  </wp:positionV>
                  <wp:extent cx="331470" cy="597535"/>
                  <wp:effectExtent l="0" t="0" r="11430" b="12065"/>
                  <wp:wrapNone/>
                  <wp:docPr id="5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6"/>
                          <pic:cNvPicPr>
                            <a:picLocks noChangeAspect="1"/>
                          </pic:cNvPicPr>
                        </pic:nvPicPr>
                        <pic:blipFill>
                          <a:blip r:embed="rId25"/>
                          <a:stretch>
                            <a:fillRect/>
                          </a:stretch>
                        </pic:blipFill>
                        <pic:spPr>
                          <a:xfrm>
                            <a:off x="0" y="0"/>
                            <a:ext cx="331470" cy="59753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0.9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13</w:t>
            </w:r>
          </w:p>
        </w:tc>
        <w:tc>
          <w:tcPr>
            <w:tcW w:w="1040" w:type="dxa"/>
            <w:vAlign w:val="center"/>
          </w:tcPr>
          <w:p>
            <w:pPr>
              <w:spacing w:line="240" w:lineRule="auto"/>
              <w:jc w:val="center"/>
              <w:rPr>
                <w:rFonts w:hint="eastAsia" w:ascii="宋体" w:hAnsi="宋体" w:eastAsia="宋体" w:cs="宋体"/>
                <w:color w:val="auto"/>
                <w:kern w:val="2"/>
                <w:sz w:val="18"/>
                <w:szCs w:val="18"/>
                <w:highlight w:val="none"/>
                <w:vertAlign w:val="baseline"/>
                <w:lang w:val="en-US" w:eastAsia="zh-CN" w:bidi="ar-SA"/>
              </w:rPr>
            </w:pPr>
            <w:r>
              <w:rPr>
                <w:rFonts w:hint="eastAsia" w:ascii="宋体" w:hAnsi="宋体" w:eastAsia="宋体" w:cs="宋体"/>
                <w:color w:val="auto"/>
                <w:sz w:val="18"/>
                <w:szCs w:val="18"/>
                <w:highlight w:val="none"/>
                <w:vertAlign w:val="baseline"/>
                <w:lang w:val="en-US" w:eastAsia="zh-CN"/>
              </w:rPr>
              <w:t>更衣室</w:t>
            </w:r>
          </w:p>
        </w:tc>
        <w:tc>
          <w:tcPr>
            <w:tcW w:w="1182"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inline distT="0" distB="0" distL="114300" distR="114300">
                  <wp:extent cx="603250" cy="584835"/>
                  <wp:effectExtent l="0" t="0" r="6350" b="5715"/>
                  <wp:docPr id="26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40"/>
                          <pic:cNvPicPr>
                            <a:picLocks noChangeAspect="1"/>
                          </pic:cNvPicPr>
                        </pic:nvPicPr>
                        <pic:blipFill>
                          <a:blip r:embed="rId128"/>
                          <a:stretch>
                            <a:fillRect/>
                          </a:stretch>
                        </pic:blipFill>
                        <pic:spPr>
                          <a:xfrm>
                            <a:off x="0" y="0"/>
                            <a:ext cx="603250" cy="584835"/>
                          </a:xfrm>
                          <a:prstGeom prst="rect">
                            <a:avLst/>
                          </a:prstGeom>
                          <a:noFill/>
                          <a:ln>
                            <a:noFill/>
                          </a:ln>
                        </pic:spPr>
                      </pic:pic>
                    </a:graphicData>
                  </a:graphic>
                </wp:inline>
              </w:drawing>
            </w:r>
          </w:p>
        </w:tc>
        <w:tc>
          <w:tcPr>
            <w:tcW w:w="1595" w:type="dxa"/>
            <w:vAlign w:val="top"/>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31968" behindDoc="0" locked="0" layoutInCell="1" allowOverlap="1">
                  <wp:simplePos x="0" y="0"/>
                  <wp:positionH relativeFrom="column">
                    <wp:posOffset>255270</wp:posOffset>
                  </wp:positionH>
                  <wp:positionV relativeFrom="paragraph">
                    <wp:posOffset>33020</wp:posOffset>
                  </wp:positionV>
                  <wp:extent cx="329565" cy="595630"/>
                  <wp:effectExtent l="0" t="0" r="13335" b="13970"/>
                  <wp:wrapNone/>
                  <wp:docPr id="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pic:cNvPicPr>
                            <a:picLocks noChangeAspect="1"/>
                          </pic:cNvPicPr>
                        </pic:nvPicPr>
                        <pic:blipFill>
                          <a:blip r:embed="rId25"/>
                          <a:stretch>
                            <a:fillRect/>
                          </a:stretch>
                        </pic:blipFill>
                        <pic:spPr>
                          <a:xfrm>
                            <a:off x="0" y="0"/>
                            <a:ext cx="329565" cy="59563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14</w:t>
            </w:r>
          </w:p>
        </w:tc>
        <w:tc>
          <w:tcPr>
            <w:tcW w:w="1040" w:type="dxa"/>
            <w:vMerge w:val="restart"/>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治疗室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29920" behindDoc="0" locked="0" layoutInCell="1" allowOverlap="1">
                  <wp:simplePos x="0" y="0"/>
                  <wp:positionH relativeFrom="column">
                    <wp:posOffset>-54610</wp:posOffset>
                  </wp:positionH>
                  <wp:positionV relativeFrom="paragraph">
                    <wp:posOffset>887730</wp:posOffset>
                  </wp:positionV>
                  <wp:extent cx="712470" cy="712470"/>
                  <wp:effectExtent l="0" t="0" r="11430" b="11430"/>
                  <wp:wrapNone/>
                  <wp:docPr id="26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41"/>
                          <pic:cNvPicPr>
                            <a:picLocks noChangeAspect="1"/>
                          </pic:cNvPicPr>
                        </pic:nvPicPr>
                        <pic:blipFill>
                          <a:blip r:embed="rId129"/>
                          <a:stretch>
                            <a:fillRect/>
                          </a:stretch>
                        </pic:blipFill>
                        <pic:spPr>
                          <a:xfrm>
                            <a:off x="0" y="0"/>
                            <a:ext cx="712470" cy="712470"/>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692032" behindDoc="1" locked="0" layoutInCell="1" allowOverlap="1">
                  <wp:simplePos x="0" y="0"/>
                  <wp:positionH relativeFrom="column">
                    <wp:posOffset>-39370</wp:posOffset>
                  </wp:positionH>
                  <wp:positionV relativeFrom="paragraph">
                    <wp:posOffset>854710</wp:posOffset>
                  </wp:positionV>
                  <wp:extent cx="967740" cy="839470"/>
                  <wp:effectExtent l="0" t="0" r="3810" b="17780"/>
                  <wp:wrapNone/>
                  <wp:docPr id="265" name="图片 265"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6 处置室"/>
                          <pic:cNvPicPr>
                            <a:picLocks noChangeAspect="1"/>
                          </pic:cNvPicPr>
                        </pic:nvPicPr>
                        <pic:blipFill>
                          <a:blip r:embed="rId37"/>
                          <a:srcRect r="16172"/>
                          <a:stretch>
                            <a:fillRect/>
                          </a:stretch>
                        </pic:blipFill>
                        <pic:spPr>
                          <a:xfrm>
                            <a:off x="0" y="0"/>
                            <a:ext cx="967740" cy="839470"/>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医用环保治疗柜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3.5</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冰箱柜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0.8</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大输液存取柜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520*650*2000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15</w:t>
            </w:r>
          </w:p>
        </w:tc>
        <w:tc>
          <w:tcPr>
            <w:tcW w:w="1040"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库房</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603885" cy="619760"/>
                  <wp:effectExtent l="0" t="0" r="5715" b="8890"/>
                  <wp:docPr id="26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42"/>
                          <pic:cNvPicPr>
                            <a:picLocks noChangeAspect="1"/>
                          </pic:cNvPicPr>
                        </pic:nvPicPr>
                        <pic:blipFill>
                          <a:blip r:embed="rId130"/>
                          <a:stretch>
                            <a:fillRect/>
                          </a:stretch>
                        </pic:blipFill>
                        <pic:spPr>
                          <a:xfrm>
                            <a:off x="0" y="0"/>
                            <a:ext cx="603885" cy="619760"/>
                          </a:xfrm>
                          <a:prstGeom prst="rect">
                            <a:avLst/>
                          </a:prstGeom>
                          <a:noFill/>
                          <a:ln>
                            <a:noFill/>
                          </a:ln>
                        </pic:spPr>
                      </pic:pic>
                    </a:graphicData>
                  </a:graphic>
                </wp:inline>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b/>
                <w:bCs/>
                <w:sz w:val="18"/>
                <w:szCs w:val="18"/>
                <w:highlight w:val="none"/>
                <w:lang w:val="en-US" w:eastAsia="zh-CN"/>
              </w:rPr>
              <w:drawing>
                <wp:anchor distT="0" distB="0" distL="114300" distR="114300" simplePos="0" relativeHeight="251728896" behindDoc="0" locked="0" layoutInCell="1" allowOverlap="1">
                  <wp:simplePos x="0" y="0"/>
                  <wp:positionH relativeFrom="column">
                    <wp:posOffset>168910</wp:posOffset>
                  </wp:positionH>
                  <wp:positionV relativeFrom="paragraph">
                    <wp:posOffset>19685</wp:posOffset>
                  </wp:positionV>
                  <wp:extent cx="531495" cy="617220"/>
                  <wp:effectExtent l="0" t="0" r="1905" b="11430"/>
                  <wp:wrapNone/>
                  <wp:docPr id="267" name="图片 26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图片1"/>
                          <pic:cNvPicPr>
                            <a:picLocks noChangeAspect="1"/>
                          </pic:cNvPicPr>
                        </pic:nvPicPr>
                        <pic:blipFill>
                          <a:blip r:embed="rId32"/>
                          <a:srcRect r="38594"/>
                          <a:stretch>
                            <a:fillRect/>
                          </a:stretch>
                        </pic:blipFill>
                        <pic:spPr>
                          <a:xfrm>
                            <a:off x="0" y="0"/>
                            <a:ext cx="531495" cy="61722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4.4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16</w:t>
            </w:r>
          </w:p>
        </w:tc>
        <w:tc>
          <w:tcPr>
            <w:tcW w:w="1040" w:type="dxa"/>
            <w:vMerge w:val="restart"/>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配餐</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22080" behindDoc="0" locked="0" layoutInCell="1" allowOverlap="1">
                  <wp:simplePos x="0" y="0"/>
                  <wp:positionH relativeFrom="column">
                    <wp:posOffset>-8255</wp:posOffset>
                  </wp:positionH>
                  <wp:positionV relativeFrom="paragraph">
                    <wp:posOffset>161925</wp:posOffset>
                  </wp:positionV>
                  <wp:extent cx="646430" cy="1292860"/>
                  <wp:effectExtent l="0" t="0" r="1270" b="2540"/>
                  <wp:wrapNone/>
                  <wp:docPr id="26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43"/>
                          <pic:cNvPicPr>
                            <a:picLocks noChangeAspect="1"/>
                          </pic:cNvPicPr>
                        </pic:nvPicPr>
                        <pic:blipFill>
                          <a:blip r:embed="rId131"/>
                          <a:stretch>
                            <a:fillRect/>
                          </a:stretch>
                        </pic:blipFill>
                        <pic:spPr>
                          <a:xfrm>
                            <a:off x="0" y="0"/>
                            <a:ext cx="646430" cy="1292860"/>
                          </a:xfrm>
                          <a:prstGeom prst="rect">
                            <a:avLst/>
                          </a:prstGeom>
                          <a:noFill/>
                          <a:ln>
                            <a:noFill/>
                          </a:ln>
                        </pic:spPr>
                      </pic:pic>
                    </a:graphicData>
                  </a:graphic>
                </wp:anchor>
              </w:drawing>
            </w:r>
          </w:p>
        </w:tc>
        <w:tc>
          <w:tcPr>
            <w:tcW w:w="1595"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693056" behindDoc="1" locked="0" layoutInCell="1" allowOverlap="1">
                  <wp:simplePos x="0" y="0"/>
                  <wp:positionH relativeFrom="column">
                    <wp:posOffset>-47625</wp:posOffset>
                  </wp:positionH>
                  <wp:positionV relativeFrom="paragraph">
                    <wp:posOffset>596265</wp:posOffset>
                  </wp:positionV>
                  <wp:extent cx="985520" cy="628015"/>
                  <wp:effectExtent l="0" t="0" r="5080" b="635"/>
                  <wp:wrapNone/>
                  <wp:docPr id="271" name="图片 271"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6 处置室"/>
                          <pic:cNvPicPr>
                            <a:picLocks noChangeAspect="1"/>
                          </pic:cNvPicPr>
                        </pic:nvPicPr>
                        <pic:blipFill>
                          <a:blip r:embed="rId37"/>
                          <a:srcRect t="25189" r="14631"/>
                          <a:stretch>
                            <a:fillRect/>
                          </a:stretch>
                        </pic:blipFill>
                        <pic:spPr>
                          <a:xfrm>
                            <a:off x="0" y="0"/>
                            <a:ext cx="985520" cy="628015"/>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医用环保治疗柜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治疗台台面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17</w:t>
            </w:r>
          </w:p>
        </w:tc>
        <w:tc>
          <w:tcPr>
            <w:tcW w:w="1040"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护理用房</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27872" behindDoc="0" locked="0" layoutInCell="1" allowOverlap="1">
                  <wp:simplePos x="0" y="0"/>
                  <wp:positionH relativeFrom="column">
                    <wp:posOffset>59055</wp:posOffset>
                  </wp:positionH>
                  <wp:positionV relativeFrom="paragraph">
                    <wp:posOffset>10160</wp:posOffset>
                  </wp:positionV>
                  <wp:extent cx="540385" cy="572770"/>
                  <wp:effectExtent l="0" t="0" r="12065" b="17780"/>
                  <wp:wrapNone/>
                  <wp:docPr id="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
                          <pic:cNvPicPr>
                            <a:picLocks noChangeAspect="1"/>
                          </pic:cNvPicPr>
                        </pic:nvPicPr>
                        <pic:blipFill>
                          <a:blip r:embed="rId132"/>
                          <a:stretch>
                            <a:fillRect/>
                          </a:stretch>
                        </pic:blipFill>
                        <pic:spPr>
                          <a:xfrm>
                            <a:off x="0" y="0"/>
                            <a:ext cx="540385" cy="572770"/>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26848" behindDoc="0" locked="0" layoutInCell="1" allowOverlap="1">
                  <wp:simplePos x="0" y="0"/>
                  <wp:positionH relativeFrom="column">
                    <wp:posOffset>304800</wp:posOffset>
                  </wp:positionH>
                  <wp:positionV relativeFrom="paragraph">
                    <wp:posOffset>20955</wp:posOffset>
                  </wp:positionV>
                  <wp:extent cx="365125" cy="658495"/>
                  <wp:effectExtent l="0" t="0" r="15875" b="8255"/>
                  <wp:wrapNone/>
                  <wp:docPr id="8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6"/>
                          <pic:cNvPicPr>
                            <a:picLocks noChangeAspect="1"/>
                          </pic:cNvPicPr>
                        </pic:nvPicPr>
                        <pic:blipFill>
                          <a:blip r:embed="rId25"/>
                          <a:stretch>
                            <a:fillRect/>
                          </a:stretch>
                        </pic:blipFill>
                        <pic:spPr>
                          <a:xfrm>
                            <a:off x="0" y="0"/>
                            <a:ext cx="365125" cy="65849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0.9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18</w:t>
            </w:r>
          </w:p>
        </w:tc>
        <w:tc>
          <w:tcPr>
            <w:tcW w:w="1040" w:type="dxa"/>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病房</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24800" behindDoc="0" locked="0" layoutInCell="1" allowOverlap="1">
                  <wp:simplePos x="0" y="0"/>
                  <wp:positionH relativeFrom="column">
                    <wp:posOffset>135890</wp:posOffset>
                  </wp:positionH>
                  <wp:positionV relativeFrom="paragraph">
                    <wp:posOffset>4445</wp:posOffset>
                  </wp:positionV>
                  <wp:extent cx="384175" cy="768985"/>
                  <wp:effectExtent l="0" t="0" r="15875" b="12065"/>
                  <wp:wrapNone/>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133"/>
                          <a:stretch>
                            <a:fillRect/>
                          </a:stretch>
                        </pic:blipFill>
                        <pic:spPr>
                          <a:xfrm>
                            <a:off x="0" y="0"/>
                            <a:ext cx="384175" cy="768985"/>
                          </a:xfrm>
                          <a:prstGeom prst="rect">
                            <a:avLst/>
                          </a:prstGeom>
                          <a:noFill/>
                          <a:ln>
                            <a:noFill/>
                          </a:ln>
                        </pic:spPr>
                      </pic:pic>
                    </a:graphicData>
                  </a:graphic>
                </wp:anchor>
              </w:drawing>
            </w:r>
          </w:p>
        </w:tc>
        <w:tc>
          <w:tcPr>
            <w:tcW w:w="1595"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drawing>
                <wp:anchor distT="0" distB="0" distL="114300" distR="114300" simplePos="0" relativeHeight="251725824" behindDoc="0" locked="0" layoutInCell="1" allowOverlap="1">
                  <wp:simplePos x="0" y="0"/>
                  <wp:positionH relativeFrom="column">
                    <wp:posOffset>101600</wp:posOffset>
                  </wp:positionH>
                  <wp:positionV relativeFrom="paragraph">
                    <wp:posOffset>40640</wp:posOffset>
                  </wp:positionV>
                  <wp:extent cx="679450" cy="723265"/>
                  <wp:effectExtent l="0" t="0" r="6350" b="635"/>
                  <wp:wrapNone/>
                  <wp:docPr id="87" name="图片 87" descr="e5beb3a418791159d1253f0e2995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e5beb3a418791159d1253f0e29953a0"/>
                          <pic:cNvPicPr>
                            <a:picLocks noChangeAspect="1"/>
                          </pic:cNvPicPr>
                        </pic:nvPicPr>
                        <pic:blipFill>
                          <a:blip r:embed="rId100"/>
                          <a:srcRect t="10907" r="11982" b="18200"/>
                          <a:stretch>
                            <a:fillRect/>
                          </a:stretch>
                        </pic:blipFill>
                        <pic:spPr>
                          <a:xfrm>
                            <a:off x="0" y="0"/>
                            <a:ext cx="679450" cy="723265"/>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入墙更衣柜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L*700*2530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63.9</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Align w:val="center"/>
          </w:tcPr>
          <w:p>
            <w:pPr>
              <w:spacing w:line="240" w:lineRule="auto"/>
              <w:jc w:val="center"/>
              <w:rPr>
                <w:rFonts w:hint="eastAsia" w:ascii="宋体" w:hAnsi="宋体" w:eastAsia="宋体" w:cs="宋体"/>
                <w:b/>
                <w:bCs/>
                <w:kern w:val="2"/>
                <w:sz w:val="18"/>
                <w:szCs w:val="18"/>
                <w:highlight w:val="none"/>
                <w:vertAlign w:val="baseline"/>
                <w:lang w:val="en-US" w:eastAsia="zh-CN" w:bidi="ar-SA"/>
              </w:rPr>
            </w:pPr>
          </w:p>
        </w:tc>
        <w:tc>
          <w:tcPr>
            <w:tcW w:w="8394" w:type="dxa"/>
            <w:gridSpan w:val="7"/>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b/>
                <w:bCs/>
                <w:kern w:val="2"/>
                <w:sz w:val="18"/>
                <w:szCs w:val="18"/>
                <w:highlight w:val="none"/>
                <w:vertAlign w:val="baseline"/>
                <w:lang w:val="en-US" w:eastAsia="zh-CN" w:bidi="ar-SA"/>
              </w:rPr>
              <w:t>九层</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开水</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23776" behindDoc="0" locked="0" layoutInCell="1" allowOverlap="1">
                  <wp:simplePos x="0" y="0"/>
                  <wp:positionH relativeFrom="column">
                    <wp:posOffset>118745</wp:posOffset>
                  </wp:positionH>
                  <wp:positionV relativeFrom="paragraph">
                    <wp:posOffset>33655</wp:posOffset>
                  </wp:positionV>
                  <wp:extent cx="315595" cy="544195"/>
                  <wp:effectExtent l="0" t="0" r="8255" b="8255"/>
                  <wp:wrapNone/>
                  <wp:docPr id="1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
                          <pic:cNvPicPr>
                            <a:picLocks noChangeAspect="1"/>
                          </pic:cNvPicPr>
                        </pic:nvPicPr>
                        <pic:blipFill>
                          <a:blip r:embed="rId134"/>
                          <a:stretch>
                            <a:fillRect/>
                          </a:stretch>
                        </pic:blipFill>
                        <pic:spPr>
                          <a:xfrm>
                            <a:off x="0" y="0"/>
                            <a:ext cx="315595" cy="544195"/>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22752" behindDoc="0" locked="0" layoutInCell="1" allowOverlap="1">
                  <wp:simplePos x="0" y="0"/>
                  <wp:positionH relativeFrom="column">
                    <wp:posOffset>-26035</wp:posOffset>
                  </wp:positionH>
                  <wp:positionV relativeFrom="paragraph">
                    <wp:posOffset>30480</wp:posOffset>
                  </wp:positionV>
                  <wp:extent cx="906145" cy="550545"/>
                  <wp:effectExtent l="0" t="0" r="8255" b="1905"/>
                  <wp:wrapNone/>
                  <wp:docPr id="1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4"/>
                          <pic:cNvPicPr>
                            <a:picLocks noChangeAspect="1"/>
                          </pic:cNvPicPr>
                        </pic:nvPicPr>
                        <pic:blipFill>
                          <a:blip r:embed="rId30"/>
                          <a:stretch>
                            <a:fillRect/>
                          </a:stretch>
                        </pic:blipFill>
                        <pic:spPr>
                          <a:xfrm>
                            <a:off x="0" y="0"/>
                            <a:ext cx="906145" cy="550545"/>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医用环保开水柜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开水台台面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2</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护工</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值班室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21728" behindDoc="0" locked="0" layoutInCell="1" allowOverlap="1">
                  <wp:simplePos x="0" y="0"/>
                  <wp:positionH relativeFrom="column">
                    <wp:posOffset>33655</wp:posOffset>
                  </wp:positionH>
                  <wp:positionV relativeFrom="paragraph">
                    <wp:posOffset>46990</wp:posOffset>
                  </wp:positionV>
                  <wp:extent cx="485775" cy="577215"/>
                  <wp:effectExtent l="0" t="0" r="9525" b="13335"/>
                  <wp:wrapNone/>
                  <wp:docPr id="1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
                          <pic:cNvPicPr>
                            <a:picLocks noChangeAspect="1"/>
                          </pic:cNvPicPr>
                        </pic:nvPicPr>
                        <pic:blipFill>
                          <a:blip r:embed="rId135"/>
                          <a:stretch>
                            <a:fillRect/>
                          </a:stretch>
                        </pic:blipFill>
                        <pic:spPr>
                          <a:xfrm>
                            <a:off x="0" y="0"/>
                            <a:ext cx="485775" cy="577215"/>
                          </a:xfrm>
                          <a:prstGeom prst="rect">
                            <a:avLst/>
                          </a:prstGeom>
                          <a:noFill/>
                          <a:ln>
                            <a:noFill/>
                          </a:ln>
                        </pic:spPr>
                      </pic:pic>
                    </a:graphicData>
                  </a:graphic>
                </wp:anchor>
              </w:drawing>
            </w:r>
          </w:p>
        </w:tc>
        <w:tc>
          <w:tcPr>
            <w:tcW w:w="1595" w:type="dxa"/>
            <w:vAlign w:val="top"/>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20704" behindDoc="0" locked="0" layoutInCell="1" allowOverlap="1">
                  <wp:simplePos x="0" y="0"/>
                  <wp:positionH relativeFrom="column">
                    <wp:posOffset>262890</wp:posOffset>
                  </wp:positionH>
                  <wp:positionV relativeFrom="paragraph">
                    <wp:posOffset>24130</wp:posOffset>
                  </wp:positionV>
                  <wp:extent cx="323850" cy="584835"/>
                  <wp:effectExtent l="0" t="0" r="0" b="5715"/>
                  <wp:wrapNone/>
                  <wp:docPr id="1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6"/>
                          <pic:cNvPicPr>
                            <a:picLocks noChangeAspect="1"/>
                          </pic:cNvPicPr>
                        </pic:nvPicPr>
                        <pic:blipFill>
                          <a:blip r:embed="rId25"/>
                          <a:stretch>
                            <a:fillRect/>
                          </a:stretch>
                        </pic:blipFill>
                        <pic:spPr>
                          <a:xfrm>
                            <a:off x="0" y="0"/>
                            <a:ext cx="323850" cy="584835"/>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2.4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w:t>
            </w:r>
          </w:p>
        </w:tc>
        <w:tc>
          <w:tcPr>
            <w:tcW w:w="1040" w:type="dxa"/>
            <w:vMerge w:val="restart"/>
            <w:vAlign w:val="center"/>
          </w:tcPr>
          <w:p>
            <w:pPr>
              <w:spacing w:line="240" w:lineRule="auto"/>
              <w:jc w:val="center"/>
              <w:rPr>
                <w:rFonts w:hint="eastAsia" w:ascii="宋体" w:hAnsi="宋体" w:eastAsia="宋体" w:cs="宋体"/>
                <w:color w:val="auto"/>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污物</w:t>
            </w:r>
          </w:p>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auto"/>
                <w:sz w:val="18"/>
                <w:szCs w:val="18"/>
                <w:highlight w:val="none"/>
                <w:vertAlign w:val="baseline"/>
                <w:lang w:val="en-US" w:eastAsia="zh-CN"/>
              </w:rPr>
              <w:t>打包间</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603250" cy="453390"/>
                  <wp:effectExtent l="0" t="0" r="6350" b="3810"/>
                  <wp:docPr id="1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6"/>
                          <pic:cNvPicPr>
                            <a:picLocks noChangeAspect="1"/>
                          </pic:cNvPicPr>
                        </pic:nvPicPr>
                        <pic:blipFill>
                          <a:blip r:embed="rId136"/>
                          <a:stretch>
                            <a:fillRect/>
                          </a:stretch>
                        </pic:blipFill>
                        <pic:spPr>
                          <a:xfrm>
                            <a:off x="0" y="0"/>
                            <a:ext cx="603250" cy="453390"/>
                          </a:xfrm>
                          <a:prstGeom prst="rect">
                            <a:avLst/>
                          </a:prstGeom>
                          <a:noFill/>
                          <a:ln>
                            <a:noFill/>
                          </a:ln>
                        </pic:spPr>
                      </pic:pic>
                    </a:graphicData>
                  </a:graphic>
                </wp:inline>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19680" behindDoc="0" locked="0" layoutInCell="1" allowOverlap="1">
                  <wp:simplePos x="0" y="0"/>
                  <wp:positionH relativeFrom="column">
                    <wp:posOffset>0</wp:posOffset>
                  </wp:positionH>
                  <wp:positionV relativeFrom="paragraph">
                    <wp:posOffset>40005</wp:posOffset>
                  </wp:positionV>
                  <wp:extent cx="929640" cy="592455"/>
                  <wp:effectExtent l="0" t="0" r="3810" b="17145"/>
                  <wp:wrapNone/>
                  <wp:docPr id="1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
                          <pic:cNvPicPr>
                            <a:picLocks noChangeAspect="1"/>
                          </pic:cNvPicPr>
                        </pic:nvPicPr>
                        <pic:blipFill>
                          <a:blip r:embed="rId23"/>
                          <a:srcRect t="40253"/>
                          <a:stretch>
                            <a:fillRect/>
                          </a:stretch>
                        </pic:blipFill>
                        <pic:spPr>
                          <a:xfrm>
                            <a:off x="0" y="0"/>
                            <a:ext cx="929640" cy="592455"/>
                          </a:xfrm>
                          <a:prstGeom prst="rect">
                            <a:avLst/>
                          </a:prstGeom>
                          <a:noFill/>
                          <a:ln>
                            <a:noFill/>
                          </a:ln>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医用环保处置柜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处置台（下）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处置台台面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3.6</w:t>
            </w:r>
          </w:p>
        </w:tc>
        <w:tc>
          <w:tcPr>
            <w:tcW w:w="693" w:type="dxa"/>
            <w:vAlign w:val="center"/>
          </w:tcPr>
          <w:p>
            <w:pPr>
              <w:spacing w:line="240" w:lineRule="auto"/>
              <w:jc w:val="center"/>
              <w:rPr>
                <w:rFonts w:hint="default" w:ascii="宋体" w:hAnsi="宋体" w:eastAsia="宋体" w:cs="宋体"/>
                <w:kern w:val="2"/>
                <w:sz w:val="18"/>
                <w:szCs w:val="18"/>
                <w:highlight w:val="none"/>
                <w:vertAlign w:val="baseline"/>
                <w:lang w:val="en-US" w:eastAsia="zh-CN" w:bidi="ar-SA"/>
              </w:rPr>
            </w:pPr>
            <w:r>
              <w:rPr>
                <w:rFonts w:hint="eastAsia" w:ascii="宋体" w:hAnsi="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值班室</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603250" cy="529590"/>
                  <wp:effectExtent l="0" t="0" r="6350" b="3810"/>
                  <wp:docPr id="1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
                          <pic:cNvPicPr>
                            <a:picLocks noChangeAspect="1"/>
                          </pic:cNvPicPr>
                        </pic:nvPicPr>
                        <pic:blipFill>
                          <a:blip r:embed="rId137"/>
                          <a:stretch>
                            <a:fillRect/>
                          </a:stretch>
                        </pic:blipFill>
                        <pic:spPr>
                          <a:xfrm>
                            <a:off x="0" y="0"/>
                            <a:ext cx="603250" cy="529590"/>
                          </a:xfrm>
                          <a:prstGeom prst="rect">
                            <a:avLst/>
                          </a:prstGeom>
                          <a:noFill/>
                          <a:ln>
                            <a:noFill/>
                          </a:ln>
                        </pic:spPr>
                      </pic:pic>
                    </a:graphicData>
                  </a:graphic>
                </wp:inline>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823104" behindDoc="0" locked="0" layoutInCell="1" allowOverlap="1">
                  <wp:simplePos x="0" y="0"/>
                  <wp:positionH relativeFrom="column">
                    <wp:posOffset>254000</wp:posOffset>
                  </wp:positionH>
                  <wp:positionV relativeFrom="paragraph">
                    <wp:posOffset>31750</wp:posOffset>
                  </wp:positionV>
                  <wp:extent cx="332105" cy="599440"/>
                  <wp:effectExtent l="0" t="0" r="10795" b="10160"/>
                  <wp:wrapNone/>
                  <wp:docPr id="14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6"/>
                          <pic:cNvPicPr>
                            <a:picLocks noChangeAspect="1"/>
                          </pic:cNvPicPr>
                        </pic:nvPicPr>
                        <pic:blipFill>
                          <a:blip r:embed="rId25"/>
                          <a:stretch>
                            <a:fillRect/>
                          </a:stretch>
                        </pic:blipFill>
                        <pic:spPr>
                          <a:xfrm>
                            <a:off x="0" y="0"/>
                            <a:ext cx="332105" cy="59944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0.9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5</w:t>
            </w:r>
          </w:p>
        </w:tc>
        <w:tc>
          <w:tcPr>
            <w:tcW w:w="104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更衣室</w:t>
            </w:r>
          </w:p>
        </w:tc>
        <w:tc>
          <w:tcPr>
            <w:tcW w:w="1182"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inline distT="0" distB="0" distL="114300" distR="114300">
                  <wp:extent cx="603250" cy="529590"/>
                  <wp:effectExtent l="0" t="0" r="6350" b="3810"/>
                  <wp:docPr id="1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7"/>
                          <pic:cNvPicPr>
                            <a:picLocks noChangeAspect="1"/>
                          </pic:cNvPicPr>
                        </pic:nvPicPr>
                        <pic:blipFill>
                          <a:blip r:embed="rId137"/>
                          <a:stretch>
                            <a:fillRect/>
                          </a:stretch>
                        </pic:blipFill>
                        <pic:spPr>
                          <a:xfrm>
                            <a:off x="0" y="0"/>
                            <a:ext cx="603250" cy="529590"/>
                          </a:xfrm>
                          <a:prstGeom prst="rect">
                            <a:avLst/>
                          </a:prstGeom>
                          <a:noFill/>
                          <a:ln>
                            <a:noFill/>
                          </a:ln>
                        </pic:spPr>
                      </pic:pic>
                    </a:graphicData>
                  </a:graphic>
                </wp:inline>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824128" behindDoc="0" locked="0" layoutInCell="1" allowOverlap="1">
                  <wp:simplePos x="0" y="0"/>
                  <wp:positionH relativeFrom="column">
                    <wp:posOffset>262255</wp:posOffset>
                  </wp:positionH>
                  <wp:positionV relativeFrom="paragraph">
                    <wp:posOffset>23495</wp:posOffset>
                  </wp:positionV>
                  <wp:extent cx="332105" cy="599440"/>
                  <wp:effectExtent l="0" t="0" r="10795" b="10160"/>
                  <wp:wrapNone/>
                  <wp:docPr id="1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6"/>
                          <pic:cNvPicPr>
                            <a:picLocks noChangeAspect="1"/>
                          </pic:cNvPicPr>
                        </pic:nvPicPr>
                        <pic:blipFill>
                          <a:blip r:embed="rId25"/>
                          <a:stretch>
                            <a:fillRect/>
                          </a:stretch>
                        </pic:blipFill>
                        <pic:spPr>
                          <a:xfrm>
                            <a:off x="0" y="0"/>
                            <a:ext cx="332105" cy="59944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2</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6</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处置室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18656" behindDoc="0" locked="0" layoutInCell="1" allowOverlap="1">
                  <wp:simplePos x="0" y="0"/>
                  <wp:positionH relativeFrom="column">
                    <wp:posOffset>-635</wp:posOffset>
                  </wp:positionH>
                  <wp:positionV relativeFrom="paragraph">
                    <wp:posOffset>608965</wp:posOffset>
                  </wp:positionV>
                  <wp:extent cx="663575" cy="696595"/>
                  <wp:effectExtent l="0" t="0" r="3175" b="8255"/>
                  <wp:wrapNone/>
                  <wp:docPr id="1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8"/>
                          <pic:cNvPicPr>
                            <a:picLocks noChangeAspect="1"/>
                          </pic:cNvPicPr>
                        </pic:nvPicPr>
                        <pic:blipFill>
                          <a:blip r:embed="rId138"/>
                          <a:stretch>
                            <a:fillRect/>
                          </a:stretch>
                        </pic:blipFill>
                        <pic:spPr>
                          <a:xfrm>
                            <a:off x="0" y="0"/>
                            <a:ext cx="663575" cy="696595"/>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694080" behindDoc="1" locked="0" layoutInCell="1" allowOverlap="1">
                  <wp:simplePos x="0" y="0"/>
                  <wp:positionH relativeFrom="column">
                    <wp:posOffset>-20955</wp:posOffset>
                  </wp:positionH>
                  <wp:positionV relativeFrom="paragraph">
                    <wp:posOffset>657225</wp:posOffset>
                  </wp:positionV>
                  <wp:extent cx="918845" cy="581025"/>
                  <wp:effectExtent l="0" t="0" r="14605" b="9525"/>
                  <wp:wrapNone/>
                  <wp:docPr id="170" name="图片 170"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6 处置室"/>
                          <pic:cNvPicPr>
                            <a:picLocks noChangeAspect="1"/>
                          </pic:cNvPicPr>
                        </pic:nvPicPr>
                        <pic:blipFill>
                          <a:blip r:embed="rId37"/>
                          <a:srcRect t="12257" r="17084"/>
                          <a:stretch>
                            <a:fillRect/>
                          </a:stretch>
                        </pic:blipFill>
                        <pic:spPr>
                          <a:xfrm>
                            <a:off x="0" y="0"/>
                            <a:ext cx="918845" cy="581025"/>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医用环保处置柜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壁柜（上）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L*350*600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处置台（下）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处置台台面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7</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库房</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863040" behindDoc="0" locked="0" layoutInCell="1" allowOverlap="1">
                  <wp:simplePos x="0" y="0"/>
                  <wp:positionH relativeFrom="column">
                    <wp:posOffset>0</wp:posOffset>
                  </wp:positionH>
                  <wp:positionV relativeFrom="paragraph">
                    <wp:posOffset>38100</wp:posOffset>
                  </wp:positionV>
                  <wp:extent cx="604520" cy="563880"/>
                  <wp:effectExtent l="0" t="0" r="5080" b="7620"/>
                  <wp:wrapNone/>
                  <wp:docPr id="17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9"/>
                          <pic:cNvPicPr>
                            <a:picLocks noChangeAspect="1"/>
                          </pic:cNvPicPr>
                        </pic:nvPicPr>
                        <pic:blipFill>
                          <a:blip r:embed="rId139"/>
                          <a:stretch>
                            <a:fillRect/>
                          </a:stretch>
                        </pic:blipFill>
                        <pic:spPr>
                          <a:xfrm>
                            <a:off x="0" y="0"/>
                            <a:ext cx="604520" cy="563880"/>
                          </a:xfrm>
                          <a:prstGeom prst="rect">
                            <a:avLst/>
                          </a:prstGeom>
                          <a:noFill/>
                          <a:ln>
                            <a:noFill/>
                          </a:ln>
                        </pic:spPr>
                      </pic:pic>
                    </a:graphicData>
                  </a:graphic>
                </wp:anchor>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b/>
                <w:bCs/>
                <w:sz w:val="18"/>
                <w:szCs w:val="18"/>
                <w:highlight w:val="none"/>
                <w:lang w:val="en-US" w:eastAsia="zh-CN"/>
              </w:rPr>
              <w:drawing>
                <wp:anchor distT="0" distB="0" distL="114300" distR="114300" simplePos="0" relativeHeight="251717632" behindDoc="0" locked="0" layoutInCell="1" allowOverlap="1">
                  <wp:simplePos x="0" y="0"/>
                  <wp:positionH relativeFrom="column">
                    <wp:posOffset>160655</wp:posOffset>
                  </wp:positionH>
                  <wp:positionV relativeFrom="paragraph">
                    <wp:posOffset>61595</wp:posOffset>
                  </wp:positionV>
                  <wp:extent cx="457200" cy="532130"/>
                  <wp:effectExtent l="0" t="0" r="0" b="1270"/>
                  <wp:wrapNone/>
                  <wp:docPr id="181" name="图片 18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图片1"/>
                          <pic:cNvPicPr>
                            <a:picLocks noChangeAspect="1"/>
                          </pic:cNvPicPr>
                        </pic:nvPicPr>
                        <pic:blipFill>
                          <a:blip r:embed="rId32"/>
                          <a:srcRect r="39120"/>
                          <a:stretch>
                            <a:fillRect/>
                          </a:stretch>
                        </pic:blipFill>
                        <pic:spPr>
                          <a:xfrm>
                            <a:off x="0" y="0"/>
                            <a:ext cx="457200" cy="53213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医用环保货架</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药品存储货架</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4.4</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55"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8</w:t>
            </w:r>
          </w:p>
        </w:tc>
        <w:tc>
          <w:tcPr>
            <w:tcW w:w="104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配餐室</w:t>
            </w:r>
          </w:p>
        </w:tc>
        <w:tc>
          <w:tcPr>
            <w:tcW w:w="1182" w:type="dxa"/>
            <w:vMerge w:val="restart"/>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716608" behindDoc="0" locked="0" layoutInCell="1" allowOverlap="1">
                  <wp:simplePos x="0" y="0"/>
                  <wp:positionH relativeFrom="column">
                    <wp:posOffset>-17145</wp:posOffset>
                  </wp:positionH>
                  <wp:positionV relativeFrom="paragraph">
                    <wp:posOffset>358140</wp:posOffset>
                  </wp:positionV>
                  <wp:extent cx="680085" cy="1069340"/>
                  <wp:effectExtent l="0" t="0" r="5715" b="16510"/>
                  <wp:wrapNone/>
                  <wp:docPr id="18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0"/>
                          <pic:cNvPicPr>
                            <a:picLocks noChangeAspect="1"/>
                          </pic:cNvPicPr>
                        </pic:nvPicPr>
                        <pic:blipFill>
                          <a:blip r:embed="rId140"/>
                          <a:stretch>
                            <a:fillRect/>
                          </a:stretch>
                        </pic:blipFill>
                        <pic:spPr>
                          <a:xfrm>
                            <a:off x="0" y="0"/>
                            <a:ext cx="680085" cy="1069340"/>
                          </a:xfrm>
                          <a:prstGeom prst="rect">
                            <a:avLst/>
                          </a:prstGeom>
                          <a:noFill/>
                          <a:ln>
                            <a:noFill/>
                          </a:ln>
                        </pic:spPr>
                      </pic:pic>
                    </a:graphicData>
                  </a:graphic>
                </wp:anchor>
              </w:drawing>
            </w:r>
          </w:p>
        </w:tc>
        <w:tc>
          <w:tcPr>
            <w:tcW w:w="1595" w:type="dxa"/>
            <w:vMerge w:val="restart"/>
            <w:vAlign w:val="top"/>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color w:val="000000" w:themeColor="text1"/>
                <w:kern w:val="2"/>
                <w:sz w:val="18"/>
                <w:szCs w:val="18"/>
                <w:highlight w:val="none"/>
                <w:lang w:val="en-US" w:eastAsia="zh-CN" w:bidi="ar-SA"/>
                <w14:textFill>
                  <w14:solidFill>
                    <w14:schemeClr w14:val="tx1"/>
                  </w14:solidFill>
                </w14:textFill>
              </w:rPr>
              <w:drawing>
                <wp:anchor distT="0" distB="0" distL="114300" distR="114300" simplePos="0" relativeHeight="251702272" behindDoc="1" locked="0" layoutInCell="1" allowOverlap="1">
                  <wp:simplePos x="0" y="0"/>
                  <wp:positionH relativeFrom="column">
                    <wp:posOffset>-26670</wp:posOffset>
                  </wp:positionH>
                  <wp:positionV relativeFrom="paragraph">
                    <wp:posOffset>493395</wp:posOffset>
                  </wp:positionV>
                  <wp:extent cx="951230" cy="680085"/>
                  <wp:effectExtent l="0" t="0" r="1270" b="5715"/>
                  <wp:wrapNone/>
                  <wp:docPr id="185" name="图片 185"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6 处置室"/>
                          <pic:cNvPicPr>
                            <a:picLocks noChangeAspect="1"/>
                          </pic:cNvPicPr>
                        </pic:nvPicPr>
                        <pic:blipFill>
                          <a:blip r:embed="rId37"/>
                          <a:srcRect t="21113" r="19802"/>
                          <a:stretch>
                            <a:fillRect/>
                          </a:stretch>
                        </pic:blipFill>
                        <pic:spPr>
                          <a:xfrm>
                            <a:off x="0" y="0"/>
                            <a:ext cx="951230" cy="680085"/>
                          </a:xfrm>
                          <a:prstGeom prst="rect">
                            <a:avLst/>
                          </a:prstGeom>
                        </pic:spPr>
                      </pic:pic>
                    </a:graphicData>
                  </a:graphic>
                </wp:anchor>
              </w:drawing>
            </w:r>
          </w:p>
        </w:tc>
        <w:tc>
          <w:tcPr>
            <w:tcW w:w="1080" w:type="dxa"/>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医用环保配餐柜</w:t>
            </w:r>
          </w:p>
        </w:tc>
        <w:tc>
          <w:tcPr>
            <w:tcW w:w="1529"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壁柜 （上）</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L*350*600</w:t>
            </w:r>
          </w:p>
        </w:tc>
        <w:tc>
          <w:tcPr>
            <w:tcW w:w="627"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置物架（中）</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L*350*550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配餐台（下）</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配餐台台面</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L*600*12</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1.6</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水龙头（非感应）</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大单水槽</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04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182"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595" w:type="dxa"/>
            <w:vMerge w:val="continue"/>
          </w:tcPr>
          <w:p>
            <w:pPr>
              <w:spacing w:line="240" w:lineRule="auto"/>
              <w:rPr>
                <w:rFonts w:hint="eastAsia" w:ascii="宋体" w:hAnsi="宋体" w:eastAsia="宋体" w:cs="宋体"/>
                <w:sz w:val="18"/>
                <w:szCs w:val="18"/>
                <w:highlight w:val="none"/>
                <w:vertAlign w:val="baseline"/>
                <w:lang w:val="en-US" w:eastAsia="zh-CN"/>
              </w:rPr>
            </w:pPr>
          </w:p>
        </w:tc>
        <w:tc>
          <w:tcPr>
            <w:tcW w:w="1080" w:type="dxa"/>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有机玻璃挡水</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套</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9</w:t>
            </w:r>
          </w:p>
        </w:tc>
        <w:tc>
          <w:tcPr>
            <w:tcW w:w="1040"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护理用房</w:t>
            </w:r>
          </w:p>
        </w:tc>
        <w:tc>
          <w:tcPr>
            <w:tcW w:w="1182" w:type="dxa"/>
          </w:tcPr>
          <w:p>
            <w:pPr>
              <w:spacing w:line="240" w:lineRule="auto"/>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inline distT="0" distB="0" distL="114300" distR="114300">
                  <wp:extent cx="604520" cy="594995"/>
                  <wp:effectExtent l="0" t="0" r="5080" b="14605"/>
                  <wp:docPr id="19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1"/>
                          <pic:cNvPicPr>
                            <a:picLocks noChangeAspect="1"/>
                          </pic:cNvPicPr>
                        </pic:nvPicPr>
                        <pic:blipFill>
                          <a:blip r:embed="rId141"/>
                          <a:stretch>
                            <a:fillRect/>
                          </a:stretch>
                        </pic:blipFill>
                        <pic:spPr>
                          <a:xfrm>
                            <a:off x="0" y="0"/>
                            <a:ext cx="604520" cy="594995"/>
                          </a:xfrm>
                          <a:prstGeom prst="rect">
                            <a:avLst/>
                          </a:prstGeom>
                          <a:noFill/>
                          <a:ln>
                            <a:noFill/>
                          </a:ln>
                        </pic:spPr>
                      </pic:pic>
                    </a:graphicData>
                  </a:graphic>
                </wp:inline>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715584" behindDoc="0" locked="0" layoutInCell="1" allowOverlap="1">
                  <wp:simplePos x="0" y="0"/>
                  <wp:positionH relativeFrom="column">
                    <wp:posOffset>245745</wp:posOffset>
                  </wp:positionH>
                  <wp:positionV relativeFrom="paragraph">
                    <wp:posOffset>7620</wp:posOffset>
                  </wp:positionV>
                  <wp:extent cx="356870" cy="643890"/>
                  <wp:effectExtent l="0" t="0" r="5080" b="3810"/>
                  <wp:wrapNone/>
                  <wp:docPr id="20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6"/>
                          <pic:cNvPicPr>
                            <a:picLocks noChangeAspect="1"/>
                          </pic:cNvPicPr>
                        </pic:nvPicPr>
                        <pic:blipFill>
                          <a:blip r:embed="rId25"/>
                          <a:stretch>
                            <a:fillRect/>
                          </a:stretch>
                        </pic:blipFill>
                        <pic:spPr>
                          <a:xfrm>
                            <a:off x="0" y="0"/>
                            <a:ext cx="356870" cy="643890"/>
                          </a:xfrm>
                          <a:prstGeom prst="rect">
                            <a:avLst/>
                          </a:prstGeom>
                          <a:noFill/>
                          <a:ln w="9525">
                            <a:noFill/>
                          </a:ln>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更衣柜（6门）</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L*500*2000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米</w:t>
            </w:r>
          </w:p>
        </w:tc>
        <w:tc>
          <w:tcPr>
            <w:tcW w:w="680" w:type="dxa"/>
            <w:vAlign w:val="center"/>
          </w:tcPr>
          <w:p>
            <w:pPr>
              <w:spacing w:line="240" w:lineRule="auto"/>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kern w:val="2"/>
                <w:sz w:val="18"/>
                <w:szCs w:val="18"/>
                <w:highlight w:val="none"/>
                <w:lang w:val="en-US" w:eastAsia="zh-CN" w:bidi="ar-SA"/>
              </w:rPr>
              <w:t>0.9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10</w:t>
            </w:r>
          </w:p>
        </w:tc>
        <w:tc>
          <w:tcPr>
            <w:tcW w:w="104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病房</w:t>
            </w:r>
          </w:p>
        </w:tc>
        <w:tc>
          <w:tcPr>
            <w:tcW w:w="1182"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rPr>
              <w:drawing>
                <wp:anchor distT="0" distB="0" distL="114300" distR="114300" simplePos="0" relativeHeight="251825152" behindDoc="0" locked="0" layoutInCell="1" allowOverlap="1">
                  <wp:simplePos x="0" y="0"/>
                  <wp:positionH relativeFrom="column">
                    <wp:posOffset>194945</wp:posOffset>
                  </wp:positionH>
                  <wp:positionV relativeFrom="paragraph">
                    <wp:posOffset>37465</wp:posOffset>
                  </wp:positionV>
                  <wp:extent cx="290830" cy="615950"/>
                  <wp:effectExtent l="0" t="0" r="13970" b="12700"/>
                  <wp:wrapNone/>
                  <wp:docPr id="2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2"/>
                          <pic:cNvPicPr>
                            <a:picLocks noChangeAspect="1"/>
                          </pic:cNvPicPr>
                        </pic:nvPicPr>
                        <pic:blipFill>
                          <a:blip r:embed="rId142"/>
                          <a:stretch>
                            <a:fillRect/>
                          </a:stretch>
                        </pic:blipFill>
                        <pic:spPr>
                          <a:xfrm>
                            <a:off x="0" y="0"/>
                            <a:ext cx="290830" cy="615950"/>
                          </a:xfrm>
                          <a:prstGeom prst="rect">
                            <a:avLst/>
                          </a:prstGeom>
                          <a:noFill/>
                          <a:ln>
                            <a:noFill/>
                          </a:ln>
                        </pic:spPr>
                      </pic:pic>
                    </a:graphicData>
                  </a:graphic>
                </wp:anchor>
              </w:drawing>
            </w:r>
          </w:p>
        </w:tc>
        <w:tc>
          <w:tcPr>
            <w:tcW w:w="1595" w:type="dxa"/>
            <w:vAlign w:val="top"/>
          </w:tcPr>
          <w:p>
            <w:pPr>
              <w:spacing w:line="240" w:lineRule="auto"/>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drawing>
                <wp:anchor distT="0" distB="0" distL="114300" distR="114300" simplePos="0" relativeHeight="251714560" behindDoc="0" locked="0" layoutInCell="1" allowOverlap="1">
                  <wp:simplePos x="0" y="0"/>
                  <wp:positionH relativeFrom="column">
                    <wp:posOffset>160655</wp:posOffset>
                  </wp:positionH>
                  <wp:positionV relativeFrom="paragraph">
                    <wp:posOffset>51435</wp:posOffset>
                  </wp:positionV>
                  <wp:extent cx="595630" cy="664210"/>
                  <wp:effectExtent l="0" t="0" r="13970" b="2540"/>
                  <wp:wrapNone/>
                  <wp:docPr id="84" name="图片 84" descr="e5beb3a418791159d1253f0e2995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e5beb3a418791159d1253f0e29953a0"/>
                          <pic:cNvPicPr>
                            <a:picLocks noChangeAspect="1"/>
                          </pic:cNvPicPr>
                        </pic:nvPicPr>
                        <pic:blipFill>
                          <a:blip r:embed="rId100"/>
                          <a:srcRect l="5046" t="10826" r="12317" b="20065"/>
                          <a:stretch>
                            <a:fillRect/>
                          </a:stretch>
                        </pic:blipFill>
                        <pic:spPr>
                          <a:xfrm>
                            <a:off x="0" y="0"/>
                            <a:ext cx="595630" cy="664210"/>
                          </a:xfrm>
                          <a:prstGeom prst="rect">
                            <a:avLst/>
                          </a:prstGeom>
                        </pic:spPr>
                      </pic:pic>
                    </a:graphicData>
                  </a:graphic>
                </wp:anchor>
              </w:drawing>
            </w:r>
          </w:p>
        </w:tc>
        <w:tc>
          <w:tcPr>
            <w:tcW w:w="10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医用环保储物柜</w:t>
            </w:r>
          </w:p>
        </w:tc>
        <w:tc>
          <w:tcPr>
            <w:tcW w:w="1529"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入墙更衣柜</w:t>
            </w:r>
          </w:p>
        </w:tc>
        <w:tc>
          <w:tcPr>
            <w:tcW w:w="1341"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L*700*2530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63.9</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422" w:type="dxa"/>
            <w:gridSpan w:val="10"/>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b/>
                <w:bCs/>
                <w:kern w:val="2"/>
                <w:sz w:val="18"/>
                <w:szCs w:val="18"/>
                <w:highlight w:val="none"/>
                <w:vertAlign w:val="baseline"/>
                <w:lang w:val="en-US" w:eastAsia="zh-CN" w:bidi="ar-SA"/>
              </w:rPr>
              <w:t>实验室家具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c>
          <w:tcPr>
            <w:tcW w:w="2222" w:type="dxa"/>
            <w:gridSpan w:val="2"/>
            <w:vMerge w:val="restart"/>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化验区</w:t>
            </w:r>
          </w:p>
        </w:tc>
        <w:tc>
          <w:tcPr>
            <w:tcW w:w="2675" w:type="dxa"/>
            <w:gridSpan w:val="2"/>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实验室专用边台</w:t>
            </w:r>
          </w:p>
        </w:tc>
        <w:tc>
          <w:tcPr>
            <w:tcW w:w="2870" w:type="dxa"/>
            <w:gridSpan w:val="2"/>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3530*750*850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3.53</w:t>
            </w:r>
          </w:p>
        </w:tc>
        <w:tc>
          <w:tcPr>
            <w:tcW w:w="693"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rPr>
              <w:drawing>
                <wp:anchor distT="0" distB="0" distL="114300" distR="114300" simplePos="0" relativeHeight="251699200" behindDoc="1" locked="0" layoutInCell="1" allowOverlap="1">
                  <wp:simplePos x="0" y="0"/>
                  <wp:positionH relativeFrom="column">
                    <wp:posOffset>380365</wp:posOffset>
                  </wp:positionH>
                  <wp:positionV relativeFrom="paragraph">
                    <wp:posOffset>45085</wp:posOffset>
                  </wp:positionV>
                  <wp:extent cx="1338580" cy="923925"/>
                  <wp:effectExtent l="0" t="0" r="13970" b="9525"/>
                  <wp:wrapNone/>
                  <wp:docPr id="288" name="图片 1" descr="ecd09dfb9fa0571a8bf063daa0be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 descr="ecd09dfb9fa0571a8bf063daa0be583"/>
                          <pic:cNvPicPr>
                            <a:picLocks noChangeAspect="1"/>
                          </pic:cNvPicPr>
                        </pic:nvPicPr>
                        <pic:blipFill>
                          <a:blip r:embed="rId143"/>
                          <a:stretch>
                            <a:fillRect/>
                          </a:stretch>
                        </pic:blipFill>
                        <pic:spPr>
                          <a:xfrm>
                            <a:off x="0" y="0"/>
                            <a:ext cx="1338580" cy="923925"/>
                          </a:xfrm>
                          <a:prstGeom prst="rect">
                            <a:avLst/>
                          </a:prstGeom>
                        </pic:spPr>
                      </pic:pic>
                    </a:graphicData>
                  </a:graphic>
                </wp:anchor>
              </w:drawing>
            </w:r>
            <w:r>
              <w:rPr>
                <w:rFonts w:hint="eastAsia" w:ascii="宋体" w:hAnsi="宋体" w:eastAsia="宋体" w:cs="宋体"/>
                <w:sz w:val="18"/>
                <w:szCs w:val="18"/>
                <w:highlight w:val="none"/>
                <w:vertAlign w:val="baseline"/>
                <w:lang w:val="en-US" w:eastAsia="zh-CN"/>
              </w:rPr>
              <w:t>2</w:t>
            </w:r>
          </w:p>
        </w:tc>
        <w:tc>
          <w:tcPr>
            <w:tcW w:w="2222" w:type="dxa"/>
            <w:gridSpan w:val="2"/>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2675" w:type="dxa"/>
            <w:gridSpan w:val="2"/>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实验室专用边台</w:t>
            </w:r>
          </w:p>
        </w:tc>
        <w:tc>
          <w:tcPr>
            <w:tcW w:w="2870" w:type="dxa"/>
            <w:gridSpan w:val="2"/>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1730*750*850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1.73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3</w:t>
            </w:r>
          </w:p>
        </w:tc>
        <w:tc>
          <w:tcPr>
            <w:tcW w:w="2222" w:type="dxa"/>
            <w:gridSpan w:val="2"/>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2675" w:type="dxa"/>
            <w:gridSpan w:val="2"/>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实验室专用边台</w:t>
            </w:r>
          </w:p>
        </w:tc>
        <w:tc>
          <w:tcPr>
            <w:tcW w:w="2870" w:type="dxa"/>
            <w:gridSpan w:val="2"/>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4300*750*850</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4.3</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sz w:val="18"/>
                <w:szCs w:val="18"/>
                <w:highlight w:val="none"/>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4</w:t>
            </w:r>
          </w:p>
        </w:tc>
        <w:tc>
          <w:tcPr>
            <w:tcW w:w="2222" w:type="dxa"/>
            <w:gridSpan w:val="2"/>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2675" w:type="dxa"/>
            <w:gridSpan w:val="2"/>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实验室专用水槽+感应龙头</w:t>
            </w:r>
          </w:p>
        </w:tc>
        <w:tc>
          <w:tcPr>
            <w:tcW w:w="2870" w:type="dxa"/>
            <w:gridSpan w:val="2"/>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常规</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个</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5</w:t>
            </w:r>
          </w:p>
        </w:tc>
        <w:tc>
          <w:tcPr>
            <w:tcW w:w="2222" w:type="dxa"/>
            <w:gridSpan w:val="2"/>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2675" w:type="dxa"/>
            <w:gridSpan w:val="2"/>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实验室专用上下水管+存水弯</w:t>
            </w:r>
          </w:p>
        </w:tc>
        <w:tc>
          <w:tcPr>
            <w:tcW w:w="2870" w:type="dxa"/>
            <w:gridSpan w:val="2"/>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常规</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个</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55" w:type="dxa"/>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6</w:t>
            </w:r>
          </w:p>
        </w:tc>
        <w:tc>
          <w:tcPr>
            <w:tcW w:w="2222" w:type="dxa"/>
            <w:gridSpan w:val="2"/>
            <w:vMerge w:val="continue"/>
            <w:vAlign w:val="center"/>
          </w:tcPr>
          <w:p>
            <w:pPr>
              <w:spacing w:line="240" w:lineRule="auto"/>
              <w:jc w:val="center"/>
              <w:rPr>
                <w:rFonts w:hint="eastAsia" w:ascii="宋体" w:hAnsi="宋体" w:eastAsia="宋体" w:cs="宋体"/>
                <w:sz w:val="18"/>
                <w:szCs w:val="18"/>
                <w:highlight w:val="none"/>
                <w:vertAlign w:val="baseline"/>
                <w:lang w:val="en-US" w:eastAsia="zh-CN"/>
              </w:rPr>
            </w:pPr>
          </w:p>
        </w:tc>
        <w:tc>
          <w:tcPr>
            <w:tcW w:w="2675" w:type="dxa"/>
            <w:gridSpan w:val="2"/>
            <w:vAlign w:val="center"/>
          </w:tcPr>
          <w:p>
            <w:pPr>
              <w:spacing w:line="240" w:lineRule="auto"/>
              <w:jc w:val="center"/>
              <w:rPr>
                <w:rFonts w:hint="eastAsia" w:ascii="宋体" w:hAnsi="宋体" w:eastAsia="宋体" w:cs="宋体"/>
                <w:sz w:val="18"/>
                <w:szCs w:val="18"/>
                <w:highlight w:val="none"/>
                <w:vertAlign w:val="baseline"/>
                <w:lang w:val="en-US" w:eastAsia="zh-CN"/>
              </w:rPr>
            </w:pPr>
            <w:r>
              <w:rPr>
                <w:rFonts w:hint="eastAsia" w:ascii="宋体" w:hAnsi="宋体" w:eastAsia="宋体" w:cs="宋体"/>
                <w:sz w:val="18"/>
                <w:szCs w:val="18"/>
                <w:highlight w:val="none"/>
                <w:vertAlign w:val="baseline"/>
                <w:lang w:val="en-US" w:eastAsia="zh-CN"/>
              </w:rPr>
              <w:t>实验室专用挡水条</w:t>
            </w:r>
          </w:p>
        </w:tc>
        <w:tc>
          <w:tcPr>
            <w:tcW w:w="2870" w:type="dxa"/>
            <w:gridSpan w:val="2"/>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常规</w:t>
            </w:r>
          </w:p>
        </w:tc>
        <w:tc>
          <w:tcPr>
            <w:tcW w:w="627"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米</w:t>
            </w:r>
          </w:p>
        </w:tc>
        <w:tc>
          <w:tcPr>
            <w:tcW w:w="680"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1</w:t>
            </w:r>
          </w:p>
        </w:tc>
        <w:tc>
          <w:tcPr>
            <w:tcW w:w="693" w:type="dxa"/>
            <w:vAlign w:val="center"/>
          </w:tcPr>
          <w:p>
            <w:pPr>
              <w:spacing w:line="240" w:lineRule="auto"/>
              <w:jc w:val="center"/>
              <w:rPr>
                <w:rFonts w:hint="eastAsia" w:ascii="宋体" w:hAnsi="宋体" w:eastAsia="宋体" w:cs="宋体"/>
                <w:kern w:val="2"/>
                <w:sz w:val="18"/>
                <w:szCs w:val="18"/>
                <w:highlight w:val="none"/>
                <w:vertAlign w:val="baseline"/>
                <w:lang w:val="en-US" w:eastAsia="zh-CN" w:bidi="ar-SA"/>
              </w:rPr>
            </w:pPr>
            <w:r>
              <w:rPr>
                <w:rFonts w:hint="eastAsia" w:ascii="宋体" w:hAnsi="宋体" w:eastAsia="宋体" w:cs="宋体"/>
                <w:kern w:val="2"/>
                <w:sz w:val="18"/>
                <w:szCs w:val="18"/>
                <w:highlight w:val="none"/>
                <w:vertAlign w:val="baseline"/>
                <w:lang w:val="en-US" w:eastAsia="zh-CN" w:bidi="ar-SA"/>
              </w:rPr>
              <w:t>4</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（四）技术商务要求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1.技术要求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（1）本技术规范要求提出的是最低限度的基本技术要求，</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应提供符合本技术要求和国家标准、行业标准的优质产品。</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（2）</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的产品与技术规格应与本项目要求的技术规格相符或优于本项目要求的技术规格，并在投标文件中予以说明。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（3）技术要求及标准的执行</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提供的产品应标明所执行的质量标准，若同一标准已颁发新标准，则按最新标准执行。若同一产品同时有几个标准（国际标准、国家标准、行业标准、企业标准等），则按最高层次的标准执行。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cs="宋体"/>
          <w:sz w:val="21"/>
          <w:szCs w:val="21"/>
          <w:highlight w:val="none"/>
          <w:lang w:val="en-US" w:eastAsia="zh-CN"/>
        </w:rPr>
        <w:t>4</w:t>
      </w:r>
      <w:r>
        <w:rPr>
          <w:rFonts w:hint="eastAsia" w:ascii="宋体" w:hAnsi="宋体" w:eastAsia="宋体" w:cs="宋体"/>
          <w:sz w:val="21"/>
          <w:szCs w:val="21"/>
          <w:highlight w:val="none"/>
          <w:lang w:eastAsia="zh-CN"/>
        </w:rPr>
        <w:t>）同类家具（如不同尺寸规格的定制</w:t>
      </w:r>
      <w:r>
        <w:rPr>
          <w:rFonts w:hint="eastAsia" w:cs="宋体"/>
          <w:sz w:val="21"/>
          <w:szCs w:val="21"/>
          <w:highlight w:val="none"/>
          <w:lang w:eastAsia="zh-CN"/>
        </w:rPr>
        <w:t>柜</w:t>
      </w:r>
      <w:r>
        <w:rPr>
          <w:rFonts w:hint="eastAsia" w:ascii="宋体" w:hAnsi="宋体" w:eastAsia="宋体" w:cs="宋体"/>
          <w:sz w:val="21"/>
          <w:szCs w:val="21"/>
          <w:highlight w:val="none"/>
          <w:lang w:eastAsia="zh-CN"/>
        </w:rPr>
        <w:t>）的配件（如锁具）、原材料（如油漆）应采用同一品牌。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cs="宋体"/>
          <w:sz w:val="21"/>
          <w:szCs w:val="21"/>
          <w:highlight w:val="none"/>
          <w:lang w:val="en-US" w:eastAsia="zh-CN"/>
        </w:rPr>
        <w:t>5</w:t>
      </w:r>
      <w:r>
        <w:rPr>
          <w:rFonts w:hint="eastAsia" w:ascii="宋体" w:hAnsi="宋体" w:eastAsia="宋体" w:cs="宋体"/>
          <w:sz w:val="21"/>
          <w:szCs w:val="21"/>
          <w:highlight w:val="none"/>
          <w:lang w:eastAsia="zh-CN"/>
        </w:rPr>
        <w:t>）其他技术规格详见</w:t>
      </w:r>
      <w:r>
        <w:rPr>
          <w:rFonts w:hint="eastAsia" w:cs="宋体"/>
          <w:sz w:val="21"/>
          <w:szCs w:val="21"/>
          <w:highlight w:val="none"/>
          <w:lang w:eastAsia="zh-CN"/>
        </w:rPr>
        <w:t>参数要求表和</w:t>
      </w:r>
      <w:r>
        <w:rPr>
          <w:rFonts w:hint="eastAsia" w:cs="宋体"/>
          <w:sz w:val="21"/>
          <w:szCs w:val="21"/>
          <w:highlight w:val="none"/>
          <w:lang w:val="en-US" w:eastAsia="zh-CN"/>
        </w:rPr>
        <w:t>医疗定制家具</w:t>
      </w:r>
      <w:r>
        <w:rPr>
          <w:rFonts w:hint="eastAsia" w:cs="宋体"/>
          <w:sz w:val="21"/>
          <w:szCs w:val="21"/>
          <w:highlight w:val="none"/>
          <w:lang w:eastAsia="zh-CN"/>
        </w:rPr>
        <w:t>清单</w:t>
      </w:r>
      <w:r>
        <w:rPr>
          <w:rFonts w:hint="eastAsia" w:ascii="宋体" w:hAnsi="宋体" w:eastAsia="宋体" w:cs="宋体"/>
          <w:sz w:val="21"/>
          <w:szCs w:val="21"/>
          <w:highlight w:val="none"/>
          <w:lang w:eastAsia="zh-CN"/>
        </w:rPr>
        <w:t>。</w:t>
      </w:r>
    </w:p>
    <w:p>
      <w:pPr>
        <w:rPr>
          <w:rFonts w:hint="eastAsia"/>
          <w:color w:val="auto"/>
          <w:lang w:val="en-US" w:eastAsia="zh-CN"/>
        </w:rPr>
        <w:sectPr>
          <w:pgSz w:w="11905" w:h="16838"/>
          <w:pgMar w:top="1417" w:right="1417" w:bottom="1417" w:left="1417" w:header="851" w:footer="992" w:gutter="0"/>
          <w:pgNumType w:fmt="decimal"/>
          <w:cols w:space="0" w:num="1"/>
          <w:titlePg/>
          <w:rtlGutter w:val="0"/>
          <w:docGrid w:linePitch="312" w:charSpace="0"/>
        </w:sectPr>
      </w:pPr>
    </w:p>
    <w:p>
      <w:pPr>
        <w:pStyle w:val="123"/>
        <w:numPr>
          <w:ilvl w:val="0"/>
          <w:numId w:val="0"/>
        </w:numPr>
        <w:spacing w:line="360" w:lineRule="auto"/>
        <w:jc w:val="center"/>
        <w:rPr>
          <w:rFonts w:hint="eastAsia" w:ascii="Times New Roman" w:hAnsi="Times New Roman" w:eastAsia="宋体"/>
          <w:b/>
          <w:color w:val="auto"/>
          <w:sz w:val="24"/>
          <w:szCs w:val="24"/>
          <w:highlight w:val="none"/>
          <w:lang w:eastAsia="zh-CN"/>
        </w:rPr>
      </w:pPr>
      <w:r>
        <w:rPr>
          <w:rFonts w:hint="eastAsia" w:ascii="Times New Roman" w:hAnsi="Times New Roman" w:eastAsia="宋体"/>
          <w:b/>
          <w:color w:val="auto"/>
          <w:sz w:val="24"/>
          <w:szCs w:val="24"/>
          <w:highlight w:val="none"/>
          <w:lang w:val="en-US" w:eastAsia="zh-CN"/>
        </w:rPr>
        <w:t>参数</w:t>
      </w:r>
      <w:r>
        <w:rPr>
          <w:rFonts w:ascii="Times New Roman" w:hAnsi="Times New Roman" w:eastAsia="宋体"/>
          <w:b/>
          <w:color w:val="auto"/>
          <w:sz w:val="24"/>
          <w:szCs w:val="24"/>
          <w:highlight w:val="none"/>
        </w:rPr>
        <w:t>要求</w:t>
      </w:r>
      <w:r>
        <w:rPr>
          <w:rFonts w:hint="eastAsia" w:ascii="Times New Roman" w:hAnsi="Times New Roman" w:eastAsia="宋体"/>
          <w:b/>
          <w:color w:val="auto"/>
          <w:sz w:val="24"/>
          <w:szCs w:val="24"/>
          <w:highlight w:val="none"/>
          <w:lang w:eastAsia="zh-CN"/>
        </w:rPr>
        <w:t>表</w:t>
      </w:r>
    </w:p>
    <w:tbl>
      <w:tblPr>
        <w:tblStyle w:val="42"/>
        <w:tblW w:w="1054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4"/>
        <w:gridCol w:w="1334"/>
        <w:gridCol w:w="6217"/>
        <w:gridCol w:w="650"/>
        <w:gridCol w:w="16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Style w:val="121"/>
                <w:rFonts w:hint="eastAsia" w:ascii="宋体" w:hAnsi="宋体" w:eastAsia="宋体" w:cs="宋体"/>
                <w:b/>
                <w:bCs/>
                <w:color w:val="auto"/>
                <w:sz w:val="21"/>
                <w:szCs w:val="21"/>
                <w:lang w:val="en-US" w:eastAsia="zh-CN" w:bidi="ar"/>
              </w:rPr>
            </w:pPr>
            <w:r>
              <w:rPr>
                <w:rStyle w:val="121"/>
                <w:rFonts w:hint="eastAsia" w:ascii="宋体" w:hAnsi="宋体" w:eastAsia="宋体" w:cs="宋体"/>
                <w:b/>
                <w:bCs/>
                <w:color w:val="auto"/>
                <w:sz w:val="21"/>
                <w:szCs w:val="21"/>
                <w:lang w:val="en-US" w:eastAsia="zh-CN" w:bidi="ar"/>
              </w:rPr>
              <w:t>序号</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Style w:val="121"/>
                <w:rFonts w:hint="eastAsia" w:ascii="宋体" w:hAnsi="宋体" w:eastAsia="宋体" w:cs="宋体"/>
                <w:b/>
                <w:bCs/>
                <w:color w:val="auto"/>
                <w:sz w:val="21"/>
                <w:szCs w:val="21"/>
                <w:lang w:val="en-US" w:eastAsia="zh-CN" w:bidi="ar"/>
              </w:rPr>
            </w:pPr>
            <w:r>
              <w:rPr>
                <w:rStyle w:val="121"/>
                <w:rFonts w:hint="eastAsia" w:ascii="宋体" w:hAnsi="宋体" w:eastAsia="宋体" w:cs="宋体"/>
                <w:b/>
                <w:bCs/>
                <w:color w:val="auto"/>
                <w:sz w:val="21"/>
                <w:szCs w:val="21"/>
                <w:lang w:val="en-US" w:eastAsia="zh-CN" w:bidi="ar"/>
              </w:rPr>
              <w:t>设备名称</w:t>
            </w:r>
          </w:p>
        </w:tc>
        <w:tc>
          <w:tcPr>
            <w:tcW w:w="6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Style w:val="121"/>
                <w:rFonts w:hint="default" w:ascii="宋体" w:hAnsi="宋体" w:eastAsia="宋体" w:cs="宋体"/>
                <w:b/>
                <w:bCs/>
                <w:color w:val="auto"/>
                <w:sz w:val="21"/>
                <w:szCs w:val="21"/>
                <w:lang w:val="en-US" w:eastAsia="zh-CN" w:bidi="ar"/>
              </w:rPr>
            </w:pPr>
            <w:r>
              <w:rPr>
                <w:rStyle w:val="121"/>
                <w:rFonts w:hint="eastAsia" w:ascii="宋体" w:hAnsi="宋体" w:eastAsia="宋体" w:cs="宋体"/>
                <w:b/>
                <w:bCs/>
                <w:color w:val="auto"/>
                <w:sz w:val="21"/>
                <w:szCs w:val="21"/>
                <w:lang w:val="en-US" w:eastAsia="zh-CN" w:bidi="ar"/>
              </w:rPr>
              <w:t>技术参数要求</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Style w:val="121"/>
                <w:rFonts w:hint="eastAsia" w:ascii="宋体" w:hAnsi="宋体" w:eastAsia="宋体" w:cs="宋体"/>
                <w:b/>
                <w:bCs/>
                <w:color w:val="auto"/>
                <w:sz w:val="21"/>
                <w:szCs w:val="21"/>
                <w:lang w:val="en-US" w:eastAsia="zh-CN" w:bidi="ar"/>
              </w:rPr>
            </w:pPr>
            <w:r>
              <w:rPr>
                <w:rStyle w:val="121"/>
                <w:rFonts w:hint="eastAsia" w:ascii="宋体" w:hAnsi="宋体" w:eastAsia="宋体" w:cs="宋体"/>
                <w:b/>
                <w:bCs/>
                <w:color w:val="auto"/>
                <w:sz w:val="21"/>
                <w:szCs w:val="21"/>
                <w:lang w:val="en-US" w:eastAsia="zh-CN" w:bidi="ar"/>
              </w:rPr>
              <w:t>单位</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Style w:val="121"/>
                <w:rFonts w:hint="eastAsia" w:ascii="宋体" w:hAnsi="宋体" w:eastAsia="宋体" w:cs="宋体"/>
                <w:b/>
                <w:bCs/>
                <w:color w:val="auto"/>
                <w:sz w:val="21"/>
                <w:szCs w:val="21"/>
                <w:lang w:val="en-US" w:eastAsia="zh-CN" w:bidi="ar"/>
              </w:rPr>
            </w:pPr>
            <w:r>
              <w:rPr>
                <w:rStyle w:val="121"/>
                <w:rFonts w:hint="eastAsia" w:ascii="宋体" w:hAnsi="宋体" w:eastAsia="宋体" w:cs="宋体"/>
                <w:b/>
                <w:bCs/>
                <w:color w:val="auto"/>
                <w:sz w:val="21"/>
                <w:szCs w:val="21"/>
                <w:lang w:val="en-US" w:eastAsia="zh-CN" w:bidi="ar"/>
              </w:rPr>
              <w:t>图片仅供参考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r>
              <w:rPr>
                <w:rFonts w:hint="eastAsia" w:cs="宋体"/>
                <w:b w:val="0"/>
                <w:bCs w:val="0"/>
                <w:i w:val="0"/>
                <w:iCs w:val="0"/>
                <w:color w:val="auto"/>
                <w:kern w:val="2"/>
                <w:sz w:val="21"/>
                <w:szCs w:val="21"/>
                <w:u w:val="none"/>
                <w:lang w:val="en-US" w:eastAsia="zh-CN" w:bidi="ar-SA"/>
              </w:rPr>
              <w:t>1</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sz w:val="21"/>
                <w:szCs w:val="21"/>
                <w:highlight w:val="none"/>
                <w:lang w:val="en-US" w:eastAsia="zh-CN"/>
              </w:rPr>
              <w:t>医用环保污物柜</w:t>
            </w:r>
          </w:p>
        </w:tc>
        <w:tc>
          <w:tcPr>
            <w:tcW w:w="6217"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widowControl/>
              <w:suppressLineNumbers w:val="0"/>
              <w:spacing w:line="240" w:lineRule="auto"/>
              <w:jc w:val="left"/>
              <w:textAlignment w:val="top"/>
              <w:rPr>
                <w:rFonts w:hint="eastAsia"/>
                <w:lang w:val="en-US" w:eastAsia="zh-CN"/>
              </w:rPr>
            </w:pPr>
            <w:r>
              <w:rPr>
                <w:rFonts w:hint="eastAsia"/>
                <w:lang w:val="en-US" w:eastAsia="zh-CN"/>
              </w:rPr>
              <w:t>1.整体采用优质1.0mm厚冷轧板材质制作，焊接均匀，无毛刺，表面光亮。注：供应商提供通过省级或省级以上检测中心出具抽样的《1.0mm冷轧钢板》检验报告，且检测中可溶性铅、可溶性镉、可溶性铬、可溶性汞</w:t>
            </w:r>
            <w:r>
              <w:rPr>
                <w:rFonts w:hint="eastAsia"/>
                <w:lang w:val="en-US"/>
              </w:rPr>
              <w:t>检验结果为未检出</w:t>
            </w:r>
            <w:r>
              <w:rPr>
                <w:rFonts w:hint="eastAsia"/>
                <w:lang w:val="en-US" w:eastAsia="zh-CN"/>
              </w:rPr>
              <w:t>。</w:t>
            </w:r>
          </w:p>
          <w:p>
            <w:pPr>
              <w:keepNext w:val="0"/>
              <w:keepLines w:val="0"/>
              <w:widowControl/>
              <w:suppressLineNumbers w:val="0"/>
              <w:spacing w:line="240" w:lineRule="auto"/>
              <w:jc w:val="left"/>
              <w:textAlignment w:val="top"/>
              <w:rPr>
                <w:rFonts w:hint="eastAsia"/>
                <w:lang w:val="en-US" w:eastAsia="zh-CN"/>
              </w:rPr>
            </w:pPr>
            <w:r>
              <w:rPr>
                <w:rFonts w:hint="eastAsia"/>
                <w:lang w:val="en-US" w:eastAsia="zh-CN"/>
              </w:rPr>
              <w:t>2.矮柜台面带盖方便扔置杂物。</w:t>
            </w:r>
          </w:p>
          <w:p>
            <w:pPr>
              <w:keepNext w:val="0"/>
              <w:keepLines w:val="0"/>
              <w:widowControl/>
              <w:suppressLineNumbers w:val="0"/>
              <w:spacing w:line="240" w:lineRule="auto"/>
              <w:jc w:val="left"/>
              <w:textAlignment w:val="top"/>
              <w:rPr>
                <w:rFonts w:hint="eastAsia"/>
                <w:lang w:val="en-US"/>
              </w:rPr>
            </w:pPr>
            <w:r>
              <w:rPr>
                <w:rFonts w:hint="eastAsia"/>
                <w:lang w:val="en-US" w:eastAsia="zh-CN"/>
              </w:rPr>
              <w:t>3.柜门打开收取垃圾桶，每门带信息卡插槽，底部是脚踏式开关免去打开盖子触碰开关，方便使用及维护。</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eastAsia="zh-CN"/>
              </w:rPr>
            </w:pPr>
            <w:r>
              <w:rPr>
                <w:rFonts w:hint="eastAsia" w:cs="宋体"/>
                <w:b w:val="0"/>
                <w:bCs w:val="0"/>
                <w:i w:val="0"/>
                <w:iCs w:val="0"/>
                <w:color w:val="auto"/>
                <w:sz w:val="21"/>
                <w:szCs w:val="21"/>
                <w:u w:val="none"/>
                <w:lang w:eastAsia="zh-CN"/>
              </w:rPr>
              <w:t>米</w:t>
            </w: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i w:val="0"/>
                <w:iCs w:val="0"/>
                <w:color w:val="auto"/>
                <w:sz w:val="21"/>
                <w:szCs w:val="21"/>
                <w:u w:val="none"/>
              </w:rPr>
            </w:pPr>
            <w:r>
              <w:rPr>
                <w:rFonts w:hint="eastAsia" w:ascii="宋体" w:hAnsi="宋体" w:eastAsia="宋体" w:cs="宋体"/>
                <w:sz w:val="18"/>
                <w:szCs w:val="18"/>
              </w:rPr>
              <w:drawing>
                <wp:anchor distT="0" distB="0" distL="114300" distR="114300" simplePos="0" relativeHeight="251664384" behindDoc="0" locked="0" layoutInCell="1" allowOverlap="1">
                  <wp:simplePos x="0" y="0"/>
                  <wp:positionH relativeFrom="column">
                    <wp:posOffset>-36830</wp:posOffset>
                  </wp:positionH>
                  <wp:positionV relativeFrom="paragraph">
                    <wp:posOffset>394970</wp:posOffset>
                  </wp:positionV>
                  <wp:extent cx="985520" cy="669290"/>
                  <wp:effectExtent l="0" t="0" r="5080" b="16510"/>
                  <wp:wrapNone/>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pic:cNvPicPr>
                            <a:picLocks noChangeAspect="1"/>
                          </pic:cNvPicPr>
                        </pic:nvPicPr>
                        <pic:blipFill>
                          <a:blip r:embed="rId23"/>
                          <a:srcRect t="40161"/>
                          <a:stretch>
                            <a:fillRect/>
                          </a:stretch>
                        </pic:blipFill>
                        <pic:spPr>
                          <a:xfrm>
                            <a:off x="0" y="0"/>
                            <a:ext cx="985520" cy="6692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5"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r>
              <w:rPr>
                <w:rFonts w:hint="eastAsia" w:cs="宋体"/>
                <w:b w:val="0"/>
                <w:bCs w:val="0"/>
                <w:i w:val="0"/>
                <w:iCs w:val="0"/>
                <w:color w:val="auto"/>
                <w:kern w:val="2"/>
                <w:sz w:val="21"/>
                <w:szCs w:val="21"/>
                <w:u w:val="none"/>
                <w:lang w:val="en-US" w:eastAsia="zh-CN" w:bidi="ar-SA"/>
              </w:rPr>
              <w:t>2</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医用环保储物柜</w:t>
            </w:r>
          </w:p>
        </w:tc>
        <w:tc>
          <w:tcPr>
            <w:tcW w:w="6217"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widowControl/>
              <w:numPr>
                <w:ilvl w:val="0"/>
                <w:numId w:val="4"/>
              </w:numPr>
              <w:suppressLineNumbers w:val="0"/>
              <w:spacing w:line="240" w:lineRule="auto"/>
              <w:jc w:val="left"/>
              <w:textAlignment w:val="top"/>
              <w:rPr>
                <w:rFonts w:hint="eastAsia"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选用优质1.0mm厚电解板制作，柜子为6个单开门设计，独立空间，带一卡通电子锁具，可以通过刷卡方式开门</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2.每个门装有电子锁，门板为折弯一体凹槽拉手</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rPr>
              <w:t>★</w:t>
            </w:r>
            <w:r>
              <w:rPr>
                <w:rFonts w:hint="eastAsia" w:ascii="宋体" w:hAnsi="宋体" w:eastAsia="宋体" w:cs="宋体"/>
                <w:b w:val="0"/>
                <w:bCs w:val="0"/>
                <w:i w:val="0"/>
                <w:iCs w:val="0"/>
                <w:color w:val="auto"/>
                <w:sz w:val="21"/>
                <w:szCs w:val="21"/>
                <w:u w:val="none"/>
                <w:lang w:val="en-US" w:eastAsia="zh-CN"/>
              </w:rPr>
              <w:t>注：</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rPr>
              <w:t>提供通过省级或省级以上检测机构</w:t>
            </w:r>
            <w:r>
              <w:rPr>
                <w:rFonts w:hint="eastAsia" w:ascii="宋体" w:hAnsi="宋体" w:eastAsia="宋体" w:cs="宋体"/>
                <w:b w:val="0"/>
                <w:bCs w:val="0"/>
                <w:i w:val="0"/>
                <w:iCs w:val="0"/>
                <w:color w:val="auto"/>
                <w:sz w:val="21"/>
                <w:szCs w:val="21"/>
                <w:u w:val="none"/>
                <w:lang w:val="en-US" w:eastAsia="zh-CN"/>
              </w:rPr>
              <w:t>（检测报告需带CMA、CNAS标识）</w:t>
            </w:r>
            <w:r>
              <w:rPr>
                <w:rFonts w:hint="eastAsia" w:ascii="宋体" w:hAnsi="宋体" w:eastAsia="宋体" w:cs="宋体"/>
                <w:b w:val="0"/>
                <w:bCs w:val="0"/>
                <w:i w:val="0"/>
                <w:iCs w:val="0"/>
                <w:color w:val="auto"/>
                <w:sz w:val="21"/>
                <w:szCs w:val="21"/>
                <w:u w:val="none"/>
                <w:lang w:val="en-US"/>
              </w:rPr>
              <w:t>出具抽样检测的《</w:t>
            </w:r>
            <w:r>
              <w:rPr>
                <w:rFonts w:hint="eastAsia" w:ascii="宋体" w:hAnsi="宋体" w:eastAsia="宋体" w:cs="宋体"/>
                <w:b w:val="0"/>
                <w:bCs w:val="0"/>
                <w:i w:val="0"/>
                <w:iCs w:val="0"/>
                <w:color w:val="auto"/>
                <w:sz w:val="21"/>
                <w:szCs w:val="21"/>
                <w:u w:val="none"/>
                <w:lang w:val="en-US" w:eastAsia="zh-CN"/>
              </w:rPr>
              <w:t>门板</w:t>
            </w:r>
            <w:r>
              <w:rPr>
                <w:rFonts w:hint="eastAsia" w:ascii="宋体" w:hAnsi="宋体" w:eastAsia="宋体" w:cs="宋体"/>
                <w:b w:val="0"/>
                <w:bCs w:val="0"/>
                <w:i w:val="0"/>
                <w:iCs w:val="0"/>
                <w:color w:val="auto"/>
                <w:sz w:val="21"/>
                <w:szCs w:val="21"/>
                <w:u w:val="none"/>
                <w:lang w:val="en-US"/>
              </w:rPr>
              <w:t>》检验报告，</w:t>
            </w:r>
            <w:r>
              <w:rPr>
                <w:rFonts w:hint="eastAsia" w:ascii="宋体" w:hAnsi="宋体" w:eastAsia="宋体" w:cs="宋体"/>
                <w:b w:val="0"/>
                <w:bCs w:val="0"/>
                <w:i w:val="0"/>
                <w:iCs w:val="0"/>
                <w:color w:val="auto"/>
                <w:sz w:val="21"/>
                <w:szCs w:val="21"/>
                <w:u w:val="none"/>
                <w:lang w:val="en-US" w:eastAsia="zh-CN"/>
              </w:rPr>
              <w:t>检验项目</w:t>
            </w:r>
            <w:r>
              <w:rPr>
                <w:rFonts w:hint="eastAsia" w:ascii="宋体" w:hAnsi="宋体" w:eastAsia="宋体" w:cs="宋体"/>
                <w:b w:val="0"/>
                <w:bCs w:val="0"/>
                <w:i w:val="0"/>
                <w:iCs w:val="0"/>
                <w:color w:val="auto"/>
                <w:sz w:val="21"/>
                <w:szCs w:val="21"/>
                <w:u w:val="none"/>
                <w:lang w:val="en-US"/>
              </w:rPr>
              <w:t>符合以下要求</w:t>
            </w:r>
            <w:r>
              <w:rPr>
                <w:rFonts w:hint="eastAsia" w:ascii="宋体" w:hAnsi="宋体" w:eastAsia="宋体" w:cs="宋体"/>
                <w:b w:val="0"/>
                <w:bCs w:val="0"/>
                <w:i w:val="0"/>
                <w:iCs w:val="0"/>
                <w:color w:val="auto"/>
                <w:sz w:val="21"/>
                <w:szCs w:val="21"/>
                <w:u w:val="none"/>
                <w:lang w:val="en-US" w:eastAsia="zh-CN"/>
              </w:rPr>
              <w:t>：①判定依据为GB/T 3325-2017 《金属家具通用技术条件》②</w:t>
            </w:r>
            <w:r>
              <w:rPr>
                <w:rFonts w:hint="eastAsia" w:ascii="宋体" w:hAnsi="宋体" w:eastAsia="宋体" w:cs="宋体"/>
                <w:b w:val="0"/>
                <w:bCs w:val="0"/>
                <w:i w:val="0"/>
                <w:iCs w:val="0"/>
                <w:color w:val="auto"/>
                <w:sz w:val="21"/>
                <w:szCs w:val="21"/>
                <w:u w:val="none"/>
                <w:lang w:val="en-US"/>
              </w:rPr>
              <w:t>抽样基数≥</w:t>
            </w:r>
            <w:r>
              <w:rPr>
                <w:rFonts w:hint="eastAsia" w:ascii="宋体" w:hAnsi="宋体" w:eastAsia="宋体" w:cs="宋体"/>
                <w:b w:val="0"/>
                <w:bCs w:val="0"/>
                <w:i w:val="0"/>
                <w:iCs w:val="0"/>
                <w:color w:val="auto"/>
                <w:sz w:val="21"/>
                <w:szCs w:val="21"/>
                <w:u w:val="none"/>
                <w:lang w:val="en-US" w:eastAsia="zh-CN"/>
              </w:rPr>
              <w:t>500件③有害物质限量-重金属可溶性铅、可溶性镉、可溶性铬、可溶性汞结论应均符合，冲有通风孔及标插口，通风孔可有效防止柜内异味。</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rPr>
              <w:t>★</w:t>
            </w:r>
            <w:r>
              <w:rPr>
                <w:rFonts w:hint="eastAsia" w:ascii="宋体" w:hAnsi="宋体" w:eastAsia="宋体" w:cs="宋体"/>
                <w:b w:val="0"/>
                <w:bCs w:val="0"/>
                <w:i w:val="0"/>
                <w:iCs w:val="0"/>
                <w:color w:val="auto"/>
                <w:sz w:val="21"/>
                <w:szCs w:val="21"/>
                <w:u w:val="none"/>
                <w:lang w:val="en-US" w:eastAsia="zh-CN"/>
              </w:rPr>
              <w:t>注：</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eastAsia="zh-CN"/>
              </w:rPr>
              <w:t>提供通过省级或省级以上权威检测机构出具抽样检测的《锁具》的检验报告，且检测中可溶性铅、可溶性镉、可溶性铬、可溶性汞</w:t>
            </w:r>
            <w:r>
              <w:rPr>
                <w:rFonts w:hint="eastAsia" w:ascii="宋体" w:hAnsi="宋体" w:eastAsia="宋体" w:cs="宋体"/>
                <w:b w:val="0"/>
                <w:bCs w:val="0"/>
                <w:i w:val="0"/>
                <w:iCs w:val="0"/>
                <w:color w:val="auto"/>
                <w:sz w:val="21"/>
                <w:szCs w:val="21"/>
                <w:u w:val="none"/>
                <w:lang w:val="en-US"/>
              </w:rPr>
              <w:t>检验结果为未检出</w:t>
            </w:r>
            <w:r>
              <w:rPr>
                <w:rFonts w:hint="eastAsia" w:ascii="宋体" w:hAnsi="宋体" w:eastAsia="宋体"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3.柜体里外经防锈处理后再进行喷塑，表面光亮，无颗粒杂质，无死角。</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rPr>
              <w:t>★</w:t>
            </w:r>
            <w:r>
              <w:rPr>
                <w:rFonts w:hint="eastAsia" w:ascii="宋体" w:hAnsi="宋体" w:eastAsia="宋体" w:cs="宋体"/>
                <w:b w:val="0"/>
                <w:bCs w:val="0"/>
                <w:i w:val="0"/>
                <w:iCs w:val="0"/>
                <w:color w:val="auto"/>
                <w:sz w:val="21"/>
                <w:szCs w:val="21"/>
                <w:u w:val="none"/>
                <w:lang w:val="en-US" w:eastAsia="zh-CN"/>
              </w:rPr>
              <w:t>注：</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eastAsia="zh-CN"/>
              </w:rPr>
              <w:t>提供权威检测机构出具抽样检测的《塑粉》检验报告，检验项目需符合以下要求：①抽样基数≥500件②可溶性重金属含量中可溶性镉、可溶性铬、可溶性汞</w:t>
            </w:r>
            <w:r>
              <w:rPr>
                <w:rFonts w:hint="eastAsia" w:ascii="宋体" w:hAnsi="宋体" w:eastAsia="宋体" w:cs="宋体"/>
                <w:b w:val="0"/>
                <w:bCs w:val="0"/>
                <w:i w:val="0"/>
                <w:iCs w:val="0"/>
                <w:color w:val="auto"/>
                <w:sz w:val="21"/>
                <w:szCs w:val="21"/>
                <w:u w:val="none"/>
                <w:lang w:val="en-US"/>
              </w:rPr>
              <w:t>检验结果为未检出</w:t>
            </w:r>
            <w:r>
              <w:rPr>
                <w:rFonts w:hint="eastAsia" w:ascii="宋体" w:hAnsi="宋体" w:eastAsia="宋体"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rPr>
            </w:pPr>
            <w:r>
              <w:rPr>
                <w:rFonts w:hint="eastAsia" w:ascii="宋体" w:hAnsi="宋体" w:eastAsia="宋体" w:cs="宋体"/>
                <w:b w:val="0"/>
                <w:bCs w:val="0"/>
                <w:i w:val="0"/>
                <w:iCs w:val="0"/>
                <w:color w:val="auto"/>
                <w:sz w:val="21"/>
                <w:szCs w:val="21"/>
                <w:u w:val="none"/>
                <w:lang w:val="en-US"/>
              </w:rPr>
              <w:t>★</w:t>
            </w:r>
            <w:r>
              <w:rPr>
                <w:rFonts w:hint="eastAsia" w:ascii="宋体" w:hAnsi="宋体" w:eastAsia="宋体" w:cs="宋体"/>
                <w:b w:val="0"/>
                <w:bCs w:val="0"/>
                <w:i w:val="0"/>
                <w:iCs w:val="0"/>
                <w:color w:val="auto"/>
                <w:sz w:val="21"/>
                <w:szCs w:val="21"/>
                <w:u w:val="none"/>
                <w:lang w:val="en-US" w:eastAsia="zh-CN"/>
              </w:rPr>
              <w:t>注：</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rPr>
              <w:t>提供</w:t>
            </w:r>
            <w:r>
              <w:rPr>
                <w:rFonts w:hint="eastAsia" w:ascii="宋体" w:hAnsi="宋体" w:eastAsia="宋体" w:cs="宋体"/>
                <w:b w:val="0"/>
                <w:bCs w:val="0"/>
                <w:i w:val="0"/>
                <w:iCs w:val="0"/>
                <w:color w:val="auto"/>
                <w:sz w:val="21"/>
                <w:szCs w:val="21"/>
                <w:u w:val="none"/>
                <w:lang w:val="en-US" w:eastAsia="zh-CN"/>
              </w:rPr>
              <w:t>通过</w:t>
            </w:r>
            <w:r>
              <w:rPr>
                <w:rFonts w:hint="eastAsia" w:ascii="宋体" w:hAnsi="宋体" w:eastAsia="宋体" w:cs="宋体"/>
                <w:b w:val="0"/>
                <w:bCs w:val="0"/>
                <w:i w:val="0"/>
                <w:iCs w:val="0"/>
                <w:color w:val="auto"/>
                <w:sz w:val="21"/>
                <w:szCs w:val="21"/>
                <w:u w:val="none"/>
                <w:lang w:val="en-US"/>
              </w:rPr>
              <w:t>省级或省级以上权威检测机构</w:t>
            </w:r>
            <w:r>
              <w:rPr>
                <w:rFonts w:hint="eastAsia" w:ascii="宋体" w:hAnsi="宋体" w:eastAsia="宋体" w:cs="宋体"/>
                <w:b w:val="0"/>
                <w:bCs w:val="0"/>
                <w:i w:val="0"/>
                <w:iCs w:val="0"/>
                <w:color w:val="auto"/>
                <w:sz w:val="21"/>
                <w:szCs w:val="21"/>
                <w:u w:val="none"/>
                <w:lang w:val="en-US" w:eastAsia="zh-CN"/>
              </w:rPr>
              <w:t>（检测报告需带CMA、CNAS标识）</w:t>
            </w:r>
            <w:r>
              <w:rPr>
                <w:rFonts w:hint="eastAsia" w:ascii="宋体" w:hAnsi="宋体" w:eastAsia="宋体" w:cs="宋体"/>
                <w:b w:val="0"/>
                <w:bCs w:val="0"/>
                <w:i w:val="0"/>
                <w:iCs w:val="0"/>
                <w:color w:val="auto"/>
                <w:sz w:val="21"/>
                <w:szCs w:val="21"/>
                <w:u w:val="none"/>
                <w:lang w:val="en-US"/>
              </w:rPr>
              <w:t>检测机构出具的</w:t>
            </w:r>
            <w:r>
              <w:rPr>
                <w:rFonts w:hint="eastAsia" w:ascii="宋体" w:hAnsi="宋体" w:eastAsia="宋体" w:cs="宋体"/>
                <w:b w:val="0"/>
                <w:bCs w:val="0"/>
                <w:i w:val="0"/>
                <w:iCs w:val="0"/>
                <w:color w:val="auto"/>
                <w:sz w:val="21"/>
                <w:szCs w:val="21"/>
                <w:u w:val="none"/>
                <w:lang w:val="en-US" w:eastAsia="zh-CN"/>
              </w:rPr>
              <w:t>《喷塑金属件》</w:t>
            </w:r>
            <w:r>
              <w:rPr>
                <w:rFonts w:hint="eastAsia" w:ascii="宋体" w:hAnsi="宋体" w:eastAsia="宋体" w:cs="宋体"/>
                <w:b w:val="0"/>
                <w:bCs w:val="0"/>
                <w:i w:val="0"/>
                <w:iCs w:val="0"/>
                <w:color w:val="auto"/>
                <w:sz w:val="21"/>
                <w:szCs w:val="21"/>
                <w:u w:val="none"/>
                <w:lang w:val="en-US"/>
              </w:rPr>
              <w:t>的环保</w:t>
            </w:r>
            <w:r>
              <w:rPr>
                <w:rFonts w:hint="eastAsia" w:ascii="宋体" w:hAnsi="宋体" w:eastAsia="宋体" w:cs="宋体"/>
                <w:b w:val="0"/>
                <w:bCs w:val="0"/>
                <w:i w:val="0"/>
                <w:iCs w:val="0"/>
                <w:color w:val="auto"/>
                <w:sz w:val="21"/>
                <w:szCs w:val="21"/>
                <w:u w:val="none"/>
                <w:lang w:val="en-US" w:eastAsia="zh-CN"/>
              </w:rPr>
              <w:t>检验</w:t>
            </w:r>
            <w:r>
              <w:rPr>
                <w:rFonts w:hint="eastAsia" w:ascii="宋体" w:hAnsi="宋体" w:eastAsia="宋体" w:cs="宋体"/>
                <w:b w:val="0"/>
                <w:bCs w:val="0"/>
                <w:i w:val="0"/>
                <w:iCs w:val="0"/>
                <w:color w:val="auto"/>
                <w:sz w:val="21"/>
                <w:szCs w:val="21"/>
                <w:u w:val="none"/>
                <w:lang w:val="en-US"/>
              </w:rPr>
              <w:t>认证，检测依据：</w:t>
            </w:r>
            <w:r>
              <w:rPr>
                <w:rFonts w:hint="eastAsia" w:ascii="宋体" w:hAnsi="宋体" w:eastAsia="宋体" w:cs="宋体"/>
                <w:b w:val="0"/>
                <w:bCs w:val="0"/>
                <w:i w:val="0"/>
                <w:iCs w:val="0"/>
                <w:color w:val="auto"/>
                <w:sz w:val="21"/>
                <w:szCs w:val="21"/>
                <w:u w:val="none"/>
                <w:lang w:val="en-US" w:eastAsia="zh-CN"/>
              </w:rPr>
              <w:t>HJ2547-2016</w:t>
            </w:r>
            <w:r>
              <w:rPr>
                <w:rFonts w:hint="eastAsia" w:ascii="宋体" w:hAnsi="宋体" w:eastAsia="宋体" w:cs="宋体"/>
                <w:b w:val="0"/>
                <w:bCs w:val="0"/>
                <w:i w:val="0"/>
                <w:iCs w:val="0"/>
                <w:color w:val="auto"/>
                <w:sz w:val="21"/>
                <w:szCs w:val="21"/>
                <w:u w:val="none"/>
                <w:lang w:val="en-US"/>
              </w:rPr>
              <w:t>，应未检测出锑、砷、镉、铬、汞、硒等元素。</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eastAsia="zh-CN"/>
              </w:rPr>
            </w:pPr>
            <w:r>
              <w:rPr>
                <w:rFonts w:hint="eastAsia" w:cs="宋体"/>
                <w:b w:val="0"/>
                <w:bCs w:val="0"/>
                <w:i w:val="0"/>
                <w:iCs w:val="0"/>
                <w:color w:val="auto"/>
                <w:sz w:val="21"/>
                <w:szCs w:val="21"/>
                <w:u w:val="none"/>
                <w:lang w:eastAsia="zh-CN"/>
              </w:rPr>
              <w:t>米</w:t>
            </w: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i w:val="0"/>
                <w:iCs w:val="0"/>
                <w:color w:val="auto"/>
                <w:sz w:val="21"/>
                <w:szCs w:val="21"/>
                <w:u w:val="none"/>
              </w:rPr>
            </w:pPr>
            <w:r>
              <w:rPr>
                <w:rFonts w:hint="eastAsia" w:ascii="宋体" w:hAnsi="宋体" w:eastAsia="宋体" w:cs="宋体"/>
                <w:sz w:val="18"/>
                <w:szCs w:val="18"/>
              </w:rPr>
              <w:drawing>
                <wp:anchor distT="0" distB="0" distL="114300" distR="114300" simplePos="0" relativeHeight="251665408" behindDoc="0" locked="0" layoutInCell="1" allowOverlap="1">
                  <wp:simplePos x="0" y="0"/>
                  <wp:positionH relativeFrom="column">
                    <wp:posOffset>-46990</wp:posOffset>
                  </wp:positionH>
                  <wp:positionV relativeFrom="paragraph">
                    <wp:posOffset>771525</wp:posOffset>
                  </wp:positionV>
                  <wp:extent cx="1026795" cy="1856105"/>
                  <wp:effectExtent l="0" t="0" r="1905" b="10795"/>
                  <wp:wrapNone/>
                  <wp:docPr id="10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6"/>
                          <pic:cNvPicPr>
                            <a:picLocks noChangeAspect="1"/>
                          </pic:cNvPicPr>
                        </pic:nvPicPr>
                        <pic:blipFill>
                          <a:blip r:embed="rId25"/>
                          <a:stretch>
                            <a:fillRect/>
                          </a:stretch>
                        </pic:blipFill>
                        <pic:spPr>
                          <a:xfrm>
                            <a:off x="0" y="0"/>
                            <a:ext cx="1026795" cy="1856105"/>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r>
              <w:rPr>
                <w:rFonts w:hint="eastAsia" w:cs="宋体"/>
                <w:b w:val="0"/>
                <w:bCs w:val="0"/>
                <w:i w:val="0"/>
                <w:iCs w:val="0"/>
                <w:color w:val="auto"/>
                <w:kern w:val="2"/>
                <w:sz w:val="21"/>
                <w:szCs w:val="21"/>
                <w:u w:val="none"/>
                <w:lang w:val="en-US" w:eastAsia="zh-CN" w:bidi="ar-SA"/>
              </w:rPr>
              <w:t>3</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不锈钢打</w:t>
            </w:r>
          </w:p>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包台</w:t>
            </w:r>
          </w:p>
        </w:tc>
        <w:tc>
          <w:tcPr>
            <w:tcW w:w="6217"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widowControl/>
              <w:numPr>
                <w:ilvl w:val="0"/>
                <w:numId w:val="5"/>
              </w:numPr>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整台桌子采用304不锈钢1.0mm厚材料制作</w:t>
            </w:r>
            <w:r>
              <w:rPr>
                <w:rFonts w:hint="eastAsia" w:cs="宋体"/>
                <w:b w:val="0"/>
                <w:bCs w:val="0"/>
                <w:i w:val="0"/>
                <w:iCs w:val="0"/>
                <w:color w:val="auto"/>
                <w:sz w:val="21"/>
                <w:szCs w:val="21"/>
                <w:u w:val="none"/>
                <w:lang w:val="en-US" w:eastAsia="zh-CN"/>
              </w:rPr>
              <w:t>。</w:t>
            </w:r>
            <w:r>
              <w:rPr>
                <w:rFonts w:hint="eastAsia" w:ascii="宋体" w:hAnsi="宋体" w:eastAsia="宋体" w:cs="宋体"/>
                <w:b w:val="0"/>
                <w:bCs w:val="0"/>
                <w:i w:val="0"/>
                <w:iCs w:val="0"/>
                <w:color w:val="auto"/>
                <w:sz w:val="21"/>
                <w:szCs w:val="21"/>
                <w:u w:val="none"/>
                <w:lang w:val="en-US" w:eastAsia="zh-CN"/>
              </w:rPr>
              <w:t>注：</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eastAsia="zh-CN"/>
              </w:rPr>
              <w:t>提供第三方检测机构（检测报告需带CMA、CNAS标识）抽样</w:t>
            </w:r>
            <w:r>
              <w:rPr>
                <w:rFonts w:hint="eastAsia" w:ascii="宋体" w:hAnsi="宋体" w:eastAsia="宋体" w:cs="宋体"/>
                <w:b w:val="0"/>
                <w:bCs w:val="0"/>
                <w:i w:val="0"/>
                <w:iCs w:val="0"/>
                <w:color w:val="auto"/>
                <w:sz w:val="21"/>
                <w:szCs w:val="21"/>
                <w:u w:val="none"/>
                <w:lang w:val="en-US"/>
              </w:rPr>
              <w:t>的《</w:t>
            </w:r>
            <w:r>
              <w:rPr>
                <w:rFonts w:hint="eastAsia" w:ascii="宋体" w:hAnsi="宋体" w:eastAsia="宋体" w:cs="宋体"/>
                <w:b w:val="0"/>
                <w:bCs w:val="0"/>
                <w:i w:val="0"/>
                <w:iCs w:val="0"/>
                <w:color w:val="auto"/>
                <w:sz w:val="21"/>
                <w:szCs w:val="21"/>
                <w:u w:val="none"/>
                <w:lang w:val="en-US" w:eastAsia="zh-CN"/>
              </w:rPr>
              <w:t>不锈钢板</w:t>
            </w:r>
            <w:r>
              <w:rPr>
                <w:rFonts w:hint="eastAsia" w:ascii="宋体" w:hAnsi="宋体" w:eastAsia="宋体" w:cs="宋体"/>
                <w:b w:val="0"/>
                <w:bCs w:val="0"/>
                <w:i w:val="0"/>
                <w:iCs w:val="0"/>
                <w:color w:val="auto"/>
                <w:sz w:val="21"/>
                <w:szCs w:val="21"/>
                <w:u w:val="none"/>
                <w:lang w:val="en-US"/>
              </w:rPr>
              <w:t>》检验报告</w:t>
            </w:r>
            <w:r>
              <w:rPr>
                <w:rFonts w:hint="eastAsia" w:ascii="宋体" w:hAnsi="宋体" w:eastAsia="宋体" w:cs="宋体"/>
                <w:b w:val="0"/>
                <w:bCs w:val="0"/>
                <w:i w:val="0"/>
                <w:iCs w:val="0"/>
                <w:color w:val="auto"/>
                <w:sz w:val="21"/>
                <w:szCs w:val="21"/>
                <w:u w:val="none"/>
                <w:lang w:val="en-US" w:eastAsia="zh-CN"/>
              </w:rPr>
              <w:t>，检验项目应包含化学</w:t>
            </w:r>
            <w:r>
              <w:rPr>
                <w:rFonts w:hint="eastAsia" w:cs="宋体"/>
                <w:b w:val="0"/>
                <w:bCs w:val="0"/>
                <w:i w:val="0"/>
                <w:iCs w:val="0"/>
                <w:color w:val="auto"/>
                <w:sz w:val="21"/>
                <w:szCs w:val="21"/>
                <w:u w:val="none"/>
                <w:lang w:val="en-US" w:eastAsia="zh-CN"/>
              </w:rPr>
              <w:t>成分</w:t>
            </w:r>
            <w:r>
              <w:rPr>
                <w:rFonts w:hint="eastAsia" w:ascii="宋体" w:hAnsi="宋体" w:eastAsia="宋体" w:cs="宋体"/>
                <w:b w:val="0"/>
                <w:bCs w:val="0"/>
                <w:i w:val="0"/>
                <w:iCs w:val="0"/>
                <w:color w:val="auto"/>
                <w:sz w:val="21"/>
                <w:szCs w:val="21"/>
                <w:u w:val="none"/>
                <w:lang w:val="en-US" w:eastAsia="zh-CN"/>
              </w:rPr>
              <w:t>(c、Si、Mn、P、S、Cr、Ni、Cu、N)元素。台面上带双层架子方便放置杂物，台面下有两个抽屉，装有拉手可放置各类物品。</w:t>
            </w:r>
          </w:p>
          <w:p>
            <w:pPr>
              <w:keepNext w:val="0"/>
              <w:keepLines w:val="0"/>
              <w:widowControl/>
              <w:numPr>
                <w:ilvl w:val="0"/>
                <w:numId w:val="0"/>
              </w:numPr>
              <w:suppressLineNumbers w:val="0"/>
              <w:spacing w:line="240" w:lineRule="auto"/>
              <w:jc w:val="left"/>
              <w:textAlignment w:val="top"/>
              <w:rPr>
                <w:rFonts w:hint="default"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rPr>
              <w:t>★</w:t>
            </w:r>
            <w:r>
              <w:rPr>
                <w:rFonts w:hint="eastAsia" w:ascii="宋体" w:hAnsi="宋体" w:eastAsia="宋体" w:cs="宋体"/>
                <w:b w:val="0"/>
                <w:bCs w:val="0"/>
                <w:i w:val="0"/>
                <w:iCs w:val="0"/>
                <w:color w:val="auto"/>
                <w:sz w:val="21"/>
                <w:szCs w:val="21"/>
                <w:u w:val="none"/>
                <w:lang w:val="en-US" w:eastAsia="zh-CN"/>
              </w:rPr>
              <w:t>注：</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rPr>
              <w:t>提供通过省级或省级以上检测机构</w:t>
            </w:r>
            <w:r>
              <w:rPr>
                <w:rFonts w:hint="eastAsia" w:ascii="宋体" w:hAnsi="宋体" w:eastAsia="宋体" w:cs="宋体"/>
                <w:b w:val="0"/>
                <w:bCs w:val="0"/>
                <w:i w:val="0"/>
                <w:iCs w:val="0"/>
                <w:color w:val="auto"/>
                <w:sz w:val="21"/>
                <w:szCs w:val="21"/>
                <w:u w:val="none"/>
                <w:lang w:val="en-US" w:eastAsia="zh-CN"/>
              </w:rPr>
              <w:t>（检测报告需带CMA、CNAS标识）</w:t>
            </w:r>
            <w:r>
              <w:rPr>
                <w:rFonts w:hint="eastAsia" w:ascii="宋体" w:hAnsi="宋体" w:eastAsia="宋体" w:cs="宋体"/>
                <w:b w:val="0"/>
                <w:bCs w:val="0"/>
                <w:i w:val="0"/>
                <w:iCs w:val="0"/>
                <w:color w:val="auto"/>
                <w:sz w:val="21"/>
                <w:szCs w:val="21"/>
                <w:u w:val="none"/>
                <w:lang w:val="en-US"/>
              </w:rPr>
              <w:t>出具抽样检测的《拉手》检验报告，</w:t>
            </w:r>
            <w:r>
              <w:rPr>
                <w:rFonts w:hint="eastAsia" w:ascii="宋体" w:hAnsi="宋体" w:eastAsia="宋体" w:cs="宋体"/>
                <w:b w:val="0"/>
                <w:bCs w:val="0"/>
                <w:i w:val="0"/>
                <w:iCs w:val="0"/>
                <w:color w:val="auto"/>
                <w:sz w:val="21"/>
                <w:szCs w:val="21"/>
                <w:u w:val="none"/>
                <w:lang w:val="en-US" w:eastAsia="zh-CN"/>
              </w:rPr>
              <w:t>检验项目</w:t>
            </w:r>
            <w:r>
              <w:rPr>
                <w:rFonts w:hint="eastAsia" w:ascii="宋体" w:hAnsi="宋体" w:eastAsia="宋体" w:cs="宋体"/>
                <w:b w:val="0"/>
                <w:bCs w:val="0"/>
                <w:i w:val="0"/>
                <w:iCs w:val="0"/>
                <w:color w:val="auto"/>
                <w:sz w:val="21"/>
                <w:szCs w:val="21"/>
                <w:u w:val="none"/>
                <w:lang w:val="en-US"/>
              </w:rPr>
              <w:t>符合以下要求</w:t>
            </w:r>
            <w:r>
              <w:rPr>
                <w:rFonts w:hint="eastAsia" w:ascii="宋体" w:hAnsi="宋体" w:eastAsia="宋体" w:cs="宋体"/>
                <w:b w:val="0"/>
                <w:bCs w:val="0"/>
                <w:i w:val="0"/>
                <w:iCs w:val="0"/>
                <w:color w:val="auto"/>
                <w:sz w:val="21"/>
                <w:szCs w:val="21"/>
                <w:u w:val="none"/>
                <w:lang w:val="en-US" w:eastAsia="zh-CN"/>
              </w:rPr>
              <w:t>：①判定依据为GB/T 3325-2017 《金属家具通用技术条件》②</w:t>
            </w:r>
            <w:r>
              <w:rPr>
                <w:rFonts w:hint="eastAsia" w:ascii="宋体" w:hAnsi="宋体" w:eastAsia="宋体" w:cs="宋体"/>
                <w:b w:val="0"/>
                <w:bCs w:val="0"/>
                <w:i w:val="0"/>
                <w:iCs w:val="0"/>
                <w:color w:val="auto"/>
                <w:sz w:val="21"/>
                <w:szCs w:val="21"/>
                <w:u w:val="none"/>
                <w:lang w:val="en-US"/>
              </w:rPr>
              <w:t>抽样基数≥</w:t>
            </w:r>
            <w:r>
              <w:rPr>
                <w:rFonts w:hint="eastAsia" w:ascii="宋体" w:hAnsi="宋体" w:eastAsia="宋体" w:cs="宋体"/>
                <w:b w:val="0"/>
                <w:bCs w:val="0"/>
                <w:i w:val="0"/>
                <w:iCs w:val="0"/>
                <w:color w:val="auto"/>
                <w:sz w:val="21"/>
                <w:szCs w:val="21"/>
                <w:u w:val="none"/>
                <w:lang w:val="en-US" w:eastAsia="zh-CN"/>
              </w:rPr>
              <w:t>500件③有害物质限量-重金属可溶性铅、可溶性镉、可溶性铬、可溶性汞结论应均符合</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2.桌脚采用优质不锈钢方管加工焊接打磨而成。</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rPr>
            </w:pPr>
            <w:r>
              <w:rPr>
                <w:rFonts w:hint="eastAsia" w:ascii="宋体" w:hAnsi="宋体" w:eastAsia="宋体" w:cs="宋体"/>
                <w:b w:val="0"/>
                <w:bCs w:val="0"/>
                <w:i w:val="0"/>
                <w:iCs w:val="0"/>
                <w:color w:val="auto"/>
                <w:sz w:val="21"/>
                <w:szCs w:val="21"/>
                <w:u w:val="none"/>
                <w:lang w:val="en-US" w:eastAsia="zh-CN"/>
              </w:rPr>
              <w:t>3</w:t>
            </w:r>
            <w:r>
              <w:rPr>
                <w:rFonts w:hint="eastAsia" w:cs="宋体"/>
                <w:b w:val="0"/>
                <w:bCs w:val="0"/>
                <w:i w:val="0"/>
                <w:iCs w:val="0"/>
                <w:color w:val="auto"/>
                <w:sz w:val="21"/>
                <w:szCs w:val="21"/>
                <w:u w:val="none"/>
                <w:lang w:val="en-US" w:eastAsia="zh-CN"/>
              </w:rPr>
              <w:t>.</w:t>
            </w:r>
            <w:r>
              <w:rPr>
                <w:rFonts w:hint="eastAsia" w:ascii="宋体" w:hAnsi="宋体" w:eastAsia="宋体" w:cs="宋体"/>
                <w:b w:val="0"/>
                <w:bCs w:val="0"/>
                <w:i w:val="0"/>
                <w:iCs w:val="0"/>
                <w:color w:val="auto"/>
                <w:sz w:val="21"/>
                <w:szCs w:val="21"/>
                <w:u w:val="none"/>
                <w:lang w:val="en-US" w:eastAsia="zh-CN"/>
              </w:rPr>
              <w:t>环保无毒害，无气味，焊接部分采用高标准熔接焊，无烧损、冷裂、漏焊等缺陷，表面平整光滑。</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eastAsia="zh-CN"/>
              </w:rPr>
            </w:pPr>
            <w:r>
              <w:rPr>
                <w:rFonts w:hint="eastAsia" w:cs="宋体"/>
                <w:b w:val="0"/>
                <w:bCs w:val="0"/>
                <w:i w:val="0"/>
                <w:iCs w:val="0"/>
                <w:color w:val="auto"/>
                <w:sz w:val="21"/>
                <w:szCs w:val="21"/>
                <w:u w:val="none"/>
                <w:lang w:eastAsia="zh-CN"/>
              </w:rPr>
              <w:t>米</w:t>
            </w: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i w:val="0"/>
                <w:iCs w:val="0"/>
                <w:color w:val="auto"/>
                <w:sz w:val="21"/>
                <w:szCs w:val="21"/>
                <w:u w:val="none"/>
              </w:rPr>
            </w:pPr>
            <w:r>
              <w:rPr>
                <w:rFonts w:hint="eastAsia" w:ascii="宋体" w:hAnsi="宋体" w:eastAsia="宋体" w:cs="宋体"/>
                <w:sz w:val="18"/>
                <w:szCs w:val="18"/>
              </w:rPr>
              <w:drawing>
                <wp:anchor distT="0" distB="0" distL="114300" distR="114300" simplePos="0" relativeHeight="251686912" behindDoc="0" locked="0" layoutInCell="1" allowOverlap="1">
                  <wp:simplePos x="0" y="0"/>
                  <wp:positionH relativeFrom="column">
                    <wp:posOffset>-33655</wp:posOffset>
                  </wp:positionH>
                  <wp:positionV relativeFrom="paragraph">
                    <wp:posOffset>749300</wp:posOffset>
                  </wp:positionV>
                  <wp:extent cx="984885" cy="700405"/>
                  <wp:effectExtent l="0" t="0" r="5715" b="4445"/>
                  <wp:wrapNone/>
                  <wp:docPr id="13" name="图片 8" descr="9bd87635ad9dfa4e53ee3a571b1e4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9bd87635ad9dfa4e53ee3a571b1e4bf"/>
                          <pic:cNvPicPr>
                            <a:picLocks noChangeAspect="1"/>
                          </pic:cNvPicPr>
                        </pic:nvPicPr>
                        <pic:blipFill>
                          <a:blip r:embed="rId144"/>
                          <a:stretch>
                            <a:fillRect/>
                          </a:stretch>
                        </pic:blipFill>
                        <pic:spPr>
                          <a:xfrm>
                            <a:off x="0" y="0"/>
                            <a:ext cx="984885" cy="700405"/>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r>
              <w:rPr>
                <w:rFonts w:hint="eastAsia" w:cs="宋体"/>
                <w:b w:val="0"/>
                <w:bCs w:val="0"/>
                <w:i w:val="0"/>
                <w:iCs w:val="0"/>
                <w:color w:val="auto"/>
                <w:kern w:val="2"/>
                <w:sz w:val="21"/>
                <w:szCs w:val="21"/>
                <w:u w:val="none"/>
                <w:lang w:val="en-US" w:eastAsia="zh-CN" w:bidi="ar-SA"/>
              </w:rPr>
              <w:t>4</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304医用环保清洗柜</w:t>
            </w:r>
          </w:p>
        </w:tc>
        <w:tc>
          <w:tcPr>
            <w:tcW w:w="621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line="240" w:lineRule="auto"/>
              <w:jc w:val="both"/>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采用1.0mm厚304不锈钢材料，设计一个大清洗水槽，带水龙头，靠墙有挡水板，正面为一个插式门。</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eastAsia="zh-CN"/>
              </w:rPr>
            </w:pPr>
            <w:r>
              <w:rPr>
                <w:rFonts w:hint="eastAsia" w:cs="宋体"/>
                <w:b w:val="0"/>
                <w:bCs w:val="0"/>
                <w:i w:val="0"/>
                <w:iCs w:val="0"/>
                <w:color w:val="auto"/>
                <w:sz w:val="21"/>
                <w:szCs w:val="21"/>
                <w:u w:val="none"/>
                <w:lang w:eastAsia="zh-CN"/>
              </w:rPr>
              <w:t>米</w:t>
            </w: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i w:val="0"/>
                <w:iCs w:val="0"/>
                <w:color w:val="auto"/>
                <w:sz w:val="21"/>
                <w:szCs w:val="21"/>
                <w:u w:val="none"/>
              </w:rPr>
            </w:pPr>
            <w:r>
              <w:rPr>
                <w:rFonts w:hint="eastAsia" w:ascii="宋体" w:hAnsi="宋体" w:eastAsia="宋体" w:cs="宋体"/>
                <w:sz w:val="18"/>
                <w:szCs w:val="18"/>
              </w:rPr>
              <w:drawing>
                <wp:anchor distT="0" distB="0" distL="114300" distR="114300" simplePos="0" relativeHeight="251680768" behindDoc="0" locked="0" layoutInCell="1" allowOverlap="1">
                  <wp:simplePos x="0" y="0"/>
                  <wp:positionH relativeFrom="column">
                    <wp:posOffset>-37465</wp:posOffset>
                  </wp:positionH>
                  <wp:positionV relativeFrom="paragraph">
                    <wp:posOffset>29210</wp:posOffset>
                  </wp:positionV>
                  <wp:extent cx="987425" cy="599440"/>
                  <wp:effectExtent l="0" t="0" r="3175" b="10160"/>
                  <wp:wrapNone/>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30"/>
                          <a:stretch>
                            <a:fillRect/>
                          </a:stretch>
                        </pic:blipFill>
                        <pic:spPr>
                          <a:xfrm>
                            <a:off x="0" y="0"/>
                            <a:ext cx="987425" cy="5994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1"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r>
              <w:rPr>
                <w:rFonts w:hint="eastAsia" w:cs="宋体"/>
                <w:b w:val="0"/>
                <w:bCs w:val="0"/>
                <w:i w:val="0"/>
                <w:iCs w:val="0"/>
                <w:color w:val="auto"/>
                <w:kern w:val="2"/>
                <w:sz w:val="21"/>
                <w:szCs w:val="21"/>
                <w:u w:val="none"/>
                <w:lang w:val="en-US" w:eastAsia="zh-CN" w:bidi="ar-SA"/>
              </w:rPr>
              <w:t>5</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医用环保</w:t>
            </w:r>
          </w:p>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货架</w:t>
            </w:r>
          </w:p>
        </w:tc>
        <w:tc>
          <w:tcPr>
            <w:tcW w:w="6217"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一、款式结构</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由立柱、横梁、</w:t>
            </w:r>
            <w:r>
              <w:rPr>
                <w:rFonts w:hint="eastAsia" w:ascii="宋体" w:hAnsi="宋体" w:eastAsia="宋体" w:cs="宋体"/>
                <w:b w:val="0"/>
                <w:bCs w:val="0"/>
                <w:i w:val="0"/>
                <w:iCs w:val="0"/>
                <w:color w:val="auto"/>
                <w:sz w:val="21"/>
                <w:szCs w:val="21"/>
                <w:u w:val="none"/>
                <w:lang w:eastAsia="zh-CN"/>
              </w:rPr>
              <w:t>层板</w:t>
            </w:r>
            <w:r>
              <w:rPr>
                <w:rFonts w:hint="eastAsia" w:ascii="宋体" w:hAnsi="宋体" w:eastAsia="宋体" w:cs="宋体"/>
                <w:b w:val="0"/>
                <w:bCs w:val="0"/>
                <w:i w:val="0"/>
                <w:iCs w:val="0"/>
                <w:color w:val="auto"/>
                <w:sz w:val="21"/>
                <w:szCs w:val="21"/>
                <w:u w:val="none"/>
              </w:rPr>
              <w:t>、横拉杆</w:t>
            </w:r>
            <w:r>
              <w:rPr>
                <w:rFonts w:hint="eastAsia" w:ascii="宋体" w:hAnsi="宋体" w:eastAsia="宋体" w:cs="宋体"/>
                <w:b w:val="0"/>
                <w:bCs w:val="0"/>
                <w:i w:val="0"/>
                <w:iCs w:val="0"/>
                <w:color w:val="auto"/>
                <w:sz w:val="21"/>
                <w:szCs w:val="21"/>
                <w:u w:val="none"/>
                <w:lang w:eastAsia="zh-CN"/>
              </w:rPr>
              <w:t>、</w:t>
            </w:r>
            <w:r>
              <w:rPr>
                <w:rFonts w:hint="eastAsia" w:ascii="宋体" w:hAnsi="宋体" w:eastAsia="宋体" w:cs="宋体"/>
                <w:b w:val="0"/>
                <w:bCs w:val="0"/>
                <w:i w:val="0"/>
                <w:iCs w:val="0"/>
                <w:color w:val="auto"/>
                <w:sz w:val="21"/>
                <w:szCs w:val="21"/>
                <w:u w:val="none"/>
              </w:rPr>
              <w:t>斜拉杆、</w:t>
            </w:r>
            <w:r>
              <w:rPr>
                <w:rFonts w:hint="eastAsia" w:ascii="宋体" w:hAnsi="宋体" w:eastAsia="宋体" w:cs="宋体"/>
                <w:b w:val="0"/>
                <w:bCs w:val="0"/>
                <w:i w:val="0"/>
                <w:iCs w:val="0"/>
                <w:color w:val="auto"/>
                <w:sz w:val="21"/>
                <w:szCs w:val="21"/>
                <w:u w:val="none"/>
                <w:lang w:val="en-US" w:eastAsia="zh-CN"/>
              </w:rPr>
              <w:t>五</w:t>
            </w:r>
            <w:r>
              <w:rPr>
                <w:rFonts w:hint="eastAsia" w:ascii="宋体" w:hAnsi="宋体" w:eastAsia="宋体" w:cs="宋体"/>
                <w:b w:val="0"/>
                <w:bCs w:val="0"/>
                <w:i w:val="0"/>
                <w:iCs w:val="0"/>
                <w:color w:val="auto"/>
                <w:sz w:val="21"/>
                <w:szCs w:val="21"/>
                <w:u w:val="none"/>
              </w:rPr>
              <w:t>部分组成，属于</w:t>
            </w:r>
            <w:r>
              <w:rPr>
                <w:rFonts w:hint="eastAsia" w:ascii="宋体" w:hAnsi="宋体" w:eastAsia="宋体" w:cs="宋体"/>
                <w:b w:val="0"/>
                <w:bCs w:val="0"/>
                <w:i w:val="0"/>
                <w:iCs w:val="0"/>
                <w:color w:val="auto"/>
                <w:sz w:val="21"/>
                <w:szCs w:val="21"/>
                <w:u w:val="none"/>
                <w:lang w:eastAsia="zh-CN"/>
              </w:rPr>
              <w:t>现场</w:t>
            </w:r>
            <w:r>
              <w:rPr>
                <w:rFonts w:hint="eastAsia" w:ascii="宋体" w:hAnsi="宋体" w:eastAsia="宋体" w:cs="宋体"/>
                <w:b w:val="0"/>
                <w:bCs w:val="0"/>
                <w:i w:val="0"/>
                <w:iCs w:val="0"/>
                <w:color w:val="auto"/>
                <w:sz w:val="21"/>
                <w:szCs w:val="21"/>
                <w:u w:val="none"/>
              </w:rPr>
              <w:t>组合</w:t>
            </w:r>
            <w:r>
              <w:rPr>
                <w:rFonts w:hint="eastAsia" w:ascii="宋体" w:hAnsi="宋体" w:eastAsia="宋体" w:cs="宋体"/>
                <w:b w:val="0"/>
                <w:bCs w:val="0"/>
                <w:i w:val="0"/>
                <w:iCs w:val="0"/>
                <w:color w:val="auto"/>
                <w:sz w:val="21"/>
                <w:szCs w:val="21"/>
                <w:u w:val="none"/>
                <w:lang w:eastAsia="zh-CN"/>
              </w:rPr>
              <w:t>装配式</w:t>
            </w:r>
            <w:r>
              <w:rPr>
                <w:rFonts w:hint="eastAsia" w:ascii="宋体" w:hAnsi="宋体" w:eastAsia="宋体" w:cs="宋体"/>
                <w:b w:val="0"/>
                <w:bCs w:val="0"/>
                <w:i w:val="0"/>
                <w:iCs w:val="0"/>
                <w:color w:val="auto"/>
                <w:sz w:val="21"/>
                <w:szCs w:val="21"/>
                <w:u w:val="none"/>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pict>
                <v:shape id="_x0000_s2051" o:spid="_x0000_s2051" o:spt="75" type="#_x0000_t75" style="position:absolute;left:0pt;margin-left:178.35pt;margin-top:20.8pt;height:41.2pt;width:24.55pt;mso-wrap-distance-left:9pt;mso-wrap-distance-right:9pt;z-index:-251657216;mso-width-relative:page;mso-height-relative:page;" o:ole="t" fillcolor="#FFFFFF" filled="t" o:preferrelative="t" stroked="f" coordsize="21600,21600" wrapcoords="21592 -2 0 0 0 21600 21592 21602 8 21602 21600 21600 21600 0 8 -2 21592 -2">
                  <v:path/>
                  <v:fill on="t" color2="#FFFFFF" focussize="0,0"/>
                  <v:stroke on="f"/>
                  <v:imagedata r:id="rId146" cropleft="33329f" croptop="10121f" cropright="28425f" cropbottom="40317f" o:title=""/>
                  <o:lock v:ext="edit" aspectratio="f"/>
                  <w10:wrap type="tight"/>
                </v:shape>
                <o:OLEObject Type="Embed" ProgID="AutoCAD.Drawing.18" ShapeID="_x0000_s2051" DrawAspect="Content" ObjectID="_1468075725" r:id="rId145">
                  <o:LockedField>false</o:LockedField>
                </o:OLEObject>
              </w:pict>
            </w:r>
            <w:r>
              <w:rPr>
                <w:rFonts w:hint="eastAsia" w:ascii="宋体" w:hAnsi="宋体" w:eastAsia="宋体" w:cs="宋体"/>
                <w:b w:val="0"/>
                <w:bCs w:val="0"/>
                <w:i w:val="0"/>
                <w:iCs w:val="0"/>
                <w:color w:val="auto"/>
                <w:sz w:val="21"/>
                <w:szCs w:val="21"/>
                <w:u w:val="none"/>
              </w:rPr>
              <w:drawing>
                <wp:anchor distT="0" distB="0" distL="114300" distR="114300" simplePos="0" relativeHeight="251662336" behindDoc="0" locked="0" layoutInCell="1" allowOverlap="1">
                  <wp:simplePos x="0" y="0"/>
                  <wp:positionH relativeFrom="column">
                    <wp:posOffset>1765300</wp:posOffset>
                  </wp:positionH>
                  <wp:positionV relativeFrom="paragraph">
                    <wp:posOffset>250825</wp:posOffset>
                  </wp:positionV>
                  <wp:extent cx="341630" cy="553085"/>
                  <wp:effectExtent l="0" t="0" r="1270" b="18415"/>
                  <wp:wrapNone/>
                  <wp:docPr id="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pic:cNvPicPr>
                            <a:picLocks noChangeAspect="1"/>
                          </pic:cNvPicPr>
                        </pic:nvPicPr>
                        <pic:blipFill>
                          <a:blip r:embed="rId147"/>
                          <a:stretch>
                            <a:fillRect/>
                          </a:stretch>
                        </pic:blipFill>
                        <pic:spPr>
                          <a:xfrm>
                            <a:off x="0" y="0"/>
                            <a:ext cx="341630" cy="553085"/>
                          </a:xfrm>
                          <a:prstGeom prst="rect">
                            <a:avLst/>
                          </a:prstGeom>
                          <a:noFill/>
                          <a:ln w="9525">
                            <a:noFill/>
                          </a:ln>
                        </pic:spPr>
                      </pic:pic>
                    </a:graphicData>
                  </a:graphic>
                </wp:anchor>
              </w:drawing>
            </w:r>
            <w:r>
              <w:rPr>
                <w:rFonts w:hint="eastAsia" w:ascii="宋体" w:hAnsi="宋体" w:eastAsia="宋体" w:cs="宋体"/>
                <w:b w:val="0"/>
                <w:bCs w:val="0"/>
                <w:i w:val="0"/>
                <w:iCs w:val="0"/>
                <w:color w:val="auto"/>
                <w:sz w:val="21"/>
                <w:szCs w:val="21"/>
                <w:u w:val="none"/>
              </w:rPr>
              <w:drawing>
                <wp:anchor distT="0" distB="0" distL="114300" distR="114300" simplePos="0" relativeHeight="251661312" behindDoc="0" locked="0" layoutInCell="1" allowOverlap="1">
                  <wp:simplePos x="0" y="0"/>
                  <wp:positionH relativeFrom="column">
                    <wp:posOffset>1270000</wp:posOffset>
                  </wp:positionH>
                  <wp:positionV relativeFrom="paragraph">
                    <wp:posOffset>262255</wp:posOffset>
                  </wp:positionV>
                  <wp:extent cx="355600" cy="549275"/>
                  <wp:effectExtent l="0" t="0" r="6350" b="3175"/>
                  <wp:wrapNone/>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148"/>
                          <a:stretch>
                            <a:fillRect/>
                          </a:stretch>
                        </pic:blipFill>
                        <pic:spPr>
                          <a:xfrm>
                            <a:off x="0" y="0"/>
                            <a:ext cx="355600" cy="549275"/>
                          </a:xfrm>
                          <a:prstGeom prst="rect">
                            <a:avLst/>
                          </a:prstGeom>
                          <a:noFill/>
                          <a:ln w="9525">
                            <a:noFill/>
                          </a:ln>
                        </pic:spPr>
                      </pic:pic>
                    </a:graphicData>
                  </a:graphic>
                </wp:anchor>
              </w:drawing>
            </w:r>
            <w:r>
              <w:rPr>
                <w:rFonts w:hint="eastAsia" w:ascii="宋体" w:hAnsi="宋体" w:eastAsia="宋体" w:cs="宋体"/>
                <w:b w:val="0"/>
                <w:bCs w:val="0"/>
                <w:i w:val="0"/>
                <w:iCs w:val="0"/>
                <w:color w:val="auto"/>
                <w:sz w:val="21"/>
                <w:szCs w:val="21"/>
                <w:u w:val="none"/>
                <w:lang w:val="en-US" w:eastAsia="zh-CN"/>
              </w:rPr>
              <w:t>1.</w:t>
            </w:r>
            <w:r>
              <w:rPr>
                <w:rFonts w:hint="eastAsia" w:ascii="宋体" w:hAnsi="宋体" w:eastAsia="宋体" w:cs="宋体"/>
                <w:b w:val="0"/>
                <w:bCs w:val="0"/>
                <w:i w:val="0"/>
                <w:iCs w:val="0"/>
                <w:color w:val="auto"/>
                <w:sz w:val="21"/>
                <w:szCs w:val="21"/>
                <w:u w:val="none"/>
              </w:rPr>
              <w:t>立柱：采用特大型</w:t>
            </w:r>
            <w:r>
              <w:rPr>
                <w:rFonts w:hint="eastAsia" w:ascii="宋体" w:hAnsi="宋体" w:eastAsia="宋体" w:cs="宋体"/>
                <w:b w:val="0"/>
                <w:bCs w:val="0"/>
                <w:i w:val="0"/>
                <w:iCs w:val="0"/>
                <w:color w:val="auto"/>
                <w:sz w:val="21"/>
                <w:szCs w:val="21"/>
                <w:u w:val="none"/>
                <w:lang w:eastAsia="zh-CN"/>
              </w:rPr>
              <w:t>模</w:t>
            </w:r>
            <w:r>
              <w:rPr>
                <w:rFonts w:hint="eastAsia" w:ascii="宋体" w:hAnsi="宋体" w:eastAsia="宋体" w:cs="宋体"/>
                <w:b w:val="0"/>
                <w:bCs w:val="0"/>
                <w:i w:val="0"/>
                <w:iCs w:val="0"/>
                <w:color w:val="auto"/>
                <w:sz w:val="21"/>
                <w:szCs w:val="21"/>
                <w:u w:val="none"/>
              </w:rPr>
              <w:t>具配合高吨位油压机一次</w:t>
            </w:r>
            <w:r>
              <w:rPr>
                <w:rFonts w:hint="eastAsia" w:ascii="宋体" w:hAnsi="宋体" w:eastAsia="宋体" w:cs="宋体"/>
                <w:b w:val="0"/>
                <w:bCs w:val="0"/>
                <w:i w:val="0"/>
                <w:iCs w:val="0"/>
                <w:color w:val="auto"/>
                <w:sz w:val="21"/>
                <w:szCs w:val="21"/>
                <w:u w:val="none"/>
                <w:lang w:eastAsia="zh-CN"/>
              </w:rPr>
              <w:t>性</w:t>
            </w:r>
            <w:r>
              <w:rPr>
                <w:rFonts w:hint="eastAsia" w:ascii="宋体" w:hAnsi="宋体" w:eastAsia="宋体" w:cs="宋体"/>
                <w:b w:val="0"/>
                <w:bCs w:val="0"/>
                <w:i w:val="0"/>
                <w:iCs w:val="0"/>
                <w:color w:val="auto"/>
                <w:sz w:val="21"/>
                <w:szCs w:val="21"/>
                <w:u w:val="none"/>
              </w:rPr>
              <w:t>冲压成</w:t>
            </w:r>
            <w:r>
              <w:rPr>
                <w:rFonts w:hint="eastAsia" w:ascii="宋体" w:hAnsi="宋体" w:eastAsia="宋体" w:cs="宋体"/>
                <w:b w:val="0"/>
                <w:bCs w:val="0"/>
                <w:i w:val="0"/>
                <w:iCs w:val="0"/>
                <w:color w:val="auto"/>
                <w:sz w:val="21"/>
                <w:szCs w:val="21"/>
                <w:u w:val="none"/>
                <w:lang w:eastAsia="zh-CN"/>
              </w:rPr>
              <w:t>型或滚压成型</w:t>
            </w:r>
            <w:r>
              <w:rPr>
                <w:rFonts w:hint="eastAsia" w:ascii="宋体" w:hAnsi="宋体" w:eastAsia="宋体" w:cs="宋体"/>
                <w:b w:val="0"/>
                <w:bCs w:val="0"/>
                <w:i w:val="0"/>
                <w:iCs w:val="0"/>
                <w:color w:val="auto"/>
                <w:sz w:val="21"/>
                <w:szCs w:val="21"/>
                <w:u w:val="none"/>
              </w:rPr>
              <w:t>工艺</w:t>
            </w:r>
            <w:r>
              <w:rPr>
                <w:rFonts w:hint="eastAsia" w:ascii="宋体" w:hAnsi="宋体" w:eastAsia="宋体" w:cs="宋体"/>
                <w:b w:val="0"/>
                <w:bCs w:val="0"/>
                <w:i w:val="0"/>
                <w:iCs w:val="0"/>
                <w:color w:val="auto"/>
                <w:sz w:val="21"/>
                <w:szCs w:val="21"/>
                <w:u w:val="none"/>
                <w:lang w:eastAsia="zh-CN"/>
              </w:rPr>
              <w:t>（见图）。</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p>
          <w:p>
            <w:pPr>
              <w:bidi w:val="0"/>
              <w:rPr>
                <w:rFonts w:hint="eastAsia"/>
                <w:lang w:val="en-US" w:eastAsia="zh-CN"/>
              </w:rPr>
            </w:pPr>
          </w:p>
          <w:p>
            <w:pPr>
              <w:keepNext w:val="0"/>
              <w:keepLines w:val="0"/>
              <w:widowControl/>
              <w:numPr>
                <w:ilvl w:val="0"/>
                <w:numId w:val="5"/>
              </w:numPr>
              <w:suppressLineNumbers w:val="0"/>
              <w:spacing w:line="240" w:lineRule="auto"/>
              <w:ind w:left="0" w:leftChars="0" w:firstLine="0" w:firstLineChars="0"/>
              <w:jc w:val="left"/>
              <w:textAlignment w:val="top"/>
              <w:rPr>
                <w:rFonts w:hint="eastAsia" w:ascii="宋体" w:hAnsi="宋体" w:eastAsia="宋体" w:cs="宋体"/>
                <w:b w:val="0"/>
                <w:bCs w:val="0"/>
                <w:i w:val="0"/>
                <w:iCs w:val="0"/>
                <w:color w:val="auto"/>
                <w:sz w:val="21"/>
                <w:szCs w:val="21"/>
                <w:u w:val="none"/>
                <w:lang w:eastAsia="zh-CN"/>
              </w:rPr>
            </w:pPr>
            <w:r>
              <w:rPr>
                <w:rFonts w:hint="eastAsia" w:ascii="宋体" w:hAnsi="宋体" w:eastAsia="宋体" w:cs="宋体"/>
                <w:b w:val="0"/>
                <w:bCs w:val="0"/>
                <w:i w:val="0"/>
                <w:iCs w:val="0"/>
                <w:color w:val="auto"/>
                <w:sz w:val="21"/>
                <w:szCs w:val="21"/>
                <w:u w:val="none"/>
              </w:rPr>
              <w:t>横梁:直接承受</w:t>
            </w:r>
            <w:r>
              <w:rPr>
                <w:rFonts w:hint="eastAsia" w:ascii="宋体" w:hAnsi="宋体" w:eastAsia="宋体" w:cs="宋体"/>
                <w:b w:val="0"/>
                <w:bCs w:val="0"/>
                <w:i w:val="0"/>
                <w:iCs w:val="0"/>
                <w:color w:val="auto"/>
                <w:sz w:val="21"/>
                <w:szCs w:val="21"/>
                <w:u w:val="none"/>
                <w:lang w:eastAsia="zh-CN"/>
              </w:rPr>
              <w:t>层板</w:t>
            </w:r>
            <w:r>
              <w:rPr>
                <w:rFonts w:hint="eastAsia" w:ascii="宋体" w:hAnsi="宋体" w:eastAsia="宋体" w:cs="宋体"/>
                <w:b w:val="0"/>
                <w:bCs w:val="0"/>
                <w:i w:val="0"/>
                <w:iCs w:val="0"/>
                <w:color w:val="auto"/>
                <w:sz w:val="21"/>
                <w:szCs w:val="21"/>
                <w:u w:val="none"/>
              </w:rPr>
              <w:t>上货物的重量,采</w:t>
            </w:r>
            <w:r>
              <w:rPr>
                <w:rFonts w:hint="eastAsia" w:ascii="宋体" w:hAnsi="宋体" w:eastAsia="宋体" w:cs="宋体"/>
                <w:b w:val="0"/>
                <w:bCs w:val="0"/>
                <w:i w:val="0"/>
                <w:iCs w:val="0"/>
                <w:color w:val="auto"/>
                <w:sz w:val="21"/>
                <w:szCs w:val="21"/>
                <w:u w:val="none"/>
                <w:lang w:eastAsia="zh-CN"/>
              </w:rPr>
              <w:t>用型钢复合成</w:t>
            </w:r>
            <w:r>
              <w:rPr>
                <w:rFonts w:hint="eastAsia" w:ascii="宋体" w:hAnsi="宋体" w:eastAsia="宋体" w:cs="宋体"/>
                <w:b w:val="0"/>
                <w:bCs w:val="0"/>
                <w:i w:val="0"/>
                <w:iCs w:val="0"/>
                <w:color w:val="auto"/>
                <w:sz w:val="21"/>
                <w:szCs w:val="21"/>
                <w:u w:val="none"/>
              </w:rPr>
              <w:t>P</w:t>
            </w:r>
            <w:r>
              <w:rPr>
                <w:rFonts w:hint="eastAsia" w:ascii="宋体" w:hAnsi="宋体" w:eastAsia="宋体" w:cs="宋体"/>
                <w:b w:val="0"/>
                <w:bCs w:val="0"/>
                <w:i w:val="0"/>
                <w:iCs w:val="0"/>
                <w:color w:val="auto"/>
                <w:sz w:val="21"/>
                <w:szCs w:val="21"/>
                <w:u w:val="none"/>
                <w:lang w:eastAsia="zh-CN"/>
              </w:rPr>
              <w:t>形管</w:t>
            </w:r>
            <w:r>
              <w:rPr>
                <w:rFonts w:hint="eastAsia" w:ascii="宋体" w:hAnsi="宋体" w:eastAsia="宋体" w:cs="宋体"/>
                <w:b w:val="0"/>
                <w:bCs w:val="0"/>
                <w:i w:val="0"/>
                <w:iCs w:val="0"/>
                <w:color w:val="auto"/>
                <w:sz w:val="21"/>
                <w:szCs w:val="21"/>
                <w:u w:val="none"/>
                <w:lang w:val="en-US" w:eastAsia="zh-CN"/>
              </w:rPr>
              <w:t>。且每层横梁</w:t>
            </w:r>
            <w:r>
              <w:rPr>
                <w:rFonts w:hint="eastAsia" w:ascii="宋体" w:hAnsi="宋体" w:eastAsia="宋体" w:cs="宋体"/>
                <w:b w:val="0"/>
                <w:bCs w:val="0"/>
                <w:i w:val="0"/>
                <w:iCs w:val="0"/>
                <w:color w:val="auto"/>
                <w:sz w:val="21"/>
                <w:szCs w:val="21"/>
                <w:u w:val="none"/>
                <w:lang w:eastAsia="zh-CN"/>
              </w:rPr>
              <w:t>设有专用卡簧扣件防脱落保险栓，防止横梁脱落引发安全事故。</w:t>
            </w:r>
          </w:p>
          <w:p>
            <w:pPr>
              <w:keepNext w:val="0"/>
              <w:keepLines w:val="0"/>
              <w:widowControl/>
              <w:numPr>
                <w:ilvl w:val="0"/>
                <w:numId w:val="0"/>
              </w:numPr>
              <w:suppressLineNumbers w:val="0"/>
              <w:spacing w:line="240" w:lineRule="auto"/>
              <w:ind w:leftChars="0"/>
              <w:jc w:val="left"/>
              <w:textAlignment w:val="top"/>
              <w:rPr>
                <w:rFonts w:hint="eastAsia" w:ascii="宋体" w:hAnsi="宋体" w:eastAsia="宋体" w:cs="宋体"/>
                <w:b w:val="0"/>
                <w:bCs w:val="0"/>
                <w:i w:val="0"/>
                <w:iCs w:val="0"/>
                <w:color w:val="auto"/>
                <w:sz w:val="21"/>
                <w:szCs w:val="21"/>
                <w:u w:val="none"/>
                <w:lang w:eastAsia="zh-CN"/>
              </w:rPr>
            </w:pPr>
            <w:r>
              <w:rPr>
                <w:rFonts w:hint="eastAsia" w:ascii="宋体" w:hAnsi="宋体" w:eastAsia="宋体" w:cs="宋体"/>
                <w:b w:val="0"/>
                <w:bCs w:val="0"/>
                <w:i w:val="0"/>
                <w:iCs w:val="0"/>
                <w:color w:val="auto"/>
                <w:sz w:val="21"/>
                <w:szCs w:val="21"/>
                <w:u w:val="none"/>
              </w:rPr>
              <w:drawing>
                <wp:anchor distT="0" distB="0" distL="114300" distR="114300" simplePos="0" relativeHeight="251661312" behindDoc="0" locked="0" layoutInCell="1" allowOverlap="1">
                  <wp:simplePos x="0" y="0"/>
                  <wp:positionH relativeFrom="column">
                    <wp:posOffset>2800985</wp:posOffset>
                  </wp:positionH>
                  <wp:positionV relativeFrom="paragraph">
                    <wp:posOffset>935355</wp:posOffset>
                  </wp:positionV>
                  <wp:extent cx="348615" cy="563245"/>
                  <wp:effectExtent l="0" t="0" r="13335" b="8255"/>
                  <wp:wrapNone/>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47"/>
                          <a:stretch>
                            <a:fillRect/>
                          </a:stretch>
                        </pic:blipFill>
                        <pic:spPr>
                          <a:xfrm>
                            <a:off x="0" y="0"/>
                            <a:ext cx="348615" cy="563245"/>
                          </a:xfrm>
                          <a:prstGeom prst="rect">
                            <a:avLst/>
                          </a:prstGeom>
                          <a:noFill/>
                          <a:ln w="9525">
                            <a:noFill/>
                          </a:ln>
                        </pic:spPr>
                      </pic:pic>
                    </a:graphicData>
                  </a:graphic>
                </wp:anchor>
              </w:drawing>
            </w:r>
            <w:r>
              <w:rPr>
                <w:rFonts w:hint="eastAsia" w:ascii="宋体" w:hAnsi="宋体" w:eastAsia="宋体" w:cs="宋体"/>
                <w:b w:val="0"/>
                <w:bCs w:val="0"/>
                <w:i w:val="0"/>
                <w:iCs w:val="0"/>
                <w:color w:val="auto"/>
                <w:sz w:val="21"/>
                <w:szCs w:val="21"/>
                <w:u w:val="none"/>
              </w:rPr>
              <w:drawing>
                <wp:anchor distT="0" distB="0" distL="114300" distR="114300" simplePos="0" relativeHeight="251663360" behindDoc="0" locked="0" layoutInCell="1" allowOverlap="1">
                  <wp:simplePos x="0" y="0"/>
                  <wp:positionH relativeFrom="column">
                    <wp:posOffset>2328545</wp:posOffset>
                  </wp:positionH>
                  <wp:positionV relativeFrom="paragraph">
                    <wp:posOffset>929640</wp:posOffset>
                  </wp:positionV>
                  <wp:extent cx="324485" cy="562610"/>
                  <wp:effectExtent l="0" t="0" r="18415" b="8890"/>
                  <wp:wrapNone/>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48"/>
                          <a:stretch>
                            <a:fillRect/>
                          </a:stretch>
                        </pic:blipFill>
                        <pic:spPr>
                          <a:xfrm>
                            <a:off x="0" y="0"/>
                            <a:ext cx="324485" cy="562610"/>
                          </a:xfrm>
                          <a:prstGeom prst="rect">
                            <a:avLst/>
                          </a:prstGeom>
                          <a:noFill/>
                          <a:ln w="9525">
                            <a:noFill/>
                          </a:ln>
                        </pic:spPr>
                      </pic:pic>
                    </a:graphicData>
                  </a:graphic>
                </wp:anchor>
              </w:drawing>
            </w:r>
            <w:r>
              <w:rPr>
                <w:rFonts w:hint="eastAsia" w:ascii="宋体" w:hAnsi="宋体" w:eastAsia="宋体" w:cs="宋体"/>
                <w:b w:val="0"/>
                <w:bCs w:val="0"/>
                <w:i w:val="0"/>
                <w:iCs w:val="0"/>
                <w:color w:val="auto"/>
                <w:sz w:val="21"/>
                <w:szCs w:val="21"/>
                <w:u w:val="none"/>
              </w:rPr>
              <w:t>★</w:t>
            </w:r>
            <w:r>
              <w:rPr>
                <w:rFonts w:hint="eastAsia" w:ascii="宋体" w:hAnsi="宋体" w:eastAsia="宋体" w:cs="宋体"/>
                <w:b w:val="0"/>
                <w:bCs w:val="0"/>
                <w:i w:val="0"/>
                <w:iCs w:val="0"/>
                <w:color w:val="auto"/>
                <w:sz w:val="21"/>
                <w:szCs w:val="21"/>
                <w:u w:val="none"/>
                <w:lang w:eastAsia="zh-CN"/>
              </w:rPr>
              <w:t>注：</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eastAsia="zh-CN"/>
              </w:rPr>
              <w:t>提供通过省级或省级以上权威检测机构（检测报告需带CMA、CNAS标识）</w:t>
            </w:r>
            <w:r>
              <w:rPr>
                <w:rFonts w:hint="eastAsia" w:ascii="宋体" w:hAnsi="宋体" w:eastAsia="宋体" w:cs="宋体"/>
                <w:b w:val="0"/>
                <w:bCs w:val="0"/>
                <w:i w:val="0"/>
                <w:iCs w:val="0"/>
                <w:color w:val="auto"/>
                <w:sz w:val="21"/>
                <w:szCs w:val="21"/>
                <w:u w:val="none"/>
              </w:rPr>
              <w:t>出具的</w:t>
            </w:r>
            <w:r>
              <w:rPr>
                <w:rFonts w:hint="eastAsia" w:ascii="宋体" w:hAnsi="宋体" w:eastAsia="宋体" w:cs="宋体"/>
                <w:b w:val="0"/>
                <w:bCs w:val="0"/>
                <w:i w:val="0"/>
                <w:iCs w:val="0"/>
                <w:color w:val="auto"/>
                <w:sz w:val="21"/>
                <w:szCs w:val="21"/>
                <w:u w:val="none"/>
                <w:lang w:val="en-US" w:eastAsia="zh-CN"/>
              </w:rPr>
              <w:t>抽样检测的《货架横梁》检验报告，检验项目需符合以下要求：</w:t>
            </w:r>
            <w:r>
              <w:rPr>
                <w:rFonts w:hint="eastAsia" w:ascii="宋体" w:hAnsi="宋体" w:eastAsia="宋体" w:cs="宋体"/>
                <w:b w:val="0"/>
                <w:bCs w:val="0"/>
                <w:i w:val="0"/>
                <w:iCs w:val="0"/>
                <w:color w:val="auto"/>
                <w:sz w:val="21"/>
                <w:szCs w:val="21"/>
                <w:u w:val="none"/>
                <w:lang w:val="zh-CN" w:eastAsia="zh-CN"/>
              </w:rPr>
              <w:t>①抽样基数≥</w:t>
            </w:r>
            <w:r>
              <w:rPr>
                <w:rFonts w:hint="eastAsia" w:ascii="宋体" w:hAnsi="宋体" w:eastAsia="宋体" w:cs="宋体"/>
                <w:b w:val="0"/>
                <w:bCs w:val="0"/>
                <w:i w:val="0"/>
                <w:iCs w:val="0"/>
                <w:color w:val="auto"/>
                <w:sz w:val="21"/>
                <w:szCs w:val="21"/>
                <w:u w:val="none"/>
                <w:lang w:val="en-US" w:eastAsia="zh-CN"/>
              </w:rPr>
              <w:t>500件</w:t>
            </w:r>
            <w:r>
              <w:rPr>
                <w:rFonts w:hint="eastAsia" w:ascii="宋体" w:hAnsi="宋体" w:eastAsia="宋体" w:cs="宋体"/>
                <w:b w:val="0"/>
                <w:bCs w:val="0"/>
                <w:i w:val="0"/>
                <w:iCs w:val="0"/>
                <w:color w:val="auto"/>
                <w:sz w:val="21"/>
                <w:szCs w:val="21"/>
                <w:u w:val="none"/>
                <w:lang w:val="zh-CN" w:eastAsia="zh-CN"/>
              </w:rPr>
              <w:t>②</w:t>
            </w:r>
            <w:r>
              <w:rPr>
                <w:rFonts w:hint="eastAsia" w:ascii="宋体" w:hAnsi="宋体" w:eastAsia="宋体" w:cs="宋体"/>
                <w:b w:val="0"/>
                <w:bCs w:val="0"/>
                <w:i w:val="0"/>
                <w:iCs w:val="0"/>
                <w:color w:val="auto"/>
                <w:sz w:val="21"/>
                <w:szCs w:val="21"/>
                <w:u w:val="none"/>
                <w:lang w:val="en-US" w:eastAsia="zh-CN"/>
              </w:rPr>
              <w:t>产品涂层和覆面层中可溶性重金属应符合GB18584的规定可溶性铅未检出＜8mg/kg、可溶性镉未检出＜2mg/kg、可溶性铬未检出＜2mg/kg、可溶性汞未检出＜2mg/kg。</w:t>
            </w:r>
            <w:r>
              <w:rPr>
                <w:rFonts w:hint="eastAsia" w:ascii="宋体" w:hAnsi="宋体" w:eastAsia="宋体" w:cs="宋体"/>
                <w:b w:val="0"/>
                <w:bCs w:val="0"/>
                <w:i w:val="0"/>
                <w:iCs w:val="0"/>
                <w:color w:val="auto"/>
                <w:sz w:val="21"/>
                <w:szCs w:val="21"/>
                <w:u w:val="none"/>
                <w:lang w:eastAsia="zh-CN"/>
              </w:rPr>
              <w:t>（见下图）</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eastAsia="zh-CN"/>
              </w:rPr>
            </w:pPr>
          </w:p>
          <w:p>
            <w:pPr>
              <w:bidi w:val="0"/>
              <w:rPr>
                <w:rFonts w:hint="eastAsia"/>
                <w:lang w:eastAsia="zh-CN"/>
              </w:rPr>
            </w:pP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drawing>
                <wp:anchor distT="0" distB="0" distL="114300" distR="114300" simplePos="0" relativeHeight="251660288" behindDoc="1" locked="0" layoutInCell="1" allowOverlap="1">
                  <wp:simplePos x="0" y="0"/>
                  <wp:positionH relativeFrom="column">
                    <wp:posOffset>1632585</wp:posOffset>
                  </wp:positionH>
                  <wp:positionV relativeFrom="paragraph">
                    <wp:posOffset>220980</wp:posOffset>
                  </wp:positionV>
                  <wp:extent cx="213360" cy="464820"/>
                  <wp:effectExtent l="0" t="0" r="15240" b="11430"/>
                  <wp:wrapNone/>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149"/>
                          <a:stretch>
                            <a:fillRect/>
                          </a:stretch>
                        </pic:blipFill>
                        <pic:spPr>
                          <a:xfrm>
                            <a:off x="0" y="0"/>
                            <a:ext cx="213360" cy="464820"/>
                          </a:xfrm>
                          <a:prstGeom prst="rect">
                            <a:avLst/>
                          </a:prstGeom>
                          <a:noFill/>
                          <a:ln w="9525">
                            <a:noFill/>
                          </a:ln>
                        </pic:spPr>
                      </pic:pic>
                    </a:graphicData>
                  </a:graphic>
                </wp:anchor>
              </w:drawing>
            </w:r>
            <w:r>
              <w:rPr>
                <w:rFonts w:hint="eastAsia" w:ascii="宋体" w:hAnsi="宋体" w:eastAsia="宋体" w:cs="宋体"/>
                <w:b w:val="0"/>
                <w:bCs w:val="0"/>
                <w:i w:val="0"/>
                <w:iCs w:val="0"/>
                <w:color w:val="auto"/>
                <w:sz w:val="21"/>
                <w:szCs w:val="21"/>
                <w:u w:val="none"/>
                <w:lang w:val="en-US" w:eastAsia="zh-CN"/>
              </w:rPr>
              <w:t>3.</w:t>
            </w:r>
            <w:r>
              <w:rPr>
                <w:rFonts w:hint="eastAsia" w:ascii="宋体" w:hAnsi="宋体" w:eastAsia="宋体" w:cs="宋体"/>
                <w:b w:val="0"/>
                <w:bCs w:val="0"/>
                <w:i w:val="0"/>
                <w:iCs w:val="0"/>
                <w:color w:val="auto"/>
                <w:sz w:val="21"/>
                <w:szCs w:val="21"/>
                <w:u w:val="none"/>
              </w:rPr>
              <w:t>层数：</w:t>
            </w:r>
            <w:r>
              <w:rPr>
                <w:rFonts w:hint="eastAsia" w:ascii="宋体" w:hAnsi="宋体" w:eastAsia="宋体" w:cs="宋体"/>
                <w:b w:val="0"/>
                <w:bCs w:val="0"/>
                <w:i w:val="0"/>
                <w:iCs w:val="0"/>
                <w:color w:val="auto"/>
                <w:sz w:val="21"/>
                <w:szCs w:val="21"/>
                <w:u w:val="none"/>
                <w:lang w:eastAsia="zh-CN"/>
              </w:rPr>
              <w:t>根据用户需要来选定。</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sz w:val="18"/>
                <w:szCs w:val="18"/>
              </w:rPr>
              <w:drawing>
                <wp:anchor distT="0" distB="0" distL="114300" distR="114300" simplePos="0" relativeHeight="251678720" behindDoc="0" locked="0" layoutInCell="1" allowOverlap="1">
                  <wp:simplePos x="0" y="0"/>
                  <wp:positionH relativeFrom="column">
                    <wp:posOffset>1025525</wp:posOffset>
                  </wp:positionH>
                  <wp:positionV relativeFrom="paragraph">
                    <wp:posOffset>83820</wp:posOffset>
                  </wp:positionV>
                  <wp:extent cx="85090" cy="276860"/>
                  <wp:effectExtent l="0" t="0" r="10160" b="8890"/>
                  <wp:wrapNone/>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49"/>
                          <a:srcRect l="9181" r="22925"/>
                          <a:stretch>
                            <a:fillRect/>
                          </a:stretch>
                        </pic:blipFill>
                        <pic:spPr>
                          <a:xfrm>
                            <a:off x="0" y="0"/>
                            <a:ext cx="85090" cy="276860"/>
                          </a:xfrm>
                          <a:prstGeom prst="rect">
                            <a:avLst/>
                          </a:prstGeom>
                          <a:noFill/>
                          <a:ln w="9525">
                            <a:noFill/>
                          </a:ln>
                        </pic:spPr>
                      </pic:pic>
                    </a:graphicData>
                  </a:graphic>
                </wp:anchor>
              </w:drawing>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4.</w:t>
            </w:r>
            <w:r>
              <w:rPr>
                <w:rFonts w:hint="eastAsia" w:ascii="宋体" w:hAnsi="宋体" w:eastAsia="宋体" w:cs="宋体"/>
                <w:b w:val="0"/>
                <w:bCs w:val="0"/>
                <w:i w:val="0"/>
                <w:iCs w:val="0"/>
                <w:color w:val="auto"/>
                <w:sz w:val="21"/>
                <w:szCs w:val="21"/>
                <w:u w:val="none"/>
                <w:lang w:eastAsia="zh-CN"/>
              </w:rPr>
              <w:t>立柱正面冲“</w:t>
            </w:r>
            <w:r>
              <w:rPr>
                <w:rFonts w:hint="eastAsia" w:ascii="宋体" w:hAnsi="宋体" w:eastAsia="宋体" w:cs="宋体"/>
                <w:b w:val="0"/>
                <w:bCs w:val="0"/>
                <w:i w:val="0"/>
                <w:iCs w:val="0"/>
                <w:color w:val="auto"/>
                <w:sz w:val="21"/>
                <w:szCs w:val="21"/>
                <w:u w:val="none"/>
                <w:lang w:val="en-US" w:eastAsia="zh-CN"/>
              </w:rPr>
              <w:t xml:space="preserve"> </w:t>
            </w:r>
            <w:r>
              <w:rPr>
                <w:rFonts w:hint="eastAsia" w:ascii="宋体" w:hAnsi="宋体" w:eastAsia="宋体" w:cs="宋体"/>
                <w:sz w:val="18"/>
                <w:szCs w:val="18"/>
              </w:rPr>
              <w:drawing>
                <wp:anchor distT="0" distB="0" distL="114300" distR="114300" simplePos="0" relativeHeight="251674624" behindDoc="1" locked="0" layoutInCell="1" allowOverlap="1">
                  <wp:simplePos x="0" y="0"/>
                  <wp:positionH relativeFrom="column">
                    <wp:posOffset>6770370</wp:posOffset>
                  </wp:positionH>
                  <wp:positionV relativeFrom="paragraph">
                    <wp:posOffset>-3296920</wp:posOffset>
                  </wp:positionV>
                  <wp:extent cx="213360" cy="464820"/>
                  <wp:effectExtent l="0" t="0" r="15240" b="11430"/>
                  <wp:wrapNone/>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9"/>
                          <a:stretch>
                            <a:fillRect/>
                          </a:stretch>
                        </pic:blipFill>
                        <pic:spPr>
                          <a:xfrm>
                            <a:off x="0" y="0"/>
                            <a:ext cx="213360" cy="464820"/>
                          </a:xfrm>
                          <a:prstGeom prst="rect">
                            <a:avLst/>
                          </a:prstGeom>
                          <a:noFill/>
                          <a:ln w="9525">
                            <a:noFill/>
                          </a:ln>
                        </pic:spPr>
                      </pic:pic>
                    </a:graphicData>
                  </a:graphic>
                </wp:anchor>
              </w:drawing>
            </w:r>
            <w:r>
              <w:rPr>
                <w:rFonts w:hint="eastAsia" w:ascii="宋体" w:hAnsi="宋体" w:eastAsia="宋体" w:cs="宋体"/>
                <w:sz w:val="18"/>
                <w:szCs w:val="18"/>
              </w:rPr>
              <w:drawing>
                <wp:anchor distT="0" distB="0" distL="114300" distR="114300" simplePos="0" relativeHeight="251673600" behindDoc="1" locked="0" layoutInCell="1" allowOverlap="1">
                  <wp:simplePos x="0" y="0"/>
                  <wp:positionH relativeFrom="column">
                    <wp:posOffset>6617970</wp:posOffset>
                  </wp:positionH>
                  <wp:positionV relativeFrom="paragraph">
                    <wp:posOffset>-3449320</wp:posOffset>
                  </wp:positionV>
                  <wp:extent cx="213360" cy="464820"/>
                  <wp:effectExtent l="0" t="0" r="15240" b="11430"/>
                  <wp:wrapNone/>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49"/>
                          <a:stretch>
                            <a:fillRect/>
                          </a:stretch>
                        </pic:blipFill>
                        <pic:spPr>
                          <a:xfrm>
                            <a:off x="0" y="0"/>
                            <a:ext cx="213360" cy="464820"/>
                          </a:xfrm>
                          <a:prstGeom prst="rect">
                            <a:avLst/>
                          </a:prstGeom>
                          <a:noFill/>
                          <a:ln w="9525">
                            <a:noFill/>
                          </a:ln>
                        </pic:spPr>
                      </pic:pic>
                    </a:graphicData>
                  </a:graphic>
                </wp:anchor>
              </w:drawing>
            </w:r>
            <w:r>
              <w:rPr>
                <w:rFonts w:hint="eastAsia" w:ascii="宋体" w:hAnsi="宋体" w:eastAsia="宋体" w:cs="宋体"/>
                <w:b w:val="0"/>
                <w:bCs w:val="0"/>
                <w:i w:val="0"/>
                <w:iCs w:val="0"/>
                <w:color w:val="auto"/>
                <w:sz w:val="21"/>
                <w:szCs w:val="21"/>
                <w:u w:val="none"/>
                <w:lang w:val="en-US" w:eastAsia="zh-CN"/>
              </w:rPr>
              <w:t xml:space="preserve"> </w:t>
            </w:r>
            <w:r>
              <w:rPr>
                <w:rFonts w:hint="eastAsia" w:ascii="宋体" w:hAnsi="宋体" w:eastAsia="宋体" w:cs="宋体"/>
                <w:sz w:val="18"/>
                <w:szCs w:val="18"/>
              </w:rPr>
              <w:drawing>
                <wp:anchor distT="0" distB="0" distL="114300" distR="114300" simplePos="0" relativeHeight="251676672" behindDoc="0" locked="0" layoutInCell="1" allowOverlap="1">
                  <wp:simplePos x="0" y="0"/>
                  <wp:positionH relativeFrom="column">
                    <wp:posOffset>6617970</wp:posOffset>
                  </wp:positionH>
                  <wp:positionV relativeFrom="paragraph">
                    <wp:posOffset>-6781165</wp:posOffset>
                  </wp:positionV>
                  <wp:extent cx="1155065" cy="2516505"/>
                  <wp:effectExtent l="0" t="0" r="6985" b="17145"/>
                  <wp:wrapNone/>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9"/>
                          <a:stretch>
                            <a:fillRect/>
                          </a:stretch>
                        </pic:blipFill>
                        <pic:spPr>
                          <a:xfrm>
                            <a:off x="0" y="0"/>
                            <a:ext cx="1155065" cy="2516505"/>
                          </a:xfrm>
                          <a:prstGeom prst="rect">
                            <a:avLst/>
                          </a:prstGeom>
                          <a:noFill/>
                          <a:ln w="9525">
                            <a:noFill/>
                          </a:ln>
                        </pic:spPr>
                      </pic:pic>
                    </a:graphicData>
                  </a:graphic>
                </wp:anchor>
              </w:drawing>
            </w:r>
            <w:r>
              <w:rPr>
                <w:rFonts w:hint="eastAsia" w:ascii="宋体" w:hAnsi="宋体" w:eastAsia="宋体" w:cs="宋体"/>
                <w:sz w:val="18"/>
                <w:szCs w:val="18"/>
              </w:rPr>
              <w:drawing>
                <wp:anchor distT="0" distB="0" distL="114300" distR="114300" simplePos="0" relativeHeight="251675648" behindDoc="0" locked="0" layoutInCell="1" allowOverlap="1">
                  <wp:simplePos x="0" y="0"/>
                  <wp:positionH relativeFrom="column">
                    <wp:posOffset>6465570</wp:posOffset>
                  </wp:positionH>
                  <wp:positionV relativeFrom="paragraph">
                    <wp:posOffset>-6933565</wp:posOffset>
                  </wp:positionV>
                  <wp:extent cx="1155065" cy="2516505"/>
                  <wp:effectExtent l="0" t="0" r="6985" b="17145"/>
                  <wp:wrapNone/>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9"/>
                          <a:stretch>
                            <a:fillRect/>
                          </a:stretch>
                        </pic:blipFill>
                        <pic:spPr>
                          <a:xfrm>
                            <a:off x="0" y="0"/>
                            <a:ext cx="1155065" cy="2516505"/>
                          </a:xfrm>
                          <a:prstGeom prst="rect">
                            <a:avLst/>
                          </a:prstGeom>
                          <a:noFill/>
                          <a:ln w="9525">
                            <a:noFill/>
                          </a:ln>
                        </pic:spPr>
                      </pic:pic>
                    </a:graphicData>
                  </a:graphic>
                </wp:anchor>
              </w:drawing>
            </w:r>
            <w:r>
              <w:rPr>
                <w:rFonts w:hint="eastAsia" w:ascii="宋体" w:hAnsi="宋体" w:eastAsia="宋体" w:cs="宋体"/>
                <w:sz w:val="18"/>
                <w:szCs w:val="18"/>
              </w:rPr>
              <w:drawing>
                <wp:anchor distT="0" distB="0" distL="114300" distR="114300" simplePos="0" relativeHeight="251672576" behindDoc="1" locked="0" layoutInCell="1" allowOverlap="1">
                  <wp:simplePos x="0" y="0"/>
                  <wp:positionH relativeFrom="column">
                    <wp:posOffset>6465570</wp:posOffset>
                  </wp:positionH>
                  <wp:positionV relativeFrom="paragraph">
                    <wp:posOffset>-3601720</wp:posOffset>
                  </wp:positionV>
                  <wp:extent cx="213360" cy="464820"/>
                  <wp:effectExtent l="0" t="0" r="15240" b="11430"/>
                  <wp:wrapNone/>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49"/>
                          <a:stretch>
                            <a:fillRect/>
                          </a:stretch>
                        </pic:blipFill>
                        <pic:spPr>
                          <a:xfrm>
                            <a:off x="0" y="0"/>
                            <a:ext cx="213360" cy="464820"/>
                          </a:xfrm>
                          <a:prstGeom prst="rect">
                            <a:avLst/>
                          </a:prstGeom>
                          <a:noFill/>
                          <a:ln w="9525">
                            <a:noFill/>
                          </a:ln>
                        </pic:spPr>
                      </pic:pic>
                    </a:graphicData>
                  </a:graphic>
                </wp:anchor>
              </w:drawing>
            </w:r>
            <w:r>
              <w:rPr>
                <w:rFonts w:hint="eastAsia" w:ascii="宋体" w:hAnsi="宋体" w:eastAsia="宋体" w:cs="宋体"/>
                <w:b w:val="0"/>
                <w:bCs w:val="0"/>
                <w:i w:val="0"/>
                <w:iCs w:val="0"/>
                <w:color w:val="auto"/>
                <w:sz w:val="21"/>
                <w:szCs w:val="21"/>
                <w:u w:val="none"/>
                <w:lang w:val="en-US" w:eastAsia="zh-CN"/>
              </w:rPr>
              <w:t xml:space="preserve">  ” </w:t>
            </w:r>
            <w:r>
              <w:rPr>
                <w:rFonts w:hint="eastAsia" w:ascii="宋体" w:hAnsi="宋体" w:eastAsia="宋体" w:cs="宋体"/>
                <w:b w:val="0"/>
                <w:bCs w:val="0"/>
                <w:i w:val="0"/>
                <w:iCs w:val="0"/>
                <w:color w:val="auto"/>
                <w:sz w:val="21"/>
                <w:szCs w:val="21"/>
                <w:u w:val="none"/>
                <w:lang w:eastAsia="zh-CN"/>
              </w:rPr>
              <w:t>形状组装孔，供横梁装配组合，横梁挂件设有扣件，扣件采用</w:t>
            </w:r>
            <w:r>
              <w:rPr>
                <w:rFonts w:hint="eastAsia" w:ascii="宋体" w:hAnsi="宋体" w:eastAsia="宋体" w:cs="宋体"/>
                <w:b w:val="0"/>
                <w:bCs w:val="0"/>
                <w:i w:val="0"/>
                <w:iCs w:val="0"/>
                <w:color w:val="auto"/>
                <w:sz w:val="21"/>
                <w:szCs w:val="21"/>
                <w:u w:val="none"/>
                <w:lang w:val="en-US" w:eastAsia="zh-CN"/>
              </w:rPr>
              <w:t>20#钢，采用榫卯工艺将扣件全部卯在挂件上。起到与立柱组合扣紧作用。</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rPr>
              <w:t>★</w:t>
            </w:r>
            <w:r>
              <w:rPr>
                <w:rFonts w:hint="eastAsia" w:ascii="宋体" w:hAnsi="宋体" w:eastAsia="宋体" w:cs="宋体"/>
                <w:b w:val="0"/>
                <w:bCs w:val="0"/>
                <w:i w:val="0"/>
                <w:iCs w:val="0"/>
                <w:color w:val="auto"/>
                <w:sz w:val="21"/>
                <w:szCs w:val="21"/>
                <w:u w:val="none"/>
                <w:lang w:val="en-US" w:eastAsia="zh-CN"/>
              </w:rPr>
              <w:t>注：</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eastAsia="zh-CN"/>
              </w:rPr>
              <w:t>提供通过省级或省级以上权威检测机构出具（检测报告需带CMA、CNAS、CAL标识）</w:t>
            </w:r>
            <w:r>
              <w:rPr>
                <w:rFonts w:hint="eastAsia" w:ascii="宋体" w:hAnsi="宋体" w:eastAsia="宋体" w:cs="宋体"/>
                <w:b w:val="0"/>
                <w:bCs w:val="0"/>
                <w:i w:val="0"/>
                <w:iCs w:val="0"/>
                <w:color w:val="auto"/>
                <w:sz w:val="21"/>
                <w:szCs w:val="21"/>
                <w:u w:val="none"/>
              </w:rPr>
              <w:t>的</w:t>
            </w:r>
            <w:r>
              <w:rPr>
                <w:rFonts w:hint="eastAsia" w:ascii="宋体" w:hAnsi="宋体" w:eastAsia="宋体" w:cs="宋体"/>
                <w:b w:val="0"/>
                <w:bCs w:val="0"/>
                <w:i w:val="0"/>
                <w:iCs w:val="0"/>
                <w:color w:val="auto"/>
                <w:sz w:val="21"/>
                <w:szCs w:val="21"/>
                <w:u w:val="none"/>
                <w:lang w:val="en-US" w:eastAsia="zh-CN"/>
              </w:rPr>
              <w:t>《货架》的检验报告，检测内容应包括产品耐腐蚀在200小时（含）合格。</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二、工艺质量要求</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1.</w:t>
            </w:r>
            <w:r>
              <w:rPr>
                <w:rFonts w:hint="eastAsia" w:ascii="宋体" w:hAnsi="宋体" w:eastAsia="宋体" w:cs="宋体"/>
                <w:b w:val="0"/>
                <w:bCs w:val="0"/>
                <w:i w:val="0"/>
                <w:iCs w:val="0"/>
                <w:color w:val="auto"/>
                <w:sz w:val="21"/>
                <w:szCs w:val="21"/>
                <w:u w:val="none"/>
              </w:rPr>
              <w:t>货架组合装配后，单架整体尺寸（长、宽、高）允许偏差±</w:t>
            </w:r>
            <w:r>
              <w:rPr>
                <w:rFonts w:hint="eastAsia" w:ascii="宋体" w:hAnsi="宋体" w:eastAsia="宋体" w:cs="宋体"/>
                <w:b w:val="0"/>
                <w:bCs w:val="0"/>
                <w:i w:val="0"/>
                <w:iCs w:val="0"/>
                <w:color w:val="auto"/>
                <w:sz w:val="21"/>
                <w:szCs w:val="21"/>
                <w:u w:val="none"/>
                <w:lang w:val="en-US" w:eastAsia="zh-CN"/>
              </w:rPr>
              <w:t>3</w:t>
            </w:r>
            <w:r>
              <w:rPr>
                <w:rFonts w:hint="eastAsia" w:ascii="宋体" w:hAnsi="宋体" w:eastAsia="宋体" w:cs="宋体"/>
                <w:b w:val="0"/>
                <w:bCs w:val="0"/>
                <w:i w:val="0"/>
                <w:iCs w:val="0"/>
                <w:color w:val="auto"/>
                <w:sz w:val="21"/>
                <w:szCs w:val="21"/>
                <w:u w:val="none"/>
              </w:rPr>
              <w:t>mm以内。</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2.</w:t>
            </w:r>
            <w:r>
              <w:rPr>
                <w:rFonts w:hint="eastAsia" w:ascii="宋体" w:hAnsi="宋体" w:eastAsia="宋体" w:cs="宋体"/>
                <w:b w:val="0"/>
                <w:bCs w:val="0"/>
                <w:i w:val="0"/>
                <w:iCs w:val="0"/>
                <w:color w:val="auto"/>
                <w:sz w:val="21"/>
                <w:szCs w:val="21"/>
                <w:u w:val="none"/>
              </w:rPr>
              <w:t>货架从地面到底层</w:t>
            </w:r>
            <w:r>
              <w:rPr>
                <w:rFonts w:hint="eastAsia" w:ascii="宋体" w:hAnsi="宋体" w:eastAsia="宋体" w:cs="宋体"/>
                <w:b w:val="0"/>
                <w:bCs w:val="0"/>
                <w:i w:val="0"/>
                <w:iCs w:val="0"/>
                <w:color w:val="auto"/>
                <w:sz w:val="21"/>
                <w:szCs w:val="21"/>
                <w:u w:val="none"/>
                <w:lang w:eastAsia="zh-CN"/>
              </w:rPr>
              <w:t>层板</w:t>
            </w:r>
            <w:r>
              <w:rPr>
                <w:rFonts w:hint="eastAsia" w:ascii="宋体" w:hAnsi="宋体" w:eastAsia="宋体" w:cs="宋体"/>
                <w:b w:val="0"/>
                <w:bCs w:val="0"/>
                <w:i w:val="0"/>
                <w:iCs w:val="0"/>
                <w:color w:val="auto"/>
                <w:sz w:val="21"/>
                <w:szCs w:val="21"/>
                <w:u w:val="none"/>
              </w:rPr>
              <w:t>间距90-1</w:t>
            </w:r>
            <w:r>
              <w:rPr>
                <w:rFonts w:hint="eastAsia" w:ascii="宋体" w:hAnsi="宋体" w:eastAsia="宋体" w:cs="宋体"/>
                <w:b w:val="0"/>
                <w:bCs w:val="0"/>
                <w:i w:val="0"/>
                <w:iCs w:val="0"/>
                <w:color w:val="auto"/>
                <w:sz w:val="21"/>
                <w:szCs w:val="21"/>
                <w:u w:val="none"/>
                <w:lang w:val="en-US" w:eastAsia="zh-CN"/>
              </w:rPr>
              <w:t>90</w:t>
            </w:r>
            <w:r>
              <w:rPr>
                <w:rFonts w:hint="eastAsia" w:ascii="宋体" w:hAnsi="宋体" w:eastAsia="宋体" w:cs="宋体"/>
                <w:b w:val="0"/>
                <w:bCs w:val="0"/>
                <w:i w:val="0"/>
                <w:iCs w:val="0"/>
                <w:color w:val="auto"/>
                <w:sz w:val="21"/>
                <w:szCs w:val="21"/>
                <w:u w:val="none"/>
              </w:rPr>
              <w:t>mm。</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3.</w:t>
            </w:r>
            <w:r>
              <w:rPr>
                <w:rFonts w:hint="eastAsia" w:ascii="宋体" w:hAnsi="宋体" w:eastAsia="宋体" w:cs="宋体"/>
                <w:b w:val="0"/>
                <w:bCs w:val="0"/>
                <w:i w:val="0"/>
                <w:iCs w:val="0"/>
                <w:color w:val="auto"/>
                <w:sz w:val="21"/>
                <w:szCs w:val="21"/>
                <w:u w:val="none"/>
              </w:rPr>
              <w:t>立柱截面</w:t>
            </w:r>
            <w:r>
              <w:rPr>
                <w:rFonts w:hint="eastAsia" w:ascii="宋体" w:hAnsi="宋体" w:eastAsia="宋体" w:cs="宋体"/>
                <w:b w:val="0"/>
                <w:bCs w:val="0"/>
                <w:i w:val="0"/>
                <w:iCs w:val="0"/>
                <w:color w:val="auto"/>
                <w:sz w:val="21"/>
                <w:szCs w:val="21"/>
                <w:u w:val="none"/>
                <w:lang w:val="en-US" w:eastAsia="zh-CN"/>
              </w:rPr>
              <w:t>40</w:t>
            </w:r>
            <w:r>
              <w:rPr>
                <w:rFonts w:hint="eastAsia" w:ascii="宋体" w:hAnsi="宋体" w:eastAsia="宋体" w:cs="宋体"/>
                <w:b w:val="0"/>
                <w:bCs w:val="0"/>
                <w:i w:val="0"/>
                <w:iCs w:val="0"/>
                <w:color w:val="auto"/>
                <w:sz w:val="21"/>
                <w:szCs w:val="21"/>
                <w:u w:val="none"/>
              </w:rPr>
              <w:t>×</w:t>
            </w:r>
            <w:r>
              <w:rPr>
                <w:rFonts w:hint="eastAsia" w:ascii="宋体" w:hAnsi="宋体" w:eastAsia="宋体" w:cs="宋体"/>
                <w:b w:val="0"/>
                <w:bCs w:val="0"/>
                <w:i w:val="0"/>
                <w:iCs w:val="0"/>
                <w:color w:val="auto"/>
                <w:sz w:val="21"/>
                <w:szCs w:val="21"/>
                <w:u w:val="none"/>
                <w:lang w:val="en-US" w:eastAsia="zh-CN"/>
              </w:rPr>
              <w:t>65</w:t>
            </w:r>
            <w:r>
              <w:rPr>
                <w:rFonts w:hint="eastAsia" w:ascii="宋体" w:hAnsi="宋体" w:eastAsia="宋体" w:cs="宋体"/>
                <w:b w:val="0"/>
                <w:bCs w:val="0"/>
                <w:i w:val="0"/>
                <w:iCs w:val="0"/>
                <w:color w:val="auto"/>
                <w:sz w:val="21"/>
                <w:szCs w:val="21"/>
                <w:u w:val="none"/>
              </w:rPr>
              <w:t>mm</w:t>
            </w:r>
            <w:r>
              <w:rPr>
                <w:rFonts w:hint="eastAsia" w:ascii="宋体" w:hAnsi="宋体" w:eastAsia="宋体" w:cs="宋体"/>
                <w:b w:val="0"/>
                <w:bCs w:val="0"/>
                <w:i w:val="0"/>
                <w:iCs w:val="0"/>
                <w:color w:val="auto"/>
                <w:sz w:val="21"/>
                <w:szCs w:val="21"/>
                <w:u w:val="none"/>
                <w:lang w:val="en-US" w:eastAsia="zh-CN"/>
              </w:rPr>
              <w:t>，</w:t>
            </w:r>
            <w:r>
              <w:rPr>
                <w:rFonts w:hint="eastAsia" w:ascii="宋体" w:hAnsi="宋体" w:eastAsia="宋体" w:cs="宋体"/>
                <w:b w:val="0"/>
                <w:bCs w:val="0"/>
                <w:i w:val="0"/>
                <w:iCs w:val="0"/>
                <w:color w:val="auto"/>
                <w:sz w:val="21"/>
                <w:szCs w:val="21"/>
                <w:u w:val="none"/>
              </w:rPr>
              <w:t>允许偏差±2mm，轴线直线度偏差&lt;1/1000</w:t>
            </w:r>
            <w:r>
              <w:rPr>
                <w:rFonts w:hint="eastAsia" w:ascii="宋体" w:hAnsi="宋体" w:eastAsia="宋体" w:cs="宋体"/>
                <w:b w:val="0"/>
                <w:bCs w:val="0"/>
                <w:i w:val="0"/>
                <w:iCs w:val="0"/>
                <w:color w:val="auto"/>
                <w:sz w:val="21"/>
                <w:szCs w:val="21"/>
                <w:u w:val="none"/>
                <w:lang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4.</w:t>
            </w:r>
            <w:r>
              <w:rPr>
                <w:rFonts w:hint="eastAsia" w:ascii="宋体" w:hAnsi="宋体" w:eastAsia="宋体" w:cs="宋体"/>
                <w:b w:val="0"/>
                <w:bCs w:val="0"/>
                <w:i w:val="0"/>
                <w:iCs w:val="0"/>
                <w:color w:val="auto"/>
                <w:sz w:val="21"/>
                <w:szCs w:val="21"/>
                <w:u w:val="none"/>
              </w:rPr>
              <w:t>立柱上挂板孔间距</w:t>
            </w:r>
            <w:r>
              <w:rPr>
                <w:rFonts w:hint="eastAsia" w:ascii="宋体" w:hAnsi="宋体" w:eastAsia="宋体" w:cs="宋体"/>
                <w:b w:val="0"/>
                <w:bCs w:val="0"/>
                <w:i w:val="0"/>
                <w:iCs w:val="0"/>
                <w:color w:val="auto"/>
                <w:sz w:val="21"/>
                <w:szCs w:val="21"/>
                <w:u w:val="none"/>
                <w:lang w:val="en-US" w:eastAsia="zh-CN"/>
              </w:rPr>
              <w:t>50</w:t>
            </w:r>
            <w:r>
              <w:rPr>
                <w:rFonts w:hint="eastAsia" w:ascii="宋体" w:hAnsi="宋体" w:eastAsia="宋体" w:cs="宋体"/>
                <w:b w:val="0"/>
                <w:bCs w:val="0"/>
                <w:i w:val="0"/>
                <w:iCs w:val="0"/>
                <w:color w:val="auto"/>
                <w:sz w:val="21"/>
                <w:szCs w:val="21"/>
                <w:u w:val="none"/>
              </w:rPr>
              <w:t>mm，挂板尺寸偏差&lt;0.3mm。</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5.</w:t>
            </w:r>
            <w:r>
              <w:rPr>
                <w:rFonts w:hint="eastAsia" w:ascii="宋体" w:hAnsi="宋体" w:eastAsia="宋体" w:cs="宋体"/>
                <w:b w:val="0"/>
                <w:bCs w:val="0"/>
                <w:i w:val="0"/>
                <w:iCs w:val="0"/>
                <w:color w:val="auto"/>
                <w:sz w:val="21"/>
                <w:szCs w:val="21"/>
                <w:u w:val="none"/>
              </w:rPr>
              <w:t>横梁截面</w:t>
            </w:r>
            <w:r>
              <w:rPr>
                <w:rFonts w:hint="eastAsia" w:ascii="宋体" w:hAnsi="宋体" w:eastAsia="宋体" w:cs="宋体"/>
                <w:b w:val="0"/>
                <w:bCs w:val="0"/>
                <w:i w:val="0"/>
                <w:iCs w:val="0"/>
                <w:color w:val="auto"/>
                <w:sz w:val="21"/>
                <w:szCs w:val="21"/>
                <w:u w:val="none"/>
                <w:lang w:val="en-US" w:eastAsia="zh-CN"/>
              </w:rPr>
              <w:t>60</w:t>
            </w:r>
            <w:r>
              <w:rPr>
                <w:rFonts w:hint="eastAsia" w:ascii="宋体" w:hAnsi="宋体" w:eastAsia="宋体" w:cs="宋体"/>
                <w:b w:val="0"/>
                <w:bCs w:val="0"/>
                <w:i w:val="0"/>
                <w:iCs w:val="0"/>
                <w:color w:val="auto"/>
                <w:sz w:val="21"/>
                <w:szCs w:val="21"/>
                <w:u w:val="none"/>
              </w:rPr>
              <w:t>×</w:t>
            </w:r>
            <w:r>
              <w:rPr>
                <w:rFonts w:hint="eastAsia" w:ascii="宋体" w:hAnsi="宋体" w:eastAsia="宋体" w:cs="宋体"/>
                <w:b w:val="0"/>
                <w:bCs w:val="0"/>
                <w:i w:val="0"/>
                <w:iCs w:val="0"/>
                <w:color w:val="auto"/>
                <w:sz w:val="21"/>
                <w:szCs w:val="21"/>
                <w:u w:val="none"/>
                <w:lang w:val="en-US" w:eastAsia="zh-CN"/>
              </w:rPr>
              <w:t>40</w:t>
            </w:r>
            <w:r>
              <w:rPr>
                <w:rFonts w:hint="eastAsia" w:ascii="宋体" w:hAnsi="宋体" w:eastAsia="宋体" w:cs="宋体"/>
                <w:b w:val="0"/>
                <w:bCs w:val="0"/>
                <w:i w:val="0"/>
                <w:iCs w:val="0"/>
                <w:color w:val="auto"/>
                <w:sz w:val="21"/>
                <w:szCs w:val="21"/>
                <w:u w:val="none"/>
              </w:rPr>
              <w:t>×</w:t>
            </w:r>
            <w:r>
              <w:rPr>
                <w:rFonts w:hint="eastAsia" w:ascii="宋体" w:hAnsi="宋体" w:eastAsia="宋体" w:cs="宋体"/>
                <w:b w:val="0"/>
                <w:bCs w:val="0"/>
                <w:i w:val="0"/>
                <w:iCs w:val="0"/>
                <w:color w:val="auto"/>
                <w:sz w:val="21"/>
                <w:szCs w:val="21"/>
                <w:u w:val="none"/>
                <w:lang w:val="en-US" w:eastAsia="zh-CN"/>
              </w:rPr>
              <w:t>20</w:t>
            </w:r>
            <w:r>
              <w:rPr>
                <w:rFonts w:hint="eastAsia" w:ascii="宋体" w:hAnsi="宋体" w:eastAsia="宋体" w:cs="宋体"/>
                <w:b w:val="0"/>
                <w:bCs w:val="0"/>
                <w:i w:val="0"/>
                <w:iCs w:val="0"/>
                <w:color w:val="auto"/>
                <w:sz w:val="21"/>
                <w:szCs w:val="21"/>
                <w:u w:val="none"/>
              </w:rPr>
              <w:t>mm，允许偏差±2mm，水平平面度偏差&lt;2/1000。</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6.</w:t>
            </w:r>
            <w:r>
              <w:rPr>
                <w:rFonts w:hint="eastAsia" w:ascii="宋体" w:hAnsi="宋体" w:eastAsia="宋体" w:cs="宋体"/>
                <w:b w:val="0"/>
                <w:bCs w:val="0"/>
                <w:i w:val="0"/>
                <w:iCs w:val="0"/>
                <w:color w:val="auto"/>
                <w:sz w:val="21"/>
                <w:szCs w:val="21"/>
                <w:u w:val="none"/>
              </w:rPr>
              <w:t>金属表面无裂痕，无毛边、锐角和棱角等，下料、冲压尺寸公差±&lt;2.0mm</w:t>
            </w:r>
            <w:r>
              <w:rPr>
                <w:rFonts w:hint="eastAsia" w:ascii="宋体" w:hAnsi="宋体" w:eastAsia="宋体" w:cs="宋体"/>
                <w:b w:val="0"/>
                <w:bCs w:val="0"/>
                <w:i w:val="0"/>
                <w:iCs w:val="0"/>
                <w:color w:val="auto"/>
                <w:sz w:val="21"/>
                <w:szCs w:val="21"/>
                <w:u w:val="none"/>
                <w:lang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7.</w:t>
            </w:r>
            <w:r>
              <w:rPr>
                <w:rFonts w:hint="eastAsia" w:ascii="宋体" w:hAnsi="宋体" w:eastAsia="宋体" w:cs="宋体"/>
                <w:b w:val="0"/>
                <w:bCs w:val="0"/>
                <w:i w:val="0"/>
                <w:iCs w:val="0"/>
                <w:color w:val="auto"/>
                <w:sz w:val="21"/>
                <w:szCs w:val="21"/>
                <w:u w:val="none"/>
              </w:rPr>
              <w:t>折弯到位，保持所需角度。邻边垂直度，对边平行度不得小于板材厚度2倍</w:t>
            </w:r>
            <w:r>
              <w:rPr>
                <w:rFonts w:hint="eastAsia" w:ascii="宋体" w:hAnsi="宋体" w:eastAsia="宋体" w:cs="宋体"/>
                <w:b w:val="0"/>
                <w:bCs w:val="0"/>
                <w:i w:val="0"/>
                <w:iCs w:val="0"/>
                <w:color w:val="auto"/>
                <w:sz w:val="21"/>
                <w:szCs w:val="21"/>
                <w:u w:val="none"/>
                <w:lang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8.</w:t>
            </w:r>
            <w:r>
              <w:rPr>
                <w:rFonts w:hint="eastAsia" w:ascii="宋体" w:hAnsi="宋体" w:eastAsia="宋体" w:cs="宋体"/>
                <w:b w:val="0"/>
                <w:bCs w:val="0"/>
                <w:i w:val="0"/>
                <w:iCs w:val="0"/>
                <w:color w:val="auto"/>
                <w:sz w:val="21"/>
                <w:szCs w:val="21"/>
                <w:u w:val="none"/>
              </w:rPr>
              <w:t>组装后的货架，接头的外表要求光滑</w:t>
            </w:r>
            <w:r>
              <w:rPr>
                <w:rFonts w:hint="eastAsia" w:ascii="宋体" w:hAnsi="宋体" w:eastAsia="宋体" w:cs="宋体"/>
                <w:b w:val="0"/>
                <w:bCs w:val="0"/>
                <w:i w:val="0"/>
                <w:iCs w:val="0"/>
                <w:color w:val="auto"/>
                <w:sz w:val="21"/>
                <w:szCs w:val="21"/>
                <w:u w:val="none"/>
                <w:lang w:eastAsia="zh-CN"/>
              </w:rPr>
              <w:t>，</w:t>
            </w:r>
            <w:r>
              <w:rPr>
                <w:rFonts w:hint="eastAsia" w:ascii="宋体" w:hAnsi="宋体" w:eastAsia="宋体" w:cs="宋体"/>
                <w:b w:val="0"/>
                <w:bCs w:val="0"/>
                <w:i w:val="0"/>
                <w:iCs w:val="0"/>
                <w:color w:val="auto"/>
                <w:sz w:val="21"/>
                <w:szCs w:val="21"/>
                <w:u w:val="none"/>
              </w:rPr>
              <w:t>冲压件表面不允许有裂痕。凡触及人体和存放物品的部分，应去掉毛边、锐角和棱角等。</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9.</w:t>
            </w:r>
            <w:r>
              <w:rPr>
                <w:rFonts w:hint="eastAsia" w:ascii="宋体" w:hAnsi="宋体" w:eastAsia="宋体" w:cs="宋体"/>
                <w:b w:val="0"/>
                <w:bCs w:val="0"/>
                <w:i w:val="0"/>
                <w:iCs w:val="0"/>
                <w:color w:val="auto"/>
                <w:sz w:val="21"/>
                <w:szCs w:val="21"/>
                <w:u w:val="none"/>
              </w:rPr>
              <w:t>紧固件连接各部位的安装应牢固可靠，不允许有松动现象。</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w:t>
            </w:r>
            <w:r>
              <w:rPr>
                <w:rFonts w:hint="eastAsia" w:ascii="宋体" w:hAnsi="宋体" w:eastAsia="宋体" w:cs="宋体"/>
                <w:b w:val="0"/>
                <w:bCs w:val="0"/>
                <w:i w:val="0"/>
                <w:iCs w:val="0"/>
                <w:color w:val="auto"/>
                <w:sz w:val="21"/>
                <w:szCs w:val="21"/>
                <w:u w:val="none"/>
                <w:lang w:val="en-US" w:eastAsia="zh-CN"/>
              </w:rPr>
              <w:t>注：</w:t>
            </w:r>
            <w:r>
              <w:rPr>
                <w:rFonts w:hint="eastAsia" w:cs="宋体"/>
                <w:b w:val="0"/>
                <w:bCs w:val="0"/>
                <w:i w:val="0"/>
                <w:iCs w:val="0"/>
                <w:color w:val="auto"/>
                <w:sz w:val="21"/>
                <w:szCs w:val="21"/>
                <w:u w:val="none"/>
                <w:lang w:eastAsia="zh-CN"/>
              </w:rPr>
              <w:t>供应商</w:t>
            </w:r>
            <w:r>
              <w:rPr>
                <w:rFonts w:hint="eastAsia" w:ascii="宋体" w:hAnsi="宋体" w:eastAsia="宋体" w:cs="宋体"/>
                <w:b w:val="0"/>
                <w:bCs w:val="0"/>
                <w:i w:val="0"/>
                <w:iCs w:val="0"/>
                <w:color w:val="auto"/>
                <w:sz w:val="21"/>
                <w:szCs w:val="21"/>
                <w:u w:val="none"/>
              </w:rPr>
              <w:t>提供通过省级或省级以上检测机构</w:t>
            </w:r>
            <w:r>
              <w:rPr>
                <w:rFonts w:hint="eastAsia" w:ascii="宋体" w:hAnsi="宋体" w:eastAsia="宋体" w:cs="宋体"/>
                <w:b w:val="0"/>
                <w:bCs w:val="0"/>
                <w:i w:val="0"/>
                <w:iCs w:val="0"/>
                <w:color w:val="auto"/>
                <w:sz w:val="21"/>
                <w:szCs w:val="21"/>
                <w:u w:val="none"/>
                <w:lang w:val="en-US" w:eastAsia="zh-CN"/>
              </w:rPr>
              <w:t>（检测报告需带CMA、CNAS标识）</w:t>
            </w:r>
            <w:r>
              <w:rPr>
                <w:rFonts w:hint="eastAsia" w:ascii="宋体" w:hAnsi="宋体" w:eastAsia="宋体" w:cs="宋体"/>
                <w:b w:val="0"/>
                <w:bCs w:val="0"/>
                <w:i w:val="0"/>
                <w:iCs w:val="0"/>
                <w:color w:val="auto"/>
                <w:sz w:val="21"/>
                <w:szCs w:val="21"/>
                <w:u w:val="none"/>
              </w:rPr>
              <w:t>检测机构出具的</w:t>
            </w:r>
            <w:r>
              <w:rPr>
                <w:rFonts w:hint="eastAsia" w:ascii="宋体" w:hAnsi="宋体" w:eastAsia="宋体" w:cs="宋体"/>
                <w:b w:val="0"/>
                <w:bCs w:val="0"/>
                <w:i w:val="0"/>
                <w:iCs w:val="0"/>
                <w:color w:val="auto"/>
                <w:sz w:val="21"/>
                <w:szCs w:val="21"/>
                <w:u w:val="none"/>
                <w:lang w:val="zh-CN"/>
              </w:rPr>
              <w:t>《紧固件》</w:t>
            </w:r>
            <w:r>
              <w:rPr>
                <w:rFonts w:hint="eastAsia" w:ascii="宋体" w:hAnsi="宋体" w:eastAsia="宋体" w:cs="宋体"/>
                <w:b w:val="0"/>
                <w:bCs w:val="0"/>
                <w:i w:val="0"/>
                <w:iCs w:val="0"/>
                <w:color w:val="auto"/>
                <w:sz w:val="21"/>
                <w:szCs w:val="21"/>
                <w:u w:val="none"/>
                <w:lang w:val="zh-CN" w:eastAsia="zh-CN"/>
              </w:rPr>
              <w:t>①判定依据为GB</w:t>
            </w:r>
            <w:r>
              <w:rPr>
                <w:rFonts w:hint="eastAsia" w:ascii="宋体" w:hAnsi="宋体" w:eastAsia="宋体" w:cs="宋体"/>
                <w:b w:val="0"/>
                <w:bCs w:val="0"/>
                <w:i w:val="0"/>
                <w:iCs w:val="0"/>
                <w:color w:val="auto"/>
                <w:sz w:val="21"/>
                <w:szCs w:val="21"/>
                <w:u w:val="none"/>
                <w:lang w:val="en-US" w:eastAsia="zh-CN"/>
              </w:rPr>
              <w:t xml:space="preserve"> 28481-2012</w:t>
            </w:r>
            <w:r>
              <w:rPr>
                <w:rFonts w:hint="eastAsia" w:ascii="宋体" w:hAnsi="宋体" w:eastAsia="宋体" w:cs="宋体"/>
                <w:b w:val="0"/>
                <w:bCs w:val="0"/>
                <w:i w:val="0"/>
                <w:iCs w:val="0"/>
                <w:color w:val="auto"/>
                <w:sz w:val="21"/>
                <w:szCs w:val="21"/>
                <w:u w:val="none"/>
                <w:lang w:val="zh-CN" w:eastAsia="zh-CN"/>
              </w:rPr>
              <w:t xml:space="preserve"> 《塑料家具中有害物质》②</w:t>
            </w:r>
            <w:r>
              <w:rPr>
                <w:rFonts w:hint="eastAsia" w:ascii="宋体" w:hAnsi="宋体" w:eastAsia="宋体" w:cs="宋体"/>
                <w:b w:val="0"/>
                <w:bCs w:val="0"/>
                <w:i w:val="0"/>
                <w:iCs w:val="0"/>
                <w:color w:val="auto"/>
                <w:sz w:val="21"/>
                <w:szCs w:val="21"/>
                <w:u w:val="none"/>
                <w:lang w:val="zh-CN"/>
              </w:rPr>
              <w:t>抽样基数≥</w:t>
            </w:r>
            <w:r>
              <w:rPr>
                <w:rFonts w:hint="eastAsia" w:ascii="宋体" w:hAnsi="宋体" w:eastAsia="宋体" w:cs="宋体"/>
                <w:b w:val="0"/>
                <w:bCs w:val="0"/>
                <w:i w:val="0"/>
                <w:iCs w:val="0"/>
                <w:color w:val="auto"/>
                <w:sz w:val="21"/>
                <w:szCs w:val="21"/>
                <w:u w:val="none"/>
                <w:lang w:val="en-US" w:eastAsia="zh-CN"/>
              </w:rPr>
              <w:t>500③</w:t>
            </w:r>
            <w:r>
              <w:rPr>
                <w:rFonts w:hint="eastAsia" w:ascii="宋体" w:hAnsi="宋体" w:eastAsia="宋体" w:cs="宋体"/>
                <w:b w:val="0"/>
                <w:bCs w:val="0"/>
                <w:i w:val="0"/>
                <w:iCs w:val="0"/>
                <w:color w:val="auto"/>
                <w:sz w:val="21"/>
                <w:szCs w:val="21"/>
                <w:u w:val="none"/>
                <w:lang w:val="zh-CN" w:eastAsia="zh-CN"/>
              </w:rPr>
              <w:t>重金属</w:t>
            </w:r>
            <w:r>
              <w:rPr>
                <w:rFonts w:hint="eastAsia" w:ascii="宋体" w:hAnsi="宋体" w:eastAsia="宋体" w:cs="宋体"/>
                <w:b w:val="0"/>
                <w:bCs w:val="0"/>
                <w:i w:val="0"/>
                <w:iCs w:val="0"/>
                <w:color w:val="auto"/>
                <w:sz w:val="21"/>
                <w:szCs w:val="21"/>
                <w:u w:val="none"/>
                <w:lang w:val="en-US" w:eastAsia="zh-CN"/>
              </w:rPr>
              <w:t>可溶性铅、可溶性镉、可溶性铬、可溶性汞</w:t>
            </w:r>
            <w:r>
              <w:rPr>
                <w:rFonts w:hint="eastAsia" w:ascii="宋体" w:hAnsi="宋体" w:eastAsia="宋体" w:cs="宋体"/>
                <w:b w:val="0"/>
                <w:bCs w:val="0"/>
                <w:i w:val="0"/>
                <w:iCs w:val="0"/>
                <w:color w:val="auto"/>
                <w:sz w:val="21"/>
                <w:szCs w:val="21"/>
                <w:u w:val="none"/>
              </w:rPr>
              <w:t>检验结果应为未检出</w:t>
            </w:r>
            <w:r>
              <w:rPr>
                <w:rFonts w:hint="eastAsia" w:ascii="宋体" w:hAnsi="宋体" w:eastAsia="宋体" w:cs="宋体"/>
                <w:b w:val="0"/>
                <w:bCs w:val="0"/>
                <w:i w:val="0"/>
                <w:iCs w:val="0"/>
                <w:color w:val="auto"/>
                <w:sz w:val="21"/>
                <w:szCs w:val="21"/>
                <w:u w:val="none"/>
                <w:lang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10.</w:t>
            </w:r>
            <w:r>
              <w:rPr>
                <w:rFonts w:hint="eastAsia" w:ascii="宋体" w:hAnsi="宋体" w:eastAsia="宋体" w:cs="宋体"/>
                <w:b w:val="0"/>
                <w:bCs w:val="0"/>
                <w:i w:val="0"/>
                <w:iCs w:val="0"/>
                <w:color w:val="auto"/>
                <w:sz w:val="21"/>
                <w:szCs w:val="21"/>
                <w:u w:val="none"/>
              </w:rPr>
              <w:t>凡需焊接的部件要焊接牢固，表面应平整，不允许出现漏焊、焊穿、气孔、咬边等缺陷。</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11.</w:t>
            </w:r>
            <w:r>
              <w:rPr>
                <w:rFonts w:hint="eastAsia" w:ascii="宋体" w:hAnsi="宋体" w:eastAsia="宋体" w:cs="宋体"/>
                <w:b w:val="0"/>
                <w:bCs w:val="0"/>
                <w:i w:val="0"/>
                <w:iCs w:val="0"/>
                <w:color w:val="auto"/>
                <w:sz w:val="21"/>
                <w:szCs w:val="21"/>
                <w:u w:val="none"/>
              </w:rPr>
              <w:t>同一型号的配置和零部件能互换、主副架有良好的对接性。</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12.</w:t>
            </w:r>
            <w:r>
              <w:rPr>
                <w:rFonts w:hint="eastAsia" w:ascii="宋体" w:hAnsi="宋体" w:eastAsia="宋体" w:cs="宋体"/>
                <w:b w:val="0"/>
                <w:bCs w:val="0"/>
                <w:i w:val="0"/>
                <w:iCs w:val="0"/>
                <w:color w:val="auto"/>
                <w:sz w:val="21"/>
                <w:szCs w:val="21"/>
                <w:u w:val="none"/>
                <w:lang w:eastAsia="zh-CN"/>
              </w:rPr>
              <w:t>层板</w:t>
            </w:r>
            <w:r>
              <w:rPr>
                <w:rFonts w:hint="eastAsia" w:ascii="宋体" w:hAnsi="宋体" w:eastAsia="宋体" w:cs="宋体"/>
                <w:b w:val="0"/>
                <w:bCs w:val="0"/>
                <w:i w:val="0"/>
                <w:iCs w:val="0"/>
                <w:color w:val="auto"/>
                <w:sz w:val="21"/>
                <w:szCs w:val="21"/>
                <w:u w:val="none"/>
              </w:rPr>
              <w:t>可沿立柱垂直方向调节层高距离，互换性强。</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三、载重性能要求</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1.</w:t>
            </w:r>
            <w:r>
              <w:rPr>
                <w:rFonts w:hint="eastAsia" w:ascii="宋体" w:hAnsi="宋体" w:eastAsia="宋体" w:cs="宋体"/>
                <w:b w:val="0"/>
                <w:bCs w:val="0"/>
                <w:i w:val="0"/>
                <w:iCs w:val="0"/>
                <w:color w:val="auto"/>
                <w:sz w:val="21"/>
                <w:szCs w:val="21"/>
                <w:u w:val="none"/>
              </w:rPr>
              <w:t>架体空间利用率&gt;83%，利用率高、储藏量大。</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2.</w:t>
            </w:r>
            <w:r>
              <w:rPr>
                <w:rFonts w:hint="eastAsia" w:ascii="宋体" w:hAnsi="宋体" w:eastAsia="宋体" w:cs="宋体"/>
                <w:b w:val="0"/>
                <w:bCs w:val="0"/>
                <w:i w:val="0"/>
                <w:iCs w:val="0"/>
                <w:color w:val="auto"/>
                <w:sz w:val="21"/>
                <w:szCs w:val="21"/>
                <w:u w:val="none"/>
                <w:lang w:eastAsia="zh-CN"/>
              </w:rPr>
              <w:t>层板</w:t>
            </w:r>
            <w:r>
              <w:rPr>
                <w:rFonts w:hint="eastAsia" w:ascii="宋体" w:hAnsi="宋体" w:eastAsia="宋体" w:cs="宋体"/>
                <w:b w:val="0"/>
                <w:bCs w:val="0"/>
                <w:i w:val="0"/>
                <w:iCs w:val="0"/>
                <w:color w:val="auto"/>
                <w:sz w:val="21"/>
                <w:szCs w:val="21"/>
                <w:u w:val="none"/>
              </w:rPr>
              <w:t>静载荷</w:t>
            </w:r>
            <w:r>
              <w:rPr>
                <w:rFonts w:hint="eastAsia" w:ascii="宋体" w:hAnsi="宋体" w:eastAsia="宋体" w:cs="宋体"/>
                <w:b w:val="0"/>
                <w:bCs w:val="0"/>
                <w:i w:val="0"/>
                <w:iCs w:val="0"/>
                <w:color w:val="auto"/>
                <w:sz w:val="21"/>
                <w:szCs w:val="21"/>
                <w:u w:val="none"/>
                <w:lang w:eastAsia="zh-CN"/>
              </w:rPr>
              <w:t>层板</w:t>
            </w:r>
            <w:r>
              <w:rPr>
                <w:rFonts w:hint="eastAsia" w:ascii="宋体" w:hAnsi="宋体" w:eastAsia="宋体" w:cs="宋体"/>
                <w:b w:val="0"/>
                <w:bCs w:val="0"/>
                <w:i w:val="0"/>
                <w:iCs w:val="0"/>
                <w:color w:val="auto"/>
                <w:sz w:val="21"/>
                <w:szCs w:val="21"/>
                <w:u w:val="none"/>
              </w:rPr>
              <w:t>加均布静载荷500kg，经24h的连续试验后，最大挠度小于4.0mm，卸载后的残余变形量在经过2h后，小于0.30mm。</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3.</w:t>
            </w:r>
            <w:r>
              <w:rPr>
                <w:rFonts w:hint="eastAsia" w:ascii="宋体" w:hAnsi="宋体" w:eastAsia="宋体" w:cs="宋体"/>
                <w:b w:val="0"/>
                <w:bCs w:val="0"/>
                <w:i w:val="0"/>
                <w:iCs w:val="0"/>
                <w:color w:val="auto"/>
                <w:sz w:val="21"/>
                <w:szCs w:val="21"/>
                <w:u w:val="none"/>
              </w:rPr>
              <w:t>全静载荷:每层</w:t>
            </w:r>
            <w:r>
              <w:rPr>
                <w:rFonts w:hint="eastAsia" w:ascii="宋体" w:hAnsi="宋体" w:eastAsia="宋体" w:cs="宋体"/>
                <w:b w:val="0"/>
                <w:bCs w:val="0"/>
                <w:i w:val="0"/>
                <w:iCs w:val="0"/>
                <w:color w:val="auto"/>
                <w:sz w:val="21"/>
                <w:szCs w:val="21"/>
                <w:u w:val="none"/>
                <w:lang w:eastAsia="zh-CN"/>
              </w:rPr>
              <w:t>层板</w:t>
            </w:r>
            <w:r>
              <w:rPr>
                <w:rFonts w:hint="eastAsia" w:ascii="宋体" w:hAnsi="宋体" w:eastAsia="宋体" w:cs="宋体"/>
                <w:b w:val="0"/>
                <w:bCs w:val="0"/>
                <w:i w:val="0"/>
                <w:iCs w:val="0"/>
                <w:color w:val="auto"/>
                <w:sz w:val="21"/>
                <w:szCs w:val="21"/>
                <w:u w:val="none"/>
              </w:rPr>
              <w:t>上加均布静载荷500kg×4= 2000kg,经24h的连续试验后，最大挠度小于4.0mm，卸载后的残余变形量在经过2h后，小于0.30mm。</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四、安装质量要求：</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1</w:t>
            </w:r>
            <w:r>
              <w:rPr>
                <w:rFonts w:hint="eastAsia" w:ascii="宋体" w:hAnsi="宋体" w:eastAsia="宋体" w:cs="宋体"/>
                <w:b w:val="0"/>
                <w:bCs w:val="0"/>
                <w:i w:val="0"/>
                <w:iCs w:val="0"/>
                <w:color w:val="auto"/>
                <w:sz w:val="21"/>
                <w:szCs w:val="21"/>
                <w:u w:val="none"/>
                <w:lang w:val="en-US" w:eastAsia="zh-CN"/>
              </w:rPr>
              <w:t>.</w:t>
            </w:r>
            <w:r>
              <w:rPr>
                <w:rFonts w:hint="eastAsia" w:ascii="宋体" w:hAnsi="宋体" w:eastAsia="宋体" w:cs="宋体"/>
                <w:b w:val="0"/>
                <w:bCs w:val="0"/>
                <w:i w:val="0"/>
                <w:iCs w:val="0"/>
                <w:color w:val="auto"/>
                <w:sz w:val="21"/>
                <w:szCs w:val="21"/>
                <w:u w:val="none"/>
              </w:rPr>
              <w:t>架体与底架垂直值&lt;2mm，整列全长公差±&lt;4.0mm；</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2</w:t>
            </w:r>
            <w:r>
              <w:rPr>
                <w:rFonts w:hint="eastAsia" w:ascii="宋体" w:hAnsi="宋体" w:eastAsia="宋体" w:cs="宋体"/>
                <w:b w:val="0"/>
                <w:bCs w:val="0"/>
                <w:i w:val="0"/>
                <w:iCs w:val="0"/>
                <w:color w:val="auto"/>
                <w:sz w:val="21"/>
                <w:szCs w:val="21"/>
                <w:u w:val="none"/>
                <w:lang w:val="en-US" w:eastAsia="zh-CN"/>
              </w:rPr>
              <w:t>.</w:t>
            </w:r>
            <w:r>
              <w:rPr>
                <w:rFonts w:hint="eastAsia" w:ascii="宋体" w:hAnsi="宋体" w:eastAsia="宋体" w:cs="宋体"/>
                <w:b w:val="0"/>
                <w:bCs w:val="0"/>
                <w:i w:val="0"/>
                <w:iCs w:val="0"/>
                <w:color w:val="auto"/>
                <w:sz w:val="21"/>
                <w:szCs w:val="21"/>
                <w:u w:val="none"/>
              </w:rPr>
              <w:t>安装牢固可靠，无松动现象，整体不变形，不倾斜。</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五、包装</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1.</w:t>
            </w:r>
            <w:r>
              <w:rPr>
                <w:rFonts w:hint="eastAsia" w:ascii="宋体" w:hAnsi="宋体" w:eastAsia="宋体" w:cs="宋体"/>
                <w:b w:val="0"/>
                <w:bCs w:val="0"/>
                <w:i w:val="0"/>
                <w:iCs w:val="0"/>
                <w:color w:val="auto"/>
                <w:sz w:val="21"/>
                <w:szCs w:val="21"/>
                <w:u w:val="none"/>
              </w:rPr>
              <w:t>产品所有零部件、组合件应分类用木箱或瓦楞纸箱包装，并加衬垫物以防碰撞损伤。</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2.</w:t>
            </w:r>
            <w:r>
              <w:rPr>
                <w:rFonts w:hint="eastAsia" w:ascii="宋体" w:hAnsi="宋体" w:eastAsia="宋体" w:cs="宋体"/>
                <w:b w:val="0"/>
                <w:bCs w:val="0"/>
                <w:i w:val="0"/>
                <w:iCs w:val="0"/>
                <w:color w:val="auto"/>
                <w:sz w:val="21"/>
                <w:szCs w:val="21"/>
                <w:u w:val="none"/>
              </w:rPr>
              <w:t>经包装好的产品应适应汽车正常运输，应加垫稻草和防雨雪蓬布。</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3.</w:t>
            </w:r>
            <w:r>
              <w:rPr>
                <w:rFonts w:hint="eastAsia" w:ascii="宋体" w:hAnsi="宋体" w:eastAsia="宋体" w:cs="宋体"/>
                <w:b w:val="0"/>
                <w:bCs w:val="0"/>
                <w:i w:val="0"/>
                <w:iCs w:val="0"/>
                <w:color w:val="auto"/>
                <w:sz w:val="21"/>
                <w:szCs w:val="21"/>
                <w:u w:val="none"/>
              </w:rPr>
              <w:t>经包装好的产品，应贮存在室内仓库，堆放应防压，应避免与腐蚀性物质和气体接触。</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eastAsia="zh-CN"/>
              </w:rPr>
            </w:pPr>
            <w:r>
              <w:rPr>
                <w:rFonts w:hint="eastAsia" w:ascii="宋体" w:hAnsi="宋体" w:eastAsia="宋体" w:cs="宋体"/>
                <w:b w:val="0"/>
                <w:bCs w:val="0"/>
                <w:i w:val="0"/>
                <w:iCs w:val="0"/>
                <w:color w:val="auto"/>
                <w:sz w:val="21"/>
                <w:szCs w:val="21"/>
                <w:u w:val="none"/>
                <w:lang w:eastAsia="zh-CN"/>
              </w:rPr>
              <w:t>主要部件、技术参数采用标准一览表</w:t>
            </w:r>
          </w:p>
          <w:tbl>
            <w:tblPr>
              <w:tblStyle w:val="42"/>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76"/>
              <w:gridCol w:w="2715"/>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152"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配置名称</w:t>
                  </w:r>
                </w:p>
              </w:tc>
              <w:tc>
                <w:tcPr>
                  <w:tcW w:w="2274"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规  格(mm)</w:t>
                  </w:r>
                </w:p>
              </w:tc>
              <w:tc>
                <w:tcPr>
                  <w:tcW w:w="1573"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eastAsia="zh-CN"/>
                    </w:rPr>
                  </w:pPr>
                  <w:r>
                    <w:rPr>
                      <w:rFonts w:hint="eastAsia" w:ascii="宋体" w:hAnsi="宋体" w:eastAsia="宋体" w:cs="宋体"/>
                      <w:b w:val="0"/>
                      <w:bCs w:val="0"/>
                      <w:i w:val="0"/>
                      <w:iCs w:val="0"/>
                      <w:color w:val="auto"/>
                      <w:sz w:val="21"/>
                      <w:szCs w:val="21"/>
                      <w:u w:val="none"/>
                      <w:lang w:eastAsia="zh-CN"/>
                    </w:rPr>
                    <w:t>用材标准</w:t>
                  </w:r>
                  <w:r>
                    <w:rPr>
                      <w:rFonts w:hint="eastAsia" w:ascii="宋体" w:hAnsi="宋体" w:eastAsia="宋体" w:cs="宋体"/>
                      <w:b w:val="0"/>
                      <w:bCs w:val="0"/>
                      <w:i w:val="0"/>
                      <w:iCs w:val="0"/>
                      <w:color w:val="auto"/>
                      <w:sz w:val="21"/>
                      <w:szCs w:val="21"/>
                      <w:u w:val="none"/>
                    </w:rPr>
                    <w:t>(mm)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152"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立柱</w:t>
                  </w:r>
                </w:p>
              </w:tc>
              <w:tc>
                <w:tcPr>
                  <w:tcW w:w="2274"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eastAsia="zh-CN"/>
                    </w:rPr>
                  </w:pPr>
                  <w:r>
                    <w:rPr>
                      <w:rFonts w:hint="eastAsia" w:ascii="宋体" w:hAnsi="宋体" w:eastAsia="宋体" w:cs="宋体"/>
                      <w:b w:val="0"/>
                      <w:bCs w:val="0"/>
                      <w:i w:val="0"/>
                      <w:iCs w:val="0"/>
                      <w:color w:val="auto"/>
                      <w:sz w:val="21"/>
                      <w:szCs w:val="21"/>
                      <w:u w:val="none"/>
                      <w:lang w:val="en-US" w:eastAsia="zh-CN"/>
                    </w:rPr>
                    <w:t>40</w:t>
                  </w:r>
                  <w:r>
                    <w:rPr>
                      <w:rFonts w:hint="eastAsia" w:ascii="宋体" w:hAnsi="宋体" w:eastAsia="宋体" w:cs="宋体"/>
                      <w:b w:val="0"/>
                      <w:bCs w:val="0"/>
                      <w:i w:val="0"/>
                      <w:iCs w:val="0"/>
                      <w:color w:val="auto"/>
                      <w:sz w:val="21"/>
                      <w:szCs w:val="21"/>
                      <w:u w:val="none"/>
                    </w:rPr>
                    <w:t>×</w:t>
                  </w:r>
                  <w:r>
                    <w:rPr>
                      <w:rFonts w:hint="eastAsia" w:ascii="宋体" w:hAnsi="宋体" w:eastAsia="宋体" w:cs="宋体"/>
                      <w:b w:val="0"/>
                      <w:bCs w:val="0"/>
                      <w:i w:val="0"/>
                      <w:iCs w:val="0"/>
                      <w:color w:val="auto"/>
                      <w:sz w:val="21"/>
                      <w:szCs w:val="21"/>
                      <w:u w:val="none"/>
                      <w:lang w:val="en-US" w:eastAsia="zh-CN"/>
                    </w:rPr>
                    <w:t>65</w:t>
                  </w:r>
                </w:p>
              </w:tc>
              <w:tc>
                <w:tcPr>
                  <w:tcW w:w="1573"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eastAsia="zh-CN"/>
                    </w:rPr>
                  </w:pPr>
                  <w:r>
                    <w:rPr>
                      <w:rFonts w:hint="eastAsia" w:ascii="宋体" w:hAnsi="宋体" w:eastAsia="宋体" w:cs="宋体"/>
                      <w:b w:val="0"/>
                      <w:bCs w:val="0"/>
                      <w:i w:val="0"/>
                      <w:iCs w:val="0"/>
                      <w:color w:val="auto"/>
                      <w:sz w:val="21"/>
                      <w:szCs w:val="21"/>
                      <w:u w:val="none"/>
                      <w:lang w:val="en-US" w:eastAsia="zh-CN"/>
                    </w:rPr>
                    <w:t>1.5</w:t>
                  </w:r>
                  <w:r>
                    <w:rPr>
                      <w:rFonts w:hint="eastAsia" w:ascii="宋体" w:hAnsi="宋体" w:eastAsia="宋体" w:cs="宋体"/>
                      <w:b w:val="0"/>
                      <w:bCs w:val="0"/>
                      <w:i w:val="0"/>
                      <w:iCs w:val="0"/>
                      <w:color w:val="auto"/>
                      <w:sz w:val="21"/>
                      <w:szCs w:val="21"/>
                      <w:u w:val="none"/>
                      <w:lang w:eastAsia="zh-CN"/>
                    </w:rPr>
                    <w:t>不锈钢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152"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立柱横拉杆</w:t>
                  </w:r>
                </w:p>
              </w:tc>
              <w:tc>
                <w:tcPr>
                  <w:tcW w:w="2274"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eastAsia="zh-CN"/>
                    </w:rPr>
                  </w:pPr>
                  <w:r>
                    <w:rPr>
                      <w:rFonts w:hint="eastAsia" w:ascii="宋体" w:hAnsi="宋体" w:eastAsia="宋体" w:cs="宋体"/>
                      <w:b w:val="0"/>
                      <w:bCs w:val="0"/>
                      <w:i w:val="0"/>
                      <w:iCs w:val="0"/>
                      <w:color w:val="auto"/>
                      <w:sz w:val="21"/>
                      <w:szCs w:val="21"/>
                      <w:u w:val="none"/>
                      <w:lang w:val="en-US" w:eastAsia="zh-CN"/>
                    </w:rPr>
                    <w:t>30</w:t>
                  </w:r>
                  <w:r>
                    <w:rPr>
                      <w:rFonts w:hint="eastAsia" w:ascii="宋体" w:hAnsi="宋体" w:eastAsia="宋体" w:cs="宋体"/>
                      <w:b w:val="0"/>
                      <w:bCs w:val="0"/>
                      <w:i w:val="0"/>
                      <w:iCs w:val="0"/>
                      <w:color w:val="auto"/>
                      <w:sz w:val="21"/>
                      <w:szCs w:val="21"/>
                      <w:u w:val="none"/>
                    </w:rPr>
                    <w:t>×</w:t>
                  </w:r>
                  <w:r>
                    <w:rPr>
                      <w:rFonts w:hint="eastAsia" w:ascii="宋体" w:hAnsi="宋体" w:eastAsia="宋体" w:cs="宋体"/>
                      <w:b w:val="0"/>
                      <w:bCs w:val="0"/>
                      <w:i w:val="0"/>
                      <w:iCs w:val="0"/>
                      <w:color w:val="auto"/>
                      <w:sz w:val="21"/>
                      <w:szCs w:val="21"/>
                      <w:u w:val="none"/>
                      <w:lang w:val="en-US" w:eastAsia="zh-CN"/>
                    </w:rPr>
                    <w:t>45</w:t>
                  </w:r>
                </w:p>
              </w:tc>
              <w:tc>
                <w:tcPr>
                  <w:tcW w:w="1573"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eastAsia="zh-CN"/>
                    </w:rPr>
                  </w:pPr>
                  <w:r>
                    <w:rPr>
                      <w:rFonts w:hint="eastAsia" w:ascii="宋体" w:hAnsi="宋体" w:eastAsia="宋体" w:cs="宋体"/>
                      <w:b w:val="0"/>
                      <w:bCs w:val="0"/>
                      <w:i w:val="0"/>
                      <w:iCs w:val="0"/>
                      <w:color w:val="auto"/>
                      <w:sz w:val="21"/>
                      <w:szCs w:val="21"/>
                      <w:u w:val="none"/>
                      <w:lang w:val="en-US" w:eastAsia="zh-CN"/>
                    </w:rPr>
                    <w:t>1.0</w:t>
                  </w:r>
                  <w:r>
                    <w:rPr>
                      <w:rFonts w:hint="eastAsia" w:ascii="宋体" w:hAnsi="宋体" w:eastAsia="宋体" w:cs="宋体"/>
                      <w:b w:val="0"/>
                      <w:bCs w:val="0"/>
                      <w:i w:val="0"/>
                      <w:iCs w:val="0"/>
                      <w:color w:val="auto"/>
                      <w:sz w:val="21"/>
                      <w:szCs w:val="21"/>
                      <w:u w:val="none"/>
                      <w:lang w:eastAsia="zh-CN"/>
                    </w:rPr>
                    <w:t>不锈钢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152"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立柱斜拉杆</w:t>
                  </w:r>
                </w:p>
              </w:tc>
              <w:tc>
                <w:tcPr>
                  <w:tcW w:w="2274"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20</w:t>
                  </w:r>
                  <w:r>
                    <w:rPr>
                      <w:rFonts w:hint="eastAsia" w:ascii="宋体" w:hAnsi="宋体" w:eastAsia="宋体" w:cs="宋体"/>
                      <w:b w:val="0"/>
                      <w:bCs w:val="0"/>
                      <w:i w:val="0"/>
                      <w:iCs w:val="0"/>
                      <w:color w:val="auto"/>
                      <w:sz w:val="21"/>
                      <w:szCs w:val="21"/>
                      <w:u w:val="none"/>
                    </w:rPr>
                    <w:t>×</w:t>
                  </w:r>
                  <w:r>
                    <w:rPr>
                      <w:rFonts w:hint="eastAsia" w:ascii="宋体" w:hAnsi="宋体" w:eastAsia="宋体" w:cs="宋体"/>
                      <w:b w:val="0"/>
                      <w:bCs w:val="0"/>
                      <w:i w:val="0"/>
                      <w:iCs w:val="0"/>
                      <w:color w:val="auto"/>
                      <w:sz w:val="21"/>
                      <w:szCs w:val="21"/>
                      <w:u w:val="none"/>
                      <w:lang w:val="en-US" w:eastAsia="zh-CN"/>
                    </w:rPr>
                    <w:t>45</w:t>
                  </w:r>
                </w:p>
              </w:tc>
              <w:tc>
                <w:tcPr>
                  <w:tcW w:w="1573"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1.0</w:t>
                  </w:r>
                  <w:r>
                    <w:rPr>
                      <w:rFonts w:hint="eastAsia" w:ascii="宋体" w:hAnsi="宋体" w:eastAsia="宋体" w:cs="宋体"/>
                      <w:b w:val="0"/>
                      <w:bCs w:val="0"/>
                      <w:i w:val="0"/>
                      <w:iCs w:val="0"/>
                      <w:color w:val="auto"/>
                      <w:sz w:val="21"/>
                      <w:szCs w:val="21"/>
                      <w:u w:val="none"/>
                      <w:lang w:eastAsia="zh-CN"/>
                    </w:rPr>
                    <w:t>不锈钢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152"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横 梁</w:t>
                  </w:r>
                </w:p>
              </w:tc>
              <w:tc>
                <w:tcPr>
                  <w:tcW w:w="2274"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60</w:t>
                  </w:r>
                  <w:r>
                    <w:rPr>
                      <w:rFonts w:hint="eastAsia" w:ascii="宋体" w:hAnsi="宋体" w:eastAsia="宋体" w:cs="宋体"/>
                      <w:b w:val="0"/>
                      <w:bCs w:val="0"/>
                      <w:i w:val="0"/>
                      <w:iCs w:val="0"/>
                      <w:color w:val="auto"/>
                      <w:sz w:val="21"/>
                      <w:szCs w:val="21"/>
                      <w:u w:val="none"/>
                    </w:rPr>
                    <w:t>×40×</w:t>
                  </w:r>
                  <w:r>
                    <w:rPr>
                      <w:rFonts w:hint="eastAsia" w:ascii="宋体" w:hAnsi="宋体" w:eastAsia="宋体" w:cs="宋体"/>
                      <w:b w:val="0"/>
                      <w:bCs w:val="0"/>
                      <w:i w:val="0"/>
                      <w:iCs w:val="0"/>
                      <w:color w:val="auto"/>
                      <w:sz w:val="21"/>
                      <w:szCs w:val="21"/>
                      <w:u w:val="none"/>
                      <w:lang w:val="en-US" w:eastAsia="zh-CN"/>
                    </w:rPr>
                    <w:t>20</w:t>
                  </w:r>
                </w:p>
              </w:tc>
              <w:tc>
                <w:tcPr>
                  <w:tcW w:w="1573"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eastAsia="zh-CN"/>
                    </w:rPr>
                  </w:pPr>
                  <w:r>
                    <w:rPr>
                      <w:rFonts w:hint="eastAsia" w:ascii="宋体" w:hAnsi="宋体" w:eastAsia="宋体" w:cs="宋体"/>
                      <w:b w:val="0"/>
                      <w:bCs w:val="0"/>
                      <w:i w:val="0"/>
                      <w:iCs w:val="0"/>
                      <w:color w:val="auto"/>
                      <w:sz w:val="21"/>
                      <w:szCs w:val="21"/>
                      <w:u w:val="none"/>
                    </w:rPr>
                    <w:t>1.</w:t>
                  </w:r>
                  <w:r>
                    <w:rPr>
                      <w:rFonts w:hint="eastAsia" w:ascii="宋体" w:hAnsi="宋体" w:eastAsia="宋体" w:cs="宋体"/>
                      <w:b w:val="0"/>
                      <w:bCs w:val="0"/>
                      <w:i w:val="0"/>
                      <w:iCs w:val="0"/>
                      <w:color w:val="auto"/>
                      <w:sz w:val="21"/>
                      <w:szCs w:val="21"/>
                      <w:u w:val="none"/>
                      <w:lang w:val="en-US" w:eastAsia="zh-CN"/>
                    </w:rPr>
                    <w:t>5</w:t>
                  </w:r>
                  <w:r>
                    <w:rPr>
                      <w:rFonts w:hint="eastAsia" w:ascii="宋体" w:hAnsi="宋体" w:eastAsia="宋体" w:cs="宋体"/>
                      <w:b w:val="0"/>
                      <w:bCs w:val="0"/>
                      <w:i w:val="0"/>
                      <w:iCs w:val="0"/>
                      <w:color w:val="auto"/>
                      <w:sz w:val="21"/>
                      <w:szCs w:val="21"/>
                      <w:u w:val="none"/>
                      <w:lang w:eastAsia="zh-CN"/>
                    </w:rPr>
                    <w:t>不锈钢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152"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层 板</w:t>
                  </w:r>
                </w:p>
              </w:tc>
              <w:tc>
                <w:tcPr>
                  <w:tcW w:w="2274"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rPr>
                    <w:t>层板可自由调节高度</w:t>
                  </w:r>
                </w:p>
              </w:tc>
              <w:tc>
                <w:tcPr>
                  <w:tcW w:w="1573"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eastAsia="zh-CN"/>
                    </w:rPr>
                  </w:pPr>
                  <w:r>
                    <w:rPr>
                      <w:rFonts w:hint="eastAsia" w:ascii="宋体" w:hAnsi="宋体" w:eastAsia="宋体" w:cs="宋体"/>
                      <w:b w:val="0"/>
                      <w:bCs w:val="0"/>
                      <w:i w:val="0"/>
                      <w:iCs w:val="0"/>
                      <w:color w:val="auto"/>
                      <w:sz w:val="21"/>
                      <w:szCs w:val="21"/>
                      <w:u w:val="none"/>
                      <w:lang w:val="en-US" w:eastAsia="zh-CN"/>
                    </w:rPr>
                    <w:t>0.8</w:t>
                  </w:r>
                  <w:r>
                    <w:rPr>
                      <w:rFonts w:hint="eastAsia" w:ascii="宋体" w:hAnsi="宋体" w:eastAsia="宋体" w:cs="宋体"/>
                      <w:b w:val="0"/>
                      <w:bCs w:val="0"/>
                      <w:i w:val="0"/>
                      <w:iCs w:val="0"/>
                      <w:color w:val="auto"/>
                      <w:sz w:val="21"/>
                      <w:szCs w:val="21"/>
                      <w:u w:val="none"/>
                      <w:lang w:eastAsia="zh-CN"/>
                    </w:rPr>
                    <w:t>不锈钢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152"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层板加强</w:t>
                  </w:r>
                </w:p>
              </w:tc>
              <w:tc>
                <w:tcPr>
                  <w:tcW w:w="2274"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val="en-US" w:eastAsia="zh-CN"/>
                    </w:rPr>
                  </w:pPr>
                </w:p>
              </w:tc>
              <w:tc>
                <w:tcPr>
                  <w:tcW w:w="1573"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eastAsia="zh-CN"/>
                    </w:rPr>
                  </w:pPr>
                  <w:r>
                    <w:rPr>
                      <w:rFonts w:hint="eastAsia" w:ascii="宋体" w:hAnsi="宋体" w:eastAsia="宋体" w:cs="宋体"/>
                      <w:b w:val="0"/>
                      <w:bCs w:val="0"/>
                      <w:i w:val="0"/>
                      <w:iCs w:val="0"/>
                      <w:color w:val="auto"/>
                      <w:sz w:val="21"/>
                      <w:szCs w:val="21"/>
                      <w:u w:val="none"/>
                      <w:lang w:val="en-US" w:eastAsia="zh-CN"/>
                    </w:rPr>
                    <w:t>0.8</w:t>
                  </w:r>
                  <w:r>
                    <w:rPr>
                      <w:rFonts w:hint="eastAsia" w:ascii="宋体" w:hAnsi="宋体" w:eastAsia="宋体" w:cs="宋体"/>
                      <w:b w:val="0"/>
                      <w:bCs w:val="0"/>
                      <w:i w:val="0"/>
                      <w:iCs w:val="0"/>
                      <w:color w:val="auto"/>
                      <w:sz w:val="21"/>
                      <w:szCs w:val="21"/>
                      <w:u w:val="none"/>
                      <w:lang w:eastAsia="zh-CN"/>
                    </w:rPr>
                    <w:t>不锈钢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1152"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rPr>
                    <w:t>螺 栓</w:t>
                  </w:r>
                </w:p>
              </w:tc>
              <w:tc>
                <w:tcPr>
                  <w:tcW w:w="2274"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M8</w:t>
                  </w:r>
                  <w:r>
                    <w:rPr>
                      <w:rFonts w:hint="eastAsia" w:ascii="宋体" w:hAnsi="宋体" w:eastAsia="宋体" w:cs="宋体"/>
                      <w:b w:val="0"/>
                      <w:bCs w:val="0"/>
                      <w:i w:val="0"/>
                      <w:iCs w:val="0"/>
                      <w:color w:val="auto"/>
                      <w:sz w:val="21"/>
                      <w:szCs w:val="21"/>
                      <w:u w:val="none"/>
                    </w:rPr>
                    <w:t>×</w:t>
                  </w:r>
                  <w:r>
                    <w:rPr>
                      <w:rFonts w:hint="eastAsia" w:ascii="宋体" w:hAnsi="宋体" w:eastAsia="宋体" w:cs="宋体"/>
                      <w:b w:val="0"/>
                      <w:bCs w:val="0"/>
                      <w:i w:val="0"/>
                      <w:iCs w:val="0"/>
                      <w:color w:val="auto"/>
                      <w:sz w:val="21"/>
                      <w:szCs w:val="21"/>
                      <w:u w:val="none"/>
                      <w:lang w:val="en-US" w:eastAsia="zh-CN"/>
                    </w:rPr>
                    <w:t>20</w:t>
                  </w:r>
                </w:p>
              </w:tc>
              <w:tc>
                <w:tcPr>
                  <w:tcW w:w="1573" w:type="pct"/>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sz w:val="21"/>
                      <w:szCs w:val="21"/>
                      <w:u w:val="none"/>
                      <w:lang w:eastAsia="zh-CN"/>
                    </w:rPr>
                  </w:pPr>
                  <w:r>
                    <w:rPr>
                      <w:rFonts w:hint="eastAsia" w:ascii="宋体" w:hAnsi="宋体" w:eastAsia="宋体" w:cs="宋体"/>
                      <w:b w:val="0"/>
                      <w:bCs w:val="0"/>
                      <w:i w:val="0"/>
                      <w:iCs w:val="0"/>
                      <w:color w:val="auto"/>
                      <w:sz w:val="21"/>
                      <w:szCs w:val="21"/>
                      <w:u w:val="none"/>
                      <w:lang w:val="en-US" w:eastAsia="zh-CN"/>
                    </w:rPr>
                    <w:t>GB/T3098.1-2010</w:t>
                  </w:r>
                </w:p>
              </w:tc>
            </w:tr>
          </w:tbl>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rPr>
            </w:pP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eastAsia="zh-CN"/>
              </w:rPr>
            </w:pPr>
            <w:r>
              <w:rPr>
                <w:rFonts w:hint="eastAsia" w:cs="宋体"/>
                <w:b w:val="0"/>
                <w:bCs w:val="0"/>
                <w:i w:val="0"/>
                <w:iCs w:val="0"/>
                <w:color w:val="auto"/>
                <w:sz w:val="21"/>
                <w:szCs w:val="21"/>
                <w:u w:val="none"/>
                <w:lang w:eastAsia="zh-CN"/>
              </w:rPr>
              <w:t>米</w:t>
            </w: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sz w:val="18"/>
                <w:szCs w:val="18"/>
              </w:rPr>
              <w:drawing>
                <wp:anchor distT="0" distB="0" distL="114300" distR="114300" simplePos="0" relativeHeight="251677696" behindDoc="0" locked="0" layoutInCell="1" allowOverlap="1">
                  <wp:simplePos x="0" y="0"/>
                  <wp:positionH relativeFrom="column">
                    <wp:posOffset>2409825</wp:posOffset>
                  </wp:positionH>
                  <wp:positionV relativeFrom="paragraph">
                    <wp:posOffset>-3260725</wp:posOffset>
                  </wp:positionV>
                  <wp:extent cx="1155065" cy="2516505"/>
                  <wp:effectExtent l="0" t="0" r="6985" b="17145"/>
                  <wp:wrapNone/>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9"/>
                          <a:stretch>
                            <a:fillRect/>
                          </a:stretch>
                        </pic:blipFill>
                        <pic:spPr>
                          <a:xfrm>
                            <a:off x="0" y="0"/>
                            <a:ext cx="1155065" cy="2516505"/>
                          </a:xfrm>
                          <a:prstGeom prst="rect">
                            <a:avLst/>
                          </a:prstGeom>
                          <a:noFill/>
                          <a:ln w="9525">
                            <a:noFill/>
                          </a:ln>
                        </pic:spPr>
                      </pic:pic>
                    </a:graphicData>
                  </a:graphic>
                </wp:anchor>
              </w:drawing>
            </w:r>
            <w:r>
              <w:rPr>
                <w:rFonts w:hint="eastAsia" w:ascii="宋体" w:hAnsi="宋体" w:eastAsia="宋体" w:cs="宋体"/>
                <w:b/>
                <w:bCs/>
                <w:sz w:val="18"/>
                <w:szCs w:val="18"/>
                <w:lang w:val="en-US" w:eastAsia="zh-CN"/>
              </w:rPr>
              <w:drawing>
                <wp:anchor distT="0" distB="0" distL="114300" distR="114300" simplePos="0" relativeHeight="251666432" behindDoc="0" locked="0" layoutInCell="1" allowOverlap="1">
                  <wp:simplePos x="0" y="0"/>
                  <wp:positionH relativeFrom="column">
                    <wp:posOffset>-36830</wp:posOffset>
                  </wp:positionH>
                  <wp:positionV relativeFrom="paragraph">
                    <wp:posOffset>1962150</wp:posOffset>
                  </wp:positionV>
                  <wp:extent cx="1005205" cy="1118235"/>
                  <wp:effectExtent l="0" t="0" r="4445" b="5715"/>
                  <wp:wrapNone/>
                  <wp:docPr id="28" name="图片 2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1"/>
                          <pic:cNvPicPr>
                            <a:picLocks noChangeAspect="1"/>
                          </pic:cNvPicPr>
                        </pic:nvPicPr>
                        <pic:blipFill>
                          <a:blip r:embed="rId32"/>
                          <a:srcRect l="6861" t="2376" r="38212"/>
                          <a:stretch>
                            <a:fillRect/>
                          </a:stretch>
                        </pic:blipFill>
                        <pic:spPr>
                          <a:xfrm>
                            <a:off x="0" y="0"/>
                            <a:ext cx="1005205" cy="111823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r>
              <w:rPr>
                <w:rFonts w:hint="eastAsia" w:cs="宋体"/>
                <w:b w:val="0"/>
                <w:bCs w:val="0"/>
                <w:i w:val="0"/>
                <w:iCs w:val="0"/>
                <w:color w:val="auto"/>
                <w:kern w:val="2"/>
                <w:sz w:val="21"/>
                <w:szCs w:val="21"/>
                <w:u w:val="none"/>
                <w:lang w:val="en-US" w:eastAsia="zh-CN" w:bidi="ar-SA"/>
              </w:rPr>
              <w:t>6</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医用环保开水柜</w:t>
            </w:r>
          </w:p>
        </w:tc>
        <w:tc>
          <w:tcPr>
            <w:tcW w:w="62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1.整体采用1.0mm厚优质冷轧板材质制作，焊接均匀，无毛刺，表面光亮。</w:t>
            </w:r>
          </w:p>
          <w:p>
            <w:pPr>
              <w:keepNext w:val="0"/>
              <w:keepLines w:val="0"/>
              <w:widowControl/>
              <w:suppressLineNumbers w:val="0"/>
              <w:spacing w:line="240" w:lineRule="auto"/>
              <w:jc w:val="left"/>
              <w:textAlignment w:val="center"/>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sz w:val="21"/>
                <w:szCs w:val="21"/>
                <w:u w:val="none"/>
                <w:lang w:val="en-US" w:eastAsia="zh-CN"/>
              </w:rPr>
              <w:t>2.矮柜中间为2个抽斗，采用三节导轨安装，抽拉无声、灵活，装有铝拉手。柜体抽斗下面为对开门，门内有一块托板。</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rPr>
            </w:pP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22"/>
                <w:rFonts w:hint="eastAsia" w:ascii="宋体" w:hAnsi="宋体" w:eastAsia="宋体" w:cs="宋体"/>
                <w:b w:val="0"/>
                <w:bCs w:val="0"/>
                <w:color w:val="auto"/>
                <w:sz w:val="21"/>
                <w:szCs w:val="21"/>
                <w:lang w:val="en-US" w:eastAsia="zh-CN" w:bidi="ar"/>
              </w:rPr>
            </w:pPr>
            <w:r>
              <w:rPr>
                <w:rFonts w:hint="eastAsia" w:ascii="宋体" w:hAnsi="宋体" w:eastAsia="宋体" w:cs="宋体"/>
                <w:sz w:val="18"/>
                <w:szCs w:val="18"/>
              </w:rPr>
              <w:drawing>
                <wp:anchor distT="0" distB="0" distL="114300" distR="114300" simplePos="0" relativeHeight="251683840" behindDoc="0" locked="0" layoutInCell="1" allowOverlap="1">
                  <wp:simplePos x="0" y="0"/>
                  <wp:positionH relativeFrom="column">
                    <wp:posOffset>-38100</wp:posOffset>
                  </wp:positionH>
                  <wp:positionV relativeFrom="paragraph">
                    <wp:posOffset>53340</wp:posOffset>
                  </wp:positionV>
                  <wp:extent cx="987425" cy="599440"/>
                  <wp:effectExtent l="0" t="0" r="3175" b="10160"/>
                  <wp:wrapNone/>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30"/>
                          <a:stretch>
                            <a:fillRect/>
                          </a:stretch>
                        </pic:blipFill>
                        <pic:spPr>
                          <a:xfrm>
                            <a:off x="0" y="0"/>
                            <a:ext cx="987425" cy="5994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r>
              <w:rPr>
                <w:rFonts w:hint="eastAsia" w:cs="宋体"/>
                <w:b w:val="0"/>
                <w:bCs w:val="0"/>
                <w:i w:val="0"/>
                <w:iCs w:val="0"/>
                <w:color w:val="auto"/>
                <w:kern w:val="2"/>
                <w:sz w:val="21"/>
                <w:szCs w:val="21"/>
                <w:u w:val="none"/>
                <w:lang w:val="en-US" w:eastAsia="zh-CN" w:bidi="ar-SA"/>
              </w:rPr>
              <w:t>7</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医用环保治疗柜</w:t>
            </w:r>
            <w:r>
              <w:rPr>
                <w:rFonts w:hint="eastAsia" w:cs="宋体"/>
                <w:b w:val="0"/>
                <w:bCs w:val="0"/>
                <w:i w:val="0"/>
                <w:iCs w:val="0"/>
                <w:color w:val="auto"/>
                <w:kern w:val="0"/>
                <w:sz w:val="21"/>
                <w:szCs w:val="21"/>
                <w:u w:val="none"/>
                <w:lang w:val="en-US" w:eastAsia="zh-CN" w:bidi="ar"/>
              </w:rPr>
              <w:t>/配液柜/备餐柜/换药柜/处置柜</w:t>
            </w:r>
          </w:p>
        </w:tc>
        <w:tc>
          <w:tcPr>
            <w:tcW w:w="6217"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1.整体采用优质1.0mm厚冷轧板材质制作，焊接均匀，无毛刺，表面光亮</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2.上层柜为玻璃2个对开门，门内有一块托板，装有铝拉手，带锁，台面上面一个空格，台面为大理石材料。</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rPr>
              <w:t>★</w:t>
            </w:r>
            <w:r>
              <w:rPr>
                <w:rFonts w:hint="eastAsia" w:ascii="宋体" w:hAnsi="宋体" w:eastAsia="宋体" w:cs="宋体"/>
                <w:b w:val="0"/>
                <w:bCs w:val="0"/>
                <w:i w:val="0"/>
                <w:iCs w:val="0"/>
                <w:color w:val="auto"/>
                <w:sz w:val="21"/>
                <w:szCs w:val="21"/>
                <w:u w:val="none"/>
                <w:lang w:val="en-US" w:eastAsia="zh-CN"/>
              </w:rPr>
              <w:t>注：</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eastAsia="zh-CN"/>
              </w:rPr>
              <w:t>提供通过省级或省级以上权威检测机构（检测报告需带CMA、CNAS标识）</w:t>
            </w:r>
            <w:r>
              <w:rPr>
                <w:rFonts w:hint="eastAsia" w:ascii="宋体" w:hAnsi="宋体" w:eastAsia="宋体" w:cs="宋体"/>
                <w:b w:val="0"/>
                <w:bCs w:val="0"/>
                <w:i w:val="0"/>
                <w:iCs w:val="0"/>
                <w:color w:val="auto"/>
                <w:sz w:val="21"/>
                <w:szCs w:val="21"/>
                <w:u w:val="none"/>
                <w:lang w:val="en-US"/>
              </w:rPr>
              <w:t>检测机构出具的</w:t>
            </w:r>
            <w:r>
              <w:rPr>
                <w:rFonts w:hint="eastAsia" w:ascii="宋体" w:hAnsi="宋体" w:eastAsia="宋体" w:cs="宋体"/>
                <w:b w:val="0"/>
                <w:bCs w:val="0"/>
                <w:i w:val="0"/>
                <w:iCs w:val="0"/>
                <w:color w:val="auto"/>
                <w:sz w:val="21"/>
                <w:szCs w:val="21"/>
                <w:u w:val="none"/>
                <w:lang w:val="en-US" w:eastAsia="zh-CN"/>
              </w:rPr>
              <w:t>《大理石》的检验报告，检验项目需符合以下要求①抽样基数≥500件②放射性单项结论A类符合。</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3.下层柜中间为4个抽斗，采用三节导轨安装，抽拉无声、灵活，装有铝拉手</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 xml:space="preserve">4.台面正面一侧为大圆弧设计，美观实用。 </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rPr>
            </w:pPr>
            <w:r>
              <w:rPr>
                <w:rFonts w:hint="eastAsia" w:ascii="宋体" w:hAnsi="宋体" w:eastAsia="宋体" w:cs="宋体"/>
                <w:b w:val="0"/>
                <w:bCs w:val="0"/>
                <w:i w:val="0"/>
                <w:iCs w:val="0"/>
                <w:color w:val="auto"/>
                <w:sz w:val="21"/>
                <w:szCs w:val="21"/>
                <w:u w:val="none"/>
                <w:lang w:val="en-US"/>
              </w:rPr>
              <w:t>★</w:t>
            </w:r>
            <w:r>
              <w:rPr>
                <w:rFonts w:hint="eastAsia" w:ascii="宋体" w:hAnsi="宋体" w:eastAsia="宋体" w:cs="宋体"/>
                <w:b w:val="0"/>
                <w:bCs w:val="0"/>
                <w:i w:val="0"/>
                <w:iCs w:val="0"/>
                <w:color w:val="auto"/>
                <w:sz w:val="21"/>
                <w:szCs w:val="21"/>
                <w:u w:val="none"/>
                <w:lang w:val="en-US" w:eastAsia="zh-CN"/>
              </w:rPr>
              <w:t>注：医用环保治疗柜产品符合GB/T 3325-2017；JC/T 1074-2008</w:t>
            </w:r>
            <w:r>
              <w:rPr>
                <w:rFonts w:hint="eastAsia" w:cs="宋体"/>
                <w:b w:val="0"/>
                <w:bCs w:val="0"/>
                <w:i w:val="0"/>
                <w:iCs w:val="0"/>
                <w:color w:val="auto"/>
                <w:sz w:val="21"/>
                <w:szCs w:val="21"/>
                <w:u w:val="none"/>
                <w:lang w:val="en-US" w:eastAsia="zh-CN"/>
              </w:rPr>
              <w:t>或</w:t>
            </w:r>
            <w:r>
              <w:rPr>
                <w:rFonts w:hint="eastAsia" w:ascii="宋体" w:hAnsi="宋体" w:eastAsia="宋体" w:cs="宋体"/>
                <w:b w:val="0"/>
                <w:bCs w:val="0"/>
                <w:i w:val="0"/>
                <w:iCs w:val="0"/>
                <w:color w:val="auto"/>
                <w:sz w:val="21"/>
                <w:szCs w:val="21"/>
                <w:u w:val="none"/>
                <w:lang w:val="en-US" w:eastAsia="zh-CN"/>
              </w:rPr>
              <w:t>JC/T 1074-20</w:t>
            </w:r>
            <w:r>
              <w:rPr>
                <w:rFonts w:hint="eastAsia" w:cs="宋体"/>
                <w:b w:val="0"/>
                <w:bCs w:val="0"/>
                <w:i w:val="0"/>
                <w:iCs w:val="0"/>
                <w:color w:val="auto"/>
                <w:sz w:val="21"/>
                <w:szCs w:val="21"/>
                <w:u w:val="none"/>
                <w:lang w:val="en-US" w:eastAsia="zh-CN"/>
              </w:rPr>
              <w:t>21</w:t>
            </w:r>
            <w:r>
              <w:rPr>
                <w:rFonts w:hint="eastAsia" w:ascii="宋体" w:hAnsi="宋体" w:eastAsia="宋体" w:cs="宋体"/>
                <w:b w:val="0"/>
                <w:bCs w:val="0"/>
                <w:i w:val="0"/>
                <w:iCs w:val="0"/>
                <w:color w:val="auto"/>
                <w:sz w:val="21"/>
                <w:szCs w:val="21"/>
                <w:u w:val="none"/>
                <w:lang w:val="en-US" w:eastAsia="zh-CN"/>
              </w:rPr>
              <w:t>、HJ 2547-2016、GB/T 1740-2007标准；检测内容包括：外观符合要求，理化性能：硬度≥3H、附着力达1级、冲击强度（冲击高度500mm）应无剥落、裂纹、皱纹；耐腐蚀100h符合要求，结构安全符合要求，力学性能：结构和底架强度、活动部件关闭时的空载稳定性、活动部件打开时的空载稳定性、均符合要求，甲醛净化性能≥75%，耐湿热达到500h，综合破坏等级达到1级，可迁移元素限量要求：铅：未检出≤0.025mg/kg、镉：未检出≤0.025mg/kg、汞：未检出≤0.005mg/kg、铬：未检出≤0.025mg/kg、锑：未检出≤0.025mg/kg、钡：未检出≤0.025mg/kg、砷：未检出≤0.025mg/kg、硒：未检出≤0.025mg/kg。</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eastAsia="zh-CN"/>
              </w:rPr>
              <w:t>提供国家认可的省级及以上检验机构出具的带“CMA”和“CNAS”标识的抽样检测报告,并提供二维码查询及官网查询截图 。</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eastAsia="zh-CN"/>
              </w:rPr>
            </w:pPr>
            <w:r>
              <w:rPr>
                <w:rFonts w:hint="eastAsia" w:cs="宋体"/>
                <w:b w:val="0"/>
                <w:bCs w:val="0"/>
                <w:i w:val="0"/>
                <w:iCs w:val="0"/>
                <w:color w:val="auto"/>
                <w:sz w:val="21"/>
                <w:szCs w:val="21"/>
                <w:u w:val="none"/>
                <w:lang w:eastAsia="zh-CN"/>
              </w:rPr>
              <w:t>米</w:t>
            </w: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i w:val="0"/>
                <w:iCs w:val="0"/>
                <w:color w:val="auto"/>
                <w:sz w:val="21"/>
                <w:szCs w:val="21"/>
                <w:u w:val="none"/>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drawing>
                <wp:anchor distT="0" distB="0" distL="114300" distR="114300" simplePos="0" relativeHeight="251684864" behindDoc="0" locked="0" layoutInCell="1" allowOverlap="1">
                  <wp:simplePos x="0" y="0"/>
                  <wp:positionH relativeFrom="column">
                    <wp:posOffset>-33020</wp:posOffset>
                  </wp:positionH>
                  <wp:positionV relativeFrom="paragraph">
                    <wp:posOffset>1531620</wp:posOffset>
                  </wp:positionV>
                  <wp:extent cx="976630" cy="659130"/>
                  <wp:effectExtent l="0" t="0" r="13970" b="7620"/>
                  <wp:wrapNone/>
                  <wp:docPr id="106" name="图片 106" descr="6 处置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6 处置室"/>
                          <pic:cNvPicPr>
                            <a:picLocks noChangeAspect="1"/>
                          </pic:cNvPicPr>
                        </pic:nvPicPr>
                        <pic:blipFill>
                          <a:blip r:embed="rId37"/>
                          <a:srcRect t="21483" r="15402"/>
                          <a:stretch>
                            <a:fillRect/>
                          </a:stretch>
                        </pic:blipFill>
                        <pic:spPr>
                          <a:xfrm>
                            <a:off x="0" y="0"/>
                            <a:ext cx="976630" cy="659130"/>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9"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r>
              <w:rPr>
                <w:rFonts w:hint="eastAsia" w:cs="宋体"/>
                <w:b w:val="0"/>
                <w:bCs w:val="0"/>
                <w:i w:val="0"/>
                <w:iCs w:val="0"/>
                <w:color w:val="auto"/>
                <w:kern w:val="2"/>
                <w:sz w:val="21"/>
                <w:szCs w:val="21"/>
                <w:u w:val="none"/>
                <w:lang w:val="en-US" w:eastAsia="zh-CN" w:bidi="ar-SA"/>
              </w:rPr>
              <w:t>8</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医用环保单面药架</w:t>
            </w:r>
          </w:p>
        </w:tc>
        <w:tc>
          <w:tcPr>
            <w:tcW w:w="6217"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材质：全优质不锈钢说明：</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1</w:t>
            </w:r>
            <w:r>
              <w:rPr>
                <w:rFonts w:hint="eastAsia" w:cs="宋体"/>
                <w:b w:val="0"/>
                <w:bCs w:val="0"/>
                <w:i w:val="0"/>
                <w:iCs w:val="0"/>
                <w:color w:val="auto"/>
                <w:sz w:val="21"/>
                <w:szCs w:val="21"/>
                <w:u w:val="none"/>
                <w:lang w:val="en-US" w:eastAsia="zh-CN"/>
              </w:rPr>
              <w:t>.</w:t>
            </w:r>
            <w:r>
              <w:rPr>
                <w:rFonts w:hint="eastAsia" w:ascii="宋体" w:hAnsi="宋体" w:eastAsia="宋体" w:cs="宋体"/>
                <w:b w:val="0"/>
                <w:bCs w:val="0"/>
                <w:i w:val="0"/>
                <w:iCs w:val="0"/>
                <w:color w:val="auto"/>
                <w:sz w:val="21"/>
                <w:szCs w:val="21"/>
                <w:u w:val="none"/>
                <w:lang w:val="en-US" w:eastAsia="zh-CN"/>
              </w:rPr>
              <w:t>立柱1.2mm，横档1.0mm，托板0.8mm，共7层，可根据需求自由调节层板之间的高度，带顶板，可有效防止灰尘，每层装有价目条，可放置药品信息标插，背部有钢网隔断，防止药品掉落。</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rPr>
            </w:pPr>
            <w:r>
              <w:rPr>
                <w:rFonts w:hint="eastAsia" w:ascii="宋体" w:hAnsi="宋体" w:eastAsia="宋体" w:cs="宋体"/>
                <w:b w:val="0"/>
                <w:bCs w:val="0"/>
                <w:i w:val="0"/>
                <w:iCs w:val="0"/>
                <w:color w:val="auto"/>
                <w:sz w:val="21"/>
                <w:szCs w:val="21"/>
                <w:u w:val="none"/>
                <w:lang w:val="en-US" w:eastAsia="zh-CN"/>
              </w:rPr>
              <w:t>2.所有工件经磨具冲压折弯焊接而成，焊接部分打磨、抛光处理平滑过渡，焊接口表面光滑；每层高度可调，可快速拆卸，日常使用方便。</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eastAsia="zh-CN"/>
              </w:rPr>
            </w:pPr>
            <w:r>
              <w:rPr>
                <w:rFonts w:hint="eastAsia" w:cs="宋体"/>
                <w:b w:val="0"/>
                <w:bCs w:val="0"/>
                <w:i w:val="0"/>
                <w:iCs w:val="0"/>
                <w:color w:val="auto"/>
                <w:sz w:val="21"/>
                <w:szCs w:val="21"/>
                <w:u w:val="none"/>
                <w:lang w:eastAsia="zh-CN"/>
              </w:rPr>
              <w:t>米</w:t>
            </w: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left"/>
              <w:rPr>
                <w:rFonts w:hint="eastAsia" w:ascii="宋体" w:hAnsi="宋体" w:eastAsia="宋体" w:cs="宋体"/>
                <w:b w:val="0"/>
                <w:bCs w:val="0"/>
                <w:i w:val="0"/>
                <w:iCs w:val="0"/>
                <w:color w:val="auto"/>
                <w:sz w:val="21"/>
                <w:szCs w:val="21"/>
                <w:u w:val="none"/>
              </w:rPr>
            </w:pPr>
            <w:r>
              <w:rPr>
                <w:rFonts w:hint="eastAsia" w:ascii="宋体" w:hAnsi="宋体" w:eastAsia="宋体" w:cs="宋体"/>
                <w:sz w:val="18"/>
                <w:szCs w:val="18"/>
              </w:rPr>
              <w:drawing>
                <wp:anchor distT="0" distB="0" distL="114300" distR="114300" simplePos="0" relativeHeight="251667456" behindDoc="0" locked="0" layoutInCell="1" allowOverlap="1">
                  <wp:simplePos x="0" y="0"/>
                  <wp:positionH relativeFrom="column">
                    <wp:posOffset>107950</wp:posOffset>
                  </wp:positionH>
                  <wp:positionV relativeFrom="paragraph">
                    <wp:posOffset>76835</wp:posOffset>
                  </wp:positionV>
                  <wp:extent cx="574675" cy="1104900"/>
                  <wp:effectExtent l="0" t="0" r="15875" b="0"/>
                  <wp:wrapNone/>
                  <wp:docPr id="160"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59"/>
                          <pic:cNvPicPr>
                            <a:picLocks noChangeAspect="1"/>
                          </pic:cNvPicPr>
                        </pic:nvPicPr>
                        <pic:blipFill>
                          <a:blip r:embed="rId54" r:link="rId55" cstate="print"/>
                          <a:stretch>
                            <a:fillRect/>
                          </a:stretch>
                        </pic:blipFill>
                        <pic:spPr>
                          <a:xfrm>
                            <a:off x="0" y="0"/>
                            <a:ext cx="574675" cy="1104900"/>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r>
              <w:rPr>
                <w:rFonts w:hint="eastAsia" w:cs="宋体"/>
                <w:b w:val="0"/>
                <w:bCs w:val="0"/>
                <w:i w:val="0"/>
                <w:iCs w:val="0"/>
                <w:color w:val="auto"/>
                <w:kern w:val="2"/>
                <w:sz w:val="21"/>
                <w:szCs w:val="21"/>
                <w:u w:val="none"/>
                <w:lang w:val="en-US" w:eastAsia="zh-CN" w:bidi="ar-SA"/>
              </w:rPr>
              <w:t>9</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医用环保双面药架</w:t>
            </w:r>
          </w:p>
        </w:tc>
        <w:tc>
          <w:tcPr>
            <w:tcW w:w="6217"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widowControl/>
              <w:numPr>
                <w:ilvl w:val="0"/>
                <w:numId w:val="6"/>
              </w:numPr>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采用冷轧钢板制作，立柱1.2mm，横档1.0mm，托板0.8mm，双面药品放置设计，每面共7层，可根据需求自由调节层板之间的高度，带顶板，可有效防止灰尘，每层装有价目条，可放置药品信息标插，中间有钢网隔断，防止药品掉落。</w:t>
            </w:r>
          </w:p>
          <w:p>
            <w:pPr>
              <w:keepNext w:val="0"/>
              <w:keepLines w:val="0"/>
              <w:widowControl/>
              <w:numPr>
                <w:ilvl w:val="0"/>
                <w:numId w:val="0"/>
              </w:numPr>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rPr>
              <w:t>★</w:t>
            </w:r>
            <w:r>
              <w:rPr>
                <w:rFonts w:hint="eastAsia" w:ascii="宋体" w:hAnsi="宋体" w:eastAsia="宋体" w:cs="宋体"/>
                <w:b w:val="0"/>
                <w:bCs w:val="0"/>
                <w:i w:val="0"/>
                <w:iCs w:val="0"/>
                <w:color w:val="auto"/>
                <w:sz w:val="21"/>
                <w:szCs w:val="21"/>
                <w:u w:val="none"/>
                <w:lang w:val="en-US" w:eastAsia="zh-CN"/>
              </w:rPr>
              <w:t>注：</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eastAsia="zh-CN"/>
              </w:rPr>
              <w:t>提供第三方检测机构（检测报告需带CMA、CNAS标识）</w:t>
            </w:r>
            <w:r>
              <w:rPr>
                <w:rFonts w:hint="eastAsia" w:ascii="宋体" w:hAnsi="宋体" w:eastAsia="宋体" w:cs="宋体"/>
                <w:b w:val="0"/>
                <w:bCs w:val="0"/>
                <w:i w:val="0"/>
                <w:iCs w:val="0"/>
                <w:color w:val="auto"/>
                <w:sz w:val="21"/>
                <w:szCs w:val="21"/>
                <w:u w:val="none"/>
                <w:lang w:val="en-US"/>
              </w:rPr>
              <w:t>检测机构出具</w:t>
            </w:r>
            <w:r>
              <w:rPr>
                <w:rFonts w:hint="eastAsia" w:ascii="宋体" w:hAnsi="宋体" w:eastAsia="宋体" w:cs="宋体"/>
                <w:b w:val="0"/>
                <w:bCs w:val="0"/>
                <w:i w:val="0"/>
                <w:iCs w:val="0"/>
                <w:color w:val="auto"/>
                <w:sz w:val="21"/>
                <w:szCs w:val="21"/>
                <w:u w:val="none"/>
                <w:lang w:val="en-US" w:eastAsia="zh-CN"/>
              </w:rPr>
              <w:t>抽样</w:t>
            </w:r>
            <w:r>
              <w:rPr>
                <w:rFonts w:hint="eastAsia" w:ascii="宋体" w:hAnsi="宋体" w:eastAsia="宋体" w:cs="宋体"/>
                <w:b w:val="0"/>
                <w:bCs w:val="0"/>
                <w:i w:val="0"/>
                <w:iCs w:val="0"/>
                <w:color w:val="auto"/>
                <w:sz w:val="21"/>
                <w:szCs w:val="21"/>
                <w:u w:val="none"/>
                <w:lang w:val="en-US"/>
              </w:rPr>
              <w:t>的《</w:t>
            </w:r>
            <w:r>
              <w:rPr>
                <w:rFonts w:hint="eastAsia" w:ascii="宋体" w:hAnsi="宋体" w:eastAsia="宋体" w:cs="宋体"/>
                <w:b w:val="0"/>
                <w:bCs w:val="0"/>
                <w:i w:val="0"/>
                <w:iCs w:val="0"/>
                <w:color w:val="auto"/>
                <w:sz w:val="21"/>
                <w:szCs w:val="21"/>
                <w:u w:val="none"/>
                <w:lang w:val="en-US" w:eastAsia="zh-CN"/>
              </w:rPr>
              <w:t>冷轧钢板》</w:t>
            </w:r>
            <w:r>
              <w:rPr>
                <w:rFonts w:hint="eastAsia" w:ascii="宋体" w:hAnsi="宋体" w:eastAsia="宋体" w:cs="宋体"/>
                <w:b w:val="0"/>
                <w:bCs w:val="0"/>
                <w:i w:val="0"/>
                <w:iCs w:val="0"/>
                <w:color w:val="auto"/>
                <w:sz w:val="21"/>
                <w:szCs w:val="21"/>
                <w:u w:val="none"/>
                <w:lang w:val="en-US"/>
              </w:rPr>
              <w:t>检验报告</w:t>
            </w:r>
            <w:r>
              <w:rPr>
                <w:rFonts w:hint="eastAsia" w:ascii="宋体" w:hAnsi="宋体" w:eastAsia="宋体" w:cs="宋体"/>
                <w:b w:val="0"/>
                <w:bCs w:val="0"/>
                <w:i w:val="0"/>
                <w:iCs w:val="0"/>
                <w:color w:val="auto"/>
                <w:sz w:val="21"/>
                <w:szCs w:val="21"/>
                <w:u w:val="none"/>
                <w:lang w:val="en-US" w:eastAsia="zh-CN"/>
              </w:rPr>
              <w:t>，检验项目需符合以下要求：检验项目应包含化学成分(C、si、Mn、P、S、Cr、Ni、Cu、N)元素。</w:t>
            </w:r>
          </w:p>
          <w:p>
            <w:pPr>
              <w:keepNext w:val="0"/>
              <w:keepLines w:val="0"/>
              <w:widowControl/>
              <w:numPr>
                <w:ilvl w:val="0"/>
                <w:numId w:val="6"/>
              </w:numPr>
              <w:suppressLineNumbers w:val="0"/>
              <w:spacing w:line="240" w:lineRule="auto"/>
              <w:ind w:left="0" w:leftChars="0" w:firstLine="0" w:firstLineChars="0"/>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所有工件经磨具冲压折弯焊接而成，焊接部分打磨、抛光处理平滑过渡，焊接口表面光滑；每层高度可调，可快速拆卸，日常使用方便。</w:t>
            </w:r>
          </w:p>
          <w:p>
            <w:pPr>
              <w:keepNext w:val="0"/>
              <w:keepLines w:val="0"/>
              <w:widowControl/>
              <w:numPr>
                <w:ilvl w:val="0"/>
                <w:numId w:val="0"/>
              </w:numPr>
              <w:suppressLineNumbers w:val="0"/>
              <w:spacing w:line="240" w:lineRule="auto"/>
              <w:ind w:leftChars="0"/>
              <w:jc w:val="left"/>
              <w:textAlignment w:val="top"/>
              <w:rPr>
                <w:rFonts w:hint="eastAsia" w:ascii="宋体" w:hAnsi="宋体" w:eastAsia="宋体" w:cs="宋体"/>
                <w:b w:val="0"/>
                <w:bCs w:val="0"/>
                <w:i w:val="0"/>
                <w:iCs w:val="0"/>
                <w:color w:val="auto"/>
                <w:sz w:val="21"/>
                <w:szCs w:val="21"/>
                <w:u w:val="none"/>
                <w:lang w:val="en-US"/>
              </w:rPr>
            </w:pPr>
            <w:r>
              <w:rPr>
                <w:rFonts w:hint="eastAsia" w:ascii="宋体" w:hAnsi="宋体" w:eastAsia="宋体" w:cs="宋体"/>
                <w:b w:val="0"/>
                <w:bCs w:val="0"/>
                <w:i w:val="0"/>
                <w:iCs w:val="0"/>
                <w:color w:val="auto"/>
                <w:sz w:val="21"/>
                <w:szCs w:val="21"/>
                <w:u w:val="none"/>
                <w:lang w:val="en-US"/>
              </w:rPr>
              <w:t>★</w:t>
            </w:r>
            <w:r>
              <w:rPr>
                <w:rFonts w:hint="eastAsia" w:ascii="宋体" w:hAnsi="宋体" w:eastAsia="宋体" w:cs="宋体"/>
                <w:b w:val="0"/>
                <w:bCs w:val="0"/>
                <w:i w:val="0"/>
                <w:iCs w:val="0"/>
                <w:color w:val="auto"/>
                <w:sz w:val="21"/>
                <w:szCs w:val="21"/>
                <w:u w:val="none"/>
                <w:lang w:val="en-US" w:eastAsia="zh-CN"/>
              </w:rPr>
              <w:t>注：焊接工艺质量评定试板 产品符合GB/T 700-2006、GB/T 228.1-2021、</w:t>
            </w:r>
            <w:r>
              <w:rPr>
                <w:rFonts w:hint="eastAsia" w:ascii="宋体" w:hAnsi="宋体" w:eastAsia="宋体" w:cs="宋体"/>
                <w:b w:val="0"/>
                <w:bCs w:val="0"/>
                <w:i w:val="0"/>
                <w:iCs w:val="0"/>
                <w:color w:val="auto"/>
                <w:sz w:val="21"/>
                <w:szCs w:val="21"/>
                <w:u w:val="none"/>
                <w:lang w:val="en-US"/>
              </w:rPr>
              <w:t>GB/T</w:t>
            </w:r>
            <w:r>
              <w:rPr>
                <w:rFonts w:hint="eastAsia" w:ascii="宋体" w:hAnsi="宋体" w:eastAsia="宋体" w:cs="宋体"/>
                <w:b w:val="0"/>
                <w:bCs w:val="0"/>
                <w:i w:val="0"/>
                <w:iCs w:val="0"/>
                <w:color w:val="auto"/>
                <w:sz w:val="21"/>
                <w:szCs w:val="21"/>
                <w:u w:val="none"/>
                <w:lang w:val="en-US" w:eastAsia="zh-CN"/>
              </w:rPr>
              <w:t xml:space="preserve"> </w:t>
            </w:r>
            <w:r>
              <w:rPr>
                <w:rFonts w:hint="eastAsia" w:ascii="宋体" w:hAnsi="宋体" w:eastAsia="宋体" w:cs="宋体"/>
                <w:b w:val="0"/>
                <w:bCs w:val="0"/>
                <w:i w:val="0"/>
                <w:iCs w:val="0"/>
                <w:color w:val="auto"/>
                <w:sz w:val="21"/>
                <w:szCs w:val="21"/>
                <w:u w:val="none"/>
                <w:lang w:val="en-US"/>
              </w:rPr>
              <w:t>232-2010</w:t>
            </w:r>
            <w:r>
              <w:rPr>
                <w:rFonts w:hint="eastAsia" w:ascii="宋体" w:hAnsi="宋体" w:eastAsia="宋体" w:cs="宋体"/>
                <w:b w:val="0"/>
                <w:bCs w:val="0"/>
                <w:i w:val="0"/>
                <w:iCs w:val="0"/>
                <w:color w:val="auto"/>
                <w:sz w:val="21"/>
                <w:szCs w:val="21"/>
                <w:u w:val="none"/>
                <w:lang w:val="en-US" w:eastAsia="zh-CN"/>
              </w:rPr>
              <w:t>标准；检测内容包括：表面质量、化学成分：C≤0.20、Si≤0.35、Mn≤1.40、P≤0.045、S≤0.045、屈服强度≥235、抗拉强度370~500、断后伸长率≥26、弯曲试验、洛氏硬度。评审依据：</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eastAsia="zh-CN"/>
              </w:rPr>
              <w:t>提供国家认可的省级及以上检验机构出具的带“CMA”和“CNAS”标识的委托检测报告,并提供二维码查询及官网查询截图。</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eastAsia="zh-CN"/>
              </w:rPr>
            </w:pPr>
            <w:r>
              <w:rPr>
                <w:rFonts w:hint="eastAsia" w:cs="宋体"/>
                <w:b w:val="0"/>
                <w:bCs w:val="0"/>
                <w:i w:val="0"/>
                <w:iCs w:val="0"/>
                <w:color w:val="auto"/>
                <w:sz w:val="21"/>
                <w:szCs w:val="21"/>
                <w:u w:val="none"/>
                <w:lang w:eastAsia="zh-CN"/>
              </w:rPr>
              <w:t>米</w:t>
            </w: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i w:val="0"/>
                <w:iCs w:val="0"/>
                <w:color w:val="auto"/>
                <w:sz w:val="21"/>
                <w:szCs w:val="21"/>
                <w:u w:val="none"/>
              </w:rPr>
            </w:pPr>
            <w:r>
              <w:rPr>
                <w:rFonts w:hint="eastAsia" w:ascii="宋体" w:hAnsi="宋体" w:eastAsia="宋体" w:cs="宋体"/>
                <w:sz w:val="18"/>
                <w:szCs w:val="18"/>
              </w:rPr>
              <w:drawing>
                <wp:anchor distT="0" distB="0" distL="114300" distR="114300" simplePos="0" relativeHeight="251668480" behindDoc="0" locked="0" layoutInCell="1" allowOverlap="1">
                  <wp:simplePos x="0" y="0"/>
                  <wp:positionH relativeFrom="column">
                    <wp:posOffset>62865</wp:posOffset>
                  </wp:positionH>
                  <wp:positionV relativeFrom="paragraph">
                    <wp:posOffset>656590</wp:posOffset>
                  </wp:positionV>
                  <wp:extent cx="819785" cy="1557020"/>
                  <wp:effectExtent l="0" t="0" r="18415" b="5080"/>
                  <wp:wrapNone/>
                  <wp:docPr id="143"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2"/>
                          <pic:cNvPicPr>
                            <a:picLocks noChangeAspect="1"/>
                          </pic:cNvPicPr>
                        </pic:nvPicPr>
                        <pic:blipFill>
                          <a:blip r:embed="rId56" r:link="rId55" cstate="print"/>
                          <a:stretch>
                            <a:fillRect/>
                          </a:stretch>
                        </pic:blipFill>
                        <pic:spPr>
                          <a:xfrm>
                            <a:off x="0" y="0"/>
                            <a:ext cx="819785" cy="1557020"/>
                          </a:xfrm>
                          <a:prstGeom prst="rect">
                            <a:avLst/>
                          </a:prstGeom>
                          <a:noFill/>
                          <a:ln w="9525">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r>
              <w:rPr>
                <w:rFonts w:hint="eastAsia" w:cs="宋体"/>
                <w:b w:val="0"/>
                <w:bCs w:val="0"/>
                <w:i w:val="0"/>
                <w:iCs w:val="0"/>
                <w:color w:val="auto"/>
                <w:kern w:val="2"/>
                <w:sz w:val="21"/>
                <w:szCs w:val="21"/>
                <w:u w:val="none"/>
                <w:lang w:val="en-US" w:eastAsia="zh-CN" w:bidi="ar-SA"/>
              </w:rPr>
              <w:t>10</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医用环保</w:t>
            </w:r>
          </w:p>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拖把柜</w:t>
            </w:r>
          </w:p>
        </w:tc>
        <w:tc>
          <w:tcPr>
            <w:tcW w:w="621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line="240" w:lineRule="auto"/>
              <w:jc w:val="both"/>
              <w:textAlignment w:val="top"/>
              <w:rPr>
                <w:rFonts w:hint="eastAsia" w:ascii="宋体" w:hAnsi="宋体" w:eastAsia="宋体" w:cs="宋体"/>
                <w:b w:val="0"/>
                <w:bCs w:val="0"/>
                <w:i w:val="0"/>
                <w:iCs w:val="0"/>
                <w:color w:val="auto"/>
                <w:sz w:val="21"/>
                <w:szCs w:val="21"/>
                <w:u w:val="none"/>
                <w:lang w:val="en-US"/>
              </w:rPr>
            </w:pPr>
            <w:r>
              <w:rPr>
                <w:rFonts w:hint="eastAsia" w:ascii="宋体" w:hAnsi="宋体" w:eastAsia="宋体" w:cs="宋体"/>
                <w:b w:val="0"/>
                <w:bCs w:val="0"/>
                <w:i w:val="0"/>
                <w:iCs w:val="0"/>
                <w:color w:val="auto"/>
                <w:sz w:val="21"/>
                <w:szCs w:val="21"/>
                <w:u w:val="none"/>
                <w:lang w:val="en-US" w:eastAsia="zh-CN"/>
              </w:rPr>
              <w:t>采用1.0mm厚304不锈钢材料，设计一个大清洗水槽，带水龙头，靠墙有挡水板，上面为设计多个拖把挂钩。</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eastAsia="zh-CN"/>
              </w:rPr>
            </w:pPr>
            <w:r>
              <w:rPr>
                <w:rFonts w:hint="eastAsia" w:cs="宋体"/>
                <w:b w:val="0"/>
                <w:bCs w:val="0"/>
                <w:i w:val="0"/>
                <w:iCs w:val="0"/>
                <w:color w:val="auto"/>
                <w:sz w:val="21"/>
                <w:szCs w:val="21"/>
                <w:u w:val="none"/>
                <w:lang w:eastAsia="zh-CN"/>
              </w:rPr>
              <w:t>米</w:t>
            </w: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i w:val="0"/>
                <w:iCs w:val="0"/>
                <w:color w:val="auto"/>
                <w:sz w:val="21"/>
                <w:szCs w:val="21"/>
                <w:u w:val="none"/>
              </w:rPr>
            </w:pPr>
            <w:r>
              <w:rPr>
                <w:rFonts w:hint="eastAsia" w:ascii="宋体" w:hAnsi="宋体" w:eastAsia="宋体" w:cs="宋体"/>
                <w:sz w:val="18"/>
                <w:szCs w:val="18"/>
                <w:vertAlign w:val="baseline"/>
                <w:lang w:val="en-US" w:eastAsia="zh-CN"/>
              </w:rPr>
              <w:drawing>
                <wp:anchor distT="0" distB="0" distL="114300" distR="114300" simplePos="0" relativeHeight="251679744" behindDoc="0" locked="0" layoutInCell="1" allowOverlap="1">
                  <wp:simplePos x="0" y="0"/>
                  <wp:positionH relativeFrom="column">
                    <wp:posOffset>179070</wp:posOffset>
                  </wp:positionH>
                  <wp:positionV relativeFrom="paragraph">
                    <wp:posOffset>38100</wp:posOffset>
                  </wp:positionV>
                  <wp:extent cx="535305" cy="560070"/>
                  <wp:effectExtent l="0" t="0" r="17145" b="11430"/>
                  <wp:wrapNone/>
                  <wp:docPr id="118" name="图片 118" descr="99833a34350e2cfef0393870186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99833a34350e2cfef03938701864894"/>
                          <pic:cNvPicPr>
                            <a:picLocks noChangeAspect="1"/>
                          </pic:cNvPicPr>
                        </pic:nvPicPr>
                        <pic:blipFill>
                          <a:blip r:embed="rId51"/>
                          <a:srcRect l="28322"/>
                          <a:stretch>
                            <a:fillRect/>
                          </a:stretch>
                        </pic:blipFill>
                        <pic:spPr>
                          <a:xfrm>
                            <a:off x="0" y="0"/>
                            <a:ext cx="535305" cy="560070"/>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bookmarkStart w:id="79" w:name="_Toc15883"/>
            <w:bookmarkStart w:id="80" w:name="_Toc19002"/>
            <w:bookmarkStart w:id="81" w:name="_Toc16495"/>
            <w:bookmarkStart w:id="82" w:name="_Toc18728"/>
            <w:bookmarkStart w:id="83" w:name="_Toc27686"/>
            <w:bookmarkStart w:id="84" w:name="_Toc444767517"/>
            <w:bookmarkStart w:id="85" w:name="_Toc24523"/>
            <w:bookmarkStart w:id="86" w:name="_Toc28281"/>
            <w:bookmarkStart w:id="87" w:name="_Toc29751"/>
            <w:bookmarkStart w:id="88" w:name="_Toc17889"/>
            <w:bookmarkStart w:id="89" w:name="_Toc11703"/>
            <w:bookmarkStart w:id="90" w:name="_Toc18464"/>
            <w:r>
              <w:rPr>
                <w:rFonts w:hint="eastAsia" w:cs="宋体"/>
                <w:b w:val="0"/>
                <w:bCs w:val="0"/>
                <w:i w:val="0"/>
                <w:iCs w:val="0"/>
                <w:color w:val="auto"/>
                <w:kern w:val="2"/>
                <w:sz w:val="21"/>
                <w:szCs w:val="21"/>
                <w:u w:val="none"/>
                <w:lang w:val="en-US" w:eastAsia="zh-CN" w:bidi="ar-SA"/>
              </w:rPr>
              <w:t>11</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医用环保护士站</w:t>
            </w:r>
          </w:p>
        </w:tc>
        <w:tc>
          <w:tcPr>
            <w:tcW w:w="6217"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 xml:space="preserve">一、主要材料及厚度说明：                             </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1</w:t>
            </w:r>
            <w:r>
              <w:rPr>
                <w:rFonts w:hint="eastAsia" w:cs="宋体"/>
                <w:b w:val="0"/>
                <w:bCs w:val="0"/>
                <w:i w:val="0"/>
                <w:iCs w:val="0"/>
                <w:color w:val="auto"/>
                <w:sz w:val="21"/>
                <w:szCs w:val="21"/>
                <w:u w:val="none"/>
                <w:lang w:val="en-US" w:eastAsia="zh-CN"/>
              </w:rPr>
              <w:t>.</w:t>
            </w:r>
            <w:r>
              <w:rPr>
                <w:rFonts w:hint="eastAsia" w:ascii="宋体" w:hAnsi="宋体" w:eastAsia="宋体" w:cs="宋体"/>
                <w:b w:val="0"/>
                <w:bCs w:val="0"/>
                <w:i w:val="0"/>
                <w:iCs w:val="0"/>
                <w:color w:val="auto"/>
                <w:sz w:val="21"/>
                <w:szCs w:val="21"/>
                <w:u w:val="none"/>
                <w:lang w:val="en-US" w:eastAsia="zh-CN"/>
              </w:rPr>
              <w:t>柜体采用2.0mm厚度优质冷轧钢板，背板及侧板三边采用折弯无缝焊接工艺注：焊接工艺质量评定试板 产品符合GB/T 700-2006、GB/T 228.1-2021、GB/T 232-2010标准；检测内容包括：表面质量、化学成分：C≤0.20、Si≤0.35、Mn≤1.40、P≤0.045、S≤0.045、屈服强度≥235、抗拉强度370~500、断后伸长率≥26、弯曲试验、洛氏硬度</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评审依据：</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eastAsia="zh-CN"/>
              </w:rPr>
              <w:t>提供国家认可的省级及以上检验机构出具的带“CMA”和“CNAS”标识的委托检测报告,并提供二维码查询及官网查询截图。钢板经酸洗、磷化等化学防锈处理，表面采用混合型固体粉末喷涂，耐高温，防静电等功能</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★注：医用环保护士站产品符合GB/T 3325-2017、JC/T 1074-2008</w:t>
            </w:r>
            <w:r>
              <w:rPr>
                <w:rFonts w:hint="eastAsia" w:cs="宋体"/>
                <w:b w:val="0"/>
                <w:bCs w:val="0"/>
                <w:i w:val="0"/>
                <w:iCs w:val="0"/>
                <w:color w:val="auto"/>
                <w:sz w:val="21"/>
                <w:szCs w:val="21"/>
                <w:u w:val="none"/>
                <w:lang w:val="en-US" w:eastAsia="zh-CN"/>
              </w:rPr>
              <w:t>或</w:t>
            </w:r>
            <w:r>
              <w:rPr>
                <w:rFonts w:hint="eastAsia" w:ascii="宋体" w:hAnsi="宋体" w:eastAsia="宋体" w:cs="宋体"/>
                <w:b w:val="0"/>
                <w:bCs w:val="0"/>
                <w:i w:val="0"/>
                <w:iCs w:val="0"/>
                <w:color w:val="auto"/>
                <w:sz w:val="21"/>
                <w:szCs w:val="21"/>
                <w:u w:val="none"/>
                <w:lang w:val="en-US" w:eastAsia="zh-CN"/>
              </w:rPr>
              <w:t>JC/T 1074-20</w:t>
            </w:r>
            <w:r>
              <w:rPr>
                <w:rFonts w:hint="eastAsia" w:cs="宋体"/>
                <w:b w:val="0"/>
                <w:bCs w:val="0"/>
                <w:i w:val="0"/>
                <w:iCs w:val="0"/>
                <w:color w:val="auto"/>
                <w:sz w:val="21"/>
                <w:szCs w:val="21"/>
                <w:u w:val="none"/>
                <w:lang w:val="en-US" w:eastAsia="zh-CN"/>
              </w:rPr>
              <w:t>21</w:t>
            </w:r>
            <w:r>
              <w:rPr>
                <w:rFonts w:hint="eastAsia" w:ascii="宋体" w:hAnsi="宋体" w:eastAsia="宋体" w:cs="宋体"/>
                <w:b w:val="0"/>
                <w:bCs w:val="0"/>
                <w:i w:val="0"/>
                <w:iCs w:val="0"/>
                <w:color w:val="auto"/>
                <w:sz w:val="21"/>
                <w:szCs w:val="21"/>
                <w:u w:val="none"/>
                <w:lang w:val="en-US" w:eastAsia="zh-CN"/>
              </w:rPr>
              <w:t>、GB 6566-2010、GB/T 1740-2007、HJ 2547-2016标准；检测内容包括：外观符合要求，理化性能：硬度≥3H、附着力达1级、冲击强度（冲击高度500mm）应无剥落、裂纹、皱纹；耐腐蚀达100h符合要求，结构安全符合要求，放射性：内照射指数≤0.5、外照射指数≤0.5，力学性能：主桌面垂直静载荷、垂直和水平加载稳定性、均符合要求，耐湿热达到≥</w:t>
            </w:r>
            <w:r>
              <w:rPr>
                <w:rFonts w:hint="eastAsia" w:cs="宋体"/>
                <w:b w:val="0"/>
                <w:bCs w:val="0"/>
                <w:i w:val="0"/>
                <w:iCs w:val="0"/>
                <w:color w:val="auto"/>
                <w:sz w:val="21"/>
                <w:szCs w:val="21"/>
                <w:u w:val="none"/>
                <w:lang w:val="en-US" w:eastAsia="zh-CN"/>
              </w:rPr>
              <w:t>3</w:t>
            </w:r>
            <w:r>
              <w:rPr>
                <w:rFonts w:hint="eastAsia" w:ascii="宋体" w:hAnsi="宋体" w:eastAsia="宋体" w:cs="宋体"/>
                <w:b w:val="0"/>
                <w:bCs w:val="0"/>
                <w:i w:val="0"/>
                <w:iCs w:val="0"/>
                <w:color w:val="auto"/>
                <w:sz w:val="21"/>
                <w:szCs w:val="21"/>
                <w:u w:val="none"/>
                <w:lang w:val="en-US" w:eastAsia="zh-CN"/>
              </w:rPr>
              <w:t>00h，综合破坏等级达到1级，甲醛净化性能≥75%，可迁移元素限量要求：铅：未检出≤0.025mg/kg、镉：未检出≤0.025mg/kg、汞：未检出≤0.005mg/kg、铬：未检出≤0.025mg/kg、锑：未检出≤0.025mg/kg、钡：未检出≤0.025mg/kg、砷：未检出≤0.025mg/kg、硒：未检出≤0.025mg/kg。评审依据：</w:t>
            </w:r>
            <w:r>
              <w:rPr>
                <w:rFonts w:hint="eastAsia" w:cs="宋体"/>
                <w:b w:val="0"/>
                <w:bCs w:val="0"/>
                <w:i w:val="0"/>
                <w:iCs w:val="0"/>
                <w:color w:val="auto"/>
                <w:sz w:val="21"/>
                <w:szCs w:val="21"/>
                <w:u w:val="none"/>
                <w:lang w:val="en-US" w:eastAsia="zh-CN"/>
              </w:rPr>
              <w:t>供应商</w:t>
            </w:r>
            <w:r>
              <w:rPr>
                <w:rFonts w:hint="eastAsia" w:ascii="宋体" w:hAnsi="宋体" w:eastAsia="宋体" w:cs="宋体"/>
                <w:b w:val="0"/>
                <w:bCs w:val="0"/>
                <w:i w:val="0"/>
                <w:iCs w:val="0"/>
                <w:color w:val="auto"/>
                <w:sz w:val="21"/>
                <w:szCs w:val="21"/>
                <w:u w:val="none"/>
                <w:lang w:val="en-US" w:eastAsia="zh-CN"/>
              </w:rPr>
              <w:t>提供国家认可的省级及以上检验机构出具的带“CMA”和“CNAS”标识的抽样检测报告,并提供二维码查询及官网查询截图。</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2.粉体：表面选用符合环境安全环氧树脂粉静电喷涂，热固性树脂粉末涂料，涂装后产品抗菌性能强</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 xml:space="preserve">二、配置：                                </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1.底板面离地高度100mm，保证无菌存放要求；</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2.抽屉内可设置物品分类格；柜底安装调节脚和踢脚板；</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3.配置：主柜，内含1层活动层板）+不锈钢踢脚板+人造石面+抽内物品分类格</w:t>
            </w:r>
            <w:r>
              <w:rPr>
                <w:rFonts w:hint="eastAsia" w:cs="宋体"/>
                <w:b w:val="0"/>
                <w:bCs w:val="0"/>
                <w:i w:val="0"/>
                <w:iCs w:val="0"/>
                <w:color w:val="auto"/>
                <w:sz w:val="21"/>
                <w:szCs w:val="21"/>
                <w:u w:val="none"/>
                <w:lang w:val="en-US" w:eastAsia="zh-CN"/>
              </w:rPr>
              <w:t>。</w:t>
            </w:r>
            <w:r>
              <w:rPr>
                <w:rFonts w:hint="eastAsia" w:ascii="宋体" w:hAnsi="宋体" w:eastAsia="宋体" w:cs="宋体"/>
                <w:b w:val="0"/>
                <w:bCs w:val="0"/>
                <w:i w:val="0"/>
                <w:iCs w:val="0"/>
                <w:color w:val="auto"/>
                <w:sz w:val="21"/>
                <w:szCs w:val="21"/>
                <w:u w:val="none"/>
                <w:lang w:val="en-US" w:eastAsia="zh-CN"/>
              </w:rPr>
              <w:t xml:space="preserve">                  </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三、五金配件采用优质的消声阻尼全拉出隐藏式承重国标三节滚珠静音路轨、优质耐用液压缓冲门铰、防锈易消毒型拉手及优质锁等优质五金配件</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四、人造石台面：</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1.采用优质人造石；</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 xml:space="preserve">2.防腐、防酸碱、防污、耐用、耐热、耐撞，密度硬度高且耐磨性好，长时间使用仍可确保亮丽如新；                               </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3.需一体化浇注而成，用同色胶水接驳，做到无缝效果，美观卫生、色彩时尚，选择丰富；</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4.容易清洗不藏污浊，清洁卫生、不易变黄；</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5.外饰厚度为50mm</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五、人造石盆采用优质人造石，经一体化浇注而成，做到无缝效果，美观卫生、色彩时尚，选择丰富，具有防腐、防酸碱、防污、耐用、耐热、耐撞，密度硬度高且耐磨性好，长时间使用仍可确保亮丽如新，容易清洗不藏污浊，清洁卫生、不易变黄，底部有下水口，提供配套下水器及出水软管</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六、工艺/其它说明：</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所有工件经数控激光切割、模具冲压、数控折弯、氩弧焊接、机器打磨、抛光</w:t>
            </w:r>
            <w:r>
              <w:rPr>
                <w:rFonts w:hint="eastAsia" w:cs="宋体"/>
                <w:b w:val="0"/>
                <w:bCs w:val="0"/>
                <w:i w:val="0"/>
                <w:iCs w:val="0"/>
                <w:color w:val="auto"/>
                <w:sz w:val="21"/>
                <w:szCs w:val="21"/>
                <w:u w:val="none"/>
                <w:lang w:val="en-US" w:eastAsia="zh-CN"/>
              </w:rPr>
              <w:t>。</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eastAsia="zh-CN"/>
              </w:rPr>
            </w:pPr>
            <w:r>
              <w:rPr>
                <w:rFonts w:hint="eastAsia" w:cs="宋体"/>
                <w:b w:val="0"/>
                <w:bCs w:val="0"/>
                <w:i w:val="0"/>
                <w:iCs w:val="0"/>
                <w:color w:val="auto"/>
                <w:sz w:val="21"/>
                <w:szCs w:val="21"/>
                <w:u w:val="none"/>
                <w:lang w:eastAsia="zh-CN"/>
              </w:rPr>
              <w:t>米</w:t>
            </w: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i w:val="0"/>
                <w:iCs w:val="0"/>
                <w:color w:val="auto"/>
                <w:sz w:val="21"/>
                <w:szCs w:val="21"/>
                <w:u w:val="none"/>
              </w:rPr>
            </w:pPr>
            <w:r>
              <w:rPr>
                <w:rFonts w:hint="eastAsia" w:ascii="宋体" w:hAnsi="宋体" w:eastAsia="宋体" w:cs="宋体"/>
                <w:sz w:val="18"/>
                <w:szCs w:val="18"/>
              </w:rPr>
              <w:drawing>
                <wp:anchor distT="0" distB="0" distL="114300" distR="114300" simplePos="0" relativeHeight="251685888" behindDoc="0" locked="0" layoutInCell="1" allowOverlap="1">
                  <wp:simplePos x="0" y="0"/>
                  <wp:positionH relativeFrom="column">
                    <wp:posOffset>-24130</wp:posOffset>
                  </wp:positionH>
                  <wp:positionV relativeFrom="paragraph">
                    <wp:posOffset>1372870</wp:posOffset>
                  </wp:positionV>
                  <wp:extent cx="994410" cy="786765"/>
                  <wp:effectExtent l="0" t="0" r="15240" b="13335"/>
                  <wp:wrapNone/>
                  <wp:docPr id="94" name="图片 130" descr="164221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30" descr="1642218119"/>
                          <pic:cNvPicPr>
                            <a:picLocks noChangeAspect="1"/>
                          </pic:cNvPicPr>
                        </pic:nvPicPr>
                        <pic:blipFill>
                          <a:blip r:embed="rId63"/>
                          <a:srcRect l="9202" r="12021"/>
                          <a:stretch>
                            <a:fillRect/>
                          </a:stretch>
                        </pic:blipFill>
                        <pic:spPr>
                          <a:xfrm>
                            <a:off x="0" y="0"/>
                            <a:ext cx="994410" cy="786765"/>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r>
              <w:rPr>
                <w:rFonts w:hint="eastAsia" w:cs="宋体"/>
                <w:b w:val="0"/>
                <w:bCs w:val="0"/>
                <w:i w:val="0"/>
                <w:iCs w:val="0"/>
                <w:color w:val="auto"/>
                <w:kern w:val="2"/>
                <w:sz w:val="21"/>
                <w:szCs w:val="21"/>
                <w:u w:val="none"/>
                <w:lang w:val="en-US" w:eastAsia="zh-CN" w:bidi="ar-SA"/>
              </w:rPr>
              <w:t>12</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医用环保入墙更衣柜</w:t>
            </w:r>
          </w:p>
        </w:tc>
        <w:tc>
          <w:tcPr>
            <w:tcW w:w="6217"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1.采用优质E1级浸渍胶膜纸饰面细木工板。</w:t>
            </w:r>
          </w:p>
          <w:p>
            <w:pPr>
              <w:keepNext w:val="0"/>
              <w:keepLines w:val="0"/>
              <w:widowControl/>
              <w:suppressLineNumbers w:val="0"/>
              <w:spacing w:line="240" w:lineRule="auto"/>
              <w:jc w:val="left"/>
              <w:textAlignment w:val="top"/>
              <w:rPr>
                <w:rFonts w:hint="eastAsia"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2.封边：采用优质PVC封边条，耐干热性、耐磨性、耐开裂性（耐龟裂性）、耐冷热循环性</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color w:val="auto"/>
                <w:lang w:val="en-US" w:eastAsia="zh-CN"/>
              </w:rPr>
              <w:t>★注：更衣柜产品符合GB/T 3324-2017、HJ 2547-2016标准；检测内容</w:t>
            </w:r>
            <w:bookmarkStart w:id="514" w:name="_GoBack"/>
            <w:bookmarkEnd w:id="514"/>
            <w:r>
              <w:rPr>
                <w:rFonts w:hint="eastAsia"/>
                <w:color w:val="auto"/>
                <w:lang w:val="en-US" w:eastAsia="zh-CN"/>
              </w:rPr>
              <w:t>包括：外观符合要求、理化性能：耐湿热达到5级、耐干热达到5级、耐冷热循环、耐磨性符合要求。力学性能：拉门垂直加载试验、拉门水平加载试验、拉门耐久性8万次、拉门猛关试验、活动部件关闭时的空载稳定性、活动部件打开时的空载稳定性、均符合要求，含水率≤9%，可迁移元素限量要求：铅：未检出≤0.025mg/kg、镉：未检出≤0.025mg/kg、汞：未检出≤0.005mg/kg、铬：未检出≤0.025mg/kg、锑：未检出≤0.025mg/kg、钡：未检出≤0.025mg/kg、砷：未检出≤0.025mg/kg、硒：未检出≤0.025mg/kg。评审依据：供应商提供国家认可的省级及以上检验机构出具的带“CMA”和“CNAS”</w:t>
            </w:r>
            <w:r>
              <w:rPr>
                <w:rFonts w:hint="eastAsia" w:ascii="宋体" w:hAnsi="宋体" w:eastAsia="宋体" w:cs="宋体"/>
                <w:b w:val="0"/>
                <w:bCs w:val="0"/>
                <w:i w:val="0"/>
                <w:iCs w:val="0"/>
                <w:color w:val="auto"/>
                <w:sz w:val="21"/>
                <w:szCs w:val="21"/>
                <w:u w:val="none"/>
                <w:lang w:val="en-US" w:eastAsia="zh-CN"/>
              </w:rPr>
              <w:t>标识的抽样检测报告,并提供二维码查询及官网查询截图。</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3.优质五金配件，铰链、三合一连接件、螺丝等。</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★注：《铰链》产品符合QB/T 2189-2013标准；检测内容包括：过载（垂直静载荷）、功能（水平静载荷），耐腐蚀18h，耐久性16万次，均符合要求 。评审依据：供应商提供国家认可的省级及以上检验机构出具的带“CMA”和“CNAS”标识的抽样检测报告,并提供二维码查询及官网查询截图。</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4.所有板材均经过防虫、防腐、防水处理。</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eastAsia="zh-CN"/>
              </w:rPr>
            </w:pPr>
            <w:r>
              <w:rPr>
                <w:rFonts w:hint="eastAsia" w:cs="宋体"/>
                <w:b w:val="0"/>
                <w:bCs w:val="0"/>
                <w:i w:val="0"/>
                <w:iCs w:val="0"/>
                <w:color w:val="auto"/>
                <w:sz w:val="21"/>
                <w:szCs w:val="21"/>
                <w:u w:val="none"/>
                <w:lang w:eastAsia="zh-CN"/>
              </w:rPr>
              <w:t>米</w:t>
            </w: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i w:val="0"/>
                <w:iCs w:val="0"/>
                <w:color w:val="auto"/>
                <w:sz w:val="21"/>
                <w:szCs w:val="21"/>
                <w:u w:val="none"/>
              </w:rPr>
            </w:pPr>
            <w:r>
              <w:rPr>
                <w:rFonts w:hint="eastAsia" w:ascii="宋体" w:hAnsi="宋体" w:eastAsia="宋体" w:cs="宋体"/>
                <w:kern w:val="2"/>
                <w:sz w:val="18"/>
                <w:szCs w:val="18"/>
                <w:vertAlign w:val="baseline"/>
                <w:lang w:val="en-US" w:eastAsia="zh-CN" w:bidi="ar-SA"/>
              </w:rPr>
              <w:drawing>
                <wp:anchor distT="0" distB="0" distL="114300" distR="114300" simplePos="0" relativeHeight="251669504" behindDoc="0" locked="0" layoutInCell="1" allowOverlap="1">
                  <wp:simplePos x="0" y="0"/>
                  <wp:positionH relativeFrom="column">
                    <wp:posOffset>-34925</wp:posOffset>
                  </wp:positionH>
                  <wp:positionV relativeFrom="paragraph">
                    <wp:posOffset>1239520</wp:posOffset>
                  </wp:positionV>
                  <wp:extent cx="981710" cy="1120140"/>
                  <wp:effectExtent l="0" t="0" r="8890" b="3810"/>
                  <wp:wrapNone/>
                  <wp:docPr id="92" name="图片 92" descr="e5beb3a418791159d1253f0e2995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e5beb3a418791159d1253f0e29953a0"/>
                          <pic:cNvPicPr>
                            <a:picLocks noChangeAspect="1"/>
                          </pic:cNvPicPr>
                        </pic:nvPicPr>
                        <pic:blipFill>
                          <a:blip r:embed="rId100"/>
                          <a:srcRect l="5046" t="10826" r="13022" b="19007"/>
                          <a:stretch>
                            <a:fillRect/>
                          </a:stretch>
                        </pic:blipFill>
                        <pic:spPr>
                          <a:xfrm>
                            <a:off x="0" y="0"/>
                            <a:ext cx="981710" cy="1120140"/>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 w:hRule="atLeast"/>
          <w:jc w:val="center"/>
        </w:trPr>
        <w:tc>
          <w:tcPr>
            <w:tcW w:w="69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val="0"/>
                <w:bCs w:val="0"/>
                <w:i w:val="0"/>
                <w:iCs w:val="0"/>
                <w:color w:val="auto"/>
                <w:kern w:val="2"/>
                <w:sz w:val="21"/>
                <w:szCs w:val="21"/>
                <w:u w:val="none"/>
                <w:lang w:val="en-US" w:eastAsia="zh-CN" w:bidi="ar-SA"/>
              </w:rPr>
            </w:pPr>
            <w:r>
              <w:rPr>
                <w:rFonts w:hint="eastAsia" w:cs="宋体"/>
                <w:b w:val="0"/>
                <w:bCs w:val="0"/>
                <w:i w:val="0"/>
                <w:iCs w:val="0"/>
                <w:color w:val="auto"/>
                <w:kern w:val="2"/>
                <w:sz w:val="21"/>
                <w:szCs w:val="21"/>
                <w:u w:val="none"/>
                <w:lang w:val="en-US" w:eastAsia="zh-CN" w:bidi="ar-SA"/>
              </w:rPr>
              <w:t>13</w:t>
            </w:r>
          </w:p>
        </w:tc>
        <w:tc>
          <w:tcPr>
            <w:tcW w:w="13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top"/>
              <w:rPr>
                <w:rFonts w:hint="default" w:ascii="宋体" w:hAnsi="宋体" w:eastAsia="宋体" w:cs="宋体"/>
                <w:b w:val="0"/>
                <w:bCs w:val="0"/>
                <w:i w:val="0"/>
                <w:iCs w:val="0"/>
                <w:color w:val="auto"/>
                <w:kern w:val="0"/>
                <w:sz w:val="21"/>
                <w:szCs w:val="21"/>
                <w:u w:val="none"/>
                <w:lang w:val="en-US" w:eastAsia="zh-CN" w:bidi="ar"/>
              </w:rPr>
            </w:pPr>
            <w:r>
              <w:rPr>
                <w:rFonts w:hint="eastAsia" w:cs="宋体"/>
                <w:b w:val="0"/>
                <w:bCs w:val="0"/>
                <w:i w:val="0"/>
                <w:iCs w:val="0"/>
                <w:color w:val="auto"/>
                <w:kern w:val="0"/>
                <w:sz w:val="21"/>
                <w:szCs w:val="21"/>
                <w:u w:val="none"/>
                <w:lang w:val="en-US" w:eastAsia="zh-CN" w:bidi="ar"/>
              </w:rPr>
              <w:t>化验区</w:t>
            </w:r>
          </w:p>
        </w:tc>
        <w:tc>
          <w:tcPr>
            <w:tcW w:w="6217" w:type="dxa"/>
            <w:tcBorders>
              <w:top w:val="single" w:color="auto" w:sz="4" w:space="0"/>
              <w:left w:val="single" w:color="auto" w:sz="4" w:space="0"/>
              <w:bottom w:val="single" w:color="auto" w:sz="4" w:space="0"/>
              <w:right w:val="single" w:color="auto" w:sz="4" w:space="0"/>
            </w:tcBorders>
            <w:shd w:val="clear" w:color="auto" w:fill="FFFFFF"/>
            <w:vAlign w:val="top"/>
          </w:tcPr>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1.实验台的柜体：采用优质电解板，结构采用固定式金属柜体直接支撑台面。台面下设计柜体，每个柜体有抽屉或门，洗手池，设置键盘托。柜体及框架采用1.0mm厚优质电解钢板，柜体内设一层活动搁板，外经酸洗磷化后环氧树脂静电粉沫喷涂。</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2.台面：13mm厚实芯理化板，表面经技术处理，光滑无毛孔，耐酸碱、防腐蚀、边缘加厚至30mm，铣边处理</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3.插座：采用品牌220V/10A多功能插座。</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4.试剂架：框架型试剂架适用于中央台及边台，可根据需要悬挂，活动搁板</w:t>
            </w:r>
            <w:r>
              <w:rPr>
                <w:rFonts w:hint="eastAsia" w:cs="宋体"/>
                <w:b w:val="0"/>
                <w:bCs w:val="0"/>
                <w:i w:val="0"/>
                <w:iCs w:val="0"/>
                <w:color w:val="auto"/>
                <w:sz w:val="21"/>
                <w:szCs w:val="21"/>
                <w:u w:val="none"/>
                <w:lang w:val="en-US" w:eastAsia="zh-CN"/>
              </w:rPr>
              <w:t>。</w:t>
            </w:r>
          </w:p>
          <w:p>
            <w:pPr>
              <w:keepNext w:val="0"/>
              <w:keepLines w:val="0"/>
              <w:widowControl/>
              <w:suppressLineNumbers w:val="0"/>
              <w:spacing w:line="240" w:lineRule="auto"/>
              <w:jc w:val="left"/>
              <w:textAlignment w:val="top"/>
              <w:rPr>
                <w:rFonts w:hint="eastAsia" w:ascii="宋体" w:hAnsi="宋体" w:eastAsia="宋体" w:cs="宋体"/>
                <w:b w:val="0"/>
                <w:bCs w:val="0"/>
                <w:i w:val="0"/>
                <w:iCs w:val="0"/>
                <w:color w:val="auto"/>
                <w:sz w:val="21"/>
                <w:szCs w:val="21"/>
                <w:u w:val="none"/>
                <w:lang w:val="en-US" w:eastAsia="zh-CN"/>
              </w:rPr>
            </w:pPr>
            <w:r>
              <w:rPr>
                <w:rFonts w:hint="eastAsia" w:ascii="宋体" w:hAnsi="宋体" w:eastAsia="宋体" w:cs="宋体"/>
                <w:b w:val="0"/>
                <w:bCs w:val="0"/>
                <w:i w:val="0"/>
                <w:iCs w:val="0"/>
                <w:color w:val="auto"/>
                <w:sz w:val="21"/>
                <w:szCs w:val="21"/>
                <w:u w:val="none"/>
                <w:lang w:val="en-US" w:eastAsia="zh-CN"/>
              </w:rPr>
              <w:t>5.滑轨：用三节静音滚珠滑轨</w:t>
            </w:r>
            <w:r>
              <w:rPr>
                <w:rFonts w:hint="eastAsia" w:cs="宋体"/>
                <w:b w:val="0"/>
                <w:bCs w:val="0"/>
                <w:i w:val="0"/>
                <w:iCs w:val="0"/>
                <w:color w:val="auto"/>
                <w:sz w:val="21"/>
                <w:szCs w:val="21"/>
                <w:u w:val="none"/>
                <w:lang w:val="en-US" w:eastAsia="zh-CN"/>
              </w:rPr>
              <w:t>。</w:t>
            </w:r>
          </w:p>
        </w:tc>
        <w:tc>
          <w:tcPr>
            <w:tcW w:w="65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21"/>
                <w:szCs w:val="21"/>
                <w:u w:val="none"/>
                <w:lang w:eastAsia="zh-CN"/>
              </w:rPr>
            </w:pPr>
            <w:r>
              <w:rPr>
                <w:rFonts w:hint="eastAsia" w:cs="宋体"/>
                <w:b w:val="0"/>
                <w:bCs w:val="0"/>
                <w:i w:val="0"/>
                <w:iCs w:val="0"/>
                <w:color w:val="auto"/>
                <w:sz w:val="21"/>
                <w:szCs w:val="21"/>
                <w:u w:val="none"/>
                <w:lang w:eastAsia="zh-CN"/>
              </w:rPr>
              <w:t>米</w:t>
            </w:r>
          </w:p>
        </w:tc>
        <w:tc>
          <w:tcPr>
            <w:tcW w:w="165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val="0"/>
                <w:i w:val="0"/>
                <w:iCs w:val="0"/>
                <w:color w:val="auto"/>
                <w:sz w:val="21"/>
                <w:szCs w:val="21"/>
                <w:u w:val="none"/>
              </w:rPr>
            </w:pPr>
            <w:r>
              <w:rPr>
                <w:rFonts w:hint="eastAsia" w:ascii="宋体" w:hAnsi="宋体" w:eastAsia="宋体" w:cs="宋体"/>
                <w:sz w:val="18"/>
                <w:szCs w:val="18"/>
              </w:rPr>
              <w:drawing>
                <wp:anchor distT="0" distB="0" distL="114300" distR="114300" simplePos="0" relativeHeight="251671552" behindDoc="0" locked="0" layoutInCell="1" allowOverlap="1">
                  <wp:simplePos x="0" y="0"/>
                  <wp:positionH relativeFrom="column">
                    <wp:posOffset>-47625</wp:posOffset>
                  </wp:positionH>
                  <wp:positionV relativeFrom="paragraph">
                    <wp:posOffset>539750</wp:posOffset>
                  </wp:positionV>
                  <wp:extent cx="1006475" cy="694690"/>
                  <wp:effectExtent l="0" t="0" r="3175" b="10160"/>
                  <wp:wrapNone/>
                  <wp:docPr id="1" name="图片 1" descr="ecd09dfb9fa0571a8bf063daa0be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cd09dfb9fa0571a8bf063daa0be583"/>
                          <pic:cNvPicPr>
                            <a:picLocks noChangeAspect="1"/>
                          </pic:cNvPicPr>
                        </pic:nvPicPr>
                        <pic:blipFill>
                          <a:blip r:embed="rId143"/>
                          <a:stretch>
                            <a:fillRect/>
                          </a:stretch>
                        </pic:blipFill>
                        <pic:spPr>
                          <a:xfrm>
                            <a:off x="0" y="0"/>
                            <a:ext cx="1006475" cy="694690"/>
                          </a:xfrm>
                          <a:prstGeom prst="rect">
                            <a:avLst/>
                          </a:prstGeom>
                        </pic:spPr>
                      </pic:pic>
                    </a:graphicData>
                  </a:graphic>
                </wp:anchor>
              </w:drawing>
            </w:r>
            <w:r>
              <w:rPr>
                <w:rFonts w:hint="eastAsia" w:ascii="宋体" w:hAnsi="宋体" w:eastAsia="宋体" w:cs="宋体"/>
                <w:sz w:val="18"/>
                <w:szCs w:val="18"/>
              </w:rPr>
              <w:drawing>
                <wp:anchor distT="0" distB="0" distL="114300" distR="114300" simplePos="0" relativeHeight="251670528" behindDoc="1" locked="0" layoutInCell="1" allowOverlap="1">
                  <wp:simplePos x="0" y="0"/>
                  <wp:positionH relativeFrom="column">
                    <wp:posOffset>-4136390</wp:posOffset>
                  </wp:positionH>
                  <wp:positionV relativeFrom="paragraph">
                    <wp:posOffset>-5357495</wp:posOffset>
                  </wp:positionV>
                  <wp:extent cx="746125" cy="514985"/>
                  <wp:effectExtent l="0" t="0" r="15875" b="18415"/>
                  <wp:wrapNone/>
                  <wp:docPr id="88" name="图片 1" descr="ecd09dfb9fa0571a8bf063daa0be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descr="ecd09dfb9fa0571a8bf063daa0be583"/>
                          <pic:cNvPicPr>
                            <a:picLocks noChangeAspect="1"/>
                          </pic:cNvPicPr>
                        </pic:nvPicPr>
                        <pic:blipFill>
                          <a:blip r:embed="rId143"/>
                          <a:stretch>
                            <a:fillRect/>
                          </a:stretch>
                        </pic:blipFill>
                        <pic:spPr>
                          <a:xfrm>
                            <a:off x="0" y="0"/>
                            <a:ext cx="746125" cy="51498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2</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商务要求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bookmarkStart w:id="91" w:name="_Toc27327"/>
      <w:r>
        <w:rPr>
          <w:rFonts w:hint="eastAsia" w:ascii="宋体" w:hAnsi="宋体" w:eastAsia="宋体" w:cs="宋体"/>
          <w:sz w:val="21"/>
          <w:szCs w:val="21"/>
          <w:highlight w:val="none"/>
          <w:lang w:eastAsia="zh-CN"/>
        </w:rPr>
        <w:t>2.1</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本项目专门面向中小企业。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2.2报价要求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（1）投标报价应为</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为完成本项目所发生的一切费用，包括但不限于办公家具的设计、打样、制造、仓储、供货、运输、安装、验收、检验检测、保险及质保期内的维护和缺陷的纠正及相关服务等全过程产生的所有成本和费用以及一切税费。报价清单的综合单价在合同执行过程中是固定不变的，数量以招标人供货通知为准，按实结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（2）▲</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应</w:t>
      </w:r>
      <w:r>
        <w:rPr>
          <w:rFonts w:hint="eastAsia" w:cs="宋体"/>
          <w:sz w:val="21"/>
          <w:szCs w:val="21"/>
          <w:highlight w:val="none"/>
          <w:lang w:val="en-US" w:eastAsia="zh-CN"/>
        </w:rPr>
        <w:t>的</w:t>
      </w:r>
      <w:r>
        <w:rPr>
          <w:rFonts w:hint="eastAsia" w:ascii="宋体" w:hAnsi="宋体" w:eastAsia="宋体" w:cs="宋体"/>
          <w:sz w:val="21"/>
          <w:szCs w:val="21"/>
          <w:highlight w:val="none"/>
          <w:lang w:eastAsia="zh-CN"/>
        </w:rPr>
        <w:t>报价不得高于最高限价，否则投标报价无效。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2.3供货要求</w:t>
      </w:r>
      <w:bookmarkEnd w:id="91"/>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（1）本项目家具采取分批到货的形式，招标人签订合同后且发出供货通知后</w:t>
      </w:r>
      <w:r>
        <w:rPr>
          <w:rFonts w:hint="eastAsia" w:cs="宋体"/>
          <w:sz w:val="21"/>
          <w:szCs w:val="21"/>
          <w:highlight w:val="none"/>
          <w:lang w:val="en-US" w:eastAsia="zh-CN"/>
        </w:rPr>
        <w:t>6</w:t>
      </w:r>
      <w:r>
        <w:rPr>
          <w:rFonts w:hint="eastAsia" w:ascii="宋体" w:hAnsi="宋体" w:eastAsia="宋体" w:cs="宋体"/>
          <w:sz w:val="21"/>
          <w:szCs w:val="21"/>
          <w:highlight w:val="none"/>
          <w:lang w:eastAsia="zh-CN"/>
        </w:rPr>
        <w:t>0天内完成供货安装。具体分批供货时间以招标人通知为准，中标人应全力配合。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（2）中标人在接到供货通知后，应在规定的时间内完成生产任务，并将货物送到指定地点安装完成，不得晚于通知日期，否则将按照合同相关条款进行处罚。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（3）家具生产制造完成至交货安装期内的储藏问题由中标人解决，所有储藏费用已包含在货物综合单价内，中标人不得再行收取任何费用。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4）中标人应提供货物运至合同规定的最终目的地所需要的包装，以防止货物在转运中损坏。这类包装应采取防潮、防晒、防锈、防腐蚀、防震动及防止其他损坏的必要保护措施，从而保护货物能够经受多次搬运、装卸储存等并充分考虑到运输途中的各种复杂情况（例如恶劣天气）和</w:t>
      </w:r>
      <w:r>
        <w:rPr>
          <w:rFonts w:hint="eastAsia" w:cs="宋体"/>
          <w:sz w:val="21"/>
          <w:szCs w:val="21"/>
          <w:highlight w:val="none"/>
          <w:lang w:val="en-US" w:eastAsia="zh-CN"/>
        </w:rPr>
        <w:t>项目所在</w:t>
      </w:r>
      <w:r>
        <w:rPr>
          <w:rFonts w:hint="eastAsia" w:ascii="宋体" w:hAnsi="宋体" w:eastAsia="宋体" w:cs="宋体"/>
          <w:sz w:val="21"/>
          <w:szCs w:val="21"/>
          <w:highlight w:val="none"/>
          <w:lang w:eastAsia="zh-CN"/>
        </w:rPr>
        <w:t>地区气候特点、以及露天存放问题。中标人应承担由于其包装或其防护措施不妥而引起货物锈蚀、损坏和丢失的任何损失的责任或费用。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（5）货物包装内必须附有装箱清单、合格证和齐全的技术资料。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bookmarkStart w:id="92" w:name="_Toc12531"/>
      <w:r>
        <w:rPr>
          <w:rFonts w:hint="eastAsia" w:ascii="宋体" w:hAnsi="宋体" w:eastAsia="宋体" w:cs="宋体"/>
          <w:sz w:val="21"/>
          <w:szCs w:val="21"/>
          <w:highlight w:val="none"/>
          <w:lang w:eastAsia="zh-CN"/>
        </w:rPr>
        <w:t>2.4质保及售后服务要求</w:t>
      </w:r>
      <w:bookmarkEnd w:id="92"/>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（1）</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应提供详细的维修方案、应急措施及维修质量承诺。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应提供备件详细清单及清单价格并承诺备件价格在质保期满后二年内不变。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cs="宋体"/>
          <w:sz w:val="21"/>
          <w:szCs w:val="21"/>
          <w:highlight w:val="none"/>
          <w:lang w:val="en-US" w:eastAsia="zh-CN"/>
        </w:rPr>
        <w:t>3</w:t>
      </w:r>
      <w:r>
        <w:rPr>
          <w:rFonts w:hint="eastAsia" w:ascii="宋体" w:hAnsi="宋体" w:eastAsia="宋体" w:cs="宋体"/>
          <w:sz w:val="21"/>
          <w:szCs w:val="21"/>
          <w:highlight w:val="none"/>
          <w:lang w:eastAsia="zh-CN"/>
        </w:rPr>
        <w:t>）质保期应从最后一批供货验收确认签字后起计算，质保期不得少于</w:t>
      </w:r>
      <w:r>
        <w:rPr>
          <w:rFonts w:hint="eastAsia" w:cs="宋体"/>
          <w:sz w:val="21"/>
          <w:szCs w:val="21"/>
          <w:highlight w:val="none"/>
          <w:lang w:val="en-US" w:eastAsia="zh-CN"/>
        </w:rPr>
        <w:t>3</w:t>
      </w:r>
      <w:r>
        <w:rPr>
          <w:rFonts w:hint="eastAsia" w:ascii="宋体" w:hAnsi="宋体" w:eastAsia="宋体" w:cs="宋体"/>
          <w:sz w:val="21"/>
          <w:szCs w:val="21"/>
          <w:highlight w:val="none"/>
          <w:lang w:eastAsia="zh-CN"/>
        </w:rPr>
        <w:t>年。在质保期内，如在正常使用过程中出现因产品自身质量问题造成的损坏及故障问题，中标人须负责免费调换或维修。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w:t>
      </w:r>
      <w:r>
        <w:rPr>
          <w:rFonts w:hint="eastAsia" w:cs="宋体"/>
          <w:sz w:val="21"/>
          <w:szCs w:val="21"/>
          <w:highlight w:val="none"/>
          <w:lang w:val="en-US" w:eastAsia="zh-CN"/>
        </w:rPr>
        <w:t>4</w:t>
      </w:r>
      <w:r>
        <w:rPr>
          <w:rFonts w:hint="eastAsia" w:ascii="宋体" w:hAnsi="宋体" w:eastAsia="宋体" w:cs="宋体"/>
          <w:sz w:val="21"/>
          <w:szCs w:val="21"/>
          <w:highlight w:val="none"/>
          <w:lang w:eastAsia="zh-CN"/>
        </w:rPr>
        <w:t>）质保期内，中标人需提供24小时售后服务，且维修人员须在接到维修电话后24小时内赶到现场，提供不间断的售后服务，并在7日内完成产品的修复或更换工作。维修点需提供足够的备件以适应招标人维修需求。中标人在接到家具维修通知后未能在约定时间内抵达现场进行维修的视为违约，将按照合同的相关规定进行处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bookmarkStart w:id="93" w:name="_Toc9045"/>
      <w:r>
        <w:rPr>
          <w:rFonts w:hint="eastAsia" w:ascii="宋体" w:hAnsi="宋体" w:eastAsia="宋体" w:cs="宋体"/>
          <w:sz w:val="21"/>
          <w:szCs w:val="21"/>
          <w:highlight w:val="none"/>
          <w:lang w:eastAsia="zh-CN"/>
        </w:rPr>
        <w:t>2.5其他要求</w:t>
      </w:r>
      <w:bookmarkEnd w:id="93"/>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1）招标人对家具样式、材质、颜色、数量有最终决定权，家具产品色泽暂以招标文件内清单为准，如招标人日后需要更改，中标人应积极配合，中标价格（单价）不变。中标人在家具生产制作前须与招标人确认，规格、技术及材质要求不得低于招标文件要求，家具颜色应充分考虑整体办公环境的协调性、美观性。</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（2）连接件应安装严密、平整、端正、牢固，无崩茬或松动，不得有漏钉、透钉</w:t>
      </w:r>
      <w:r>
        <w:rPr>
          <w:rFonts w:hint="eastAsia" w:cs="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（3）外表的倒棱、圆角、圆线应均匀一致，无毛刺及扎手的现象，装板部件配合不得松动</w:t>
      </w:r>
      <w:r>
        <w:rPr>
          <w:rFonts w:hint="eastAsia" w:cs="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（4）货物数量、价格表必须填写所投产品的具体尺寸、数量。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三、履约验收要求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（一）是否适用本采购项目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本项目货物应通过采购人的政府采购履约验收。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（二）履约验收的相关费用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履约验收费用由</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承担，包括但不限于履约验收代理服务费（如需委托代理）、验收专家劳务费、专业验收检测机构出具报告及由此产生的检验（监测）费等。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（三）项目验收工作组织程序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1</w:t>
      </w:r>
      <w:r>
        <w:rPr>
          <w:rFonts w:hint="eastAsia" w:ascii="宋体" w:hAnsi="宋体" w:eastAsia="宋体" w:cs="宋体"/>
          <w:sz w:val="21"/>
          <w:szCs w:val="21"/>
          <w:highlight w:val="none"/>
          <w:lang w:val="en-US" w:eastAsia="zh-CN"/>
        </w:rPr>
        <w:t>.</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根据采购文件、投标（响应）文件、采购合同、数量、技术指标或者服务要求设置验收指标及其标准，制定验收指标及标准。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2</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本项目采用一般程序验收方式并按供货批次分期验收的方法。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3</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验收小组由招标人、使用方以及邀请专家或邀请未中标</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代表组成。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4</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启动项目验收的时间：各批次到货安装完成后1</w:t>
      </w:r>
      <w:r>
        <w:rPr>
          <w:rFonts w:hint="eastAsia" w:cs="宋体"/>
          <w:sz w:val="21"/>
          <w:szCs w:val="21"/>
          <w:highlight w:val="none"/>
          <w:lang w:val="en-US" w:eastAsia="zh-CN"/>
        </w:rPr>
        <w:t>0</w:t>
      </w:r>
      <w:r>
        <w:rPr>
          <w:rFonts w:hint="eastAsia" w:ascii="宋体" w:hAnsi="宋体" w:eastAsia="宋体" w:cs="宋体"/>
          <w:sz w:val="21"/>
          <w:szCs w:val="21"/>
          <w:highlight w:val="none"/>
          <w:lang w:eastAsia="zh-CN"/>
        </w:rPr>
        <w:t>天内，</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应当通知验收组织机构。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5</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组织验收的程序和内容：</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提供项目验收相关技术资料、合格证明以及验收所必须具备的其他材料[包括：成品及原材料检测报告，所有产品检测必须合格，否则，招标人有权要求更换全新的合格产品，并由中标人承担相关费用]，并协助验收组织机构开展验收。验收组织机构准备采购文件，根据验收方案组织现场查验。验收小组必须做好验收记录。验收记录要准确、详细记载采购项目重要事项的履约情况。验收组织机构应当及时查验，未及时查验的，</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 xml:space="preserve">可以顺延项目交付日期，并有权按照合同约定要求赔偿停工、窝工损失。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6</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出具验收书。验收书的内容应包括：实施验收过程基本情况陈述，</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对合同规定的每一项技术、服务、安全标准等履行情况，与政府采购合同约定的权利义务比较情况，验收结论性意见等。验收小组签字确认。委托第三方检测的，附检测报告及相应资料。采购人及</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对验收意见予以确认。</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7</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验收结果公告：采购人对验收项目作出整体评价和分类评价。除涉密情形外，在评价后2个工作日内在浙江政府采购网发布验收结果。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8</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验收资料归档。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9</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如验收不合格的，</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应采取补救措施，及时处理。整改结束后，由</w:t>
      </w:r>
      <w:r>
        <w:rPr>
          <w:rFonts w:hint="eastAsia" w:cs="宋体"/>
          <w:sz w:val="21"/>
          <w:szCs w:val="21"/>
          <w:highlight w:val="none"/>
          <w:lang w:eastAsia="zh-CN"/>
        </w:rPr>
        <w:t>供应商</w:t>
      </w:r>
      <w:r>
        <w:rPr>
          <w:rFonts w:hint="eastAsia" w:ascii="宋体" w:hAnsi="宋体" w:eastAsia="宋体" w:cs="宋体"/>
          <w:sz w:val="21"/>
          <w:szCs w:val="21"/>
          <w:highlight w:val="none"/>
          <w:lang w:eastAsia="zh-CN"/>
        </w:rPr>
        <w:t>通知验收组织机构重新验收。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四）未尽事宜，按《中华人民共和国政府采购法》及其实施条例、《中华人民共和国民法典》、《财政部关于进一步加强政府采购需求和履约验收管理的指导意见》（财库〔2016〕205号）、《浙江省财政厅关于印发浙江省政府采购合同暂行办法的通知》（浙财采监〔2017〕11号）等相关法律法规、规定执行。</w:t>
      </w:r>
    </w:p>
    <w:p>
      <w:pPr>
        <w:rPr>
          <w:rFonts w:hint="eastAsia" w:ascii="宋体" w:hAnsi="宋体" w:eastAsia="宋体" w:cs="宋体"/>
          <w:b/>
          <w:color w:val="auto"/>
          <w:sz w:val="21"/>
          <w:szCs w:val="21"/>
          <w:highlight w:val="none"/>
        </w:rPr>
      </w:pPr>
      <w:r>
        <w:rPr>
          <w:rFonts w:hint="eastAsia"/>
          <w:b/>
          <w:bCs/>
          <w:color w:val="auto"/>
        </w:rPr>
        <w:t>注：上述货物为一个标段，不能拆分投标。</w:t>
      </w:r>
    </w:p>
    <w:p>
      <w:pPr>
        <w:pStyle w:val="56"/>
        <w:ind w:left="0" w:leftChars="0" w:firstLine="0" w:firstLineChars="0"/>
        <w:rPr>
          <w:rFonts w:hint="eastAsia" w:ascii="宋体" w:hAnsi="宋体" w:eastAsia="宋体" w:cs="宋体"/>
          <w:b/>
          <w:bCs/>
          <w:color w:val="FF0000"/>
          <w:sz w:val="21"/>
          <w:szCs w:val="21"/>
          <w:lang w:eastAsia="zh-CN"/>
        </w:rPr>
        <w:sectPr>
          <w:pgSz w:w="11905" w:h="16838"/>
          <w:pgMar w:top="1417" w:right="1417" w:bottom="1417" w:left="1417" w:header="851" w:footer="992" w:gutter="0"/>
          <w:pgNumType w:fmt="decimal"/>
          <w:cols w:space="0" w:num="1"/>
          <w:titlePg/>
          <w:rtlGutter w:val="0"/>
          <w:docGrid w:linePitch="312" w:charSpace="0"/>
        </w:sectPr>
      </w:pPr>
    </w:p>
    <w:bookmarkEnd w:id="79"/>
    <w:bookmarkEnd w:id="80"/>
    <w:bookmarkEnd w:id="81"/>
    <w:bookmarkEnd w:id="82"/>
    <w:bookmarkEnd w:id="83"/>
    <w:bookmarkEnd w:id="84"/>
    <w:bookmarkEnd w:id="85"/>
    <w:bookmarkEnd w:id="86"/>
    <w:bookmarkEnd w:id="87"/>
    <w:bookmarkEnd w:id="88"/>
    <w:bookmarkEnd w:id="89"/>
    <w:bookmarkEnd w:id="90"/>
    <w:p>
      <w:pPr>
        <w:snapToGrid w:val="0"/>
        <w:spacing w:line="360" w:lineRule="auto"/>
        <w:jc w:val="center"/>
        <w:outlineLvl w:val="0"/>
        <w:rPr>
          <w:rFonts w:hint="eastAsia" w:cs="宋体"/>
          <w:b/>
          <w:bCs/>
          <w:color w:val="auto"/>
          <w:sz w:val="32"/>
          <w:szCs w:val="32"/>
          <w:lang w:val="en-US" w:eastAsia="zh-CN"/>
        </w:rPr>
      </w:pPr>
      <w:bookmarkStart w:id="94" w:name="_Toc27903"/>
      <w:r>
        <w:rPr>
          <w:rFonts w:hint="eastAsia" w:cs="宋体"/>
          <w:b/>
          <w:bCs/>
          <w:color w:val="auto"/>
          <w:sz w:val="32"/>
          <w:szCs w:val="32"/>
          <w:lang w:val="en-US" w:eastAsia="zh-CN"/>
        </w:rPr>
        <w:t>第四部分 评标办法及评分标准</w:t>
      </w:r>
      <w:bookmarkEnd w:id="94"/>
    </w:p>
    <w:p>
      <w:pPr>
        <w:keepNext w:val="0"/>
        <w:keepLines w:val="0"/>
        <w:pageBreakBefore w:val="0"/>
        <w:widowControl w:val="0"/>
        <w:kinsoku/>
        <w:wordWrap/>
        <w:overflowPunct/>
        <w:topLinePunct w:val="0"/>
        <w:autoSpaceDE/>
        <w:autoSpaceDN/>
        <w:bidi w:val="0"/>
        <w:adjustRightInd/>
        <w:snapToGrid w:val="0"/>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根据《中华人民共和国政府采购法》、《中华人民共和国政府采购法实施条例》以及有关规定，更好地做到公开、公平、公正，结合本次</w:t>
      </w:r>
      <w:r>
        <w:rPr>
          <w:rFonts w:hint="eastAsia" w:ascii="宋体" w:hAnsi="宋体" w:eastAsia="宋体" w:cs="宋体"/>
          <w:color w:val="auto"/>
          <w:sz w:val="21"/>
          <w:szCs w:val="21"/>
          <w:lang w:eastAsia="zh-CN"/>
        </w:rPr>
        <w:t>采购</w:t>
      </w:r>
      <w:r>
        <w:rPr>
          <w:rFonts w:hint="eastAsia" w:ascii="宋体" w:hAnsi="宋体" w:eastAsia="宋体" w:cs="宋体"/>
          <w:color w:val="auto"/>
          <w:sz w:val="21"/>
          <w:szCs w:val="21"/>
        </w:rPr>
        <w:t>的特点，特制定本评标定标办法。</w:t>
      </w:r>
    </w:p>
    <w:p>
      <w:pPr>
        <w:keepNext w:val="0"/>
        <w:keepLines w:val="0"/>
        <w:pageBreakBefore w:val="0"/>
        <w:widowControl w:val="0"/>
        <w:kinsoku/>
        <w:wordWrap/>
        <w:overflowPunct/>
        <w:topLinePunct w:val="0"/>
        <w:autoSpaceDE/>
        <w:autoSpaceDN/>
        <w:bidi w:val="0"/>
        <w:adjustRightInd/>
        <w:snapToGrid w:val="0"/>
        <w:spacing w:line="420" w:lineRule="exact"/>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一、评标组织</w:t>
      </w:r>
    </w:p>
    <w:p>
      <w:pPr>
        <w:keepNext w:val="0"/>
        <w:keepLines w:val="0"/>
        <w:pageBreakBefore w:val="0"/>
        <w:widowControl w:val="0"/>
        <w:kinsoku/>
        <w:wordWrap/>
        <w:overflowPunct/>
        <w:topLinePunct w:val="0"/>
        <w:autoSpaceDE/>
        <w:autoSpaceDN/>
        <w:bidi w:val="0"/>
        <w:adjustRightInd/>
        <w:snapToGrid w:val="0"/>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评标委员会由采购人代表和评审专家组成，成员人数应当为5人或以上单数，其中评审专家不得少于成员总数的三分之二。专家统一在省级以上财政部门设立的政府采购评审专家库中随机抽取。</w:t>
      </w:r>
    </w:p>
    <w:p>
      <w:pPr>
        <w:keepNext w:val="0"/>
        <w:keepLines w:val="0"/>
        <w:pageBreakBefore w:val="0"/>
        <w:widowControl w:val="0"/>
        <w:kinsoku/>
        <w:wordWrap/>
        <w:overflowPunct/>
        <w:topLinePunct w:val="0"/>
        <w:autoSpaceDE/>
        <w:autoSpaceDN/>
        <w:bidi w:val="0"/>
        <w:adjustRightInd/>
        <w:snapToGrid w:val="0"/>
        <w:spacing w:line="420" w:lineRule="exact"/>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二、评（定）标方法</w:t>
      </w:r>
    </w:p>
    <w:p>
      <w:pPr>
        <w:keepNext w:val="0"/>
        <w:keepLines w:val="0"/>
        <w:pageBreakBefore w:val="0"/>
        <w:widowControl w:val="0"/>
        <w:kinsoku/>
        <w:wordWrap/>
        <w:overflowPunct/>
        <w:topLinePunct w:val="0"/>
        <w:autoSpaceDE/>
        <w:autoSpaceDN/>
        <w:bidi w:val="0"/>
        <w:adjustRightInd/>
        <w:snapToGrid w:val="0"/>
        <w:spacing w:line="420" w:lineRule="exact"/>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（一）评（定）标方法</w:t>
      </w:r>
    </w:p>
    <w:p>
      <w:pPr>
        <w:keepNext w:val="0"/>
        <w:keepLines w:val="0"/>
        <w:pageBreakBefore w:val="0"/>
        <w:widowControl w:val="0"/>
        <w:kinsoku/>
        <w:wordWrap/>
        <w:overflowPunct/>
        <w:topLinePunct w:val="0"/>
        <w:autoSpaceDE/>
        <w:autoSpaceDN/>
        <w:bidi w:val="0"/>
        <w:adjustRightInd/>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开标后，采用综合评分法，评标委员会首先对投标书的完整性、符合性、响应性等进行审查。凡不符合有关规定或不响应</w:t>
      </w:r>
      <w:r>
        <w:rPr>
          <w:rFonts w:hint="eastAsia" w:ascii="宋体" w:hAnsi="宋体" w:eastAsia="宋体" w:cs="宋体"/>
          <w:color w:val="auto"/>
          <w:sz w:val="21"/>
          <w:szCs w:val="21"/>
          <w:lang w:eastAsia="zh-CN"/>
        </w:rPr>
        <w:t>采购</w:t>
      </w:r>
      <w:r>
        <w:rPr>
          <w:rFonts w:hint="eastAsia" w:ascii="宋体" w:hAnsi="宋体" w:eastAsia="宋体" w:cs="宋体"/>
          <w:color w:val="auto"/>
          <w:sz w:val="21"/>
          <w:szCs w:val="21"/>
        </w:rPr>
        <w:t>文件要求的投标文件将不进入评标范围。评标专家组以开标、审标、询标情况为基本依据，对有效的投标文件及其</w:t>
      </w:r>
      <w:r>
        <w:rPr>
          <w:rFonts w:hint="eastAsia" w:cs="宋体"/>
          <w:color w:val="auto"/>
          <w:sz w:val="21"/>
          <w:szCs w:val="21"/>
          <w:lang w:eastAsia="zh-CN"/>
        </w:rPr>
        <w:t>供应商</w:t>
      </w:r>
      <w:r>
        <w:rPr>
          <w:rFonts w:hint="eastAsia" w:ascii="宋体" w:hAnsi="宋体" w:eastAsia="宋体" w:cs="宋体"/>
          <w:color w:val="auto"/>
          <w:sz w:val="21"/>
          <w:szCs w:val="21"/>
        </w:rPr>
        <w:t>按评标内容进行分析、评议，确定合格</w:t>
      </w:r>
      <w:r>
        <w:rPr>
          <w:rFonts w:hint="eastAsia" w:cs="宋体"/>
          <w:color w:val="auto"/>
          <w:sz w:val="21"/>
          <w:szCs w:val="21"/>
          <w:lang w:eastAsia="zh-CN"/>
        </w:rPr>
        <w:t>供应商</w:t>
      </w:r>
      <w:r>
        <w:rPr>
          <w:rFonts w:hint="eastAsia" w:ascii="宋体" w:hAnsi="宋体" w:eastAsia="宋体" w:cs="宋体"/>
          <w:color w:val="auto"/>
          <w:sz w:val="21"/>
          <w:szCs w:val="21"/>
        </w:rPr>
        <w:t>，本次采购技术商务分为</w:t>
      </w:r>
      <w:r>
        <w:rPr>
          <w:rFonts w:hint="eastAsia" w:ascii="宋体" w:hAnsi="宋体" w:eastAsia="宋体" w:cs="宋体"/>
          <w:color w:val="auto"/>
          <w:sz w:val="21"/>
          <w:szCs w:val="21"/>
          <w:lang w:val="en-US" w:eastAsia="zh-CN"/>
        </w:rPr>
        <w:t>70</w:t>
      </w:r>
      <w:r>
        <w:rPr>
          <w:rFonts w:hint="eastAsia" w:ascii="宋体" w:hAnsi="宋体" w:eastAsia="宋体" w:cs="宋体"/>
          <w:color w:val="auto"/>
          <w:sz w:val="21"/>
          <w:szCs w:val="21"/>
        </w:rPr>
        <w:t>分，价格分为</w:t>
      </w:r>
      <w:r>
        <w:rPr>
          <w:rFonts w:hint="eastAsia" w:ascii="宋体" w:hAnsi="宋体" w:eastAsia="宋体" w:cs="宋体"/>
          <w:color w:val="auto"/>
          <w:sz w:val="21"/>
          <w:szCs w:val="21"/>
          <w:lang w:val="en-US" w:eastAsia="zh-CN"/>
        </w:rPr>
        <w:t>30</w:t>
      </w:r>
      <w:r>
        <w:rPr>
          <w:rFonts w:hint="eastAsia" w:ascii="宋体" w:hAnsi="宋体" w:eastAsia="宋体" w:cs="宋体"/>
          <w:color w:val="auto"/>
          <w:sz w:val="21"/>
          <w:szCs w:val="21"/>
        </w:rPr>
        <w:t>分。先评</w:t>
      </w:r>
      <w:r>
        <w:rPr>
          <w:rFonts w:hint="eastAsia" w:cs="宋体"/>
          <w:color w:val="auto"/>
          <w:sz w:val="21"/>
          <w:szCs w:val="21"/>
          <w:lang w:eastAsia="zh-CN"/>
        </w:rPr>
        <w:t>技术商务文件</w:t>
      </w:r>
      <w:r>
        <w:rPr>
          <w:rFonts w:hint="eastAsia" w:ascii="宋体" w:hAnsi="宋体" w:eastAsia="宋体" w:cs="宋体"/>
          <w:color w:val="auto"/>
          <w:sz w:val="21"/>
          <w:szCs w:val="21"/>
        </w:rPr>
        <w:t>得分（含资信与服务），后再开</w:t>
      </w:r>
      <w:r>
        <w:rPr>
          <w:rFonts w:hint="eastAsia" w:cs="宋体"/>
          <w:color w:val="auto"/>
          <w:sz w:val="21"/>
          <w:szCs w:val="21"/>
          <w:lang w:eastAsia="zh-CN"/>
        </w:rPr>
        <w:t>报价文件</w:t>
      </w:r>
      <w:r>
        <w:rPr>
          <w:rFonts w:hint="eastAsia" w:ascii="宋体" w:hAnsi="宋体" w:eastAsia="宋体" w:cs="宋体"/>
          <w:color w:val="auto"/>
          <w:sz w:val="21"/>
          <w:szCs w:val="21"/>
        </w:rPr>
        <w:t>，取合格</w:t>
      </w:r>
      <w:r>
        <w:rPr>
          <w:rFonts w:hint="eastAsia" w:cs="宋体"/>
          <w:color w:val="auto"/>
          <w:sz w:val="21"/>
          <w:szCs w:val="21"/>
          <w:lang w:eastAsia="zh-CN"/>
        </w:rPr>
        <w:t>供应商</w:t>
      </w:r>
      <w:r>
        <w:rPr>
          <w:rFonts w:hint="eastAsia" w:ascii="宋体" w:hAnsi="宋体" w:eastAsia="宋体" w:cs="宋体"/>
          <w:color w:val="auto"/>
          <w:sz w:val="21"/>
          <w:szCs w:val="21"/>
        </w:rPr>
        <w:t>中投标报价最终最低的投标报价为评标基准价，对合格的</w:t>
      </w:r>
      <w:r>
        <w:rPr>
          <w:rFonts w:hint="eastAsia" w:cs="宋体"/>
          <w:color w:val="auto"/>
          <w:sz w:val="21"/>
          <w:szCs w:val="21"/>
          <w:lang w:eastAsia="zh-CN"/>
        </w:rPr>
        <w:t>供应商</w:t>
      </w:r>
      <w:r>
        <w:rPr>
          <w:rFonts w:hint="eastAsia" w:ascii="宋体" w:hAnsi="宋体" w:eastAsia="宋体" w:cs="宋体"/>
          <w:color w:val="auto"/>
          <w:sz w:val="21"/>
          <w:szCs w:val="21"/>
        </w:rPr>
        <w:t>进行价格分计算，以二项总分第一为第一中标</w:t>
      </w:r>
      <w:r>
        <w:rPr>
          <w:rFonts w:hint="eastAsia" w:cs="宋体"/>
          <w:color w:val="auto"/>
          <w:sz w:val="21"/>
          <w:szCs w:val="21"/>
          <w:lang w:val="en-US" w:eastAsia="zh-CN"/>
        </w:rPr>
        <w:t>候选人</w:t>
      </w:r>
      <w:r>
        <w:rPr>
          <w:rFonts w:hint="eastAsia" w:ascii="宋体" w:hAnsi="宋体" w:eastAsia="宋体" w:cs="宋体"/>
          <w:color w:val="auto"/>
          <w:sz w:val="21"/>
          <w:szCs w:val="21"/>
        </w:rPr>
        <w:t>（总得分相同时，以报价低的优先，报价也相同的以资信业绩得分高的优先，资信业绩得分仍相同的以技术文件得分高的优先，仍相同抽签决定。）。</w:t>
      </w:r>
      <w:r>
        <w:rPr>
          <w:rFonts w:hint="eastAsia" w:cs="宋体"/>
          <w:color w:val="auto"/>
          <w:sz w:val="21"/>
          <w:szCs w:val="21"/>
          <w:lang w:eastAsia="zh-CN"/>
        </w:rPr>
        <w:t>中标供应商</w:t>
      </w:r>
      <w:r>
        <w:rPr>
          <w:rFonts w:hint="eastAsia" w:ascii="宋体" w:hAnsi="宋体" w:eastAsia="宋体" w:cs="宋体"/>
          <w:color w:val="auto"/>
          <w:sz w:val="21"/>
          <w:szCs w:val="21"/>
        </w:rPr>
        <w:t>因不可抗力或者自身原因不能履行政府采购合同的,采购人可以与排位在第一</w:t>
      </w:r>
      <w:r>
        <w:rPr>
          <w:rFonts w:hint="eastAsia" w:cs="宋体"/>
          <w:color w:val="auto"/>
          <w:sz w:val="21"/>
          <w:szCs w:val="21"/>
          <w:lang w:val="en-US" w:eastAsia="zh-CN"/>
        </w:rPr>
        <w:t>中标候选人</w:t>
      </w:r>
      <w:r>
        <w:rPr>
          <w:rFonts w:hint="eastAsia" w:ascii="宋体" w:hAnsi="宋体" w:eastAsia="宋体" w:cs="宋体"/>
          <w:color w:val="auto"/>
          <w:sz w:val="21"/>
          <w:szCs w:val="21"/>
        </w:rPr>
        <w:t>之后第一位的中标候选人签订政府采购合同,以此类推或重新</w:t>
      </w:r>
      <w:r>
        <w:rPr>
          <w:rFonts w:hint="eastAsia" w:ascii="宋体" w:hAnsi="宋体" w:eastAsia="宋体" w:cs="宋体"/>
          <w:color w:val="auto"/>
          <w:sz w:val="21"/>
          <w:szCs w:val="21"/>
          <w:lang w:eastAsia="zh-CN"/>
        </w:rPr>
        <w:t>采购</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autoSpaceDE/>
        <w:autoSpaceDN/>
        <w:bidi w:val="0"/>
        <w:adjustRightInd/>
        <w:snapToGrid w:val="0"/>
        <w:spacing w:line="42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1</w:t>
      </w:r>
      <w:r>
        <w:rPr>
          <w:rFonts w:hint="eastAsia" w:cs="宋体"/>
          <w:b/>
          <w:bCs/>
          <w:sz w:val="21"/>
          <w:szCs w:val="21"/>
          <w:lang w:val="en-US" w:eastAsia="zh-CN"/>
        </w:rPr>
        <w:t>.</w:t>
      </w:r>
      <w:r>
        <w:rPr>
          <w:rFonts w:hint="eastAsia" w:cs="宋体"/>
          <w:b/>
          <w:bCs/>
          <w:sz w:val="21"/>
          <w:szCs w:val="21"/>
          <w:lang w:eastAsia="zh-CN"/>
        </w:rPr>
        <w:t>技术商务文件</w:t>
      </w:r>
      <w:r>
        <w:rPr>
          <w:rFonts w:hint="eastAsia" w:ascii="宋体" w:hAnsi="宋体" w:eastAsia="宋体" w:cs="宋体"/>
          <w:b/>
          <w:bCs/>
          <w:sz w:val="21"/>
          <w:szCs w:val="21"/>
        </w:rPr>
        <w:t>评定（满分为70分）</w:t>
      </w:r>
    </w:p>
    <w:p>
      <w:pPr>
        <w:keepNext w:val="0"/>
        <w:keepLines w:val="0"/>
        <w:pageBreakBefore w:val="0"/>
        <w:widowControl w:val="0"/>
        <w:kinsoku/>
        <w:wordWrap/>
        <w:overflowPunct/>
        <w:topLinePunct w:val="0"/>
        <w:autoSpaceDE/>
        <w:autoSpaceDN/>
        <w:bidi w:val="0"/>
        <w:adjustRightInd/>
        <w:snapToGrid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（1）技术商务分设置为70分，分值分配见以下表格。评标委员会根据表格，对该标项各投标单位的</w:t>
      </w:r>
      <w:r>
        <w:rPr>
          <w:rFonts w:hint="eastAsia" w:cs="宋体"/>
          <w:sz w:val="21"/>
          <w:szCs w:val="21"/>
          <w:lang w:eastAsia="zh-CN"/>
        </w:rPr>
        <w:t>技术商务文件</w:t>
      </w:r>
      <w:r>
        <w:rPr>
          <w:rFonts w:hint="eastAsia" w:ascii="宋体" w:hAnsi="宋体" w:eastAsia="宋体" w:cs="宋体"/>
          <w:sz w:val="21"/>
          <w:szCs w:val="21"/>
        </w:rPr>
        <w:t>进行书面审核和评论后，由各成员独立酌情给分，打分时保留小数1位，每人一份评分表，并签名。在统计得分时，如果发现某一单项评分超过评分细则规定的分值范围，则该张评分表无效。</w:t>
      </w:r>
      <w:r>
        <w:rPr>
          <w:rFonts w:hint="eastAsia" w:cs="宋体"/>
          <w:sz w:val="21"/>
          <w:szCs w:val="21"/>
          <w:lang w:eastAsia="zh-CN"/>
        </w:rPr>
        <w:t>供应商</w:t>
      </w:r>
      <w:r>
        <w:rPr>
          <w:rFonts w:hint="eastAsia" w:ascii="宋体" w:hAnsi="宋体" w:eastAsia="宋体" w:cs="宋体"/>
          <w:sz w:val="21"/>
          <w:szCs w:val="21"/>
        </w:rPr>
        <w:t>技术标最终得分为评标成员的有效评分的算术平均值。计算时保留小数2位。</w:t>
      </w:r>
    </w:p>
    <w:p>
      <w:pPr>
        <w:keepNext w:val="0"/>
        <w:keepLines w:val="0"/>
        <w:pageBreakBefore w:val="0"/>
        <w:widowControl w:val="0"/>
        <w:kinsoku/>
        <w:wordWrap/>
        <w:overflowPunct/>
        <w:topLinePunct w:val="0"/>
        <w:autoSpaceDE/>
        <w:autoSpaceDN/>
        <w:bidi w:val="0"/>
        <w:adjustRightInd/>
        <w:snapToGrid w:val="0"/>
        <w:spacing w:line="42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（2）评分标准</w:t>
      </w:r>
    </w:p>
    <w:tbl>
      <w:tblPr>
        <w:tblStyle w:val="42"/>
        <w:tblW w:w="10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1131"/>
        <w:gridCol w:w="7397"/>
        <w:gridCol w:w="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235" w:type="dxa"/>
            <w:noWrap w:val="0"/>
            <w:vAlign w:val="center"/>
          </w:tcPr>
          <w:p>
            <w:pPr>
              <w:adjustRightInd w:val="0"/>
              <w:snapToGrid w:val="0"/>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评分项目</w:t>
            </w:r>
          </w:p>
        </w:tc>
        <w:tc>
          <w:tcPr>
            <w:tcW w:w="1131" w:type="dxa"/>
            <w:noWrap w:val="0"/>
            <w:vAlign w:val="center"/>
          </w:tcPr>
          <w:p>
            <w:pPr>
              <w:adjustRightInd w:val="0"/>
              <w:snapToGrid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评审内容</w:t>
            </w:r>
          </w:p>
        </w:tc>
        <w:tc>
          <w:tcPr>
            <w:tcW w:w="7397" w:type="dxa"/>
            <w:noWrap w:val="0"/>
            <w:vAlign w:val="center"/>
          </w:tcPr>
          <w:p>
            <w:pPr>
              <w:adjustRightInd w:val="0"/>
              <w:snapToGrid w:val="0"/>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评分标准</w:t>
            </w:r>
          </w:p>
        </w:tc>
        <w:tc>
          <w:tcPr>
            <w:tcW w:w="666" w:type="dxa"/>
            <w:noWrap w:val="0"/>
            <w:vAlign w:val="center"/>
          </w:tcPr>
          <w:p>
            <w:pPr>
              <w:adjustRightInd w:val="0"/>
              <w:snapToGrid w:val="0"/>
              <w:spacing w:line="240" w:lineRule="auto"/>
              <w:jc w:val="center"/>
              <w:rPr>
                <w:rFonts w:hint="eastAsia" w:ascii="宋体" w:hAnsi="宋体" w:eastAsia="宋体" w:cs="宋体"/>
                <w:b/>
                <w:bCs/>
                <w:sz w:val="21"/>
                <w:szCs w:val="21"/>
              </w:rPr>
            </w:pPr>
            <w:r>
              <w:rPr>
                <w:rFonts w:hint="eastAsia" w:ascii="宋体" w:hAnsi="宋体" w:eastAsia="宋体" w:cs="宋体"/>
                <w:b/>
                <w:bCs/>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1235" w:type="dxa"/>
            <w:vMerge w:val="restart"/>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资信部分</w:t>
            </w:r>
          </w:p>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w:t>
            </w:r>
            <w:r>
              <w:rPr>
                <w:rFonts w:hint="eastAsia" w:cs="宋体"/>
                <w:sz w:val="21"/>
                <w:szCs w:val="21"/>
                <w:lang w:val="en-US" w:eastAsia="zh-CN"/>
              </w:rPr>
              <w:t>7</w:t>
            </w:r>
            <w:r>
              <w:rPr>
                <w:rFonts w:hint="eastAsia" w:ascii="宋体" w:hAnsi="宋体" w:eastAsia="宋体" w:cs="宋体"/>
                <w:sz w:val="21"/>
                <w:szCs w:val="21"/>
              </w:rPr>
              <w:t>分）</w:t>
            </w:r>
          </w:p>
        </w:tc>
        <w:tc>
          <w:tcPr>
            <w:tcW w:w="1131" w:type="dxa"/>
            <w:noWrap w:val="0"/>
            <w:vAlign w:val="center"/>
          </w:tcPr>
          <w:p>
            <w:pPr>
              <w:spacing w:line="240" w:lineRule="auto"/>
              <w:jc w:val="center"/>
              <w:rPr>
                <w:rFonts w:hint="eastAsia" w:ascii="宋体" w:hAnsi="宋体" w:eastAsia="宋体" w:cs="宋体"/>
                <w:color w:val="auto"/>
                <w:sz w:val="21"/>
                <w:szCs w:val="21"/>
              </w:rPr>
            </w:pPr>
            <w:r>
              <w:rPr>
                <w:rFonts w:hint="eastAsia" w:cs="宋体"/>
                <w:color w:val="auto"/>
                <w:sz w:val="21"/>
                <w:szCs w:val="21"/>
                <w:lang w:val="en-US" w:eastAsia="zh-CN"/>
              </w:rPr>
              <w:t>同类</w:t>
            </w:r>
            <w:r>
              <w:rPr>
                <w:rFonts w:hint="eastAsia" w:ascii="宋体" w:hAnsi="宋体" w:eastAsia="宋体" w:cs="宋体"/>
                <w:color w:val="auto"/>
                <w:sz w:val="21"/>
                <w:szCs w:val="21"/>
              </w:rPr>
              <w:t>业绩</w:t>
            </w:r>
          </w:p>
        </w:tc>
        <w:tc>
          <w:tcPr>
            <w:tcW w:w="7397" w:type="dxa"/>
            <w:noWrap w:val="0"/>
            <w:vAlign w:val="center"/>
          </w:tcPr>
          <w:p>
            <w:pPr>
              <w:pStyle w:val="111"/>
              <w:spacing w:line="240" w:lineRule="auto"/>
              <w:rPr>
                <w:rFonts w:hint="eastAsia" w:ascii="宋体" w:hAnsi="宋体" w:eastAsia="宋体" w:cs="宋体"/>
                <w:color w:val="auto"/>
                <w:sz w:val="21"/>
                <w:szCs w:val="21"/>
              </w:rPr>
            </w:pPr>
            <w:r>
              <w:rPr>
                <w:rFonts w:hint="eastAsia" w:hAnsi="宋体" w:cs="宋体"/>
                <w:color w:val="auto"/>
                <w:sz w:val="21"/>
                <w:szCs w:val="21"/>
                <w:lang w:eastAsia="zh-CN"/>
              </w:rPr>
              <w:t>供应商</w:t>
            </w:r>
            <w:r>
              <w:rPr>
                <w:rFonts w:hint="eastAsia" w:ascii="宋体" w:hAnsi="宋体" w:eastAsia="宋体" w:cs="宋体"/>
                <w:color w:val="auto"/>
                <w:sz w:val="21"/>
                <w:szCs w:val="21"/>
              </w:rPr>
              <w:t>提供20</w:t>
            </w:r>
            <w:r>
              <w:rPr>
                <w:rFonts w:hint="eastAsia" w:hAnsi="宋体" w:cs="宋体"/>
                <w:color w:val="auto"/>
                <w:sz w:val="21"/>
                <w:szCs w:val="21"/>
                <w:lang w:val="en-US" w:eastAsia="zh-CN"/>
              </w:rPr>
              <w:t>20</w:t>
            </w:r>
            <w:r>
              <w:rPr>
                <w:rFonts w:hint="eastAsia" w:ascii="宋体" w:hAnsi="宋体" w:eastAsia="宋体" w:cs="宋体"/>
                <w:color w:val="auto"/>
                <w:sz w:val="21"/>
                <w:szCs w:val="21"/>
              </w:rPr>
              <w:t>年</w:t>
            </w:r>
            <w:r>
              <w:rPr>
                <w:rFonts w:hint="eastAsia" w:hAnsi="宋体" w:cs="宋体"/>
                <w:color w:val="auto"/>
                <w:sz w:val="21"/>
                <w:szCs w:val="21"/>
                <w:lang w:val="en-US" w:eastAsia="zh-CN"/>
              </w:rPr>
              <w:t>01</w:t>
            </w:r>
            <w:r>
              <w:rPr>
                <w:rFonts w:hint="eastAsia" w:ascii="宋体" w:hAnsi="宋体" w:eastAsia="宋体" w:cs="宋体"/>
                <w:color w:val="auto"/>
                <w:sz w:val="21"/>
                <w:szCs w:val="21"/>
              </w:rPr>
              <w:t>月</w:t>
            </w:r>
            <w:r>
              <w:rPr>
                <w:rFonts w:hint="eastAsia" w:hAnsi="宋体" w:cs="宋体"/>
                <w:color w:val="auto"/>
                <w:sz w:val="21"/>
                <w:szCs w:val="21"/>
                <w:lang w:val="en-US" w:eastAsia="zh-CN"/>
              </w:rPr>
              <w:t>0</w:t>
            </w:r>
            <w:r>
              <w:rPr>
                <w:rFonts w:hint="eastAsia" w:ascii="宋体" w:hAnsi="宋体" w:eastAsia="宋体" w:cs="宋体"/>
                <w:color w:val="auto"/>
                <w:sz w:val="21"/>
                <w:szCs w:val="21"/>
              </w:rPr>
              <w:t>1日以来（以合同签订时间为准）同类成功案例：提供同类业绩成功案例的，每个得1分，最高得3分。</w:t>
            </w:r>
            <w:r>
              <w:rPr>
                <w:rFonts w:hint="eastAsia" w:ascii="宋体" w:hAnsi="宋体" w:eastAsia="宋体" w:cs="宋体"/>
                <w:b/>
                <w:bCs/>
                <w:color w:val="auto"/>
                <w:sz w:val="21"/>
                <w:szCs w:val="21"/>
                <w:lang w:val="zh-CN" w:bidi="zh-CN"/>
              </w:rPr>
              <w:t>（</w:t>
            </w:r>
            <w:r>
              <w:rPr>
                <w:rFonts w:hint="eastAsia" w:ascii="宋体" w:hAnsi="宋体" w:eastAsia="宋体" w:cs="宋体"/>
                <w:b/>
                <w:bCs/>
                <w:color w:val="auto"/>
                <w:sz w:val="21"/>
                <w:szCs w:val="21"/>
                <w:lang w:bidi="zh-CN"/>
              </w:rPr>
              <w:t>须</w:t>
            </w:r>
            <w:r>
              <w:rPr>
                <w:rFonts w:hint="eastAsia" w:ascii="宋体" w:hAnsi="宋体" w:eastAsia="宋体" w:cs="宋体"/>
                <w:b/>
                <w:bCs/>
                <w:color w:val="auto"/>
                <w:sz w:val="21"/>
                <w:szCs w:val="21"/>
                <w:lang w:val="zh-CN" w:bidi="zh-CN"/>
              </w:rPr>
              <w:t>提供中标通知书、合同、验收单</w:t>
            </w:r>
            <w:r>
              <w:rPr>
                <w:rFonts w:hint="eastAsia" w:ascii="宋体" w:hAnsi="宋体" w:eastAsia="宋体" w:cs="宋体"/>
                <w:b/>
                <w:bCs/>
                <w:color w:val="auto"/>
                <w:sz w:val="21"/>
                <w:szCs w:val="21"/>
                <w:lang w:bidi="zh-CN"/>
              </w:rPr>
              <w:t>原件扫描件</w:t>
            </w:r>
            <w:r>
              <w:rPr>
                <w:rFonts w:hint="eastAsia" w:ascii="宋体" w:hAnsi="宋体" w:eastAsia="宋体" w:cs="宋体"/>
                <w:b/>
                <w:bCs/>
                <w:color w:val="auto"/>
                <w:sz w:val="21"/>
                <w:szCs w:val="21"/>
                <w:lang w:val="zh-CN" w:bidi="zh-CN"/>
              </w:rPr>
              <w:t>，</w:t>
            </w:r>
            <w:r>
              <w:rPr>
                <w:rFonts w:hint="eastAsia" w:ascii="宋体" w:hAnsi="宋体" w:eastAsia="宋体" w:cs="宋体"/>
                <w:b/>
                <w:bCs/>
                <w:color w:val="auto"/>
                <w:sz w:val="21"/>
                <w:szCs w:val="21"/>
              </w:rPr>
              <w:t>不提供不得分</w:t>
            </w:r>
            <w:r>
              <w:rPr>
                <w:rFonts w:hint="eastAsia" w:ascii="宋体" w:hAnsi="宋体" w:eastAsia="宋体" w:cs="宋体"/>
                <w:b/>
                <w:bCs/>
                <w:color w:val="auto"/>
                <w:sz w:val="21"/>
                <w:szCs w:val="21"/>
                <w:lang w:val="zh-CN" w:bidi="zh-CN"/>
              </w:rPr>
              <w:t>，以签订合同时间为准。是否为</w:t>
            </w:r>
            <w:r>
              <w:rPr>
                <w:rFonts w:hint="eastAsia" w:ascii="宋体" w:hAnsi="宋体" w:eastAsia="宋体" w:cs="宋体"/>
                <w:b/>
                <w:bCs/>
                <w:color w:val="auto"/>
                <w:sz w:val="21"/>
                <w:szCs w:val="21"/>
                <w:lang w:bidi="zh-CN"/>
              </w:rPr>
              <w:t>同类</w:t>
            </w:r>
            <w:r>
              <w:rPr>
                <w:rFonts w:hint="eastAsia" w:ascii="宋体" w:hAnsi="宋体" w:eastAsia="宋体" w:cs="宋体"/>
                <w:b/>
                <w:bCs/>
                <w:color w:val="auto"/>
                <w:sz w:val="21"/>
                <w:szCs w:val="21"/>
                <w:lang w:val="zh-CN" w:bidi="zh-CN"/>
              </w:rPr>
              <w:t>业绩由评标委员会判定）</w:t>
            </w:r>
          </w:p>
        </w:tc>
        <w:tc>
          <w:tcPr>
            <w:tcW w:w="666" w:type="dxa"/>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235" w:type="dxa"/>
            <w:vMerge w:val="continue"/>
            <w:noWrap w:val="0"/>
            <w:vAlign w:val="center"/>
          </w:tcPr>
          <w:p>
            <w:pPr>
              <w:spacing w:line="240" w:lineRule="auto"/>
              <w:jc w:val="center"/>
              <w:rPr>
                <w:rFonts w:hint="eastAsia" w:ascii="宋体" w:hAnsi="宋体" w:eastAsia="宋体" w:cs="宋体"/>
                <w:sz w:val="21"/>
                <w:szCs w:val="21"/>
              </w:rPr>
            </w:pPr>
          </w:p>
        </w:tc>
        <w:tc>
          <w:tcPr>
            <w:tcW w:w="1131" w:type="dxa"/>
            <w:noWrap w:val="0"/>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pacing w:val="-2"/>
                <w:sz w:val="21"/>
                <w:szCs w:val="21"/>
              </w:rPr>
              <w:t>体系认证</w:t>
            </w:r>
          </w:p>
        </w:tc>
        <w:tc>
          <w:tcPr>
            <w:tcW w:w="7397" w:type="dxa"/>
            <w:noWrap w:val="0"/>
            <w:vAlign w:val="center"/>
          </w:tcPr>
          <w:p>
            <w:pPr>
              <w:pStyle w:val="111"/>
              <w:numPr>
                <w:ilvl w:val="0"/>
                <w:numId w:val="0"/>
              </w:numPr>
              <w:spacing w:line="240" w:lineRule="auto"/>
              <w:rPr>
                <w:rFonts w:hint="eastAsia" w:ascii="宋体" w:hAnsi="宋体" w:eastAsia="宋体" w:cs="宋体"/>
                <w:color w:val="auto"/>
                <w:sz w:val="21"/>
                <w:szCs w:val="21"/>
              </w:rPr>
            </w:pPr>
            <w:r>
              <w:rPr>
                <w:rFonts w:hint="eastAsia" w:hAnsi="宋体" w:cs="宋体"/>
                <w:color w:val="auto"/>
                <w:spacing w:val="-2"/>
                <w:sz w:val="21"/>
                <w:szCs w:val="21"/>
                <w:lang w:eastAsia="zh-CN"/>
              </w:rPr>
              <w:t>供应商</w:t>
            </w:r>
            <w:r>
              <w:rPr>
                <w:rFonts w:hint="eastAsia" w:ascii="宋体" w:hAnsi="宋体" w:eastAsia="宋体" w:cs="宋体"/>
                <w:color w:val="auto"/>
                <w:spacing w:val="-2"/>
                <w:sz w:val="21"/>
                <w:szCs w:val="21"/>
              </w:rPr>
              <w:t>具有有效期内的质量管理体系认证证书、环境管理体系认证、职业健康安全管理体系认证的每个得</w:t>
            </w:r>
            <w:r>
              <w:rPr>
                <w:rFonts w:hint="eastAsia" w:hAnsi="宋体" w:cs="宋体"/>
                <w:color w:val="auto"/>
                <w:spacing w:val="-2"/>
                <w:sz w:val="21"/>
                <w:szCs w:val="21"/>
                <w:lang w:val="en-US" w:eastAsia="zh-CN"/>
              </w:rPr>
              <w:t>1</w:t>
            </w:r>
            <w:r>
              <w:rPr>
                <w:rFonts w:hint="eastAsia" w:ascii="宋体" w:hAnsi="宋体" w:eastAsia="宋体" w:cs="宋体"/>
                <w:color w:val="auto"/>
                <w:spacing w:val="-2"/>
                <w:sz w:val="21"/>
                <w:szCs w:val="21"/>
              </w:rPr>
              <w:t>分。</w:t>
            </w:r>
            <w:r>
              <w:rPr>
                <w:rFonts w:hint="eastAsia" w:ascii="宋体" w:hAnsi="宋体" w:eastAsia="宋体" w:cs="宋体"/>
                <w:color w:val="auto"/>
                <w:sz w:val="21"/>
                <w:szCs w:val="21"/>
              </w:rPr>
              <w:t>最高得</w:t>
            </w:r>
            <w:r>
              <w:rPr>
                <w:rFonts w:hint="eastAsia" w:hAnsi="宋体" w:cs="宋体"/>
                <w:color w:val="auto"/>
                <w:sz w:val="21"/>
                <w:szCs w:val="21"/>
                <w:lang w:val="en-US" w:eastAsia="zh-CN"/>
              </w:rPr>
              <w:t>3</w:t>
            </w:r>
            <w:r>
              <w:rPr>
                <w:rFonts w:hint="eastAsia" w:ascii="宋体" w:hAnsi="宋体" w:eastAsia="宋体" w:cs="宋体"/>
                <w:color w:val="auto"/>
                <w:sz w:val="21"/>
                <w:szCs w:val="21"/>
              </w:rPr>
              <w:t>分。</w:t>
            </w:r>
            <w:r>
              <w:rPr>
                <w:rFonts w:hint="eastAsia" w:ascii="宋体" w:hAnsi="宋体" w:eastAsia="宋体" w:cs="宋体"/>
                <w:b/>
                <w:bCs/>
                <w:color w:val="auto"/>
                <w:sz w:val="21"/>
                <w:szCs w:val="21"/>
              </w:rPr>
              <w:t>（须提供</w:t>
            </w:r>
            <w:r>
              <w:rPr>
                <w:rFonts w:hint="eastAsia" w:hAnsi="宋体" w:cs="宋体"/>
                <w:b/>
                <w:bCs/>
                <w:color w:val="auto"/>
                <w:sz w:val="21"/>
                <w:szCs w:val="21"/>
                <w:lang w:eastAsia="zh-CN"/>
              </w:rPr>
              <w:t>有效期内</w:t>
            </w:r>
            <w:r>
              <w:rPr>
                <w:rFonts w:hint="eastAsia" w:ascii="宋体" w:hAnsi="宋体" w:eastAsia="宋体" w:cs="宋体"/>
                <w:b/>
                <w:bCs/>
                <w:color w:val="auto"/>
                <w:sz w:val="21"/>
                <w:szCs w:val="21"/>
              </w:rPr>
              <w:t>相关证书扫描件，不提供不得分或提供扫描件看不清的不得分）</w:t>
            </w:r>
          </w:p>
        </w:tc>
        <w:tc>
          <w:tcPr>
            <w:tcW w:w="666" w:type="dxa"/>
            <w:noWrap w:val="0"/>
            <w:vAlign w:val="center"/>
          </w:tcPr>
          <w:p>
            <w:pPr>
              <w:spacing w:line="240" w:lineRule="auto"/>
              <w:jc w:val="center"/>
              <w:rPr>
                <w:rFonts w:hint="eastAsia" w:ascii="宋体" w:hAnsi="宋体" w:eastAsia="宋体" w:cs="宋体"/>
                <w:sz w:val="21"/>
                <w:szCs w:val="21"/>
              </w:rPr>
            </w:pPr>
            <w:r>
              <w:rPr>
                <w:rFonts w:hint="eastAsia" w:cs="宋体"/>
                <w:sz w:val="21"/>
                <w:szCs w:val="21"/>
                <w:lang w:val="en-US" w:eastAsia="zh-CN"/>
              </w:rPr>
              <w:t>3</w:t>
            </w:r>
            <w:r>
              <w:rPr>
                <w:rFonts w:hint="eastAsia" w:ascii="宋体" w:hAnsi="宋体" w:eastAsia="宋体" w:cs="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235" w:type="dxa"/>
            <w:vMerge w:val="continue"/>
            <w:noWrap w:val="0"/>
            <w:vAlign w:val="center"/>
          </w:tcPr>
          <w:p>
            <w:pPr>
              <w:spacing w:line="240" w:lineRule="auto"/>
              <w:jc w:val="center"/>
              <w:rPr>
                <w:rFonts w:hint="eastAsia" w:ascii="宋体" w:hAnsi="宋体" w:eastAsia="宋体" w:cs="宋体"/>
                <w:sz w:val="21"/>
                <w:szCs w:val="21"/>
              </w:rPr>
            </w:pPr>
          </w:p>
        </w:tc>
        <w:tc>
          <w:tcPr>
            <w:tcW w:w="1131" w:type="dxa"/>
            <w:noWrap w:val="0"/>
            <w:vAlign w:val="center"/>
          </w:tcPr>
          <w:p>
            <w:pPr>
              <w:spacing w:line="240" w:lineRule="auto"/>
              <w:jc w:val="center"/>
              <w:rPr>
                <w:rFonts w:hint="eastAsia" w:ascii="宋体" w:hAnsi="宋体" w:eastAsia="宋体" w:cs="宋体"/>
                <w:color w:val="auto"/>
                <w:spacing w:val="-2"/>
                <w:sz w:val="21"/>
                <w:szCs w:val="21"/>
              </w:rPr>
            </w:pPr>
            <w:r>
              <w:rPr>
                <w:rFonts w:hint="eastAsia" w:ascii="宋体" w:hAnsi="宋体" w:eastAsia="宋体" w:cs="宋体"/>
                <w:color w:val="auto"/>
                <w:sz w:val="21"/>
                <w:szCs w:val="21"/>
              </w:rPr>
              <w:t>政策分</w:t>
            </w:r>
          </w:p>
        </w:tc>
        <w:tc>
          <w:tcPr>
            <w:tcW w:w="7397" w:type="dxa"/>
            <w:noWrap w:val="0"/>
            <w:vAlign w:val="center"/>
          </w:tcPr>
          <w:p>
            <w:pPr>
              <w:spacing w:line="240" w:lineRule="auto"/>
              <w:jc w:val="left"/>
              <w:rPr>
                <w:rFonts w:hint="default" w:ascii="宋体" w:hAnsi="宋体" w:eastAsia="宋体" w:cs="宋体"/>
                <w:color w:val="auto"/>
                <w:spacing w:val="-2"/>
                <w:sz w:val="21"/>
                <w:szCs w:val="21"/>
                <w:lang w:val="en-US" w:eastAsia="zh-CN"/>
              </w:rPr>
            </w:pPr>
            <w:r>
              <w:rPr>
                <w:rFonts w:hint="eastAsia" w:cs="宋体"/>
                <w:color w:val="auto"/>
                <w:kern w:val="0"/>
                <w:sz w:val="21"/>
                <w:szCs w:val="21"/>
                <w:lang w:eastAsia="zh-CN"/>
              </w:rPr>
              <w:t>供应商符合《政府采购货物和服务招标投标管理办法》第五条规定，属“节约能源、保护环境、扶持不发达地区和少数民族地区等”政府采购扶持对象的，提供相关证明材料和政策依据可得</w:t>
            </w:r>
            <w:r>
              <w:rPr>
                <w:rFonts w:hint="eastAsia" w:cs="宋体"/>
                <w:color w:val="auto"/>
                <w:kern w:val="0"/>
                <w:sz w:val="21"/>
                <w:szCs w:val="21"/>
                <w:lang w:val="en-US" w:eastAsia="zh-CN"/>
              </w:rPr>
              <w:t>1分。未提供相关证明材料的不得分。</w:t>
            </w:r>
          </w:p>
        </w:tc>
        <w:tc>
          <w:tcPr>
            <w:tcW w:w="666" w:type="dxa"/>
            <w:noWrap w:val="0"/>
            <w:vAlign w:val="center"/>
          </w:tcPr>
          <w:p>
            <w:pPr>
              <w:spacing w:line="240" w:lineRule="auto"/>
              <w:jc w:val="center"/>
              <w:rPr>
                <w:rFonts w:hint="eastAsia" w:ascii="宋体" w:hAnsi="宋体" w:eastAsia="宋体" w:cs="宋体"/>
                <w:sz w:val="21"/>
                <w:szCs w:val="21"/>
              </w:rPr>
            </w:pPr>
            <w:r>
              <w:rPr>
                <w:rFonts w:hint="eastAsia" w:cs="宋体"/>
                <w:kern w:val="0"/>
                <w:sz w:val="21"/>
                <w:szCs w:val="21"/>
                <w:lang w:val="en-US" w:eastAsia="zh-CN"/>
              </w:rPr>
              <w:t>1</w:t>
            </w:r>
            <w:r>
              <w:rPr>
                <w:rFonts w:hint="eastAsia" w:ascii="宋体" w:hAnsi="宋体" w:eastAsia="宋体" w:cs="宋体"/>
                <w:kern w:val="0"/>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1235" w:type="dxa"/>
            <w:vMerge w:val="restart"/>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技术部分</w:t>
            </w:r>
          </w:p>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w:t>
            </w:r>
            <w:r>
              <w:rPr>
                <w:rFonts w:hint="eastAsia" w:cs="宋体"/>
                <w:sz w:val="21"/>
                <w:szCs w:val="21"/>
                <w:lang w:val="en-US" w:eastAsia="zh-CN"/>
              </w:rPr>
              <w:t>63</w:t>
            </w:r>
            <w:r>
              <w:rPr>
                <w:rFonts w:hint="eastAsia" w:ascii="宋体" w:hAnsi="宋体" w:eastAsia="宋体" w:cs="宋体"/>
                <w:sz w:val="21"/>
                <w:szCs w:val="21"/>
              </w:rPr>
              <w:t>分）</w:t>
            </w:r>
          </w:p>
        </w:tc>
        <w:tc>
          <w:tcPr>
            <w:tcW w:w="1131" w:type="dxa"/>
            <w:noWrap w:val="0"/>
            <w:vAlign w:val="center"/>
          </w:tcPr>
          <w:p>
            <w:pPr>
              <w:spacing w:line="240" w:lineRule="auto"/>
              <w:jc w:val="center"/>
              <w:rPr>
                <w:rFonts w:hint="eastAsia" w:ascii="宋体" w:hAnsi="宋体" w:eastAsia="宋体" w:cs="宋体"/>
                <w:bCs/>
                <w:color w:val="auto"/>
                <w:sz w:val="21"/>
                <w:szCs w:val="21"/>
              </w:rPr>
            </w:pPr>
            <w:r>
              <w:rPr>
                <w:rFonts w:hint="eastAsia" w:ascii="宋体" w:hAnsi="宋体" w:eastAsia="宋体" w:cs="宋体"/>
                <w:color w:val="auto"/>
                <w:sz w:val="21"/>
                <w:szCs w:val="21"/>
              </w:rPr>
              <w:t>实施方案</w:t>
            </w:r>
          </w:p>
        </w:tc>
        <w:tc>
          <w:tcPr>
            <w:tcW w:w="7397" w:type="dxa"/>
            <w:noWrap w:val="0"/>
            <w:vAlign w:val="center"/>
          </w:tcPr>
          <w:p>
            <w:pPr>
              <w:spacing w:line="240" w:lineRule="auto"/>
              <w:jc w:val="left"/>
              <w:rPr>
                <w:rFonts w:hint="eastAsia" w:ascii="宋体" w:hAnsi="宋体" w:eastAsia="宋体" w:cs="宋体"/>
                <w:snapToGrid w:val="0"/>
                <w:color w:val="auto"/>
                <w:sz w:val="21"/>
                <w:szCs w:val="21"/>
              </w:rPr>
            </w:pPr>
            <w:r>
              <w:rPr>
                <w:rFonts w:hint="eastAsia" w:ascii="宋体" w:hAnsi="宋体" w:eastAsia="宋体" w:cs="宋体"/>
                <w:snapToGrid w:val="0"/>
                <w:color w:val="auto"/>
                <w:sz w:val="21"/>
                <w:szCs w:val="21"/>
              </w:rPr>
              <w:t>根据投标</w:t>
            </w:r>
            <w:r>
              <w:rPr>
                <w:rFonts w:hint="eastAsia" w:cs="宋体"/>
                <w:snapToGrid w:val="0"/>
                <w:color w:val="auto"/>
                <w:sz w:val="21"/>
                <w:szCs w:val="21"/>
                <w:lang w:eastAsia="zh-CN"/>
              </w:rPr>
              <w:t>供应商</w:t>
            </w:r>
            <w:r>
              <w:rPr>
                <w:rFonts w:hint="eastAsia" w:ascii="宋体" w:hAnsi="宋体" w:eastAsia="宋体" w:cs="宋体"/>
                <w:snapToGrid w:val="0"/>
                <w:color w:val="auto"/>
                <w:sz w:val="21"/>
                <w:szCs w:val="21"/>
              </w:rPr>
              <w:t>针对本项目的施工方案、供货方案、设备安装</w:t>
            </w:r>
            <w:r>
              <w:rPr>
                <w:rFonts w:hint="eastAsia" w:cs="宋体"/>
                <w:snapToGrid w:val="0"/>
                <w:color w:val="auto"/>
                <w:sz w:val="21"/>
                <w:szCs w:val="21"/>
                <w:lang w:eastAsia="zh-CN"/>
              </w:rPr>
              <w:t>、</w:t>
            </w:r>
            <w:r>
              <w:rPr>
                <w:rFonts w:hint="eastAsia" w:ascii="宋体" w:hAnsi="宋体" w:eastAsia="宋体" w:cs="宋体"/>
                <w:snapToGrid w:val="0"/>
                <w:color w:val="auto"/>
                <w:sz w:val="21"/>
                <w:szCs w:val="21"/>
              </w:rPr>
              <w:t>调试方案</w:t>
            </w:r>
            <w:r>
              <w:rPr>
                <w:rFonts w:hint="eastAsia" w:cs="宋体"/>
                <w:snapToGrid w:val="0"/>
                <w:color w:val="auto"/>
                <w:sz w:val="21"/>
                <w:szCs w:val="21"/>
                <w:lang w:eastAsia="zh-CN"/>
              </w:rPr>
              <w:t>、</w:t>
            </w:r>
            <w:r>
              <w:rPr>
                <w:rFonts w:hint="eastAsia" w:ascii="宋体" w:hAnsi="宋体" w:eastAsia="宋体" w:cs="宋体"/>
                <w:color w:val="auto"/>
                <w:kern w:val="2"/>
                <w:sz w:val="21"/>
                <w:szCs w:val="21"/>
                <w:lang w:val="en-US" w:eastAsia="zh-CN" w:bidi="ar-SA"/>
              </w:rPr>
              <w:t>安装故障排除、</w:t>
            </w:r>
            <w:r>
              <w:rPr>
                <w:rFonts w:hint="eastAsia" w:ascii="宋体" w:hAnsi="宋体" w:eastAsia="宋体" w:cs="宋体"/>
                <w:color w:val="auto"/>
                <w:sz w:val="21"/>
                <w:szCs w:val="21"/>
              </w:rPr>
              <w:t>工期保证措施</w:t>
            </w:r>
            <w:r>
              <w:rPr>
                <w:rFonts w:hint="eastAsia" w:cs="宋体"/>
                <w:color w:val="auto"/>
                <w:sz w:val="21"/>
                <w:szCs w:val="21"/>
                <w:lang w:val="en-US" w:eastAsia="zh-CN"/>
              </w:rPr>
              <w:t>、</w:t>
            </w:r>
            <w:r>
              <w:rPr>
                <w:rFonts w:hint="eastAsia" w:ascii="宋体" w:hAnsi="宋体" w:eastAsia="宋体" w:cs="宋体"/>
                <w:color w:val="auto"/>
                <w:sz w:val="21"/>
                <w:szCs w:val="21"/>
              </w:rPr>
              <w:t>施工安全保证措施</w:t>
            </w:r>
            <w:r>
              <w:rPr>
                <w:rFonts w:hint="eastAsia" w:cs="宋体"/>
                <w:color w:val="auto"/>
                <w:sz w:val="21"/>
                <w:szCs w:val="21"/>
                <w:lang w:eastAsia="zh-CN"/>
              </w:rPr>
              <w:t>、</w:t>
            </w:r>
            <w:r>
              <w:rPr>
                <w:rFonts w:hint="eastAsia" w:ascii="宋体" w:hAnsi="宋体" w:eastAsia="宋体" w:cs="宋体"/>
                <w:color w:val="auto"/>
                <w:kern w:val="2"/>
                <w:sz w:val="21"/>
                <w:szCs w:val="21"/>
                <w:lang w:val="en-US" w:eastAsia="zh-CN" w:bidi="ar-SA"/>
              </w:rPr>
              <w:t>需要采购人配合的事项</w:t>
            </w:r>
            <w:r>
              <w:rPr>
                <w:rFonts w:hint="eastAsia" w:cs="宋体"/>
                <w:color w:val="auto"/>
                <w:kern w:val="2"/>
                <w:sz w:val="21"/>
                <w:szCs w:val="21"/>
                <w:lang w:val="en-US" w:eastAsia="zh-CN" w:bidi="ar-SA"/>
              </w:rPr>
              <w:t>及</w:t>
            </w:r>
            <w:r>
              <w:rPr>
                <w:rFonts w:hint="eastAsia" w:ascii="宋体" w:hAnsi="宋体" w:eastAsia="宋体" w:cs="宋体"/>
                <w:color w:val="auto"/>
                <w:kern w:val="2"/>
                <w:sz w:val="21"/>
                <w:szCs w:val="21"/>
                <w:lang w:val="en-US" w:eastAsia="zh-CN" w:bidi="ar-SA"/>
              </w:rPr>
              <w:t>验收方案</w:t>
            </w:r>
            <w:r>
              <w:rPr>
                <w:rFonts w:hint="eastAsia" w:cs="宋体"/>
                <w:color w:val="auto"/>
                <w:sz w:val="21"/>
                <w:szCs w:val="21"/>
                <w:lang w:val="en-US" w:eastAsia="zh-CN"/>
              </w:rPr>
              <w:t>等内容</w:t>
            </w:r>
            <w:r>
              <w:rPr>
                <w:rFonts w:hint="eastAsia" w:ascii="宋体" w:hAnsi="宋体" w:eastAsia="宋体" w:cs="宋体"/>
                <w:snapToGrid w:val="0"/>
                <w:color w:val="auto"/>
                <w:sz w:val="21"/>
                <w:szCs w:val="21"/>
              </w:rPr>
              <w:t>，各项内容完整且符合项目实际需求的得</w:t>
            </w:r>
            <w:r>
              <w:rPr>
                <w:rFonts w:hint="eastAsia" w:cs="宋体"/>
                <w:snapToGrid w:val="0"/>
                <w:color w:val="auto"/>
                <w:sz w:val="21"/>
                <w:szCs w:val="21"/>
                <w:lang w:val="en-US" w:eastAsia="zh-CN"/>
              </w:rPr>
              <w:t>9</w:t>
            </w:r>
            <w:r>
              <w:rPr>
                <w:rFonts w:hint="eastAsia" w:ascii="宋体" w:hAnsi="宋体" w:eastAsia="宋体" w:cs="宋体"/>
                <w:snapToGrid w:val="0"/>
                <w:color w:val="auto"/>
                <w:sz w:val="21"/>
                <w:szCs w:val="21"/>
              </w:rPr>
              <w:t>分</w:t>
            </w:r>
            <w:r>
              <w:rPr>
                <w:rFonts w:hint="eastAsia" w:cs="宋体"/>
                <w:snapToGrid w:val="0"/>
                <w:color w:val="auto"/>
                <w:sz w:val="21"/>
                <w:szCs w:val="21"/>
                <w:lang w:eastAsia="zh-CN"/>
              </w:rPr>
              <w:t>。</w:t>
            </w:r>
            <w:r>
              <w:rPr>
                <w:rFonts w:hint="eastAsia" w:ascii="宋体" w:hAnsi="宋体" w:eastAsia="宋体" w:cs="宋体"/>
                <w:snapToGrid w:val="0"/>
                <w:color w:val="auto"/>
                <w:sz w:val="21"/>
                <w:szCs w:val="21"/>
              </w:rPr>
              <w:t>有欠缺或不足的每项（处）扣1分，扣完此项分值为止。</w:t>
            </w:r>
          </w:p>
        </w:tc>
        <w:tc>
          <w:tcPr>
            <w:tcW w:w="666" w:type="dxa"/>
            <w:noWrap w:val="0"/>
            <w:vAlign w:val="center"/>
          </w:tcPr>
          <w:p>
            <w:pPr>
              <w:spacing w:line="240" w:lineRule="auto"/>
              <w:jc w:val="center"/>
              <w:rPr>
                <w:rFonts w:hint="eastAsia" w:ascii="宋体" w:hAnsi="宋体" w:eastAsia="宋体" w:cs="宋体"/>
                <w:sz w:val="21"/>
                <w:szCs w:val="21"/>
              </w:rPr>
            </w:pPr>
            <w:r>
              <w:rPr>
                <w:rFonts w:hint="eastAsia" w:cs="宋体"/>
                <w:sz w:val="21"/>
                <w:szCs w:val="21"/>
                <w:lang w:val="en-US" w:eastAsia="zh-CN"/>
              </w:rPr>
              <w:t>9</w:t>
            </w:r>
            <w:r>
              <w:rPr>
                <w:rFonts w:hint="eastAsia" w:ascii="宋体" w:hAnsi="宋体" w:eastAsia="宋体" w:cs="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235" w:type="dxa"/>
            <w:vMerge w:val="continue"/>
            <w:noWrap w:val="0"/>
            <w:vAlign w:val="center"/>
          </w:tcPr>
          <w:p>
            <w:pPr>
              <w:spacing w:line="240" w:lineRule="auto"/>
              <w:jc w:val="center"/>
              <w:rPr>
                <w:rFonts w:hint="eastAsia" w:ascii="宋体" w:hAnsi="宋体" w:eastAsia="宋体" w:cs="宋体"/>
                <w:sz w:val="21"/>
                <w:szCs w:val="21"/>
              </w:rPr>
            </w:pPr>
          </w:p>
        </w:tc>
        <w:tc>
          <w:tcPr>
            <w:tcW w:w="1131" w:type="dxa"/>
            <w:noWrap w:val="0"/>
            <w:vAlign w:val="center"/>
          </w:tcPr>
          <w:p>
            <w:pPr>
              <w:spacing w:line="240" w:lineRule="auto"/>
              <w:jc w:val="center"/>
              <w:rPr>
                <w:rFonts w:hint="eastAsia" w:ascii="宋体" w:hAnsi="宋体" w:eastAsia="宋体" w:cs="宋体"/>
                <w:color w:val="auto"/>
                <w:sz w:val="21"/>
                <w:szCs w:val="21"/>
                <w:lang w:val="zh-CN"/>
              </w:rPr>
            </w:pPr>
            <w:r>
              <w:rPr>
                <w:rFonts w:hint="eastAsia" w:ascii="宋体" w:hAnsi="宋体" w:eastAsia="宋体" w:cs="宋体"/>
                <w:color w:val="auto"/>
                <w:sz w:val="21"/>
                <w:szCs w:val="21"/>
              </w:rPr>
              <w:t>产品的技术性能</w:t>
            </w:r>
          </w:p>
        </w:tc>
        <w:tc>
          <w:tcPr>
            <w:tcW w:w="7397" w:type="dxa"/>
            <w:noWrap w:val="0"/>
            <w:vAlign w:val="center"/>
          </w:tcPr>
          <w:p>
            <w:pPr>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投标产品总体性能符合招标文件要求的得</w:t>
            </w:r>
            <w:r>
              <w:rPr>
                <w:rFonts w:hint="eastAsia" w:cs="宋体"/>
                <w:color w:val="auto"/>
                <w:sz w:val="21"/>
                <w:szCs w:val="21"/>
                <w:lang w:val="en-US" w:eastAsia="zh-CN"/>
              </w:rPr>
              <w:t>30</w:t>
            </w:r>
            <w:r>
              <w:rPr>
                <w:rFonts w:hint="eastAsia" w:ascii="宋体" w:hAnsi="宋体" w:eastAsia="宋体" w:cs="宋体"/>
                <w:color w:val="auto"/>
                <w:sz w:val="21"/>
                <w:szCs w:val="21"/>
              </w:rPr>
              <w:t xml:space="preserve">分，带★部分不能满足的，每一项扣 </w:t>
            </w:r>
            <w:r>
              <w:rPr>
                <w:rFonts w:hint="eastAsia" w:cs="宋体"/>
                <w:color w:val="auto"/>
                <w:sz w:val="21"/>
                <w:szCs w:val="21"/>
                <w:lang w:val="en-US" w:eastAsia="zh-CN"/>
              </w:rPr>
              <w:t>2</w:t>
            </w:r>
            <w:r>
              <w:rPr>
                <w:rFonts w:hint="eastAsia" w:ascii="宋体" w:hAnsi="宋体" w:eastAsia="宋体" w:cs="宋体"/>
                <w:color w:val="auto"/>
                <w:sz w:val="21"/>
                <w:szCs w:val="21"/>
              </w:rPr>
              <w:t xml:space="preserve"> 分，扣完为止。</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需根据要求提供第三方检验机构出具的产品检测报告或其他相关证明文件</w:t>
            </w:r>
            <w:r>
              <w:rPr>
                <w:rFonts w:hint="eastAsia" w:cs="宋体"/>
                <w:color w:val="auto"/>
                <w:sz w:val="21"/>
                <w:szCs w:val="21"/>
                <w:lang w:eastAsia="zh-CN"/>
              </w:rPr>
              <w:t>）</w:t>
            </w:r>
          </w:p>
        </w:tc>
        <w:tc>
          <w:tcPr>
            <w:tcW w:w="666" w:type="dxa"/>
            <w:noWrap w:val="0"/>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3</w:t>
            </w:r>
            <w:r>
              <w:rPr>
                <w:rFonts w:hint="eastAsia" w:cs="宋体"/>
                <w:sz w:val="21"/>
                <w:szCs w:val="21"/>
                <w:lang w:val="en-US" w:eastAsia="zh-CN"/>
              </w:rPr>
              <w:t>0</w:t>
            </w:r>
            <w:r>
              <w:rPr>
                <w:rFonts w:hint="eastAsia" w:ascii="宋体" w:hAnsi="宋体" w:eastAsia="宋体" w:cs="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235" w:type="dxa"/>
            <w:vMerge w:val="continue"/>
            <w:noWrap w:val="0"/>
            <w:vAlign w:val="center"/>
          </w:tcPr>
          <w:p>
            <w:pPr>
              <w:spacing w:line="240" w:lineRule="auto"/>
              <w:jc w:val="center"/>
              <w:rPr>
                <w:rFonts w:hint="eastAsia" w:ascii="宋体" w:hAnsi="宋体" w:eastAsia="宋体" w:cs="宋体"/>
                <w:sz w:val="21"/>
                <w:szCs w:val="21"/>
              </w:rPr>
            </w:pPr>
          </w:p>
        </w:tc>
        <w:tc>
          <w:tcPr>
            <w:tcW w:w="1131" w:type="dxa"/>
            <w:noWrap w:val="0"/>
            <w:vAlign w:val="center"/>
          </w:tcPr>
          <w:p>
            <w:pPr>
              <w:spacing w:line="240" w:lineRule="auto"/>
              <w:jc w:val="center"/>
              <w:rPr>
                <w:rFonts w:hint="eastAsia" w:ascii="宋体" w:hAnsi="宋体" w:eastAsia="宋体" w:cs="宋体"/>
                <w:color w:val="auto"/>
                <w:kern w:val="2"/>
                <w:sz w:val="21"/>
                <w:szCs w:val="21"/>
                <w:lang w:val="zh-CN" w:eastAsia="zh-CN" w:bidi="ar-SA"/>
              </w:rPr>
            </w:pPr>
            <w:r>
              <w:rPr>
                <w:rFonts w:hint="eastAsia" w:eastAsia="宋体" w:cs="宋体"/>
                <w:color w:val="auto"/>
                <w:sz w:val="21"/>
                <w:szCs w:val="21"/>
                <w:lang w:val="en-US" w:eastAsia="zh-CN"/>
              </w:rPr>
              <w:t>产品配置</w:t>
            </w:r>
          </w:p>
        </w:tc>
        <w:tc>
          <w:tcPr>
            <w:tcW w:w="7397" w:type="dxa"/>
            <w:noWrap w:val="0"/>
            <w:vAlign w:val="center"/>
          </w:tcPr>
          <w:p>
            <w:pPr>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eastAsia="zh-CN"/>
              </w:rPr>
              <w:t>拟投产品的型号配置优劣、技术先进性、人性化设计、可靠性等情况</w:t>
            </w:r>
            <w:r>
              <w:rPr>
                <w:rFonts w:hint="eastAsia" w:cs="宋体"/>
                <w:color w:val="auto"/>
                <w:sz w:val="21"/>
                <w:szCs w:val="21"/>
                <w:lang w:eastAsia="zh-CN"/>
              </w:rPr>
              <w:t>，各项内容完整且符合项目实际需求的</w:t>
            </w:r>
            <w:r>
              <w:rPr>
                <w:rFonts w:hint="eastAsia" w:ascii="宋体" w:hAnsi="宋体" w:eastAsia="宋体" w:cs="宋体"/>
                <w:color w:val="auto"/>
                <w:sz w:val="21"/>
                <w:szCs w:val="21"/>
                <w:lang w:eastAsia="zh-CN"/>
              </w:rPr>
              <w:t>得</w:t>
            </w:r>
            <w:r>
              <w:rPr>
                <w:rFonts w:hint="eastAsia" w:cs="宋体"/>
                <w:color w:val="auto"/>
                <w:sz w:val="21"/>
                <w:szCs w:val="21"/>
                <w:lang w:val="en-US" w:eastAsia="zh-CN"/>
              </w:rPr>
              <w:t>3</w:t>
            </w:r>
            <w:r>
              <w:rPr>
                <w:rFonts w:hint="eastAsia" w:ascii="宋体" w:hAnsi="宋体" w:eastAsia="宋体" w:cs="宋体"/>
                <w:color w:val="auto"/>
                <w:sz w:val="21"/>
                <w:szCs w:val="21"/>
                <w:lang w:eastAsia="zh-CN"/>
              </w:rPr>
              <w:t>分。</w:t>
            </w:r>
            <w:r>
              <w:rPr>
                <w:rFonts w:hint="eastAsia" w:ascii="宋体" w:hAnsi="宋体" w:eastAsia="宋体" w:cs="宋体"/>
                <w:snapToGrid w:val="0"/>
                <w:color w:val="auto"/>
                <w:sz w:val="21"/>
                <w:szCs w:val="21"/>
              </w:rPr>
              <w:t>有欠缺或不足的每项（处）扣1分，扣完此项分值为止</w:t>
            </w:r>
            <w:r>
              <w:rPr>
                <w:rFonts w:hint="eastAsia" w:ascii="宋体" w:hAnsi="宋体" w:eastAsia="宋体" w:cs="宋体"/>
                <w:snapToGrid w:val="0"/>
                <w:color w:val="auto"/>
                <w:sz w:val="21"/>
                <w:szCs w:val="21"/>
                <w:lang w:eastAsia="zh-CN"/>
              </w:rPr>
              <w:t>。</w:t>
            </w:r>
          </w:p>
        </w:tc>
        <w:tc>
          <w:tcPr>
            <w:tcW w:w="666" w:type="dxa"/>
            <w:noWrap w:val="0"/>
            <w:vAlign w:val="center"/>
          </w:tcPr>
          <w:p>
            <w:pPr>
              <w:spacing w:line="240" w:lineRule="auto"/>
              <w:jc w:val="center"/>
              <w:rPr>
                <w:rFonts w:hint="eastAsia" w:ascii="宋体" w:hAnsi="宋体" w:eastAsia="宋体" w:cs="宋体"/>
                <w:kern w:val="2"/>
                <w:sz w:val="21"/>
                <w:szCs w:val="21"/>
                <w:lang w:val="en-US" w:eastAsia="zh-CN" w:bidi="ar-SA"/>
              </w:rPr>
            </w:pPr>
            <w:r>
              <w:rPr>
                <w:rFonts w:hint="eastAsia" w:cs="宋体"/>
                <w:sz w:val="21"/>
                <w:szCs w:val="21"/>
                <w:lang w:val="en-US" w:eastAsia="zh-CN"/>
              </w:rPr>
              <w:t>3</w:t>
            </w:r>
            <w:r>
              <w:rPr>
                <w:rFonts w:hint="eastAsia" w:ascii="宋体" w:hAnsi="宋体" w:eastAsia="宋体" w:cs="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235" w:type="dxa"/>
            <w:vMerge w:val="continue"/>
            <w:noWrap w:val="0"/>
            <w:vAlign w:val="center"/>
          </w:tcPr>
          <w:p>
            <w:pPr>
              <w:spacing w:line="240" w:lineRule="auto"/>
              <w:jc w:val="center"/>
              <w:rPr>
                <w:rFonts w:hint="eastAsia" w:ascii="宋体" w:hAnsi="宋体" w:eastAsia="宋体" w:cs="宋体"/>
                <w:sz w:val="21"/>
                <w:szCs w:val="21"/>
              </w:rPr>
            </w:pPr>
          </w:p>
        </w:tc>
        <w:tc>
          <w:tcPr>
            <w:tcW w:w="1131" w:type="dxa"/>
            <w:noWrap w:val="0"/>
            <w:vAlign w:val="center"/>
          </w:tcPr>
          <w:p>
            <w:pPr>
              <w:spacing w:line="240" w:lineRule="auto"/>
              <w:jc w:val="center"/>
              <w:rPr>
                <w:rFonts w:hint="eastAsia" w:ascii="宋体" w:hAnsi="宋体" w:eastAsia="宋体" w:cs="宋体"/>
                <w:color w:val="auto"/>
                <w:kern w:val="2"/>
                <w:sz w:val="21"/>
                <w:szCs w:val="21"/>
                <w:lang w:val="zh-CN" w:eastAsia="zh-CN" w:bidi="ar-SA"/>
              </w:rPr>
            </w:pPr>
            <w:r>
              <w:rPr>
                <w:rFonts w:hint="eastAsia" w:ascii="宋体" w:hAnsi="宋体" w:eastAsia="宋体" w:cs="宋体"/>
                <w:color w:val="auto"/>
                <w:sz w:val="21"/>
                <w:szCs w:val="21"/>
              </w:rPr>
              <w:t>质量保证</w:t>
            </w:r>
          </w:p>
        </w:tc>
        <w:tc>
          <w:tcPr>
            <w:tcW w:w="7397" w:type="dxa"/>
            <w:noWrap w:val="0"/>
            <w:vAlign w:val="center"/>
          </w:tcPr>
          <w:p>
            <w:pPr>
              <w:pStyle w:val="110"/>
              <w:spacing w:before="1" w:line="240" w:lineRule="auto"/>
              <w:ind w:right="96" w:rightChars="0"/>
              <w:rPr>
                <w:rFonts w:hint="eastAsia" w:ascii="宋体" w:hAnsi="宋体" w:eastAsia="宋体" w:cs="宋体"/>
                <w:color w:val="auto"/>
                <w:kern w:val="2"/>
                <w:sz w:val="21"/>
                <w:szCs w:val="21"/>
                <w:lang w:val="zh-CN" w:eastAsia="zh-CN" w:bidi="zh-CN"/>
              </w:rPr>
            </w:pPr>
            <w:r>
              <w:rPr>
                <w:rFonts w:hint="eastAsia" w:ascii="宋体" w:hAnsi="宋体" w:eastAsia="宋体" w:cs="宋体"/>
                <w:color w:val="auto"/>
                <w:sz w:val="21"/>
                <w:szCs w:val="21"/>
              </w:rPr>
              <w:t>质量保证体系是否完备周全，并具有针对性应对措施，后续服务保障体系是否健全，与采购人日常配合是否能高效落实，视质量保证及后续服务情况，</w:t>
            </w:r>
            <w:r>
              <w:rPr>
                <w:rFonts w:hint="eastAsia" w:cs="宋体"/>
                <w:color w:val="auto"/>
                <w:sz w:val="21"/>
                <w:szCs w:val="21"/>
                <w:lang w:val="en-US" w:eastAsia="zh-CN"/>
              </w:rPr>
              <w:t>优秀的</w:t>
            </w:r>
            <w:r>
              <w:rPr>
                <w:rFonts w:hint="eastAsia" w:ascii="宋体" w:hAnsi="宋体" w:eastAsia="宋体" w:cs="宋体"/>
                <w:color w:val="auto"/>
                <w:sz w:val="21"/>
                <w:szCs w:val="21"/>
              </w:rPr>
              <w:t>得4分，</w:t>
            </w:r>
            <w:r>
              <w:rPr>
                <w:rFonts w:hint="eastAsia" w:cs="宋体"/>
                <w:color w:val="auto"/>
                <w:sz w:val="21"/>
                <w:szCs w:val="21"/>
                <w:lang w:val="en-US" w:eastAsia="zh-CN"/>
              </w:rPr>
              <w:t>良好的</w:t>
            </w:r>
            <w:r>
              <w:rPr>
                <w:rFonts w:hint="eastAsia" w:ascii="宋体" w:hAnsi="宋体" w:eastAsia="宋体" w:cs="宋体"/>
                <w:color w:val="auto"/>
                <w:sz w:val="21"/>
                <w:szCs w:val="21"/>
              </w:rPr>
              <w:t>得3分，一般的得2分。</w:t>
            </w:r>
          </w:p>
        </w:tc>
        <w:tc>
          <w:tcPr>
            <w:tcW w:w="666" w:type="dxa"/>
            <w:noWrap w:val="0"/>
            <w:vAlign w:val="center"/>
          </w:tcPr>
          <w:p>
            <w:pPr>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235" w:type="dxa"/>
            <w:vMerge w:val="continue"/>
            <w:noWrap w:val="0"/>
            <w:vAlign w:val="center"/>
          </w:tcPr>
          <w:p>
            <w:pPr>
              <w:spacing w:line="240" w:lineRule="auto"/>
              <w:jc w:val="center"/>
              <w:rPr>
                <w:rFonts w:hint="eastAsia" w:ascii="宋体" w:hAnsi="宋体" w:eastAsia="宋体" w:cs="宋体"/>
                <w:sz w:val="21"/>
                <w:szCs w:val="21"/>
              </w:rPr>
            </w:pPr>
          </w:p>
        </w:tc>
        <w:tc>
          <w:tcPr>
            <w:tcW w:w="1131" w:type="dxa"/>
            <w:noWrap w:val="0"/>
            <w:vAlign w:val="center"/>
          </w:tcPr>
          <w:p>
            <w:pPr>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售后服务</w:t>
            </w:r>
            <w:r>
              <w:rPr>
                <w:rFonts w:hint="eastAsia" w:cs="宋体"/>
                <w:color w:val="auto"/>
                <w:sz w:val="21"/>
                <w:szCs w:val="21"/>
                <w:lang w:val="en-US" w:eastAsia="zh-CN"/>
              </w:rPr>
              <w:t>方案</w:t>
            </w:r>
          </w:p>
        </w:tc>
        <w:tc>
          <w:tcPr>
            <w:tcW w:w="7397" w:type="dxa"/>
            <w:noWrap w:val="0"/>
            <w:vAlign w:val="center"/>
          </w:tcPr>
          <w:p>
            <w:pPr>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售后服务范围、故障响应时间、项目维护计划、应急处理方案、定期巡检等情况</w:t>
            </w:r>
            <w:r>
              <w:rPr>
                <w:rFonts w:hint="eastAsia" w:cs="宋体"/>
                <w:color w:val="auto"/>
                <w:sz w:val="21"/>
                <w:szCs w:val="21"/>
                <w:lang w:eastAsia="zh-CN"/>
              </w:rPr>
              <w:t>，</w:t>
            </w:r>
            <w:r>
              <w:rPr>
                <w:rFonts w:hint="eastAsia" w:ascii="宋体" w:hAnsi="宋体" w:eastAsia="宋体" w:cs="宋体"/>
                <w:snapToGrid w:val="0"/>
                <w:color w:val="auto"/>
                <w:sz w:val="21"/>
                <w:szCs w:val="21"/>
              </w:rPr>
              <w:t>各项内容完整且符合项目实际需求的得</w:t>
            </w:r>
            <w:r>
              <w:rPr>
                <w:rFonts w:hint="eastAsia" w:cs="宋体"/>
                <w:snapToGrid w:val="0"/>
                <w:color w:val="auto"/>
                <w:sz w:val="21"/>
                <w:szCs w:val="21"/>
                <w:lang w:val="en-US" w:eastAsia="zh-CN"/>
              </w:rPr>
              <w:t>8</w:t>
            </w:r>
            <w:r>
              <w:rPr>
                <w:rFonts w:hint="eastAsia" w:ascii="宋体" w:hAnsi="宋体" w:eastAsia="宋体" w:cs="宋体"/>
                <w:snapToGrid w:val="0"/>
                <w:color w:val="auto"/>
                <w:sz w:val="21"/>
                <w:szCs w:val="21"/>
              </w:rPr>
              <w:t>分；有欠缺或不足的每项（处）扣1分，扣完此项分值为止。</w:t>
            </w:r>
          </w:p>
        </w:tc>
        <w:tc>
          <w:tcPr>
            <w:tcW w:w="666" w:type="dxa"/>
            <w:noWrap w:val="0"/>
            <w:vAlign w:val="center"/>
          </w:tcPr>
          <w:p>
            <w:pPr>
              <w:spacing w:line="240" w:lineRule="auto"/>
              <w:jc w:val="center"/>
              <w:rPr>
                <w:rFonts w:hint="eastAsia" w:ascii="宋体" w:hAnsi="宋体" w:eastAsia="宋体" w:cs="宋体"/>
                <w:kern w:val="2"/>
                <w:sz w:val="21"/>
                <w:szCs w:val="21"/>
                <w:lang w:val="en-US" w:eastAsia="zh-CN" w:bidi="ar-SA"/>
              </w:rPr>
            </w:pPr>
            <w:r>
              <w:rPr>
                <w:rFonts w:hint="eastAsia" w:cs="宋体"/>
                <w:sz w:val="21"/>
                <w:szCs w:val="21"/>
                <w:lang w:val="en-US"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235" w:type="dxa"/>
            <w:vMerge w:val="continue"/>
            <w:noWrap w:val="0"/>
            <w:vAlign w:val="center"/>
          </w:tcPr>
          <w:p>
            <w:pPr>
              <w:spacing w:line="240" w:lineRule="auto"/>
              <w:jc w:val="center"/>
              <w:rPr>
                <w:rFonts w:hint="eastAsia" w:ascii="宋体" w:hAnsi="宋体" w:eastAsia="宋体" w:cs="宋体"/>
                <w:sz w:val="21"/>
                <w:szCs w:val="21"/>
              </w:rPr>
            </w:pPr>
          </w:p>
        </w:tc>
        <w:tc>
          <w:tcPr>
            <w:tcW w:w="1131" w:type="dxa"/>
            <w:noWrap w:val="0"/>
            <w:vAlign w:val="center"/>
          </w:tcPr>
          <w:p>
            <w:pPr>
              <w:spacing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质保期</w:t>
            </w:r>
          </w:p>
        </w:tc>
        <w:tc>
          <w:tcPr>
            <w:tcW w:w="7397" w:type="dxa"/>
            <w:noWrap w:val="0"/>
            <w:vAlign w:val="center"/>
          </w:tcPr>
          <w:p>
            <w:pPr>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质保期限（不少于三年）优于</w:t>
            </w:r>
            <w:r>
              <w:rPr>
                <w:rFonts w:hint="eastAsia" w:cs="宋体"/>
                <w:color w:val="auto"/>
                <w:sz w:val="21"/>
                <w:szCs w:val="21"/>
                <w:lang w:eastAsia="zh-CN"/>
              </w:rPr>
              <w:t>招标</w:t>
            </w:r>
            <w:r>
              <w:rPr>
                <w:rFonts w:hint="eastAsia" w:ascii="宋体" w:hAnsi="宋体" w:eastAsia="宋体" w:cs="宋体"/>
                <w:color w:val="auto"/>
                <w:sz w:val="21"/>
                <w:szCs w:val="21"/>
              </w:rPr>
              <w:t>文件的，每延长半年得</w:t>
            </w:r>
            <w:r>
              <w:rPr>
                <w:rFonts w:hint="eastAsia" w:cs="宋体"/>
                <w:color w:val="auto"/>
                <w:sz w:val="21"/>
                <w:szCs w:val="21"/>
                <w:lang w:val="en-US" w:eastAsia="zh-CN"/>
              </w:rPr>
              <w:t>1</w:t>
            </w:r>
            <w:r>
              <w:rPr>
                <w:rFonts w:hint="eastAsia" w:ascii="宋体" w:hAnsi="宋体" w:eastAsia="宋体" w:cs="宋体"/>
                <w:color w:val="auto"/>
                <w:sz w:val="21"/>
                <w:szCs w:val="21"/>
              </w:rPr>
              <w:t>分，最多得</w:t>
            </w:r>
            <w:r>
              <w:rPr>
                <w:rFonts w:hint="eastAsia" w:cs="宋体"/>
                <w:color w:val="auto"/>
                <w:sz w:val="21"/>
                <w:szCs w:val="21"/>
                <w:lang w:val="en-US" w:eastAsia="zh-CN"/>
              </w:rPr>
              <w:t>4</w:t>
            </w:r>
            <w:r>
              <w:rPr>
                <w:rFonts w:hint="eastAsia" w:ascii="宋体" w:hAnsi="宋体" w:eastAsia="宋体" w:cs="宋体"/>
                <w:color w:val="auto"/>
                <w:sz w:val="21"/>
                <w:szCs w:val="21"/>
              </w:rPr>
              <w:t>分。</w:t>
            </w:r>
          </w:p>
        </w:tc>
        <w:tc>
          <w:tcPr>
            <w:tcW w:w="666" w:type="dxa"/>
            <w:noWrap w:val="0"/>
            <w:vAlign w:val="center"/>
          </w:tcPr>
          <w:p>
            <w:pPr>
              <w:spacing w:line="240" w:lineRule="auto"/>
              <w:jc w:val="center"/>
              <w:rPr>
                <w:rFonts w:hint="eastAsia" w:ascii="宋体" w:hAnsi="宋体" w:eastAsia="宋体" w:cs="宋体"/>
                <w:kern w:val="2"/>
                <w:sz w:val="21"/>
                <w:szCs w:val="21"/>
                <w:lang w:val="en-US" w:eastAsia="zh-CN" w:bidi="ar-SA"/>
              </w:rPr>
            </w:pPr>
            <w:r>
              <w:rPr>
                <w:rFonts w:hint="eastAsia" w:cs="宋体"/>
                <w:sz w:val="21"/>
                <w:szCs w:val="21"/>
                <w:lang w:val="en-US" w:eastAsia="zh-CN"/>
              </w:rPr>
              <w:t>4</w:t>
            </w:r>
            <w:r>
              <w:rPr>
                <w:rFonts w:hint="eastAsia" w:ascii="宋体" w:hAnsi="宋体" w:eastAsia="宋体" w:cs="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235" w:type="dxa"/>
            <w:vMerge w:val="continue"/>
            <w:noWrap w:val="0"/>
            <w:vAlign w:val="center"/>
          </w:tcPr>
          <w:p>
            <w:pPr>
              <w:spacing w:line="240" w:lineRule="auto"/>
              <w:jc w:val="center"/>
              <w:rPr>
                <w:rFonts w:hint="eastAsia" w:ascii="宋体" w:hAnsi="宋体" w:eastAsia="宋体" w:cs="宋体"/>
                <w:sz w:val="21"/>
                <w:szCs w:val="21"/>
              </w:rPr>
            </w:pPr>
          </w:p>
        </w:tc>
        <w:tc>
          <w:tcPr>
            <w:tcW w:w="1131" w:type="dxa"/>
            <w:noWrap w:val="0"/>
            <w:vAlign w:val="center"/>
          </w:tcPr>
          <w:p>
            <w:pPr>
              <w:spacing w:line="240" w:lineRule="auto"/>
              <w:jc w:val="center"/>
              <w:rPr>
                <w:rFonts w:hint="default"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配件优惠</w:t>
            </w:r>
          </w:p>
        </w:tc>
        <w:tc>
          <w:tcPr>
            <w:tcW w:w="7397" w:type="dxa"/>
            <w:noWrap w:val="0"/>
            <w:vAlign w:val="center"/>
          </w:tcPr>
          <w:p>
            <w:pPr>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根据</w:t>
            </w:r>
            <w:r>
              <w:rPr>
                <w:rFonts w:hint="eastAsia" w:cs="宋体"/>
                <w:color w:val="auto"/>
                <w:sz w:val="21"/>
                <w:szCs w:val="21"/>
                <w:lang w:eastAsia="zh-CN"/>
              </w:rPr>
              <w:t>供应商</w:t>
            </w:r>
            <w:r>
              <w:rPr>
                <w:rFonts w:hint="eastAsia" w:ascii="宋体" w:hAnsi="宋体" w:eastAsia="宋体" w:cs="宋体"/>
                <w:color w:val="auto"/>
                <w:sz w:val="21"/>
                <w:szCs w:val="21"/>
              </w:rPr>
              <w:t>提供的有实质性意义的优惠承诺，包括备品备件、专用耗材价格等方面横向对比酌情打分，最多得</w:t>
            </w:r>
            <w:r>
              <w:rPr>
                <w:rFonts w:hint="eastAsia" w:cs="宋体"/>
                <w:color w:val="auto"/>
                <w:sz w:val="21"/>
                <w:szCs w:val="21"/>
                <w:lang w:val="en-US" w:eastAsia="zh-CN"/>
              </w:rPr>
              <w:t>2</w:t>
            </w:r>
            <w:r>
              <w:rPr>
                <w:rFonts w:hint="eastAsia" w:ascii="宋体" w:hAnsi="宋体" w:eastAsia="宋体" w:cs="宋体"/>
                <w:color w:val="auto"/>
                <w:sz w:val="21"/>
                <w:szCs w:val="21"/>
              </w:rPr>
              <w:t>分。</w:t>
            </w:r>
          </w:p>
        </w:tc>
        <w:tc>
          <w:tcPr>
            <w:tcW w:w="666" w:type="dxa"/>
            <w:noWrap w:val="0"/>
            <w:vAlign w:val="center"/>
          </w:tcPr>
          <w:p>
            <w:pPr>
              <w:spacing w:line="240" w:lineRule="auto"/>
              <w:jc w:val="center"/>
              <w:rPr>
                <w:rFonts w:hint="default" w:ascii="宋体" w:hAnsi="宋体" w:eastAsia="宋体" w:cs="宋体"/>
                <w:kern w:val="2"/>
                <w:sz w:val="21"/>
                <w:szCs w:val="21"/>
                <w:lang w:val="en-US" w:eastAsia="zh-CN" w:bidi="ar-SA"/>
              </w:rPr>
            </w:pPr>
            <w:r>
              <w:rPr>
                <w:rFonts w:hint="eastAsia" w:cs="宋体"/>
                <w:sz w:val="21"/>
                <w:szCs w:val="21"/>
                <w:lang w:val="en-US" w:eastAsia="zh-CN"/>
              </w:rPr>
              <w:t>2</w:t>
            </w:r>
            <w:r>
              <w:rPr>
                <w:rFonts w:hint="eastAsia" w:ascii="宋体" w:hAnsi="宋体" w:eastAsia="宋体" w:cs="宋体"/>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235" w:type="dxa"/>
            <w:vMerge w:val="continue"/>
            <w:noWrap w:val="0"/>
            <w:vAlign w:val="center"/>
          </w:tcPr>
          <w:p>
            <w:pPr>
              <w:spacing w:line="240" w:lineRule="auto"/>
              <w:jc w:val="center"/>
              <w:rPr>
                <w:rFonts w:hint="eastAsia" w:ascii="宋体" w:hAnsi="宋体" w:eastAsia="宋体" w:cs="宋体"/>
                <w:sz w:val="21"/>
                <w:szCs w:val="21"/>
              </w:rPr>
            </w:pPr>
          </w:p>
        </w:tc>
        <w:tc>
          <w:tcPr>
            <w:tcW w:w="1131" w:type="dxa"/>
            <w:noWrap w:val="0"/>
            <w:vAlign w:val="center"/>
          </w:tcPr>
          <w:p>
            <w:pPr>
              <w:spacing w:line="240" w:lineRule="auto"/>
              <w:jc w:val="center"/>
              <w:rPr>
                <w:rFonts w:hint="eastAsia" w:cs="宋体"/>
                <w:color w:val="auto"/>
                <w:sz w:val="21"/>
                <w:szCs w:val="21"/>
                <w:lang w:val="en-US" w:eastAsia="zh-CN"/>
              </w:rPr>
            </w:pPr>
            <w:r>
              <w:rPr>
                <w:rFonts w:hint="eastAsia" w:cs="宋体"/>
                <w:color w:val="auto"/>
                <w:sz w:val="21"/>
                <w:szCs w:val="21"/>
                <w:lang w:val="en-US" w:eastAsia="zh-CN"/>
              </w:rPr>
              <w:t>交货及</w:t>
            </w:r>
          </w:p>
          <w:p>
            <w:pPr>
              <w:spacing w:line="240" w:lineRule="auto"/>
              <w:jc w:val="center"/>
              <w:rPr>
                <w:rFonts w:hint="eastAsia" w:ascii="宋体" w:hAnsi="宋体" w:eastAsia="宋体" w:cs="宋体"/>
                <w:color w:val="auto"/>
                <w:kern w:val="2"/>
                <w:sz w:val="21"/>
                <w:szCs w:val="21"/>
                <w:lang w:val="en-US" w:eastAsia="zh-CN" w:bidi="ar-SA"/>
              </w:rPr>
            </w:pPr>
            <w:r>
              <w:rPr>
                <w:rFonts w:hint="eastAsia" w:cs="宋体"/>
                <w:color w:val="auto"/>
                <w:sz w:val="21"/>
                <w:szCs w:val="21"/>
                <w:lang w:val="en-US" w:eastAsia="zh-CN"/>
              </w:rPr>
              <w:t>验收</w:t>
            </w:r>
          </w:p>
        </w:tc>
        <w:tc>
          <w:tcPr>
            <w:tcW w:w="7397" w:type="dxa"/>
            <w:noWrap w:val="0"/>
            <w:vAlign w:val="center"/>
          </w:tcPr>
          <w:p>
            <w:pPr>
              <w:spacing w:line="24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交货进度计划及保障措施、产品调试测试方案及验收配合等情况得3分。</w:t>
            </w:r>
            <w:r>
              <w:rPr>
                <w:rFonts w:hint="eastAsia" w:ascii="宋体" w:hAnsi="宋体" w:eastAsia="宋体" w:cs="宋体"/>
                <w:snapToGrid w:val="0"/>
                <w:color w:val="auto"/>
                <w:sz w:val="21"/>
                <w:szCs w:val="21"/>
              </w:rPr>
              <w:t>有欠缺或不足的每项（处）扣1分，扣完此项分值为止</w:t>
            </w:r>
            <w:r>
              <w:rPr>
                <w:rFonts w:hint="eastAsia" w:ascii="宋体" w:hAnsi="宋体" w:eastAsia="宋体" w:cs="宋体"/>
                <w:snapToGrid w:val="0"/>
                <w:color w:val="auto"/>
                <w:sz w:val="21"/>
                <w:szCs w:val="21"/>
                <w:lang w:eastAsia="zh-CN"/>
              </w:rPr>
              <w:t>。</w:t>
            </w:r>
          </w:p>
        </w:tc>
        <w:tc>
          <w:tcPr>
            <w:tcW w:w="666" w:type="dxa"/>
            <w:noWrap w:val="0"/>
            <w:vAlign w:val="center"/>
          </w:tcPr>
          <w:p>
            <w:pPr>
              <w:spacing w:line="240" w:lineRule="auto"/>
              <w:jc w:val="center"/>
              <w:rPr>
                <w:rFonts w:hint="default" w:ascii="宋体" w:hAnsi="宋体" w:eastAsia="宋体" w:cs="宋体"/>
                <w:kern w:val="2"/>
                <w:sz w:val="21"/>
                <w:szCs w:val="21"/>
                <w:lang w:val="en-US" w:eastAsia="zh-CN" w:bidi="ar-SA"/>
              </w:rPr>
            </w:pPr>
            <w:r>
              <w:rPr>
                <w:rFonts w:hint="eastAsia" w:cs="宋体"/>
                <w:sz w:val="21"/>
                <w:szCs w:val="21"/>
                <w:lang w:val="en-US" w:eastAsia="zh-CN"/>
              </w:rPr>
              <w:t>3分</w:t>
            </w:r>
          </w:p>
        </w:tc>
      </w:tr>
    </w:tbl>
    <w:p>
      <w:pPr>
        <w:keepNext w:val="0"/>
        <w:keepLines w:val="0"/>
        <w:pageBreakBefore w:val="0"/>
        <w:widowControl w:val="0"/>
        <w:kinsoku/>
        <w:wordWrap/>
        <w:overflowPunct/>
        <w:topLinePunct w:val="0"/>
        <w:autoSpaceDE/>
        <w:autoSpaceDN/>
        <w:bidi w:val="0"/>
        <w:adjustRightInd/>
        <w:snapToGrid w:val="0"/>
        <w:spacing w:line="42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2</w:t>
      </w:r>
      <w:r>
        <w:rPr>
          <w:rFonts w:hint="eastAsia" w:cs="宋体"/>
          <w:b/>
          <w:bCs/>
          <w:sz w:val="21"/>
          <w:szCs w:val="21"/>
          <w:lang w:val="en-US" w:eastAsia="zh-CN"/>
        </w:rPr>
        <w:t>.报价</w:t>
      </w:r>
      <w:r>
        <w:rPr>
          <w:rFonts w:hint="eastAsia" w:ascii="宋体" w:hAnsi="宋体" w:eastAsia="宋体" w:cs="宋体"/>
          <w:b/>
          <w:bCs/>
          <w:sz w:val="21"/>
          <w:szCs w:val="21"/>
        </w:rPr>
        <w:t>分（满分为30分）</w:t>
      </w:r>
    </w:p>
    <w:p>
      <w:pPr>
        <w:keepNext w:val="0"/>
        <w:keepLines w:val="0"/>
        <w:pageBreakBefore w:val="0"/>
        <w:widowControl w:val="0"/>
        <w:shd w:val="clear" w:color="auto" w:fill="FFFFFF"/>
        <w:kinsoku/>
        <w:wordWrap/>
        <w:overflowPunct/>
        <w:topLinePunct w:val="0"/>
        <w:autoSpaceDE/>
        <w:autoSpaceDN/>
        <w:bidi w:val="0"/>
        <w:adjustRightInd/>
        <w:spacing w:line="420" w:lineRule="exact"/>
        <w:ind w:firstLine="420" w:firstLineChars="200"/>
        <w:textAlignment w:val="auto"/>
        <w:rPr>
          <w:rFonts w:hint="eastAsia" w:ascii="宋体" w:hAnsi="宋体" w:eastAsia="宋体" w:cs="宋体"/>
          <w:bCs/>
          <w:color w:val="auto"/>
          <w:spacing w:val="-4"/>
          <w:sz w:val="21"/>
          <w:szCs w:val="21"/>
        </w:rPr>
      </w:pPr>
      <w:r>
        <w:rPr>
          <w:rFonts w:hint="eastAsia" w:cs="宋体"/>
          <w:color w:val="auto"/>
          <w:sz w:val="21"/>
          <w:szCs w:val="21"/>
          <w:lang w:val="en-US" w:eastAsia="zh-CN"/>
        </w:rPr>
        <w:t>报价文件</w:t>
      </w:r>
      <w:r>
        <w:rPr>
          <w:rFonts w:hint="eastAsia" w:ascii="宋体" w:hAnsi="宋体" w:eastAsia="宋体" w:cs="宋体"/>
          <w:color w:val="auto"/>
          <w:sz w:val="21"/>
          <w:szCs w:val="21"/>
        </w:rPr>
        <w:t>的开启：技术商务入围</w:t>
      </w:r>
      <w:r>
        <w:rPr>
          <w:rFonts w:hint="eastAsia" w:cs="宋体"/>
          <w:color w:val="auto"/>
          <w:sz w:val="21"/>
          <w:szCs w:val="21"/>
          <w:lang w:eastAsia="zh-CN"/>
        </w:rPr>
        <w:t>供应商</w:t>
      </w:r>
      <w:r>
        <w:rPr>
          <w:rFonts w:hint="eastAsia" w:ascii="宋体" w:hAnsi="宋体" w:eastAsia="宋体" w:cs="宋体"/>
          <w:color w:val="auto"/>
          <w:sz w:val="21"/>
          <w:szCs w:val="21"/>
        </w:rPr>
        <w:t>确定后，将开启合格</w:t>
      </w:r>
      <w:r>
        <w:rPr>
          <w:rFonts w:hint="eastAsia" w:cs="宋体"/>
          <w:color w:val="auto"/>
          <w:sz w:val="21"/>
          <w:szCs w:val="21"/>
          <w:lang w:eastAsia="zh-CN"/>
        </w:rPr>
        <w:t>供应商</w:t>
      </w:r>
      <w:r>
        <w:rPr>
          <w:rFonts w:hint="eastAsia" w:ascii="宋体" w:hAnsi="宋体" w:eastAsia="宋体" w:cs="宋体"/>
          <w:color w:val="auto"/>
          <w:sz w:val="21"/>
          <w:szCs w:val="21"/>
        </w:rPr>
        <w:t>的</w:t>
      </w:r>
      <w:r>
        <w:rPr>
          <w:rFonts w:hint="eastAsia" w:cs="宋体"/>
          <w:color w:val="auto"/>
          <w:sz w:val="21"/>
          <w:szCs w:val="21"/>
          <w:lang w:val="en-US" w:eastAsia="zh-CN"/>
        </w:rPr>
        <w:t>报价文件</w:t>
      </w:r>
      <w:r>
        <w:rPr>
          <w:rFonts w:hint="eastAsia" w:ascii="宋体" w:hAnsi="宋体" w:eastAsia="宋体" w:cs="宋体"/>
          <w:color w:val="auto"/>
          <w:sz w:val="21"/>
          <w:szCs w:val="21"/>
        </w:rPr>
        <w:t>，公开宣读并由</w:t>
      </w:r>
      <w:r>
        <w:rPr>
          <w:rFonts w:hint="eastAsia" w:cs="宋体"/>
          <w:color w:val="auto"/>
          <w:sz w:val="21"/>
          <w:szCs w:val="21"/>
          <w:lang w:eastAsia="zh-CN"/>
        </w:rPr>
        <w:t>供应商</w:t>
      </w:r>
      <w:r>
        <w:rPr>
          <w:rFonts w:hint="eastAsia" w:ascii="宋体" w:hAnsi="宋体" w:eastAsia="宋体" w:cs="宋体"/>
          <w:color w:val="auto"/>
          <w:sz w:val="21"/>
          <w:szCs w:val="21"/>
        </w:rPr>
        <w:t>确认。对没有合格的</w:t>
      </w:r>
      <w:r>
        <w:rPr>
          <w:rFonts w:hint="eastAsia" w:cs="宋体"/>
          <w:color w:val="auto"/>
          <w:sz w:val="21"/>
          <w:szCs w:val="21"/>
          <w:lang w:eastAsia="zh-CN"/>
        </w:rPr>
        <w:t>供应商</w:t>
      </w:r>
      <w:r>
        <w:rPr>
          <w:rFonts w:hint="eastAsia" w:cs="宋体"/>
          <w:color w:val="auto"/>
          <w:sz w:val="21"/>
          <w:szCs w:val="21"/>
          <w:lang w:val="en-US" w:eastAsia="zh-CN"/>
        </w:rPr>
        <w:t>报价文件</w:t>
      </w:r>
      <w:r>
        <w:rPr>
          <w:rFonts w:hint="eastAsia" w:ascii="宋体" w:hAnsi="宋体" w:eastAsia="宋体" w:cs="宋体"/>
          <w:color w:val="auto"/>
          <w:sz w:val="21"/>
          <w:szCs w:val="21"/>
        </w:rPr>
        <w:t>将不予开启。</w:t>
      </w:r>
      <w:r>
        <w:rPr>
          <w:rFonts w:hint="eastAsia" w:cs="宋体"/>
          <w:bCs/>
          <w:color w:val="auto"/>
          <w:spacing w:val="-4"/>
          <w:sz w:val="21"/>
          <w:szCs w:val="21"/>
          <w:lang w:val="en-US" w:eastAsia="zh-CN"/>
        </w:rPr>
        <w:t>报价</w:t>
      </w:r>
      <w:r>
        <w:rPr>
          <w:rFonts w:hint="eastAsia" w:ascii="宋体" w:hAnsi="宋体" w:eastAsia="宋体" w:cs="宋体"/>
          <w:bCs/>
          <w:color w:val="auto"/>
          <w:spacing w:val="-4"/>
          <w:sz w:val="21"/>
          <w:szCs w:val="21"/>
        </w:rPr>
        <w:t>分采用低价优先法计算，取所有有效</w:t>
      </w:r>
      <w:r>
        <w:rPr>
          <w:rFonts w:hint="eastAsia" w:cs="宋体"/>
          <w:bCs/>
          <w:color w:val="auto"/>
          <w:spacing w:val="-4"/>
          <w:sz w:val="21"/>
          <w:szCs w:val="21"/>
          <w:lang w:eastAsia="zh-CN"/>
        </w:rPr>
        <w:t>供应商</w:t>
      </w:r>
      <w:r>
        <w:rPr>
          <w:rFonts w:hint="eastAsia" w:ascii="宋体" w:hAnsi="宋体" w:eastAsia="宋体" w:cs="宋体"/>
          <w:bCs/>
          <w:color w:val="auto"/>
          <w:spacing w:val="-4"/>
          <w:sz w:val="21"/>
          <w:szCs w:val="21"/>
        </w:rPr>
        <w:t>中投标价格最低的投标报价</w:t>
      </w:r>
      <w:r>
        <w:rPr>
          <w:rFonts w:hint="eastAsia" w:ascii="宋体" w:hAnsi="宋体" w:eastAsia="宋体" w:cs="宋体"/>
          <w:color w:val="auto"/>
          <w:sz w:val="21"/>
          <w:szCs w:val="21"/>
        </w:rPr>
        <w:t>（或政策功能扣除后的评标价格）</w:t>
      </w:r>
      <w:r>
        <w:rPr>
          <w:rFonts w:hint="eastAsia" w:ascii="宋体" w:hAnsi="宋体" w:eastAsia="宋体" w:cs="宋体"/>
          <w:bCs/>
          <w:color w:val="auto"/>
          <w:spacing w:val="-4"/>
          <w:sz w:val="21"/>
          <w:szCs w:val="21"/>
        </w:rPr>
        <w:t>为评标基准价，其他</w:t>
      </w:r>
      <w:r>
        <w:rPr>
          <w:rFonts w:hint="eastAsia" w:cs="宋体"/>
          <w:bCs/>
          <w:color w:val="auto"/>
          <w:spacing w:val="-4"/>
          <w:sz w:val="21"/>
          <w:szCs w:val="21"/>
          <w:lang w:eastAsia="zh-CN"/>
        </w:rPr>
        <w:t>供应商</w:t>
      </w:r>
      <w:r>
        <w:rPr>
          <w:rFonts w:hint="eastAsia" w:ascii="宋体" w:hAnsi="宋体" w:eastAsia="宋体" w:cs="宋体"/>
          <w:bCs/>
          <w:color w:val="auto"/>
          <w:spacing w:val="-4"/>
          <w:sz w:val="21"/>
          <w:szCs w:val="21"/>
        </w:rPr>
        <w:t>的价格分按照下列公式计算：</w:t>
      </w:r>
    </w:p>
    <w:p>
      <w:pPr>
        <w:keepNext w:val="0"/>
        <w:keepLines w:val="0"/>
        <w:pageBreakBefore w:val="0"/>
        <w:widowControl w:val="0"/>
        <w:shd w:val="clear" w:color="auto" w:fill="FFFFFF"/>
        <w:kinsoku/>
        <w:wordWrap/>
        <w:overflowPunct/>
        <w:topLinePunct w:val="0"/>
        <w:autoSpaceDE/>
        <w:autoSpaceDN/>
        <w:bidi w:val="0"/>
        <w:adjustRightInd/>
        <w:spacing w:line="420" w:lineRule="exact"/>
        <w:ind w:firstLine="422" w:firstLineChars="200"/>
        <w:textAlignment w:val="auto"/>
        <w:rPr>
          <w:rFonts w:hint="eastAsia" w:ascii="宋体" w:hAnsi="宋体" w:eastAsia="宋体" w:cs="宋体"/>
          <w:b/>
          <w:bCs/>
          <w:color w:val="auto"/>
          <w:sz w:val="21"/>
          <w:szCs w:val="21"/>
          <w:highlight w:val="none"/>
        </w:rPr>
      </w:pPr>
      <w:r>
        <w:rPr>
          <w:rFonts w:hint="eastAsia" w:cs="宋体"/>
          <w:b/>
          <w:bCs/>
          <w:color w:val="auto"/>
          <w:sz w:val="21"/>
          <w:szCs w:val="21"/>
          <w:highlight w:val="none"/>
          <w:lang w:val="en-US" w:eastAsia="zh-CN"/>
        </w:rPr>
        <w:t>报价</w:t>
      </w:r>
      <w:r>
        <w:rPr>
          <w:rFonts w:hint="eastAsia" w:ascii="宋体" w:hAnsi="宋体" w:eastAsia="宋体" w:cs="宋体"/>
          <w:b/>
          <w:bCs/>
          <w:color w:val="auto"/>
          <w:sz w:val="21"/>
          <w:szCs w:val="21"/>
          <w:highlight w:val="none"/>
        </w:rPr>
        <w:t>分</w:t>
      </w:r>
      <w:r>
        <w:rPr>
          <w:rFonts w:hint="eastAsia" w:cs="宋体"/>
          <w:b/>
          <w:bCs/>
          <w:color w:val="auto"/>
          <w:sz w:val="21"/>
          <w:szCs w:val="21"/>
          <w:highlight w:val="none"/>
          <w:lang w:val="en-US" w:eastAsia="zh-CN"/>
        </w:rPr>
        <w:t>=</w:t>
      </w:r>
      <w:r>
        <w:rPr>
          <w:rFonts w:hint="eastAsia" w:ascii="宋体" w:hAnsi="宋体" w:eastAsia="宋体" w:cs="宋体"/>
          <w:b/>
          <w:bCs/>
          <w:color w:val="auto"/>
          <w:sz w:val="21"/>
          <w:szCs w:val="21"/>
          <w:highlight w:val="none"/>
        </w:rPr>
        <w:t>[评标基准价/投标报价]×</w:t>
      </w:r>
      <w:r>
        <w:rPr>
          <w:rFonts w:hint="eastAsia" w:ascii="宋体" w:hAnsi="宋体" w:eastAsia="宋体" w:cs="宋体"/>
          <w:b/>
          <w:bCs/>
          <w:color w:val="auto"/>
          <w:sz w:val="21"/>
          <w:szCs w:val="21"/>
          <w:highlight w:val="none"/>
          <w:lang w:val="en-US" w:eastAsia="zh-CN"/>
        </w:rPr>
        <w:t>30</w:t>
      </w:r>
      <w:r>
        <w:rPr>
          <w:rFonts w:hint="eastAsia" w:ascii="宋体" w:hAnsi="宋体" w:eastAsia="宋体" w:cs="宋体"/>
          <w:b/>
          <w:bCs/>
          <w:color w:val="auto"/>
          <w:sz w:val="21"/>
          <w:szCs w:val="21"/>
          <w:highlight w:val="none"/>
        </w:rPr>
        <w:t>%×100</w:t>
      </w:r>
    </w:p>
    <w:p>
      <w:pPr>
        <w:keepNext w:val="0"/>
        <w:keepLines w:val="0"/>
        <w:pageBreakBefore w:val="0"/>
        <w:widowControl w:val="0"/>
        <w:shd w:val="clear" w:color="auto" w:fill="FFFFFF"/>
        <w:kinsoku/>
        <w:wordWrap/>
        <w:overflowPunct/>
        <w:topLinePunct w:val="0"/>
        <w:autoSpaceDE/>
        <w:autoSpaceDN/>
        <w:bidi w:val="0"/>
        <w:adjustRightInd/>
        <w:spacing w:line="420" w:lineRule="exact"/>
        <w:ind w:firstLine="422" w:firstLineChars="200"/>
        <w:textAlignment w:val="auto"/>
        <w:rPr>
          <w:rFonts w:hint="eastAsia" w:ascii="宋体" w:hAnsi="宋体" w:eastAsia="宋体" w:cs="宋体"/>
          <w:b/>
          <w:bCs/>
          <w:color w:val="auto"/>
          <w:sz w:val="21"/>
          <w:szCs w:val="21"/>
          <w:highlight w:val="none"/>
          <w:lang w:eastAsia="zh-CN"/>
        </w:rPr>
      </w:pPr>
      <w:r>
        <w:rPr>
          <w:rFonts w:hint="eastAsia" w:cs="宋体"/>
          <w:b/>
          <w:bCs/>
          <w:color w:val="auto"/>
          <w:sz w:val="21"/>
          <w:szCs w:val="21"/>
          <w:highlight w:val="none"/>
          <w:lang w:eastAsia="zh-CN"/>
        </w:rPr>
        <w:t>本项目专门面向中小企业统一不再给予价格优惠扣除。</w:t>
      </w:r>
    </w:p>
    <w:p>
      <w:pPr>
        <w:keepNext w:val="0"/>
        <w:keepLines w:val="0"/>
        <w:pageBreakBefore w:val="0"/>
        <w:widowControl w:val="0"/>
        <w:shd w:val="clear" w:color="auto" w:fill="FFFFFF"/>
        <w:kinsoku/>
        <w:wordWrap/>
        <w:overflowPunct/>
        <w:topLinePunct w:val="0"/>
        <w:autoSpaceDE/>
        <w:autoSpaceDN/>
        <w:bidi w:val="0"/>
        <w:adjustRightInd/>
        <w:spacing w:line="420" w:lineRule="exact"/>
        <w:ind w:firstLine="422" w:firstLineChars="200"/>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lang w:eastAsia="zh-CN"/>
        </w:rPr>
        <w:t>注：</w:t>
      </w:r>
      <w:r>
        <w:rPr>
          <w:rFonts w:hint="eastAsia" w:ascii="宋体" w:hAnsi="宋体" w:eastAsia="宋体" w:cs="宋体"/>
          <w:b/>
          <w:bCs/>
          <w:color w:val="auto"/>
          <w:sz w:val="21"/>
          <w:szCs w:val="21"/>
        </w:rPr>
        <w:t>根据《中华人民共和国财政部令第 87 号》第六十条规定：“评标委员会认为</w:t>
      </w:r>
      <w:r>
        <w:rPr>
          <w:rFonts w:hint="eastAsia" w:cs="宋体"/>
          <w:b/>
          <w:bCs/>
          <w:color w:val="auto"/>
          <w:sz w:val="21"/>
          <w:szCs w:val="21"/>
          <w:lang w:eastAsia="zh-CN"/>
        </w:rPr>
        <w:t>供应商</w:t>
      </w:r>
      <w:r>
        <w:rPr>
          <w:rFonts w:hint="eastAsia" w:ascii="宋体" w:hAnsi="宋体" w:eastAsia="宋体" w:cs="宋体"/>
          <w:b/>
          <w:bCs/>
          <w:color w:val="auto"/>
          <w:sz w:val="21"/>
          <w:szCs w:val="21"/>
        </w:rPr>
        <w:t>的报价明显低于其他通过符合性审查</w:t>
      </w:r>
      <w:r>
        <w:rPr>
          <w:rFonts w:hint="eastAsia" w:cs="宋体"/>
          <w:b/>
          <w:bCs/>
          <w:color w:val="auto"/>
          <w:sz w:val="21"/>
          <w:szCs w:val="21"/>
          <w:lang w:eastAsia="zh-CN"/>
        </w:rPr>
        <w:t>供应商</w:t>
      </w:r>
      <w:r>
        <w:rPr>
          <w:rFonts w:hint="eastAsia" w:ascii="宋体" w:hAnsi="宋体" w:eastAsia="宋体" w:cs="宋体"/>
          <w:b/>
          <w:bCs/>
          <w:color w:val="auto"/>
          <w:sz w:val="21"/>
          <w:szCs w:val="21"/>
        </w:rPr>
        <w:t>的报价，有可能影响产品质量或者不能诚信履约的，应当要求其在评标现场合理的时间内提供书面说明，必要时提交相关证明材料；</w:t>
      </w:r>
      <w:r>
        <w:rPr>
          <w:rFonts w:hint="eastAsia" w:cs="宋体"/>
          <w:b/>
          <w:bCs/>
          <w:color w:val="auto"/>
          <w:sz w:val="21"/>
          <w:szCs w:val="21"/>
          <w:lang w:eastAsia="zh-CN"/>
        </w:rPr>
        <w:t>供应商</w:t>
      </w:r>
      <w:r>
        <w:rPr>
          <w:rFonts w:hint="eastAsia" w:ascii="宋体" w:hAnsi="宋体" w:eastAsia="宋体" w:cs="宋体"/>
          <w:b/>
          <w:bCs/>
          <w:color w:val="auto"/>
          <w:sz w:val="21"/>
          <w:szCs w:val="21"/>
        </w:rPr>
        <w:t>不能证明其报价合理性的，评标委员会应当将其作为无效投标处理”。</w:t>
      </w:r>
    </w:p>
    <w:p>
      <w:pPr>
        <w:keepNext w:val="0"/>
        <w:keepLines w:val="0"/>
        <w:pageBreakBefore w:val="0"/>
        <w:widowControl w:val="0"/>
        <w:shd w:val="clear" w:color="auto" w:fill="FFFFFF"/>
        <w:kinsoku/>
        <w:wordWrap/>
        <w:overflowPunct/>
        <w:topLinePunct w:val="0"/>
        <w:autoSpaceDE/>
        <w:autoSpaceDN/>
        <w:bidi w:val="0"/>
        <w:adjustRightInd/>
        <w:spacing w:line="420" w:lineRule="exact"/>
        <w:ind w:firstLine="422" w:firstLineChars="200"/>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rPr>
        <w:t>（二）总分计算方法（满分为100分）</w:t>
      </w:r>
    </w:p>
    <w:p>
      <w:pPr>
        <w:keepNext w:val="0"/>
        <w:keepLines w:val="0"/>
        <w:pageBreakBefore w:val="0"/>
        <w:widowControl w:val="0"/>
        <w:kinsoku/>
        <w:wordWrap/>
        <w:overflowPunct/>
        <w:topLinePunct w:val="0"/>
        <w:autoSpaceDE/>
        <w:autoSpaceDN/>
        <w:bidi w:val="0"/>
        <w:adjustRightInd/>
        <w:spacing w:line="420" w:lineRule="exact"/>
        <w:ind w:firstLine="420" w:firstLineChars="200"/>
        <w:textAlignment w:val="auto"/>
        <w:rPr>
          <w:rFonts w:hint="eastAsia" w:eastAsia="宋体"/>
          <w:lang w:eastAsia="zh-CN"/>
        </w:rPr>
      </w:pPr>
      <w:r>
        <w:rPr>
          <w:rFonts w:hint="eastAsia" w:ascii="宋体" w:hAnsi="宋体" w:eastAsia="宋体" w:cs="宋体"/>
          <w:color w:val="auto"/>
          <w:sz w:val="21"/>
          <w:szCs w:val="21"/>
        </w:rPr>
        <w:t>计算公式：</w:t>
      </w:r>
      <w:r>
        <w:rPr>
          <w:rFonts w:hint="eastAsia" w:cs="宋体"/>
          <w:color w:val="auto"/>
          <w:sz w:val="21"/>
          <w:szCs w:val="21"/>
          <w:lang w:eastAsia="zh-CN"/>
        </w:rPr>
        <w:t>供应商</w:t>
      </w:r>
      <w:r>
        <w:rPr>
          <w:rFonts w:hint="eastAsia" w:ascii="宋体" w:hAnsi="宋体" w:eastAsia="宋体" w:cs="宋体"/>
          <w:color w:val="auto"/>
          <w:sz w:val="21"/>
          <w:szCs w:val="21"/>
        </w:rPr>
        <w:t>的最终得分=技术商务得分+</w:t>
      </w:r>
      <w:r>
        <w:rPr>
          <w:rFonts w:hint="eastAsia" w:cs="宋体"/>
          <w:color w:val="auto"/>
          <w:sz w:val="21"/>
          <w:szCs w:val="21"/>
          <w:lang w:val="en-US" w:eastAsia="zh-CN"/>
        </w:rPr>
        <w:t>报价</w:t>
      </w:r>
      <w:r>
        <w:rPr>
          <w:rFonts w:hint="eastAsia" w:ascii="宋体" w:hAnsi="宋体" w:eastAsia="宋体" w:cs="宋体"/>
          <w:color w:val="auto"/>
          <w:sz w:val="21"/>
          <w:szCs w:val="21"/>
        </w:rPr>
        <w:t>得分（所有分值四舍五入，保留到小数点后2位</w:t>
      </w:r>
      <w:r>
        <w:rPr>
          <w:rFonts w:hint="eastAsia" w:cs="宋体"/>
          <w:color w:val="auto"/>
          <w:sz w:val="21"/>
          <w:szCs w:val="21"/>
          <w:lang w:eastAsia="zh-CN"/>
        </w:rPr>
        <w:t>。）</w:t>
      </w:r>
    </w:p>
    <w:p>
      <w:pPr>
        <w:numPr>
          <w:ilvl w:val="0"/>
          <w:numId w:val="0"/>
        </w:numPr>
        <w:spacing w:line="420" w:lineRule="exact"/>
        <w:ind w:firstLine="422" w:firstLineChars="200"/>
        <w:rPr>
          <w:rFonts w:hint="eastAsia" w:ascii="宋体" w:hAnsi="宋体" w:eastAsia="宋体" w:cs="宋体"/>
          <w:b/>
          <w:bCs/>
          <w:color w:val="auto"/>
          <w:sz w:val="21"/>
          <w:szCs w:val="21"/>
        </w:rPr>
      </w:pPr>
      <w:r>
        <w:rPr>
          <w:rFonts w:hint="eastAsia" w:cs="宋体"/>
          <w:b/>
          <w:bCs/>
          <w:color w:val="auto"/>
          <w:sz w:val="21"/>
          <w:szCs w:val="21"/>
          <w:lang w:val="en-US" w:eastAsia="zh-CN"/>
        </w:rPr>
        <w:t>三、</w:t>
      </w:r>
      <w:r>
        <w:rPr>
          <w:rFonts w:hint="eastAsia" w:ascii="宋体" w:hAnsi="宋体" w:eastAsia="宋体" w:cs="宋体"/>
          <w:b/>
          <w:bCs/>
          <w:color w:val="auto"/>
          <w:sz w:val="21"/>
          <w:szCs w:val="21"/>
        </w:rPr>
        <w:t>确定预中标单位</w:t>
      </w:r>
    </w:p>
    <w:p>
      <w:pPr>
        <w:numPr>
          <w:ilvl w:val="0"/>
          <w:numId w:val="0"/>
        </w:numPr>
        <w:spacing w:line="420" w:lineRule="exact"/>
        <w:ind w:firstLine="420" w:firstLineChars="200"/>
        <w:rPr>
          <w:rFonts w:ascii="宋体" w:hAnsi="宋体"/>
          <w:sz w:val="24"/>
          <w:szCs w:val="24"/>
        </w:rPr>
      </w:pPr>
      <w:r>
        <w:rPr>
          <w:rFonts w:hint="eastAsia" w:ascii="宋体" w:hAnsi="宋体" w:eastAsia="宋体" w:cs="宋体"/>
          <w:color w:val="auto"/>
          <w:sz w:val="21"/>
          <w:szCs w:val="21"/>
        </w:rPr>
        <w:t>以综合得分最高者为中标单位；综合得分相同时则报价低者优先；综合得分、报价均相同时由评标委员会综合评议确定。</w:t>
      </w:r>
    </w:p>
    <w:p>
      <w:pPr>
        <w:numPr>
          <w:ilvl w:val="0"/>
          <w:numId w:val="0"/>
        </w:numPr>
        <w:spacing w:line="420" w:lineRule="exact"/>
        <w:ind w:firstLine="422" w:firstLineChars="200"/>
        <w:rPr>
          <w:rFonts w:hint="eastAsia" w:ascii="宋体" w:hAnsi="宋体" w:eastAsia="宋体" w:cs="宋体"/>
          <w:b/>
          <w:bCs/>
          <w:color w:val="auto"/>
          <w:sz w:val="21"/>
          <w:szCs w:val="21"/>
        </w:rPr>
      </w:pPr>
      <w:r>
        <w:rPr>
          <w:rFonts w:hint="eastAsia" w:hAnsi="宋体" w:cs="宋体"/>
          <w:b/>
          <w:bCs/>
          <w:color w:val="auto"/>
          <w:kern w:val="2"/>
          <w:sz w:val="21"/>
          <w:szCs w:val="21"/>
          <w:lang w:val="en-US" w:eastAsia="zh-CN" w:bidi="ar-SA"/>
        </w:rPr>
        <w:t>四</w:t>
      </w:r>
      <w:r>
        <w:rPr>
          <w:rFonts w:hint="eastAsia" w:ascii="宋体" w:hAnsi="宋体" w:eastAsia="宋体" w:cs="宋体"/>
          <w:b/>
          <w:bCs/>
          <w:color w:val="auto"/>
          <w:kern w:val="2"/>
          <w:sz w:val="21"/>
          <w:szCs w:val="21"/>
          <w:lang w:val="en-US" w:eastAsia="zh-CN" w:bidi="ar-SA"/>
        </w:rPr>
        <w:t>、</w:t>
      </w:r>
      <w:r>
        <w:rPr>
          <w:rFonts w:hint="eastAsia" w:ascii="宋体" w:hAnsi="宋体" w:eastAsia="宋体" w:cs="宋体"/>
          <w:b/>
          <w:bCs/>
          <w:color w:val="auto"/>
          <w:sz w:val="21"/>
          <w:szCs w:val="21"/>
        </w:rPr>
        <w:t>评审纪律和要求</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一</w:t>
      </w:r>
      <w:r>
        <w:rPr>
          <w:rFonts w:hint="eastAsia" w:cs="宋体"/>
          <w:color w:val="auto"/>
          <w:sz w:val="21"/>
          <w:szCs w:val="21"/>
          <w:lang w:eastAsia="zh-CN"/>
        </w:rPr>
        <w:t>）</w:t>
      </w:r>
      <w:r>
        <w:rPr>
          <w:rFonts w:hint="eastAsia" w:ascii="宋体" w:hAnsi="宋体" w:eastAsia="宋体" w:cs="宋体"/>
          <w:color w:val="auto"/>
          <w:sz w:val="21"/>
          <w:szCs w:val="21"/>
        </w:rPr>
        <w:t>评审专家必须公平、公正评审，遵纪守法，客观、廉洁地履行职责。</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二</w:t>
      </w:r>
      <w:r>
        <w:rPr>
          <w:rFonts w:hint="eastAsia" w:cs="宋体"/>
          <w:color w:val="auto"/>
          <w:sz w:val="21"/>
          <w:szCs w:val="21"/>
          <w:lang w:eastAsia="zh-CN"/>
        </w:rPr>
        <w:t>）</w:t>
      </w:r>
      <w:r>
        <w:rPr>
          <w:rFonts w:hint="eastAsia" w:ascii="宋体" w:hAnsi="宋体" w:eastAsia="宋体" w:cs="宋体"/>
          <w:color w:val="auto"/>
          <w:sz w:val="21"/>
          <w:szCs w:val="21"/>
        </w:rPr>
        <w:t>评审专家在评审开始前，应关闭并上交随身携带的各种通信工具。</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三</w:t>
      </w:r>
      <w:r>
        <w:rPr>
          <w:rFonts w:hint="eastAsia" w:cs="宋体"/>
          <w:color w:val="auto"/>
          <w:sz w:val="21"/>
          <w:szCs w:val="21"/>
          <w:lang w:eastAsia="zh-CN"/>
        </w:rPr>
        <w:t>）</w:t>
      </w:r>
      <w:r>
        <w:rPr>
          <w:rFonts w:hint="eastAsia" w:ascii="宋体" w:hAnsi="宋体" w:eastAsia="宋体" w:cs="宋体"/>
          <w:color w:val="auto"/>
          <w:sz w:val="21"/>
          <w:szCs w:val="21"/>
        </w:rPr>
        <w:t>评审专家在评审过程中，未经许可不得中途离开评审现场，不得迟到早退。</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四</w:t>
      </w:r>
      <w:r>
        <w:rPr>
          <w:rFonts w:hint="eastAsia" w:cs="宋体"/>
          <w:color w:val="auto"/>
          <w:sz w:val="21"/>
          <w:szCs w:val="21"/>
          <w:lang w:eastAsia="zh-CN"/>
        </w:rPr>
        <w:t>）</w:t>
      </w:r>
      <w:r>
        <w:rPr>
          <w:rFonts w:hint="eastAsia" w:ascii="宋体" w:hAnsi="宋体" w:eastAsia="宋体" w:cs="宋体"/>
          <w:color w:val="auto"/>
          <w:sz w:val="21"/>
          <w:szCs w:val="21"/>
        </w:rPr>
        <w:t>评审专家和工作人员不得透露评审过程中的讨论情况和评审结果。</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五</w:t>
      </w:r>
      <w:r>
        <w:rPr>
          <w:rFonts w:hint="eastAsia" w:cs="宋体"/>
          <w:color w:val="auto"/>
          <w:sz w:val="21"/>
          <w:szCs w:val="21"/>
          <w:lang w:eastAsia="zh-CN"/>
        </w:rPr>
        <w:t>）</w:t>
      </w:r>
      <w:r>
        <w:rPr>
          <w:rFonts w:hint="eastAsia" w:ascii="宋体" w:hAnsi="宋体" w:eastAsia="宋体" w:cs="宋体"/>
          <w:color w:val="auto"/>
          <w:sz w:val="21"/>
          <w:szCs w:val="21"/>
        </w:rPr>
        <w:t>评审时，评审专家须按招标文件规定的程序、条件和标准，对</w:t>
      </w:r>
      <w:r>
        <w:rPr>
          <w:rFonts w:hint="eastAsia" w:cs="宋体"/>
          <w:color w:val="auto"/>
          <w:sz w:val="21"/>
          <w:szCs w:val="21"/>
          <w:lang w:eastAsia="zh-CN"/>
        </w:rPr>
        <w:t>供应商</w:t>
      </w:r>
      <w:r>
        <w:rPr>
          <w:rFonts w:hint="eastAsia" w:ascii="宋体" w:hAnsi="宋体" w:eastAsia="宋体" w:cs="宋体"/>
          <w:color w:val="auto"/>
          <w:sz w:val="21"/>
          <w:szCs w:val="21"/>
        </w:rPr>
        <w:t>投标文件的合规性、完整性和有效性进行审查、比较和评估，其中对</w:t>
      </w:r>
      <w:r>
        <w:rPr>
          <w:rFonts w:hint="eastAsia" w:cs="宋体"/>
          <w:color w:val="auto"/>
          <w:sz w:val="21"/>
          <w:szCs w:val="21"/>
          <w:lang w:eastAsia="zh-CN"/>
        </w:rPr>
        <w:t>供应商</w:t>
      </w:r>
      <w:r>
        <w:rPr>
          <w:rFonts w:hint="eastAsia" w:ascii="宋体" w:hAnsi="宋体" w:eastAsia="宋体" w:cs="宋体"/>
          <w:color w:val="auto"/>
          <w:sz w:val="21"/>
          <w:szCs w:val="21"/>
        </w:rPr>
        <w:t>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w:t>
      </w:r>
      <w:r>
        <w:rPr>
          <w:rFonts w:hint="eastAsia" w:cs="宋体"/>
          <w:color w:val="auto"/>
          <w:sz w:val="21"/>
          <w:szCs w:val="21"/>
          <w:lang w:eastAsia="zh-CN"/>
        </w:rPr>
        <w:t>供应商</w:t>
      </w:r>
      <w:r>
        <w:rPr>
          <w:rFonts w:hint="eastAsia" w:ascii="宋体" w:hAnsi="宋体" w:eastAsia="宋体" w:cs="宋体"/>
          <w:color w:val="auto"/>
          <w:sz w:val="21"/>
          <w:szCs w:val="21"/>
        </w:rPr>
        <w:t>，并允许</w:t>
      </w:r>
      <w:r>
        <w:rPr>
          <w:rFonts w:hint="eastAsia" w:cs="宋体"/>
          <w:color w:val="auto"/>
          <w:sz w:val="21"/>
          <w:szCs w:val="21"/>
          <w:lang w:eastAsia="zh-CN"/>
        </w:rPr>
        <w:t>供应商</w:t>
      </w:r>
      <w:r>
        <w:rPr>
          <w:rFonts w:hint="eastAsia" w:ascii="宋体" w:hAnsi="宋体" w:eastAsia="宋体" w:cs="宋体"/>
          <w:color w:val="auto"/>
          <w:sz w:val="21"/>
          <w:szCs w:val="21"/>
        </w:rPr>
        <w:t>进行陈述申辩，但不允许其对偏离条款进行补充、修正或撤回。</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六</w:t>
      </w:r>
      <w:r>
        <w:rPr>
          <w:rFonts w:hint="eastAsia" w:cs="宋体"/>
          <w:color w:val="auto"/>
          <w:sz w:val="21"/>
          <w:szCs w:val="21"/>
          <w:lang w:eastAsia="zh-CN"/>
        </w:rPr>
        <w:t>）</w:t>
      </w:r>
      <w:r>
        <w:rPr>
          <w:rFonts w:hint="eastAsia" w:ascii="宋体" w:hAnsi="宋体" w:eastAsia="宋体" w:cs="宋体"/>
          <w:color w:val="auto"/>
          <w:sz w:val="21"/>
          <w:szCs w:val="21"/>
        </w:rPr>
        <w:t>采购人、采购代理机构不得向评审委员会的评审专家作倾向性、误导性的解释或者说明。</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七</w:t>
      </w:r>
      <w:r>
        <w:rPr>
          <w:rFonts w:hint="eastAsia" w:cs="宋体"/>
          <w:color w:val="auto"/>
          <w:sz w:val="21"/>
          <w:szCs w:val="21"/>
          <w:lang w:eastAsia="zh-CN"/>
        </w:rPr>
        <w:t>）</w:t>
      </w:r>
      <w:r>
        <w:rPr>
          <w:rFonts w:hint="eastAsia" w:ascii="宋体" w:hAnsi="宋体" w:eastAsia="宋体" w:cs="宋体"/>
          <w:color w:val="auto"/>
          <w:sz w:val="21"/>
          <w:szCs w:val="21"/>
        </w:rPr>
        <w:t>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八</w:t>
      </w:r>
      <w:r>
        <w:rPr>
          <w:rFonts w:hint="eastAsia" w:cs="宋体"/>
          <w:color w:val="auto"/>
          <w:sz w:val="21"/>
          <w:szCs w:val="21"/>
          <w:lang w:eastAsia="zh-CN"/>
        </w:rPr>
        <w:t>）</w:t>
      </w:r>
      <w:r>
        <w:rPr>
          <w:rFonts w:hint="eastAsia" w:ascii="宋体" w:hAnsi="宋体" w:eastAsia="宋体" w:cs="宋体"/>
          <w:color w:val="auto"/>
          <w:sz w:val="21"/>
          <w:szCs w:val="21"/>
        </w:rPr>
        <w:t>评审专家在评审过程中不得将自己的观点强加给其他评审专家，评审专家应自主发表见解，对评审意见承担个人责任。</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九</w:t>
      </w:r>
      <w:r>
        <w:rPr>
          <w:rFonts w:hint="eastAsia" w:cs="宋体"/>
          <w:color w:val="auto"/>
          <w:sz w:val="21"/>
          <w:szCs w:val="21"/>
          <w:lang w:eastAsia="zh-CN"/>
        </w:rPr>
        <w:t>）</w:t>
      </w:r>
      <w:r>
        <w:rPr>
          <w:rFonts w:hint="eastAsia" w:ascii="宋体" w:hAnsi="宋体" w:eastAsia="宋体" w:cs="宋体"/>
          <w:color w:val="auto"/>
          <w:sz w:val="21"/>
          <w:szCs w:val="21"/>
        </w:rPr>
        <w:t>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w:t>
      </w:r>
      <w:r>
        <w:rPr>
          <w:rFonts w:hint="eastAsia" w:cs="宋体"/>
          <w:color w:val="auto"/>
          <w:sz w:val="21"/>
          <w:szCs w:val="21"/>
          <w:lang w:eastAsia="zh-CN"/>
        </w:rPr>
        <w:t>供应商</w:t>
      </w:r>
      <w:r>
        <w:rPr>
          <w:rFonts w:hint="eastAsia" w:ascii="宋体" w:hAnsi="宋体" w:eastAsia="宋体" w:cs="宋体"/>
          <w:color w:val="auto"/>
          <w:sz w:val="21"/>
          <w:szCs w:val="21"/>
        </w:rPr>
        <w:t>报价为最高报价的，评审报告中须对其报价的合理性等进行分析和特别说明。</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十</w:t>
      </w:r>
      <w:r>
        <w:rPr>
          <w:rFonts w:hint="eastAsia" w:cs="宋体"/>
          <w:color w:val="auto"/>
          <w:sz w:val="21"/>
          <w:szCs w:val="21"/>
          <w:lang w:eastAsia="zh-CN"/>
        </w:rPr>
        <w:t>）</w:t>
      </w:r>
      <w:r>
        <w:rPr>
          <w:rFonts w:hint="eastAsia" w:ascii="宋体" w:hAnsi="宋体" w:eastAsia="宋体" w:cs="宋体"/>
          <w:color w:val="auto"/>
          <w:sz w:val="21"/>
          <w:szCs w:val="21"/>
        </w:rPr>
        <w:t>评审专家应当独立、客观、公正地提出评审意见，不得带有倾向性，不得影响其他评审专家评审，并在评审报告上签字；如对评审报告有异议的，可在报告上签署不同意见，并说明理由，否则将视为同意。</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十一</w:t>
      </w:r>
      <w:r>
        <w:rPr>
          <w:rFonts w:hint="eastAsia" w:cs="宋体"/>
          <w:color w:val="auto"/>
          <w:sz w:val="21"/>
          <w:szCs w:val="21"/>
          <w:lang w:eastAsia="zh-CN"/>
        </w:rPr>
        <w:t>）</w:t>
      </w:r>
      <w:r>
        <w:rPr>
          <w:rFonts w:hint="eastAsia" w:ascii="宋体" w:hAnsi="宋体" w:eastAsia="宋体" w:cs="宋体"/>
          <w:color w:val="auto"/>
          <w:sz w:val="21"/>
          <w:szCs w:val="21"/>
        </w:rPr>
        <w:t>评审专家应当遵守评审工作纪律，不得泄露评审文件、评审情况和评审中获悉的商业秘密。</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评审委员会在评审过程中发现</w:t>
      </w:r>
      <w:r>
        <w:rPr>
          <w:rFonts w:hint="eastAsia" w:cs="宋体"/>
          <w:color w:val="auto"/>
          <w:sz w:val="21"/>
          <w:szCs w:val="21"/>
          <w:lang w:eastAsia="zh-CN"/>
        </w:rPr>
        <w:t>供应商</w:t>
      </w:r>
      <w:r>
        <w:rPr>
          <w:rFonts w:hint="eastAsia" w:ascii="宋体" w:hAnsi="宋体" w:eastAsia="宋体" w:cs="宋体"/>
          <w:color w:val="auto"/>
          <w:sz w:val="21"/>
          <w:szCs w:val="21"/>
        </w:rPr>
        <w:t>有行贿、提供虚假材料或者串通等违法行为的，应当及时向财政部门报告。</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十二</w:t>
      </w:r>
      <w:r>
        <w:rPr>
          <w:rFonts w:hint="eastAsia" w:cs="宋体"/>
          <w:color w:val="auto"/>
          <w:sz w:val="21"/>
          <w:szCs w:val="21"/>
          <w:lang w:eastAsia="zh-CN"/>
        </w:rPr>
        <w:t>）</w:t>
      </w:r>
      <w:r>
        <w:rPr>
          <w:rFonts w:hint="eastAsia" w:ascii="宋体" w:hAnsi="宋体" w:eastAsia="宋体" w:cs="宋体"/>
          <w:color w:val="auto"/>
          <w:sz w:val="21"/>
          <w:szCs w:val="21"/>
        </w:rPr>
        <w:t>招标文件内容违反国家有关强制性规定的，评审委员会应当停止评审并向采购代理机构说明情况。</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十三</w:t>
      </w:r>
      <w:r>
        <w:rPr>
          <w:rFonts w:hint="eastAsia" w:cs="宋体"/>
          <w:color w:val="auto"/>
          <w:sz w:val="21"/>
          <w:szCs w:val="21"/>
          <w:lang w:eastAsia="zh-CN"/>
        </w:rPr>
        <w:t>）</w:t>
      </w:r>
      <w:r>
        <w:rPr>
          <w:rFonts w:hint="eastAsia" w:ascii="宋体" w:hAnsi="宋体" w:eastAsia="宋体" w:cs="宋体"/>
          <w:color w:val="auto"/>
          <w:sz w:val="21"/>
          <w:szCs w:val="21"/>
        </w:rPr>
        <w:t>评审专家应当配合采购代理机构答复</w:t>
      </w:r>
      <w:r>
        <w:rPr>
          <w:rFonts w:hint="eastAsia" w:cs="宋体"/>
          <w:color w:val="auto"/>
          <w:sz w:val="21"/>
          <w:szCs w:val="21"/>
          <w:lang w:eastAsia="zh-CN"/>
        </w:rPr>
        <w:t>供应商</w:t>
      </w:r>
      <w:r>
        <w:rPr>
          <w:rFonts w:hint="eastAsia" w:ascii="宋体" w:hAnsi="宋体" w:eastAsia="宋体" w:cs="宋体"/>
          <w:color w:val="auto"/>
          <w:sz w:val="21"/>
          <w:szCs w:val="21"/>
        </w:rPr>
        <w:t>提出的质疑。</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十四</w:t>
      </w:r>
      <w:r>
        <w:rPr>
          <w:rFonts w:hint="eastAsia" w:cs="宋体"/>
          <w:color w:val="auto"/>
          <w:sz w:val="21"/>
          <w:szCs w:val="21"/>
          <w:lang w:eastAsia="zh-CN"/>
        </w:rPr>
        <w:t>）</w:t>
      </w:r>
      <w:r>
        <w:rPr>
          <w:rFonts w:hint="eastAsia" w:ascii="宋体" w:hAnsi="宋体" w:eastAsia="宋体" w:cs="宋体"/>
          <w:color w:val="auto"/>
          <w:sz w:val="21"/>
          <w:szCs w:val="21"/>
        </w:rPr>
        <w:t>评审专家应当配合财政部门的投诉处理工作。</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十五</w:t>
      </w:r>
      <w:r>
        <w:rPr>
          <w:rFonts w:hint="eastAsia" w:cs="宋体"/>
          <w:color w:val="auto"/>
          <w:sz w:val="21"/>
          <w:szCs w:val="21"/>
          <w:lang w:eastAsia="zh-CN"/>
        </w:rPr>
        <w:t>）</w:t>
      </w:r>
      <w:r>
        <w:rPr>
          <w:rFonts w:hint="eastAsia" w:ascii="宋体" w:hAnsi="宋体" w:eastAsia="宋体" w:cs="宋体"/>
          <w:color w:val="auto"/>
          <w:sz w:val="21"/>
          <w:szCs w:val="21"/>
        </w:rPr>
        <w:t>评审专家有如下行为之一的，责令改正，给予警告，可以并处一千元以下的罚款：</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val="en-US" w:eastAsia="zh-CN"/>
        </w:rPr>
        <w:t>1.</w:t>
      </w:r>
      <w:r>
        <w:rPr>
          <w:rFonts w:hint="eastAsia" w:ascii="宋体" w:hAnsi="宋体" w:eastAsia="宋体" w:cs="宋体"/>
          <w:color w:val="auto"/>
          <w:sz w:val="21"/>
          <w:szCs w:val="21"/>
        </w:rPr>
        <w:t>明知应当回避而未主动回避的；</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val="en-US" w:eastAsia="zh-CN"/>
        </w:rPr>
        <w:t>2.</w:t>
      </w:r>
      <w:r>
        <w:rPr>
          <w:rFonts w:hint="eastAsia" w:ascii="宋体" w:hAnsi="宋体" w:eastAsia="宋体" w:cs="宋体"/>
          <w:color w:val="auto"/>
          <w:sz w:val="21"/>
          <w:szCs w:val="21"/>
        </w:rPr>
        <w:t>在得知自己为评审专家身份后至评审结束前时段内私下接触</w:t>
      </w:r>
      <w:r>
        <w:rPr>
          <w:rFonts w:hint="eastAsia" w:cs="宋体"/>
          <w:color w:val="auto"/>
          <w:sz w:val="21"/>
          <w:szCs w:val="21"/>
          <w:lang w:eastAsia="zh-CN"/>
        </w:rPr>
        <w:t>供应商</w:t>
      </w:r>
      <w:r>
        <w:rPr>
          <w:rFonts w:hint="eastAsia" w:ascii="宋体" w:hAnsi="宋体" w:eastAsia="宋体" w:cs="宋体"/>
          <w:color w:val="auto"/>
          <w:sz w:val="21"/>
          <w:szCs w:val="21"/>
        </w:rPr>
        <w:t>的；</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val="en-US" w:eastAsia="zh-CN"/>
        </w:rPr>
        <w:t>3.</w:t>
      </w:r>
      <w:r>
        <w:rPr>
          <w:rFonts w:hint="eastAsia" w:ascii="宋体" w:hAnsi="宋体" w:eastAsia="宋体" w:cs="宋体"/>
          <w:color w:val="auto"/>
          <w:sz w:val="21"/>
          <w:szCs w:val="21"/>
        </w:rPr>
        <w:t>在评审过程中擅离职守，影响评审程序正常进行的；</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val="en-US" w:eastAsia="zh-CN"/>
        </w:rPr>
        <w:t>4.</w:t>
      </w:r>
      <w:r>
        <w:rPr>
          <w:rFonts w:hint="eastAsia" w:ascii="宋体" w:hAnsi="宋体" w:eastAsia="宋体" w:cs="宋体"/>
          <w:color w:val="auto"/>
          <w:sz w:val="21"/>
          <w:szCs w:val="21"/>
        </w:rPr>
        <w:t>在评审过程有明显不合理或者不正当倾向性的；</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val="en-US" w:eastAsia="zh-CN"/>
        </w:rPr>
        <w:t>5.</w:t>
      </w:r>
      <w:r>
        <w:rPr>
          <w:rFonts w:hint="eastAsia" w:ascii="宋体" w:hAnsi="宋体" w:eastAsia="宋体" w:cs="宋体"/>
          <w:color w:val="auto"/>
          <w:sz w:val="21"/>
          <w:szCs w:val="21"/>
        </w:rPr>
        <w:t>未按招标文件规定的评审方法和标准进行评审的。</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val="en-US" w:eastAsia="zh-CN"/>
        </w:rPr>
        <w:t>6.</w:t>
      </w:r>
      <w:r>
        <w:rPr>
          <w:rFonts w:hint="eastAsia" w:ascii="宋体" w:hAnsi="宋体" w:eastAsia="宋体" w:cs="宋体"/>
          <w:color w:val="auto"/>
          <w:sz w:val="21"/>
          <w:szCs w:val="21"/>
        </w:rPr>
        <w:t>上述</w:t>
      </w:r>
      <w:r>
        <w:rPr>
          <w:rFonts w:hint="eastAsia" w:cs="宋体"/>
          <w:color w:val="auto"/>
          <w:sz w:val="21"/>
          <w:szCs w:val="21"/>
          <w:lang w:val="en-US" w:eastAsia="zh-CN"/>
        </w:rPr>
        <w:t>1</w:t>
      </w:r>
      <w:r>
        <w:rPr>
          <w:rFonts w:hint="eastAsia" w:ascii="宋体" w:hAnsi="宋体" w:eastAsia="宋体" w:cs="宋体"/>
          <w:color w:val="auto"/>
          <w:sz w:val="21"/>
          <w:szCs w:val="21"/>
        </w:rPr>
        <w:t>至</w:t>
      </w:r>
      <w:r>
        <w:rPr>
          <w:rFonts w:hint="eastAsia" w:cs="宋体"/>
          <w:color w:val="auto"/>
          <w:sz w:val="21"/>
          <w:szCs w:val="21"/>
          <w:lang w:val="en-US" w:eastAsia="zh-CN"/>
        </w:rPr>
        <w:t>5</w:t>
      </w:r>
      <w:r>
        <w:rPr>
          <w:rFonts w:hint="eastAsia" w:ascii="宋体" w:hAnsi="宋体" w:eastAsia="宋体" w:cs="宋体"/>
          <w:color w:val="auto"/>
          <w:sz w:val="21"/>
          <w:szCs w:val="21"/>
        </w:rPr>
        <w:t>行为影响中标结果的，中标结果无效。</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cs="宋体"/>
          <w:color w:val="auto"/>
          <w:sz w:val="21"/>
          <w:szCs w:val="21"/>
          <w:lang w:eastAsia="zh-CN"/>
        </w:rPr>
        <w:t>（</w:t>
      </w:r>
      <w:r>
        <w:rPr>
          <w:rFonts w:hint="eastAsia" w:cs="宋体"/>
          <w:color w:val="auto"/>
          <w:sz w:val="21"/>
          <w:szCs w:val="21"/>
          <w:lang w:val="en-US" w:eastAsia="zh-CN"/>
        </w:rPr>
        <w:t>十六</w:t>
      </w:r>
      <w:r>
        <w:rPr>
          <w:rFonts w:hint="eastAsia" w:cs="宋体"/>
          <w:color w:val="auto"/>
          <w:sz w:val="21"/>
          <w:szCs w:val="21"/>
          <w:lang w:eastAsia="zh-CN"/>
        </w:rPr>
        <w:t>）</w:t>
      </w:r>
      <w:r>
        <w:rPr>
          <w:rFonts w:hint="eastAsia" w:ascii="宋体" w:hAnsi="宋体" w:eastAsia="宋体" w:cs="宋体"/>
          <w:color w:val="auto"/>
          <w:sz w:val="21"/>
          <w:szCs w:val="21"/>
        </w:rPr>
        <w:t>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政府采购评审专家与</w:t>
      </w:r>
      <w:r>
        <w:rPr>
          <w:rFonts w:hint="eastAsia" w:cs="宋体"/>
          <w:color w:val="auto"/>
          <w:sz w:val="21"/>
          <w:szCs w:val="21"/>
          <w:lang w:eastAsia="zh-CN"/>
        </w:rPr>
        <w:t>供应商</w:t>
      </w:r>
      <w:r>
        <w:rPr>
          <w:rFonts w:hint="eastAsia" w:ascii="宋体" w:hAnsi="宋体" w:eastAsia="宋体" w:cs="宋体"/>
          <w:color w:val="auto"/>
          <w:sz w:val="21"/>
          <w:szCs w:val="21"/>
        </w:rPr>
        <w:t>存在利害关系未回避的，处2万元以上5万元以下的罚款，禁止其参加政府采购评审活动。</w:t>
      </w:r>
    </w:p>
    <w:p>
      <w:pPr>
        <w:numPr>
          <w:ilvl w:val="0"/>
          <w:numId w:val="0"/>
        </w:numPr>
        <w:spacing w:line="42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政府采购评审专家收受采购人、采购代理机构、</w:t>
      </w:r>
      <w:r>
        <w:rPr>
          <w:rFonts w:hint="eastAsia" w:cs="宋体"/>
          <w:color w:val="auto"/>
          <w:sz w:val="21"/>
          <w:szCs w:val="21"/>
          <w:lang w:eastAsia="zh-CN"/>
        </w:rPr>
        <w:t>供应商</w:t>
      </w:r>
      <w:r>
        <w:rPr>
          <w:rFonts w:hint="eastAsia" w:ascii="宋体" w:hAnsi="宋体" w:eastAsia="宋体" w:cs="宋体"/>
          <w:color w:val="auto"/>
          <w:sz w:val="21"/>
          <w:szCs w:val="21"/>
        </w:rPr>
        <w:t>贿赂或者获取其他不正当利益，构成犯罪的，依法追究刑事责任；尚不构成犯罪的，处2万元以上5万元以下的罚款，禁止其参加政府采购评审活动。</w:t>
      </w:r>
    </w:p>
    <w:p>
      <w:pPr>
        <w:numPr>
          <w:ilvl w:val="0"/>
          <w:numId w:val="0"/>
        </w:numPr>
        <w:spacing w:line="420" w:lineRule="exact"/>
        <w:ind w:firstLine="420" w:firstLineChars="200"/>
        <w:rPr>
          <w:rFonts w:hint="eastAsia" w:ascii="宋体" w:hAnsi="宋体" w:cs="仿宋_GB2312"/>
          <w:sz w:val="24"/>
          <w:szCs w:val="24"/>
        </w:rPr>
      </w:pPr>
      <w:r>
        <w:rPr>
          <w:rFonts w:hint="eastAsia" w:ascii="宋体" w:hAnsi="宋体" w:eastAsia="宋体" w:cs="宋体"/>
          <w:color w:val="auto"/>
          <w:sz w:val="21"/>
          <w:szCs w:val="21"/>
        </w:rPr>
        <w:t>政府采购评审专家有上述违法行为的，其评审意见无效，不得获取评审费；有违法所得的，没收违法所得；给他人造成损失的，依法承担民事责任。</w:t>
      </w:r>
    </w:p>
    <w:p>
      <w:pPr>
        <w:numPr>
          <w:ilvl w:val="0"/>
          <w:numId w:val="7"/>
        </w:numPr>
        <w:spacing w:line="420" w:lineRule="exact"/>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政府采购政策落实</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（一）</w:t>
      </w:r>
      <w:r>
        <w:rPr>
          <w:rFonts w:hint="eastAsia" w:ascii="宋体" w:hAnsi="宋体" w:eastAsia="宋体" w:cs="宋体"/>
          <w:color w:val="auto"/>
          <w:sz w:val="21"/>
          <w:szCs w:val="21"/>
          <w:lang w:val="en-US" w:eastAsia="zh-CN"/>
        </w:rPr>
        <w:t>采购项目需要落实的政府采购政策</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cs="宋体"/>
          <w:color w:val="auto"/>
          <w:sz w:val="21"/>
          <w:szCs w:val="21"/>
          <w:lang w:val="en-US" w:eastAsia="zh-CN"/>
        </w:rPr>
        <w:t>、</w:t>
      </w:r>
      <w:r>
        <w:rPr>
          <w:rFonts w:hint="eastAsia" w:ascii="宋体" w:hAnsi="宋体" w:eastAsia="宋体" w:cs="宋体"/>
          <w:color w:val="auto"/>
          <w:sz w:val="21"/>
          <w:szCs w:val="21"/>
          <w:lang w:val="en-US" w:eastAsia="zh-CN"/>
        </w:rPr>
        <w:t xml:space="preserve"> 本项目原则上采购本国生产的货物、工程和服务，不允许采购进口产品。除非采购人采购进口产品，已经在采购活动开始前向财政部门提出申请并获得财政部门审核同意，且在采购需求中明确规定可以采购进口产品，未明确视同不得采购进口产品（但如果因信息不对称等原因，仍有满足需求的国内产品要求参与采购竞争的，采购人、采购机构不会对其加以限制，仍将按照公平竞争原则实施采购）。</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（二）</w:t>
      </w:r>
      <w:r>
        <w:rPr>
          <w:rFonts w:hint="eastAsia" w:ascii="宋体" w:hAnsi="宋体" w:eastAsia="宋体" w:cs="宋体"/>
          <w:color w:val="auto"/>
          <w:sz w:val="21"/>
          <w:szCs w:val="21"/>
          <w:lang w:val="en-US" w:eastAsia="zh-CN"/>
        </w:rPr>
        <w:t xml:space="preserve"> 支持绿色发展</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1.</w:t>
      </w:r>
      <w:r>
        <w:rPr>
          <w:rFonts w:hint="eastAsia" w:ascii="宋体" w:hAnsi="宋体" w:eastAsia="宋体" w:cs="宋体"/>
          <w:color w:val="auto"/>
          <w:sz w:val="21"/>
          <w:szCs w:val="21"/>
          <w:lang w:val="en-US" w:eastAsia="zh-CN"/>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cs="宋体"/>
          <w:color w:val="auto"/>
          <w:sz w:val="21"/>
          <w:szCs w:val="21"/>
          <w:lang w:val="en-US" w:eastAsia="zh-CN"/>
        </w:rPr>
        <w:t>供应商</w:t>
      </w:r>
      <w:r>
        <w:rPr>
          <w:rFonts w:hint="eastAsia" w:ascii="宋体" w:hAnsi="宋体" w:eastAsia="宋体" w:cs="宋体"/>
          <w:color w:val="auto"/>
          <w:sz w:val="21"/>
          <w:szCs w:val="21"/>
          <w:lang w:val="en-US" w:eastAsia="zh-CN"/>
        </w:rPr>
        <w:t>须按采购文件要求提供相关产品认证证书。采购人拟采购的产品属于政府强制采购的节能产品品目清单范围的，</w:t>
      </w:r>
      <w:r>
        <w:rPr>
          <w:rFonts w:hint="eastAsia" w:cs="宋体"/>
          <w:color w:val="auto"/>
          <w:sz w:val="21"/>
          <w:szCs w:val="21"/>
          <w:lang w:val="en-US" w:eastAsia="zh-CN"/>
        </w:rPr>
        <w:t>供应商</w:t>
      </w:r>
      <w:r>
        <w:rPr>
          <w:rFonts w:hint="eastAsia" w:ascii="宋体" w:hAnsi="宋体" w:eastAsia="宋体" w:cs="宋体"/>
          <w:color w:val="auto"/>
          <w:sz w:val="21"/>
          <w:szCs w:val="21"/>
          <w:lang w:val="en-US" w:eastAsia="zh-CN"/>
        </w:rPr>
        <w:t>未按采购文件要求提供国家确定的认证机构出具的、处于有效期之内的节能产品认证证书的，投标无效。</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2.</w:t>
      </w:r>
      <w:r>
        <w:rPr>
          <w:rFonts w:hint="eastAsia" w:ascii="宋体" w:hAnsi="宋体" w:eastAsia="宋体" w:cs="宋体"/>
          <w:color w:val="auto"/>
          <w:sz w:val="21"/>
          <w:szCs w:val="21"/>
          <w:lang w:val="en-US" w:eastAsia="zh-CN"/>
        </w:rPr>
        <w:t>为助力打好污染防治攻坚战，推广使用绿色包装，政府采购货物、工程和服务项目中涉及商品包装和快递包装的，</w:t>
      </w:r>
      <w:r>
        <w:rPr>
          <w:rFonts w:hint="eastAsia" w:cs="宋体"/>
          <w:color w:val="auto"/>
          <w:sz w:val="21"/>
          <w:szCs w:val="21"/>
          <w:lang w:val="en-US" w:eastAsia="zh-CN"/>
        </w:rPr>
        <w:t>供应商</w:t>
      </w:r>
      <w:r>
        <w:rPr>
          <w:rFonts w:hint="eastAsia" w:ascii="宋体" w:hAnsi="宋体" w:eastAsia="宋体" w:cs="宋体"/>
          <w:color w:val="auto"/>
          <w:sz w:val="21"/>
          <w:szCs w:val="21"/>
          <w:lang w:val="en-US" w:eastAsia="zh-CN"/>
        </w:rPr>
        <w:t>提供产品及相关快递服务的具体包装要求要参考《商品包装政府采购需求标准（试行）》、《快递包装政府采购需求标准（试行）》。</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（三）</w:t>
      </w:r>
      <w:r>
        <w:rPr>
          <w:rFonts w:hint="eastAsia" w:ascii="宋体" w:hAnsi="宋体" w:eastAsia="宋体" w:cs="宋体"/>
          <w:color w:val="auto"/>
          <w:sz w:val="21"/>
          <w:szCs w:val="21"/>
          <w:lang w:val="en-US" w:eastAsia="zh-CN"/>
        </w:rPr>
        <w:t>支持中小企业发展</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1.</w:t>
      </w:r>
      <w:r>
        <w:rPr>
          <w:rFonts w:hint="eastAsia" w:ascii="宋体" w:hAnsi="宋体" w:eastAsia="宋体" w:cs="宋体"/>
          <w:color w:val="auto"/>
          <w:sz w:val="21"/>
          <w:szCs w:val="21"/>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符合中小企业划分标准的个体工商户，在政府采购活动中视同中小企业。</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2.</w:t>
      </w:r>
      <w:r>
        <w:rPr>
          <w:rFonts w:hint="eastAsia" w:ascii="宋体" w:hAnsi="宋体" w:eastAsia="宋体" w:cs="宋体"/>
          <w:color w:val="auto"/>
          <w:sz w:val="21"/>
          <w:szCs w:val="21"/>
          <w:lang w:val="en-US" w:eastAsia="zh-CN"/>
        </w:rPr>
        <w:t>在政府采购活动中，</w:t>
      </w:r>
      <w:r>
        <w:rPr>
          <w:rFonts w:hint="eastAsia" w:cs="宋体"/>
          <w:color w:val="auto"/>
          <w:sz w:val="21"/>
          <w:szCs w:val="21"/>
          <w:lang w:val="en-US" w:eastAsia="zh-CN"/>
        </w:rPr>
        <w:t>供应商</w:t>
      </w:r>
      <w:r>
        <w:rPr>
          <w:rFonts w:hint="eastAsia" w:ascii="宋体" w:hAnsi="宋体" w:eastAsia="宋体" w:cs="宋体"/>
          <w:color w:val="auto"/>
          <w:sz w:val="21"/>
          <w:szCs w:val="21"/>
          <w:lang w:val="en-US" w:eastAsia="zh-CN"/>
        </w:rPr>
        <w:t>提供的货物、工程或者服务符合下列情形的，享受中小企业扶持政策：</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（1）</w:t>
      </w:r>
      <w:r>
        <w:rPr>
          <w:rFonts w:hint="eastAsia" w:ascii="宋体" w:hAnsi="宋体" w:eastAsia="宋体" w:cs="宋体"/>
          <w:color w:val="auto"/>
          <w:sz w:val="21"/>
          <w:szCs w:val="21"/>
          <w:lang w:val="en-US" w:eastAsia="zh-CN"/>
        </w:rPr>
        <w:t>在货物采购项目中，货物由中小企业制造，即货物由中小企业生产且使用该中小企业商号或者注册商标；</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（2）</w:t>
      </w:r>
      <w:r>
        <w:rPr>
          <w:rFonts w:hint="eastAsia" w:ascii="宋体" w:hAnsi="宋体" w:eastAsia="宋体" w:cs="宋体"/>
          <w:color w:val="auto"/>
          <w:sz w:val="21"/>
          <w:szCs w:val="21"/>
          <w:lang w:val="en-US" w:eastAsia="zh-CN"/>
        </w:rPr>
        <w:t>在工程采购项目中，工程由中小企业承建，即工程施工单位为中小企业；</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（3）</w:t>
      </w:r>
      <w:r>
        <w:rPr>
          <w:rFonts w:hint="eastAsia" w:ascii="宋体" w:hAnsi="宋体" w:eastAsia="宋体" w:cs="宋体"/>
          <w:color w:val="auto"/>
          <w:sz w:val="21"/>
          <w:szCs w:val="21"/>
          <w:lang w:val="en-US" w:eastAsia="zh-CN"/>
        </w:rPr>
        <w:t>在服务采购项目中，服务由中小企业承接，即提供服务的人员为中小企业依照《中华人民共和国劳动合同法》订立劳动合同的从业人员。</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在货物采购项目中，</w:t>
      </w:r>
      <w:r>
        <w:rPr>
          <w:rFonts w:hint="eastAsia" w:cs="宋体"/>
          <w:color w:val="auto"/>
          <w:sz w:val="21"/>
          <w:szCs w:val="21"/>
          <w:lang w:val="en-US" w:eastAsia="zh-CN"/>
        </w:rPr>
        <w:t>供应商</w:t>
      </w:r>
      <w:r>
        <w:rPr>
          <w:rFonts w:hint="eastAsia" w:ascii="宋体" w:hAnsi="宋体" w:eastAsia="宋体" w:cs="宋体"/>
          <w:color w:val="auto"/>
          <w:sz w:val="21"/>
          <w:szCs w:val="21"/>
          <w:lang w:val="en-US" w:eastAsia="zh-CN"/>
        </w:rPr>
        <w:t>提供的货物既有中小企业制造货物，也有大型企业制造货物的，不享受中小企业扶持政策。</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以联合体形式参加政府采购活动，联合体各方均为中小企业的，联合体视同中小企业。其中，联合体各方均为小微企业的，联合体视同小微企业。</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3.</w:t>
      </w:r>
      <w:r>
        <w:rPr>
          <w:rFonts w:hint="eastAsia" w:ascii="宋体" w:hAnsi="宋体" w:eastAsia="宋体" w:cs="宋体"/>
          <w:color w:val="auto"/>
          <w:sz w:val="21"/>
          <w:szCs w:val="21"/>
          <w:lang w:val="en-US" w:eastAsia="zh-CN"/>
        </w:rPr>
        <w:t>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4.</w:t>
      </w:r>
      <w:r>
        <w:rPr>
          <w:rFonts w:hint="eastAsia" w:ascii="宋体" w:hAnsi="宋体" w:eastAsia="宋体" w:cs="宋体"/>
          <w:color w:val="auto"/>
          <w:sz w:val="21"/>
          <w:szCs w:val="21"/>
          <w:lang w:val="en-US" w:eastAsia="zh-CN"/>
        </w:rPr>
        <w:t>符合《关于促进残疾人就业政府采购政策的通知》（财库〔2017〕141号）规定的条件并提供《残疾人福利性单位声明函》（附件1）的残疾人福利性单位视同小型、微型企业；</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5.</w:t>
      </w:r>
      <w:r>
        <w:rPr>
          <w:rFonts w:hint="eastAsia" w:ascii="宋体" w:hAnsi="宋体" w:eastAsia="宋体" w:cs="宋体"/>
          <w:color w:val="auto"/>
          <w:sz w:val="21"/>
          <w:szCs w:val="21"/>
          <w:lang w:val="en-US" w:eastAsia="zh-CN"/>
        </w:rPr>
        <w:t>符合《关于政府采购支持监狱企业发展有关问题的通知》（财库[2014]68号）规定的监狱企业并提供由省级以上监狱管理局、戒毒管理局（含新疆生产建设兵团）出具的属于监狱企业证明文件的，视同为小型、微型企业。</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6.</w:t>
      </w:r>
      <w:r>
        <w:rPr>
          <w:rFonts w:hint="eastAsia" w:ascii="宋体" w:hAnsi="宋体" w:eastAsia="宋体" w:cs="宋体"/>
          <w:color w:val="auto"/>
          <w:sz w:val="21"/>
          <w:szCs w:val="21"/>
          <w:lang w:val="en-US" w:eastAsia="zh-CN"/>
        </w:rPr>
        <w:t>可享受中小企业扶持政策的</w:t>
      </w:r>
      <w:r>
        <w:rPr>
          <w:rFonts w:hint="eastAsia" w:cs="宋体"/>
          <w:color w:val="auto"/>
          <w:sz w:val="21"/>
          <w:szCs w:val="21"/>
          <w:lang w:val="en-US" w:eastAsia="zh-CN"/>
        </w:rPr>
        <w:t>供应商</w:t>
      </w:r>
      <w:r>
        <w:rPr>
          <w:rFonts w:hint="eastAsia" w:ascii="宋体" w:hAnsi="宋体" w:eastAsia="宋体" w:cs="宋体"/>
          <w:color w:val="auto"/>
          <w:sz w:val="21"/>
          <w:szCs w:val="21"/>
          <w:lang w:val="en-US" w:eastAsia="zh-CN"/>
        </w:rPr>
        <w:t>应按照采购文件格式要求提供《中小企业声明函》，</w:t>
      </w:r>
      <w:r>
        <w:rPr>
          <w:rFonts w:hint="eastAsia" w:cs="宋体"/>
          <w:color w:val="auto"/>
          <w:sz w:val="21"/>
          <w:szCs w:val="21"/>
          <w:lang w:val="en-US" w:eastAsia="zh-CN"/>
        </w:rPr>
        <w:t>供应商</w:t>
      </w:r>
      <w:r>
        <w:rPr>
          <w:rFonts w:hint="eastAsia" w:ascii="宋体" w:hAnsi="宋体" w:eastAsia="宋体" w:cs="宋体"/>
          <w:color w:val="auto"/>
          <w:sz w:val="21"/>
          <w:szCs w:val="21"/>
          <w:lang w:val="en-US" w:eastAsia="zh-CN"/>
        </w:rPr>
        <w:t>提供的《中小企业声明函》与实际情况不符的，</w:t>
      </w:r>
      <w:r>
        <w:rPr>
          <w:rFonts w:hint="eastAsia" w:cs="宋体"/>
          <w:color w:val="auto"/>
          <w:sz w:val="21"/>
          <w:szCs w:val="21"/>
          <w:lang w:val="en-US" w:eastAsia="zh-CN"/>
        </w:rPr>
        <w:t>供应商</w:t>
      </w:r>
      <w:r>
        <w:rPr>
          <w:rFonts w:hint="eastAsia" w:ascii="宋体" w:hAnsi="宋体" w:eastAsia="宋体" w:cs="宋体"/>
          <w:color w:val="auto"/>
          <w:sz w:val="21"/>
          <w:szCs w:val="21"/>
          <w:lang w:val="en-US" w:eastAsia="zh-CN"/>
        </w:rPr>
        <w:t>未按采购文件要求提供国家确定的认证机构出具的、处于有效期之内的产品认证证书的，不享受中小企业扶持政策。声明内容不实的，属于提供虚假材料谋取中标、成交的，依法承担法律责任。</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7.</w:t>
      </w:r>
      <w:r>
        <w:rPr>
          <w:rFonts w:hint="eastAsia" w:ascii="宋体" w:hAnsi="宋体" w:eastAsia="宋体" w:cs="宋体"/>
          <w:color w:val="auto"/>
          <w:sz w:val="21"/>
          <w:szCs w:val="21"/>
          <w:lang w:val="en-US" w:eastAsia="zh-CN"/>
        </w:rPr>
        <w:t>中小企业享受扶持政策获得政府采购合同的，小微企业不得将合同分包给大中型企业，中型企业不得将合同分包给大型企业。</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（四）</w:t>
      </w:r>
      <w:r>
        <w:rPr>
          <w:rFonts w:hint="eastAsia" w:ascii="宋体" w:hAnsi="宋体" w:eastAsia="宋体" w:cs="宋体"/>
          <w:color w:val="auto"/>
          <w:sz w:val="21"/>
          <w:szCs w:val="21"/>
          <w:lang w:val="en-US" w:eastAsia="zh-CN"/>
        </w:rPr>
        <w:t>支持创新发展</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1.</w:t>
      </w:r>
      <w:r>
        <w:rPr>
          <w:rFonts w:hint="eastAsia" w:ascii="宋体" w:hAnsi="宋体" w:eastAsia="宋体" w:cs="宋体"/>
          <w:color w:val="auto"/>
          <w:sz w:val="21"/>
          <w:szCs w:val="21"/>
          <w:lang w:val="en-US" w:eastAsia="zh-CN"/>
        </w:rPr>
        <w:t>采购人优先采购被认定为首台套产品和“制造精品”的自主创新产品。</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2.</w:t>
      </w:r>
      <w:r>
        <w:rPr>
          <w:rFonts w:hint="eastAsia" w:ascii="宋体" w:hAnsi="宋体" w:eastAsia="宋体" w:cs="宋体"/>
          <w:color w:val="auto"/>
          <w:sz w:val="21"/>
          <w:szCs w:val="21"/>
          <w:lang w:val="en-US" w:eastAsia="zh-CN"/>
        </w:rPr>
        <w:t>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pPr>
      <w:r>
        <w:rPr>
          <w:rFonts w:hint="eastAsia" w:cs="宋体"/>
          <w:color w:val="auto"/>
          <w:sz w:val="21"/>
          <w:szCs w:val="21"/>
          <w:lang w:val="en-US" w:eastAsia="zh-CN"/>
        </w:rPr>
        <w:t>（五）</w:t>
      </w:r>
      <w:r>
        <w:rPr>
          <w:rFonts w:hint="eastAsia" w:ascii="宋体" w:hAnsi="宋体" w:eastAsia="宋体" w:cs="宋体"/>
          <w:color w:val="auto"/>
          <w:sz w:val="21"/>
          <w:szCs w:val="21"/>
          <w:lang w:val="en-US" w:eastAsia="zh-CN"/>
        </w:rPr>
        <w:t>中小企业信用融资</w:t>
      </w:r>
    </w:p>
    <w:p>
      <w:pPr>
        <w:numPr>
          <w:ilvl w:val="0"/>
          <w:numId w:val="0"/>
        </w:numPr>
        <w:spacing w:line="420" w:lineRule="exact"/>
        <w:ind w:firstLine="420" w:firstLineChars="200"/>
        <w:rPr>
          <w:rFonts w:hint="eastAsia" w:ascii="宋体" w:hAnsi="宋体" w:eastAsia="宋体" w:cs="宋体"/>
          <w:color w:val="auto"/>
          <w:sz w:val="21"/>
          <w:szCs w:val="21"/>
          <w:lang w:val="en-US" w:eastAsia="zh-CN"/>
        </w:rPr>
        <w:sectPr>
          <w:pgSz w:w="11905" w:h="16838"/>
          <w:pgMar w:top="1417" w:right="1417" w:bottom="1417" w:left="1417" w:header="851" w:footer="992" w:gutter="0"/>
          <w:pgNumType w:fmt="decimal"/>
          <w:cols w:space="0" w:num="1"/>
          <w:titlePg/>
          <w:rtlGutter w:val="0"/>
          <w:docGrid w:linePitch="312" w:charSpace="0"/>
        </w:sectPr>
      </w:pPr>
      <w:r>
        <w:rPr>
          <w:rFonts w:hint="eastAsia" w:ascii="宋体" w:hAnsi="宋体" w:eastAsia="宋体" w:cs="宋体"/>
          <w:color w:val="auto"/>
          <w:sz w:val="21"/>
          <w:szCs w:val="21"/>
          <w:lang w:val="en-US" w:eastAsia="zh-CN"/>
        </w:rPr>
        <w:t>为支持和促进中小企业发展，进一步发挥政府采购政策功能，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w:t>
      </w:r>
      <w:r>
        <w:rPr>
          <w:rFonts w:hint="eastAsia" w:cs="宋体"/>
          <w:color w:val="auto"/>
          <w:sz w:val="21"/>
          <w:szCs w:val="21"/>
          <w:lang w:val="en-US" w:eastAsia="zh-CN"/>
        </w:rPr>
        <w:t>供应商</w:t>
      </w:r>
      <w:r>
        <w:rPr>
          <w:rFonts w:hint="eastAsia" w:ascii="宋体" w:hAnsi="宋体" w:eastAsia="宋体" w:cs="宋体"/>
          <w:color w:val="auto"/>
          <w:sz w:val="21"/>
          <w:szCs w:val="21"/>
          <w:lang w:val="en-US" w:eastAsia="zh-CN"/>
        </w:rPr>
        <w:t>发放贷款的一种融资方式。</w:t>
      </w:r>
      <w:r>
        <w:rPr>
          <w:rFonts w:hint="eastAsia" w:cs="宋体"/>
          <w:color w:val="auto"/>
          <w:sz w:val="21"/>
          <w:szCs w:val="21"/>
          <w:lang w:val="en-US" w:eastAsia="zh-CN"/>
        </w:rPr>
        <w:t>供应商</w:t>
      </w:r>
      <w:r>
        <w:rPr>
          <w:rFonts w:hint="eastAsia" w:ascii="宋体" w:hAnsi="宋体" w:eastAsia="宋体" w:cs="宋体"/>
          <w:color w:val="auto"/>
          <w:sz w:val="21"/>
          <w:szCs w:val="21"/>
          <w:lang w:val="en-US" w:eastAsia="zh-CN"/>
        </w:rPr>
        <w:t xml:space="preserve">可登陆浙江政府采购( (tp:/www zizfcg gov.cn)的中小企业信用融资栏目了解相关信息。 </w:t>
      </w:r>
      <w:r>
        <w:rPr>
          <w:rFonts w:hint="eastAsia" w:cs="宋体"/>
          <w:color w:val="auto"/>
          <w:sz w:val="21"/>
          <w:szCs w:val="21"/>
          <w:lang w:val="en-US" w:eastAsia="zh-CN"/>
        </w:rPr>
        <w:t>供应商</w:t>
      </w:r>
      <w:r>
        <w:rPr>
          <w:rFonts w:hint="eastAsia" w:ascii="宋体" w:hAnsi="宋体" w:eastAsia="宋体" w:cs="宋体"/>
          <w:color w:val="auto"/>
          <w:sz w:val="21"/>
          <w:szCs w:val="21"/>
          <w:lang w:val="en-US" w:eastAsia="zh-CN"/>
        </w:rPr>
        <w:t>可以通过浙江政府采购网(https://zfcg. czt.zj. gov.cn/)首页的“浙江政采贷”模块进入申请，还可以通过政府采购云平台(https://wwwzcygov.cn/)首页的“金融服务”模块进入申请。</w:t>
      </w:r>
    </w:p>
    <w:p>
      <w:pPr>
        <w:snapToGrid w:val="0"/>
        <w:spacing w:line="360" w:lineRule="auto"/>
        <w:jc w:val="center"/>
        <w:outlineLvl w:val="0"/>
        <w:rPr>
          <w:rFonts w:hint="eastAsia" w:cs="宋体"/>
          <w:b/>
          <w:bCs/>
          <w:color w:val="auto"/>
          <w:sz w:val="32"/>
          <w:szCs w:val="32"/>
          <w:lang w:val="en-US" w:eastAsia="zh-CN"/>
        </w:rPr>
      </w:pPr>
      <w:bookmarkStart w:id="95" w:name="_Toc23823"/>
      <w:r>
        <w:rPr>
          <w:rFonts w:hint="eastAsia" w:cs="宋体"/>
          <w:b/>
          <w:bCs/>
          <w:color w:val="auto"/>
          <w:sz w:val="32"/>
          <w:szCs w:val="32"/>
          <w:lang w:val="en-US" w:eastAsia="zh-CN"/>
        </w:rPr>
        <w:t>第五部分 合同条款</w:t>
      </w:r>
      <w:bookmarkEnd w:id="65"/>
      <w:bookmarkEnd w:id="66"/>
      <w:bookmarkEnd w:id="67"/>
      <w:bookmarkEnd w:id="68"/>
      <w:bookmarkEnd w:id="69"/>
      <w:bookmarkEnd w:id="70"/>
      <w:bookmarkEnd w:id="71"/>
      <w:bookmarkEnd w:id="72"/>
      <w:bookmarkEnd w:id="73"/>
      <w:bookmarkEnd w:id="74"/>
      <w:bookmarkEnd w:id="75"/>
      <w:bookmarkEnd w:id="76"/>
      <w:bookmarkEnd w:id="77"/>
      <w:bookmarkEnd w:id="95"/>
    </w:p>
    <w:p>
      <w:pPr>
        <w:rPr>
          <w:rFonts w:hint="eastAsia" w:ascii="宋体" w:hAnsi="宋体" w:eastAsia="宋体" w:cs="宋体"/>
          <w:sz w:val="24"/>
          <w:szCs w:val="24"/>
          <w:highlight w:val="none"/>
          <w:u w:val="single"/>
        </w:rPr>
      </w:pPr>
      <w:bookmarkStart w:id="96" w:name="_Toc30871"/>
      <w:bookmarkStart w:id="97" w:name="_Toc11551"/>
      <w:bookmarkStart w:id="98" w:name="_Toc27186"/>
      <w:bookmarkStart w:id="99" w:name="_Toc2232"/>
      <w:bookmarkStart w:id="100" w:name="_Toc24059"/>
      <w:bookmarkStart w:id="101" w:name="_Toc3029"/>
      <w:bookmarkStart w:id="102" w:name="_Toc15026"/>
      <w:bookmarkStart w:id="103" w:name="_Toc444767521"/>
      <w:bookmarkStart w:id="104" w:name="_Toc19831"/>
      <w:r>
        <w:rPr>
          <w:rFonts w:hint="eastAsia" w:ascii="宋体" w:hAnsi="宋体" w:eastAsia="宋体" w:cs="宋体"/>
          <w:sz w:val="24"/>
          <w:szCs w:val="24"/>
          <w:highlight w:val="none"/>
        </w:rPr>
        <w:t>合同编号：</w:t>
      </w:r>
      <w:r>
        <w:rPr>
          <w:rFonts w:hint="eastAsia" w:ascii="宋体" w:hAnsi="宋体" w:eastAsia="宋体" w:cs="宋体"/>
          <w:sz w:val="24"/>
          <w:szCs w:val="24"/>
          <w:highlight w:val="none"/>
          <w:u w:val="single"/>
        </w:rPr>
        <w:t xml:space="preserve">           </w:t>
      </w:r>
    </w:p>
    <w:p>
      <w:pPr>
        <w:spacing w:line="480" w:lineRule="auto"/>
        <w:jc w:val="center"/>
        <w:rPr>
          <w:rFonts w:hint="eastAsia" w:ascii="宋体" w:hAnsi="宋体" w:eastAsia="宋体" w:cs="宋体"/>
          <w:b/>
          <w:sz w:val="21"/>
          <w:szCs w:val="21"/>
          <w:highlight w:val="none"/>
        </w:rPr>
      </w:pPr>
    </w:p>
    <w:p>
      <w:pPr>
        <w:spacing w:line="480" w:lineRule="auto"/>
        <w:jc w:val="center"/>
        <w:rPr>
          <w:rFonts w:hint="eastAsia" w:ascii="宋体" w:hAnsi="宋体" w:eastAsia="宋体" w:cs="宋体"/>
          <w:b/>
          <w:sz w:val="21"/>
          <w:szCs w:val="21"/>
          <w:highlight w:val="none"/>
        </w:rPr>
      </w:pPr>
    </w:p>
    <w:p>
      <w:pPr>
        <w:spacing w:line="480" w:lineRule="auto"/>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政府采购合同参考范本</w:t>
      </w:r>
    </w:p>
    <w:p>
      <w:pPr>
        <w:spacing w:line="480" w:lineRule="auto"/>
        <w:jc w:val="center"/>
        <w:rPr>
          <w:rFonts w:hint="eastAsia" w:ascii="宋体" w:hAnsi="宋体" w:eastAsia="宋体" w:cs="宋体"/>
          <w:sz w:val="24"/>
          <w:szCs w:val="24"/>
          <w:highlight w:val="none"/>
        </w:rPr>
      </w:pPr>
      <w:r>
        <w:rPr>
          <w:rFonts w:hint="eastAsia" w:ascii="宋体" w:hAnsi="宋体" w:eastAsia="宋体" w:cs="宋体"/>
          <w:b/>
          <w:sz w:val="24"/>
          <w:szCs w:val="24"/>
          <w:highlight w:val="none"/>
        </w:rPr>
        <w:t>（货物类）</w:t>
      </w:r>
    </w:p>
    <w:p>
      <w:pPr>
        <w:pStyle w:val="131"/>
        <w:ind w:left="0" w:leftChars="0" w:firstLine="0" w:firstLineChars="0"/>
        <w:jc w:val="center"/>
        <w:rPr>
          <w:rFonts w:hint="eastAsia" w:ascii="宋体" w:hAnsi="宋体" w:eastAsia="宋体" w:cs="宋体"/>
          <w:b/>
          <w:sz w:val="21"/>
          <w:szCs w:val="21"/>
          <w:highlight w:val="none"/>
        </w:rPr>
      </w:pPr>
    </w:p>
    <w:p>
      <w:pPr>
        <w:pStyle w:val="131"/>
        <w:ind w:left="0" w:leftChars="0" w:firstLine="0" w:firstLineChars="0"/>
        <w:jc w:val="center"/>
        <w:rPr>
          <w:rFonts w:hint="eastAsia" w:ascii="宋体" w:hAnsi="宋体" w:eastAsia="宋体" w:cs="宋体"/>
          <w:b/>
          <w:sz w:val="21"/>
          <w:szCs w:val="21"/>
          <w:highlight w:val="none"/>
        </w:rPr>
      </w:pPr>
    </w:p>
    <w:p>
      <w:pPr>
        <w:pStyle w:val="131"/>
        <w:ind w:left="0" w:leftChars="0" w:firstLine="0" w:firstLineChars="0"/>
        <w:jc w:val="center"/>
        <w:rPr>
          <w:rFonts w:hint="eastAsia" w:ascii="宋体" w:hAnsi="宋体" w:eastAsia="宋体" w:cs="宋体"/>
          <w:b/>
          <w:sz w:val="21"/>
          <w:szCs w:val="21"/>
          <w:highlight w:val="none"/>
        </w:rPr>
      </w:pPr>
    </w:p>
    <w:p>
      <w:pPr>
        <w:pStyle w:val="131"/>
        <w:ind w:left="0" w:leftChars="0" w:firstLine="0" w:firstLineChars="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第一章 合同书</w:t>
      </w:r>
    </w:p>
    <w:p>
      <w:pPr>
        <w:pStyle w:val="131"/>
        <w:ind w:left="0" w:leftChars="0" w:firstLine="0" w:firstLineChars="0"/>
        <w:rPr>
          <w:rFonts w:hint="eastAsia" w:ascii="宋体" w:hAnsi="宋体" w:eastAsia="宋体" w:cs="宋体"/>
          <w:sz w:val="21"/>
          <w:szCs w:val="21"/>
          <w:highlight w:val="none"/>
        </w:rPr>
      </w:pPr>
    </w:p>
    <w:p>
      <w:pPr>
        <w:spacing w:before="120" w:line="22" w:lineRule="atLeast"/>
        <w:rPr>
          <w:rFonts w:hint="eastAsia" w:ascii="宋体" w:hAnsi="宋体" w:eastAsia="宋体" w:cs="宋体"/>
          <w:sz w:val="21"/>
          <w:szCs w:val="21"/>
          <w:highlight w:val="none"/>
        </w:rPr>
      </w:pPr>
    </w:p>
    <w:p>
      <w:pPr>
        <w:spacing w:before="120" w:line="22" w:lineRule="atLeast"/>
        <w:ind w:firstLine="720" w:firstLineChars="300"/>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pPr>
        <w:pStyle w:val="132"/>
        <w:spacing w:before="120" w:line="22" w:lineRule="atLeas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w:t>
      </w:r>
    </w:p>
    <w:p>
      <w:pPr>
        <w:pStyle w:val="132"/>
        <w:spacing w:before="120" w:line="22" w:lineRule="atLeast"/>
        <w:rPr>
          <w:rFonts w:hint="eastAsia" w:ascii="宋体" w:hAnsi="宋体" w:eastAsia="宋体" w:cs="宋体"/>
          <w:sz w:val="24"/>
          <w:szCs w:val="24"/>
          <w:highlight w:val="none"/>
        </w:rPr>
      </w:pPr>
    </w:p>
    <w:p>
      <w:pPr>
        <w:rPr>
          <w:rFonts w:hint="eastAsia" w:ascii="宋体" w:hAnsi="宋体" w:eastAsia="宋体" w:cs="宋体"/>
          <w:sz w:val="24"/>
          <w:szCs w:val="24"/>
          <w:highlight w:val="none"/>
        </w:rPr>
      </w:pPr>
    </w:p>
    <w:p>
      <w:pPr>
        <w:spacing w:before="120" w:line="22" w:lineRule="atLeast"/>
        <w:ind w:firstLine="720" w:firstLineChars="3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甲方：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pPr>
        <w:spacing w:before="120" w:line="22" w:lineRule="atLeas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w:t>
      </w:r>
    </w:p>
    <w:p>
      <w:pPr>
        <w:spacing w:before="120" w:line="22" w:lineRule="atLeast"/>
        <w:ind w:firstLine="720" w:firstLineChars="3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乙方：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pPr>
        <w:spacing w:before="120" w:line="22" w:lineRule="atLeast"/>
        <w:rPr>
          <w:rFonts w:hint="eastAsia" w:ascii="宋体" w:hAnsi="宋体" w:eastAsia="宋体" w:cs="宋体"/>
          <w:sz w:val="24"/>
          <w:szCs w:val="24"/>
          <w:highlight w:val="none"/>
        </w:rPr>
      </w:pPr>
    </w:p>
    <w:p>
      <w:pPr>
        <w:spacing w:before="120" w:line="22" w:lineRule="atLeast"/>
        <w:ind w:firstLine="720" w:firstLineChars="3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签订地</w:t>
      </w:r>
      <w:r>
        <w:rPr>
          <w:rFonts w:hint="eastAsia" w:ascii="宋体" w:hAnsi="宋体" w:eastAsia="宋体" w:cs="宋体"/>
          <w:sz w:val="24"/>
          <w:szCs w:val="24"/>
          <w:highlight w:val="none"/>
          <w:lang w:val="en-US" w:eastAsia="zh-CN"/>
        </w:rPr>
        <w:t>点</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pPr>
        <w:spacing w:before="120" w:line="22" w:lineRule="atLeast"/>
        <w:rPr>
          <w:rFonts w:hint="eastAsia" w:ascii="宋体" w:hAnsi="宋体" w:eastAsia="宋体" w:cs="宋体"/>
          <w:sz w:val="24"/>
          <w:szCs w:val="24"/>
          <w:highlight w:val="none"/>
        </w:rPr>
      </w:pPr>
    </w:p>
    <w:p>
      <w:pPr>
        <w:spacing w:before="120" w:line="22" w:lineRule="atLeast"/>
        <w:ind w:firstLine="720" w:firstLineChars="3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签订日期：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pPr>
        <w:widowControl/>
        <w:jc w:val="left"/>
        <w:rPr>
          <w:rFonts w:hint="eastAsia" w:ascii="宋体" w:hAnsi="宋体" w:eastAsia="宋体" w:cs="宋体"/>
          <w:kern w:val="0"/>
          <w:sz w:val="21"/>
          <w:szCs w:val="21"/>
          <w:highlight w:val="none"/>
        </w:rPr>
        <w:sectPr>
          <w:pgSz w:w="11905" w:h="16838"/>
          <w:pgMar w:top="1417" w:right="1417" w:bottom="1417" w:left="1417" w:header="851" w:footer="992" w:gutter="0"/>
          <w:cols w:space="0" w:num="1"/>
          <w:titlePg/>
          <w:rtlGutter w:val="0"/>
          <w:docGrid w:linePitch="0" w:charSpace="0"/>
        </w:sectPr>
      </w:pP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u w:val="single"/>
          <w:lang w:val="zh-CN"/>
        </w:rPr>
        <w:t xml:space="preserve">        </w:t>
      </w:r>
      <w:r>
        <w:rPr>
          <w:rFonts w:hint="eastAsia" w:ascii="宋体" w:hAnsi="宋体" w:eastAsia="宋体" w:cs="宋体"/>
          <w:sz w:val="21"/>
          <w:szCs w:val="21"/>
          <w:highlight w:val="none"/>
          <w:lang w:val="zh-CN"/>
        </w:rPr>
        <w:t>年</w:t>
      </w:r>
      <w:r>
        <w:rPr>
          <w:rFonts w:hint="eastAsia" w:ascii="宋体" w:hAnsi="宋体" w:eastAsia="宋体" w:cs="宋体"/>
          <w:sz w:val="21"/>
          <w:szCs w:val="21"/>
          <w:highlight w:val="none"/>
          <w:u w:val="single"/>
          <w:lang w:val="zh-CN"/>
        </w:rPr>
        <w:t xml:space="preserve">    </w:t>
      </w:r>
      <w:r>
        <w:rPr>
          <w:rFonts w:hint="eastAsia" w:ascii="宋体" w:hAnsi="宋体" w:eastAsia="宋体" w:cs="宋体"/>
          <w:sz w:val="21"/>
          <w:szCs w:val="21"/>
          <w:highlight w:val="none"/>
          <w:lang w:val="zh-CN"/>
        </w:rPr>
        <w:t>月</w:t>
      </w:r>
      <w:r>
        <w:rPr>
          <w:rFonts w:hint="eastAsia" w:ascii="宋体" w:hAnsi="宋体" w:eastAsia="宋体" w:cs="宋体"/>
          <w:sz w:val="21"/>
          <w:szCs w:val="21"/>
          <w:highlight w:val="none"/>
          <w:u w:val="single"/>
          <w:lang w:val="zh-CN"/>
        </w:rPr>
        <w:t xml:space="preserve">    </w:t>
      </w:r>
      <w:r>
        <w:rPr>
          <w:rFonts w:hint="eastAsia" w:ascii="宋体" w:hAnsi="宋体" w:eastAsia="宋体" w:cs="宋体"/>
          <w:sz w:val="21"/>
          <w:szCs w:val="21"/>
          <w:highlight w:val="none"/>
          <w:lang w:val="zh-CN"/>
        </w:rPr>
        <w:t>日</w:t>
      </w:r>
      <w:r>
        <w:rPr>
          <w:rFonts w:hint="eastAsia" w:ascii="宋体" w:hAnsi="宋体" w:eastAsia="宋体" w:cs="宋体"/>
          <w:sz w:val="21"/>
          <w:szCs w:val="21"/>
          <w:highlight w:val="none"/>
        </w:rPr>
        <w:t>，</w:t>
      </w:r>
      <w:r>
        <w:rPr>
          <w:rFonts w:hint="eastAsia" w:ascii="宋体" w:hAnsi="宋体" w:eastAsia="宋体" w:cs="宋体"/>
          <w:sz w:val="21"/>
          <w:szCs w:val="21"/>
          <w:highlight w:val="none"/>
          <w:u w:val="single"/>
        </w:rPr>
        <w:t xml:space="preserve">   （采购人）   </w:t>
      </w:r>
      <w:r>
        <w:rPr>
          <w:rFonts w:hint="eastAsia" w:ascii="宋体" w:hAnsi="宋体" w:eastAsia="宋体" w:cs="宋体"/>
          <w:sz w:val="21"/>
          <w:szCs w:val="21"/>
          <w:highlight w:val="none"/>
        </w:rPr>
        <w:t>以</w:t>
      </w:r>
      <w:r>
        <w:rPr>
          <w:rFonts w:hint="eastAsia" w:ascii="宋体" w:hAnsi="宋体" w:eastAsia="宋体" w:cs="宋体"/>
          <w:sz w:val="21"/>
          <w:szCs w:val="21"/>
          <w:highlight w:val="none"/>
          <w:u w:val="single"/>
        </w:rPr>
        <w:t xml:space="preserve">   （政府采购方式）  </w:t>
      </w:r>
      <w:r>
        <w:rPr>
          <w:rFonts w:hint="eastAsia" w:ascii="宋体" w:hAnsi="宋体" w:eastAsia="宋体" w:cs="宋体"/>
          <w:sz w:val="21"/>
          <w:szCs w:val="21"/>
          <w:highlight w:val="none"/>
        </w:rPr>
        <w:t>对</w:t>
      </w:r>
      <w:r>
        <w:rPr>
          <w:rFonts w:hint="eastAsia" w:ascii="宋体" w:hAnsi="宋体" w:eastAsia="宋体" w:cs="宋体"/>
          <w:sz w:val="21"/>
          <w:szCs w:val="21"/>
          <w:highlight w:val="none"/>
          <w:u w:val="single"/>
        </w:rPr>
        <w:t xml:space="preserve">   （同前页项目名称）   </w:t>
      </w:r>
      <w:r>
        <w:rPr>
          <w:rFonts w:hint="eastAsia" w:ascii="宋体" w:hAnsi="宋体" w:eastAsia="宋体" w:cs="宋体"/>
          <w:sz w:val="21"/>
          <w:szCs w:val="21"/>
          <w:highlight w:val="none"/>
        </w:rPr>
        <w:t>项目进行了采购。经</w:t>
      </w:r>
      <w:r>
        <w:rPr>
          <w:rFonts w:hint="eastAsia" w:ascii="宋体" w:hAnsi="宋体" w:eastAsia="宋体" w:cs="宋体"/>
          <w:sz w:val="21"/>
          <w:szCs w:val="21"/>
          <w:highlight w:val="none"/>
          <w:u w:val="single"/>
        </w:rPr>
        <w:t xml:space="preserve">   （相关评定主体名称）   </w:t>
      </w:r>
      <w:r>
        <w:rPr>
          <w:rFonts w:hint="eastAsia" w:ascii="宋体" w:hAnsi="宋体" w:eastAsia="宋体" w:cs="宋体"/>
          <w:sz w:val="21"/>
          <w:szCs w:val="21"/>
          <w:highlight w:val="none"/>
        </w:rPr>
        <w:t>评定，</w:t>
      </w:r>
      <w:r>
        <w:rPr>
          <w:rFonts w:hint="eastAsia" w:ascii="宋体" w:hAnsi="宋体" w:eastAsia="宋体" w:cs="宋体"/>
          <w:sz w:val="21"/>
          <w:szCs w:val="21"/>
          <w:highlight w:val="none"/>
          <w:u w:val="single"/>
        </w:rPr>
        <w:t xml:space="preserve">   （中标</w:t>
      </w:r>
      <w:r>
        <w:rPr>
          <w:rFonts w:hint="eastAsia" w:cs="宋体"/>
          <w:sz w:val="21"/>
          <w:szCs w:val="21"/>
          <w:highlight w:val="none"/>
          <w:u w:val="single"/>
          <w:lang w:eastAsia="zh-CN"/>
        </w:rPr>
        <w:t>供应商</w:t>
      </w:r>
      <w:r>
        <w:rPr>
          <w:rFonts w:hint="eastAsia" w:ascii="宋体" w:hAnsi="宋体" w:eastAsia="宋体" w:cs="宋体"/>
          <w:sz w:val="21"/>
          <w:szCs w:val="21"/>
          <w:highlight w:val="none"/>
          <w:u w:val="single"/>
        </w:rPr>
        <w:t>名称）</w:t>
      </w:r>
      <w:r>
        <w:rPr>
          <w:rFonts w:hint="eastAsia" w:ascii="宋体" w:hAnsi="宋体" w:eastAsia="宋体" w:cs="宋体"/>
          <w:sz w:val="21"/>
          <w:szCs w:val="21"/>
          <w:highlight w:val="none"/>
        </w:rPr>
        <w:t>为该项目中标</w:t>
      </w:r>
      <w:r>
        <w:rPr>
          <w:rFonts w:hint="eastAsia" w:cs="宋体"/>
          <w:sz w:val="21"/>
          <w:szCs w:val="21"/>
          <w:highlight w:val="none"/>
          <w:lang w:eastAsia="zh-CN"/>
        </w:rPr>
        <w:t>供应商</w:t>
      </w:r>
      <w:r>
        <w:rPr>
          <w:rFonts w:hint="eastAsia" w:ascii="宋体" w:hAnsi="宋体" w:eastAsia="宋体" w:cs="宋体"/>
          <w:sz w:val="21"/>
          <w:szCs w:val="21"/>
          <w:highlight w:val="none"/>
        </w:rPr>
        <w:t>。现于中标通知书发出之日起三十日内，按照采购文件确定的事项签订本合同。</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zh-CN"/>
        </w:rPr>
        <w:t>根据《中华人民共和国民法典》、《中华人民共和国政府采购法》等相关法律法规之规定，按照平等、自愿、公平、诚实信用和绿色的原则，经</w:t>
      </w:r>
      <w:r>
        <w:rPr>
          <w:rFonts w:hint="eastAsia" w:ascii="宋体" w:hAnsi="宋体" w:eastAsia="宋体" w:cs="宋体"/>
          <w:sz w:val="21"/>
          <w:szCs w:val="21"/>
          <w:highlight w:val="none"/>
          <w:u w:val="single"/>
        </w:rPr>
        <w:t xml:space="preserve">   （采购人）   </w:t>
      </w:r>
      <w:r>
        <w:rPr>
          <w:rFonts w:hint="eastAsia" w:ascii="宋体" w:hAnsi="宋体" w:eastAsia="宋体" w:cs="宋体"/>
          <w:sz w:val="21"/>
          <w:szCs w:val="21"/>
          <w:highlight w:val="none"/>
          <w:lang w:val="zh-CN"/>
        </w:rPr>
        <w:t>(以下简称：甲方)和</w:t>
      </w:r>
      <w:r>
        <w:rPr>
          <w:rFonts w:hint="eastAsia" w:ascii="宋体" w:hAnsi="宋体" w:eastAsia="宋体" w:cs="宋体"/>
          <w:sz w:val="21"/>
          <w:szCs w:val="21"/>
          <w:highlight w:val="none"/>
          <w:u w:val="single"/>
        </w:rPr>
        <w:t xml:space="preserve">   （中标</w:t>
      </w:r>
      <w:r>
        <w:rPr>
          <w:rFonts w:hint="eastAsia" w:cs="宋体"/>
          <w:sz w:val="21"/>
          <w:szCs w:val="21"/>
          <w:highlight w:val="none"/>
          <w:u w:val="single"/>
          <w:lang w:eastAsia="zh-CN"/>
        </w:rPr>
        <w:t>供应商</w:t>
      </w:r>
      <w:r>
        <w:rPr>
          <w:rFonts w:hint="eastAsia" w:ascii="宋体" w:hAnsi="宋体" w:eastAsia="宋体" w:cs="宋体"/>
          <w:sz w:val="21"/>
          <w:szCs w:val="21"/>
          <w:highlight w:val="none"/>
          <w:u w:val="single"/>
        </w:rPr>
        <w:t xml:space="preserve">名称）   </w:t>
      </w:r>
      <w:r>
        <w:rPr>
          <w:rFonts w:hint="eastAsia" w:ascii="宋体" w:hAnsi="宋体" w:eastAsia="宋体" w:cs="宋体"/>
          <w:sz w:val="21"/>
          <w:szCs w:val="21"/>
          <w:highlight w:val="none"/>
          <w:lang w:val="zh-CN"/>
        </w:rPr>
        <w:t>(以下简称：乙方)协商一致，约定以下合同</w:t>
      </w:r>
      <w:r>
        <w:rPr>
          <w:rFonts w:hint="eastAsia" w:ascii="宋体" w:hAnsi="宋体" w:eastAsia="宋体" w:cs="宋体"/>
          <w:sz w:val="21"/>
          <w:szCs w:val="21"/>
          <w:highlight w:val="none"/>
        </w:rPr>
        <w:t>条款，以兹共同遵守、全面履行。</w:t>
      </w:r>
    </w:p>
    <w:p>
      <w:pPr>
        <w:keepNext w:val="0"/>
        <w:keepLines w:val="0"/>
        <w:pageBreakBefore w:val="0"/>
        <w:widowControl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105" w:name="_Toc25288"/>
      <w:bookmarkStart w:id="106" w:name="_Toc25313"/>
      <w:r>
        <w:rPr>
          <w:rFonts w:hint="eastAsia" w:ascii="宋体" w:hAnsi="宋体" w:eastAsia="宋体" w:cs="宋体"/>
          <w:b/>
          <w:sz w:val="21"/>
          <w:szCs w:val="21"/>
          <w:highlight w:val="none"/>
        </w:rPr>
        <w:t>1.1 合同组成部分</w:t>
      </w:r>
      <w:bookmarkEnd w:id="105"/>
      <w:bookmarkEnd w:id="106"/>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下列文件为本合同的组成部分报价，并构成一个整体，需综合解释、相互补充。如果下列文件内容出现不一致的情形，那么在保证按照采购文件确定的事项的前提下，组成本合同的多个文件的优先适用顺序如下：</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1.1.1 本合同及其补充合同、变更协议；</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1.1.2 中标通知书；</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1.1.3 投标文件（含澄清或者说明文件）；</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1.1.4 招标文件（含澄清或者修改文件）；</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1.1.5 其他相关采购文件。</w:t>
      </w:r>
    </w:p>
    <w:p>
      <w:pPr>
        <w:keepNext w:val="0"/>
        <w:keepLines w:val="0"/>
        <w:pageBreakBefore w:val="0"/>
        <w:widowControl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107" w:name="_Toc24300"/>
      <w:bookmarkStart w:id="108" w:name="_Toc27126"/>
      <w:bookmarkStart w:id="109" w:name="_Toc14992"/>
      <w:bookmarkStart w:id="110" w:name="_Toc21295"/>
      <w:bookmarkStart w:id="111" w:name="_Toc24013"/>
      <w:bookmarkStart w:id="112" w:name="_Toc2021"/>
      <w:bookmarkStart w:id="113" w:name="_Toc23363"/>
      <w:bookmarkStart w:id="114" w:name="_Toc1526"/>
      <w:r>
        <w:rPr>
          <w:rFonts w:hint="eastAsia" w:ascii="宋体" w:hAnsi="宋体" w:eastAsia="宋体" w:cs="宋体"/>
          <w:b/>
          <w:sz w:val="21"/>
          <w:szCs w:val="21"/>
          <w:highlight w:val="none"/>
        </w:rPr>
        <w:t>1.2 货物</w:t>
      </w:r>
      <w:bookmarkEnd w:id="107"/>
      <w:bookmarkEnd w:id="108"/>
      <w:bookmarkEnd w:id="109"/>
      <w:bookmarkEnd w:id="110"/>
      <w:bookmarkEnd w:id="111"/>
      <w:bookmarkEnd w:id="112"/>
      <w:bookmarkEnd w:id="113"/>
      <w:bookmarkEnd w:id="114"/>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1.2.1 货物名称：</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1.2.2 货物数量：</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1.2.3 货物质量：</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p>
    <w:p>
      <w:pPr>
        <w:keepNext w:val="0"/>
        <w:keepLines w:val="0"/>
        <w:pageBreakBefore w:val="0"/>
        <w:widowControl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115" w:name="_Toc21551"/>
      <w:bookmarkStart w:id="116" w:name="_Toc23292"/>
      <w:bookmarkStart w:id="117" w:name="_Toc5971"/>
      <w:bookmarkStart w:id="118" w:name="_Toc6114"/>
      <w:bookmarkStart w:id="119" w:name="_Toc17781"/>
      <w:bookmarkStart w:id="120" w:name="_Toc21631"/>
      <w:bookmarkStart w:id="121" w:name="_Toc9451"/>
      <w:bookmarkStart w:id="122" w:name="_Toc24158"/>
      <w:r>
        <w:rPr>
          <w:rFonts w:hint="eastAsia" w:ascii="宋体" w:hAnsi="宋体" w:eastAsia="宋体" w:cs="宋体"/>
          <w:b/>
          <w:sz w:val="21"/>
          <w:szCs w:val="21"/>
          <w:highlight w:val="none"/>
        </w:rPr>
        <w:t>1.3 价款</w:t>
      </w:r>
      <w:bookmarkEnd w:id="115"/>
      <w:bookmarkEnd w:id="116"/>
      <w:bookmarkEnd w:id="117"/>
      <w:bookmarkEnd w:id="118"/>
      <w:bookmarkEnd w:id="119"/>
      <w:bookmarkEnd w:id="120"/>
      <w:bookmarkEnd w:id="121"/>
      <w:bookmarkEnd w:id="122"/>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本合同总价为：</w:t>
      </w:r>
      <w:r>
        <w:rPr>
          <w:rFonts w:hint="default" w:ascii="Arial" w:hAnsi="Arial" w:eastAsia="宋体" w:cs="Arial"/>
          <w:sz w:val="21"/>
          <w:szCs w:val="21"/>
          <w:highlight w:val="none"/>
        </w:rPr>
        <w:t>¥</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元（大写：</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元人民币）。</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分项价格：</w:t>
      </w:r>
    </w:p>
    <w:tbl>
      <w:tblPr>
        <w:tblStyle w:val="42"/>
        <w:tblW w:w="97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4363"/>
        <w:gridCol w:w="2693"/>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序号</w:t>
            </w:r>
          </w:p>
        </w:tc>
        <w:tc>
          <w:tcPr>
            <w:tcW w:w="4363"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分项名称</w:t>
            </w:r>
          </w:p>
        </w:tc>
        <w:tc>
          <w:tcPr>
            <w:tcW w:w="2693"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分项价格</w:t>
            </w:r>
          </w:p>
        </w:tc>
        <w:tc>
          <w:tcPr>
            <w:tcW w:w="1450" w:type="dxa"/>
            <w:tcBorders>
              <w:top w:val="single" w:color="auto" w:sz="4" w:space="0"/>
              <w:left w:val="single" w:color="auto" w:sz="4" w:space="0"/>
              <w:bottom w:val="single" w:color="auto" w:sz="4" w:space="0"/>
              <w:right w:val="single" w:color="auto" w:sz="4" w:space="0"/>
            </w:tcBorders>
            <w:noWrap w:val="0"/>
            <w:vAlign w:val="top"/>
          </w:tcPr>
          <w:p>
            <w:pPr>
              <w:pStyle w:val="128"/>
              <w:spacing w:line="56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4363"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2693"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1450" w:type="dxa"/>
            <w:tcBorders>
              <w:top w:val="single" w:color="auto" w:sz="4" w:space="0"/>
              <w:left w:val="single" w:color="auto" w:sz="4" w:space="0"/>
              <w:bottom w:val="single" w:color="auto" w:sz="4" w:space="0"/>
              <w:right w:val="single" w:color="auto" w:sz="4" w:space="0"/>
            </w:tcBorders>
            <w:noWrap w:val="0"/>
            <w:vAlign w:val="top"/>
          </w:tcPr>
          <w:p>
            <w:pPr>
              <w:pStyle w:val="128"/>
              <w:spacing w:line="560" w:lineRule="exact"/>
              <w:ind w:firstLine="200"/>
              <w:jc w:val="center"/>
              <w:rPr>
                <w:rFonts w:hint="eastAsia" w:ascii="宋体" w:hAnsi="宋体" w:eastAsia="宋体" w:cs="宋体"/>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4363"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2693"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1450" w:type="dxa"/>
            <w:tcBorders>
              <w:top w:val="single" w:color="auto" w:sz="4" w:space="0"/>
              <w:left w:val="single" w:color="auto" w:sz="4" w:space="0"/>
              <w:bottom w:val="single" w:color="auto" w:sz="4" w:space="0"/>
              <w:right w:val="single" w:color="auto" w:sz="4" w:space="0"/>
            </w:tcBorders>
            <w:noWrap w:val="0"/>
            <w:vAlign w:val="top"/>
          </w:tcPr>
          <w:p>
            <w:pPr>
              <w:pStyle w:val="128"/>
              <w:spacing w:line="560" w:lineRule="exact"/>
              <w:ind w:firstLine="200"/>
              <w:jc w:val="center"/>
              <w:rPr>
                <w:rFonts w:hint="eastAsia" w:ascii="宋体" w:hAnsi="宋体" w:eastAsia="宋体" w:cs="宋体"/>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4363"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2693"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1450" w:type="dxa"/>
            <w:tcBorders>
              <w:top w:val="single" w:color="auto" w:sz="4" w:space="0"/>
              <w:left w:val="single" w:color="auto" w:sz="4" w:space="0"/>
              <w:bottom w:val="single" w:color="auto" w:sz="4" w:space="0"/>
              <w:right w:val="single" w:color="auto" w:sz="4" w:space="0"/>
            </w:tcBorders>
            <w:noWrap w:val="0"/>
            <w:vAlign w:val="top"/>
          </w:tcPr>
          <w:p>
            <w:pPr>
              <w:pStyle w:val="128"/>
              <w:spacing w:line="560" w:lineRule="exact"/>
              <w:ind w:firstLine="200"/>
              <w:jc w:val="center"/>
              <w:rPr>
                <w:rFonts w:hint="eastAsia" w:ascii="宋体" w:hAnsi="宋体" w:eastAsia="宋体" w:cs="宋体"/>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4363"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2693"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1450" w:type="dxa"/>
            <w:tcBorders>
              <w:top w:val="single" w:color="auto" w:sz="4" w:space="0"/>
              <w:left w:val="single" w:color="auto" w:sz="4" w:space="0"/>
              <w:bottom w:val="single" w:color="auto" w:sz="4" w:space="0"/>
              <w:right w:val="single" w:color="auto" w:sz="4" w:space="0"/>
            </w:tcBorders>
            <w:noWrap w:val="0"/>
            <w:vAlign w:val="top"/>
          </w:tcPr>
          <w:p>
            <w:pPr>
              <w:pStyle w:val="128"/>
              <w:spacing w:line="560" w:lineRule="exact"/>
              <w:ind w:firstLine="200"/>
              <w:jc w:val="center"/>
              <w:rPr>
                <w:rFonts w:hint="eastAsia" w:ascii="宋体" w:hAnsi="宋体" w:eastAsia="宋体" w:cs="宋体"/>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64" w:type="dxa"/>
            <w:gridSpan w:val="2"/>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总价</w:t>
            </w:r>
          </w:p>
        </w:tc>
        <w:tc>
          <w:tcPr>
            <w:tcW w:w="2693" w:type="dxa"/>
            <w:tcBorders>
              <w:top w:val="single" w:color="auto" w:sz="4" w:space="0"/>
              <w:left w:val="single" w:color="auto" w:sz="4" w:space="0"/>
              <w:bottom w:val="single" w:color="auto" w:sz="4" w:space="0"/>
              <w:right w:val="single" w:color="auto" w:sz="4" w:space="0"/>
            </w:tcBorders>
            <w:noWrap w:val="0"/>
            <w:vAlign w:val="center"/>
          </w:tcPr>
          <w:p>
            <w:pPr>
              <w:pStyle w:val="128"/>
              <w:spacing w:line="560" w:lineRule="exact"/>
              <w:ind w:firstLine="200"/>
              <w:jc w:val="center"/>
              <w:rPr>
                <w:rFonts w:hint="eastAsia" w:ascii="宋体" w:hAnsi="宋体" w:eastAsia="宋体" w:cs="宋体"/>
                <w:sz w:val="21"/>
                <w:szCs w:val="21"/>
                <w:highlight w:val="none"/>
                <w:lang w:val="en-US" w:eastAsia="zh-CN"/>
              </w:rPr>
            </w:pPr>
          </w:p>
        </w:tc>
        <w:tc>
          <w:tcPr>
            <w:tcW w:w="1450" w:type="dxa"/>
            <w:tcBorders>
              <w:top w:val="single" w:color="auto" w:sz="4" w:space="0"/>
              <w:left w:val="single" w:color="auto" w:sz="4" w:space="0"/>
              <w:bottom w:val="single" w:color="auto" w:sz="4" w:space="0"/>
              <w:right w:val="single" w:color="auto" w:sz="4" w:space="0"/>
            </w:tcBorders>
            <w:noWrap w:val="0"/>
            <w:vAlign w:val="top"/>
          </w:tcPr>
          <w:p>
            <w:pPr>
              <w:pStyle w:val="128"/>
              <w:spacing w:line="560" w:lineRule="exact"/>
              <w:ind w:firstLine="200"/>
              <w:jc w:val="center"/>
              <w:rPr>
                <w:rFonts w:hint="eastAsia" w:ascii="宋体" w:hAnsi="宋体" w:eastAsia="宋体" w:cs="宋体"/>
                <w:sz w:val="21"/>
                <w:szCs w:val="21"/>
                <w:highlight w:val="none"/>
                <w:lang w:val="en-US" w:eastAsia="zh-CN"/>
              </w:rPr>
            </w:pPr>
          </w:p>
        </w:tc>
      </w:tr>
    </w:tbl>
    <w:p>
      <w:pPr>
        <w:keepNext w:val="0"/>
        <w:keepLines w:val="0"/>
        <w:pageBreakBefore w:val="0"/>
        <w:kinsoku/>
        <w:wordWrap/>
        <w:overflowPunct/>
        <w:topLinePunct w:val="0"/>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123" w:name="_Toc10340"/>
      <w:bookmarkStart w:id="124" w:name="_Toc22618"/>
      <w:bookmarkStart w:id="125" w:name="_Toc1814"/>
      <w:bookmarkStart w:id="126" w:name="_Toc11452"/>
      <w:bookmarkStart w:id="127" w:name="_Toc24551"/>
      <w:bookmarkStart w:id="128" w:name="_Toc31833"/>
      <w:bookmarkStart w:id="129" w:name="_Toc19290"/>
      <w:bookmarkStart w:id="130" w:name="_Toc1338"/>
      <w:r>
        <w:rPr>
          <w:rFonts w:hint="eastAsia" w:ascii="宋体" w:hAnsi="宋体" w:eastAsia="宋体" w:cs="宋体"/>
          <w:b/>
          <w:sz w:val="21"/>
          <w:szCs w:val="21"/>
          <w:highlight w:val="none"/>
        </w:rPr>
        <w:t>1.4 付款</w:t>
      </w:r>
      <w:bookmarkEnd w:id="123"/>
      <w:bookmarkEnd w:id="124"/>
      <w:bookmarkEnd w:id="125"/>
      <w:r>
        <w:rPr>
          <w:rFonts w:hint="eastAsia" w:ascii="宋体" w:hAnsi="宋体" w:eastAsia="宋体" w:cs="宋体"/>
          <w:b/>
          <w:sz w:val="21"/>
          <w:szCs w:val="21"/>
          <w:highlight w:val="none"/>
        </w:rPr>
        <w:t>方式、时间和条件</w:t>
      </w:r>
      <w:bookmarkEnd w:id="126"/>
      <w:bookmarkEnd w:id="127"/>
      <w:bookmarkEnd w:id="128"/>
      <w:bookmarkEnd w:id="129"/>
      <w:bookmarkEnd w:id="130"/>
    </w:p>
    <w:p>
      <w:pPr>
        <w:pStyle w:val="133"/>
        <w:keepNext w:val="0"/>
        <w:keepLines w:val="0"/>
        <w:pageBreakBefore w:val="0"/>
        <w:kinsoku/>
        <w:wordWrap/>
        <w:overflowPunct/>
        <w:topLinePunct w:val="0"/>
        <w:bidi w:val="0"/>
        <w:adjustRightInd/>
        <w:snapToGrid/>
        <w:spacing w:before="0" w:beforeAutospacing="0" w:after="0" w:afterAutospacing="0" w:line="420" w:lineRule="exact"/>
        <w:ind w:firstLine="48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1.4.1甲方应严格履行合同，及时组织验收，验收合格后及时将合同款支付完毕。</w:t>
      </w:r>
    </w:p>
    <w:p>
      <w:pPr>
        <w:keepNext w:val="0"/>
        <w:keepLines w:val="0"/>
        <w:pageBreakBefore w:val="0"/>
        <w:kinsoku/>
        <w:wordWrap/>
        <w:overflowPunct/>
        <w:topLinePunct w:val="0"/>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1.4.2</w:t>
      </w:r>
      <w:bookmarkStart w:id="131" w:name="_Toc29007"/>
      <w:bookmarkStart w:id="132" w:name="_Toc21789"/>
      <w:bookmarkStart w:id="133" w:name="_Toc11057"/>
      <w:r>
        <w:rPr>
          <w:rFonts w:hint="eastAsia" w:ascii="宋体" w:hAnsi="宋体" w:eastAsia="宋体" w:cs="宋体"/>
          <w:sz w:val="21"/>
          <w:szCs w:val="21"/>
          <w:highlight w:val="none"/>
        </w:rPr>
        <w:t>资金支付的方式、时间和条件详见</w:t>
      </w:r>
      <w:r>
        <w:rPr>
          <w:rFonts w:hint="eastAsia" w:ascii="宋体" w:hAnsi="宋体" w:eastAsia="宋体" w:cs="宋体"/>
          <w:b/>
          <w:i/>
          <w:sz w:val="21"/>
          <w:szCs w:val="21"/>
          <w:highlight w:val="none"/>
          <w:u w:val="single"/>
        </w:rPr>
        <w:t>合同专用条款</w:t>
      </w:r>
      <w:r>
        <w:rPr>
          <w:rFonts w:hint="eastAsia" w:ascii="宋体" w:hAnsi="宋体" w:eastAsia="宋体" w:cs="宋体"/>
          <w:sz w:val="21"/>
          <w:szCs w:val="21"/>
          <w:highlight w:val="none"/>
        </w:rPr>
        <w:t>。</w:t>
      </w:r>
      <w:bookmarkEnd w:id="131"/>
      <w:bookmarkEnd w:id="132"/>
      <w:bookmarkEnd w:id="133"/>
    </w:p>
    <w:p>
      <w:pPr>
        <w:keepNext w:val="0"/>
        <w:keepLines w:val="0"/>
        <w:pageBreakBefore w:val="0"/>
        <w:kinsoku/>
        <w:wordWrap/>
        <w:overflowPunct/>
        <w:topLinePunct w:val="0"/>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134" w:name="_Toc1568"/>
      <w:bookmarkStart w:id="135" w:name="_Toc32071"/>
      <w:bookmarkStart w:id="136" w:name="_Toc5960"/>
      <w:bookmarkStart w:id="137" w:name="_Toc5731"/>
      <w:bookmarkStart w:id="138" w:name="_Toc19304"/>
      <w:bookmarkStart w:id="139" w:name="_Toc24235"/>
      <w:bookmarkStart w:id="140" w:name="_Toc2846"/>
      <w:bookmarkStart w:id="141" w:name="_Toc14935"/>
      <w:r>
        <w:rPr>
          <w:rFonts w:hint="eastAsia" w:ascii="宋体" w:hAnsi="宋体" w:eastAsia="宋体" w:cs="宋体"/>
          <w:b/>
          <w:sz w:val="21"/>
          <w:szCs w:val="21"/>
          <w:highlight w:val="none"/>
        </w:rPr>
        <w:t>1.5 货物交付期限、地点和方式</w:t>
      </w:r>
      <w:bookmarkEnd w:id="134"/>
      <w:bookmarkEnd w:id="135"/>
      <w:bookmarkEnd w:id="136"/>
      <w:bookmarkEnd w:id="137"/>
      <w:bookmarkEnd w:id="138"/>
      <w:bookmarkEnd w:id="139"/>
      <w:bookmarkEnd w:id="140"/>
      <w:bookmarkEnd w:id="141"/>
    </w:p>
    <w:p>
      <w:pPr>
        <w:keepNext w:val="0"/>
        <w:keepLines w:val="0"/>
        <w:pageBreakBefore w:val="0"/>
        <w:kinsoku/>
        <w:wordWrap/>
        <w:overflowPunct/>
        <w:topLinePunct w:val="0"/>
        <w:bidi w:val="0"/>
        <w:adjustRightInd/>
        <w:snapToGrid/>
        <w:spacing w:line="420" w:lineRule="exact"/>
        <w:ind w:firstLine="420" w:firstLineChars="200"/>
        <w:textAlignment w:val="auto"/>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1.5.1 交付期限：详见</w:t>
      </w:r>
      <w:r>
        <w:rPr>
          <w:rFonts w:hint="eastAsia" w:ascii="宋体" w:hAnsi="宋体" w:eastAsia="宋体" w:cs="宋体"/>
          <w:b/>
          <w:i/>
          <w:sz w:val="21"/>
          <w:szCs w:val="21"/>
          <w:highlight w:val="none"/>
          <w:u w:val="single"/>
        </w:rPr>
        <w:t>合同专用条款</w:t>
      </w:r>
      <w:r>
        <w:rPr>
          <w:rFonts w:hint="eastAsia" w:ascii="宋体" w:hAnsi="宋体" w:eastAsia="宋体" w:cs="宋体"/>
          <w:sz w:val="21"/>
          <w:szCs w:val="21"/>
          <w:highlight w:val="none"/>
        </w:rPr>
        <w:t>；</w:t>
      </w:r>
    </w:p>
    <w:p>
      <w:pPr>
        <w:keepNext w:val="0"/>
        <w:keepLines w:val="0"/>
        <w:pageBreakBefore w:val="0"/>
        <w:kinsoku/>
        <w:wordWrap/>
        <w:overflowPunct/>
        <w:topLinePunct w:val="0"/>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1.5.2 交付地点：</w:t>
      </w:r>
      <w:r>
        <w:rPr>
          <w:rFonts w:hint="eastAsia" w:ascii="宋体" w:hAnsi="宋体" w:eastAsia="宋体" w:cs="宋体"/>
          <w:b/>
          <w:i/>
          <w:sz w:val="21"/>
          <w:szCs w:val="21"/>
          <w:highlight w:val="none"/>
          <w:u w:val="single"/>
        </w:rPr>
        <w:t>合同专用条款</w:t>
      </w:r>
      <w:r>
        <w:rPr>
          <w:rFonts w:hint="eastAsia" w:ascii="宋体" w:hAnsi="宋体" w:eastAsia="宋体" w:cs="宋体"/>
          <w:sz w:val="21"/>
          <w:szCs w:val="21"/>
          <w:highlight w:val="none"/>
        </w:rPr>
        <w:t>；</w:t>
      </w:r>
    </w:p>
    <w:p>
      <w:pPr>
        <w:keepNext w:val="0"/>
        <w:keepLines w:val="0"/>
        <w:pageBreakBefore w:val="0"/>
        <w:kinsoku/>
        <w:wordWrap/>
        <w:overflowPunct/>
        <w:topLinePunct w:val="0"/>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1.5.3 交付方式：</w:t>
      </w:r>
      <w:r>
        <w:rPr>
          <w:rFonts w:hint="eastAsia" w:ascii="宋体" w:hAnsi="宋体" w:eastAsia="宋体" w:cs="宋体"/>
          <w:b/>
          <w:i/>
          <w:sz w:val="21"/>
          <w:szCs w:val="21"/>
          <w:highlight w:val="none"/>
          <w:u w:val="single"/>
        </w:rPr>
        <w:t>合同专用条款</w:t>
      </w:r>
      <w:r>
        <w:rPr>
          <w:rFonts w:hint="eastAsia" w:ascii="宋体" w:hAnsi="宋体" w:eastAsia="宋体" w:cs="宋体"/>
          <w:sz w:val="21"/>
          <w:szCs w:val="21"/>
          <w:highlight w:val="none"/>
        </w:rPr>
        <w:t>。</w:t>
      </w:r>
    </w:p>
    <w:p>
      <w:pPr>
        <w:keepNext w:val="0"/>
        <w:keepLines w:val="0"/>
        <w:pageBreakBefore w:val="0"/>
        <w:kinsoku/>
        <w:wordWrap/>
        <w:overflowPunct/>
        <w:topLinePunct w:val="0"/>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142" w:name="_Toc21423"/>
      <w:bookmarkStart w:id="143" w:name="_Toc1024"/>
      <w:bookmarkStart w:id="144" w:name="_Toc20794"/>
      <w:bookmarkStart w:id="145" w:name="_Toc16887"/>
      <w:bookmarkStart w:id="146" w:name="_Toc19554"/>
      <w:bookmarkStart w:id="147" w:name="_Toc22216"/>
      <w:bookmarkStart w:id="148" w:name="_Toc6100"/>
      <w:bookmarkStart w:id="149" w:name="_Toc27250"/>
      <w:r>
        <w:rPr>
          <w:rFonts w:hint="eastAsia" w:ascii="宋体" w:hAnsi="宋体" w:eastAsia="宋体" w:cs="宋体"/>
          <w:b/>
          <w:sz w:val="21"/>
          <w:szCs w:val="21"/>
          <w:highlight w:val="none"/>
        </w:rPr>
        <w:t>1.6 违约责任</w:t>
      </w:r>
      <w:bookmarkEnd w:id="142"/>
      <w:bookmarkEnd w:id="143"/>
      <w:bookmarkEnd w:id="144"/>
      <w:bookmarkEnd w:id="145"/>
      <w:bookmarkEnd w:id="146"/>
      <w:bookmarkEnd w:id="147"/>
      <w:bookmarkEnd w:id="148"/>
      <w:bookmarkEnd w:id="149"/>
    </w:p>
    <w:p>
      <w:pPr>
        <w:keepNext w:val="0"/>
        <w:keepLines w:val="0"/>
        <w:pageBreakBefore w:val="0"/>
        <w:kinsoku/>
        <w:wordWrap/>
        <w:overflowPunct/>
        <w:topLinePunct w:val="0"/>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0.5</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rPr>
        <w:t>%计算，最高限额为本合同总价的</w:t>
      </w:r>
      <w:r>
        <w:rPr>
          <w:rFonts w:hint="eastAsia" w:ascii="宋体" w:hAnsi="宋体" w:eastAsia="宋体" w:cs="宋体"/>
          <w:sz w:val="21"/>
          <w:szCs w:val="21"/>
          <w:highlight w:val="none"/>
          <w:u w:val="single"/>
        </w:rPr>
        <w:t xml:space="preserve"> 20</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rPr>
        <w:t>%；迟延交付货物的违约金计算数额达到前述最高限额之日起，甲方有权在要求乙方支付违约金的同时，书面通知乙方解除本合同；</w:t>
      </w:r>
    </w:p>
    <w:p>
      <w:pPr>
        <w:keepNext w:val="0"/>
        <w:keepLines w:val="0"/>
        <w:pageBreakBefore w:val="0"/>
        <w:kinsoku/>
        <w:wordWrap/>
        <w:overflowPunct/>
        <w:topLinePunct w:val="0"/>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1.6.2</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keepNext w:val="0"/>
        <w:keepLines w:val="0"/>
        <w:pageBreakBefore w:val="0"/>
        <w:kinsoku/>
        <w:wordWrap/>
        <w:overflowPunct/>
        <w:topLinePunct w:val="0"/>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1.6.3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keepNext w:val="0"/>
        <w:keepLines w:val="0"/>
        <w:pageBreakBefore w:val="0"/>
        <w:kinsoku/>
        <w:wordWrap/>
        <w:overflowPunct/>
        <w:topLinePunct w:val="0"/>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1.6.4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keepNext w:val="0"/>
        <w:keepLines w:val="0"/>
        <w:pageBreakBefore w:val="0"/>
        <w:kinsoku/>
        <w:wordWrap/>
        <w:overflowPunct/>
        <w:topLinePunct w:val="0"/>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1.6.5 如果出现政府采购监督管理部门在处理投诉事项期间，书面通知甲方暂停采购活动的情形，或者询问或质疑事项可能影响中标结果的，导致甲方中止履行合同的情形，均不视为甲方违约。</w:t>
      </w:r>
    </w:p>
    <w:p>
      <w:pPr>
        <w:keepNext w:val="0"/>
        <w:keepLines w:val="0"/>
        <w:pageBreakBefore w:val="0"/>
        <w:kinsoku/>
        <w:wordWrap/>
        <w:overflowPunct/>
        <w:topLinePunct w:val="0"/>
        <w:bidi w:val="0"/>
        <w:adjustRightInd/>
        <w:snapToGrid/>
        <w:spacing w:line="420" w:lineRule="exact"/>
        <w:ind w:left="-420" w:leftChars="-200" w:right="-420" w:rightChars="-200" w:firstLine="840" w:firstLineChars="4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1.6.6违约责任</w:t>
      </w:r>
      <w:r>
        <w:rPr>
          <w:rFonts w:hint="eastAsia" w:ascii="宋体" w:hAnsi="宋体" w:eastAsia="宋体" w:cs="宋体"/>
          <w:b/>
          <w:i/>
          <w:sz w:val="21"/>
          <w:szCs w:val="21"/>
          <w:highlight w:val="none"/>
          <w:u w:val="single"/>
        </w:rPr>
        <w:t>合同专用条款</w:t>
      </w:r>
      <w:r>
        <w:rPr>
          <w:rFonts w:hint="eastAsia" w:ascii="宋体" w:hAnsi="宋体" w:eastAsia="宋体" w:cs="宋体"/>
          <w:sz w:val="21"/>
          <w:szCs w:val="21"/>
          <w:highlight w:val="none"/>
        </w:rPr>
        <w:t>另有约定的，从其约定。</w:t>
      </w:r>
    </w:p>
    <w:p>
      <w:pPr>
        <w:keepNext w:val="0"/>
        <w:keepLines w:val="0"/>
        <w:pageBreakBefore w:val="0"/>
        <w:kinsoku/>
        <w:wordWrap/>
        <w:overflowPunct/>
        <w:topLinePunct w:val="0"/>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150" w:name="_Toc12396"/>
      <w:bookmarkStart w:id="151" w:name="_Toc28375"/>
      <w:bookmarkStart w:id="152" w:name="_Toc542"/>
      <w:bookmarkStart w:id="153" w:name="_Toc16021"/>
      <w:bookmarkStart w:id="154" w:name="_Toc15583"/>
      <w:bookmarkStart w:id="155" w:name="_Toc11928"/>
      <w:bookmarkStart w:id="156" w:name="_Toc31487"/>
      <w:bookmarkStart w:id="157" w:name="_Toc6751"/>
      <w:r>
        <w:rPr>
          <w:rFonts w:hint="eastAsia" w:ascii="宋体" w:hAnsi="宋体" w:eastAsia="宋体" w:cs="宋体"/>
          <w:b/>
          <w:sz w:val="21"/>
          <w:szCs w:val="21"/>
          <w:highlight w:val="none"/>
        </w:rPr>
        <w:t>1.7 合同争议的解决</w:t>
      </w:r>
      <w:bookmarkEnd w:id="150"/>
      <w:bookmarkEnd w:id="151"/>
      <w:bookmarkEnd w:id="152"/>
      <w:bookmarkEnd w:id="153"/>
      <w:bookmarkEnd w:id="154"/>
      <w:bookmarkEnd w:id="155"/>
      <w:bookmarkEnd w:id="156"/>
      <w:bookmarkEnd w:id="157"/>
    </w:p>
    <w:p>
      <w:pPr>
        <w:keepNext w:val="0"/>
        <w:keepLines w:val="0"/>
        <w:pageBreakBefore w:val="0"/>
        <w:kinsoku/>
        <w:wordWrap/>
        <w:overflowPunct/>
        <w:topLinePunct w:val="0"/>
        <w:bidi w:val="0"/>
        <w:adjustRightInd/>
        <w:snapToGrid/>
        <w:spacing w:line="420" w:lineRule="exact"/>
        <w:ind w:left="-61" w:leftChars="-29" w:right="-420" w:rightChars="-200" w:firstLine="210" w:firstLineChars="1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本合同履行过程中发生的任何争议，双方当事人均可通过和解或者调解解决；不愿和解、调解或者和解、调解不成的，可以选择以下第</w:t>
      </w:r>
      <w:r>
        <w:rPr>
          <w:rFonts w:hint="eastAsia" w:ascii="宋体" w:hAnsi="宋体" w:eastAsia="宋体" w:cs="宋体"/>
          <w:b/>
          <w:i/>
          <w:sz w:val="21"/>
          <w:szCs w:val="21"/>
          <w:highlight w:val="none"/>
          <w:u w:val="single"/>
        </w:rPr>
        <w:t xml:space="preserve"> 合同专用条款  </w:t>
      </w:r>
      <w:r>
        <w:rPr>
          <w:rFonts w:hint="eastAsia" w:ascii="宋体" w:hAnsi="宋体" w:eastAsia="宋体" w:cs="宋体"/>
          <w:sz w:val="21"/>
          <w:szCs w:val="21"/>
          <w:highlight w:val="none"/>
        </w:rPr>
        <w:t>条款规定的方式解决：</w:t>
      </w:r>
    </w:p>
    <w:p>
      <w:pPr>
        <w:keepNext w:val="0"/>
        <w:keepLines w:val="0"/>
        <w:pageBreakBefore w:val="0"/>
        <w:kinsoku/>
        <w:wordWrap/>
        <w:overflowPunct/>
        <w:topLinePunct w:val="0"/>
        <w:bidi w:val="0"/>
        <w:adjustRightInd/>
        <w:snapToGrid/>
        <w:spacing w:line="420" w:lineRule="exact"/>
        <w:ind w:left="-420" w:leftChars="-200" w:right="-420" w:rightChars="-200" w:firstLine="525" w:firstLineChars="25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1.7.1 将争议提交</w:t>
      </w:r>
      <w:r>
        <w:rPr>
          <w:rFonts w:hint="eastAsia" w:ascii="宋体" w:hAnsi="宋体" w:eastAsia="宋体" w:cs="宋体"/>
          <w:b/>
          <w:i/>
          <w:sz w:val="21"/>
          <w:szCs w:val="21"/>
          <w:highlight w:val="none"/>
          <w:u w:val="single"/>
        </w:rPr>
        <w:t>合同专用条款</w:t>
      </w:r>
      <w:r>
        <w:rPr>
          <w:rFonts w:hint="eastAsia" w:ascii="宋体" w:hAnsi="宋体" w:eastAsia="宋体" w:cs="宋体"/>
          <w:sz w:val="21"/>
          <w:szCs w:val="21"/>
          <w:highlight w:val="none"/>
        </w:rPr>
        <w:t>仲裁委员会依申请仲裁时其现行有效的仲裁规则裁决；</w:t>
      </w:r>
    </w:p>
    <w:p>
      <w:pPr>
        <w:keepNext w:val="0"/>
        <w:keepLines w:val="0"/>
        <w:pageBreakBefore w:val="0"/>
        <w:kinsoku/>
        <w:wordWrap/>
        <w:overflowPunct/>
        <w:topLinePunct w:val="0"/>
        <w:bidi w:val="0"/>
        <w:adjustRightInd/>
        <w:snapToGrid/>
        <w:spacing w:line="420" w:lineRule="exact"/>
        <w:ind w:left="-420" w:leftChars="-200" w:right="-420" w:rightChars="-200" w:firstLine="525" w:firstLineChars="25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1.7.2 向</w:t>
      </w:r>
      <w:r>
        <w:rPr>
          <w:rFonts w:hint="eastAsia" w:ascii="宋体" w:hAnsi="宋体" w:eastAsia="宋体" w:cs="宋体"/>
          <w:b/>
          <w:i/>
          <w:sz w:val="21"/>
          <w:szCs w:val="21"/>
          <w:highlight w:val="none"/>
          <w:u w:val="single"/>
        </w:rPr>
        <w:t>合同专用条款</w:t>
      </w:r>
      <w:r>
        <w:rPr>
          <w:rFonts w:hint="eastAsia" w:ascii="宋体" w:hAnsi="宋体" w:eastAsia="宋体" w:cs="宋体"/>
          <w:sz w:val="21"/>
          <w:szCs w:val="21"/>
          <w:highlight w:val="none"/>
        </w:rPr>
        <w:t>人民法院起诉。</w:t>
      </w:r>
    </w:p>
    <w:p>
      <w:pPr>
        <w:keepNext w:val="0"/>
        <w:keepLines w:val="0"/>
        <w:pageBreakBefore w:val="0"/>
        <w:kinsoku/>
        <w:wordWrap/>
        <w:overflowPunct/>
        <w:topLinePunct w:val="0"/>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158" w:name="_Toc14110"/>
      <w:bookmarkStart w:id="159" w:name="_Toc6240"/>
      <w:bookmarkStart w:id="160" w:name="_Toc11173"/>
      <w:bookmarkStart w:id="161" w:name="_Toc2485"/>
      <w:bookmarkStart w:id="162" w:name="_Toc16221"/>
      <w:bookmarkStart w:id="163" w:name="_Toc7245"/>
      <w:bookmarkStart w:id="164" w:name="_Toc1580"/>
      <w:bookmarkStart w:id="165" w:name="_Toc15322"/>
      <w:r>
        <w:rPr>
          <w:rFonts w:hint="eastAsia" w:ascii="宋体" w:hAnsi="宋体" w:eastAsia="宋体" w:cs="宋体"/>
          <w:b/>
          <w:sz w:val="21"/>
          <w:szCs w:val="21"/>
          <w:highlight w:val="none"/>
        </w:rPr>
        <w:t>1.8 合同生效</w:t>
      </w:r>
      <w:bookmarkEnd w:id="158"/>
      <w:bookmarkEnd w:id="159"/>
      <w:bookmarkEnd w:id="160"/>
      <w:bookmarkEnd w:id="161"/>
      <w:bookmarkEnd w:id="162"/>
      <w:bookmarkEnd w:id="163"/>
      <w:bookmarkEnd w:id="164"/>
      <w:bookmarkEnd w:id="165"/>
    </w:p>
    <w:p>
      <w:pPr>
        <w:keepNext w:val="0"/>
        <w:keepLines w:val="0"/>
        <w:pageBreakBefore w:val="0"/>
        <w:kinsoku/>
        <w:wordWrap/>
        <w:overflowPunct/>
        <w:topLinePunct w:val="0"/>
        <w:bidi w:val="0"/>
        <w:adjustRightInd/>
        <w:snapToGrid/>
        <w:spacing w:line="420" w:lineRule="exact"/>
        <w:ind w:firstLine="420" w:firstLineChars="200"/>
        <w:textAlignment w:val="auto"/>
        <w:rPr>
          <w:rFonts w:hint="eastAsia" w:ascii="宋体" w:hAnsi="宋体" w:eastAsia="宋体" w:cs="宋体"/>
          <w:b/>
          <w:sz w:val="21"/>
          <w:szCs w:val="21"/>
          <w:highlight w:val="none"/>
        </w:rPr>
      </w:pPr>
      <w:r>
        <w:rPr>
          <w:rFonts w:hint="eastAsia" w:ascii="宋体" w:hAnsi="宋体" w:eastAsia="宋体" w:cs="宋体"/>
          <w:sz w:val="21"/>
          <w:szCs w:val="21"/>
          <w:highlight w:val="none"/>
        </w:rPr>
        <w:t>本合同自双方当事人盖章或者签字时生效。</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b/>
          <w:sz w:val="21"/>
          <w:szCs w:val="21"/>
          <w:highlight w:val="none"/>
          <w:lang w:val="zh-CN"/>
        </w:rPr>
      </w:pP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b/>
          <w:sz w:val="21"/>
          <w:szCs w:val="21"/>
          <w:highlight w:val="none"/>
          <w:lang w:val="zh-CN"/>
        </w:rPr>
      </w:pP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lang w:val="zh-CN"/>
        </w:rPr>
      </w:pPr>
      <w:r>
        <w:rPr>
          <w:rFonts w:hint="eastAsia" w:ascii="宋体" w:hAnsi="宋体" w:eastAsia="宋体" w:cs="宋体"/>
          <w:b/>
          <w:sz w:val="21"/>
          <w:szCs w:val="21"/>
          <w:highlight w:val="none"/>
          <w:lang w:val="zh-CN"/>
        </w:rPr>
        <w:t>甲方</w:t>
      </w:r>
      <w:r>
        <w:rPr>
          <w:rFonts w:hint="eastAsia" w:ascii="宋体" w:hAnsi="宋体" w:eastAsia="宋体" w:cs="宋体"/>
          <w:sz w:val="21"/>
          <w:szCs w:val="21"/>
          <w:highlight w:val="none"/>
          <w:lang w:val="zh-CN"/>
        </w:rPr>
        <w:t xml:space="preserve">：                             </w:t>
      </w:r>
      <w:r>
        <w:rPr>
          <w:rFonts w:hint="eastAsia" w:ascii="宋体" w:hAnsi="宋体" w:eastAsia="宋体" w:cs="宋体"/>
          <w:b/>
          <w:sz w:val="21"/>
          <w:szCs w:val="21"/>
          <w:highlight w:val="none"/>
          <w:lang w:val="zh-CN"/>
        </w:rPr>
        <w:t xml:space="preserve">      乙方</w:t>
      </w:r>
      <w:r>
        <w:rPr>
          <w:rFonts w:hint="eastAsia" w:ascii="宋体" w:hAnsi="宋体" w:eastAsia="宋体" w:cs="宋体"/>
          <w:sz w:val="21"/>
          <w:szCs w:val="21"/>
          <w:highlight w:val="none"/>
          <w:lang w:val="zh-CN"/>
        </w:rPr>
        <w:t>：</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统一社会信用代码：                        统一社会信用代码或身份证号码：</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lang w:val="zh-CN"/>
        </w:rPr>
      </w:pP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住所：                                   住所：</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法定代表人或                             法定代表人</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 xml:space="preserve">授权代表（签字）：                        或授权代表（签字）: </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联系人：                                 联系人：</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约定送达地址：                           约定送达地址：</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邮政编码：                               邮政编码：</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 xml:space="preserve">电话:                                    电话: </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传真:                                    传真:</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zh-CN"/>
        </w:rPr>
        <w:t>电子邮箱：                               电子邮箱：</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开户银行：                               开户银行： </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开户名称：                               开户名称： </w:t>
      </w:r>
    </w:p>
    <w:p>
      <w:pPr>
        <w:keepNext w:val="0"/>
        <w:keepLines w:val="0"/>
        <w:pageBreakBefore w:val="0"/>
        <w:kinsoku/>
        <w:wordWrap/>
        <w:overflowPunct/>
        <w:topLinePunct w:val="0"/>
        <w:autoSpaceDE w:val="0"/>
        <w:autoSpaceDN w:val="0"/>
        <w:bidi w:val="0"/>
        <w:adjustRightInd/>
        <w:snapToGrid/>
        <w:spacing w:line="42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开户账号：</w:t>
      </w:r>
      <w:r>
        <w:rPr>
          <w:rFonts w:hint="eastAsia" w:ascii="宋体" w:hAnsi="宋体" w:eastAsia="宋体" w:cs="宋体"/>
          <w:sz w:val="21"/>
          <w:szCs w:val="21"/>
          <w:highlight w:val="none"/>
          <w:lang w:val="zh-CN"/>
        </w:rPr>
        <w:t xml:space="preserve">                               </w:t>
      </w:r>
      <w:r>
        <w:rPr>
          <w:rFonts w:hint="eastAsia" w:ascii="宋体" w:hAnsi="宋体" w:eastAsia="宋体" w:cs="宋体"/>
          <w:sz w:val="21"/>
          <w:szCs w:val="21"/>
          <w:highlight w:val="none"/>
        </w:rPr>
        <w:t>开户账号：</w:t>
      </w:r>
    </w:p>
    <w:p>
      <w:pPr>
        <w:pStyle w:val="131"/>
        <w:spacing w:line="560" w:lineRule="exact"/>
        <w:ind w:left="0" w:leftChars="0" w:firstLine="0" w:firstLineChars="0"/>
        <w:jc w:val="center"/>
        <w:rPr>
          <w:rFonts w:hint="eastAsia" w:ascii="宋体" w:hAnsi="宋体" w:eastAsia="宋体" w:cs="宋体"/>
          <w:b/>
          <w:sz w:val="21"/>
          <w:szCs w:val="21"/>
          <w:highlight w:val="none"/>
        </w:rPr>
      </w:pPr>
      <w:bookmarkStart w:id="166" w:name="_Toc331685783"/>
      <w:r>
        <w:rPr>
          <w:rFonts w:hint="eastAsia" w:ascii="宋体" w:hAnsi="宋体" w:eastAsia="宋体" w:cs="宋体"/>
          <w:b/>
          <w:sz w:val="21"/>
          <w:szCs w:val="21"/>
          <w:highlight w:val="none"/>
        </w:rPr>
        <w:br w:type="page"/>
      </w:r>
      <w:r>
        <w:rPr>
          <w:rFonts w:hint="eastAsia" w:ascii="宋体" w:hAnsi="宋体" w:eastAsia="宋体" w:cs="宋体"/>
          <w:b/>
          <w:sz w:val="24"/>
          <w:szCs w:val="24"/>
          <w:highlight w:val="none"/>
        </w:rPr>
        <w:t>第二章 合同一般条款</w:t>
      </w:r>
      <w:bookmarkEnd w:id="166"/>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167" w:name="_Ref467379094"/>
      <w:bookmarkStart w:id="168" w:name="_Ref467378404"/>
      <w:bookmarkStart w:id="169" w:name="_Toc16917"/>
      <w:bookmarkStart w:id="170" w:name="_Toc487900349"/>
      <w:bookmarkStart w:id="171" w:name="_Toc23270"/>
      <w:bookmarkStart w:id="172" w:name="_Ref467378499"/>
      <w:bookmarkStart w:id="173" w:name="_Ref467379109"/>
      <w:bookmarkStart w:id="174" w:name="_Ref467379225"/>
      <w:bookmarkStart w:id="175" w:name="_Ref467378463"/>
      <w:bookmarkStart w:id="176" w:name="_Ref467379101"/>
      <w:bookmarkStart w:id="177" w:name="_Toc259093669"/>
      <w:bookmarkStart w:id="178" w:name="_Toc279701240"/>
      <w:bookmarkStart w:id="179" w:name="_Toc28763"/>
      <w:bookmarkStart w:id="180" w:name="_Ref467379214"/>
      <w:bookmarkStart w:id="181" w:name="_Toc5873"/>
      <w:bookmarkStart w:id="182" w:name="_Toc19614"/>
      <w:bookmarkStart w:id="183" w:name="_Toc2129"/>
      <w:bookmarkStart w:id="184" w:name="_Toc12315"/>
      <w:bookmarkStart w:id="185" w:name="_Toc25727"/>
      <w:bookmarkStart w:id="186" w:name="_Ref467379195"/>
      <w:bookmarkStart w:id="187" w:name="_Ref467379205"/>
      <w:r>
        <w:rPr>
          <w:rFonts w:hint="eastAsia" w:ascii="宋体" w:hAnsi="宋体" w:eastAsia="宋体" w:cs="宋体"/>
          <w:b/>
          <w:sz w:val="21"/>
          <w:szCs w:val="21"/>
          <w:highlight w:val="none"/>
        </w:rPr>
        <w:t>2.1 定义</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本合同中的下列词语应按以下内容进行解释：</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2.1.1 “合同”系指采购人和中标</w:t>
      </w:r>
      <w:r>
        <w:rPr>
          <w:rFonts w:hint="eastAsia" w:cs="宋体"/>
          <w:sz w:val="21"/>
          <w:szCs w:val="21"/>
          <w:highlight w:val="none"/>
          <w:lang w:eastAsia="zh-CN"/>
        </w:rPr>
        <w:t>供应商</w:t>
      </w:r>
      <w:r>
        <w:rPr>
          <w:rFonts w:hint="eastAsia" w:ascii="宋体" w:hAnsi="宋体" w:eastAsia="宋体" w:cs="宋体"/>
          <w:sz w:val="21"/>
          <w:szCs w:val="21"/>
          <w:highlight w:val="none"/>
        </w:rPr>
        <w:t>签订的载明双方当事人所达成的协议，并包括所有的附件、附录和构成合同的其他文件。</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2.1.2 “合同价”系指根据合同约定，中标</w:t>
      </w:r>
      <w:r>
        <w:rPr>
          <w:rFonts w:hint="eastAsia" w:cs="宋体"/>
          <w:sz w:val="21"/>
          <w:szCs w:val="21"/>
          <w:highlight w:val="none"/>
          <w:lang w:eastAsia="zh-CN"/>
        </w:rPr>
        <w:t>供应商</w:t>
      </w:r>
      <w:r>
        <w:rPr>
          <w:rFonts w:hint="eastAsia" w:ascii="宋体" w:hAnsi="宋体" w:eastAsia="宋体" w:cs="宋体"/>
          <w:sz w:val="21"/>
          <w:szCs w:val="21"/>
          <w:highlight w:val="none"/>
        </w:rPr>
        <w:t>在完全履行合同义务后，采购人应支付给中标</w:t>
      </w:r>
      <w:r>
        <w:rPr>
          <w:rFonts w:hint="eastAsia" w:cs="宋体"/>
          <w:sz w:val="21"/>
          <w:szCs w:val="21"/>
          <w:highlight w:val="none"/>
          <w:lang w:eastAsia="zh-CN"/>
        </w:rPr>
        <w:t>供应商</w:t>
      </w:r>
      <w:r>
        <w:rPr>
          <w:rFonts w:hint="eastAsia" w:ascii="宋体" w:hAnsi="宋体" w:eastAsia="宋体" w:cs="宋体"/>
          <w:sz w:val="21"/>
          <w:szCs w:val="21"/>
          <w:highlight w:val="none"/>
        </w:rPr>
        <w:t>的价格。</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2.1.3 “货物”系指中标</w:t>
      </w:r>
      <w:r>
        <w:rPr>
          <w:rFonts w:hint="eastAsia" w:cs="宋体"/>
          <w:sz w:val="21"/>
          <w:szCs w:val="21"/>
          <w:highlight w:val="none"/>
          <w:lang w:eastAsia="zh-CN"/>
        </w:rPr>
        <w:t>供应商</w:t>
      </w:r>
      <w:r>
        <w:rPr>
          <w:rFonts w:hint="eastAsia" w:ascii="宋体" w:hAnsi="宋体" w:eastAsia="宋体" w:cs="宋体"/>
          <w:sz w:val="21"/>
          <w:szCs w:val="21"/>
          <w:highlight w:val="none"/>
        </w:rPr>
        <w:t>根据合同约定应向采购人交付的一切各种形态和种类的物品，包括原材料、燃料、设备、机械、仪表、备件、计算机软件、产品等，并包括工具、手册等其他相关资料。</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bookmarkStart w:id="188" w:name="_Ref467378840"/>
      <w:r>
        <w:rPr>
          <w:rFonts w:hint="eastAsia" w:ascii="宋体" w:hAnsi="宋体" w:eastAsia="宋体" w:cs="宋体"/>
          <w:sz w:val="21"/>
          <w:szCs w:val="21"/>
          <w:highlight w:val="none"/>
        </w:rPr>
        <w:t>2.1.4 “甲方”系指与中标</w:t>
      </w:r>
      <w:r>
        <w:rPr>
          <w:rFonts w:hint="eastAsia" w:cs="宋体"/>
          <w:sz w:val="21"/>
          <w:szCs w:val="21"/>
          <w:highlight w:val="none"/>
          <w:lang w:eastAsia="zh-CN"/>
        </w:rPr>
        <w:t>供应商</w:t>
      </w:r>
      <w:r>
        <w:rPr>
          <w:rFonts w:hint="eastAsia" w:ascii="宋体" w:hAnsi="宋体" w:eastAsia="宋体" w:cs="宋体"/>
          <w:sz w:val="21"/>
          <w:szCs w:val="21"/>
          <w:highlight w:val="none"/>
        </w:rPr>
        <w:t>签署合同的采购人</w:t>
      </w:r>
      <w:bookmarkEnd w:id="188"/>
      <w:r>
        <w:rPr>
          <w:rFonts w:hint="eastAsia" w:ascii="宋体" w:hAnsi="宋体" w:eastAsia="宋体" w:cs="宋体"/>
          <w:sz w:val="21"/>
          <w:szCs w:val="21"/>
          <w:highlight w:val="none"/>
        </w:rPr>
        <w:t>；采购人委托采购代理机构代表其与乙方签订合同的，采购人的授权委托书作为合同附件。</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bookmarkStart w:id="189" w:name="_Ref467379400"/>
      <w:r>
        <w:rPr>
          <w:rFonts w:hint="eastAsia" w:ascii="宋体" w:hAnsi="宋体" w:eastAsia="宋体" w:cs="宋体"/>
          <w:sz w:val="21"/>
          <w:szCs w:val="21"/>
          <w:highlight w:val="none"/>
        </w:rPr>
        <w:t>2.1.5 “乙方”系指根据合同约定交付货物的中标</w:t>
      </w:r>
      <w:bookmarkEnd w:id="189"/>
      <w:r>
        <w:rPr>
          <w:rFonts w:hint="eastAsia" w:cs="宋体"/>
          <w:sz w:val="21"/>
          <w:szCs w:val="21"/>
          <w:highlight w:val="none"/>
          <w:lang w:eastAsia="zh-CN"/>
        </w:rPr>
        <w:t>供应商</w:t>
      </w:r>
      <w:r>
        <w:rPr>
          <w:rFonts w:hint="eastAsia" w:ascii="宋体" w:hAnsi="宋体" w:eastAsia="宋体" w:cs="宋体"/>
          <w:sz w:val="21"/>
          <w:szCs w:val="21"/>
          <w:highlight w:val="none"/>
        </w:rPr>
        <w:t>；两个以上的自然人、法人或者其他组织组成一个联合体，以一个</w:t>
      </w:r>
      <w:r>
        <w:rPr>
          <w:rFonts w:hint="eastAsia" w:cs="宋体"/>
          <w:sz w:val="21"/>
          <w:szCs w:val="21"/>
          <w:highlight w:val="none"/>
          <w:lang w:eastAsia="zh-CN"/>
        </w:rPr>
        <w:t>供应商</w:t>
      </w:r>
      <w:r>
        <w:rPr>
          <w:rFonts w:hint="eastAsia" w:ascii="宋体" w:hAnsi="宋体" w:eastAsia="宋体" w:cs="宋体"/>
          <w:sz w:val="21"/>
          <w:szCs w:val="21"/>
          <w:highlight w:val="none"/>
        </w:rPr>
        <w:t>的身份共同参加政府采购的，联合体各方均应为乙方或者与乙方相同地位的合同当事人，并就合同约定的事项对甲方承担连带责任。</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bookmarkStart w:id="190" w:name="_Ref467379436"/>
      <w:r>
        <w:rPr>
          <w:rFonts w:hint="eastAsia" w:ascii="宋体" w:hAnsi="宋体" w:eastAsia="宋体" w:cs="宋体"/>
          <w:sz w:val="21"/>
          <w:szCs w:val="21"/>
          <w:highlight w:val="none"/>
        </w:rPr>
        <w:t>2.1.6 “现场”系指合同约定货物将要运至或者安装的地点。</w:t>
      </w:r>
      <w:bookmarkEnd w:id="190"/>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191" w:name="_Toc27635"/>
      <w:bookmarkStart w:id="192" w:name="_Toc32504"/>
      <w:bookmarkStart w:id="193" w:name="_Toc7029"/>
      <w:bookmarkStart w:id="194" w:name="_Toc4724"/>
      <w:bookmarkStart w:id="195" w:name="_Toc15872"/>
      <w:bookmarkStart w:id="196" w:name="_Toc487900350"/>
      <w:bookmarkStart w:id="197" w:name="_Toc15792"/>
      <w:bookmarkStart w:id="198" w:name="_Toc279701241"/>
      <w:bookmarkStart w:id="199" w:name="_Toc13336"/>
      <w:bookmarkStart w:id="200" w:name="_Toc259093670"/>
      <w:bookmarkStart w:id="201" w:name="_Toc5080"/>
      <w:r>
        <w:rPr>
          <w:rFonts w:hint="eastAsia" w:ascii="宋体" w:hAnsi="宋体" w:eastAsia="宋体" w:cs="宋体"/>
          <w:b/>
          <w:sz w:val="21"/>
          <w:szCs w:val="21"/>
          <w:highlight w:val="none"/>
        </w:rPr>
        <w:t>2.2 技术规范</w:t>
      </w:r>
      <w:bookmarkEnd w:id="191"/>
      <w:bookmarkEnd w:id="192"/>
      <w:bookmarkEnd w:id="193"/>
      <w:bookmarkEnd w:id="194"/>
      <w:bookmarkEnd w:id="195"/>
      <w:bookmarkEnd w:id="196"/>
      <w:bookmarkEnd w:id="197"/>
      <w:bookmarkEnd w:id="198"/>
      <w:bookmarkEnd w:id="199"/>
      <w:bookmarkEnd w:id="200"/>
      <w:bookmarkEnd w:id="201"/>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202" w:name="_Toc9829"/>
      <w:bookmarkStart w:id="203" w:name="_Toc27194"/>
      <w:bookmarkStart w:id="204" w:name="_Toc32146"/>
      <w:bookmarkStart w:id="205" w:name="_Toc30779"/>
      <w:bookmarkStart w:id="206" w:name="_Toc3972"/>
      <w:bookmarkStart w:id="207" w:name="_Toc487900351"/>
      <w:bookmarkStart w:id="208" w:name="_Toc27853"/>
      <w:bookmarkStart w:id="209" w:name="_Toc279701242"/>
      <w:bookmarkStart w:id="210" w:name="_Toc31634"/>
      <w:bookmarkStart w:id="211" w:name="_Toc259093671"/>
      <w:bookmarkStart w:id="212" w:name="_Toc23231"/>
      <w:r>
        <w:rPr>
          <w:rFonts w:hint="eastAsia" w:ascii="宋体" w:hAnsi="宋体" w:eastAsia="宋体" w:cs="宋体"/>
          <w:b/>
          <w:sz w:val="21"/>
          <w:szCs w:val="21"/>
          <w:highlight w:val="none"/>
        </w:rPr>
        <w:t>2.3 知识产权</w:t>
      </w:r>
      <w:bookmarkEnd w:id="202"/>
      <w:bookmarkEnd w:id="203"/>
      <w:bookmarkEnd w:id="204"/>
      <w:bookmarkEnd w:id="205"/>
      <w:bookmarkEnd w:id="206"/>
      <w:bookmarkEnd w:id="207"/>
      <w:bookmarkEnd w:id="208"/>
      <w:bookmarkEnd w:id="209"/>
      <w:bookmarkEnd w:id="210"/>
      <w:bookmarkEnd w:id="211"/>
      <w:bookmarkEnd w:id="212"/>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2.3.2具有知识产权的计算机软件等货物的知识产权归属，详见</w:t>
      </w:r>
      <w:r>
        <w:rPr>
          <w:rFonts w:hint="eastAsia" w:ascii="宋体" w:hAnsi="宋体" w:eastAsia="宋体" w:cs="宋体"/>
          <w:b/>
          <w:i/>
          <w:sz w:val="21"/>
          <w:szCs w:val="21"/>
          <w:highlight w:val="none"/>
          <w:u w:val="single"/>
        </w:rPr>
        <w:t>合同专用条款</w:t>
      </w:r>
      <w:r>
        <w:rPr>
          <w:rFonts w:hint="eastAsia" w:ascii="宋体" w:hAnsi="宋体" w:eastAsia="宋体" w:cs="宋体"/>
          <w:sz w:val="21"/>
          <w:szCs w:val="21"/>
          <w:highlight w:val="none"/>
        </w:rPr>
        <w:t>。</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213" w:name="_Toc11932"/>
      <w:bookmarkStart w:id="214" w:name="_Toc4194"/>
      <w:bookmarkStart w:id="215" w:name="_Toc11969"/>
      <w:bookmarkStart w:id="216" w:name="_Toc2789"/>
      <w:bookmarkStart w:id="217" w:name="_Toc3901"/>
      <w:bookmarkStart w:id="218" w:name="_Toc29149"/>
      <w:bookmarkStart w:id="219" w:name="_Toc18624"/>
      <w:bookmarkStart w:id="220" w:name="_Toc18397"/>
      <w:r>
        <w:rPr>
          <w:rFonts w:hint="eastAsia" w:ascii="宋体" w:hAnsi="宋体" w:eastAsia="宋体" w:cs="宋体"/>
          <w:b/>
          <w:sz w:val="21"/>
          <w:szCs w:val="21"/>
          <w:highlight w:val="none"/>
        </w:rPr>
        <w:t>2.4 包装和装运</w:t>
      </w:r>
      <w:bookmarkEnd w:id="213"/>
      <w:bookmarkEnd w:id="214"/>
      <w:bookmarkEnd w:id="215"/>
      <w:bookmarkEnd w:id="216"/>
      <w:bookmarkEnd w:id="217"/>
      <w:bookmarkEnd w:id="218"/>
      <w:bookmarkEnd w:id="219"/>
      <w:bookmarkEnd w:id="220"/>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2.4.1除</w:t>
      </w:r>
      <w:r>
        <w:rPr>
          <w:rFonts w:hint="eastAsia" w:ascii="宋体" w:hAnsi="宋体" w:eastAsia="宋体" w:cs="宋体"/>
          <w:b/>
          <w:i/>
          <w:sz w:val="21"/>
          <w:szCs w:val="21"/>
          <w:highlight w:val="none"/>
          <w:u w:val="single"/>
        </w:rPr>
        <w:t>合同专用条款</w:t>
      </w:r>
      <w:r>
        <w:rPr>
          <w:rFonts w:hint="eastAsia" w:ascii="宋体" w:hAnsi="宋体" w:eastAsia="宋体" w:cs="宋体"/>
          <w:sz w:val="21"/>
          <w:szCs w:val="21"/>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2.4.2 装运货物的要求和通知，详见</w:t>
      </w:r>
      <w:r>
        <w:rPr>
          <w:rFonts w:hint="eastAsia" w:ascii="宋体" w:hAnsi="宋体" w:eastAsia="宋体" w:cs="宋体"/>
          <w:b/>
          <w:i/>
          <w:sz w:val="21"/>
          <w:szCs w:val="21"/>
          <w:highlight w:val="none"/>
          <w:u w:val="single"/>
        </w:rPr>
        <w:t>合同专用条款</w:t>
      </w:r>
      <w:r>
        <w:rPr>
          <w:rFonts w:hint="eastAsia" w:ascii="宋体" w:hAnsi="宋体" w:eastAsia="宋体" w:cs="宋体"/>
          <w:sz w:val="21"/>
          <w:szCs w:val="21"/>
          <w:highlight w:val="none"/>
        </w:rPr>
        <w:t>。</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221" w:name="_Toc279701245"/>
      <w:bookmarkStart w:id="222" w:name="_Ref467378591"/>
      <w:bookmarkStart w:id="223" w:name="_Ref467379527"/>
      <w:bookmarkStart w:id="224" w:name="_Toc487900354"/>
      <w:bookmarkStart w:id="225" w:name="_Ref467378541"/>
      <w:bookmarkStart w:id="226" w:name="_Ref467379542"/>
      <w:bookmarkStart w:id="227" w:name="_Toc259093674"/>
      <w:bookmarkStart w:id="228" w:name="_Ref467379536"/>
      <w:bookmarkStart w:id="229" w:name="_Toc8002"/>
      <w:bookmarkStart w:id="230" w:name="_Toc6744"/>
      <w:bookmarkStart w:id="231" w:name="_Toc26647"/>
      <w:bookmarkStart w:id="232" w:name="_Toc26182"/>
      <w:bookmarkStart w:id="233" w:name="_Toc19074"/>
      <w:bookmarkStart w:id="234" w:name="_Toc23863"/>
      <w:bookmarkStart w:id="235" w:name="_Toc30272"/>
      <w:bookmarkStart w:id="236" w:name="_Toc19047"/>
      <w:r>
        <w:rPr>
          <w:rFonts w:hint="eastAsia" w:ascii="宋体" w:hAnsi="宋体" w:eastAsia="宋体" w:cs="宋体"/>
          <w:b/>
          <w:sz w:val="21"/>
          <w:szCs w:val="21"/>
          <w:highlight w:val="none"/>
        </w:rPr>
        <w:t>2.</w:t>
      </w:r>
      <w:bookmarkEnd w:id="221"/>
      <w:bookmarkEnd w:id="222"/>
      <w:bookmarkEnd w:id="223"/>
      <w:bookmarkEnd w:id="224"/>
      <w:bookmarkEnd w:id="225"/>
      <w:bookmarkEnd w:id="226"/>
      <w:bookmarkEnd w:id="227"/>
      <w:bookmarkEnd w:id="228"/>
      <w:r>
        <w:rPr>
          <w:rFonts w:hint="eastAsia" w:ascii="宋体" w:hAnsi="宋体" w:eastAsia="宋体" w:cs="宋体"/>
          <w:b/>
          <w:sz w:val="21"/>
          <w:szCs w:val="21"/>
          <w:highlight w:val="none"/>
        </w:rPr>
        <w:t>5 履约检查和问题反馈</w:t>
      </w:r>
      <w:bookmarkEnd w:id="229"/>
      <w:bookmarkEnd w:id="230"/>
      <w:bookmarkEnd w:id="231"/>
      <w:bookmarkEnd w:id="232"/>
      <w:bookmarkEnd w:id="233"/>
      <w:bookmarkEnd w:id="234"/>
      <w:bookmarkEnd w:id="235"/>
      <w:bookmarkEnd w:id="236"/>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bookmarkStart w:id="237" w:name="_Ref467379657"/>
      <w:r>
        <w:rPr>
          <w:rFonts w:hint="eastAsia" w:ascii="宋体" w:hAnsi="宋体" w:eastAsia="宋体" w:cs="宋体"/>
          <w:sz w:val="21"/>
          <w:szCs w:val="21"/>
          <w:highlight w:val="none"/>
        </w:rPr>
        <w:t>2.5.1</w:t>
      </w:r>
      <w:bookmarkEnd w:id="237"/>
      <w:bookmarkStart w:id="238" w:name="_Toc186431854"/>
      <w:bookmarkStart w:id="239" w:name="_Toc279701247"/>
      <w:bookmarkStart w:id="240" w:name="_Ref467379807"/>
      <w:bookmarkStart w:id="241" w:name="_Ref467379793"/>
      <w:bookmarkStart w:id="242" w:name="_Toc259093676"/>
      <w:bookmarkStart w:id="243" w:name="_Toc487900357"/>
      <w:r>
        <w:rPr>
          <w:rFonts w:hint="eastAsia" w:ascii="宋体" w:hAnsi="宋体" w:eastAsia="宋体" w:cs="宋体"/>
          <w:sz w:val="21"/>
          <w:szCs w:val="21"/>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2.5.2 合同履行期间，甲方有权将履行过程中出现的问题反馈给乙方，双方当事人应以书面形式约定需要完善和改进的内容</w:t>
      </w:r>
      <w:bookmarkEnd w:id="238"/>
      <w:bookmarkStart w:id="244" w:name="_Toc186431855"/>
      <w:r>
        <w:rPr>
          <w:rFonts w:hint="eastAsia" w:ascii="宋体" w:hAnsi="宋体" w:eastAsia="宋体" w:cs="宋体"/>
          <w:sz w:val="21"/>
          <w:szCs w:val="21"/>
          <w:highlight w:val="none"/>
        </w:rPr>
        <w:t>。</w:t>
      </w:r>
    </w:p>
    <w:bookmarkEnd w:id="239"/>
    <w:bookmarkEnd w:id="240"/>
    <w:bookmarkEnd w:id="241"/>
    <w:bookmarkEnd w:id="242"/>
    <w:bookmarkEnd w:id="243"/>
    <w:bookmarkEnd w:id="244"/>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245" w:name="_Toc279701248"/>
      <w:bookmarkStart w:id="246" w:name="_Ref467379923"/>
      <w:bookmarkStart w:id="247" w:name="_Ref467379852"/>
      <w:bookmarkStart w:id="248" w:name="_Toc259093677"/>
      <w:bookmarkStart w:id="249" w:name="_Toc487900358"/>
      <w:bookmarkStart w:id="250" w:name="_Ref467379863"/>
      <w:bookmarkStart w:id="251" w:name="_Toc774"/>
      <w:bookmarkStart w:id="252" w:name="_Toc16110"/>
      <w:bookmarkStart w:id="253" w:name="_Toc12927"/>
      <w:bookmarkStart w:id="254" w:name="_Toc16638"/>
      <w:bookmarkStart w:id="255" w:name="_Toc6921"/>
      <w:bookmarkStart w:id="256" w:name="_Toc3225"/>
      <w:bookmarkStart w:id="257" w:name="_Toc20857"/>
      <w:bookmarkStart w:id="258" w:name="_Toc17794"/>
      <w:r>
        <w:rPr>
          <w:rFonts w:hint="eastAsia" w:ascii="宋体" w:hAnsi="宋体" w:eastAsia="宋体" w:cs="宋体"/>
          <w:b/>
          <w:sz w:val="21"/>
          <w:szCs w:val="21"/>
          <w:highlight w:val="none"/>
        </w:rPr>
        <w:t>2.6 技术资料</w:t>
      </w:r>
      <w:bookmarkEnd w:id="245"/>
      <w:bookmarkEnd w:id="246"/>
      <w:bookmarkEnd w:id="247"/>
      <w:bookmarkEnd w:id="248"/>
      <w:bookmarkEnd w:id="249"/>
      <w:bookmarkEnd w:id="250"/>
      <w:r>
        <w:rPr>
          <w:rFonts w:hint="eastAsia" w:ascii="宋体" w:hAnsi="宋体" w:eastAsia="宋体" w:cs="宋体"/>
          <w:b/>
          <w:sz w:val="21"/>
          <w:szCs w:val="21"/>
          <w:highlight w:val="none"/>
        </w:rPr>
        <w:t>和保密义务</w:t>
      </w:r>
      <w:bookmarkEnd w:id="251"/>
      <w:bookmarkEnd w:id="252"/>
      <w:bookmarkEnd w:id="253"/>
      <w:bookmarkEnd w:id="254"/>
      <w:bookmarkEnd w:id="255"/>
      <w:bookmarkEnd w:id="256"/>
      <w:bookmarkEnd w:id="257"/>
      <w:bookmarkEnd w:id="258"/>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2.6.1 乙方有权依据合同约定和项目需要，向甲方了解有关情况，调阅有关资料等，甲方应予积极配合；</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2.6.2 乙方有义务妥善保管和保护由甲方提供的前款信息和资料等；</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259" w:name="_Toc17512"/>
      <w:bookmarkStart w:id="260" w:name="_Toc7860"/>
      <w:bookmarkStart w:id="261" w:name="_Toc10158"/>
      <w:bookmarkStart w:id="262" w:name="_Toc7141"/>
      <w:bookmarkStart w:id="263" w:name="_Toc19011"/>
      <w:bookmarkStart w:id="264" w:name="_Toc28670"/>
      <w:r>
        <w:rPr>
          <w:rFonts w:hint="eastAsia" w:ascii="宋体" w:hAnsi="宋体" w:eastAsia="宋体" w:cs="宋体"/>
          <w:b/>
          <w:sz w:val="21"/>
          <w:szCs w:val="21"/>
          <w:highlight w:val="none"/>
        </w:rPr>
        <w:t>2.7 质量保证</w:t>
      </w:r>
      <w:bookmarkEnd w:id="259"/>
      <w:bookmarkEnd w:id="260"/>
      <w:bookmarkEnd w:id="261"/>
      <w:bookmarkEnd w:id="262"/>
      <w:bookmarkEnd w:id="263"/>
      <w:bookmarkEnd w:id="264"/>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2.7.1 乙方应建立和完善履行合同的内部质量保证体系，并提供相关内部规章制度给甲方，以便甲方进行监督检查；</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2.7.2 乙方应保证履行合同的人员数量和素质、软件和硬件设备的配置、场地、环境和设施等满足全面履行合同的要求，并应接受甲方的监督检查。</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265" w:name="_Toc8670"/>
      <w:bookmarkStart w:id="266" w:name="_Toc30094"/>
      <w:bookmarkStart w:id="267" w:name="_Toc17244"/>
      <w:bookmarkStart w:id="268" w:name="_Toc21782"/>
      <w:bookmarkStart w:id="269" w:name="_Toc15018"/>
      <w:bookmarkStart w:id="270" w:name="_Toc21595"/>
      <w:bookmarkStart w:id="271" w:name="_Toc259093681"/>
      <w:bookmarkStart w:id="272" w:name="_Toc279701252"/>
      <w:bookmarkStart w:id="273" w:name="_Toc487900362"/>
      <w:r>
        <w:rPr>
          <w:rFonts w:hint="eastAsia" w:ascii="宋体" w:hAnsi="宋体" w:eastAsia="宋体" w:cs="宋体"/>
          <w:b/>
          <w:sz w:val="21"/>
          <w:szCs w:val="21"/>
          <w:highlight w:val="none"/>
        </w:rPr>
        <w:t>2.8 货物的风险负担</w:t>
      </w:r>
      <w:bookmarkEnd w:id="265"/>
      <w:bookmarkEnd w:id="266"/>
      <w:bookmarkEnd w:id="267"/>
      <w:bookmarkEnd w:id="268"/>
      <w:bookmarkEnd w:id="269"/>
      <w:bookmarkEnd w:id="270"/>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b/>
          <w:sz w:val="21"/>
          <w:szCs w:val="21"/>
          <w:highlight w:val="none"/>
        </w:rPr>
      </w:pPr>
      <w:r>
        <w:rPr>
          <w:rFonts w:hint="eastAsia" w:ascii="宋体" w:hAnsi="宋体" w:eastAsia="宋体" w:cs="宋体"/>
          <w:sz w:val="21"/>
          <w:szCs w:val="21"/>
          <w:highlight w:val="none"/>
        </w:rPr>
        <w:t>货物或者在途货物或者交付给第一承运人后的货物毁损、灭失的风险负担详见</w:t>
      </w:r>
      <w:r>
        <w:rPr>
          <w:rFonts w:hint="eastAsia" w:ascii="宋体" w:hAnsi="宋体" w:eastAsia="宋体" w:cs="宋体"/>
          <w:b/>
          <w:i/>
          <w:sz w:val="21"/>
          <w:szCs w:val="21"/>
          <w:highlight w:val="none"/>
          <w:u w:val="single"/>
        </w:rPr>
        <w:t>合同专用条款</w:t>
      </w:r>
      <w:r>
        <w:rPr>
          <w:rFonts w:hint="eastAsia" w:ascii="宋体" w:hAnsi="宋体" w:eastAsia="宋体" w:cs="宋体"/>
          <w:sz w:val="21"/>
          <w:szCs w:val="21"/>
          <w:highlight w:val="none"/>
        </w:rPr>
        <w:t>。</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274" w:name="_Toc7389"/>
      <w:bookmarkStart w:id="275" w:name="_Toc14055"/>
      <w:bookmarkStart w:id="276" w:name="_Toc21812"/>
      <w:bookmarkStart w:id="277" w:name="_Toc1178"/>
      <w:bookmarkStart w:id="278" w:name="_Toc19826"/>
      <w:bookmarkStart w:id="279" w:name="_Toc13004"/>
      <w:r>
        <w:rPr>
          <w:rFonts w:hint="eastAsia" w:ascii="宋体" w:hAnsi="宋体" w:eastAsia="宋体" w:cs="宋体"/>
          <w:b/>
          <w:sz w:val="21"/>
          <w:szCs w:val="21"/>
          <w:highlight w:val="none"/>
        </w:rPr>
        <w:t>2.9 延迟交货</w:t>
      </w:r>
      <w:bookmarkEnd w:id="271"/>
      <w:bookmarkEnd w:id="272"/>
      <w:bookmarkEnd w:id="273"/>
      <w:bookmarkEnd w:id="274"/>
      <w:bookmarkEnd w:id="275"/>
      <w:bookmarkEnd w:id="276"/>
      <w:bookmarkEnd w:id="277"/>
      <w:bookmarkEnd w:id="278"/>
      <w:bookmarkEnd w:id="279"/>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280" w:name="_Toc19526"/>
      <w:bookmarkStart w:id="281" w:name="_Toc7032"/>
      <w:bookmarkStart w:id="282" w:name="_Toc11358"/>
      <w:bookmarkStart w:id="283" w:name="_Toc7502"/>
      <w:bookmarkStart w:id="284" w:name="_Toc12868"/>
      <w:bookmarkStart w:id="285" w:name="_Toc1926"/>
      <w:bookmarkStart w:id="286" w:name="_Toc487900364"/>
      <w:bookmarkStart w:id="287" w:name="_Ref467378121"/>
      <w:bookmarkStart w:id="288" w:name="_Toc279701254"/>
      <w:bookmarkStart w:id="289" w:name="_Toc259093683"/>
      <w:r>
        <w:rPr>
          <w:rFonts w:hint="eastAsia" w:ascii="宋体" w:hAnsi="宋体" w:eastAsia="宋体" w:cs="宋体"/>
          <w:b/>
          <w:sz w:val="21"/>
          <w:szCs w:val="21"/>
          <w:highlight w:val="none"/>
        </w:rPr>
        <w:t>2.10 合同变更</w:t>
      </w:r>
      <w:bookmarkEnd w:id="280"/>
      <w:bookmarkEnd w:id="281"/>
      <w:bookmarkEnd w:id="282"/>
      <w:bookmarkEnd w:id="283"/>
      <w:bookmarkEnd w:id="284"/>
      <w:bookmarkEnd w:id="285"/>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合同继续履行将损害国家利益和社会公共利益的，双方当事人应当以书面形式变更合同。有过错的一方应当承担赔偿责任，双方当事人都有过错的，各自承担相应的责任。</w:t>
      </w:r>
      <w:bookmarkStart w:id="290" w:name="_Toc259093688"/>
      <w:bookmarkStart w:id="291" w:name="_Toc487900369"/>
      <w:bookmarkStart w:id="292" w:name="_Toc279701259"/>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293" w:name="_Toc13440"/>
      <w:bookmarkStart w:id="294" w:name="_Toc179"/>
      <w:bookmarkStart w:id="295" w:name="_Toc10366"/>
      <w:bookmarkStart w:id="296" w:name="_Toc22955"/>
      <w:bookmarkStart w:id="297" w:name="_Toc15237"/>
      <w:bookmarkStart w:id="298" w:name="_Toc23878"/>
      <w:bookmarkStart w:id="299" w:name="_Toc23794"/>
      <w:bookmarkStart w:id="300" w:name="_Toc317"/>
      <w:r>
        <w:rPr>
          <w:rFonts w:hint="eastAsia" w:ascii="宋体" w:hAnsi="宋体" w:eastAsia="宋体" w:cs="宋体"/>
          <w:b/>
          <w:sz w:val="21"/>
          <w:szCs w:val="21"/>
          <w:highlight w:val="none"/>
        </w:rPr>
        <w:t>2.11 合同转让</w:t>
      </w:r>
      <w:bookmarkEnd w:id="290"/>
      <w:bookmarkEnd w:id="291"/>
      <w:bookmarkEnd w:id="292"/>
      <w:r>
        <w:rPr>
          <w:rFonts w:hint="eastAsia" w:ascii="宋体" w:hAnsi="宋体" w:eastAsia="宋体" w:cs="宋体"/>
          <w:b/>
          <w:sz w:val="21"/>
          <w:szCs w:val="21"/>
          <w:highlight w:val="none"/>
        </w:rPr>
        <w:t>和分包</w:t>
      </w:r>
      <w:bookmarkEnd w:id="293"/>
      <w:bookmarkEnd w:id="294"/>
      <w:bookmarkEnd w:id="295"/>
      <w:bookmarkEnd w:id="296"/>
      <w:bookmarkEnd w:id="297"/>
      <w:bookmarkEnd w:id="298"/>
      <w:bookmarkEnd w:id="299"/>
      <w:bookmarkEnd w:id="300"/>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w:t>
      </w:r>
      <w:r>
        <w:rPr>
          <w:rFonts w:hint="eastAsia" w:cs="宋体"/>
          <w:sz w:val="21"/>
          <w:szCs w:val="21"/>
          <w:highlight w:val="none"/>
          <w:lang w:eastAsia="zh-CN"/>
        </w:rPr>
        <w:t>供应商</w:t>
      </w:r>
      <w:r>
        <w:rPr>
          <w:rFonts w:hint="eastAsia" w:ascii="宋体" w:hAnsi="宋体" w:eastAsia="宋体" w:cs="宋体"/>
          <w:sz w:val="21"/>
          <w:szCs w:val="21"/>
          <w:highlight w:val="none"/>
        </w:rPr>
        <w:t>就分包项目向甲方承担连带责任。</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2.11.2乙方采取分包方式履行合同的，甲方可直接向分包</w:t>
      </w:r>
      <w:r>
        <w:rPr>
          <w:rFonts w:hint="eastAsia" w:cs="宋体"/>
          <w:sz w:val="21"/>
          <w:szCs w:val="21"/>
          <w:highlight w:val="none"/>
          <w:lang w:eastAsia="zh-CN"/>
        </w:rPr>
        <w:t>供应商</w:t>
      </w:r>
      <w:r>
        <w:rPr>
          <w:rFonts w:hint="eastAsia" w:ascii="宋体" w:hAnsi="宋体" w:eastAsia="宋体" w:cs="宋体"/>
          <w:sz w:val="21"/>
          <w:szCs w:val="21"/>
          <w:highlight w:val="none"/>
        </w:rPr>
        <w:t>支付款项。</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301" w:name="_Toc13566"/>
      <w:bookmarkStart w:id="302" w:name="_Toc17996"/>
      <w:bookmarkStart w:id="303" w:name="_Toc16508"/>
      <w:bookmarkStart w:id="304" w:name="_Toc6282"/>
      <w:bookmarkStart w:id="305" w:name="_Toc25454"/>
      <w:bookmarkStart w:id="306" w:name="_Toc11106"/>
      <w:bookmarkStart w:id="307" w:name="_Toc14066"/>
      <w:bookmarkStart w:id="308" w:name="_Toc23036"/>
      <w:r>
        <w:rPr>
          <w:rFonts w:hint="eastAsia" w:ascii="宋体" w:hAnsi="宋体" w:eastAsia="宋体" w:cs="宋体"/>
          <w:b/>
          <w:sz w:val="21"/>
          <w:szCs w:val="21"/>
          <w:highlight w:val="none"/>
        </w:rPr>
        <w:t>2.12 不可抗力</w:t>
      </w:r>
      <w:bookmarkEnd w:id="301"/>
      <w:bookmarkEnd w:id="302"/>
      <w:bookmarkEnd w:id="303"/>
      <w:bookmarkEnd w:id="304"/>
      <w:bookmarkEnd w:id="305"/>
      <w:bookmarkEnd w:id="306"/>
      <w:bookmarkEnd w:id="307"/>
      <w:bookmarkEnd w:id="308"/>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2.12.1如果任何一方遭遇法律规定的不可抗力，致使合同履行受阻时，履行合同的期限应予延长，延长的期限应相当于不可抗力所影响的时间；</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2.12.2 因不可抗力致使不能实现合同目的的，当事人可以解除合同；</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2.12.3 因不可抗力致使合同有变更必要的，双方当事人应在</w:t>
      </w:r>
      <w:r>
        <w:rPr>
          <w:rFonts w:hint="eastAsia" w:ascii="宋体" w:hAnsi="宋体" w:eastAsia="宋体" w:cs="宋体"/>
          <w:b/>
          <w:i/>
          <w:sz w:val="21"/>
          <w:szCs w:val="21"/>
          <w:highlight w:val="none"/>
          <w:u w:val="single"/>
        </w:rPr>
        <w:t>合同专用条款</w:t>
      </w:r>
      <w:r>
        <w:rPr>
          <w:rFonts w:hint="eastAsia" w:ascii="宋体" w:hAnsi="宋体" w:eastAsia="宋体" w:cs="宋体"/>
          <w:sz w:val="21"/>
          <w:szCs w:val="21"/>
          <w:highlight w:val="none"/>
        </w:rPr>
        <w:t>约定时间内以书面形式变更合同；</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2.12.4受不可抗力影响的一方在不可抗力发生后，应在</w:t>
      </w:r>
      <w:r>
        <w:rPr>
          <w:rFonts w:hint="eastAsia" w:ascii="宋体" w:hAnsi="宋体" w:eastAsia="宋体" w:cs="宋体"/>
          <w:b/>
          <w:i/>
          <w:sz w:val="21"/>
          <w:szCs w:val="21"/>
          <w:highlight w:val="none"/>
          <w:u w:val="single"/>
        </w:rPr>
        <w:t>合同专用条款</w:t>
      </w:r>
      <w:r>
        <w:rPr>
          <w:rFonts w:hint="eastAsia" w:ascii="宋体" w:hAnsi="宋体" w:eastAsia="宋体" w:cs="宋体"/>
          <w:sz w:val="21"/>
          <w:szCs w:val="21"/>
          <w:highlight w:val="none"/>
        </w:rPr>
        <w:t>约定时间内以书面形式通知对方当事人，并在</w:t>
      </w:r>
      <w:r>
        <w:rPr>
          <w:rFonts w:hint="eastAsia" w:ascii="宋体" w:hAnsi="宋体" w:eastAsia="宋体" w:cs="宋体"/>
          <w:b/>
          <w:i/>
          <w:sz w:val="21"/>
          <w:szCs w:val="21"/>
          <w:highlight w:val="none"/>
          <w:u w:val="single"/>
        </w:rPr>
        <w:t>合同专用条款</w:t>
      </w:r>
      <w:r>
        <w:rPr>
          <w:rFonts w:hint="eastAsia" w:ascii="宋体" w:hAnsi="宋体" w:eastAsia="宋体" w:cs="宋体"/>
          <w:sz w:val="21"/>
          <w:szCs w:val="21"/>
          <w:highlight w:val="none"/>
        </w:rPr>
        <w:t>约定时间内，将有关部门出具的证明文件送达对方当事人。</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309" w:name="_Toc689"/>
      <w:bookmarkStart w:id="310" w:name="_Toc279701255"/>
      <w:bookmarkStart w:id="311" w:name="_Toc30676"/>
      <w:bookmarkStart w:id="312" w:name="_Toc27483"/>
      <w:bookmarkStart w:id="313" w:name="_Toc259093684"/>
      <w:bookmarkStart w:id="314" w:name="_Toc487900365"/>
      <w:bookmarkStart w:id="315" w:name="_Toc1765"/>
      <w:bookmarkStart w:id="316" w:name="_Toc13641"/>
      <w:bookmarkStart w:id="317" w:name="_Toc6969"/>
      <w:bookmarkStart w:id="318" w:name="_Toc2572"/>
      <w:bookmarkStart w:id="319" w:name="_Toc28692"/>
      <w:r>
        <w:rPr>
          <w:rFonts w:hint="eastAsia" w:ascii="宋体" w:hAnsi="宋体" w:eastAsia="宋体" w:cs="宋体"/>
          <w:b/>
          <w:sz w:val="21"/>
          <w:szCs w:val="21"/>
          <w:highlight w:val="none"/>
        </w:rPr>
        <w:t>2.13 税费</w:t>
      </w:r>
      <w:bookmarkEnd w:id="309"/>
      <w:bookmarkEnd w:id="310"/>
      <w:bookmarkEnd w:id="311"/>
      <w:bookmarkEnd w:id="312"/>
      <w:bookmarkEnd w:id="313"/>
      <w:bookmarkEnd w:id="314"/>
      <w:bookmarkEnd w:id="315"/>
      <w:bookmarkEnd w:id="316"/>
      <w:bookmarkEnd w:id="317"/>
      <w:bookmarkEnd w:id="318"/>
      <w:bookmarkEnd w:id="319"/>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与合同有关的一切税费，均按照中华人民共和国法律的相关规定。</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320" w:name="_Toc19338"/>
      <w:bookmarkStart w:id="321" w:name="_Toc259093687"/>
      <w:bookmarkStart w:id="322" w:name="_Toc28545"/>
      <w:bookmarkStart w:id="323" w:name="_Toc7102"/>
      <w:bookmarkStart w:id="324" w:name="_Toc16959"/>
      <w:bookmarkStart w:id="325" w:name="_Toc10168"/>
      <w:bookmarkStart w:id="326" w:name="_Toc279701258"/>
      <w:bookmarkStart w:id="327" w:name="_Toc8298"/>
      <w:bookmarkStart w:id="328" w:name="_Toc30363"/>
      <w:bookmarkStart w:id="329" w:name="_Toc487900368"/>
      <w:bookmarkStart w:id="330" w:name="_Toc1875"/>
      <w:r>
        <w:rPr>
          <w:rFonts w:hint="eastAsia" w:ascii="宋体" w:hAnsi="宋体" w:eastAsia="宋体" w:cs="宋体"/>
          <w:b/>
          <w:sz w:val="21"/>
          <w:szCs w:val="21"/>
          <w:highlight w:val="none"/>
        </w:rPr>
        <w:t>2.14乙方破产</w:t>
      </w:r>
      <w:bookmarkEnd w:id="320"/>
      <w:bookmarkEnd w:id="321"/>
      <w:bookmarkEnd w:id="322"/>
      <w:bookmarkEnd w:id="323"/>
      <w:bookmarkEnd w:id="324"/>
      <w:bookmarkEnd w:id="325"/>
      <w:bookmarkEnd w:id="326"/>
      <w:bookmarkEnd w:id="327"/>
      <w:bookmarkEnd w:id="328"/>
      <w:bookmarkEnd w:id="329"/>
      <w:bookmarkEnd w:id="330"/>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331" w:name="_Toc4535"/>
      <w:bookmarkStart w:id="332" w:name="_Toc22231"/>
      <w:bookmarkStart w:id="333" w:name="_Toc25751"/>
      <w:bookmarkStart w:id="334" w:name="_Toc29333"/>
      <w:bookmarkStart w:id="335" w:name="_Toc1348"/>
      <w:bookmarkStart w:id="336" w:name="_Toc15387"/>
      <w:bookmarkStart w:id="337" w:name="_Toc6134"/>
      <w:bookmarkStart w:id="338" w:name="_Toc27662"/>
      <w:r>
        <w:rPr>
          <w:rFonts w:hint="eastAsia" w:ascii="宋体" w:hAnsi="宋体" w:eastAsia="宋体" w:cs="宋体"/>
          <w:b/>
          <w:sz w:val="21"/>
          <w:szCs w:val="21"/>
          <w:highlight w:val="none"/>
        </w:rPr>
        <w:t>2.15 合同中止、终止</w:t>
      </w:r>
      <w:bookmarkEnd w:id="331"/>
      <w:bookmarkEnd w:id="332"/>
      <w:bookmarkEnd w:id="333"/>
      <w:bookmarkEnd w:id="334"/>
      <w:bookmarkEnd w:id="335"/>
      <w:bookmarkEnd w:id="336"/>
      <w:bookmarkEnd w:id="337"/>
      <w:bookmarkEnd w:id="338"/>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2.15.1 双方当事人不得擅自中止或者终止合同；</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2.15.2合同继续履行将损害国家利益和社会公共利益的，双方当事人应当中止或者终止合同。有过错的一方应当承担赔偿责任，双方当事人都有过错的，各自承担相应的责任。</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339" w:name="_Toc12327"/>
      <w:bookmarkStart w:id="340" w:name="_Toc19940"/>
      <w:bookmarkStart w:id="341" w:name="_Toc14563"/>
      <w:bookmarkStart w:id="342" w:name="_Toc6596"/>
      <w:bookmarkStart w:id="343" w:name="_Toc29182"/>
      <w:bookmarkStart w:id="344" w:name="_Toc1302"/>
      <w:bookmarkStart w:id="345" w:name="_Toc1125"/>
      <w:bookmarkStart w:id="346" w:name="_Toc6359"/>
      <w:r>
        <w:rPr>
          <w:rFonts w:hint="eastAsia" w:ascii="宋体" w:hAnsi="宋体" w:eastAsia="宋体" w:cs="宋体"/>
          <w:b/>
          <w:sz w:val="21"/>
          <w:szCs w:val="21"/>
          <w:highlight w:val="none"/>
        </w:rPr>
        <w:t>2.16检验和验收</w:t>
      </w:r>
      <w:bookmarkEnd w:id="339"/>
      <w:bookmarkEnd w:id="340"/>
      <w:bookmarkEnd w:id="341"/>
      <w:bookmarkEnd w:id="342"/>
      <w:bookmarkEnd w:id="343"/>
      <w:bookmarkEnd w:id="344"/>
      <w:bookmarkEnd w:id="345"/>
      <w:bookmarkEnd w:id="346"/>
    </w:p>
    <w:p>
      <w:pPr>
        <w:keepNext w:val="0"/>
        <w:keepLines w:val="0"/>
        <w:pageBreakBefore w:val="0"/>
        <w:tabs>
          <w:tab w:val="left" w:pos="360"/>
          <w:tab w:val="left" w:pos="540"/>
          <w:tab w:val="left" w:pos="1080"/>
        </w:tabs>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2.16.1货物交付前，乙方应对货物的质量、数量等方面进行详细、全面的检验，并向甲方出具证明货物符合合同约定的文件；货物交付时，乙方在</w:t>
      </w:r>
      <w:r>
        <w:rPr>
          <w:rFonts w:hint="eastAsia" w:ascii="宋体" w:hAnsi="宋体" w:eastAsia="宋体" w:cs="宋体"/>
          <w:b/>
          <w:i/>
          <w:sz w:val="21"/>
          <w:szCs w:val="21"/>
          <w:highlight w:val="none"/>
          <w:u w:val="single"/>
        </w:rPr>
        <w:t>合同专用条款</w:t>
      </w:r>
      <w:r>
        <w:rPr>
          <w:rFonts w:hint="eastAsia" w:ascii="宋体" w:hAnsi="宋体" w:eastAsia="宋体" w:cs="宋体"/>
          <w:sz w:val="21"/>
          <w:szCs w:val="21"/>
          <w:highlight w:val="none"/>
        </w:rPr>
        <w:t>约定时间内组织验收，并可依法邀请相关方参加，验收应出具验收书。</w:t>
      </w:r>
    </w:p>
    <w:p>
      <w:pPr>
        <w:keepNext w:val="0"/>
        <w:keepLines w:val="0"/>
        <w:pageBreakBefore w:val="0"/>
        <w:tabs>
          <w:tab w:val="left" w:pos="360"/>
          <w:tab w:val="left" w:pos="540"/>
          <w:tab w:val="left" w:pos="1080"/>
        </w:tabs>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keepNext w:val="0"/>
        <w:keepLines w:val="0"/>
        <w:pageBreakBefore w:val="0"/>
        <w:tabs>
          <w:tab w:val="left" w:pos="360"/>
          <w:tab w:val="left" w:pos="540"/>
          <w:tab w:val="left" w:pos="1080"/>
        </w:tabs>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2.16.3 检验和验收标准、程序等具体内容以及前述验收书的效力详见</w:t>
      </w:r>
      <w:r>
        <w:rPr>
          <w:rFonts w:hint="eastAsia" w:ascii="宋体" w:hAnsi="宋体" w:eastAsia="宋体" w:cs="宋体"/>
          <w:b/>
          <w:i/>
          <w:sz w:val="21"/>
          <w:szCs w:val="21"/>
          <w:highlight w:val="none"/>
          <w:u w:val="single"/>
        </w:rPr>
        <w:t>合同专用条款</w:t>
      </w:r>
      <w:r>
        <w:rPr>
          <w:rFonts w:hint="eastAsia" w:ascii="宋体" w:hAnsi="宋体" w:eastAsia="宋体" w:cs="宋体"/>
          <w:i/>
          <w:sz w:val="21"/>
          <w:szCs w:val="21"/>
          <w:highlight w:val="none"/>
        </w:rPr>
        <w:t>。</w:t>
      </w:r>
    </w:p>
    <w:bookmarkEnd w:id="286"/>
    <w:bookmarkEnd w:id="287"/>
    <w:bookmarkEnd w:id="288"/>
    <w:bookmarkEnd w:id="289"/>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347" w:name="_Toc279701261"/>
      <w:bookmarkStart w:id="348" w:name="_Toc259093690"/>
      <w:bookmarkStart w:id="349" w:name="_Toc487900371"/>
      <w:bookmarkStart w:id="350" w:name="_Toc17352"/>
      <w:bookmarkStart w:id="351" w:name="_Toc19604"/>
      <w:bookmarkStart w:id="352" w:name="_Toc20581"/>
      <w:bookmarkStart w:id="353" w:name="_Toc11284"/>
      <w:bookmarkStart w:id="354" w:name="_Toc28474"/>
      <w:bookmarkStart w:id="355" w:name="_Toc25182"/>
      <w:bookmarkStart w:id="356" w:name="_Toc6241"/>
      <w:bookmarkStart w:id="357" w:name="_Toc23788"/>
      <w:r>
        <w:rPr>
          <w:rFonts w:hint="eastAsia" w:ascii="宋体" w:hAnsi="宋体" w:eastAsia="宋体" w:cs="宋体"/>
          <w:b/>
          <w:sz w:val="21"/>
          <w:szCs w:val="21"/>
          <w:highlight w:val="none"/>
        </w:rPr>
        <w:t>2.17 通知</w:t>
      </w:r>
      <w:bookmarkEnd w:id="347"/>
      <w:bookmarkEnd w:id="348"/>
      <w:bookmarkEnd w:id="349"/>
      <w:r>
        <w:rPr>
          <w:rFonts w:hint="eastAsia" w:ascii="宋体" w:hAnsi="宋体" w:eastAsia="宋体" w:cs="宋体"/>
          <w:b/>
          <w:sz w:val="21"/>
          <w:szCs w:val="21"/>
          <w:highlight w:val="none"/>
        </w:rPr>
        <w:t>和送达</w:t>
      </w:r>
      <w:bookmarkEnd w:id="350"/>
      <w:bookmarkEnd w:id="351"/>
      <w:bookmarkEnd w:id="352"/>
      <w:bookmarkEnd w:id="353"/>
      <w:bookmarkEnd w:id="354"/>
      <w:bookmarkEnd w:id="355"/>
      <w:bookmarkEnd w:id="356"/>
      <w:bookmarkEnd w:id="357"/>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bookmarkStart w:id="358" w:name="_Toc6698"/>
      <w:bookmarkStart w:id="359" w:name="_Toc3135"/>
      <w:bookmarkStart w:id="360" w:name="_Toc259093691"/>
      <w:bookmarkStart w:id="361" w:name="_Toc487900372"/>
      <w:bookmarkStart w:id="362" w:name="_Toc279701262"/>
      <w:r>
        <w:rPr>
          <w:rFonts w:hint="eastAsia" w:ascii="宋体" w:hAnsi="宋体" w:eastAsia="宋体" w:cs="宋体"/>
          <w:sz w:val="21"/>
          <w:szCs w:val="21"/>
          <w:highlight w:val="none"/>
        </w:rPr>
        <w:t xml:space="preserve">2.17.1任何一方因履行合同而以合同第一部分尾部所列明的传真或电子邮件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发出的所有通知、文件、材料，均视为已向对方当事人送达；任何一方变更上述送达方式或者地址的，应于</w:t>
      </w:r>
      <w:r>
        <w:rPr>
          <w:rFonts w:hint="eastAsia" w:ascii="宋体" w:hAnsi="宋体" w:eastAsia="宋体" w:cs="宋体"/>
          <w:sz w:val="21"/>
          <w:szCs w:val="21"/>
          <w:highlight w:val="none"/>
          <w:u w:val="single"/>
        </w:rPr>
        <w:t>3</w:t>
      </w:r>
      <w:r>
        <w:rPr>
          <w:rFonts w:hint="eastAsia" w:ascii="宋体" w:hAnsi="宋体" w:eastAsia="宋体" w:cs="宋体"/>
          <w:sz w:val="21"/>
          <w:szCs w:val="21"/>
          <w:highlight w:val="none"/>
        </w:rPr>
        <w:t>个工作日内书面通知对方当事人，在对方当事人收到有关变更通知之前，变更前的约定送达方式或者地址仍视为有效。</w:t>
      </w:r>
      <w:bookmarkEnd w:id="358"/>
      <w:bookmarkEnd w:id="359"/>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bookmarkStart w:id="363" w:name="_Toc23128"/>
      <w:bookmarkStart w:id="364" w:name="_Toc23294"/>
      <w:r>
        <w:rPr>
          <w:rFonts w:hint="eastAsia" w:ascii="宋体" w:hAnsi="宋体" w:eastAsia="宋体" w:cs="宋体"/>
          <w:sz w:val="21"/>
          <w:szCs w:val="21"/>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363"/>
      <w:bookmarkEnd w:id="364"/>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365" w:name="_Toc9204"/>
      <w:bookmarkStart w:id="366" w:name="_Toc30599"/>
      <w:bookmarkStart w:id="367" w:name="_Toc23293"/>
      <w:bookmarkStart w:id="368" w:name="_Toc3831"/>
      <w:bookmarkStart w:id="369" w:name="_Toc4355"/>
      <w:bookmarkStart w:id="370" w:name="_Toc18540"/>
      <w:bookmarkStart w:id="371" w:name="_Toc8254"/>
      <w:bookmarkStart w:id="372" w:name="_Toc913"/>
      <w:r>
        <w:rPr>
          <w:rFonts w:hint="eastAsia" w:ascii="宋体" w:hAnsi="宋体" w:eastAsia="宋体" w:cs="宋体"/>
          <w:b/>
          <w:sz w:val="21"/>
          <w:szCs w:val="21"/>
          <w:highlight w:val="none"/>
        </w:rPr>
        <w:t>2.18 计量单位</w:t>
      </w:r>
      <w:bookmarkEnd w:id="360"/>
      <w:bookmarkEnd w:id="361"/>
      <w:bookmarkEnd w:id="362"/>
      <w:bookmarkEnd w:id="365"/>
      <w:bookmarkEnd w:id="366"/>
      <w:bookmarkEnd w:id="367"/>
      <w:bookmarkEnd w:id="368"/>
      <w:bookmarkEnd w:id="369"/>
      <w:bookmarkEnd w:id="370"/>
      <w:bookmarkEnd w:id="371"/>
      <w:bookmarkEnd w:id="372"/>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除技术规范中另有规定外,合同的计量单位均使用国家法定计量单位。</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373" w:name="_Toc5450"/>
      <w:bookmarkStart w:id="374" w:name="_Toc487900373"/>
      <w:bookmarkStart w:id="375" w:name="_Toc259093692"/>
      <w:bookmarkStart w:id="376" w:name="_Toc22608"/>
      <w:bookmarkStart w:id="377" w:name="_Toc24258"/>
      <w:bookmarkStart w:id="378" w:name="_Toc279701263"/>
      <w:bookmarkStart w:id="379" w:name="_Toc23456"/>
      <w:bookmarkStart w:id="380" w:name="_Toc10330"/>
      <w:bookmarkStart w:id="381" w:name="_Toc18567"/>
      <w:bookmarkStart w:id="382" w:name="_Toc12773"/>
      <w:bookmarkStart w:id="383" w:name="_Toc9265"/>
      <w:r>
        <w:rPr>
          <w:rFonts w:hint="eastAsia" w:ascii="宋体" w:hAnsi="宋体" w:eastAsia="宋体" w:cs="宋体"/>
          <w:b/>
          <w:sz w:val="21"/>
          <w:szCs w:val="21"/>
          <w:highlight w:val="none"/>
        </w:rPr>
        <w:t>2.19 合同使用的文字和适用的法律</w:t>
      </w:r>
      <w:bookmarkEnd w:id="373"/>
      <w:bookmarkEnd w:id="374"/>
      <w:bookmarkEnd w:id="375"/>
      <w:bookmarkEnd w:id="376"/>
      <w:bookmarkEnd w:id="377"/>
      <w:bookmarkEnd w:id="378"/>
      <w:bookmarkEnd w:id="379"/>
      <w:bookmarkEnd w:id="380"/>
      <w:bookmarkEnd w:id="381"/>
      <w:bookmarkEnd w:id="382"/>
      <w:bookmarkEnd w:id="383"/>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2.19.1 合同使用汉语书就、变更和解释；</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2.19.2 合同适用中华人民共和国法律。</w:t>
      </w:r>
    </w:p>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384" w:name="_Toc279701264"/>
      <w:bookmarkStart w:id="385" w:name="_Toc12004"/>
      <w:bookmarkStart w:id="386" w:name="_Toc3256"/>
      <w:bookmarkStart w:id="387" w:name="_Toc29742"/>
      <w:bookmarkStart w:id="388" w:name="_Toc16108"/>
      <w:bookmarkStart w:id="389" w:name="_Toc3148"/>
      <w:bookmarkStart w:id="390" w:name="_Toc19659"/>
      <w:bookmarkStart w:id="391" w:name="_Toc16673"/>
      <w:bookmarkStart w:id="392" w:name="_Toc19482"/>
      <w:bookmarkStart w:id="393" w:name="_Toc259093693"/>
      <w:bookmarkStart w:id="394" w:name="_Toc487900374"/>
      <w:r>
        <w:rPr>
          <w:rFonts w:hint="eastAsia" w:ascii="宋体" w:hAnsi="宋体" w:eastAsia="宋体" w:cs="宋体"/>
          <w:b/>
          <w:sz w:val="21"/>
          <w:szCs w:val="21"/>
          <w:highlight w:val="none"/>
        </w:rPr>
        <w:t>2.20 履约保证金</w:t>
      </w:r>
      <w:bookmarkEnd w:id="384"/>
      <w:bookmarkEnd w:id="385"/>
      <w:bookmarkEnd w:id="386"/>
      <w:bookmarkEnd w:id="387"/>
      <w:bookmarkEnd w:id="388"/>
      <w:bookmarkEnd w:id="389"/>
      <w:bookmarkEnd w:id="390"/>
      <w:bookmarkEnd w:id="391"/>
      <w:bookmarkEnd w:id="392"/>
      <w:bookmarkEnd w:id="393"/>
    </w:p>
    <w:p>
      <w:pPr>
        <w:pStyle w:val="133"/>
        <w:keepNext w:val="0"/>
        <w:keepLines w:val="0"/>
        <w:pageBreakBefore w:val="0"/>
        <w:kinsoku/>
        <w:wordWrap/>
        <w:overflowPunct/>
        <w:topLinePunct w:val="0"/>
        <w:autoSpaceDE/>
        <w:autoSpaceDN/>
        <w:bidi w:val="0"/>
        <w:adjustRightInd/>
        <w:snapToGrid/>
        <w:spacing w:before="0" w:beforeAutospacing="0" w:after="0" w:afterAutospacing="0" w:line="420" w:lineRule="exact"/>
        <w:ind w:firstLine="42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2.20.1 采购文件要求乙方提交履约保证金的，乙方应按</w:t>
      </w:r>
      <w:r>
        <w:rPr>
          <w:rFonts w:hint="eastAsia" w:ascii="宋体" w:hAnsi="宋体" w:eastAsia="宋体" w:cs="宋体"/>
          <w:b/>
          <w:i/>
          <w:sz w:val="21"/>
          <w:szCs w:val="21"/>
          <w:highlight w:val="none"/>
          <w:u w:val="single"/>
        </w:rPr>
        <w:t>合同专用条款</w:t>
      </w:r>
      <w:r>
        <w:rPr>
          <w:rFonts w:hint="eastAsia" w:ascii="宋体" w:hAnsi="宋体" w:eastAsia="宋体" w:cs="宋体"/>
          <w:sz w:val="21"/>
          <w:szCs w:val="21"/>
          <w:highlight w:val="none"/>
        </w:rPr>
        <w:t>约定的方式，以支票、汇票、本票或者金融机构、担保机构出具的保函等非现金形式，提交不超过合同金额2.5%的履约保证金；鼓励和支持乙方以银行、保险公司出具的保函形式提供履约保证。</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2.20.2  履约保证金在</w:t>
      </w:r>
      <w:r>
        <w:rPr>
          <w:rFonts w:hint="eastAsia" w:ascii="宋体" w:hAnsi="宋体" w:eastAsia="宋体" w:cs="宋体"/>
          <w:b/>
          <w:i/>
          <w:sz w:val="21"/>
          <w:szCs w:val="21"/>
          <w:highlight w:val="none"/>
          <w:u w:val="single"/>
        </w:rPr>
        <w:t>合同专用条款</w:t>
      </w:r>
      <w:r>
        <w:rPr>
          <w:rFonts w:hint="eastAsia" w:ascii="宋体" w:hAnsi="宋体" w:eastAsia="宋体" w:cs="宋体"/>
          <w:sz w:val="21"/>
          <w:szCs w:val="21"/>
          <w:highlight w:val="none"/>
        </w:rPr>
        <w:t>约定期间内不予退还。乙方在前述约定期间届满前能履行完合同约定义务事项的，甲方在前述约定期间届满之日起</w:t>
      </w:r>
      <w:r>
        <w:rPr>
          <w:rFonts w:hint="eastAsia" w:ascii="宋体" w:hAnsi="宋体" w:eastAsia="宋体" w:cs="宋体"/>
          <w:sz w:val="21"/>
          <w:szCs w:val="21"/>
          <w:highlight w:val="none"/>
          <w:u w:val="single"/>
        </w:rPr>
        <w:t xml:space="preserve"> 5 </w:t>
      </w:r>
      <w:r>
        <w:rPr>
          <w:rFonts w:hint="eastAsia" w:ascii="宋体" w:hAnsi="宋体" w:eastAsia="宋体" w:cs="宋体"/>
          <w:sz w:val="21"/>
          <w:szCs w:val="21"/>
          <w:highlight w:val="none"/>
        </w:rPr>
        <w:t>个工作日内，按</w:t>
      </w:r>
      <w:r>
        <w:rPr>
          <w:rFonts w:hint="eastAsia" w:ascii="宋体" w:hAnsi="宋体" w:eastAsia="宋体" w:cs="宋体"/>
          <w:b/>
          <w:i/>
          <w:sz w:val="21"/>
          <w:szCs w:val="21"/>
          <w:highlight w:val="none"/>
          <w:u w:val="single"/>
        </w:rPr>
        <w:t>合同专用条款</w:t>
      </w:r>
      <w:r>
        <w:rPr>
          <w:rFonts w:hint="eastAsia" w:ascii="宋体" w:hAnsi="宋体" w:eastAsia="宋体" w:cs="宋体"/>
          <w:sz w:val="21"/>
          <w:szCs w:val="21"/>
          <w:highlight w:val="none"/>
        </w:rPr>
        <w:t>约定的方式将履约保证金退还乙方，逾期退还的，乙方可要求甲方支付违约金，违约金按每迟延退还一日的应退还而未退还金额的</w:t>
      </w:r>
      <w:r>
        <w:rPr>
          <w:rFonts w:hint="eastAsia" w:ascii="宋体" w:hAnsi="宋体" w:eastAsia="宋体" w:cs="宋体"/>
          <w:sz w:val="21"/>
          <w:szCs w:val="21"/>
          <w:highlight w:val="none"/>
          <w:u w:val="single"/>
        </w:rPr>
        <w:t xml:space="preserve">  0.5  </w:t>
      </w:r>
      <w:r>
        <w:rPr>
          <w:rFonts w:hint="eastAsia" w:ascii="宋体" w:hAnsi="宋体" w:eastAsia="宋体" w:cs="宋体"/>
          <w:sz w:val="21"/>
          <w:szCs w:val="21"/>
          <w:highlight w:val="none"/>
        </w:rPr>
        <w:t>%计算，最高限额为本合同履约保证金的</w:t>
      </w:r>
      <w:r>
        <w:rPr>
          <w:rFonts w:hint="eastAsia" w:ascii="宋体" w:hAnsi="宋体" w:eastAsia="宋体" w:cs="宋体"/>
          <w:sz w:val="21"/>
          <w:szCs w:val="21"/>
          <w:highlight w:val="none"/>
          <w:u w:val="single"/>
        </w:rPr>
        <w:t xml:space="preserve">  20   </w:t>
      </w:r>
      <w:r>
        <w:rPr>
          <w:rFonts w:hint="eastAsia" w:ascii="宋体" w:hAnsi="宋体" w:eastAsia="宋体" w:cs="宋体"/>
          <w:sz w:val="21"/>
          <w:szCs w:val="21"/>
          <w:highlight w:val="none"/>
        </w:rPr>
        <w:t xml:space="preserve">%； </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2.20.4甲方在乙方履行完合同约定义务事项后及时退还，延迟退还的，应当按照合同约定和法律规定承担相应的赔偿责任。</w:t>
      </w:r>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2.21对于因甲方原因导致变更、中止或者终止政府采购合同的，甲方应当依照合同约定对</w:t>
      </w:r>
      <w:r>
        <w:rPr>
          <w:rFonts w:hint="eastAsia" w:cs="宋体"/>
          <w:sz w:val="21"/>
          <w:szCs w:val="21"/>
          <w:highlight w:val="none"/>
          <w:lang w:eastAsia="zh-CN"/>
        </w:rPr>
        <w:t>供应商</w:t>
      </w:r>
      <w:r>
        <w:rPr>
          <w:rFonts w:hint="eastAsia" w:ascii="宋体" w:hAnsi="宋体" w:eastAsia="宋体" w:cs="宋体"/>
          <w:sz w:val="21"/>
          <w:szCs w:val="21"/>
          <w:highlight w:val="none"/>
        </w:rPr>
        <w:t>受到的损失予以赔偿或者补偿。</w:t>
      </w:r>
    </w:p>
    <w:bookmarkEnd w:id="394"/>
    <w:p>
      <w:pPr>
        <w:keepNext w:val="0"/>
        <w:keepLines w:val="0"/>
        <w:pageBreakBefore w:val="0"/>
        <w:kinsoku/>
        <w:wordWrap/>
        <w:overflowPunct/>
        <w:topLinePunct w:val="0"/>
        <w:autoSpaceDE/>
        <w:autoSpaceDN/>
        <w:bidi w:val="0"/>
        <w:adjustRightInd/>
        <w:snapToGrid/>
        <w:spacing w:line="420" w:lineRule="exact"/>
        <w:ind w:firstLine="422" w:firstLineChars="200"/>
        <w:textAlignment w:val="auto"/>
        <w:outlineLvl w:val="0"/>
        <w:rPr>
          <w:rFonts w:hint="eastAsia" w:ascii="宋体" w:hAnsi="宋体" w:eastAsia="宋体" w:cs="宋体"/>
          <w:b/>
          <w:sz w:val="21"/>
          <w:szCs w:val="21"/>
          <w:highlight w:val="none"/>
        </w:rPr>
      </w:pPr>
      <w:bookmarkStart w:id="395" w:name="_Toc6885"/>
      <w:bookmarkStart w:id="396" w:name="_Toc19890"/>
      <w:bookmarkStart w:id="397" w:name="_Toc12675"/>
      <w:bookmarkStart w:id="398" w:name="_Toc13794"/>
      <w:bookmarkStart w:id="399" w:name="_Toc14604"/>
      <w:bookmarkStart w:id="400" w:name="_Toc12345"/>
      <w:bookmarkStart w:id="401" w:name="_Toc14001"/>
      <w:bookmarkStart w:id="402" w:name="_Toc2384"/>
      <w:r>
        <w:rPr>
          <w:rFonts w:hint="eastAsia" w:ascii="宋体" w:hAnsi="宋体" w:eastAsia="宋体" w:cs="宋体"/>
          <w:b/>
          <w:sz w:val="21"/>
          <w:szCs w:val="21"/>
          <w:highlight w:val="none"/>
        </w:rPr>
        <w:t>2.22合同份数</w:t>
      </w:r>
      <w:bookmarkEnd w:id="395"/>
      <w:bookmarkEnd w:id="396"/>
      <w:bookmarkEnd w:id="397"/>
      <w:bookmarkEnd w:id="398"/>
      <w:bookmarkEnd w:id="399"/>
      <w:bookmarkEnd w:id="400"/>
      <w:bookmarkEnd w:id="401"/>
      <w:bookmarkEnd w:id="402"/>
    </w:p>
    <w:p>
      <w:pPr>
        <w:keepNext w:val="0"/>
        <w:keepLines w:val="0"/>
        <w:pageBreakBefore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合同份数按</w:t>
      </w:r>
      <w:r>
        <w:rPr>
          <w:rFonts w:hint="eastAsia" w:ascii="宋体" w:hAnsi="宋体" w:eastAsia="宋体" w:cs="宋体"/>
          <w:b/>
          <w:i/>
          <w:sz w:val="21"/>
          <w:szCs w:val="21"/>
          <w:highlight w:val="none"/>
          <w:u w:val="single"/>
        </w:rPr>
        <w:t>合同专用条款</w:t>
      </w:r>
      <w:r>
        <w:rPr>
          <w:rFonts w:hint="eastAsia" w:ascii="宋体" w:hAnsi="宋体" w:eastAsia="宋体" w:cs="宋体"/>
          <w:sz w:val="21"/>
          <w:szCs w:val="21"/>
          <w:highlight w:val="none"/>
        </w:rPr>
        <w:t>规定，每份均具有同等法律效力。</w:t>
      </w:r>
    </w:p>
    <w:p>
      <w:pPr>
        <w:jc w:val="center"/>
        <w:rPr>
          <w:rFonts w:hint="eastAsia" w:ascii="宋体" w:hAnsi="宋体" w:eastAsia="宋体" w:cs="宋体"/>
          <w:b/>
          <w:sz w:val="21"/>
          <w:szCs w:val="21"/>
          <w:highlight w:val="none"/>
        </w:rPr>
      </w:pPr>
      <w:r>
        <w:rPr>
          <w:rFonts w:hint="eastAsia" w:ascii="宋体" w:hAnsi="宋体" w:eastAsia="宋体" w:cs="宋体"/>
          <w:kern w:val="0"/>
          <w:sz w:val="21"/>
          <w:szCs w:val="21"/>
          <w:highlight w:val="none"/>
        </w:rPr>
        <w:br w:type="page"/>
      </w:r>
      <w:bookmarkStart w:id="403" w:name="_Toc20824"/>
      <w:bookmarkStart w:id="404" w:name="_Toc3732"/>
      <w:bookmarkStart w:id="405" w:name="_Toc27653"/>
      <w:r>
        <w:rPr>
          <w:rFonts w:hint="eastAsia" w:ascii="宋体" w:hAnsi="宋体" w:eastAsia="宋体" w:cs="宋体"/>
          <w:b/>
          <w:sz w:val="24"/>
          <w:szCs w:val="24"/>
          <w:highlight w:val="none"/>
        </w:rPr>
        <w:t>第三章  合同专用条款</w:t>
      </w:r>
      <w:bookmarkEnd w:id="403"/>
      <w:bookmarkEnd w:id="404"/>
      <w:bookmarkEnd w:id="405"/>
    </w:p>
    <w:p>
      <w:pPr>
        <w:keepNext w:val="0"/>
        <w:keepLines w:val="0"/>
        <w:pageBreakBefore w:val="0"/>
        <w:widowControl w:val="0"/>
        <w:kinsoku/>
        <w:wordWrap/>
        <w:overflowPunct/>
        <w:topLinePunct w:val="0"/>
        <w:autoSpaceDE/>
        <w:autoSpaceDN/>
        <w:bidi w:val="0"/>
        <w:adjustRightInd/>
        <w:snapToGrid/>
        <w:spacing w:line="420" w:lineRule="exact"/>
        <w:ind w:left="-420" w:leftChars="-200" w:right="-420" w:rightChars="-20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9762" w:type="dxa"/>
        <w:tblInd w:w="-293"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44"/>
        <w:gridCol w:w="861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条款号</w:t>
            </w:r>
          </w:p>
        </w:tc>
        <w:tc>
          <w:tcPr>
            <w:tcW w:w="8618" w:type="dxa"/>
            <w:noWrap w:val="0"/>
            <w:vAlign w:val="center"/>
          </w:tcPr>
          <w:p>
            <w:pPr>
              <w:spacing w:line="360" w:lineRule="auto"/>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1.4.2</w:t>
            </w:r>
          </w:p>
        </w:tc>
        <w:tc>
          <w:tcPr>
            <w:tcW w:w="8618" w:type="dxa"/>
            <w:noWrap w:val="0"/>
            <w:vAlign w:val="center"/>
          </w:tcPr>
          <w:p>
            <w:pPr>
              <w:spacing w:line="360" w:lineRule="auto"/>
              <w:ind w:firstLine="514" w:firstLineChars="245"/>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资金支付的方式、时间和条件：</w:t>
            </w:r>
            <w:r>
              <w:rPr>
                <w:rFonts w:hint="eastAsia" w:ascii="宋体" w:hAnsi="宋体" w:eastAsia="宋体" w:cs="宋体"/>
                <w:b/>
                <w:bCs/>
                <w:kern w:val="0"/>
                <w:sz w:val="21"/>
                <w:szCs w:val="21"/>
                <w:highlight w:val="none"/>
                <w:u w:val="single"/>
              </w:rPr>
              <w:t>合同签订后5个工作日内，乙方必须向甲方提供合同总额</w:t>
            </w:r>
            <w:r>
              <w:rPr>
                <w:rFonts w:hint="eastAsia" w:cs="宋体"/>
                <w:b/>
                <w:bCs/>
                <w:kern w:val="0"/>
                <w:sz w:val="21"/>
                <w:szCs w:val="21"/>
                <w:highlight w:val="none"/>
                <w:u w:val="single"/>
                <w:lang w:val="en-US" w:eastAsia="zh-CN"/>
              </w:rPr>
              <w:t>1</w:t>
            </w:r>
            <w:r>
              <w:rPr>
                <w:rFonts w:hint="eastAsia" w:ascii="宋体" w:hAnsi="宋体" w:eastAsia="宋体" w:cs="宋体"/>
                <w:b/>
                <w:bCs/>
                <w:kern w:val="0"/>
                <w:sz w:val="21"/>
                <w:szCs w:val="21"/>
                <w:highlight w:val="none"/>
                <w:u w:val="single"/>
              </w:rPr>
              <w:t>%的履约保证金</w:t>
            </w:r>
            <w:r>
              <w:rPr>
                <w:rFonts w:hint="eastAsia" w:ascii="宋体" w:hAnsi="宋体" w:eastAsia="宋体" w:cs="宋体"/>
                <w:b/>
                <w:sz w:val="21"/>
                <w:szCs w:val="21"/>
                <w:highlight w:val="none"/>
                <w:u w:val="single"/>
              </w:rPr>
              <w:t>（提交方式：乙方应当以支票、汇票、本票或者金融机构、担保机构出具的保函等非现金形式提交）</w:t>
            </w:r>
            <w:r>
              <w:rPr>
                <w:rFonts w:hint="eastAsia" w:ascii="宋体" w:hAnsi="宋体" w:eastAsia="宋体" w:cs="宋体"/>
                <w:b/>
                <w:bCs/>
                <w:kern w:val="0"/>
                <w:sz w:val="21"/>
                <w:szCs w:val="21"/>
                <w:highlight w:val="none"/>
                <w:u w:val="single"/>
              </w:rPr>
              <w:t>，乙方支付履约保证金后甲方向乙方支付</w:t>
            </w:r>
            <w:r>
              <w:rPr>
                <w:rFonts w:hint="eastAsia" w:cs="宋体"/>
                <w:b/>
                <w:bCs/>
                <w:kern w:val="0"/>
                <w:sz w:val="21"/>
                <w:szCs w:val="21"/>
                <w:highlight w:val="none"/>
                <w:u w:val="single"/>
                <w:lang w:val="en-US" w:eastAsia="zh-CN"/>
              </w:rPr>
              <w:t>5</w:t>
            </w:r>
            <w:r>
              <w:rPr>
                <w:rFonts w:hint="eastAsia" w:ascii="宋体" w:hAnsi="宋体" w:eastAsia="宋体" w:cs="宋体"/>
                <w:b/>
                <w:bCs/>
                <w:kern w:val="0"/>
                <w:sz w:val="21"/>
                <w:szCs w:val="21"/>
                <w:highlight w:val="none"/>
                <w:u w:val="single"/>
              </w:rPr>
              <w:t>0%合同价款作为预付款，在完成全部批次货物的生产、运输、并经验收合格后30天内，甲方向乙方支付至合同结算价的100%货款，履约保证金待项目验收合格后无质量问题按程序5个工作日内无息退还，甲方未按要求逾期退还履约保证金按同期央行规定的活期利率补偿乙方逾期退还费用。（每次付款乙方必须开具相应金额的正式税务发票）。注：本项目为单价合同，投标综合单价不变，数量按实结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1.5.1</w:t>
            </w:r>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交付期限：</w:t>
            </w:r>
            <w:r>
              <w:rPr>
                <w:rFonts w:hint="eastAsia" w:ascii="宋体" w:hAnsi="宋体" w:eastAsia="宋体" w:cs="宋体"/>
                <w:b/>
                <w:bCs/>
                <w:sz w:val="21"/>
                <w:szCs w:val="21"/>
                <w:highlight w:val="none"/>
                <w:u w:val="single"/>
              </w:rPr>
              <w:t>本项目家具采取分批到货的形式，招标人签订合同后且发出供货通知后30天内完成供货安装</w:t>
            </w:r>
            <w:r>
              <w:rPr>
                <w:rFonts w:hint="eastAsia" w:ascii="宋体" w:hAnsi="宋体" w:eastAsia="宋体" w:cs="宋体"/>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1.5.2</w:t>
            </w:r>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交付地点：</w:t>
            </w:r>
            <w:r>
              <w:rPr>
                <w:rFonts w:hint="eastAsia" w:ascii="宋体" w:hAnsi="宋体" w:eastAsia="宋体" w:cs="宋体"/>
                <w:b/>
                <w:sz w:val="21"/>
                <w:szCs w:val="21"/>
                <w:highlight w:val="none"/>
                <w:u w:val="single"/>
              </w:rPr>
              <w:t>按甲方指定地点</w:t>
            </w:r>
            <w:r>
              <w:rPr>
                <w:rFonts w:hint="eastAsia" w:ascii="宋体" w:hAnsi="宋体" w:eastAsia="宋体" w:cs="宋体"/>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1.5.3</w:t>
            </w:r>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交付方式：</w:t>
            </w:r>
            <w:r>
              <w:rPr>
                <w:rFonts w:hint="eastAsia" w:ascii="宋体" w:hAnsi="宋体" w:eastAsia="宋体" w:cs="宋体"/>
                <w:b/>
                <w:sz w:val="21"/>
                <w:szCs w:val="21"/>
                <w:highlight w:val="none"/>
                <w:u w:val="single"/>
              </w:rPr>
              <w:t>按甲方指定方式</w:t>
            </w:r>
            <w:r>
              <w:rPr>
                <w:rFonts w:hint="eastAsia" w:ascii="宋体" w:hAnsi="宋体" w:eastAsia="宋体" w:cs="宋体"/>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1.6.6</w:t>
            </w:r>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违约责任</w:t>
            </w:r>
            <w:r>
              <w:rPr>
                <w:rFonts w:hint="eastAsia" w:ascii="宋体" w:hAnsi="宋体" w:eastAsia="宋体" w:cs="宋体"/>
                <w:b/>
                <w:sz w:val="21"/>
                <w:szCs w:val="21"/>
                <w:highlight w:val="none"/>
                <w:u w:val="single"/>
              </w:rPr>
              <w:t xml:space="preserve">     /    </w:t>
            </w:r>
            <w:r>
              <w:rPr>
                <w:rFonts w:hint="eastAsia" w:ascii="宋体" w:hAnsi="宋体" w:eastAsia="宋体" w:cs="宋体"/>
                <w:sz w:val="21"/>
                <w:szCs w:val="21"/>
                <w:highlight w:val="none"/>
              </w:rPr>
              <w:t>另有约定的，从其约定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1.7</w:t>
            </w:r>
          </w:p>
        </w:tc>
        <w:tc>
          <w:tcPr>
            <w:tcW w:w="8618" w:type="dxa"/>
            <w:noWrap w:val="0"/>
            <w:vAlign w:val="center"/>
          </w:tcPr>
          <w:p>
            <w:pPr>
              <w:spacing w:line="360" w:lineRule="auto"/>
              <w:ind w:left="-61" w:leftChars="-29" w:right="-420" w:right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w:t>
            </w:r>
            <w:r>
              <w:rPr>
                <w:rFonts w:hint="eastAsia" w:ascii="宋体" w:hAnsi="宋体" w:eastAsia="宋体" w:cs="宋体"/>
                <w:b/>
                <w:sz w:val="21"/>
                <w:szCs w:val="21"/>
                <w:highlight w:val="none"/>
              </w:rPr>
              <w:t>合同争议的解决：</w:t>
            </w:r>
            <w:r>
              <w:rPr>
                <w:rFonts w:hint="eastAsia" w:ascii="宋体" w:hAnsi="宋体" w:eastAsia="宋体" w:cs="宋体"/>
                <w:sz w:val="21"/>
                <w:szCs w:val="21"/>
                <w:highlight w:val="none"/>
              </w:rPr>
              <w:t>本合同履行过程中发生的任何争议，双方当事人均可通过和解或者调解解决；不愿和解、调解或者和解、调解不成的，可以选择以下第</w:t>
            </w:r>
            <w:r>
              <w:rPr>
                <w:rFonts w:hint="eastAsia" w:ascii="宋体" w:hAnsi="宋体" w:eastAsia="宋体" w:cs="宋体"/>
                <w:b/>
                <w:sz w:val="21"/>
                <w:szCs w:val="21"/>
                <w:highlight w:val="none"/>
                <w:u w:val="single"/>
              </w:rPr>
              <w:t xml:space="preserve"> 17.2  </w:t>
            </w:r>
            <w:r>
              <w:rPr>
                <w:rFonts w:hint="eastAsia" w:ascii="宋体" w:hAnsi="宋体" w:eastAsia="宋体" w:cs="宋体"/>
                <w:sz w:val="21"/>
                <w:szCs w:val="21"/>
                <w:highlight w:val="none"/>
              </w:rPr>
              <w:t xml:space="preserve">条款规定的方式解决：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1.7.1</w:t>
            </w:r>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将争议提交</w:t>
            </w:r>
            <w:r>
              <w:rPr>
                <w:rFonts w:hint="eastAsia" w:ascii="宋体" w:hAnsi="宋体" w:eastAsia="宋体" w:cs="宋体"/>
                <w:b/>
                <w:sz w:val="21"/>
                <w:szCs w:val="21"/>
                <w:highlight w:val="none"/>
                <w:u w:val="single"/>
              </w:rPr>
              <w:t>/</w:t>
            </w:r>
            <w:r>
              <w:rPr>
                <w:rFonts w:hint="eastAsia" w:ascii="宋体" w:hAnsi="宋体" w:eastAsia="宋体" w:cs="宋体"/>
                <w:sz w:val="21"/>
                <w:szCs w:val="21"/>
                <w:highlight w:val="none"/>
              </w:rPr>
              <w:t>仲裁委员会依申请仲裁时其现行有效的仲裁规则裁决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1.7.2</w:t>
            </w:r>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向</w:t>
            </w:r>
            <w:r>
              <w:rPr>
                <w:rFonts w:hint="eastAsia" w:ascii="宋体" w:hAnsi="宋体" w:eastAsia="宋体" w:cs="宋体"/>
                <w:b/>
                <w:sz w:val="21"/>
                <w:szCs w:val="21"/>
                <w:highlight w:val="none"/>
                <w:u w:val="single"/>
              </w:rPr>
              <w:t>项目所在地</w:t>
            </w:r>
            <w:r>
              <w:rPr>
                <w:rFonts w:hint="eastAsia" w:ascii="宋体" w:hAnsi="宋体" w:eastAsia="宋体" w:cs="宋体"/>
                <w:sz w:val="21"/>
                <w:szCs w:val="21"/>
                <w:highlight w:val="none"/>
              </w:rPr>
              <w:t>人民法院起诉。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2.3.2</w:t>
            </w:r>
          </w:p>
        </w:tc>
        <w:tc>
          <w:tcPr>
            <w:tcW w:w="8618" w:type="dxa"/>
            <w:noWrap w:val="0"/>
            <w:vAlign w:val="center"/>
          </w:tcPr>
          <w:p>
            <w:pPr>
              <w:spacing w:line="360" w:lineRule="auto"/>
              <w:ind w:left="-420" w:leftChars="-200" w:right="-420" w:rightChars="-20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具有知识产权的计算机软件等货物的知识产权归属，</w:t>
            </w:r>
            <w:r>
              <w:rPr>
                <w:rFonts w:hint="eastAsia" w:ascii="宋体" w:hAnsi="宋体" w:eastAsia="宋体" w:cs="宋体"/>
                <w:b/>
                <w:sz w:val="21"/>
                <w:szCs w:val="21"/>
                <w:highlight w:val="none"/>
                <w:u w:val="single"/>
              </w:rPr>
              <w:t>归属采购人</w:t>
            </w:r>
            <w:r>
              <w:rPr>
                <w:rFonts w:hint="eastAsia" w:ascii="宋体" w:hAnsi="宋体" w:eastAsia="宋体" w:cs="宋体"/>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2.4.1</w:t>
            </w:r>
          </w:p>
        </w:tc>
        <w:tc>
          <w:tcPr>
            <w:tcW w:w="8618" w:type="dxa"/>
            <w:noWrap w:val="0"/>
            <w:vAlign w:val="center"/>
          </w:tcPr>
          <w:p>
            <w:pPr>
              <w:spacing w:line="360" w:lineRule="auto"/>
              <w:ind w:left="-420" w:leftChars="-200" w:right="-420" w:rightChars="-200"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除</w:t>
            </w:r>
            <w:r>
              <w:rPr>
                <w:rFonts w:hint="eastAsia" w:ascii="宋体" w:hAnsi="宋体" w:eastAsia="宋体" w:cs="宋体"/>
                <w:b/>
                <w:sz w:val="21"/>
                <w:szCs w:val="21"/>
                <w:highlight w:val="none"/>
                <w:u w:val="single"/>
              </w:rPr>
              <w:t xml:space="preserve">  /   </w:t>
            </w:r>
            <w:r>
              <w:rPr>
                <w:rFonts w:hint="eastAsia" w:ascii="宋体" w:hAnsi="宋体" w:eastAsia="宋体" w:cs="宋体"/>
                <w:sz w:val="21"/>
                <w:szCs w:val="21"/>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w:t>
            </w:r>
          </w:p>
          <w:p>
            <w:pPr>
              <w:spacing w:line="360" w:lineRule="auto"/>
              <w:ind w:left="-420" w:leftChars="-200" w:right="-420" w:rightChars="-200"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由于包装不善所引起的货物锈蚀、损坏和损失等一切风险均由乙方承担。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2.4.2</w:t>
            </w:r>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装运货物的要求和通知，</w:t>
            </w:r>
            <w:r>
              <w:rPr>
                <w:rFonts w:hint="eastAsia" w:ascii="宋体" w:hAnsi="宋体" w:eastAsia="宋体" w:cs="宋体"/>
                <w:b/>
                <w:sz w:val="21"/>
                <w:szCs w:val="21"/>
                <w:highlight w:val="none"/>
                <w:u w:val="single"/>
              </w:rPr>
              <w:t>按甲方要求</w:t>
            </w:r>
            <w:r>
              <w:rPr>
                <w:rFonts w:hint="eastAsia" w:ascii="宋体" w:hAnsi="宋体" w:eastAsia="宋体" w:cs="宋体"/>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2.8</w:t>
            </w:r>
          </w:p>
        </w:tc>
        <w:tc>
          <w:tcPr>
            <w:tcW w:w="8618" w:type="dxa"/>
            <w:noWrap w:val="0"/>
            <w:vAlign w:val="top"/>
          </w:tcPr>
          <w:p>
            <w:pPr>
              <w:spacing w:line="360" w:lineRule="auto"/>
              <w:rPr>
                <w:rFonts w:hint="eastAsia" w:ascii="宋体" w:hAnsi="宋体" w:eastAsia="宋体" w:cs="宋体"/>
                <w:b/>
                <w:sz w:val="21"/>
                <w:szCs w:val="21"/>
                <w:highlight w:val="none"/>
              </w:rPr>
            </w:pPr>
            <w:r>
              <w:rPr>
                <w:rFonts w:hint="eastAsia" w:ascii="宋体" w:hAnsi="宋体" w:eastAsia="宋体" w:cs="宋体"/>
                <w:sz w:val="21"/>
                <w:szCs w:val="21"/>
                <w:highlight w:val="none"/>
              </w:rPr>
              <w:t>货物或者在途货物或者交付给第一承运人后的货物毁损、灭失的风险负担</w:t>
            </w:r>
            <w:r>
              <w:rPr>
                <w:rFonts w:hint="eastAsia" w:ascii="宋体" w:hAnsi="宋体" w:eastAsia="宋体" w:cs="宋体"/>
                <w:b/>
                <w:sz w:val="21"/>
                <w:szCs w:val="21"/>
                <w:highlight w:val="none"/>
                <w:u w:val="single"/>
              </w:rPr>
              <w:t>均由乙方承担。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2.12.3</w:t>
            </w:r>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因不可抗力致使合同有变更必要的，双方当事人应在</w:t>
            </w:r>
            <w:r>
              <w:rPr>
                <w:rFonts w:hint="eastAsia" w:ascii="宋体" w:hAnsi="宋体" w:eastAsia="宋体" w:cs="宋体"/>
                <w:b/>
                <w:sz w:val="21"/>
                <w:szCs w:val="21"/>
                <w:highlight w:val="none"/>
                <w:u w:val="single"/>
              </w:rPr>
              <w:t>/</w:t>
            </w:r>
            <w:r>
              <w:rPr>
                <w:rFonts w:hint="eastAsia" w:ascii="宋体" w:hAnsi="宋体" w:eastAsia="宋体" w:cs="宋体"/>
                <w:sz w:val="21"/>
                <w:szCs w:val="21"/>
                <w:highlight w:val="none"/>
              </w:rPr>
              <w:t>约定时间内以书面形式变更合同；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2.12.4</w:t>
            </w:r>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受不可抗力影响的一方在不可抗力发生后，应在</w:t>
            </w:r>
            <w:r>
              <w:rPr>
                <w:rFonts w:hint="eastAsia" w:ascii="宋体" w:hAnsi="宋体" w:eastAsia="宋体" w:cs="宋体"/>
                <w:b/>
                <w:sz w:val="21"/>
                <w:szCs w:val="21"/>
                <w:highlight w:val="none"/>
                <w:u w:val="single"/>
              </w:rPr>
              <w:t>7天</w:t>
            </w:r>
            <w:r>
              <w:rPr>
                <w:rFonts w:hint="eastAsia" w:ascii="宋体" w:hAnsi="宋体" w:eastAsia="宋体" w:cs="宋体"/>
                <w:sz w:val="21"/>
                <w:szCs w:val="21"/>
                <w:highlight w:val="none"/>
              </w:rPr>
              <w:t>内以书面形式通知对方当事人，并在</w:t>
            </w:r>
            <w:r>
              <w:rPr>
                <w:rFonts w:hint="eastAsia" w:ascii="宋体" w:hAnsi="宋体" w:eastAsia="宋体" w:cs="宋体"/>
                <w:b/>
                <w:sz w:val="21"/>
                <w:szCs w:val="21"/>
                <w:highlight w:val="none"/>
                <w:u w:val="single"/>
              </w:rPr>
              <w:t>7天</w:t>
            </w:r>
            <w:r>
              <w:rPr>
                <w:rFonts w:hint="eastAsia" w:ascii="宋体" w:hAnsi="宋体" w:eastAsia="宋体" w:cs="宋体"/>
                <w:sz w:val="21"/>
                <w:szCs w:val="21"/>
                <w:highlight w:val="none"/>
              </w:rPr>
              <w:t>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2.16.1</w:t>
            </w:r>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货物交付前，乙方应对货物的质量、数量等方面进行详细、全面的检验，并向甲方出具证明货物符合合同约定的文件；货物交付时，乙方在</w:t>
            </w:r>
            <w:r>
              <w:rPr>
                <w:rFonts w:hint="eastAsia" w:ascii="宋体" w:hAnsi="宋体" w:eastAsia="宋体" w:cs="宋体"/>
                <w:b/>
                <w:sz w:val="21"/>
                <w:szCs w:val="21"/>
                <w:highlight w:val="none"/>
                <w:u w:val="single"/>
              </w:rPr>
              <w:t>15天</w:t>
            </w:r>
            <w:r>
              <w:rPr>
                <w:rFonts w:hint="eastAsia" w:ascii="宋体" w:hAnsi="宋体" w:eastAsia="宋体" w:cs="宋体"/>
                <w:sz w:val="21"/>
                <w:szCs w:val="21"/>
                <w:highlight w:val="none"/>
              </w:rPr>
              <w:t>内组织验收，并可依法邀请相关方参加，验收应出具验收书。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2.16.3</w:t>
            </w:r>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检验和验收标准、程序等具体内容以及前述验收书的效力：</w:t>
            </w:r>
          </w:p>
          <w:p>
            <w:pPr>
              <w:spacing w:line="360" w:lineRule="auto"/>
              <w:rPr>
                <w:rFonts w:hint="eastAsia" w:ascii="宋体" w:hAnsi="宋体" w:eastAsia="宋体" w:cs="宋体"/>
                <w:b/>
                <w:sz w:val="21"/>
                <w:szCs w:val="21"/>
                <w:highlight w:val="none"/>
                <w:u w:val="single"/>
              </w:rPr>
            </w:pPr>
            <w:r>
              <w:rPr>
                <w:rFonts w:hint="eastAsia" w:ascii="宋体" w:hAnsi="宋体" w:eastAsia="宋体" w:cs="宋体"/>
                <w:b/>
                <w:sz w:val="21"/>
                <w:szCs w:val="21"/>
                <w:highlight w:val="none"/>
                <w:u w:val="single"/>
              </w:rPr>
              <w:t>1）验收时间：收货时，货物清点的工作由买方、卖方共同执行。除非另行商定，开箱检验应在货物到达后的 10 个工作日内进行，具体日期由买方和卖方商议确定。</w:t>
            </w:r>
          </w:p>
          <w:p>
            <w:pPr>
              <w:spacing w:line="360" w:lineRule="auto"/>
              <w:rPr>
                <w:rFonts w:hint="eastAsia" w:ascii="宋体" w:hAnsi="宋体" w:eastAsia="宋体" w:cs="宋体"/>
                <w:b/>
                <w:sz w:val="21"/>
                <w:szCs w:val="21"/>
                <w:highlight w:val="none"/>
                <w:u w:val="single"/>
              </w:rPr>
            </w:pPr>
            <w:r>
              <w:rPr>
                <w:rFonts w:hint="eastAsia" w:ascii="宋体" w:hAnsi="宋体" w:eastAsia="宋体" w:cs="宋体"/>
                <w:b/>
                <w:sz w:val="21"/>
                <w:szCs w:val="21"/>
                <w:highlight w:val="none"/>
                <w:u w:val="single"/>
              </w:rPr>
              <w:t>2）抽检及检测方式：卖方批量定制完成后须向买方提供第三方的产品检测报告。货到买方仓库后，买方有权在每批次货物中随机抽取若干产品（具体要求见采购需求）委托第三方单位进行检测。产品检测结果如与招标文件中技术参数实质要求不符，买方有权拒绝接收货品，卖方应对所供货物进行整改，直至检验参数符合要求为止。以上涉及的检测费由卖方承担。</w:t>
            </w:r>
          </w:p>
          <w:p>
            <w:pPr>
              <w:spacing w:line="360" w:lineRule="auto"/>
              <w:rPr>
                <w:rFonts w:hint="eastAsia" w:ascii="宋体" w:hAnsi="宋体" w:eastAsia="宋体" w:cs="宋体"/>
                <w:b/>
                <w:sz w:val="21"/>
                <w:szCs w:val="21"/>
                <w:highlight w:val="none"/>
                <w:u w:val="single"/>
              </w:rPr>
            </w:pPr>
            <w:r>
              <w:rPr>
                <w:rFonts w:hint="eastAsia" w:ascii="宋体" w:hAnsi="宋体" w:eastAsia="宋体" w:cs="宋体"/>
                <w:b/>
                <w:sz w:val="21"/>
                <w:szCs w:val="21"/>
                <w:highlight w:val="none"/>
                <w:u w:val="single"/>
              </w:rPr>
              <w:t>3）在提供产品前，需提供产品样品供买方确认（或投标时已提供）。</w:t>
            </w:r>
          </w:p>
          <w:p>
            <w:pPr>
              <w:spacing w:line="360" w:lineRule="auto"/>
              <w:rPr>
                <w:rFonts w:hint="eastAsia" w:ascii="宋体" w:hAnsi="宋体" w:eastAsia="宋体" w:cs="宋体"/>
                <w:b/>
                <w:sz w:val="21"/>
                <w:szCs w:val="21"/>
                <w:highlight w:val="none"/>
                <w:u w:val="single"/>
              </w:rPr>
            </w:pPr>
            <w:r>
              <w:rPr>
                <w:rFonts w:hint="eastAsia" w:ascii="宋体" w:hAnsi="宋体" w:eastAsia="宋体" w:cs="宋体"/>
                <w:b/>
                <w:sz w:val="21"/>
                <w:szCs w:val="21"/>
                <w:highlight w:val="none"/>
                <w:u w:val="single"/>
              </w:rPr>
              <w:t>4）若到货检查、开箱检查中发现诸如数量、型号和品种等与招标文件招标内容和技术要求，如短缺或损坏，卖方应在 24 小时内予以答复，并应在7天内（特殊情况无法满足的经甲方同意后除外）予以更换、补齐或修改。只有在上述短缺和损坏已经更换、补齐或修改合格后，才可视为开箱检查通过。由此产生的费用和交货延误，由卖方承担。开箱检查合格后，方可视为办理产品移交手续，产品交由买方进行保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1144" w:type="dxa"/>
            <w:tcBorders>
              <w:left w:val="single" w:color="auto" w:sz="4" w:space="0"/>
            </w:tcBorders>
            <w:noWrap w:val="0"/>
            <w:vAlign w:val="top"/>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2.20.1</w:t>
            </w:r>
          </w:p>
        </w:tc>
        <w:tc>
          <w:tcPr>
            <w:tcW w:w="8618" w:type="dxa"/>
            <w:noWrap w:val="0"/>
            <w:vAlign w:val="top"/>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采购文件要求乙方提交履约保证金的，乙方应按</w:t>
            </w:r>
            <w:r>
              <w:rPr>
                <w:rFonts w:hint="eastAsia" w:ascii="宋体" w:hAnsi="宋体" w:eastAsia="宋体" w:cs="宋体"/>
                <w:b/>
                <w:sz w:val="21"/>
                <w:szCs w:val="21"/>
                <w:highlight w:val="none"/>
                <w:u w:val="single"/>
              </w:rPr>
              <w:t>支票、汇票、本票或者金融机构、担保机构出具的保函等非现金形式</w:t>
            </w:r>
            <w:r>
              <w:rPr>
                <w:rFonts w:hint="eastAsia" w:ascii="宋体" w:hAnsi="宋体" w:eastAsia="宋体" w:cs="宋体"/>
                <w:sz w:val="21"/>
                <w:szCs w:val="21"/>
                <w:highlight w:val="none"/>
              </w:rPr>
              <w:t>，提交不超过合同金额2.5%的履约保证金；鼓励和支持乙方以银行、保险公司出具的保函形式提供履约保证。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1144" w:type="dxa"/>
            <w:tcBorders>
              <w:left w:val="single" w:color="auto" w:sz="4" w:space="0"/>
            </w:tcBorders>
            <w:noWrap w:val="0"/>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2.20.2</w:t>
            </w:r>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履约保证金在</w:t>
            </w:r>
            <w:r>
              <w:rPr>
                <w:rFonts w:hint="eastAsia" w:ascii="宋体" w:hAnsi="宋体" w:eastAsia="宋体" w:cs="宋体"/>
                <w:b/>
                <w:sz w:val="21"/>
                <w:szCs w:val="21"/>
                <w:highlight w:val="none"/>
                <w:u w:val="single"/>
              </w:rPr>
              <w:t>履行完合同约定义务事项前</w:t>
            </w:r>
            <w:r>
              <w:rPr>
                <w:rFonts w:hint="eastAsia" w:ascii="宋体" w:hAnsi="宋体" w:eastAsia="宋体" w:cs="宋体"/>
                <w:sz w:val="21"/>
                <w:szCs w:val="21"/>
                <w:highlight w:val="none"/>
              </w:rPr>
              <w:t>不予退还。乙方在前述约定期间届满前能履行完合同约定义务事项的，甲方在前述约定期间届满之日起</w:t>
            </w:r>
            <w:r>
              <w:rPr>
                <w:rFonts w:hint="eastAsia" w:ascii="宋体" w:hAnsi="宋体" w:eastAsia="宋体" w:cs="宋体"/>
                <w:sz w:val="21"/>
                <w:szCs w:val="21"/>
                <w:highlight w:val="none"/>
                <w:u w:val="single"/>
              </w:rPr>
              <w:t xml:space="preserve"> 15 </w:t>
            </w:r>
            <w:r>
              <w:rPr>
                <w:rFonts w:hint="eastAsia" w:ascii="宋体" w:hAnsi="宋体" w:eastAsia="宋体" w:cs="宋体"/>
                <w:sz w:val="21"/>
                <w:szCs w:val="21"/>
                <w:highlight w:val="none"/>
              </w:rPr>
              <w:t>个工作日内，按</w:t>
            </w:r>
            <w:r>
              <w:rPr>
                <w:rFonts w:hint="eastAsia" w:ascii="宋体" w:hAnsi="宋体" w:eastAsia="宋体" w:cs="宋体"/>
                <w:b/>
                <w:sz w:val="21"/>
                <w:szCs w:val="21"/>
                <w:highlight w:val="none"/>
                <w:u w:val="single"/>
              </w:rPr>
              <w:t>不计息</w:t>
            </w:r>
            <w:r>
              <w:rPr>
                <w:rFonts w:hint="eastAsia" w:ascii="宋体" w:hAnsi="宋体" w:eastAsia="宋体" w:cs="宋体"/>
                <w:sz w:val="21"/>
                <w:szCs w:val="21"/>
                <w:highlight w:val="none"/>
              </w:rPr>
              <w:t>方式将履约保证金退还乙方，逾期退还的，乙方可要求甲方支付违约金，违约金按每迟延退还一日的应退还而未退还金额的</w:t>
            </w:r>
            <w:r>
              <w:rPr>
                <w:rFonts w:hint="eastAsia" w:ascii="宋体" w:hAnsi="宋体" w:eastAsia="宋体" w:cs="宋体"/>
                <w:sz w:val="21"/>
                <w:szCs w:val="21"/>
                <w:highlight w:val="none"/>
                <w:u w:val="single"/>
              </w:rPr>
              <w:t xml:space="preserve">  0.5  </w:t>
            </w:r>
            <w:r>
              <w:rPr>
                <w:rFonts w:hint="eastAsia" w:ascii="宋体" w:hAnsi="宋体" w:eastAsia="宋体" w:cs="宋体"/>
                <w:sz w:val="21"/>
                <w:szCs w:val="21"/>
                <w:highlight w:val="none"/>
              </w:rPr>
              <w:t>%计算，最高限额为本合同履约保证金的</w:t>
            </w:r>
            <w:r>
              <w:rPr>
                <w:rFonts w:hint="eastAsia" w:ascii="宋体" w:hAnsi="宋体" w:eastAsia="宋体" w:cs="宋体"/>
                <w:sz w:val="21"/>
                <w:szCs w:val="21"/>
                <w:highlight w:val="none"/>
                <w:u w:val="single"/>
              </w:rPr>
              <w:t xml:space="preserve">  20  </w:t>
            </w:r>
            <w:r>
              <w:rPr>
                <w:rFonts w:hint="eastAsia" w:ascii="宋体" w:hAnsi="宋体" w:eastAsia="宋体" w:cs="宋体"/>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1144" w:type="dxa"/>
            <w:tcBorders>
              <w:left w:val="single" w:color="auto" w:sz="4" w:space="0"/>
            </w:tcBorders>
            <w:noWrap w:val="0"/>
            <w:vAlign w:val="center"/>
          </w:tcPr>
          <w:p>
            <w:pPr>
              <w:spacing w:line="360" w:lineRule="auto"/>
              <w:ind w:right="-420" w:rightChars="-200" w:firstLine="210" w:firstLineChars="100"/>
              <w:outlineLvl w:val="0"/>
              <w:rPr>
                <w:rFonts w:hint="eastAsia" w:ascii="宋体" w:hAnsi="宋体" w:eastAsia="宋体" w:cs="宋体"/>
                <w:sz w:val="21"/>
                <w:szCs w:val="21"/>
                <w:highlight w:val="none"/>
              </w:rPr>
            </w:pPr>
            <w:bookmarkStart w:id="406" w:name="_Toc29273"/>
            <w:bookmarkStart w:id="407" w:name="_Toc11231"/>
            <w:bookmarkStart w:id="408" w:name="_Toc1224"/>
            <w:bookmarkStart w:id="409" w:name="_Toc26867"/>
            <w:bookmarkStart w:id="410" w:name="_Toc16383"/>
            <w:r>
              <w:rPr>
                <w:rFonts w:hint="eastAsia" w:ascii="宋体" w:hAnsi="宋体" w:eastAsia="宋体" w:cs="宋体"/>
                <w:sz w:val="21"/>
                <w:szCs w:val="21"/>
                <w:highlight w:val="none"/>
              </w:rPr>
              <w:t>2.22</w:t>
            </w:r>
            <w:bookmarkEnd w:id="406"/>
            <w:bookmarkEnd w:id="407"/>
            <w:bookmarkEnd w:id="408"/>
            <w:bookmarkEnd w:id="409"/>
            <w:bookmarkEnd w:id="410"/>
          </w:p>
        </w:tc>
        <w:tc>
          <w:tcPr>
            <w:tcW w:w="8618" w:type="dxa"/>
            <w:noWrap w:val="0"/>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合同份数</w:t>
            </w:r>
            <w:r>
              <w:rPr>
                <w:rFonts w:hint="eastAsia" w:ascii="宋体" w:hAnsi="宋体" w:eastAsia="宋体" w:cs="宋体"/>
                <w:b/>
                <w:sz w:val="21"/>
                <w:szCs w:val="21"/>
                <w:highlight w:val="none"/>
                <w:u w:val="single"/>
              </w:rPr>
              <w:t>双方各四份</w:t>
            </w:r>
            <w:r>
              <w:rPr>
                <w:rFonts w:hint="eastAsia" w:ascii="宋体" w:hAnsi="宋体" w:eastAsia="宋体" w:cs="宋体"/>
                <w:sz w:val="21"/>
                <w:szCs w:val="21"/>
                <w:highlight w:val="none"/>
              </w:rPr>
              <w:t>，每份均具有同等法律效力。</w:t>
            </w:r>
          </w:p>
        </w:tc>
      </w:tr>
      <w:bookmarkEnd w:id="96"/>
      <w:bookmarkEnd w:id="97"/>
      <w:bookmarkEnd w:id="98"/>
      <w:bookmarkEnd w:id="99"/>
      <w:bookmarkEnd w:id="100"/>
      <w:bookmarkEnd w:id="101"/>
    </w:tbl>
    <w:p>
      <w:pPr>
        <w:spacing w:line="560" w:lineRule="exact"/>
        <w:jc w:val="center"/>
        <w:rPr>
          <w:rFonts w:hint="eastAsia" w:ascii="宋体" w:hAnsi="宋体" w:eastAsia="宋体" w:cs="宋体"/>
          <w:sz w:val="21"/>
          <w:szCs w:val="21"/>
          <w:highlight w:val="none"/>
        </w:rPr>
      </w:pPr>
    </w:p>
    <w:p>
      <w:pPr>
        <w:pStyle w:val="10"/>
        <w:tabs>
          <w:tab w:val="left" w:pos="864"/>
        </w:tabs>
        <w:snapToGrid w:val="0"/>
        <w:spacing w:before="0" w:after="0" w:line="240" w:lineRule="auto"/>
        <w:ind w:left="862" w:hanging="862"/>
        <w:rPr>
          <w:rFonts w:hint="eastAsia" w:ascii="宋体" w:hAnsi="宋体" w:eastAsia="宋体" w:cs="宋体"/>
          <w:b w:val="0"/>
          <w:bCs w:val="0"/>
          <w:sz w:val="21"/>
          <w:szCs w:val="21"/>
          <w:highlight w:val="none"/>
        </w:rPr>
      </w:pPr>
      <w:r>
        <w:rPr>
          <w:rFonts w:hint="eastAsia" w:ascii="宋体" w:hAnsi="宋体" w:eastAsia="宋体" w:cs="宋体"/>
          <w:sz w:val="21"/>
          <w:szCs w:val="21"/>
          <w:highlight w:val="none"/>
        </w:rPr>
        <w:br w:type="page"/>
      </w:r>
    </w:p>
    <w:p>
      <w:pPr>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政府采购履约验收书</w:t>
      </w:r>
    </w:p>
    <w:p>
      <w:pPr>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（参考模板）</w:t>
      </w:r>
    </w:p>
    <w:tbl>
      <w:tblPr>
        <w:tblStyle w:val="42"/>
        <w:tblW w:w="9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9"/>
        <w:gridCol w:w="903"/>
        <w:gridCol w:w="1319"/>
        <w:gridCol w:w="218"/>
        <w:gridCol w:w="1174"/>
        <w:gridCol w:w="246"/>
        <w:gridCol w:w="632"/>
        <w:gridCol w:w="1334"/>
        <w:gridCol w:w="705"/>
        <w:gridCol w:w="635"/>
        <w:gridCol w:w="565"/>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16" w:type="dxa"/>
            <w:gridSpan w:val="1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一、验收方案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16" w:type="dxa"/>
            <w:gridSpan w:val="1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（一）项目基本情况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采购人名称</w:t>
            </w:r>
          </w:p>
        </w:tc>
        <w:tc>
          <w:tcPr>
            <w:tcW w:w="3589" w:type="dxa"/>
            <w:gridSpan w:val="5"/>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r>
              <w:rPr>
                <w:rFonts w:hint="eastAsia" w:cs="宋体"/>
                <w:sz w:val="21"/>
                <w:szCs w:val="21"/>
                <w:highlight w:val="none"/>
                <w:lang w:eastAsia="zh-CN"/>
              </w:rPr>
              <w:t>供应商</w:t>
            </w:r>
            <w:r>
              <w:rPr>
                <w:rFonts w:hint="eastAsia" w:ascii="宋体" w:hAnsi="宋体" w:eastAsia="宋体" w:cs="宋体"/>
                <w:sz w:val="21"/>
                <w:szCs w:val="21"/>
                <w:highlight w:val="none"/>
              </w:rPr>
              <w:t>名称</w:t>
            </w:r>
          </w:p>
        </w:tc>
        <w:tc>
          <w:tcPr>
            <w:tcW w:w="2711" w:type="dxa"/>
            <w:gridSpan w:val="4"/>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项目名称</w:t>
            </w:r>
          </w:p>
        </w:tc>
        <w:tc>
          <w:tcPr>
            <w:tcW w:w="3589" w:type="dxa"/>
            <w:gridSpan w:val="5"/>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合同编号</w:t>
            </w:r>
          </w:p>
        </w:tc>
        <w:tc>
          <w:tcPr>
            <w:tcW w:w="2711" w:type="dxa"/>
            <w:gridSpan w:val="4"/>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合同签订时间</w:t>
            </w:r>
          </w:p>
        </w:tc>
        <w:tc>
          <w:tcPr>
            <w:tcW w:w="3589" w:type="dxa"/>
            <w:gridSpan w:val="5"/>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合同规定验收时间</w:t>
            </w:r>
          </w:p>
        </w:tc>
        <w:tc>
          <w:tcPr>
            <w:tcW w:w="2711" w:type="dxa"/>
            <w:gridSpan w:val="4"/>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项目类型</w:t>
            </w:r>
          </w:p>
        </w:tc>
        <w:tc>
          <w:tcPr>
            <w:tcW w:w="3589" w:type="dxa"/>
            <w:gridSpan w:val="5"/>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货物/</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服务</w:t>
            </w: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合同金额</w:t>
            </w:r>
          </w:p>
        </w:tc>
        <w:tc>
          <w:tcPr>
            <w:tcW w:w="2711" w:type="dxa"/>
            <w:gridSpan w:val="4"/>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16" w:type="dxa"/>
            <w:gridSpan w:val="1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（二）验收方式与方法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验收组织方式</w:t>
            </w:r>
          </w:p>
        </w:tc>
        <w:tc>
          <w:tcPr>
            <w:tcW w:w="3589" w:type="dxa"/>
            <w:gridSpan w:val="5"/>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自行组织/</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委托代理</w:t>
            </w: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代理机构名称</w:t>
            </w:r>
          </w:p>
        </w:tc>
        <w:tc>
          <w:tcPr>
            <w:tcW w:w="2711" w:type="dxa"/>
            <w:gridSpan w:val="4"/>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982"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验收方式</w:t>
            </w:r>
          </w:p>
        </w:tc>
        <w:tc>
          <w:tcPr>
            <w:tcW w:w="3589" w:type="dxa"/>
            <w:gridSpan w:val="5"/>
            <w:noWrap w:val="0"/>
            <w:vAlign w:val="center"/>
          </w:tcPr>
          <w:p>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一般验收程序/ </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简易验收程序</w:t>
            </w: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选择简易验收理由</w:t>
            </w:r>
          </w:p>
        </w:tc>
        <w:tc>
          <w:tcPr>
            <w:tcW w:w="2711" w:type="dxa"/>
            <w:gridSpan w:val="4"/>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982"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验收方法</w:t>
            </w:r>
          </w:p>
        </w:tc>
        <w:tc>
          <w:tcPr>
            <w:tcW w:w="3589" w:type="dxa"/>
            <w:gridSpan w:val="5"/>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一次性验收/</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分段验收/</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分期验收</w:t>
            </w: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选择非一次性验收理由</w:t>
            </w:r>
          </w:p>
        </w:tc>
        <w:tc>
          <w:tcPr>
            <w:tcW w:w="2711" w:type="dxa"/>
            <w:gridSpan w:val="4"/>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982" w:type="dxa"/>
            <w:gridSpan w:val="2"/>
            <w:vMerge w:val="restart"/>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大型或复杂项目</w:t>
            </w:r>
          </w:p>
        </w:tc>
        <w:tc>
          <w:tcPr>
            <w:tcW w:w="3589" w:type="dxa"/>
            <w:gridSpan w:val="5"/>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是/</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否</w:t>
            </w:r>
          </w:p>
        </w:tc>
        <w:tc>
          <w:tcPr>
            <w:tcW w:w="1334" w:type="dxa"/>
            <w:vMerge w:val="restart"/>
            <w:noWrap w:val="0"/>
            <w:vAlign w:val="center"/>
          </w:tcPr>
          <w:p>
            <w:pPr>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邀请本项目其他</w:t>
            </w:r>
            <w:r>
              <w:rPr>
                <w:rFonts w:hint="eastAsia" w:cs="宋体"/>
                <w:sz w:val="21"/>
                <w:szCs w:val="21"/>
                <w:highlight w:val="none"/>
                <w:lang w:eastAsia="zh-CN"/>
              </w:rPr>
              <w:t>供应商</w:t>
            </w:r>
          </w:p>
        </w:tc>
        <w:tc>
          <w:tcPr>
            <w:tcW w:w="2711" w:type="dxa"/>
            <w:gridSpan w:val="4"/>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是/</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参与验收监测机构名称</w:t>
            </w:r>
          </w:p>
        </w:tc>
        <w:tc>
          <w:tcPr>
            <w:tcW w:w="2052" w:type="dxa"/>
            <w:gridSpan w:val="3"/>
            <w:noWrap w:val="0"/>
            <w:vAlign w:val="center"/>
          </w:tcPr>
          <w:p>
            <w:pPr>
              <w:jc w:val="center"/>
              <w:rPr>
                <w:rFonts w:hint="eastAsia" w:ascii="宋体" w:hAnsi="宋体" w:eastAsia="宋体" w:cs="宋体"/>
                <w:sz w:val="21"/>
                <w:szCs w:val="21"/>
                <w:highlight w:val="none"/>
              </w:rPr>
            </w:pPr>
          </w:p>
        </w:tc>
        <w:tc>
          <w:tcPr>
            <w:tcW w:w="1334" w:type="dxa"/>
            <w:vMerge w:val="continue"/>
            <w:noWrap w:val="0"/>
            <w:vAlign w:val="center"/>
          </w:tcPr>
          <w:p>
            <w:pPr>
              <w:jc w:val="center"/>
              <w:rPr>
                <w:rFonts w:hint="eastAsia" w:ascii="宋体" w:hAnsi="宋体" w:eastAsia="宋体" w:cs="宋体"/>
                <w:sz w:val="21"/>
                <w:szCs w:val="21"/>
                <w:highlight w:val="none"/>
              </w:rPr>
            </w:pP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参与验收</w:t>
            </w:r>
            <w:r>
              <w:rPr>
                <w:rFonts w:hint="eastAsia" w:cs="宋体"/>
                <w:sz w:val="21"/>
                <w:szCs w:val="21"/>
                <w:highlight w:val="none"/>
                <w:lang w:eastAsia="zh-CN"/>
              </w:rPr>
              <w:t>供应商</w:t>
            </w:r>
            <w:r>
              <w:rPr>
                <w:rFonts w:hint="eastAsia" w:ascii="宋体" w:hAnsi="宋体" w:eastAsia="宋体" w:cs="宋体"/>
                <w:sz w:val="21"/>
                <w:szCs w:val="21"/>
                <w:highlight w:val="none"/>
              </w:rPr>
              <w:t>名称</w:t>
            </w: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982" w:type="dxa"/>
            <w:gridSpan w:val="2"/>
            <w:vMerge w:val="restart"/>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向社会公众提供的公共服务项目方式</w:t>
            </w:r>
          </w:p>
        </w:tc>
        <w:tc>
          <w:tcPr>
            <w:tcW w:w="3589" w:type="dxa"/>
            <w:gridSpan w:val="5"/>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是/</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否</w:t>
            </w:r>
          </w:p>
        </w:tc>
        <w:tc>
          <w:tcPr>
            <w:tcW w:w="1334" w:type="dxa"/>
            <w:vMerge w:val="restart"/>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采购人、使用人分离项目</w:t>
            </w:r>
          </w:p>
        </w:tc>
        <w:tc>
          <w:tcPr>
            <w:tcW w:w="2711" w:type="dxa"/>
            <w:gridSpan w:val="4"/>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是/</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参与验收服务对象</w:t>
            </w:r>
          </w:p>
        </w:tc>
        <w:tc>
          <w:tcPr>
            <w:tcW w:w="2052" w:type="dxa"/>
            <w:gridSpan w:val="3"/>
            <w:noWrap w:val="0"/>
            <w:vAlign w:val="center"/>
          </w:tcPr>
          <w:p>
            <w:pPr>
              <w:jc w:val="center"/>
              <w:rPr>
                <w:rFonts w:hint="eastAsia" w:ascii="宋体" w:hAnsi="宋体" w:eastAsia="宋体" w:cs="宋体"/>
                <w:sz w:val="21"/>
                <w:szCs w:val="21"/>
                <w:highlight w:val="none"/>
              </w:rPr>
            </w:pPr>
          </w:p>
        </w:tc>
        <w:tc>
          <w:tcPr>
            <w:tcW w:w="1334" w:type="dxa"/>
            <w:vMerge w:val="continue"/>
            <w:noWrap w:val="0"/>
            <w:vAlign w:val="center"/>
          </w:tcPr>
          <w:p>
            <w:pPr>
              <w:jc w:val="center"/>
              <w:rPr>
                <w:rFonts w:hint="eastAsia" w:ascii="宋体" w:hAnsi="宋体" w:eastAsia="宋体" w:cs="宋体"/>
                <w:sz w:val="21"/>
                <w:szCs w:val="21"/>
                <w:highlight w:val="none"/>
              </w:rPr>
            </w:pP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使用单位名称</w:t>
            </w: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16" w:type="dxa"/>
            <w:gridSpan w:val="1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（三）验收人员组成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验收小组总人数</w:t>
            </w:r>
          </w:p>
        </w:tc>
        <w:tc>
          <w:tcPr>
            <w:tcW w:w="1319" w:type="dxa"/>
            <w:noWrap w:val="0"/>
            <w:vAlign w:val="center"/>
          </w:tcPr>
          <w:p>
            <w:pPr>
              <w:jc w:val="center"/>
              <w:rPr>
                <w:rFonts w:hint="eastAsia" w:ascii="宋体" w:hAnsi="宋体" w:eastAsia="宋体" w:cs="宋体"/>
                <w:sz w:val="21"/>
                <w:szCs w:val="21"/>
                <w:highlight w:val="none"/>
              </w:rPr>
            </w:pPr>
          </w:p>
        </w:tc>
        <w:tc>
          <w:tcPr>
            <w:tcW w:w="1392"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专业技术人员人数</w:t>
            </w:r>
          </w:p>
        </w:tc>
        <w:tc>
          <w:tcPr>
            <w:tcW w:w="878" w:type="dxa"/>
            <w:gridSpan w:val="2"/>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实际使用人人数（如有）</w:t>
            </w:r>
          </w:p>
        </w:tc>
        <w:tc>
          <w:tcPr>
            <w:tcW w:w="705" w:type="dxa"/>
            <w:noWrap w:val="0"/>
            <w:vAlign w:val="center"/>
          </w:tcPr>
          <w:p>
            <w:pPr>
              <w:jc w:val="center"/>
              <w:rPr>
                <w:rFonts w:hint="eastAsia" w:ascii="宋体" w:hAnsi="宋体" w:eastAsia="宋体" w:cs="宋体"/>
                <w:sz w:val="21"/>
                <w:szCs w:val="21"/>
                <w:highlight w:val="none"/>
              </w:rPr>
            </w:pPr>
          </w:p>
        </w:tc>
        <w:tc>
          <w:tcPr>
            <w:tcW w:w="120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其他验收人员数量</w:t>
            </w:r>
          </w:p>
        </w:tc>
        <w:tc>
          <w:tcPr>
            <w:tcW w:w="806" w:type="dxa"/>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验收人员姓名</w:t>
            </w:r>
          </w:p>
        </w:tc>
        <w:tc>
          <w:tcPr>
            <w:tcW w:w="3589" w:type="dxa"/>
            <w:gridSpan w:val="5"/>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工作单位</w:t>
            </w: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职称（专业）</w:t>
            </w: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联系方式</w:t>
            </w:r>
          </w:p>
        </w:tc>
        <w:tc>
          <w:tcPr>
            <w:tcW w:w="1371"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noWrap w:val="0"/>
            <w:vAlign w:val="center"/>
          </w:tcPr>
          <w:p>
            <w:pPr>
              <w:jc w:val="center"/>
              <w:rPr>
                <w:rFonts w:hint="eastAsia" w:ascii="宋体" w:hAnsi="宋体" w:eastAsia="宋体" w:cs="宋体"/>
                <w:sz w:val="21"/>
                <w:szCs w:val="21"/>
                <w:highlight w:val="none"/>
              </w:rPr>
            </w:pPr>
          </w:p>
        </w:tc>
        <w:tc>
          <w:tcPr>
            <w:tcW w:w="3589" w:type="dxa"/>
            <w:gridSpan w:val="5"/>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p>
        </w:tc>
        <w:tc>
          <w:tcPr>
            <w:tcW w:w="1340" w:type="dxa"/>
            <w:gridSpan w:val="2"/>
            <w:noWrap w:val="0"/>
            <w:vAlign w:val="center"/>
          </w:tcPr>
          <w:p>
            <w:pPr>
              <w:jc w:val="center"/>
              <w:rPr>
                <w:rFonts w:hint="eastAsia" w:ascii="宋体" w:hAnsi="宋体" w:eastAsia="宋体" w:cs="宋体"/>
                <w:sz w:val="21"/>
                <w:szCs w:val="21"/>
                <w:highlight w:val="none"/>
              </w:rPr>
            </w:pP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noWrap w:val="0"/>
            <w:vAlign w:val="center"/>
          </w:tcPr>
          <w:p>
            <w:pPr>
              <w:jc w:val="center"/>
              <w:rPr>
                <w:rFonts w:hint="eastAsia" w:ascii="宋体" w:hAnsi="宋体" w:eastAsia="宋体" w:cs="宋体"/>
                <w:sz w:val="21"/>
                <w:szCs w:val="21"/>
                <w:highlight w:val="none"/>
              </w:rPr>
            </w:pPr>
          </w:p>
        </w:tc>
        <w:tc>
          <w:tcPr>
            <w:tcW w:w="3589" w:type="dxa"/>
            <w:gridSpan w:val="5"/>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p>
        </w:tc>
        <w:tc>
          <w:tcPr>
            <w:tcW w:w="1340" w:type="dxa"/>
            <w:gridSpan w:val="2"/>
            <w:noWrap w:val="0"/>
            <w:vAlign w:val="center"/>
          </w:tcPr>
          <w:p>
            <w:pPr>
              <w:jc w:val="center"/>
              <w:rPr>
                <w:rFonts w:hint="eastAsia" w:ascii="宋体" w:hAnsi="宋体" w:eastAsia="宋体" w:cs="宋体"/>
                <w:sz w:val="21"/>
                <w:szCs w:val="21"/>
                <w:highlight w:val="none"/>
              </w:rPr>
            </w:pP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16" w:type="dxa"/>
            <w:gridSpan w:val="1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（四）验收主要指标和标准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79"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903"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名称</w:t>
            </w: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合同履约时间、地点、方式</w:t>
            </w:r>
          </w:p>
        </w:tc>
        <w:tc>
          <w:tcPr>
            <w:tcW w:w="2052" w:type="dxa"/>
            <w:gridSpan w:val="3"/>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货物型号规格、标准及配置等（或服务内容、标准）</w:t>
            </w: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数量</w:t>
            </w: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单价</w:t>
            </w:r>
          </w:p>
        </w:tc>
        <w:tc>
          <w:tcPr>
            <w:tcW w:w="1371"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79" w:type="dxa"/>
            <w:noWrap w:val="0"/>
            <w:vAlign w:val="center"/>
          </w:tcPr>
          <w:p>
            <w:pPr>
              <w:jc w:val="center"/>
              <w:rPr>
                <w:rFonts w:hint="eastAsia" w:ascii="宋体" w:hAnsi="宋体" w:eastAsia="宋体" w:cs="宋体"/>
                <w:sz w:val="21"/>
                <w:szCs w:val="21"/>
                <w:highlight w:val="none"/>
              </w:rPr>
            </w:pPr>
          </w:p>
        </w:tc>
        <w:tc>
          <w:tcPr>
            <w:tcW w:w="903" w:type="dxa"/>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p>
        </w:tc>
        <w:tc>
          <w:tcPr>
            <w:tcW w:w="2052" w:type="dxa"/>
            <w:gridSpan w:val="3"/>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p>
        </w:tc>
        <w:tc>
          <w:tcPr>
            <w:tcW w:w="1340" w:type="dxa"/>
            <w:gridSpan w:val="2"/>
            <w:noWrap w:val="0"/>
            <w:vAlign w:val="center"/>
          </w:tcPr>
          <w:p>
            <w:pPr>
              <w:jc w:val="center"/>
              <w:rPr>
                <w:rFonts w:hint="eastAsia" w:ascii="宋体" w:hAnsi="宋体" w:eastAsia="宋体" w:cs="宋体"/>
                <w:sz w:val="21"/>
                <w:szCs w:val="21"/>
                <w:highlight w:val="none"/>
              </w:rPr>
            </w:pP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79" w:type="dxa"/>
            <w:noWrap w:val="0"/>
            <w:vAlign w:val="center"/>
          </w:tcPr>
          <w:p>
            <w:pPr>
              <w:jc w:val="center"/>
              <w:rPr>
                <w:rFonts w:hint="eastAsia" w:ascii="宋体" w:hAnsi="宋体" w:eastAsia="宋体" w:cs="宋体"/>
                <w:sz w:val="21"/>
                <w:szCs w:val="21"/>
                <w:highlight w:val="none"/>
              </w:rPr>
            </w:pPr>
          </w:p>
        </w:tc>
        <w:tc>
          <w:tcPr>
            <w:tcW w:w="903" w:type="dxa"/>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p>
        </w:tc>
        <w:tc>
          <w:tcPr>
            <w:tcW w:w="2052" w:type="dxa"/>
            <w:gridSpan w:val="3"/>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p>
        </w:tc>
        <w:tc>
          <w:tcPr>
            <w:tcW w:w="1340" w:type="dxa"/>
            <w:gridSpan w:val="2"/>
            <w:noWrap w:val="0"/>
            <w:vAlign w:val="center"/>
          </w:tcPr>
          <w:p>
            <w:pPr>
              <w:jc w:val="center"/>
              <w:rPr>
                <w:rFonts w:hint="eastAsia" w:ascii="宋体" w:hAnsi="宋体" w:eastAsia="宋体" w:cs="宋体"/>
                <w:sz w:val="21"/>
                <w:szCs w:val="21"/>
                <w:highlight w:val="none"/>
              </w:rPr>
            </w:pP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79" w:type="dxa"/>
            <w:noWrap w:val="0"/>
            <w:vAlign w:val="center"/>
          </w:tcPr>
          <w:p>
            <w:pPr>
              <w:jc w:val="center"/>
              <w:rPr>
                <w:rFonts w:hint="eastAsia" w:ascii="宋体" w:hAnsi="宋体" w:eastAsia="宋体" w:cs="宋体"/>
                <w:sz w:val="21"/>
                <w:szCs w:val="21"/>
                <w:highlight w:val="none"/>
              </w:rPr>
            </w:pPr>
          </w:p>
        </w:tc>
        <w:tc>
          <w:tcPr>
            <w:tcW w:w="903" w:type="dxa"/>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p>
        </w:tc>
        <w:tc>
          <w:tcPr>
            <w:tcW w:w="2052" w:type="dxa"/>
            <w:gridSpan w:val="3"/>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p>
        </w:tc>
        <w:tc>
          <w:tcPr>
            <w:tcW w:w="1340" w:type="dxa"/>
            <w:gridSpan w:val="2"/>
            <w:noWrap w:val="0"/>
            <w:vAlign w:val="center"/>
          </w:tcPr>
          <w:p>
            <w:pPr>
              <w:jc w:val="center"/>
              <w:rPr>
                <w:rFonts w:hint="eastAsia" w:ascii="宋体" w:hAnsi="宋体" w:eastAsia="宋体" w:cs="宋体"/>
                <w:sz w:val="21"/>
                <w:szCs w:val="21"/>
                <w:highlight w:val="none"/>
              </w:rPr>
            </w:pP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16" w:type="dxa"/>
            <w:gridSpan w:val="1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二、验收情况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982"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分期情况</w:t>
            </w:r>
          </w:p>
        </w:tc>
        <w:tc>
          <w:tcPr>
            <w:tcW w:w="3589" w:type="dxa"/>
            <w:gridSpan w:val="5"/>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共分 期，此为第  期验收</w:t>
            </w:r>
          </w:p>
        </w:tc>
        <w:tc>
          <w:tcPr>
            <w:tcW w:w="1334" w:type="dxa"/>
            <w:noWrap w:val="0"/>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分段情况     </w:t>
            </w:r>
          </w:p>
        </w:tc>
        <w:tc>
          <w:tcPr>
            <w:tcW w:w="2711" w:type="dxa"/>
            <w:gridSpan w:val="4"/>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共分  段，此为   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vMerge w:val="restart"/>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第三方参考情况说明</w:t>
            </w: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评价对象</w:t>
            </w:r>
          </w:p>
        </w:tc>
        <w:tc>
          <w:tcPr>
            <w:tcW w:w="2052" w:type="dxa"/>
            <w:gridSpan w:val="3"/>
            <w:noWrap w:val="0"/>
            <w:vAlign w:val="center"/>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评价结果</w:t>
            </w:r>
          </w:p>
        </w:tc>
        <w:tc>
          <w:tcPr>
            <w:tcW w:w="2674" w:type="dxa"/>
            <w:gridSpan w:val="3"/>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理由</w:t>
            </w:r>
          </w:p>
        </w:tc>
        <w:tc>
          <w:tcPr>
            <w:tcW w:w="1371"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检测机构</w:t>
            </w:r>
          </w:p>
        </w:tc>
        <w:tc>
          <w:tcPr>
            <w:tcW w:w="2052" w:type="dxa"/>
            <w:gridSpan w:val="3"/>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合格/</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2674" w:type="dxa"/>
            <w:gridSpan w:val="3"/>
            <w:noWrap w:val="0"/>
            <w:vAlign w:val="center"/>
          </w:tcPr>
          <w:p>
            <w:pPr>
              <w:jc w:val="center"/>
              <w:rPr>
                <w:rFonts w:hint="eastAsia" w:ascii="宋体" w:hAnsi="宋体" w:eastAsia="宋体" w:cs="宋体"/>
                <w:sz w:val="21"/>
                <w:szCs w:val="21"/>
                <w:highlight w:val="none"/>
              </w:rPr>
            </w:pP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其他</w:t>
            </w:r>
            <w:r>
              <w:rPr>
                <w:rFonts w:hint="eastAsia" w:cs="宋体"/>
                <w:sz w:val="21"/>
                <w:szCs w:val="21"/>
                <w:highlight w:val="none"/>
                <w:lang w:eastAsia="zh-CN"/>
              </w:rPr>
              <w:t>供应商</w:t>
            </w:r>
          </w:p>
        </w:tc>
        <w:tc>
          <w:tcPr>
            <w:tcW w:w="2052" w:type="dxa"/>
            <w:gridSpan w:val="3"/>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合格/</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2674" w:type="dxa"/>
            <w:gridSpan w:val="3"/>
            <w:noWrap w:val="0"/>
            <w:vAlign w:val="center"/>
          </w:tcPr>
          <w:p>
            <w:pPr>
              <w:jc w:val="center"/>
              <w:rPr>
                <w:rFonts w:hint="eastAsia" w:ascii="宋体" w:hAnsi="宋体" w:eastAsia="宋体" w:cs="宋体"/>
                <w:sz w:val="21"/>
                <w:szCs w:val="21"/>
                <w:highlight w:val="none"/>
              </w:rPr>
            </w:pP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服务对象</w:t>
            </w:r>
          </w:p>
        </w:tc>
        <w:tc>
          <w:tcPr>
            <w:tcW w:w="2052" w:type="dxa"/>
            <w:gridSpan w:val="3"/>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合格/</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2674" w:type="dxa"/>
            <w:gridSpan w:val="3"/>
            <w:noWrap w:val="0"/>
            <w:vAlign w:val="center"/>
          </w:tcPr>
          <w:p>
            <w:pPr>
              <w:jc w:val="center"/>
              <w:rPr>
                <w:rFonts w:hint="eastAsia" w:ascii="宋体" w:hAnsi="宋体" w:eastAsia="宋体" w:cs="宋体"/>
                <w:sz w:val="21"/>
                <w:szCs w:val="21"/>
                <w:highlight w:val="none"/>
              </w:rPr>
            </w:pP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vMerge w:val="restart"/>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货物类验收内容及验收情况</w:t>
            </w: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评价内容</w:t>
            </w:r>
          </w:p>
        </w:tc>
        <w:tc>
          <w:tcPr>
            <w:tcW w:w="117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评价情况</w:t>
            </w:r>
          </w:p>
        </w:tc>
        <w:tc>
          <w:tcPr>
            <w:tcW w:w="878"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理由</w:t>
            </w: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评价内容</w:t>
            </w: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评价情况</w:t>
            </w:r>
          </w:p>
        </w:tc>
        <w:tc>
          <w:tcPr>
            <w:tcW w:w="1371"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货物清单</w:t>
            </w:r>
          </w:p>
        </w:tc>
        <w:tc>
          <w:tcPr>
            <w:tcW w:w="117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878" w:type="dxa"/>
            <w:gridSpan w:val="2"/>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品牌、型号、规格、数量、及外观数量</w:t>
            </w: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技术、性能指标</w:t>
            </w:r>
          </w:p>
        </w:tc>
        <w:tc>
          <w:tcPr>
            <w:tcW w:w="117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878" w:type="dxa"/>
            <w:gridSpan w:val="2"/>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运行状况及安装调试</w:t>
            </w: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质量证明文件</w:t>
            </w:r>
          </w:p>
        </w:tc>
        <w:tc>
          <w:tcPr>
            <w:tcW w:w="117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878" w:type="dxa"/>
            <w:gridSpan w:val="2"/>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售后服务承诺</w:t>
            </w: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安全标准</w:t>
            </w:r>
          </w:p>
        </w:tc>
        <w:tc>
          <w:tcPr>
            <w:tcW w:w="117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878" w:type="dxa"/>
            <w:gridSpan w:val="2"/>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合同履约时间、地点、方式</w:t>
            </w: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vMerge w:val="restart"/>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服务类验收内容及结果</w:t>
            </w: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评价内容</w:t>
            </w:r>
          </w:p>
        </w:tc>
        <w:tc>
          <w:tcPr>
            <w:tcW w:w="117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评价情况</w:t>
            </w:r>
          </w:p>
        </w:tc>
        <w:tc>
          <w:tcPr>
            <w:tcW w:w="878"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理由</w:t>
            </w: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评价内容</w:t>
            </w: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评价情况</w:t>
            </w:r>
          </w:p>
        </w:tc>
        <w:tc>
          <w:tcPr>
            <w:tcW w:w="1371"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服务质量</w:t>
            </w:r>
          </w:p>
        </w:tc>
        <w:tc>
          <w:tcPr>
            <w:tcW w:w="117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878" w:type="dxa"/>
            <w:gridSpan w:val="2"/>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服务进度</w:t>
            </w: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人员、设备配备情况</w:t>
            </w:r>
          </w:p>
        </w:tc>
        <w:tc>
          <w:tcPr>
            <w:tcW w:w="117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878" w:type="dxa"/>
            <w:gridSpan w:val="2"/>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安全标准</w:t>
            </w: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1537"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服务承诺时限</w:t>
            </w:r>
          </w:p>
        </w:tc>
        <w:tc>
          <w:tcPr>
            <w:tcW w:w="117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878" w:type="dxa"/>
            <w:gridSpan w:val="2"/>
            <w:noWrap w:val="0"/>
            <w:vAlign w:val="center"/>
          </w:tcPr>
          <w:p>
            <w:pPr>
              <w:jc w:val="center"/>
              <w:rPr>
                <w:rFonts w:hint="eastAsia" w:ascii="宋体" w:hAnsi="宋体" w:eastAsia="宋体" w:cs="宋体"/>
                <w:sz w:val="21"/>
                <w:szCs w:val="21"/>
                <w:highlight w:val="none"/>
              </w:rPr>
            </w:pPr>
          </w:p>
        </w:tc>
        <w:tc>
          <w:tcPr>
            <w:tcW w:w="1334"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合同履约时间、地点、方式</w:t>
            </w:r>
          </w:p>
        </w:tc>
        <w:tc>
          <w:tcPr>
            <w:tcW w:w="1340"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p>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tc>
        <w:tc>
          <w:tcPr>
            <w:tcW w:w="1371" w:type="dxa"/>
            <w:gridSpan w:val="2"/>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16" w:type="dxa"/>
            <w:gridSpan w:val="1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三、验收结论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jc w:val="center"/>
        </w:trPr>
        <w:tc>
          <w:tcPr>
            <w:tcW w:w="1982" w:type="dxa"/>
            <w:gridSpan w:val="2"/>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存在问题和改进意见</w:t>
            </w:r>
          </w:p>
        </w:tc>
        <w:tc>
          <w:tcPr>
            <w:tcW w:w="7634" w:type="dxa"/>
            <w:gridSpan w:val="10"/>
            <w:noWrap w:val="0"/>
            <w:vAlign w:val="center"/>
          </w:tcPr>
          <w:p>
            <w:pPr>
              <w:jc w:val="center"/>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vMerge w:val="restart"/>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验收小组意见</w:t>
            </w:r>
          </w:p>
        </w:tc>
        <w:tc>
          <w:tcPr>
            <w:tcW w:w="7634" w:type="dxa"/>
            <w:gridSpan w:val="10"/>
            <w:noWrap w:val="0"/>
            <w:vAlign w:val="center"/>
          </w:tcPr>
          <w:p>
            <w:pPr>
              <w:jc w:val="left"/>
              <w:rPr>
                <w:rFonts w:hint="eastAsia" w:ascii="宋体" w:hAnsi="宋体" w:eastAsia="宋体" w:cs="宋体"/>
                <w:sz w:val="21"/>
                <w:szCs w:val="21"/>
                <w:highlight w:val="none"/>
              </w:rPr>
            </w:pPr>
          </w:p>
          <w:p>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验收结论性意见：</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 xml:space="preserve">合  格                    </w:t>
            </w:r>
            <w:r>
              <w:rPr>
                <w:rFonts w:hint="eastAsia" w:ascii="宋体" w:hAnsi="宋体" w:eastAsia="宋体" w:cs="宋体"/>
                <w:sz w:val="21"/>
                <w:szCs w:val="21"/>
                <w:highlight w:val="none"/>
              </w:rPr>
              <w:sym w:font="Wingdings" w:char="00A8"/>
            </w:r>
            <w:r>
              <w:rPr>
                <w:rFonts w:hint="eastAsia" w:ascii="宋体" w:hAnsi="宋体" w:eastAsia="宋体" w:cs="宋体"/>
                <w:sz w:val="21"/>
                <w:szCs w:val="21"/>
                <w:highlight w:val="none"/>
              </w:rPr>
              <w:t>不合格</w:t>
            </w:r>
          </w:p>
          <w:p>
            <w:pPr>
              <w:jc w:val="left"/>
              <w:rPr>
                <w:rFonts w:hint="eastAsia" w:ascii="宋体" w:hAnsi="宋体" w:eastAsia="宋体" w:cs="宋体"/>
                <w:sz w:val="21"/>
                <w:szCs w:val="21"/>
                <w:highlight w:val="none"/>
              </w:rPr>
            </w:pPr>
          </w:p>
          <w:p>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其他需要说明的事项：</w:t>
            </w:r>
          </w:p>
          <w:p>
            <w:pPr>
              <w:jc w:val="left"/>
              <w:rPr>
                <w:rFonts w:hint="eastAsia" w:ascii="宋体" w:hAnsi="宋体" w:eastAsia="宋体" w:cs="宋体"/>
                <w:sz w:val="21"/>
                <w:szCs w:val="21"/>
                <w:highlight w:val="none"/>
              </w:rPr>
            </w:pPr>
          </w:p>
          <w:p>
            <w:pPr>
              <w:jc w:val="left"/>
              <w:rPr>
                <w:rFonts w:hint="eastAsia" w:ascii="宋体" w:hAnsi="宋体" w:eastAsia="宋体" w:cs="宋体"/>
                <w:sz w:val="21"/>
                <w:szCs w:val="21"/>
                <w:highlight w:val="none"/>
              </w:rPr>
            </w:pPr>
          </w:p>
          <w:p>
            <w:pPr>
              <w:jc w:val="left"/>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82" w:type="dxa"/>
            <w:gridSpan w:val="2"/>
            <w:vMerge w:val="continue"/>
            <w:noWrap w:val="0"/>
            <w:vAlign w:val="center"/>
          </w:tcPr>
          <w:p>
            <w:pPr>
              <w:jc w:val="center"/>
              <w:rPr>
                <w:rFonts w:hint="eastAsia" w:ascii="宋体" w:hAnsi="宋体" w:eastAsia="宋体" w:cs="宋体"/>
                <w:sz w:val="21"/>
                <w:szCs w:val="21"/>
                <w:highlight w:val="none"/>
              </w:rPr>
            </w:pPr>
          </w:p>
        </w:tc>
        <w:tc>
          <w:tcPr>
            <w:tcW w:w="7634" w:type="dxa"/>
            <w:gridSpan w:val="10"/>
            <w:noWrap w:val="0"/>
            <w:vAlign w:val="center"/>
          </w:tcPr>
          <w:p>
            <w:pPr>
              <w:jc w:val="left"/>
              <w:rPr>
                <w:rFonts w:hint="eastAsia" w:ascii="宋体" w:hAnsi="宋体" w:eastAsia="宋体" w:cs="宋体"/>
                <w:sz w:val="21"/>
                <w:szCs w:val="21"/>
                <w:highlight w:val="none"/>
              </w:rPr>
            </w:pPr>
          </w:p>
          <w:p>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有异议的意见和说明理由：</w:t>
            </w:r>
          </w:p>
          <w:p>
            <w:pPr>
              <w:jc w:val="left"/>
              <w:rPr>
                <w:rFonts w:hint="eastAsia" w:ascii="宋体" w:hAnsi="宋体" w:eastAsia="宋体" w:cs="宋体"/>
                <w:sz w:val="21"/>
                <w:szCs w:val="21"/>
                <w:highlight w:val="none"/>
              </w:rPr>
            </w:pPr>
          </w:p>
          <w:p>
            <w:pPr>
              <w:jc w:val="left"/>
              <w:rPr>
                <w:rFonts w:hint="eastAsia" w:ascii="宋体" w:hAnsi="宋体" w:eastAsia="宋体" w:cs="宋体"/>
                <w:sz w:val="21"/>
                <w:szCs w:val="21"/>
                <w:highlight w:val="none"/>
              </w:rPr>
            </w:pPr>
          </w:p>
          <w:p>
            <w:pPr>
              <w:jc w:val="left"/>
              <w:rPr>
                <w:rFonts w:hint="eastAsia" w:ascii="宋体" w:hAnsi="宋体" w:eastAsia="宋体" w:cs="宋体"/>
                <w:sz w:val="21"/>
                <w:szCs w:val="21"/>
                <w:highlight w:val="none"/>
              </w:rPr>
            </w:pPr>
          </w:p>
          <w:p>
            <w:pPr>
              <w:wordWrap w:val="0"/>
              <w:ind w:right="315"/>
              <w:jc w:val="righ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签字：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9616" w:type="dxa"/>
            <w:gridSpan w:val="12"/>
            <w:noWrap w:val="0"/>
            <w:vAlign w:val="center"/>
          </w:tcPr>
          <w:p>
            <w:pPr>
              <w:jc w:val="left"/>
              <w:rPr>
                <w:rFonts w:hint="eastAsia" w:ascii="宋体" w:hAnsi="宋体" w:eastAsia="宋体" w:cs="宋体"/>
                <w:sz w:val="21"/>
                <w:szCs w:val="21"/>
                <w:highlight w:val="none"/>
              </w:rPr>
            </w:pPr>
          </w:p>
          <w:p>
            <w:pPr>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验收小组成员签字：</w:t>
            </w:r>
          </w:p>
          <w:p>
            <w:pPr>
              <w:jc w:val="left"/>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7" w:hRule="atLeast"/>
          <w:jc w:val="center"/>
        </w:trPr>
        <w:tc>
          <w:tcPr>
            <w:tcW w:w="4939" w:type="dxa"/>
            <w:gridSpan w:val="6"/>
            <w:noWrap w:val="0"/>
            <w:vAlign w:val="top"/>
          </w:tcPr>
          <w:p>
            <w:pPr>
              <w:rPr>
                <w:rFonts w:hint="eastAsia" w:ascii="宋体" w:hAnsi="宋体" w:eastAsia="宋体" w:cs="宋体"/>
                <w:sz w:val="21"/>
                <w:szCs w:val="21"/>
                <w:highlight w:val="none"/>
              </w:rPr>
            </w:pPr>
            <w:r>
              <w:rPr>
                <w:rFonts w:hint="eastAsia" w:ascii="宋体" w:hAnsi="宋体" w:eastAsia="宋体" w:cs="宋体"/>
                <w:sz w:val="21"/>
                <w:szCs w:val="21"/>
                <w:highlight w:val="none"/>
              </w:rPr>
              <w:t>采购人意见：</w:t>
            </w:r>
          </w:p>
          <w:p>
            <w:pPr>
              <w:rPr>
                <w:rFonts w:hint="eastAsia" w:ascii="宋体" w:hAnsi="宋体" w:eastAsia="宋体" w:cs="宋体"/>
                <w:sz w:val="21"/>
                <w:szCs w:val="21"/>
                <w:highlight w:val="none"/>
              </w:rPr>
            </w:pPr>
          </w:p>
          <w:p>
            <w:pPr>
              <w:bidi w:val="0"/>
              <w:rPr>
                <w:rFonts w:hint="eastAsia"/>
              </w:rPr>
            </w:pPr>
          </w:p>
          <w:p>
            <w:pPr>
              <w:bidi w:val="0"/>
              <w:rPr>
                <w:rFonts w:hint="eastAsia"/>
              </w:rPr>
            </w:pPr>
          </w:p>
          <w:p>
            <w:pPr>
              <w:rPr>
                <w:rFonts w:hint="eastAsia" w:ascii="宋体" w:hAnsi="宋体" w:eastAsia="宋体" w:cs="宋体"/>
                <w:sz w:val="21"/>
                <w:szCs w:val="21"/>
                <w:highlight w:val="none"/>
              </w:rPr>
            </w:pPr>
            <w:r>
              <w:rPr>
                <w:rFonts w:hint="eastAsia" w:ascii="宋体" w:hAnsi="宋体" w:eastAsia="宋体" w:cs="宋体"/>
                <w:sz w:val="21"/>
                <w:szCs w:val="21"/>
                <w:highlight w:val="none"/>
              </w:rPr>
              <w:t>经办人：       负责人：       （盖章）</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年  月  日</w:t>
            </w:r>
          </w:p>
          <w:p>
            <w:pPr>
              <w:rPr>
                <w:rFonts w:hint="eastAsia" w:ascii="宋体" w:hAnsi="宋体" w:eastAsia="宋体" w:cs="宋体"/>
                <w:sz w:val="21"/>
                <w:szCs w:val="21"/>
                <w:highlight w:val="none"/>
              </w:rPr>
            </w:pPr>
          </w:p>
        </w:tc>
        <w:tc>
          <w:tcPr>
            <w:tcW w:w="4677" w:type="dxa"/>
            <w:gridSpan w:val="6"/>
            <w:noWrap w:val="0"/>
            <w:vAlign w:val="top"/>
          </w:tcPr>
          <w:p>
            <w:pPr>
              <w:rPr>
                <w:rFonts w:hint="eastAsia" w:ascii="宋体" w:hAnsi="宋体" w:eastAsia="宋体" w:cs="宋体"/>
                <w:sz w:val="21"/>
                <w:szCs w:val="21"/>
                <w:highlight w:val="none"/>
              </w:rPr>
            </w:pPr>
            <w:r>
              <w:rPr>
                <w:rFonts w:hint="eastAsia" w:cs="宋体"/>
                <w:sz w:val="21"/>
                <w:szCs w:val="21"/>
                <w:highlight w:val="none"/>
                <w:lang w:eastAsia="zh-CN"/>
              </w:rPr>
              <w:t>供应商</w:t>
            </w:r>
            <w:r>
              <w:rPr>
                <w:rFonts w:hint="eastAsia" w:ascii="宋体" w:hAnsi="宋体" w:eastAsia="宋体" w:cs="宋体"/>
                <w:sz w:val="21"/>
                <w:szCs w:val="21"/>
                <w:highlight w:val="none"/>
              </w:rPr>
              <w:t>确认：</w:t>
            </w:r>
          </w:p>
          <w:p>
            <w:pPr>
              <w:rPr>
                <w:rFonts w:hint="eastAsia" w:ascii="宋体" w:hAnsi="宋体" w:eastAsia="宋体" w:cs="宋体"/>
                <w:sz w:val="21"/>
                <w:szCs w:val="21"/>
                <w:highlight w:val="none"/>
              </w:rPr>
            </w:pPr>
          </w:p>
          <w:p>
            <w:pPr>
              <w:bidi w:val="0"/>
              <w:rPr>
                <w:rFonts w:hint="eastAsia"/>
              </w:rPr>
            </w:pPr>
          </w:p>
          <w:p>
            <w:pPr>
              <w:bidi w:val="0"/>
              <w:rPr>
                <w:rFonts w:hint="eastAsia"/>
              </w:rPr>
            </w:pPr>
          </w:p>
          <w:p>
            <w:pPr>
              <w:rPr>
                <w:rFonts w:hint="eastAsia" w:ascii="宋体" w:hAnsi="宋体" w:eastAsia="宋体" w:cs="宋体"/>
                <w:sz w:val="21"/>
                <w:szCs w:val="21"/>
                <w:highlight w:val="none"/>
              </w:rPr>
            </w:pPr>
            <w:r>
              <w:rPr>
                <w:rFonts w:hint="eastAsia" w:cs="宋体"/>
                <w:sz w:val="21"/>
                <w:szCs w:val="21"/>
                <w:highlight w:val="none"/>
                <w:lang w:eastAsia="zh-CN"/>
              </w:rPr>
              <w:t>供应商</w:t>
            </w:r>
            <w:r>
              <w:rPr>
                <w:rFonts w:hint="eastAsia" w:ascii="宋体" w:hAnsi="宋体" w:eastAsia="宋体" w:cs="宋体"/>
                <w:sz w:val="21"/>
                <w:szCs w:val="21"/>
                <w:highlight w:val="none"/>
              </w:rPr>
              <w:t>盖章或授权代表签字：</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联系电话：                       年  月  日              </w:t>
            </w:r>
          </w:p>
        </w:tc>
      </w:tr>
    </w:tbl>
    <w:p>
      <w:pPr>
        <w:numPr>
          <w:ilvl w:val="0"/>
          <w:numId w:val="8"/>
        </w:numPr>
        <w:snapToGrid w:val="0"/>
        <w:spacing w:line="360" w:lineRule="auto"/>
        <w:jc w:val="center"/>
        <w:outlineLvl w:val="0"/>
        <w:rPr>
          <w:rFonts w:hint="eastAsia" w:ascii="宋体" w:hAnsi="宋体" w:eastAsia="宋体" w:cs="宋体"/>
          <w:b/>
          <w:bCs/>
          <w:color w:val="auto"/>
          <w:sz w:val="32"/>
          <w:szCs w:val="32"/>
        </w:rPr>
        <w:sectPr>
          <w:pgSz w:w="11905" w:h="16838"/>
          <w:pgMar w:top="1417" w:right="1417" w:bottom="1417" w:left="1417" w:header="851" w:footer="992" w:gutter="0"/>
          <w:pgNumType w:fmt="decimal"/>
          <w:cols w:space="0" w:num="1"/>
          <w:titlePg/>
          <w:rtlGutter w:val="0"/>
          <w:docGrid w:linePitch="312" w:charSpace="0"/>
        </w:sectPr>
      </w:pPr>
    </w:p>
    <w:p>
      <w:pPr>
        <w:snapToGrid w:val="0"/>
        <w:spacing w:line="360" w:lineRule="auto"/>
        <w:jc w:val="center"/>
        <w:outlineLvl w:val="0"/>
        <w:rPr>
          <w:rFonts w:hint="eastAsia" w:cs="宋体"/>
          <w:b/>
          <w:bCs/>
          <w:color w:val="auto"/>
          <w:sz w:val="32"/>
          <w:szCs w:val="32"/>
          <w:lang w:val="en-US" w:eastAsia="zh-CN"/>
        </w:rPr>
      </w:pPr>
      <w:bookmarkStart w:id="411" w:name="_Toc28705"/>
      <w:bookmarkStart w:id="412" w:name="_Toc5472"/>
      <w:bookmarkStart w:id="413" w:name="_Toc12662"/>
      <w:bookmarkStart w:id="414" w:name="_Toc5940"/>
      <w:bookmarkStart w:id="415" w:name="_Toc19772"/>
      <w:bookmarkStart w:id="416" w:name="_Toc11182"/>
      <w:bookmarkStart w:id="417" w:name="_Toc20628"/>
      <w:bookmarkStart w:id="418" w:name="_Toc19506"/>
      <w:bookmarkStart w:id="419" w:name="_Toc1539"/>
      <w:bookmarkStart w:id="420" w:name="_Toc29476"/>
      <w:bookmarkStart w:id="421" w:name="_Toc29629"/>
      <w:r>
        <w:rPr>
          <w:rFonts w:hint="eastAsia" w:cs="宋体"/>
          <w:b/>
          <w:bCs/>
          <w:color w:val="auto"/>
          <w:sz w:val="32"/>
          <w:szCs w:val="32"/>
          <w:lang w:val="en-US" w:eastAsia="zh-CN"/>
        </w:rPr>
        <w:t>第六部分 投标文件格式</w:t>
      </w:r>
      <w:bookmarkEnd w:id="102"/>
      <w:bookmarkEnd w:id="103"/>
      <w:bookmarkEnd w:id="104"/>
      <w:bookmarkEnd w:id="411"/>
      <w:bookmarkEnd w:id="412"/>
      <w:bookmarkEnd w:id="413"/>
      <w:bookmarkEnd w:id="414"/>
      <w:bookmarkEnd w:id="415"/>
      <w:bookmarkEnd w:id="416"/>
      <w:bookmarkEnd w:id="417"/>
      <w:bookmarkEnd w:id="418"/>
      <w:bookmarkEnd w:id="419"/>
      <w:bookmarkEnd w:id="420"/>
      <w:bookmarkEnd w:id="421"/>
    </w:p>
    <w:p>
      <w:pPr>
        <w:snapToGrid w:val="0"/>
        <w:spacing w:before="156" w:beforeLines="50" w:after="50" w:line="440" w:lineRule="exact"/>
        <w:rPr>
          <w:rFonts w:hint="eastAsia" w:ascii="宋体" w:hAnsi="宋体" w:eastAsia="宋体" w:cs="宋体"/>
          <w:b/>
          <w:bCs/>
          <w:color w:val="000000"/>
        </w:rPr>
      </w:pPr>
      <w:r>
        <w:rPr>
          <w:rFonts w:hint="eastAsia" w:ascii="宋体" w:hAnsi="宋体" w:eastAsia="宋体" w:cs="宋体"/>
          <w:b/>
          <w:bCs/>
          <w:color w:val="000000"/>
        </w:rPr>
        <w:t>投标文件的封面格式：</w:t>
      </w:r>
    </w:p>
    <w:p>
      <w:pPr>
        <w:snapToGrid w:val="0"/>
        <w:spacing w:before="156" w:beforeLines="50" w:after="50" w:line="440" w:lineRule="exact"/>
        <w:rPr>
          <w:rFonts w:hint="eastAsia" w:ascii="宋体" w:hAnsi="宋体" w:eastAsia="宋体" w:cs="宋体"/>
          <w:color w:val="000000"/>
        </w:rPr>
      </w:pPr>
    </w:p>
    <w:p>
      <w:pPr>
        <w:pStyle w:val="8"/>
        <w:rPr>
          <w:rFonts w:hint="eastAsia"/>
        </w:rPr>
      </w:pPr>
    </w:p>
    <w:p>
      <w:pPr>
        <w:snapToGrid w:val="0"/>
        <w:spacing w:before="156" w:beforeLines="50" w:after="50" w:line="400" w:lineRule="exact"/>
        <w:ind w:firstLine="1440" w:firstLineChars="450"/>
        <w:jc w:val="center"/>
        <w:rPr>
          <w:rFonts w:hint="eastAsia" w:ascii="宋体" w:hAnsi="宋体" w:eastAsia="宋体" w:cs="宋体"/>
          <w:color w:val="auto"/>
          <w:sz w:val="32"/>
          <w:szCs w:val="32"/>
        </w:rPr>
      </w:pPr>
    </w:p>
    <w:p>
      <w:pPr>
        <w:snapToGrid w:val="0"/>
        <w:spacing w:before="156" w:beforeLines="50" w:after="50" w:line="400" w:lineRule="exact"/>
        <w:ind w:firstLine="1440" w:firstLineChars="450"/>
        <w:jc w:val="center"/>
        <w:rPr>
          <w:rFonts w:hint="eastAsia" w:ascii="宋体" w:hAnsi="宋体" w:eastAsia="宋体" w:cs="宋体"/>
          <w:color w:val="auto"/>
          <w:sz w:val="32"/>
          <w:szCs w:val="32"/>
        </w:rPr>
      </w:pPr>
    </w:p>
    <w:p>
      <w:pPr>
        <w:snapToGrid w:val="0"/>
        <w:spacing w:before="156" w:beforeLines="50" w:after="50" w:line="400" w:lineRule="exact"/>
        <w:ind w:firstLine="1440" w:firstLineChars="450"/>
        <w:jc w:val="center"/>
        <w:rPr>
          <w:rFonts w:hint="eastAsia" w:ascii="宋体" w:hAnsi="宋体" w:eastAsia="宋体" w:cs="宋体"/>
          <w:color w:val="auto"/>
          <w:sz w:val="32"/>
          <w:szCs w:val="32"/>
        </w:rPr>
      </w:pPr>
    </w:p>
    <w:p>
      <w:pPr>
        <w:snapToGrid w:val="0"/>
        <w:spacing w:before="156" w:beforeLines="50" w:after="50" w:line="400" w:lineRule="exact"/>
        <w:ind w:firstLine="1980" w:firstLineChars="450"/>
        <w:jc w:val="center"/>
        <w:rPr>
          <w:rFonts w:hint="eastAsia" w:ascii="宋体" w:hAnsi="宋体" w:eastAsia="宋体" w:cs="宋体"/>
          <w:color w:val="auto"/>
          <w:sz w:val="44"/>
          <w:szCs w:val="44"/>
        </w:rPr>
      </w:pPr>
    </w:p>
    <w:p>
      <w:pPr>
        <w:snapToGrid w:val="0"/>
        <w:spacing w:before="156" w:beforeLines="50" w:after="50" w:line="400" w:lineRule="exact"/>
        <w:jc w:val="center"/>
        <w:outlineLvl w:val="0"/>
        <w:rPr>
          <w:rFonts w:hint="eastAsia" w:ascii="宋体" w:hAnsi="宋体" w:eastAsia="宋体" w:cs="宋体"/>
          <w:color w:val="auto"/>
          <w:sz w:val="44"/>
          <w:szCs w:val="44"/>
        </w:rPr>
      </w:pPr>
      <w:bookmarkStart w:id="422" w:name="_Toc14544"/>
      <w:bookmarkStart w:id="423" w:name="_Toc14893"/>
      <w:bookmarkStart w:id="424" w:name="_Toc14865"/>
      <w:bookmarkStart w:id="425" w:name="_Toc8987"/>
      <w:bookmarkStart w:id="426" w:name="_Toc19070"/>
      <w:r>
        <w:rPr>
          <w:rFonts w:hint="eastAsia" w:ascii="宋体" w:hAnsi="宋体" w:eastAsia="宋体" w:cs="宋体"/>
          <w:color w:val="auto"/>
          <w:sz w:val="44"/>
          <w:szCs w:val="44"/>
          <w:lang w:val="en-US" w:eastAsia="zh-CN"/>
        </w:rPr>
        <w:t>资格文件/</w:t>
      </w:r>
      <w:r>
        <w:rPr>
          <w:rFonts w:hint="eastAsia" w:ascii="宋体" w:hAnsi="宋体" w:eastAsia="宋体" w:cs="宋体"/>
          <w:color w:val="auto"/>
          <w:sz w:val="44"/>
          <w:szCs w:val="44"/>
        </w:rPr>
        <w:t>技术商务</w:t>
      </w:r>
      <w:r>
        <w:rPr>
          <w:rFonts w:hint="eastAsia" w:cs="宋体"/>
          <w:color w:val="auto"/>
          <w:sz w:val="44"/>
          <w:szCs w:val="44"/>
          <w:lang w:val="en-US" w:eastAsia="zh-CN"/>
        </w:rPr>
        <w:t>文件/报价文件</w:t>
      </w:r>
      <w:bookmarkEnd w:id="422"/>
      <w:bookmarkEnd w:id="423"/>
      <w:bookmarkEnd w:id="424"/>
      <w:bookmarkEnd w:id="425"/>
      <w:bookmarkEnd w:id="426"/>
    </w:p>
    <w:p>
      <w:pPr>
        <w:snapToGrid w:val="0"/>
        <w:spacing w:before="156" w:beforeLines="50" w:after="50" w:line="400" w:lineRule="exact"/>
        <w:ind w:firstLine="934" w:firstLineChars="445"/>
        <w:rPr>
          <w:rFonts w:hint="eastAsia" w:ascii="宋体" w:hAnsi="宋体" w:eastAsia="宋体" w:cs="宋体"/>
          <w:color w:val="000000"/>
          <w:sz w:val="21"/>
          <w:szCs w:val="21"/>
        </w:rPr>
      </w:pPr>
    </w:p>
    <w:p>
      <w:pPr>
        <w:snapToGrid w:val="0"/>
        <w:spacing w:before="156" w:beforeLines="50" w:after="50" w:line="400" w:lineRule="exact"/>
        <w:ind w:firstLine="934" w:firstLineChars="445"/>
        <w:rPr>
          <w:rFonts w:hint="eastAsia" w:ascii="宋体" w:hAnsi="宋体" w:eastAsia="宋体" w:cs="宋体"/>
          <w:color w:val="000000"/>
          <w:sz w:val="21"/>
          <w:szCs w:val="21"/>
        </w:rPr>
      </w:pPr>
    </w:p>
    <w:p>
      <w:pPr>
        <w:snapToGrid w:val="0"/>
        <w:spacing w:before="156" w:beforeLines="50" w:after="50" w:line="400" w:lineRule="exact"/>
        <w:ind w:firstLine="934" w:firstLineChars="445"/>
        <w:rPr>
          <w:rFonts w:hint="eastAsia" w:ascii="宋体" w:hAnsi="宋体" w:eastAsia="宋体" w:cs="宋体"/>
          <w:color w:val="000000"/>
          <w:sz w:val="21"/>
          <w:szCs w:val="21"/>
        </w:rPr>
      </w:pPr>
    </w:p>
    <w:p>
      <w:pPr>
        <w:snapToGrid w:val="0"/>
        <w:spacing w:before="156" w:beforeLines="50" w:after="50" w:line="400" w:lineRule="exact"/>
        <w:ind w:firstLine="934" w:firstLineChars="445"/>
        <w:rPr>
          <w:rFonts w:hint="eastAsia" w:ascii="宋体" w:hAnsi="宋体" w:eastAsia="宋体" w:cs="宋体"/>
          <w:color w:val="000000"/>
          <w:sz w:val="21"/>
          <w:szCs w:val="21"/>
        </w:rPr>
      </w:pPr>
    </w:p>
    <w:p>
      <w:pPr>
        <w:snapToGrid w:val="0"/>
        <w:spacing w:before="156" w:beforeLines="50" w:after="50" w:line="400" w:lineRule="exact"/>
        <w:ind w:firstLine="934" w:firstLineChars="445"/>
        <w:rPr>
          <w:rFonts w:hint="eastAsia" w:ascii="宋体" w:hAnsi="宋体" w:eastAsia="宋体" w:cs="宋体"/>
          <w:color w:val="000000"/>
          <w:sz w:val="21"/>
          <w:szCs w:val="21"/>
        </w:rPr>
      </w:pPr>
    </w:p>
    <w:p>
      <w:pPr>
        <w:snapToGrid w:val="0"/>
        <w:spacing w:before="156" w:beforeLines="50" w:after="50" w:line="400" w:lineRule="exact"/>
        <w:ind w:firstLine="934" w:firstLineChars="445"/>
        <w:rPr>
          <w:rFonts w:hint="eastAsia" w:ascii="宋体" w:hAnsi="宋体" w:eastAsia="宋体" w:cs="宋体"/>
          <w:color w:val="000000"/>
          <w:sz w:val="21"/>
          <w:szCs w:val="21"/>
        </w:rPr>
      </w:pPr>
    </w:p>
    <w:p>
      <w:pPr>
        <w:snapToGrid w:val="0"/>
        <w:spacing w:before="156" w:beforeLines="50" w:after="50" w:line="400" w:lineRule="exact"/>
        <w:ind w:firstLine="934" w:firstLineChars="445"/>
        <w:rPr>
          <w:rFonts w:hint="eastAsia" w:ascii="宋体" w:hAnsi="宋体" w:eastAsia="宋体" w:cs="宋体"/>
          <w:color w:val="000000"/>
          <w:sz w:val="21"/>
          <w:szCs w:val="21"/>
        </w:rPr>
      </w:pPr>
    </w:p>
    <w:p>
      <w:pPr>
        <w:snapToGrid w:val="0"/>
        <w:spacing w:before="156" w:beforeLines="50" w:after="50" w:line="400" w:lineRule="exact"/>
        <w:ind w:firstLine="934" w:firstLineChars="445"/>
        <w:rPr>
          <w:rFonts w:hint="eastAsia" w:ascii="宋体" w:hAnsi="宋体" w:eastAsia="宋体" w:cs="宋体"/>
          <w:color w:val="000000"/>
          <w:sz w:val="21"/>
          <w:szCs w:val="21"/>
        </w:rPr>
      </w:pPr>
    </w:p>
    <w:p>
      <w:pPr>
        <w:snapToGrid w:val="0"/>
        <w:spacing w:before="156" w:beforeLines="50" w:after="50" w:line="400" w:lineRule="exact"/>
        <w:ind w:firstLine="1068" w:firstLineChars="445"/>
        <w:outlineLvl w:val="0"/>
        <w:rPr>
          <w:rFonts w:hint="eastAsia" w:ascii="宋体" w:hAnsi="宋体" w:eastAsia="宋体" w:cs="宋体"/>
          <w:color w:val="000000"/>
          <w:sz w:val="24"/>
          <w:szCs w:val="24"/>
        </w:rPr>
      </w:pPr>
      <w:bookmarkStart w:id="427" w:name="_Toc18605"/>
      <w:bookmarkStart w:id="428" w:name="_Toc14688"/>
      <w:bookmarkStart w:id="429" w:name="_Toc15261"/>
      <w:bookmarkStart w:id="430" w:name="_Toc7973"/>
      <w:bookmarkStart w:id="431" w:name="_Toc31620"/>
      <w:r>
        <w:rPr>
          <w:rFonts w:hint="eastAsia" w:ascii="宋体" w:hAnsi="宋体" w:eastAsia="宋体" w:cs="宋体"/>
          <w:color w:val="000000"/>
          <w:sz w:val="24"/>
          <w:szCs w:val="24"/>
        </w:rPr>
        <w:t>项目名称：</w:t>
      </w:r>
      <w:bookmarkEnd w:id="427"/>
      <w:bookmarkEnd w:id="428"/>
      <w:bookmarkEnd w:id="429"/>
      <w:bookmarkEnd w:id="430"/>
      <w:bookmarkEnd w:id="431"/>
    </w:p>
    <w:p>
      <w:pPr>
        <w:snapToGrid w:val="0"/>
        <w:spacing w:before="156" w:beforeLines="50" w:after="50" w:line="400" w:lineRule="exact"/>
        <w:ind w:firstLine="1068" w:firstLineChars="445"/>
        <w:outlineLvl w:val="0"/>
        <w:rPr>
          <w:rFonts w:hint="eastAsia" w:ascii="宋体" w:hAnsi="宋体" w:eastAsia="宋体" w:cs="宋体"/>
          <w:color w:val="000000"/>
          <w:sz w:val="24"/>
          <w:szCs w:val="24"/>
        </w:rPr>
      </w:pPr>
      <w:bookmarkStart w:id="432" w:name="_Toc32731"/>
      <w:bookmarkStart w:id="433" w:name="_Toc9268"/>
      <w:bookmarkStart w:id="434" w:name="_Toc3594"/>
      <w:bookmarkStart w:id="435" w:name="_Toc21853"/>
      <w:bookmarkStart w:id="436" w:name="_Toc5569"/>
      <w:r>
        <w:rPr>
          <w:rFonts w:hint="eastAsia" w:ascii="宋体" w:hAnsi="宋体" w:eastAsia="宋体" w:cs="宋体"/>
          <w:color w:val="000000"/>
          <w:sz w:val="24"/>
          <w:szCs w:val="24"/>
        </w:rPr>
        <w:t>项目编号：</w:t>
      </w:r>
      <w:bookmarkEnd w:id="432"/>
      <w:bookmarkEnd w:id="433"/>
      <w:bookmarkEnd w:id="434"/>
      <w:bookmarkEnd w:id="435"/>
      <w:bookmarkEnd w:id="436"/>
    </w:p>
    <w:p>
      <w:pPr>
        <w:snapToGrid w:val="0"/>
        <w:spacing w:before="156" w:beforeLines="50" w:after="50" w:line="400" w:lineRule="exact"/>
        <w:ind w:firstLine="960" w:firstLineChars="400"/>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bookmarkStart w:id="437" w:name="_Toc15861"/>
      <w:bookmarkStart w:id="438" w:name="_Toc9478"/>
      <w:bookmarkStart w:id="439" w:name="_Toc14291"/>
      <w:bookmarkStart w:id="440" w:name="_Toc23310"/>
      <w:bookmarkStart w:id="441" w:name="_Toc25186"/>
      <w:r>
        <w:rPr>
          <w:rFonts w:hint="eastAsia" w:cs="宋体"/>
          <w:color w:val="000000"/>
          <w:sz w:val="24"/>
          <w:szCs w:val="24"/>
          <w:lang w:eastAsia="zh-CN"/>
        </w:rPr>
        <w:t>供应商</w:t>
      </w:r>
      <w:r>
        <w:rPr>
          <w:rFonts w:hint="eastAsia" w:ascii="宋体" w:hAnsi="宋体" w:eastAsia="宋体" w:cs="宋体"/>
          <w:color w:val="000000"/>
          <w:sz w:val="24"/>
          <w:szCs w:val="24"/>
        </w:rPr>
        <w:t>名称（盖章）：</w:t>
      </w:r>
      <w:bookmarkEnd w:id="437"/>
      <w:bookmarkEnd w:id="438"/>
      <w:bookmarkEnd w:id="439"/>
      <w:bookmarkEnd w:id="440"/>
      <w:bookmarkEnd w:id="441"/>
    </w:p>
    <w:p>
      <w:pPr>
        <w:snapToGrid w:val="0"/>
        <w:spacing w:before="156" w:beforeLines="50" w:after="50" w:line="400" w:lineRule="exact"/>
        <w:ind w:firstLine="1080" w:firstLineChars="450"/>
        <w:outlineLvl w:val="0"/>
        <w:rPr>
          <w:rFonts w:hint="eastAsia" w:ascii="宋体" w:hAnsi="宋体" w:eastAsia="宋体" w:cs="宋体"/>
          <w:color w:val="000000"/>
          <w:sz w:val="24"/>
          <w:szCs w:val="24"/>
        </w:rPr>
      </w:pPr>
      <w:bookmarkStart w:id="442" w:name="_Toc2944"/>
      <w:bookmarkStart w:id="443" w:name="_Toc25840"/>
      <w:bookmarkStart w:id="444" w:name="_Toc17429"/>
      <w:bookmarkStart w:id="445" w:name="_Toc30140"/>
      <w:bookmarkStart w:id="446" w:name="_Toc5508"/>
      <w:r>
        <w:rPr>
          <w:rFonts w:hint="eastAsia" w:cs="宋体"/>
          <w:color w:val="000000"/>
          <w:sz w:val="24"/>
          <w:szCs w:val="24"/>
          <w:lang w:eastAsia="zh-CN"/>
        </w:rPr>
        <w:t>供应商</w:t>
      </w:r>
      <w:r>
        <w:rPr>
          <w:rFonts w:hint="eastAsia" w:ascii="宋体" w:hAnsi="宋体" w:eastAsia="宋体" w:cs="宋体"/>
          <w:color w:val="000000"/>
          <w:sz w:val="24"/>
          <w:szCs w:val="24"/>
        </w:rPr>
        <w:t>地址：</w:t>
      </w:r>
      <w:bookmarkEnd w:id="442"/>
      <w:bookmarkEnd w:id="443"/>
      <w:bookmarkEnd w:id="444"/>
      <w:bookmarkEnd w:id="445"/>
      <w:bookmarkEnd w:id="446"/>
    </w:p>
    <w:p>
      <w:pPr>
        <w:snapToGrid w:val="0"/>
        <w:spacing w:before="156" w:beforeLines="50" w:after="50" w:line="400" w:lineRule="exact"/>
        <w:ind w:firstLine="1080" w:firstLineChars="450"/>
        <w:outlineLvl w:val="0"/>
        <w:rPr>
          <w:rFonts w:hint="eastAsia" w:ascii="宋体" w:hAnsi="宋体" w:eastAsia="宋体" w:cs="宋体"/>
          <w:color w:val="000000"/>
          <w:sz w:val="24"/>
          <w:szCs w:val="24"/>
        </w:rPr>
      </w:pPr>
      <w:bookmarkStart w:id="447" w:name="_Toc20096"/>
      <w:bookmarkStart w:id="448" w:name="_Toc15830"/>
      <w:bookmarkStart w:id="449" w:name="_Toc9062"/>
      <w:bookmarkStart w:id="450" w:name="_Toc28664"/>
      <w:bookmarkStart w:id="451" w:name="_Toc16029"/>
      <w:r>
        <w:rPr>
          <w:rFonts w:hint="eastAsia" w:ascii="宋体" w:hAnsi="宋体" w:eastAsia="宋体" w:cs="宋体"/>
          <w:color w:val="000000"/>
          <w:sz w:val="24"/>
          <w:szCs w:val="24"/>
        </w:rPr>
        <w:t>法定代表人或授权委托人（签字）：</w:t>
      </w:r>
      <w:bookmarkEnd w:id="447"/>
      <w:bookmarkEnd w:id="448"/>
      <w:bookmarkEnd w:id="449"/>
      <w:bookmarkEnd w:id="450"/>
      <w:bookmarkEnd w:id="451"/>
    </w:p>
    <w:p>
      <w:pPr>
        <w:snapToGrid w:val="0"/>
        <w:spacing w:before="156" w:beforeLines="50" w:after="50" w:line="400" w:lineRule="exact"/>
        <w:ind w:firstLine="1080" w:firstLineChars="450"/>
        <w:outlineLvl w:val="0"/>
        <w:rPr>
          <w:rFonts w:hint="eastAsia" w:ascii="宋体" w:hAnsi="宋体" w:eastAsia="宋体" w:cs="宋体"/>
          <w:color w:val="000000"/>
          <w:sz w:val="24"/>
          <w:szCs w:val="24"/>
        </w:rPr>
        <w:sectPr>
          <w:pgSz w:w="11905" w:h="16838"/>
          <w:pgMar w:top="1417" w:right="1417" w:bottom="1417" w:left="1417" w:header="851" w:footer="992" w:gutter="0"/>
          <w:pgNumType w:fmt="decimal"/>
          <w:cols w:space="0" w:num="1"/>
          <w:titlePg/>
          <w:rtlGutter w:val="0"/>
          <w:docGrid w:linePitch="312" w:charSpace="0"/>
        </w:sectPr>
      </w:pPr>
      <w:bookmarkStart w:id="452" w:name="_Toc13069"/>
      <w:bookmarkStart w:id="453" w:name="_Toc19946"/>
      <w:bookmarkStart w:id="454" w:name="_Toc1577"/>
      <w:bookmarkStart w:id="455" w:name="_Toc3702"/>
      <w:bookmarkStart w:id="456" w:name="_Toc20709"/>
      <w:r>
        <w:rPr>
          <w:rFonts w:hint="eastAsia" w:ascii="宋体" w:hAnsi="宋体" w:eastAsia="宋体" w:cs="宋体"/>
          <w:color w:val="000000"/>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bookmarkEnd w:id="452"/>
      <w:bookmarkEnd w:id="453"/>
      <w:bookmarkEnd w:id="454"/>
      <w:bookmarkEnd w:id="455"/>
      <w:bookmarkEnd w:id="456"/>
    </w:p>
    <w:p>
      <w:pPr>
        <w:spacing w:line="360" w:lineRule="auto"/>
        <w:ind w:firstLine="420" w:firstLineChars="199"/>
        <w:rPr>
          <w:rFonts w:hint="eastAsia" w:ascii="宋体" w:hAnsi="宋体" w:eastAsia="宋体" w:cs="宋体"/>
          <w:b/>
          <w:bCs/>
          <w:color w:val="auto"/>
          <w:sz w:val="21"/>
          <w:szCs w:val="21"/>
        </w:rPr>
      </w:pPr>
      <w:r>
        <w:rPr>
          <w:rFonts w:hint="eastAsia" w:ascii="宋体" w:hAnsi="宋体" w:eastAsia="宋体" w:cs="宋体"/>
          <w:b/>
          <w:bCs/>
          <w:color w:val="auto"/>
          <w:sz w:val="21"/>
          <w:szCs w:val="21"/>
        </w:rPr>
        <w:t>资格文件的组成 ：</w:t>
      </w:r>
    </w:p>
    <w:p>
      <w:pPr>
        <w:numPr>
          <w:ilvl w:val="0"/>
          <w:numId w:val="0"/>
        </w:numPr>
        <w:spacing w:line="400" w:lineRule="exact"/>
        <w:ind w:firstLine="420" w:firstLineChars="200"/>
        <w:rPr>
          <w:rFonts w:hint="eastAsia" w:ascii="宋体" w:hAnsi="宋体" w:eastAsia="宋体" w:cs="宋体"/>
          <w:color w:val="auto"/>
          <w:sz w:val="21"/>
          <w:szCs w:val="21"/>
        </w:rPr>
      </w:pPr>
      <w:r>
        <w:rPr>
          <w:rFonts w:hint="eastAsia" w:cs="宋体"/>
          <w:color w:val="auto"/>
          <w:sz w:val="21"/>
          <w:szCs w:val="21"/>
          <w:lang w:val="en-US" w:eastAsia="zh-CN"/>
        </w:rPr>
        <w:t>1.符合参加政府采购活动应当具备的一般条件的承诺函</w:t>
      </w:r>
      <w:r>
        <w:rPr>
          <w:rFonts w:hint="eastAsia" w:ascii="宋体" w:hAnsi="宋体" w:eastAsia="宋体" w:cs="宋体"/>
          <w:color w:val="auto"/>
          <w:sz w:val="21"/>
          <w:szCs w:val="21"/>
        </w:rPr>
        <w:t xml:space="preserve">； </w:t>
      </w:r>
    </w:p>
    <w:p>
      <w:pPr>
        <w:spacing w:line="400" w:lineRule="exact"/>
        <w:ind w:firstLine="420" w:firstLineChars="200"/>
        <w:rPr>
          <w:rFonts w:hint="eastAsia" w:ascii="宋体" w:hAnsi="宋体" w:eastAsia="宋体" w:cs="宋体"/>
          <w:color w:val="auto"/>
          <w:sz w:val="21"/>
          <w:szCs w:val="21"/>
        </w:rPr>
      </w:pPr>
      <w:r>
        <w:rPr>
          <w:rFonts w:hint="eastAsia" w:cs="宋体"/>
          <w:color w:val="auto"/>
          <w:sz w:val="21"/>
          <w:szCs w:val="21"/>
          <w:lang w:val="en-US" w:eastAsia="zh-CN"/>
        </w:rPr>
        <w:t>2.落实政府采购政策需满足的资格要求</w:t>
      </w:r>
      <w:r>
        <w:rPr>
          <w:rFonts w:hint="eastAsia" w:ascii="宋体" w:hAnsi="宋体" w:eastAsia="宋体" w:cs="宋体"/>
          <w:color w:val="auto"/>
          <w:sz w:val="21"/>
          <w:szCs w:val="21"/>
        </w:rPr>
        <w:t xml:space="preserve">； </w:t>
      </w:r>
    </w:p>
    <w:p>
      <w:pPr>
        <w:spacing w:line="360" w:lineRule="auto"/>
        <w:ind w:firstLine="420" w:firstLineChars="200"/>
        <w:rPr>
          <w:rFonts w:hint="eastAsia" w:ascii="宋体" w:hAnsi="宋体" w:eastAsia="宋体" w:cs="宋体"/>
          <w:b/>
          <w:bCs/>
          <w:color w:val="auto"/>
          <w:sz w:val="32"/>
          <w:szCs w:val="32"/>
        </w:rPr>
      </w:pPr>
      <w:r>
        <w:rPr>
          <w:rFonts w:hint="eastAsia" w:cs="宋体"/>
          <w:color w:val="auto"/>
          <w:sz w:val="21"/>
          <w:szCs w:val="21"/>
          <w:lang w:val="en-US" w:eastAsia="zh-CN"/>
        </w:rPr>
        <w:t>3.本项目的特定资格要求</w:t>
      </w:r>
      <w:r>
        <w:rPr>
          <w:rFonts w:hint="eastAsia" w:ascii="宋体" w:hAnsi="宋体" w:eastAsia="宋体" w:cs="宋体"/>
          <w:color w:val="auto"/>
          <w:sz w:val="21"/>
          <w:szCs w:val="21"/>
        </w:rPr>
        <w:t>（如有）；</w:t>
      </w:r>
    </w:p>
    <w:p>
      <w:pPr>
        <w:spacing w:line="360" w:lineRule="auto"/>
        <w:ind w:firstLine="422" w:firstLineChars="200"/>
        <w:rPr>
          <w:rFonts w:hint="eastAsia" w:ascii="宋体" w:hAnsi="宋体" w:eastAsia="宋体" w:cs="宋体"/>
          <w:color w:val="auto"/>
        </w:rPr>
      </w:pPr>
      <w:r>
        <w:rPr>
          <w:rFonts w:hint="eastAsia" w:cs="宋体"/>
          <w:b/>
          <w:bCs/>
          <w:color w:val="auto"/>
          <w:sz w:val="21"/>
          <w:szCs w:val="21"/>
          <w:lang w:eastAsia="zh-CN"/>
        </w:rPr>
        <w:t>技术商务文件</w:t>
      </w:r>
      <w:r>
        <w:rPr>
          <w:rFonts w:hint="eastAsia" w:ascii="宋体" w:hAnsi="宋体" w:eastAsia="宋体" w:cs="宋体"/>
          <w:b/>
          <w:bCs/>
          <w:color w:val="auto"/>
          <w:sz w:val="21"/>
          <w:szCs w:val="21"/>
        </w:rPr>
        <w:t>的组成：</w:t>
      </w:r>
    </w:p>
    <w:p>
      <w:pPr>
        <w:spacing w:line="400" w:lineRule="exact"/>
        <w:ind w:firstLine="420" w:firstLineChars="200"/>
        <w:outlineLvl w:val="0"/>
        <w:rPr>
          <w:rFonts w:hint="eastAsia" w:ascii="宋体" w:hAnsi="宋体" w:eastAsia="宋体" w:cs="宋体"/>
          <w:color w:val="auto"/>
          <w:sz w:val="21"/>
          <w:szCs w:val="21"/>
        </w:rPr>
      </w:pPr>
      <w:bookmarkStart w:id="457" w:name="_Toc15992"/>
      <w:bookmarkStart w:id="458" w:name="_Toc20510"/>
      <w:bookmarkStart w:id="459" w:name="_Toc7167"/>
      <w:bookmarkStart w:id="460" w:name="_Toc13145"/>
      <w:bookmarkStart w:id="461" w:name="_Toc23303"/>
      <w:r>
        <w:rPr>
          <w:rFonts w:hint="eastAsia" w:cs="宋体"/>
          <w:color w:val="auto"/>
          <w:sz w:val="21"/>
          <w:szCs w:val="21"/>
          <w:lang w:val="en-US" w:eastAsia="zh-CN"/>
        </w:rPr>
        <w:t>1.</w:t>
      </w:r>
      <w:r>
        <w:rPr>
          <w:rFonts w:hint="eastAsia" w:ascii="宋体" w:hAnsi="宋体" w:eastAsia="宋体" w:cs="宋体"/>
          <w:color w:val="auto"/>
          <w:sz w:val="21"/>
          <w:szCs w:val="21"/>
          <w:lang w:val="en-US" w:eastAsia="zh-CN"/>
        </w:rPr>
        <w:t>投标函</w:t>
      </w:r>
      <w:r>
        <w:rPr>
          <w:rFonts w:hint="eastAsia" w:ascii="宋体" w:hAnsi="宋体" w:eastAsia="宋体" w:cs="宋体"/>
          <w:color w:val="auto"/>
          <w:sz w:val="21"/>
          <w:szCs w:val="21"/>
        </w:rPr>
        <w:t>；</w:t>
      </w:r>
      <w:bookmarkEnd w:id="457"/>
      <w:bookmarkEnd w:id="458"/>
      <w:bookmarkEnd w:id="459"/>
      <w:bookmarkEnd w:id="460"/>
      <w:bookmarkEnd w:id="461"/>
    </w:p>
    <w:p>
      <w:pPr>
        <w:spacing w:line="400" w:lineRule="exact"/>
        <w:ind w:firstLine="420" w:firstLineChars="200"/>
        <w:outlineLvl w:val="0"/>
        <w:rPr>
          <w:rFonts w:hint="eastAsia" w:ascii="宋体" w:hAnsi="宋体" w:eastAsia="宋体" w:cs="宋体"/>
          <w:color w:val="auto"/>
          <w:sz w:val="21"/>
          <w:szCs w:val="21"/>
        </w:rPr>
      </w:pPr>
      <w:bookmarkStart w:id="462" w:name="_Toc26204"/>
      <w:bookmarkStart w:id="463" w:name="_Toc22778"/>
      <w:bookmarkStart w:id="464" w:name="_Toc18470"/>
      <w:bookmarkStart w:id="465" w:name="_Toc30244"/>
      <w:bookmarkStart w:id="466" w:name="_Toc32687"/>
      <w:r>
        <w:rPr>
          <w:rFonts w:hint="eastAsia" w:cs="宋体"/>
          <w:color w:val="auto"/>
          <w:sz w:val="21"/>
          <w:szCs w:val="21"/>
          <w:lang w:val="en-US" w:eastAsia="zh-CN"/>
        </w:rPr>
        <w:t>2.授权委托书或法定代表人（单位负责人、自然人本人）身份证明</w:t>
      </w:r>
      <w:r>
        <w:rPr>
          <w:rFonts w:hint="eastAsia" w:ascii="宋体" w:hAnsi="宋体" w:eastAsia="宋体" w:cs="宋体"/>
          <w:color w:val="auto"/>
          <w:sz w:val="21"/>
          <w:szCs w:val="21"/>
        </w:rPr>
        <w:t>；</w:t>
      </w:r>
      <w:bookmarkEnd w:id="462"/>
      <w:bookmarkEnd w:id="463"/>
      <w:bookmarkEnd w:id="464"/>
      <w:bookmarkEnd w:id="465"/>
      <w:bookmarkEnd w:id="466"/>
    </w:p>
    <w:p>
      <w:pPr>
        <w:spacing w:line="400" w:lineRule="exact"/>
        <w:ind w:firstLine="420" w:firstLineChars="200"/>
        <w:outlineLvl w:val="0"/>
        <w:rPr>
          <w:rFonts w:hint="eastAsia" w:ascii="宋体" w:hAnsi="宋体" w:eastAsia="宋体" w:cs="宋体"/>
          <w:color w:val="auto"/>
          <w:sz w:val="21"/>
          <w:szCs w:val="21"/>
        </w:rPr>
      </w:pPr>
      <w:bookmarkStart w:id="467" w:name="_Toc20724"/>
      <w:bookmarkStart w:id="468" w:name="_Toc17113"/>
      <w:bookmarkStart w:id="469" w:name="_Toc8186"/>
      <w:bookmarkStart w:id="470" w:name="_Toc28560"/>
      <w:bookmarkStart w:id="471" w:name="_Toc9085"/>
      <w:r>
        <w:rPr>
          <w:rFonts w:hint="eastAsia" w:cs="宋体"/>
          <w:color w:val="auto"/>
          <w:sz w:val="21"/>
          <w:szCs w:val="21"/>
          <w:lang w:val="en-US" w:eastAsia="zh-CN"/>
        </w:rPr>
        <w:t>3.</w:t>
      </w:r>
      <w:r>
        <w:rPr>
          <w:rFonts w:hint="eastAsia" w:ascii="宋体" w:hAnsi="宋体" w:eastAsia="宋体" w:cs="宋体"/>
          <w:color w:val="auto"/>
          <w:sz w:val="21"/>
          <w:szCs w:val="21"/>
          <w:lang w:val="en-US" w:eastAsia="zh-CN"/>
        </w:rPr>
        <w:t>符合性审查资料</w:t>
      </w:r>
      <w:r>
        <w:rPr>
          <w:rFonts w:hint="eastAsia" w:ascii="宋体" w:hAnsi="宋体" w:eastAsia="宋体" w:cs="宋体"/>
          <w:color w:val="auto"/>
          <w:sz w:val="21"/>
          <w:szCs w:val="21"/>
        </w:rPr>
        <w:t>；</w:t>
      </w:r>
      <w:bookmarkEnd w:id="467"/>
      <w:bookmarkEnd w:id="468"/>
      <w:bookmarkEnd w:id="469"/>
      <w:bookmarkEnd w:id="470"/>
      <w:bookmarkEnd w:id="471"/>
    </w:p>
    <w:p>
      <w:pPr>
        <w:spacing w:line="400" w:lineRule="exact"/>
        <w:ind w:firstLine="420" w:firstLineChars="200"/>
        <w:outlineLvl w:val="0"/>
        <w:rPr>
          <w:rFonts w:hint="eastAsia" w:ascii="宋体" w:hAnsi="宋体" w:eastAsia="宋体" w:cs="宋体"/>
          <w:color w:val="auto"/>
          <w:sz w:val="21"/>
          <w:szCs w:val="21"/>
        </w:rPr>
      </w:pPr>
      <w:bookmarkStart w:id="472" w:name="_Toc3604"/>
      <w:bookmarkStart w:id="473" w:name="_Toc21460"/>
      <w:bookmarkStart w:id="474" w:name="_Toc15623"/>
      <w:bookmarkStart w:id="475" w:name="_Toc6703"/>
      <w:bookmarkStart w:id="476" w:name="_Toc20384"/>
      <w:r>
        <w:rPr>
          <w:rFonts w:hint="eastAsia" w:cs="宋体"/>
          <w:color w:val="auto"/>
          <w:sz w:val="21"/>
          <w:szCs w:val="21"/>
          <w:lang w:val="en-US" w:eastAsia="zh-CN"/>
        </w:rPr>
        <w:t>4.</w:t>
      </w:r>
      <w:r>
        <w:rPr>
          <w:rFonts w:hint="eastAsia" w:ascii="宋体" w:hAnsi="宋体" w:eastAsia="宋体" w:cs="宋体"/>
          <w:color w:val="auto"/>
          <w:sz w:val="21"/>
          <w:szCs w:val="21"/>
          <w:lang w:val="en-US" w:eastAsia="zh-CN"/>
        </w:rPr>
        <w:t>评标标准相应的商务技术资料</w:t>
      </w:r>
      <w:r>
        <w:rPr>
          <w:rFonts w:hint="eastAsia" w:ascii="宋体" w:hAnsi="宋体" w:eastAsia="宋体" w:cs="宋体"/>
          <w:color w:val="auto"/>
          <w:sz w:val="21"/>
          <w:szCs w:val="21"/>
        </w:rPr>
        <w:t>；</w:t>
      </w:r>
      <w:bookmarkEnd w:id="472"/>
      <w:bookmarkEnd w:id="473"/>
      <w:bookmarkEnd w:id="474"/>
      <w:bookmarkEnd w:id="475"/>
      <w:bookmarkEnd w:id="476"/>
    </w:p>
    <w:p>
      <w:pPr>
        <w:spacing w:line="400" w:lineRule="exact"/>
        <w:ind w:firstLine="420" w:firstLineChars="200"/>
        <w:outlineLvl w:val="0"/>
        <w:rPr>
          <w:rFonts w:hint="eastAsia" w:ascii="宋体" w:hAnsi="宋体" w:eastAsia="宋体" w:cs="宋体"/>
          <w:color w:val="auto"/>
          <w:sz w:val="21"/>
          <w:szCs w:val="21"/>
        </w:rPr>
      </w:pPr>
      <w:bookmarkStart w:id="477" w:name="_Toc23066"/>
      <w:bookmarkStart w:id="478" w:name="_Toc30835"/>
      <w:bookmarkStart w:id="479" w:name="_Toc24068"/>
      <w:bookmarkStart w:id="480" w:name="_Toc15945"/>
      <w:bookmarkStart w:id="481" w:name="_Toc4655"/>
      <w:r>
        <w:rPr>
          <w:rFonts w:hint="eastAsia" w:cs="宋体"/>
          <w:color w:val="auto"/>
          <w:sz w:val="21"/>
          <w:szCs w:val="21"/>
          <w:lang w:val="en-US" w:eastAsia="zh-CN"/>
        </w:rPr>
        <w:t>5.投标标的清单</w:t>
      </w:r>
      <w:r>
        <w:rPr>
          <w:rFonts w:hint="eastAsia" w:ascii="宋体" w:hAnsi="宋体" w:eastAsia="宋体" w:cs="宋体"/>
          <w:color w:val="auto"/>
          <w:sz w:val="21"/>
          <w:szCs w:val="21"/>
        </w:rPr>
        <w:t>；</w:t>
      </w:r>
      <w:bookmarkEnd w:id="477"/>
      <w:bookmarkEnd w:id="478"/>
      <w:bookmarkEnd w:id="479"/>
      <w:bookmarkEnd w:id="480"/>
      <w:bookmarkEnd w:id="481"/>
    </w:p>
    <w:p>
      <w:pPr>
        <w:spacing w:line="400" w:lineRule="exact"/>
        <w:ind w:firstLine="420" w:firstLineChars="200"/>
        <w:outlineLvl w:val="0"/>
        <w:rPr>
          <w:rFonts w:hint="eastAsia" w:ascii="宋体" w:hAnsi="宋体" w:eastAsia="宋体" w:cs="宋体"/>
          <w:color w:val="auto"/>
          <w:sz w:val="21"/>
          <w:szCs w:val="21"/>
        </w:rPr>
      </w:pPr>
      <w:bookmarkStart w:id="482" w:name="_Toc11785"/>
      <w:bookmarkStart w:id="483" w:name="_Toc31962"/>
      <w:bookmarkStart w:id="484" w:name="_Toc30995"/>
      <w:bookmarkStart w:id="485" w:name="_Toc31297"/>
      <w:bookmarkStart w:id="486" w:name="_Toc13187"/>
      <w:r>
        <w:rPr>
          <w:rFonts w:hint="eastAsia" w:cs="宋体"/>
          <w:color w:val="auto"/>
          <w:sz w:val="21"/>
          <w:szCs w:val="21"/>
          <w:lang w:val="en-US" w:eastAsia="zh-CN"/>
        </w:rPr>
        <w:t>6.商务技术偏离表</w:t>
      </w:r>
      <w:r>
        <w:rPr>
          <w:rFonts w:hint="eastAsia" w:ascii="宋体" w:hAnsi="宋体" w:eastAsia="宋体" w:cs="宋体"/>
          <w:color w:val="auto"/>
          <w:sz w:val="21"/>
          <w:szCs w:val="21"/>
        </w:rPr>
        <w:t>；</w:t>
      </w:r>
      <w:bookmarkEnd w:id="482"/>
      <w:bookmarkEnd w:id="483"/>
      <w:bookmarkEnd w:id="484"/>
      <w:bookmarkEnd w:id="485"/>
      <w:bookmarkEnd w:id="486"/>
      <w:bookmarkStart w:id="487" w:name="_Toc22081"/>
      <w:bookmarkStart w:id="488" w:name="_Toc30616"/>
      <w:bookmarkStart w:id="489" w:name="_Toc9013"/>
      <w:bookmarkStart w:id="490" w:name="_Toc2876"/>
      <w:bookmarkStart w:id="491" w:name="_Toc7058"/>
    </w:p>
    <w:p>
      <w:pPr>
        <w:spacing w:line="400" w:lineRule="exact"/>
        <w:ind w:firstLine="420" w:firstLineChars="200"/>
        <w:outlineLvl w:val="0"/>
        <w:rPr>
          <w:rFonts w:hint="eastAsia" w:ascii="宋体" w:hAnsi="宋体" w:eastAsia="宋体" w:cs="宋体"/>
          <w:color w:val="auto"/>
          <w:sz w:val="21"/>
          <w:szCs w:val="21"/>
        </w:rPr>
      </w:pPr>
      <w:r>
        <w:rPr>
          <w:rFonts w:hint="eastAsia" w:cs="宋体"/>
          <w:color w:val="auto"/>
          <w:sz w:val="21"/>
          <w:szCs w:val="21"/>
          <w:lang w:val="en-US" w:eastAsia="zh-CN"/>
        </w:rPr>
        <w:t>7.政府采购供应商廉洁自律承诺书</w:t>
      </w:r>
      <w:r>
        <w:rPr>
          <w:rFonts w:hint="eastAsia" w:ascii="宋体" w:hAnsi="宋体" w:eastAsia="宋体" w:cs="宋体"/>
          <w:color w:val="auto"/>
          <w:sz w:val="21"/>
          <w:szCs w:val="21"/>
        </w:rPr>
        <w:t>；</w:t>
      </w:r>
      <w:bookmarkEnd w:id="487"/>
      <w:bookmarkEnd w:id="488"/>
      <w:bookmarkEnd w:id="489"/>
      <w:bookmarkEnd w:id="490"/>
      <w:bookmarkEnd w:id="491"/>
    </w:p>
    <w:p>
      <w:pPr>
        <w:spacing w:line="360" w:lineRule="auto"/>
        <w:ind w:firstLine="417" w:firstLineChars="199"/>
        <w:rPr>
          <w:rFonts w:hint="eastAsia" w:ascii="宋体" w:hAnsi="宋体" w:eastAsia="宋体" w:cs="宋体"/>
          <w:color w:val="auto"/>
          <w:sz w:val="21"/>
          <w:szCs w:val="21"/>
        </w:rPr>
      </w:pPr>
      <w:bookmarkStart w:id="492" w:name="_Toc28675"/>
      <w:bookmarkStart w:id="493" w:name="_Toc2434"/>
      <w:bookmarkStart w:id="494" w:name="_Toc12728"/>
      <w:bookmarkStart w:id="495" w:name="_Toc21989"/>
      <w:bookmarkStart w:id="496" w:name="_Toc31323"/>
      <w:r>
        <w:rPr>
          <w:rFonts w:hint="eastAsia" w:cs="宋体"/>
          <w:color w:val="auto"/>
          <w:sz w:val="21"/>
          <w:szCs w:val="21"/>
          <w:lang w:val="en-US" w:eastAsia="zh-CN"/>
        </w:rPr>
        <w:t>8.</w:t>
      </w:r>
      <w:r>
        <w:rPr>
          <w:rFonts w:hint="eastAsia" w:cs="宋体"/>
          <w:color w:val="auto"/>
          <w:sz w:val="21"/>
          <w:szCs w:val="21"/>
          <w:lang w:eastAsia="zh-CN"/>
        </w:rPr>
        <w:t>供应商</w:t>
      </w:r>
      <w:r>
        <w:rPr>
          <w:rFonts w:hint="eastAsia" w:ascii="宋体" w:hAnsi="宋体" w:eastAsia="宋体" w:cs="宋体"/>
          <w:color w:val="auto"/>
          <w:sz w:val="21"/>
          <w:szCs w:val="21"/>
        </w:rPr>
        <w:t>认为需要说明的其他文件等。</w:t>
      </w:r>
      <w:bookmarkEnd w:id="492"/>
      <w:bookmarkEnd w:id="493"/>
      <w:bookmarkEnd w:id="494"/>
      <w:bookmarkEnd w:id="495"/>
      <w:bookmarkEnd w:id="496"/>
    </w:p>
    <w:p>
      <w:pPr>
        <w:spacing w:line="360" w:lineRule="auto"/>
        <w:ind w:firstLine="420" w:firstLineChars="199"/>
        <w:rPr>
          <w:rFonts w:hint="eastAsia" w:ascii="宋体" w:hAnsi="宋体" w:eastAsia="宋体" w:cs="宋体"/>
          <w:color w:val="auto"/>
          <w:sz w:val="21"/>
          <w:szCs w:val="21"/>
        </w:rPr>
      </w:pPr>
      <w:r>
        <w:rPr>
          <w:rFonts w:hint="eastAsia" w:ascii="宋体" w:hAnsi="宋体" w:eastAsia="宋体" w:cs="宋体"/>
          <w:b/>
          <w:bCs/>
          <w:color w:val="auto"/>
          <w:sz w:val="21"/>
          <w:szCs w:val="21"/>
          <w:lang w:val="en-US" w:eastAsia="zh-CN"/>
        </w:rPr>
        <w:t>报价文件</w:t>
      </w:r>
      <w:r>
        <w:rPr>
          <w:rFonts w:hint="eastAsia" w:ascii="宋体" w:hAnsi="宋体" w:eastAsia="宋体" w:cs="宋体"/>
          <w:b/>
          <w:bCs/>
          <w:color w:val="auto"/>
          <w:sz w:val="21"/>
          <w:szCs w:val="21"/>
        </w:rPr>
        <w:t>的组成：</w:t>
      </w:r>
    </w:p>
    <w:p>
      <w:pPr>
        <w:spacing w:line="400" w:lineRule="exact"/>
        <w:ind w:firstLine="420" w:firstLineChars="200"/>
        <w:rPr>
          <w:rFonts w:hint="eastAsia" w:ascii="宋体" w:hAnsi="宋体" w:eastAsia="宋体" w:cs="宋体"/>
          <w:color w:val="auto"/>
          <w:sz w:val="21"/>
          <w:szCs w:val="21"/>
        </w:rPr>
      </w:pPr>
      <w:r>
        <w:rPr>
          <w:rFonts w:hint="eastAsia" w:cs="宋体"/>
          <w:color w:val="auto"/>
          <w:sz w:val="21"/>
          <w:szCs w:val="21"/>
          <w:lang w:val="en-US" w:eastAsia="zh-CN"/>
        </w:rPr>
        <w:t>1.</w:t>
      </w:r>
      <w:r>
        <w:rPr>
          <w:rFonts w:hint="eastAsia" w:ascii="宋体" w:hAnsi="宋体" w:eastAsia="宋体" w:cs="宋体"/>
          <w:color w:val="auto"/>
          <w:sz w:val="21"/>
          <w:szCs w:val="21"/>
          <w:lang w:val="en-US" w:eastAsia="zh-CN"/>
        </w:rPr>
        <w:t>开标一览表（报价表）</w:t>
      </w:r>
      <w:r>
        <w:rPr>
          <w:rFonts w:hint="eastAsia" w:ascii="宋体" w:hAnsi="宋体" w:eastAsia="宋体" w:cs="宋体"/>
          <w:color w:val="auto"/>
          <w:sz w:val="21"/>
          <w:szCs w:val="21"/>
        </w:rPr>
        <w:t>；</w:t>
      </w:r>
    </w:p>
    <w:p>
      <w:pPr>
        <w:spacing w:line="400" w:lineRule="exact"/>
        <w:ind w:firstLine="420" w:firstLineChars="200"/>
        <w:rPr>
          <w:rFonts w:hint="eastAsia" w:ascii="宋体" w:hAnsi="宋体" w:eastAsia="宋体" w:cs="宋体"/>
          <w:b w:val="0"/>
          <w:bCs w:val="0"/>
          <w:color w:val="auto"/>
          <w:sz w:val="21"/>
          <w:szCs w:val="21"/>
          <w:lang w:eastAsia="zh-CN"/>
        </w:rPr>
      </w:pPr>
      <w:r>
        <w:rPr>
          <w:rFonts w:hint="eastAsia" w:cs="宋体"/>
          <w:color w:val="auto"/>
          <w:sz w:val="21"/>
          <w:szCs w:val="21"/>
          <w:lang w:val="en-US" w:eastAsia="zh-CN"/>
        </w:rPr>
        <w:t>2.</w:t>
      </w:r>
      <w:r>
        <w:rPr>
          <w:rFonts w:hint="eastAsia" w:ascii="宋体" w:hAnsi="宋体" w:eastAsia="宋体" w:cs="宋体"/>
          <w:b w:val="0"/>
          <w:bCs w:val="0"/>
          <w:color w:val="auto"/>
          <w:sz w:val="21"/>
          <w:szCs w:val="21"/>
          <w:lang w:eastAsia="zh-CN"/>
        </w:rPr>
        <w:t>报价明细表；</w:t>
      </w:r>
    </w:p>
    <w:p>
      <w:pPr>
        <w:spacing w:line="400" w:lineRule="exact"/>
        <w:ind w:firstLine="420" w:firstLineChars="200"/>
        <w:rPr>
          <w:rFonts w:hint="eastAsia" w:ascii="宋体" w:hAnsi="宋体" w:eastAsia="宋体" w:cs="宋体"/>
          <w:color w:val="auto"/>
          <w:sz w:val="21"/>
          <w:szCs w:val="21"/>
        </w:rPr>
      </w:pPr>
      <w:r>
        <w:rPr>
          <w:rFonts w:hint="eastAsia" w:cs="宋体"/>
          <w:b w:val="0"/>
          <w:bCs w:val="0"/>
          <w:color w:val="auto"/>
          <w:sz w:val="21"/>
          <w:szCs w:val="21"/>
          <w:lang w:val="en-US" w:eastAsia="zh-CN"/>
        </w:rPr>
        <w:t>3.</w:t>
      </w:r>
      <w:r>
        <w:rPr>
          <w:rFonts w:hint="eastAsia" w:ascii="宋体" w:hAnsi="宋体" w:eastAsia="宋体" w:cs="宋体"/>
          <w:b w:val="0"/>
          <w:bCs w:val="0"/>
          <w:color w:val="auto"/>
          <w:sz w:val="21"/>
          <w:szCs w:val="21"/>
          <w:lang w:val="en-US" w:eastAsia="zh-CN"/>
        </w:rPr>
        <w:t>中小企业声明函</w:t>
      </w:r>
      <w:r>
        <w:rPr>
          <w:rFonts w:hint="eastAsia" w:ascii="宋体" w:hAnsi="宋体" w:eastAsia="宋体" w:cs="宋体"/>
          <w:b w:val="0"/>
          <w:bCs w:val="0"/>
          <w:color w:val="auto"/>
          <w:sz w:val="21"/>
          <w:szCs w:val="21"/>
        </w:rPr>
        <w:t>。</w:t>
      </w:r>
    </w:p>
    <w:p>
      <w:pPr>
        <w:spacing w:line="360" w:lineRule="auto"/>
        <w:ind w:firstLine="420" w:firstLineChars="200"/>
        <w:outlineLvl w:val="0"/>
        <w:rPr>
          <w:rFonts w:hint="eastAsia" w:ascii="宋体" w:hAnsi="宋体" w:eastAsia="宋体" w:cs="宋体"/>
          <w:color w:val="auto"/>
          <w:sz w:val="21"/>
          <w:szCs w:val="21"/>
        </w:rPr>
      </w:pPr>
    </w:p>
    <w:p>
      <w:pPr>
        <w:spacing w:line="360" w:lineRule="auto"/>
        <w:rPr>
          <w:rFonts w:hint="eastAsia" w:ascii="宋体" w:hAnsi="宋体" w:eastAsia="宋体" w:cs="宋体"/>
          <w:color w:val="auto"/>
          <w:sz w:val="21"/>
          <w:szCs w:val="21"/>
        </w:rPr>
      </w:pPr>
    </w:p>
    <w:p>
      <w:pPr>
        <w:spacing w:line="360" w:lineRule="auto"/>
        <w:ind w:firstLine="422" w:firstLineChars="200"/>
        <w:rPr>
          <w:rFonts w:hint="eastAsia" w:ascii="宋体" w:hAnsi="宋体" w:eastAsia="宋体" w:cs="宋体"/>
          <w:color w:val="auto"/>
          <w:sz w:val="21"/>
          <w:szCs w:val="21"/>
          <w:lang w:eastAsia="zh-CN"/>
        </w:rPr>
      </w:pPr>
      <w:r>
        <w:rPr>
          <w:rFonts w:hint="eastAsia" w:ascii="宋体" w:hAnsi="宋体" w:eastAsia="宋体" w:cs="宋体"/>
          <w:b/>
          <w:bCs/>
          <w:color w:val="auto"/>
          <w:sz w:val="21"/>
          <w:szCs w:val="21"/>
        </w:rPr>
        <w:t>说明：具体的投标文件组成详见第</w:t>
      </w:r>
      <w:r>
        <w:rPr>
          <w:rFonts w:hint="eastAsia" w:cs="宋体"/>
          <w:b/>
          <w:bCs/>
          <w:color w:val="auto"/>
          <w:sz w:val="21"/>
          <w:szCs w:val="21"/>
          <w:lang w:val="en-US" w:eastAsia="zh-CN"/>
        </w:rPr>
        <w:t>二</w:t>
      </w:r>
      <w:r>
        <w:rPr>
          <w:rFonts w:hint="eastAsia" w:ascii="宋体" w:hAnsi="宋体" w:eastAsia="宋体" w:cs="宋体"/>
          <w:b/>
          <w:bCs/>
          <w:color w:val="auto"/>
          <w:sz w:val="21"/>
          <w:szCs w:val="21"/>
        </w:rPr>
        <w:t>章</w:t>
      </w:r>
      <w:r>
        <w:rPr>
          <w:rFonts w:hint="eastAsia" w:cs="宋体"/>
          <w:b/>
          <w:bCs/>
          <w:color w:val="auto"/>
          <w:sz w:val="21"/>
          <w:szCs w:val="21"/>
          <w:lang w:val="en-US" w:eastAsia="zh-CN"/>
        </w:rPr>
        <w:t>供应商</w:t>
      </w:r>
      <w:r>
        <w:rPr>
          <w:rFonts w:hint="eastAsia" w:ascii="宋体" w:hAnsi="宋体" w:eastAsia="宋体" w:cs="宋体"/>
          <w:b/>
          <w:bCs/>
          <w:color w:val="auto"/>
          <w:sz w:val="21"/>
          <w:szCs w:val="21"/>
        </w:rPr>
        <w:t>须知及第</w:t>
      </w:r>
      <w:r>
        <w:rPr>
          <w:rFonts w:hint="eastAsia" w:cs="宋体"/>
          <w:b/>
          <w:bCs/>
          <w:color w:val="auto"/>
          <w:sz w:val="21"/>
          <w:szCs w:val="21"/>
          <w:lang w:val="en-US" w:eastAsia="zh-CN"/>
        </w:rPr>
        <w:t>四</w:t>
      </w:r>
      <w:r>
        <w:rPr>
          <w:rFonts w:hint="eastAsia" w:ascii="宋体" w:hAnsi="宋体" w:eastAsia="宋体" w:cs="宋体"/>
          <w:b/>
          <w:bCs/>
          <w:color w:val="auto"/>
          <w:sz w:val="21"/>
          <w:szCs w:val="21"/>
        </w:rPr>
        <w:t>章的</w:t>
      </w:r>
      <w:r>
        <w:rPr>
          <w:rFonts w:hint="eastAsia" w:cs="宋体"/>
          <w:b/>
          <w:bCs/>
          <w:color w:val="auto"/>
          <w:sz w:val="21"/>
          <w:szCs w:val="21"/>
          <w:lang w:val="en-US" w:eastAsia="zh-CN"/>
        </w:rPr>
        <w:t>评标办法及评分标准</w:t>
      </w:r>
    </w:p>
    <w:p>
      <w:pPr>
        <w:spacing w:line="360" w:lineRule="auto"/>
        <w:rPr>
          <w:rFonts w:hint="eastAsia" w:ascii="宋体" w:hAnsi="宋体" w:eastAsia="宋体" w:cs="宋体"/>
          <w:color w:val="auto"/>
          <w:sz w:val="21"/>
          <w:szCs w:val="21"/>
        </w:rPr>
      </w:pPr>
    </w:p>
    <w:p>
      <w:pPr>
        <w:pStyle w:val="25"/>
        <w:snapToGrid w:val="0"/>
        <w:spacing w:before="156" w:after="156" w:line="440" w:lineRule="exact"/>
        <w:outlineLvl w:val="0"/>
        <w:rPr>
          <w:rFonts w:hint="eastAsia" w:ascii="宋体" w:hAnsi="宋体" w:eastAsia="宋体" w:cs="宋体"/>
          <w:b w:val="0"/>
          <w:bCs w:val="0"/>
          <w:sz w:val="24"/>
          <w:szCs w:val="24"/>
        </w:rPr>
      </w:pPr>
      <w:bookmarkStart w:id="497" w:name="_Toc15860"/>
      <w:bookmarkStart w:id="498" w:name="_Toc21499"/>
      <w:bookmarkStart w:id="499" w:name="_Toc11458"/>
      <w:bookmarkStart w:id="500" w:name="_Toc32112"/>
      <w:bookmarkStart w:id="501" w:name="_Toc1777"/>
    </w:p>
    <w:p>
      <w:pPr>
        <w:pStyle w:val="25"/>
        <w:snapToGrid w:val="0"/>
        <w:spacing w:before="156" w:after="156" w:line="440" w:lineRule="exact"/>
        <w:outlineLvl w:val="0"/>
        <w:rPr>
          <w:rFonts w:hint="eastAsia" w:ascii="宋体" w:hAnsi="宋体" w:eastAsia="宋体" w:cs="宋体"/>
          <w:b w:val="0"/>
          <w:bCs w:val="0"/>
          <w:sz w:val="24"/>
          <w:szCs w:val="24"/>
        </w:rPr>
      </w:pPr>
    </w:p>
    <w:p>
      <w:pPr>
        <w:pStyle w:val="25"/>
        <w:snapToGrid w:val="0"/>
        <w:spacing w:before="156" w:after="156" w:line="440" w:lineRule="exact"/>
        <w:outlineLvl w:val="0"/>
        <w:rPr>
          <w:rFonts w:hint="eastAsia" w:ascii="宋体" w:hAnsi="宋体" w:eastAsia="宋体" w:cs="宋体"/>
          <w:b w:val="0"/>
          <w:bCs w:val="0"/>
          <w:sz w:val="24"/>
          <w:szCs w:val="24"/>
        </w:rPr>
      </w:pPr>
    </w:p>
    <w:p>
      <w:pPr>
        <w:pStyle w:val="25"/>
        <w:snapToGrid w:val="0"/>
        <w:spacing w:before="156" w:after="156" w:line="440" w:lineRule="exact"/>
        <w:outlineLvl w:val="0"/>
        <w:rPr>
          <w:rFonts w:hint="eastAsia" w:ascii="宋体" w:hAnsi="宋体" w:eastAsia="宋体" w:cs="宋体"/>
          <w:b w:val="0"/>
          <w:bCs w:val="0"/>
          <w:sz w:val="24"/>
          <w:szCs w:val="24"/>
        </w:rPr>
      </w:pPr>
    </w:p>
    <w:p>
      <w:pPr>
        <w:pStyle w:val="25"/>
        <w:snapToGrid w:val="0"/>
        <w:spacing w:before="156" w:after="156" w:line="440" w:lineRule="exact"/>
        <w:outlineLvl w:val="0"/>
        <w:rPr>
          <w:rFonts w:hint="eastAsia" w:ascii="宋体" w:hAnsi="宋体" w:eastAsia="宋体" w:cs="宋体"/>
          <w:b w:val="0"/>
          <w:bCs w:val="0"/>
          <w:sz w:val="24"/>
          <w:szCs w:val="24"/>
        </w:rPr>
      </w:pPr>
    </w:p>
    <w:p>
      <w:pPr>
        <w:pStyle w:val="25"/>
        <w:snapToGrid w:val="0"/>
        <w:spacing w:before="156" w:after="156" w:line="440" w:lineRule="exact"/>
        <w:outlineLvl w:val="0"/>
        <w:rPr>
          <w:rFonts w:hint="eastAsia" w:ascii="宋体" w:hAnsi="宋体" w:eastAsia="宋体" w:cs="宋体"/>
          <w:b w:val="0"/>
          <w:bCs w:val="0"/>
          <w:sz w:val="24"/>
          <w:szCs w:val="24"/>
        </w:rPr>
      </w:pPr>
    </w:p>
    <w:p>
      <w:pPr>
        <w:pStyle w:val="25"/>
        <w:snapToGrid w:val="0"/>
        <w:spacing w:before="156" w:after="156" w:line="440" w:lineRule="exact"/>
        <w:outlineLvl w:val="0"/>
        <w:rPr>
          <w:rFonts w:hint="eastAsia" w:ascii="宋体" w:hAnsi="宋体" w:eastAsia="宋体" w:cs="宋体"/>
          <w:b w:val="0"/>
          <w:bCs w:val="0"/>
          <w:sz w:val="24"/>
          <w:szCs w:val="24"/>
        </w:rPr>
      </w:pPr>
    </w:p>
    <w:p>
      <w:pPr>
        <w:pStyle w:val="25"/>
        <w:snapToGrid w:val="0"/>
        <w:spacing w:before="156" w:after="156" w:line="440" w:lineRule="exact"/>
        <w:outlineLvl w:val="0"/>
        <w:rPr>
          <w:rFonts w:hint="eastAsia" w:ascii="宋体" w:hAnsi="宋体" w:eastAsia="宋体" w:cs="宋体"/>
          <w:b w:val="0"/>
          <w:bCs w:val="0"/>
          <w:sz w:val="24"/>
          <w:szCs w:val="24"/>
        </w:rPr>
      </w:pPr>
    </w:p>
    <w:p>
      <w:pPr>
        <w:pStyle w:val="13"/>
        <w:rPr>
          <w:rFonts w:hint="eastAsia"/>
        </w:rPr>
      </w:pPr>
    </w:p>
    <w:p>
      <w:pPr>
        <w:pStyle w:val="25"/>
        <w:snapToGrid w:val="0"/>
        <w:spacing w:before="156" w:after="156" w:line="440" w:lineRule="exact"/>
        <w:outlineLvl w:val="0"/>
        <w:rPr>
          <w:rFonts w:hint="eastAsia" w:ascii="宋体" w:hAnsi="宋体" w:eastAsia="宋体" w:cs="宋体"/>
          <w:b w:val="0"/>
          <w:bCs w:val="0"/>
          <w:sz w:val="21"/>
          <w:szCs w:val="21"/>
        </w:rPr>
      </w:pPr>
      <w:r>
        <w:rPr>
          <w:rFonts w:hint="eastAsia" w:ascii="宋体" w:hAnsi="宋体" w:eastAsia="宋体" w:cs="宋体"/>
          <w:b w:val="0"/>
          <w:bCs w:val="0"/>
          <w:sz w:val="21"/>
          <w:szCs w:val="21"/>
        </w:rPr>
        <w:t>资格文件部分：</w:t>
      </w:r>
      <w:bookmarkEnd w:id="497"/>
      <w:bookmarkEnd w:id="498"/>
      <w:bookmarkEnd w:id="499"/>
      <w:bookmarkEnd w:id="500"/>
      <w:bookmarkEnd w:id="501"/>
    </w:p>
    <w:p>
      <w:pPr>
        <w:pStyle w:val="39"/>
        <w:tabs>
          <w:tab w:val="left" w:pos="630"/>
          <w:tab w:val="left" w:pos="840"/>
          <w:tab w:val="left" w:pos="1050"/>
        </w:tabs>
        <w:snapToGrid w:val="0"/>
        <w:spacing w:before="0" w:beforeAutospacing="0" w:after="0" w:afterAutospacing="0" w:line="360" w:lineRule="auto"/>
        <w:jc w:val="center"/>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一、符合参加政府采购活动应当具备的一般条件的承诺函</w:t>
      </w:r>
    </w:p>
    <w:p>
      <w:pPr>
        <w:shd w:val="clear" w:color="auto" w:fill="FFFFFF"/>
        <w:snapToGrid w:val="0"/>
        <w:spacing w:line="440" w:lineRule="exact"/>
        <w:jc w:val="center"/>
        <w:rPr>
          <w:rFonts w:hint="eastAsia" w:ascii="宋体" w:hAnsi="宋体" w:eastAsia="宋体" w:cs="宋体"/>
          <w:b/>
          <w:bCs/>
          <w:sz w:val="24"/>
          <w:szCs w:val="24"/>
          <w:highlight w:val="none"/>
        </w:rPr>
      </w:pPr>
    </w:p>
    <w:p>
      <w:pPr>
        <w:keepNext w:val="0"/>
        <w:keepLines w:val="0"/>
        <w:pageBreakBefore w:val="0"/>
        <w:shd w:val="clear" w:color="auto" w:fill="FFFFFF"/>
        <w:kinsoku/>
        <w:wordWrap/>
        <w:overflowPunct/>
        <w:topLinePunct w:val="0"/>
        <w:autoSpaceDE/>
        <w:autoSpaceDN/>
        <w:bidi w:val="0"/>
        <w:adjustRightInd/>
        <w:snapToGrid w:val="0"/>
        <w:spacing w:line="360" w:lineRule="auto"/>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u w:val="single"/>
        </w:rPr>
        <w:t>（采购人）（采购代理机构）</w:t>
      </w:r>
      <w:r>
        <w:rPr>
          <w:rFonts w:hint="eastAsia" w:ascii="宋体" w:hAnsi="宋体" w:eastAsia="宋体" w:cs="宋体"/>
          <w:sz w:val="21"/>
          <w:szCs w:val="21"/>
          <w:highlight w:val="none"/>
        </w:rPr>
        <w:t>：</w:t>
      </w:r>
    </w:p>
    <w:p>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我方参与</w:t>
      </w:r>
      <w:r>
        <w:rPr>
          <w:rFonts w:hint="eastAsia" w:ascii="宋体" w:hAnsi="宋体" w:eastAsia="宋体" w:cs="宋体"/>
          <w:sz w:val="21"/>
          <w:szCs w:val="21"/>
          <w:highlight w:val="none"/>
          <w:u w:val="single"/>
        </w:rPr>
        <w:t>（项目名称）</w:t>
      </w:r>
      <w:r>
        <w:rPr>
          <w:rFonts w:hint="eastAsia" w:ascii="宋体" w:hAnsi="宋体" w:eastAsia="宋体" w:cs="宋体"/>
          <w:sz w:val="21"/>
          <w:szCs w:val="21"/>
          <w:highlight w:val="none"/>
        </w:rPr>
        <w:t>【招标编号：</w:t>
      </w:r>
      <w:r>
        <w:rPr>
          <w:rFonts w:hint="eastAsia" w:ascii="宋体" w:hAnsi="宋体" w:eastAsia="宋体" w:cs="宋体"/>
          <w:sz w:val="21"/>
          <w:szCs w:val="21"/>
          <w:highlight w:val="none"/>
          <w:u w:val="single"/>
        </w:rPr>
        <w:t>（采购编号）</w:t>
      </w:r>
      <w:r>
        <w:rPr>
          <w:rFonts w:hint="eastAsia" w:ascii="宋体" w:hAnsi="宋体" w:eastAsia="宋体" w:cs="宋体"/>
          <w:sz w:val="21"/>
          <w:szCs w:val="21"/>
          <w:highlight w:val="none"/>
        </w:rPr>
        <w:t>】政府采购活动，郑重承诺：</w:t>
      </w:r>
    </w:p>
    <w:p>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（一）具备《中华人民共和国政府采购法》第二十二条第一款规定的条件：</w:t>
      </w:r>
    </w:p>
    <w:p>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cs="宋体"/>
          <w:sz w:val="21"/>
          <w:szCs w:val="21"/>
          <w:highlight w:val="none"/>
          <w:lang w:val="en-US" w:eastAsia="zh-CN"/>
        </w:rPr>
        <w:t>.</w:t>
      </w:r>
      <w:r>
        <w:rPr>
          <w:rFonts w:hint="eastAsia" w:ascii="宋体" w:hAnsi="宋体" w:eastAsia="宋体" w:cs="宋体"/>
          <w:sz w:val="21"/>
          <w:szCs w:val="21"/>
          <w:highlight w:val="none"/>
        </w:rPr>
        <w:t>具有独立承担民事责任的能力；</w:t>
      </w:r>
    </w:p>
    <w:p>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cs="宋体"/>
          <w:sz w:val="21"/>
          <w:szCs w:val="21"/>
          <w:highlight w:val="none"/>
          <w:lang w:val="en-US" w:eastAsia="zh-CN"/>
        </w:rPr>
        <w:t>.</w:t>
      </w:r>
      <w:r>
        <w:rPr>
          <w:rFonts w:hint="eastAsia" w:ascii="宋体" w:hAnsi="宋体" w:eastAsia="宋体" w:cs="宋体"/>
          <w:sz w:val="21"/>
          <w:szCs w:val="21"/>
          <w:highlight w:val="none"/>
        </w:rPr>
        <w:t xml:space="preserve">具有良好的商业信誉和健全的财务会计制度； </w:t>
      </w:r>
    </w:p>
    <w:p>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cs="宋体"/>
          <w:sz w:val="21"/>
          <w:szCs w:val="21"/>
          <w:highlight w:val="none"/>
          <w:lang w:val="en-US" w:eastAsia="zh-CN"/>
        </w:rPr>
        <w:t>.</w:t>
      </w:r>
      <w:r>
        <w:rPr>
          <w:rFonts w:hint="eastAsia" w:ascii="宋体" w:hAnsi="宋体" w:eastAsia="宋体" w:cs="宋体"/>
          <w:sz w:val="21"/>
          <w:szCs w:val="21"/>
          <w:highlight w:val="none"/>
        </w:rPr>
        <w:t>具有履行合同所必需的设备和专业技术能力；</w:t>
      </w:r>
    </w:p>
    <w:p>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w:t>
      </w:r>
      <w:r>
        <w:rPr>
          <w:rFonts w:hint="eastAsia" w:cs="宋体"/>
          <w:sz w:val="21"/>
          <w:szCs w:val="21"/>
          <w:highlight w:val="none"/>
          <w:lang w:val="en-US" w:eastAsia="zh-CN"/>
        </w:rPr>
        <w:t>.</w:t>
      </w:r>
      <w:r>
        <w:rPr>
          <w:rFonts w:hint="eastAsia" w:ascii="宋体" w:hAnsi="宋体" w:eastAsia="宋体" w:cs="宋体"/>
          <w:sz w:val="21"/>
          <w:szCs w:val="21"/>
          <w:highlight w:val="none"/>
        </w:rPr>
        <w:t>有依法缴纳税收和社会保障资金的良好记录；</w:t>
      </w:r>
    </w:p>
    <w:p>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w:t>
      </w:r>
      <w:r>
        <w:rPr>
          <w:rFonts w:hint="eastAsia" w:cs="宋体"/>
          <w:sz w:val="21"/>
          <w:szCs w:val="21"/>
          <w:highlight w:val="none"/>
          <w:lang w:val="en-US" w:eastAsia="zh-CN"/>
        </w:rPr>
        <w:t>.</w:t>
      </w:r>
      <w:r>
        <w:rPr>
          <w:rFonts w:hint="eastAsia" w:ascii="宋体" w:hAnsi="宋体" w:eastAsia="宋体" w:cs="宋体"/>
          <w:sz w:val="21"/>
          <w:szCs w:val="21"/>
          <w:highlight w:val="none"/>
        </w:rPr>
        <w:t>参加政府采购活动前三年内，在经营活动中没有重大违法记录；</w:t>
      </w:r>
    </w:p>
    <w:p>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w:t>
      </w:r>
      <w:r>
        <w:rPr>
          <w:rFonts w:hint="eastAsia" w:cs="宋体"/>
          <w:sz w:val="21"/>
          <w:szCs w:val="21"/>
          <w:highlight w:val="none"/>
          <w:lang w:val="en-US" w:eastAsia="zh-CN"/>
        </w:rPr>
        <w:t>.</w:t>
      </w:r>
      <w:r>
        <w:rPr>
          <w:rFonts w:hint="eastAsia" w:ascii="宋体" w:hAnsi="宋体" w:eastAsia="宋体" w:cs="宋体"/>
          <w:sz w:val="21"/>
          <w:szCs w:val="21"/>
          <w:highlight w:val="none"/>
        </w:rPr>
        <w:t>具有法律、行政法规规定的其他条件。</w:t>
      </w:r>
    </w:p>
    <w:p>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（二）未被信用中国（www.creditchina.gov.cn)、中国政府采购网（www.ccgp.gov.cn）列入失信被执行人、重大税收违法案件当事人名单、政府采购严重违法失信行为记录名单。</w:t>
      </w:r>
    </w:p>
    <w:p>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（三）不存在以下情况：</w:t>
      </w:r>
    </w:p>
    <w:p>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cs="宋体"/>
          <w:sz w:val="21"/>
          <w:szCs w:val="21"/>
          <w:highlight w:val="none"/>
          <w:lang w:val="en-US" w:eastAsia="zh-CN"/>
        </w:rPr>
        <w:t>.</w:t>
      </w:r>
      <w:r>
        <w:rPr>
          <w:rFonts w:hint="eastAsia" w:ascii="宋体" w:hAnsi="宋体" w:eastAsia="宋体" w:cs="宋体"/>
          <w:sz w:val="21"/>
          <w:szCs w:val="21"/>
          <w:highlight w:val="none"/>
        </w:rPr>
        <w:t>单位负责人为同一人或者存在直接控股、管理关系的不同供应商参加同一合同项下的政府采购活动的；</w:t>
      </w:r>
    </w:p>
    <w:p>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rPr>
      </w:pPr>
      <w:r>
        <w:rPr>
          <w:rFonts w:hint="eastAsia" w:ascii="宋体" w:hAnsi="宋体" w:eastAsia="宋体" w:cs="宋体"/>
          <w:sz w:val="21"/>
          <w:szCs w:val="21"/>
          <w:highlight w:val="none"/>
        </w:rPr>
        <w:t>2</w:t>
      </w:r>
      <w:r>
        <w:rPr>
          <w:rFonts w:hint="eastAsia" w:cs="宋体"/>
          <w:sz w:val="21"/>
          <w:szCs w:val="21"/>
          <w:highlight w:val="none"/>
          <w:lang w:val="en-US" w:eastAsia="zh-CN"/>
        </w:rPr>
        <w:t>.</w:t>
      </w:r>
      <w:r>
        <w:rPr>
          <w:rFonts w:hint="eastAsia" w:ascii="宋体" w:hAnsi="宋体" w:eastAsia="宋体" w:cs="宋体"/>
          <w:sz w:val="21"/>
          <w:szCs w:val="21"/>
          <w:highlight w:val="none"/>
        </w:rPr>
        <w:t>为采购项目提供整体设计、规范编制或者项目管理、监理、检测等服务后再参加该采购项目的其他采购活动的。</w:t>
      </w:r>
    </w:p>
    <w:p>
      <w:pPr>
        <w:keepNext w:val="0"/>
        <w:keepLines w:val="0"/>
        <w:pageBreakBefore w:val="0"/>
        <w:kinsoku/>
        <w:wordWrap/>
        <w:overflowPunct/>
        <w:topLinePunct w:val="0"/>
        <w:autoSpaceDE/>
        <w:autoSpaceDN/>
        <w:bidi w:val="0"/>
        <w:adjustRightInd/>
        <w:snapToGrid w:val="0"/>
        <w:spacing w:line="360" w:lineRule="auto"/>
        <w:ind w:firstLine="4620" w:firstLineChars="2200"/>
        <w:jc w:val="both"/>
        <w:textAlignment w:val="auto"/>
        <w:rPr>
          <w:rFonts w:hint="eastAsia" w:cs="宋体"/>
          <w:sz w:val="21"/>
          <w:szCs w:val="21"/>
          <w:highlight w:val="none"/>
          <w:lang w:val="zh-CN"/>
        </w:rPr>
      </w:pPr>
    </w:p>
    <w:p>
      <w:pPr>
        <w:keepNext w:val="0"/>
        <w:keepLines w:val="0"/>
        <w:pageBreakBefore w:val="0"/>
        <w:kinsoku/>
        <w:wordWrap/>
        <w:overflowPunct/>
        <w:topLinePunct w:val="0"/>
        <w:autoSpaceDE/>
        <w:autoSpaceDN/>
        <w:bidi w:val="0"/>
        <w:adjustRightInd/>
        <w:snapToGrid w:val="0"/>
        <w:spacing w:line="360" w:lineRule="auto"/>
        <w:ind w:firstLine="4620" w:firstLineChars="2200"/>
        <w:jc w:val="both"/>
        <w:textAlignment w:val="auto"/>
        <w:rPr>
          <w:rFonts w:hint="eastAsia" w:cs="宋体"/>
          <w:sz w:val="21"/>
          <w:szCs w:val="21"/>
          <w:highlight w:val="none"/>
          <w:lang w:val="zh-CN"/>
        </w:rPr>
      </w:pPr>
    </w:p>
    <w:p>
      <w:pPr>
        <w:keepNext w:val="0"/>
        <w:keepLines w:val="0"/>
        <w:pageBreakBefore w:val="0"/>
        <w:kinsoku/>
        <w:wordWrap/>
        <w:overflowPunct/>
        <w:topLinePunct w:val="0"/>
        <w:autoSpaceDE/>
        <w:autoSpaceDN/>
        <w:bidi w:val="0"/>
        <w:adjustRightInd/>
        <w:snapToGrid w:val="0"/>
        <w:spacing w:line="360" w:lineRule="auto"/>
        <w:ind w:firstLine="4620" w:firstLineChars="2200"/>
        <w:jc w:val="both"/>
        <w:textAlignment w:val="auto"/>
        <w:rPr>
          <w:rFonts w:hint="eastAsia" w:ascii="宋体" w:hAnsi="宋体" w:eastAsia="宋体" w:cs="宋体"/>
          <w:sz w:val="21"/>
          <w:szCs w:val="21"/>
          <w:highlight w:val="none"/>
        </w:rPr>
      </w:pPr>
      <w:r>
        <w:rPr>
          <w:rFonts w:hint="eastAsia" w:cs="宋体"/>
          <w:sz w:val="21"/>
          <w:szCs w:val="21"/>
          <w:highlight w:val="none"/>
          <w:lang w:val="zh-CN"/>
        </w:rPr>
        <w:t>供应商</w:t>
      </w:r>
      <w:r>
        <w:rPr>
          <w:rFonts w:hint="eastAsia" w:ascii="宋体" w:hAnsi="宋体" w:eastAsia="宋体" w:cs="宋体"/>
          <w:sz w:val="21"/>
          <w:szCs w:val="21"/>
          <w:highlight w:val="none"/>
          <w:lang w:val="zh-CN"/>
        </w:rPr>
        <w:t>名称(电子签名)：</w:t>
      </w:r>
    </w:p>
    <w:p>
      <w:pPr>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kern w:val="0"/>
          <w:sz w:val="21"/>
          <w:szCs w:val="21"/>
          <w:highlight w:val="none"/>
        </w:rPr>
      </w:pPr>
      <w:r>
        <w:rPr>
          <w:rFonts w:hint="eastAsia" w:ascii="宋体" w:hAnsi="宋体" w:eastAsia="宋体" w:cs="宋体"/>
          <w:sz w:val="21"/>
          <w:szCs w:val="21"/>
          <w:highlight w:val="none"/>
        </w:rPr>
        <w:t xml:space="preserve">       </w:t>
      </w:r>
      <w:r>
        <w:rPr>
          <w:rFonts w:hint="eastAsia" w:cs="宋体"/>
          <w:sz w:val="21"/>
          <w:szCs w:val="21"/>
          <w:highlight w:val="none"/>
          <w:lang w:val="en-US" w:eastAsia="zh-CN"/>
        </w:rPr>
        <w:t xml:space="preserve">                                     </w:t>
      </w:r>
      <w:r>
        <w:rPr>
          <w:rFonts w:hint="eastAsia" w:ascii="宋体" w:hAnsi="宋体" w:eastAsia="宋体" w:cs="宋体"/>
          <w:sz w:val="21"/>
          <w:szCs w:val="21"/>
          <w:highlight w:val="none"/>
          <w:lang w:val="zh-CN"/>
        </w:rPr>
        <w:t>日期</w:t>
      </w:r>
      <w:r>
        <w:rPr>
          <w:rFonts w:hint="eastAsia" w:ascii="宋体" w:hAnsi="宋体" w:eastAsia="宋体" w:cs="宋体"/>
          <w:sz w:val="21"/>
          <w:szCs w:val="21"/>
          <w:highlight w:val="none"/>
        </w:rPr>
        <w:t xml:space="preserve">：  年  </w:t>
      </w:r>
      <w:r>
        <w:rPr>
          <w:rFonts w:hint="eastAsia" w:ascii="宋体" w:hAnsi="宋体" w:eastAsia="宋体" w:cs="宋体"/>
          <w:sz w:val="21"/>
          <w:szCs w:val="21"/>
          <w:highlight w:val="none"/>
          <w:lang w:val="zh-CN"/>
        </w:rPr>
        <w:t>月</w:t>
      </w: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val="zh-CN"/>
        </w:rPr>
        <w:t>日</w:t>
      </w:r>
    </w:p>
    <w:p>
      <w:pPr>
        <w:snapToGrid w:val="0"/>
        <w:spacing w:line="360" w:lineRule="auto"/>
        <w:ind w:right="480"/>
        <w:jc w:val="both"/>
        <w:rPr>
          <w:rFonts w:hint="eastAsia" w:ascii="宋体" w:hAnsi="宋体" w:eastAsia="宋体" w:cs="宋体"/>
          <w:b/>
          <w:kern w:val="0"/>
          <w:sz w:val="21"/>
          <w:szCs w:val="21"/>
          <w:highlight w:val="none"/>
        </w:rPr>
      </w:pPr>
    </w:p>
    <w:p>
      <w:pPr>
        <w:keepNext w:val="0"/>
        <w:keepLines w:val="0"/>
        <w:pageBreakBefore w:val="0"/>
        <w:kinsoku/>
        <w:wordWrap/>
        <w:overflowPunct/>
        <w:topLinePunct w:val="0"/>
        <w:autoSpaceDE/>
        <w:autoSpaceDN/>
        <w:bidi w:val="0"/>
        <w:adjustRightInd/>
        <w:spacing w:line="420" w:lineRule="exact"/>
        <w:jc w:val="left"/>
        <w:textAlignment w:val="auto"/>
        <w:rPr>
          <w:rFonts w:hint="eastAsia" w:ascii="宋体" w:hAnsi="宋体" w:eastAsia="宋体" w:cs="宋体"/>
          <w:bCs/>
          <w:sz w:val="21"/>
          <w:szCs w:val="21"/>
          <w:highlight w:val="none"/>
        </w:rPr>
      </w:pPr>
      <w:r>
        <w:rPr>
          <w:rFonts w:hint="eastAsia" w:ascii="宋体" w:hAnsi="宋体" w:eastAsia="宋体" w:cs="宋体"/>
          <w:sz w:val="21"/>
          <w:szCs w:val="21"/>
          <w:highlight w:val="none"/>
        </w:rPr>
        <w:br w:type="page"/>
      </w:r>
      <w:r>
        <w:rPr>
          <w:rFonts w:hint="eastAsia" w:ascii="宋体" w:hAnsi="宋体" w:eastAsia="宋体" w:cs="宋体"/>
          <w:sz w:val="21"/>
          <w:szCs w:val="21"/>
          <w:highlight w:val="none"/>
          <w:lang w:val="en-US" w:eastAsia="zh-CN"/>
        </w:rPr>
        <w:t xml:space="preserve">   </w:t>
      </w:r>
      <w:r>
        <w:rPr>
          <w:rFonts w:hint="eastAsia" w:cs="宋体"/>
          <w:bCs/>
          <w:sz w:val="21"/>
          <w:szCs w:val="21"/>
          <w:highlight w:val="none"/>
          <w:lang w:eastAsia="zh-CN"/>
        </w:rPr>
        <w:t>供应商</w:t>
      </w:r>
      <w:r>
        <w:rPr>
          <w:rFonts w:hint="eastAsia" w:ascii="宋体" w:hAnsi="宋体" w:eastAsia="宋体" w:cs="宋体"/>
          <w:bCs/>
          <w:sz w:val="21"/>
          <w:szCs w:val="21"/>
          <w:highlight w:val="none"/>
        </w:rPr>
        <w:t>须在投标文件中出具符合以下情况的证明材料复印件（五选一）：</w:t>
      </w:r>
    </w:p>
    <w:p>
      <w:pPr>
        <w:pStyle w:val="39"/>
        <w:keepNext w:val="0"/>
        <w:keepLines w:val="0"/>
        <w:pageBreakBefore w:val="0"/>
        <w:numPr>
          <w:ilvl w:val="0"/>
          <w:numId w:val="9"/>
        </w:numPr>
        <w:tabs>
          <w:tab w:val="left" w:pos="312"/>
        </w:tabs>
        <w:kinsoku/>
        <w:wordWrap/>
        <w:overflowPunct/>
        <w:topLinePunct w:val="0"/>
        <w:autoSpaceDE/>
        <w:autoSpaceDN/>
        <w:bidi w:val="0"/>
        <w:adjustRightInd/>
        <w:snapToGrid w:val="0"/>
        <w:spacing w:before="0" w:beforeAutospacing="0" w:after="0" w:afterAutospacing="0" w:line="420" w:lineRule="exact"/>
        <w:ind w:firstLine="420" w:firstLineChars="20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如</w:t>
      </w:r>
      <w:r>
        <w:rPr>
          <w:rFonts w:hint="eastAsia" w:cs="宋体"/>
          <w:bCs/>
          <w:sz w:val="21"/>
          <w:szCs w:val="21"/>
          <w:highlight w:val="none"/>
          <w:lang w:eastAsia="zh-CN"/>
        </w:rPr>
        <w:t>供应商</w:t>
      </w:r>
      <w:r>
        <w:rPr>
          <w:rFonts w:hint="eastAsia" w:ascii="宋体" w:hAnsi="宋体" w:eastAsia="宋体" w:cs="宋体"/>
          <w:bCs/>
          <w:sz w:val="21"/>
          <w:szCs w:val="21"/>
          <w:highlight w:val="none"/>
        </w:rPr>
        <w:t>是企业（包括合伙企业），提供在工商部门注册的有效“企业法人营业执照”或“营业执照”；</w:t>
      </w:r>
    </w:p>
    <w:p>
      <w:pPr>
        <w:pStyle w:val="39"/>
        <w:keepNext w:val="0"/>
        <w:keepLines w:val="0"/>
        <w:pageBreakBefore w:val="0"/>
        <w:numPr>
          <w:ilvl w:val="0"/>
          <w:numId w:val="9"/>
        </w:numPr>
        <w:tabs>
          <w:tab w:val="left" w:pos="312"/>
        </w:tabs>
        <w:kinsoku/>
        <w:wordWrap/>
        <w:overflowPunct/>
        <w:topLinePunct w:val="0"/>
        <w:autoSpaceDE/>
        <w:autoSpaceDN/>
        <w:bidi w:val="0"/>
        <w:adjustRightInd/>
        <w:snapToGrid w:val="0"/>
        <w:spacing w:before="0" w:beforeAutospacing="0" w:after="0" w:afterAutospacing="0" w:line="420" w:lineRule="exact"/>
        <w:ind w:firstLine="420" w:firstLineChars="20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如</w:t>
      </w:r>
      <w:r>
        <w:rPr>
          <w:rFonts w:hint="eastAsia" w:cs="宋体"/>
          <w:bCs/>
          <w:sz w:val="21"/>
          <w:szCs w:val="21"/>
          <w:highlight w:val="none"/>
          <w:lang w:eastAsia="zh-CN"/>
        </w:rPr>
        <w:t>供应商</w:t>
      </w:r>
      <w:r>
        <w:rPr>
          <w:rFonts w:hint="eastAsia" w:ascii="宋体" w:hAnsi="宋体" w:eastAsia="宋体" w:cs="宋体"/>
          <w:bCs/>
          <w:sz w:val="21"/>
          <w:szCs w:val="21"/>
          <w:highlight w:val="none"/>
        </w:rPr>
        <w:t>是事业单位，提供有效的“事业单位法人证书”；</w:t>
      </w:r>
    </w:p>
    <w:p>
      <w:pPr>
        <w:pStyle w:val="39"/>
        <w:keepNext w:val="0"/>
        <w:keepLines w:val="0"/>
        <w:pageBreakBefore w:val="0"/>
        <w:numPr>
          <w:ilvl w:val="0"/>
          <w:numId w:val="9"/>
        </w:numPr>
        <w:tabs>
          <w:tab w:val="left" w:pos="312"/>
        </w:tabs>
        <w:kinsoku/>
        <w:wordWrap/>
        <w:overflowPunct/>
        <w:topLinePunct w:val="0"/>
        <w:autoSpaceDE/>
        <w:autoSpaceDN/>
        <w:bidi w:val="0"/>
        <w:adjustRightInd/>
        <w:snapToGrid w:val="0"/>
        <w:spacing w:before="0" w:beforeAutospacing="0" w:after="0" w:afterAutospacing="0" w:line="420" w:lineRule="exact"/>
        <w:ind w:firstLine="420" w:firstLineChars="20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如</w:t>
      </w:r>
      <w:r>
        <w:rPr>
          <w:rFonts w:hint="eastAsia" w:cs="宋体"/>
          <w:bCs/>
          <w:sz w:val="21"/>
          <w:szCs w:val="21"/>
          <w:highlight w:val="none"/>
          <w:lang w:eastAsia="zh-CN"/>
        </w:rPr>
        <w:t>供应商</w:t>
      </w:r>
      <w:r>
        <w:rPr>
          <w:rFonts w:hint="eastAsia" w:ascii="宋体" w:hAnsi="宋体" w:eastAsia="宋体" w:cs="宋体"/>
          <w:bCs/>
          <w:sz w:val="21"/>
          <w:szCs w:val="21"/>
          <w:highlight w:val="none"/>
        </w:rPr>
        <w:t>是非企业专业服务机构的，提供执业许可证等证明文件；</w:t>
      </w:r>
    </w:p>
    <w:p>
      <w:pPr>
        <w:pStyle w:val="39"/>
        <w:keepNext w:val="0"/>
        <w:keepLines w:val="0"/>
        <w:pageBreakBefore w:val="0"/>
        <w:numPr>
          <w:ilvl w:val="0"/>
          <w:numId w:val="9"/>
        </w:numPr>
        <w:tabs>
          <w:tab w:val="left" w:pos="312"/>
        </w:tabs>
        <w:kinsoku/>
        <w:wordWrap/>
        <w:overflowPunct/>
        <w:topLinePunct w:val="0"/>
        <w:autoSpaceDE/>
        <w:autoSpaceDN/>
        <w:bidi w:val="0"/>
        <w:adjustRightInd/>
        <w:snapToGrid w:val="0"/>
        <w:spacing w:before="0" w:beforeAutospacing="0" w:after="0" w:afterAutospacing="0" w:line="420" w:lineRule="exact"/>
        <w:ind w:firstLine="420" w:firstLineChars="20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如</w:t>
      </w:r>
      <w:r>
        <w:rPr>
          <w:rFonts w:hint="eastAsia" w:cs="宋体"/>
          <w:bCs/>
          <w:sz w:val="21"/>
          <w:szCs w:val="21"/>
          <w:highlight w:val="none"/>
          <w:lang w:eastAsia="zh-CN"/>
        </w:rPr>
        <w:t>供应商</w:t>
      </w:r>
      <w:r>
        <w:rPr>
          <w:rFonts w:hint="eastAsia" w:ascii="宋体" w:hAnsi="宋体" w:eastAsia="宋体" w:cs="宋体"/>
          <w:bCs/>
          <w:sz w:val="21"/>
          <w:szCs w:val="21"/>
          <w:highlight w:val="none"/>
        </w:rPr>
        <w:t>是个体工商户，提供有效的“个体工商户营业执照”；</w:t>
      </w:r>
    </w:p>
    <w:p>
      <w:pPr>
        <w:pStyle w:val="39"/>
        <w:keepNext w:val="0"/>
        <w:keepLines w:val="0"/>
        <w:pageBreakBefore w:val="0"/>
        <w:numPr>
          <w:ilvl w:val="0"/>
          <w:numId w:val="9"/>
        </w:numPr>
        <w:tabs>
          <w:tab w:val="left" w:pos="312"/>
        </w:tabs>
        <w:kinsoku/>
        <w:wordWrap/>
        <w:overflowPunct/>
        <w:topLinePunct w:val="0"/>
        <w:autoSpaceDE/>
        <w:autoSpaceDN/>
        <w:bidi w:val="0"/>
        <w:adjustRightInd/>
        <w:snapToGrid w:val="0"/>
        <w:spacing w:before="0" w:beforeAutospacing="0" w:after="0" w:afterAutospacing="0" w:line="420" w:lineRule="exact"/>
        <w:ind w:firstLine="420" w:firstLineChars="200"/>
        <w:jc w:val="left"/>
        <w:textAlignment w:val="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如</w:t>
      </w:r>
      <w:r>
        <w:rPr>
          <w:rFonts w:hint="eastAsia" w:cs="宋体"/>
          <w:bCs/>
          <w:sz w:val="21"/>
          <w:szCs w:val="21"/>
          <w:highlight w:val="none"/>
          <w:lang w:eastAsia="zh-CN"/>
        </w:rPr>
        <w:t>供应商</w:t>
      </w:r>
      <w:r>
        <w:rPr>
          <w:rFonts w:hint="eastAsia" w:ascii="宋体" w:hAnsi="宋体" w:eastAsia="宋体" w:cs="宋体"/>
          <w:bCs/>
          <w:sz w:val="21"/>
          <w:szCs w:val="21"/>
          <w:highlight w:val="none"/>
        </w:rPr>
        <w:t>是自然人，提供有效的自然人身份证明（居民身份证正反面或公安机关出具的临时居民身份证正反面或港澳台胞证或护照）。</w:t>
      </w:r>
    </w:p>
    <w:p>
      <w:pPr>
        <w:pStyle w:val="39"/>
        <w:keepNext w:val="0"/>
        <w:keepLines w:val="0"/>
        <w:pageBreakBefore w:val="0"/>
        <w:tabs>
          <w:tab w:val="left" w:pos="312"/>
        </w:tabs>
        <w:kinsoku/>
        <w:wordWrap/>
        <w:overflowPunct/>
        <w:topLinePunct w:val="0"/>
        <w:autoSpaceDE/>
        <w:autoSpaceDN/>
        <w:bidi w:val="0"/>
        <w:adjustRightInd/>
        <w:snapToGrid w:val="0"/>
        <w:spacing w:before="0" w:beforeAutospacing="0" w:after="0" w:afterAutospacing="0" w:line="420" w:lineRule="exact"/>
        <w:jc w:val="left"/>
        <w:textAlignment w:val="auto"/>
        <w:rPr>
          <w:rFonts w:hint="eastAsia" w:ascii="宋体" w:hAnsi="宋体" w:eastAsia="宋体" w:cs="宋体"/>
          <w:bCs/>
          <w:sz w:val="21"/>
          <w:szCs w:val="21"/>
          <w:highlight w:val="none"/>
        </w:rPr>
      </w:pPr>
    </w:p>
    <w:p>
      <w:pPr>
        <w:pStyle w:val="103"/>
        <w:keepNext w:val="0"/>
        <w:keepLines w:val="0"/>
        <w:pageBreakBefore w:val="0"/>
        <w:tabs>
          <w:tab w:val="left" w:pos="1212"/>
          <w:tab w:val="left" w:pos="3888"/>
        </w:tabs>
        <w:kinsoku/>
        <w:wordWrap/>
        <w:overflowPunct/>
        <w:topLinePunct w:val="0"/>
        <w:autoSpaceDE/>
        <w:autoSpaceDN/>
        <w:bidi w:val="0"/>
        <w:adjustRightInd/>
        <w:spacing w:line="420" w:lineRule="exact"/>
        <w:ind w:firstLine="42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360" w:lineRule="auto"/>
        <w:jc w:val="left"/>
        <w:rPr>
          <w:rFonts w:hint="eastAsia" w:ascii="宋体" w:hAnsi="宋体" w:eastAsia="宋体" w:cs="宋体"/>
          <w:b/>
          <w:kern w:val="0"/>
          <w:sz w:val="21"/>
          <w:szCs w:val="21"/>
          <w:highlight w:val="none"/>
        </w:rPr>
      </w:pPr>
    </w:p>
    <w:p>
      <w:pPr>
        <w:snapToGrid w:val="0"/>
        <w:spacing w:line="360" w:lineRule="auto"/>
        <w:ind w:right="480"/>
        <w:jc w:val="center"/>
        <w:rPr>
          <w:rFonts w:hint="eastAsia" w:ascii="宋体" w:hAnsi="宋体" w:eastAsia="宋体" w:cs="宋体"/>
          <w:b/>
          <w:kern w:val="0"/>
          <w:sz w:val="21"/>
          <w:szCs w:val="21"/>
          <w:highlight w:val="none"/>
        </w:rPr>
      </w:pPr>
    </w:p>
    <w:p>
      <w:pPr>
        <w:snapToGrid w:val="0"/>
        <w:spacing w:line="360" w:lineRule="auto"/>
        <w:ind w:right="480"/>
        <w:jc w:val="center"/>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br w:type="page"/>
      </w:r>
      <w:r>
        <w:rPr>
          <w:rFonts w:hint="eastAsia" w:ascii="宋体" w:hAnsi="宋体" w:eastAsia="宋体" w:cs="宋体"/>
          <w:b/>
          <w:kern w:val="0"/>
          <w:sz w:val="24"/>
          <w:szCs w:val="24"/>
          <w:highlight w:val="none"/>
        </w:rPr>
        <w:t>二、落实政府采购政策需满足的资格要求证明材料</w:t>
      </w:r>
    </w:p>
    <w:p>
      <w:pPr>
        <w:spacing w:line="360" w:lineRule="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附表1</w:t>
      </w:r>
      <w:r>
        <w:rPr>
          <w:rFonts w:hint="eastAsia" w:ascii="宋体" w:hAnsi="宋体" w:eastAsia="宋体" w:cs="宋体"/>
          <w:b w:val="0"/>
          <w:bCs/>
          <w:spacing w:val="6"/>
          <w:sz w:val="21"/>
          <w:szCs w:val="21"/>
          <w:highlight w:val="none"/>
        </w:rPr>
        <w:t>：</w:t>
      </w:r>
    </w:p>
    <w:p>
      <w:pPr>
        <w:spacing w:line="360" w:lineRule="auto"/>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中小企业声明函（货物）</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本公司（联合体）郑重声明，根据《政府采购促进中小企业发展管理办法》（财库﹝2020﹞46 号）的规定，本公司（联合体）参加</w:t>
      </w:r>
      <w:r>
        <w:rPr>
          <w:rFonts w:hint="eastAsia" w:ascii="宋体" w:hAnsi="宋体" w:eastAsia="宋体" w:cs="宋体"/>
          <w:sz w:val="21"/>
          <w:szCs w:val="21"/>
          <w:highlight w:val="none"/>
          <w:u w:val="single"/>
        </w:rPr>
        <w:t xml:space="preserve"> （单位名称） </w:t>
      </w:r>
      <w:r>
        <w:rPr>
          <w:rFonts w:hint="eastAsia" w:ascii="宋体" w:hAnsi="宋体" w:eastAsia="宋体" w:cs="宋体"/>
          <w:sz w:val="21"/>
          <w:szCs w:val="21"/>
          <w:highlight w:val="none"/>
        </w:rPr>
        <w:t>的</w:t>
      </w:r>
      <w:r>
        <w:rPr>
          <w:rFonts w:hint="eastAsia" w:ascii="宋体" w:hAnsi="宋体" w:eastAsia="宋体" w:cs="宋体"/>
          <w:sz w:val="21"/>
          <w:szCs w:val="21"/>
          <w:highlight w:val="none"/>
          <w:u w:val="single"/>
        </w:rPr>
        <w:t xml:space="preserve"> （项目名称） </w:t>
      </w:r>
      <w:r>
        <w:rPr>
          <w:rFonts w:hint="eastAsia" w:ascii="宋体" w:hAnsi="宋体" w:eastAsia="宋体" w:cs="宋体"/>
          <w:sz w:val="21"/>
          <w:szCs w:val="21"/>
          <w:highlight w:val="none"/>
        </w:rPr>
        <w:t>采购活动，提供的货物全部由符合政策要求的中小企业制造。相关企业（含联合体中的中小企业、签订分包意向协议的中小企业）的具体情况如下：</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1. </w:t>
      </w:r>
      <w:r>
        <w:rPr>
          <w:rFonts w:hint="eastAsia" w:ascii="宋体" w:hAnsi="宋体" w:eastAsia="宋体" w:cs="宋体"/>
          <w:sz w:val="21"/>
          <w:szCs w:val="21"/>
          <w:highlight w:val="none"/>
          <w:u w:val="single"/>
        </w:rPr>
        <w:t>（标的名称）</w:t>
      </w:r>
      <w:r>
        <w:rPr>
          <w:rFonts w:hint="eastAsia" w:ascii="宋体" w:hAnsi="宋体" w:eastAsia="宋体" w:cs="宋体"/>
          <w:sz w:val="21"/>
          <w:szCs w:val="21"/>
          <w:highlight w:val="none"/>
        </w:rPr>
        <w:t xml:space="preserve"> ，属于 </w:t>
      </w:r>
      <w:r>
        <w:rPr>
          <w:rFonts w:hint="eastAsia" w:ascii="宋体" w:hAnsi="宋体" w:eastAsia="宋体" w:cs="宋体"/>
          <w:sz w:val="21"/>
          <w:szCs w:val="21"/>
          <w:highlight w:val="none"/>
          <w:u w:val="single"/>
        </w:rPr>
        <w:t>（采购文件中明确的所属行业）</w:t>
      </w:r>
      <w:r>
        <w:rPr>
          <w:rFonts w:hint="eastAsia" w:ascii="宋体" w:hAnsi="宋体" w:eastAsia="宋体" w:cs="宋体"/>
          <w:sz w:val="21"/>
          <w:szCs w:val="21"/>
          <w:highlight w:val="none"/>
        </w:rPr>
        <w:t>行业 ；制造商为</w:t>
      </w:r>
      <w:r>
        <w:rPr>
          <w:rFonts w:hint="eastAsia" w:ascii="宋体" w:hAnsi="宋体" w:eastAsia="宋体" w:cs="宋体"/>
          <w:sz w:val="21"/>
          <w:szCs w:val="21"/>
          <w:highlight w:val="none"/>
          <w:u w:val="single"/>
        </w:rPr>
        <w:t>（企业名称）</w:t>
      </w:r>
      <w:r>
        <w:rPr>
          <w:rFonts w:hint="eastAsia" w:ascii="宋体" w:hAnsi="宋体" w:eastAsia="宋体" w:cs="宋体"/>
          <w:sz w:val="21"/>
          <w:szCs w:val="21"/>
          <w:highlight w:val="none"/>
        </w:rPr>
        <w:t xml:space="preserve"> ，从业人员</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人，营业收入为</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万元，资产总额为</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万元，属于</w:t>
      </w:r>
      <w:r>
        <w:rPr>
          <w:rFonts w:hint="eastAsia" w:ascii="宋体" w:hAnsi="宋体" w:eastAsia="宋体" w:cs="宋体"/>
          <w:sz w:val="21"/>
          <w:szCs w:val="21"/>
          <w:highlight w:val="none"/>
          <w:u w:val="single"/>
        </w:rPr>
        <w:t xml:space="preserve"> （中型企业、小型企业、微型企业）</w:t>
      </w:r>
      <w:r>
        <w:rPr>
          <w:rFonts w:hint="eastAsia" w:ascii="宋体" w:hAnsi="宋体" w:eastAsia="宋体" w:cs="宋体"/>
          <w:sz w:val="21"/>
          <w:szCs w:val="21"/>
          <w:highlight w:val="none"/>
        </w:rPr>
        <w:t xml:space="preserve"> ；</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2. </w:t>
      </w:r>
      <w:r>
        <w:rPr>
          <w:rFonts w:hint="eastAsia" w:ascii="宋体" w:hAnsi="宋体" w:eastAsia="宋体" w:cs="宋体"/>
          <w:sz w:val="21"/>
          <w:szCs w:val="21"/>
          <w:highlight w:val="none"/>
          <w:u w:val="single"/>
        </w:rPr>
        <w:t>（标的名称）</w:t>
      </w:r>
      <w:r>
        <w:rPr>
          <w:rFonts w:hint="eastAsia" w:ascii="宋体" w:hAnsi="宋体" w:eastAsia="宋体" w:cs="宋体"/>
          <w:sz w:val="21"/>
          <w:szCs w:val="21"/>
          <w:highlight w:val="none"/>
        </w:rPr>
        <w:t xml:space="preserve"> ，属于 </w:t>
      </w:r>
      <w:r>
        <w:rPr>
          <w:rFonts w:hint="eastAsia" w:ascii="宋体" w:hAnsi="宋体" w:eastAsia="宋体" w:cs="宋体"/>
          <w:sz w:val="21"/>
          <w:szCs w:val="21"/>
          <w:highlight w:val="none"/>
          <w:u w:val="single"/>
        </w:rPr>
        <w:t>（采购文件中明确的所属行业）</w:t>
      </w:r>
      <w:r>
        <w:rPr>
          <w:rFonts w:hint="eastAsia" w:ascii="宋体" w:hAnsi="宋体" w:eastAsia="宋体" w:cs="宋体"/>
          <w:sz w:val="21"/>
          <w:szCs w:val="21"/>
          <w:highlight w:val="none"/>
        </w:rPr>
        <w:t>行业 ；制造商为</w:t>
      </w:r>
      <w:r>
        <w:rPr>
          <w:rFonts w:hint="eastAsia" w:ascii="宋体" w:hAnsi="宋体" w:eastAsia="宋体" w:cs="宋体"/>
          <w:sz w:val="21"/>
          <w:szCs w:val="21"/>
          <w:highlight w:val="none"/>
          <w:u w:val="single"/>
        </w:rPr>
        <w:t xml:space="preserve"> （企业名称）</w:t>
      </w:r>
      <w:r>
        <w:rPr>
          <w:rFonts w:hint="eastAsia" w:ascii="宋体" w:hAnsi="宋体" w:eastAsia="宋体" w:cs="宋体"/>
          <w:sz w:val="21"/>
          <w:szCs w:val="21"/>
          <w:highlight w:val="none"/>
        </w:rPr>
        <w:t xml:space="preserve"> ，从业人员</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人，营业收入为</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万元，资产总额为</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万元，属于</w:t>
      </w:r>
      <w:r>
        <w:rPr>
          <w:rFonts w:hint="eastAsia" w:ascii="宋体" w:hAnsi="宋体" w:eastAsia="宋体" w:cs="宋体"/>
          <w:sz w:val="21"/>
          <w:szCs w:val="21"/>
          <w:highlight w:val="none"/>
          <w:u w:val="single"/>
        </w:rPr>
        <w:t xml:space="preserve"> （中型企业、小型企业、微型企业）</w:t>
      </w:r>
      <w:r>
        <w:rPr>
          <w:rFonts w:hint="eastAsia" w:ascii="宋体" w:hAnsi="宋体" w:eastAsia="宋体" w:cs="宋体"/>
          <w:sz w:val="21"/>
          <w:szCs w:val="21"/>
          <w:highlight w:val="none"/>
        </w:rPr>
        <w:t xml:space="preserve"> ；</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以上企业，不属于大企业的分支机构，不存在控股股东为大企业的情形，也不存在与大企业的负责人为同一人的情形。</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本企业对上述声明内容的真实性负责。如有虚假，将依法承担相应责任。</w:t>
      </w:r>
    </w:p>
    <w:p>
      <w:pPr>
        <w:snapToGrid w:val="0"/>
        <w:spacing w:line="360" w:lineRule="auto"/>
        <w:ind w:firstLine="4515" w:firstLineChars="2150"/>
        <w:rPr>
          <w:rFonts w:hint="eastAsia" w:cs="宋体"/>
          <w:kern w:val="0"/>
          <w:sz w:val="21"/>
          <w:szCs w:val="21"/>
          <w:highlight w:val="none"/>
          <w:lang w:val="zh-CN"/>
        </w:rPr>
      </w:pPr>
    </w:p>
    <w:p>
      <w:pPr>
        <w:snapToGrid w:val="0"/>
        <w:spacing w:line="360" w:lineRule="auto"/>
        <w:ind w:firstLine="4515" w:firstLineChars="2150"/>
        <w:rPr>
          <w:rFonts w:hint="eastAsia" w:ascii="宋体" w:hAnsi="宋体" w:eastAsia="宋体" w:cs="宋体"/>
          <w:kern w:val="0"/>
          <w:sz w:val="21"/>
          <w:szCs w:val="21"/>
          <w:highlight w:val="none"/>
        </w:rPr>
      </w:pPr>
      <w:r>
        <w:rPr>
          <w:rFonts w:hint="eastAsia" w:cs="宋体"/>
          <w:kern w:val="0"/>
          <w:sz w:val="21"/>
          <w:szCs w:val="21"/>
          <w:highlight w:val="none"/>
          <w:lang w:val="zh-CN"/>
        </w:rPr>
        <w:t>供应商</w:t>
      </w:r>
      <w:r>
        <w:rPr>
          <w:rFonts w:hint="eastAsia" w:ascii="宋体" w:hAnsi="宋体" w:eastAsia="宋体" w:cs="宋体"/>
          <w:kern w:val="0"/>
          <w:sz w:val="21"/>
          <w:szCs w:val="21"/>
          <w:highlight w:val="none"/>
          <w:lang w:val="zh-CN"/>
        </w:rPr>
        <w:t>名称(电子签名)：</w:t>
      </w:r>
    </w:p>
    <w:p>
      <w:pPr>
        <w:snapToGrid w:val="0"/>
        <w:spacing w:line="360" w:lineRule="auto"/>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 xml:space="preserve">                                           日期</w:t>
      </w:r>
      <w:r>
        <w:rPr>
          <w:rFonts w:hint="eastAsia" w:ascii="宋体" w:hAnsi="宋体" w:eastAsia="宋体" w:cs="宋体"/>
          <w:kern w:val="0"/>
          <w:sz w:val="21"/>
          <w:szCs w:val="21"/>
          <w:highlight w:val="none"/>
        </w:rPr>
        <w:t xml:space="preserve">：  年  </w:t>
      </w:r>
      <w:r>
        <w:rPr>
          <w:rFonts w:hint="eastAsia" w:ascii="宋体" w:hAnsi="宋体" w:eastAsia="宋体" w:cs="宋体"/>
          <w:kern w:val="0"/>
          <w:sz w:val="21"/>
          <w:szCs w:val="21"/>
          <w:highlight w:val="none"/>
          <w:lang w:val="zh-CN"/>
        </w:rPr>
        <w:t>月</w:t>
      </w:r>
      <w:r>
        <w:rPr>
          <w:rFonts w:hint="eastAsia" w:ascii="宋体" w:hAnsi="宋体" w:eastAsia="宋体" w:cs="宋体"/>
          <w:kern w:val="0"/>
          <w:sz w:val="21"/>
          <w:szCs w:val="21"/>
          <w:highlight w:val="none"/>
        </w:rPr>
        <w:t xml:space="preserve">   </w:t>
      </w:r>
      <w:r>
        <w:rPr>
          <w:rFonts w:hint="eastAsia" w:ascii="宋体" w:hAnsi="宋体" w:eastAsia="宋体" w:cs="宋体"/>
          <w:kern w:val="0"/>
          <w:sz w:val="21"/>
          <w:szCs w:val="21"/>
          <w:highlight w:val="none"/>
          <w:lang w:val="zh-CN"/>
        </w:rPr>
        <w:t>日</w:t>
      </w:r>
    </w:p>
    <w:p>
      <w:pPr>
        <w:spacing w:line="360" w:lineRule="auto"/>
        <w:ind w:right="420" w:firstLine="420" w:firstLineChars="200"/>
        <w:rPr>
          <w:rFonts w:hint="eastAsia" w:ascii="宋体" w:hAnsi="宋体" w:eastAsia="宋体" w:cs="宋体"/>
          <w:sz w:val="21"/>
          <w:szCs w:val="21"/>
          <w:highlight w:val="none"/>
        </w:rPr>
      </w:pPr>
    </w:p>
    <w:p>
      <w:pPr>
        <w:spacing w:line="360" w:lineRule="auto"/>
        <w:ind w:right="42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从业人员、营业收入、资产总额填报上一年度数据，无上一年度数据的新成立企业可不填报。</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w:t>
      </w:r>
      <w:r>
        <w:rPr>
          <w:rFonts w:hint="eastAsia" w:cs="宋体"/>
          <w:sz w:val="21"/>
          <w:szCs w:val="21"/>
          <w:highlight w:val="none"/>
          <w:lang w:eastAsia="zh-CN"/>
        </w:rPr>
        <w:t>供应商</w:t>
      </w:r>
      <w:r>
        <w:rPr>
          <w:rFonts w:hint="eastAsia" w:ascii="宋体" w:hAnsi="宋体" w:eastAsia="宋体" w:cs="宋体"/>
          <w:sz w:val="21"/>
          <w:szCs w:val="21"/>
          <w:highlight w:val="none"/>
        </w:rPr>
        <w:t>提供由省级以上监狱管理局、戒毒管理局（含新疆生产建设兵团）出具的属于监狱企业证明文件的，视同为小型和微型企业。</w:t>
      </w:r>
    </w:p>
    <w:p>
      <w:pPr>
        <w:spacing w:line="360" w:lineRule="auto"/>
        <w:rPr>
          <w:rFonts w:hint="eastAsia" w:ascii="宋体" w:hAnsi="宋体" w:eastAsia="宋体" w:cs="宋体"/>
          <w:sz w:val="21"/>
          <w:szCs w:val="21"/>
          <w:highlight w:val="none"/>
        </w:rPr>
      </w:pPr>
    </w:p>
    <w:p>
      <w:pPr>
        <w:pStyle w:val="8"/>
        <w:spacing w:line="360" w:lineRule="auto"/>
        <w:rPr>
          <w:rFonts w:hint="eastAsia" w:ascii="宋体" w:hAnsi="宋体" w:eastAsia="宋体" w:cs="宋体"/>
          <w:sz w:val="21"/>
          <w:szCs w:val="21"/>
          <w:highlight w:val="none"/>
        </w:rPr>
      </w:pPr>
    </w:p>
    <w:p>
      <w:pPr>
        <w:spacing w:line="360" w:lineRule="auto"/>
        <w:rPr>
          <w:rFonts w:hint="eastAsia"/>
        </w:rPr>
      </w:pPr>
    </w:p>
    <w:p>
      <w:pPr>
        <w:bidi w:val="0"/>
        <w:rPr>
          <w:rFonts w:hint="eastAsia"/>
        </w:rPr>
      </w:pPr>
    </w:p>
    <w:p>
      <w:pPr>
        <w:spacing w:line="360" w:lineRule="auto"/>
        <w:rPr>
          <w:rFonts w:hint="eastAsia" w:ascii="宋体" w:hAnsi="宋体" w:eastAsia="宋体" w:cs="宋体"/>
          <w:sz w:val="21"/>
          <w:szCs w:val="21"/>
          <w:highlight w:val="none"/>
        </w:rPr>
      </w:pPr>
    </w:p>
    <w:p>
      <w:pPr>
        <w:spacing w:line="360" w:lineRule="auto"/>
        <w:rPr>
          <w:rFonts w:hint="eastAsia" w:ascii="宋体" w:hAnsi="宋体" w:eastAsia="宋体" w:cs="宋体"/>
          <w:b w:val="0"/>
          <w:bCs/>
          <w:spacing w:val="6"/>
          <w:sz w:val="21"/>
          <w:szCs w:val="21"/>
          <w:highlight w:val="none"/>
        </w:rPr>
      </w:pPr>
      <w:r>
        <w:rPr>
          <w:rFonts w:hint="eastAsia" w:ascii="宋体" w:hAnsi="宋体" w:eastAsia="宋体" w:cs="宋体"/>
          <w:b w:val="0"/>
          <w:bCs/>
          <w:spacing w:val="6"/>
          <w:sz w:val="21"/>
          <w:szCs w:val="21"/>
          <w:highlight w:val="none"/>
        </w:rPr>
        <w:t>附表2：</w:t>
      </w:r>
    </w:p>
    <w:p>
      <w:pPr>
        <w:spacing w:line="360" w:lineRule="auto"/>
        <w:jc w:val="center"/>
        <w:rPr>
          <w:rFonts w:hint="eastAsia" w:ascii="宋体" w:hAnsi="宋体" w:eastAsia="宋体" w:cs="宋体"/>
          <w:b/>
          <w:spacing w:val="6"/>
          <w:sz w:val="24"/>
          <w:szCs w:val="24"/>
          <w:highlight w:val="none"/>
        </w:rPr>
      </w:pPr>
      <w:bookmarkStart w:id="502" w:name="OLE_LINK13"/>
      <w:bookmarkStart w:id="503" w:name="OLE_LINK14"/>
      <w:r>
        <w:rPr>
          <w:rFonts w:hint="eastAsia" w:ascii="宋体" w:hAnsi="宋体" w:eastAsia="宋体" w:cs="宋体"/>
          <w:b/>
          <w:spacing w:val="6"/>
          <w:sz w:val="24"/>
          <w:szCs w:val="24"/>
          <w:highlight w:val="none"/>
        </w:rPr>
        <w:t>残疾人福利性单位声明函</w:t>
      </w:r>
    </w:p>
    <w:bookmarkEnd w:id="502"/>
    <w:bookmarkEnd w:id="503"/>
    <w:p>
      <w:pPr>
        <w:spacing w:line="360" w:lineRule="auto"/>
        <w:rPr>
          <w:rFonts w:hint="eastAsia" w:ascii="宋体" w:hAnsi="宋体" w:eastAsia="宋体" w:cs="宋体"/>
          <w:b/>
          <w:spacing w:val="6"/>
          <w:sz w:val="21"/>
          <w:szCs w:val="21"/>
          <w:highlight w:val="none"/>
        </w:rPr>
      </w:pP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本单位郑重声明，根据《财政部 民政部 中国残疾人联合会关于促进残疾人就业政府采购政策的通知》（财库〔2017〕 141号）的规定，本单位为符合条件的残疾人福利性单位，且本单位参加</w:t>
      </w:r>
    </w:p>
    <w:p>
      <w:pPr>
        <w:spacing w:line="360" w:lineRule="auto"/>
        <w:rPr>
          <w:rFonts w:hint="eastAsia" w:ascii="宋体" w:hAnsi="宋体" w:eastAsia="宋体" w:cs="宋体"/>
          <w:sz w:val="21"/>
          <w:szCs w:val="21"/>
          <w:highlight w:val="none"/>
        </w:rPr>
      </w:pP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rPr>
        <w:t>单位的</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rPr>
        <w:t>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本单位对上述声明的真实性负责。如有虚假，将依法承担相应责任。</w:t>
      </w:r>
    </w:p>
    <w:p>
      <w:pPr>
        <w:spacing w:line="360" w:lineRule="auto"/>
        <w:ind w:firstLine="420" w:firstLineChars="200"/>
        <w:rPr>
          <w:rFonts w:hint="eastAsia" w:ascii="宋体" w:hAnsi="宋体" w:eastAsia="宋体" w:cs="宋体"/>
          <w:sz w:val="21"/>
          <w:szCs w:val="21"/>
          <w:highlight w:val="none"/>
        </w:rPr>
      </w:pPr>
    </w:p>
    <w:p>
      <w:pPr>
        <w:spacing w:line="360" w:lineRule="auto"/>
        <w:ind w:firstLine="420" w:firstLineChars="200"/>
        <w:rPr>
          <w:rFonts w:hint="eastAsia" w:ascii="宋体" w:hAnsi="宋体" w:eastAsia="宋体" w:cs="宋体"/>
          <w:sz w:val="21"/>
          <w:szCs w:val="21"/>
          <w:highlight w:val="none"/>
        </w:rPr>
      </w:pPr>
    </w:p>
    <w:p>
      <w:pPr>
        <w:tabs>
          <w:tab w:val="left" w:pos="4860"/>
        </w:tabs>
        <w:spacing w:line="360" w:lineRule="auto"/>
        <w:ind w:right="1560" w:firstLine="420" w:firstLineChars="200"/>
        <w:jc w:val="left"/>
        <w:rPr>
          <w:rFonts w:hint="eastAsia" w:ascii="宋体" w:hAnsi="宋体" w:eastAsia="宋体" w:cs="宋体"/>
          <w:sz w:val="21"/>
          <w:szCs w:val="21"/>
          <w:highlight w:val="none"/>
        </w:rPr>
      </w:pPr>
      <w:r>
        <w:rPr>
          <w:rFonts w:hint="eastAsia" w:cs="宋体"/>
          <w:kern w:val="0"/>
          <w:sz w:val="21"/>
          <w:szCs w:val="21"/>
          <w:highlight w:val="none"/>
          <w:lang w:val="zh-CN"/>
        </w:rPr>
        <w:t>供应商</w:t>
      </w:r>
      <w:r>
        <w:rPr>
          <w:rFonts w:hint="eastAsia" w:ascii="宋体" w:hAnsi="宋体" w:eastAsia="宋体" w:cs="宋体"/>
          <w:kern w:val="0"/>
          <w:sz w:val="21"/>
          <w:szCs w:val="21"/>
          <w:highlight w:val="none"/>
          <w:lang w:val="zh-CN"/>
        </w:rPr>
        <w:t>名称（电子签名）</w:t>
      </w:r>
      <w:r>
        <w:rPr>
          <w:rFonts w:hint="eastAsia" w:ascii="宋体" w:hAnsi="宋体" w:eastAsia="宋体" w:cs="宋体"/>
          <w:sz w:val="21"/>
          <w:szCs w:val="21"/>
          <w:highlight w:val="none"/>
        </w:rPr>
        <w:t>：</w:t>
      </w:r>
    </w:p>
    <w:p>
      <w:pPr>
        <w:tabs>
          <w:tab w:val="left" w:pos="4860"/>
        </w:tabs>
        <w:spacing w:line="360" w:lineRule="auto"/>
        <w:ind w:right="1560"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日  期：</w:t>
      </w:r>
    </w:p>
    <w:p>
      <w:pPr>
        <w:spacing w:line="360" w:lineRule="auto"/>
        <w:ind w:right="420" w:firstLine="420" w:firstLineChars="200"/>
        <w:rPr>
          <w:rFonts w:hint="eastAsia" w:ascii="宋体" w:hAnsi="宋体" w:eastAsia="宋体" w:cs="宋体"/>
          <w:sz w:val="21"/>
          <w:szCs w:val="21"/>
          <w:highlight w:val="none"/>
        </w:rPr>
      </w:pPr>
    </w:p>
    <w:p>
      <w:pPr>
        <w:snapToGrid w:val="0"/>
        <w:spacing w:before="50" w:after="5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三、本项目的特定资格要求</w:t>
      </w:r>
    </w:p>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（无需提供）</w:t>
      </w:r>
    </w:p>
    <w:p>
      <w:pPr>
        <w:pStyle w:val="25"/>
        <w:snapToGrid w:val="0"/>
        <w:spacing w:before="156" w:after="156" w:line="440" w:lineRule="exact"/>
        <w:rPr>
          <w:rFonts w:hint="eastAsia" w:ascii="宋体" w:hAnsi="宋体" w:eastAsia="宋体" w:cs="宋体"/>
          <w:color w:val="auto"/>
          <w:sz w:val="32"/>
          <w:szCs w:val="32"/>
        </w:rPr>
      </w:pPr>
    </w:p>
    <w:p>
      <w:pPr>
        <w:pStyle w:val="25"/>
        <w:snapToGrid w:val="0"/>
        <w:spacing w:before="156" w:after="156" w:line="440" w:lineRule="exact"/>
        <w:rPr>
          <w:rFonts w:hint="eastAsia" w:ascii="宋体" w:hAnsi="宋体" w:eastAsia="宋体" w:cs="宋体"/>
          <w:color w:val="auto"/>
          <w:sz w:val="32"/>
          <w:szCs w:val="32"/>
        </w:rPr>
        <w:sectPr>
          <w:pgSz w:w="11905" w:h="16838"/>
          <w:pgMar w:top="1417" w:right="1417" w:bottom="1417" w:left="1417" w:header="851" w:footer="992" w:gutter="0"/>
          <w:pgNumType w:fmt="decimal"/>
          <w:cols w:space="0" w:num="1"/>
          <w:titlePg/>
          <w:rtlGutter w:val="0"/>
          <w:docGrid w:linePitch="312" w:charSpace="0"/>
        </w:sectPr>
      </w:pPr>
    </w:p>
    <w:p>
      <w:pPr>
        <w:bidi w:val="0"/>
        <w:rPr>
          <w:rFonts w:hint="eastAsia"/>
        </w:rPr>
      </w:pPr>
      <w:bookmarkStart w:id="504" w:name="_Toc7145"/>
      <w:bookmarkStart w:id="505" w:name="_Toc21977"/>
      <w:bookmarkStart w:id="506" w:name="_Toc2950"/>
      <w:bookmarkStart w:id="507" w:name="_Toc5255"/>
      <w:bookmarkStart w:id="508" w:name="_Toc17436"/>
      <w:r>
        <w:rPr>
          <w:rFonts w:hint="eastAsia"/>
        </w:rPr>
        <w:t>技术</w:t>
      </w:r>
      <w:r>
        <w:rPr>
          <w:rFonts w:hint="eastAsia"/>
          <w:lang w:eastAsia="zh-CN"/>
        </w:rPr>
        <w:t>商务</w:t>
      </w:r>
      <w:r>
        <w:rPr>
          <w:rFonts w:hint="eastAsia"/>
        </w:rPr>
        <w:t>部分：</w:t>
      </w:r>
      <w:bookmarkEnd w:id="504"/>
      <w:bookmarkEnd w:id="505"/>
      <w:bookmarkEnd w:id="506"/>
      <w:bookmarkEnd w:id="507"/>
      <w:bookmarkEnd w:id="508"/>
    </w:p>
    <w:p>
      <w:pPr>
        <w:bidi w:val="0"/>
        <w:jc w:val="center"/>
        <w:rPr>
          <w:rFonts w:hint="eastAsia"/>
          <w:b/>
          <w:bCs/>
          <w:sz w:val="24"/>
          <w:szCs w:val="24"/>
        </w:rPr>
      </w:pPr>
      <w:r>
        <w:rPr>
          <w:rFonts w:hint="eastAsia"/>
          <w:b/>
          <w:bCs/>
          <w:sz w:val="24"/>
          <w:szCs w:val="24"/>
        </w:rPr>
        <w:t>一、投标函</w:t>
      </w:r>
    </w:p>
    <w:p>
      <w:pPr>
        <w:pageBreakBefore w:val="0"/>
        <w:widowControl w:val="0"/>
        <w:kinsoku/>
        <w:wordWrap/>
        <w:overflowPunct/>
        <w:topLinePunct w:val="0"/>
        <w:autoSpaceDE/>
        <w:autoSpaceDN/>
        <w:bidi w:val="0"/>
        <w:adjustRightInd/>
        <w:spacing w:line="360" w:lineRule="auto"/>
        <w:textAlignment w:val="auto"/>
        <w:rPr>
          <w:rFonts w:hint="eastAsia"/>
        </w:rPr>
      </w:pPr>
      <w:r>
        <w:rPr>
          <w:rFonts w:hint="eastAsia"/>
          <w:u w:val="single"/>
        </w:rPr>
        <w:t>（采购人）、（采购代理机构）</w:t>
      </w:r>
      <w:r>
        <w:rPr>
          <w:rFonts w:hint="eastAsia"/>
        </w:rPr>
        <w:t>：</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rPr>
        <w:t>我方参加你方组织的</w:t>
      </w:r>
      <w:r>
        <w:rPr>
          <w:rFonts w:hint="eastAsia"/>
          <w:u w:val="single"/>
        </w:rPr>
        <w:t>（项目名称）【招标编号：（采购编号）】</w:t>
      </w:r>
      <w:r>
        <w:rPr>
          <w:rFonts w:hint="eastAsia"/>
        </w:rPr>
        <w:t>招标的有关活动，并对此项目进行投标。为此：</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rPr>
        <w:t>1</w:t>
      </w:r>
      <w:r>
        <w:rPr>
          <w:rFonts w:hint="eastAsia"/>
          <w:lang w:val="en-US" w:eastAsia="zh-CN"/>
        </w:rPr>
        <w:t>.</w:t>
      </w:r>
      <w:r>
        <w:rPr>
          <w:rFonts w:hint="eastAsia"/>
        </w:rPr>
        <w:t>我方承诺投标有效期从提交投标文件的截止之日起</w:t>
      </w:r>
      <w:r>
        <w:rPr>
          <w:rFonts w:hint="eastAsia"/>
          <w:u w:val="single"/>
        </w:rPr>
        <w:t xml:space="preserve">     </w:t>
      </w:r>
      <w:r>
        <w:rPr>
          <w:rFonts w:hint="eastAsia"/>
        </w:rPr>
        <w:t>天（不少于90天），本投标文件在投标有效期满之前均具有约束力。</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rPr>
        <w:t>2</w:t>
      </w:r>
      <w:r>
        <w:rPr>
          <w:rFonts w:hint="eastAsia"/>
          <w:lang w:val="en-US" w:eastAsia="zh-CN"/>
        </w:rPr>
        <w:t>.</w:t>
      </w:r>
      <w:r>
        <w:rPr>
          <w:rFonts w:hint="eastAsia"/>
        </w:rPr>
        <w:t>我方的投标文件包括以下内容：</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rPr>
        <w:t>2.1资格文件：</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lang w:eastAsia="zh-CN"/>
        </w:rPr>
        <w:t>（</w:t>
      </w:r>
      <w:r>
        <w:rPr>
          <w:rFonts w:hint="eastAsia"/>
          <w:lang w:val="en-US" w:eastAsia="zh-CN"/>
        </w:rPr>
        <w:t>1</w:t>
      </w:r>
      <w:r>
        <w:rPr>
          <w:rFonts w:hint="eastAsia"/>
          <w:lang w:eastAsia="zh-CN"/>
        </w:rPr>
        <w:t>）</w:t>
      </w:r>
      <w:r>
        <w:rPr>
          <w:rFonts w:hint="eastAsia"/>
        </w:rPr>
        <w:t>承诺函；</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lang w:eastAsia="zh-CN"/>
        </w:rPr>
        <w:t>（</w:t>
      </w:r>
      <w:r>
        <w:rPr>
          <w:rFonts w:hint="eastAsia"/>
          <w:lang w:val="en-US" w:eastAsia="zh-CN"/>
        </w:rPr>
        <w:t>2</w:t>
      </w:r>
      <w:r>
        <w:rPr>
          <w:rFonts w:hint="eastAsia"/>
          <w:lang w:eastAsia="zh-CN"/>
        </w:rPr>
        <w:t>）</w:t>
      </w:r>
      <w:r>
        <w:rPr>
          <w:rFonts w:hint="eastAsia"/>
        </w:rPr>
        <w:t>落实政府采购政策需满足的资格要求；</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lang w:eastAsia="zh-CN"/>
        </w:rPr>
        <w:t>（</w:t>
      </w:r>
      <w:r>
        <w:rPr>
          <w:rFonts w:hint="eastAsia"/>
          <w:lang w:val="en-US" w:eastAsia="zh-CN"/>
        </w:rPr>
        <w:t>3</w:t>
      </w:r>
      <w:r>
        <w:rPr>
          <w:rFonts w:hint="eastAsia"/>
          <w:lang w:eastAsia="zh-CN"/>
        </w:rPr>
        <w:t>）</w:t>
      </w:r>
      <w:r>
        <w:rPr>
          <w:rFonts w:hint="eastAsia"/>
        </w:rPr>
        <w:t>本项目的特定资格要求（如果有）。</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lang w:val="zh-CN"/>
        </w:rPr>
      </w:pPr>
      <w:r>
        <w:rPr>
          <w:rFonts w:hint="eastAsia"/>
        </w:rPr>
        <w:t>2</w:t>
      </w:r>
      <w:r>
        <w:rPr>
          <w:rFonts w:hint="eastAsia"/>
          <w:lang w:val="zh-CN"/>
        </w:rPr>
        <w:t>.</w:t>
      </w:r>
      <w:r>
        <w:rPr>
          <w:rFonts w:hint="eastAsia"/>
        </w:rPr>
        <w:t>2</w:t>
      </w:r>
      <w:r>
        <w:rPr>
          <w:rFonts w:hint="eastAsia"/>
          <w:lang w:val="zh-CN"/>
        </w:rPr>
        <w:t xml:space="preserve"> </w:t>
      </w:r>
      <w:r>
        <w:rPr>
          <w:rFonts w:hint="eastAsia"/>
        </w:rPr>
        <w:t>商务技术</w:t>
      </w:r>
      <w:r>
        <w:rPr>
          <w:rFonts w:hint="eastAsia"/>
          <w:lang w:val="zh-CN"/>
        </w:rPr>
        <w:t>文件：</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lang w:eastAsia="zh-CN"/>
        </w:rPr>
        <w:t>（</w:t>
      </w:r>
      <w:r>
        <w:rPr>
          <w:rFonts w:hint="eastAsia"/>
          <w:lang w:val="en-US" w:eastAsia="zh-CN"/>
        </w:rPr>
        <w:t>1</w:t>
      </w:r>
      <w:r>
        <w:rPr>
          <w:rFonts w:hint="eastAsia"/>
          <w:lang w:eastAsia="zh-CN"/>
        </w:rPr>
        <w:t>）</w:t>
      </w:r>
      <w:r>
        <w:rPr>
          <w:rFonts w:hint="eastAsia"/>
        </w:rPr>
        <w:t>投标函；</w:t>
      </w:r>
      <w:r>
        <w:rPr>
          <w:rFonts w:hint="eastAsia"/>
          <w:lang w:val="zh-CN"/>
        </w:rPr>
        <w:t xml:space="preserve"> </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lang w:eastAsia="zh-CN"/>
        </w:rPr>
        <w:t>（</w:t>
      </w:r>
      <w:r>
        <w:rPr>
          <w:rFonts w:hint="eastAsia"/>
          <w:lang w:val="en-US" w:eastAsia="zh-CN"/>
        </w:rPr>
        <w:t>2</w:t>
      </w:r>
      <w:r>
        <w:rPr>
          <w:rFonts w:hint="eastAsia"/>
          <w:lang w:eastAsia="zh-CN"/>
        </w:rPr>
        <w:t>）</w:t>
      </w:r>
      <w:r>
        <w:rPr>
          <w:rFonts w:hint="eastAsia"/>
        </w:rPr>
        <w:t>授权委托书或法定代表人（单位负责人）身份证明；</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lang w:eastAsia="zh-CN"/>
        </w:rPr>
        <w:t>（</w:t>
      </w:r>
      <w:r>
        <w:rPr>
          <w:rFonts w:hint="eastAsia"/>
          <w:lang w:val="en-US" w:eastAsia="zh-CN"/>
        </w:rPr>
        <w:t>3</w:t>
      </w:r>
      <w:r>
        <w:rPr>
          <w:rFonts w:hint="eastAsia"/>
          <w:lang w:eastAsia="zh-CN"/>
        </w:rPr>
        <w:t>）</w:t>
      </w:r>
      <w:r>
        <w:rPr>
          <w:rFonts w:hint="eastAsia"/>
        </w:rPr>
        <w:t>符合性审查资料；</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lang w:eastAsia="zh-CN"/>
        </w:rPr>
        <w:t>（</w:t>
      </w:r>
      <w:r>
        <w:rPr>
          <w:rFonts w:hint="eastAsia"/>
          <w:lang w:val="en-US" w:eastAsia="zh-CN"/>
        </w:rPr>
        <w:t>4</w:t>
      </w:r>
      <w:r>
        <w:rPr>
          <w:rFonts w:hint="eastAsia"/>
          <w:lang w:eastAsia="zh-CN"/>
        </w:rPr>
        <w:t>）</w:t>
      </w:r>
      <w:r>
        <w:rPr>
          <w:rFonts w:hint="eastAsia"/>
        </w:rPr>
        <w:t>评标标准相应的商务技术资料；</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lang w:eastAsia="zh-CN"/>
        </w:rPr>
        <w:t>（</w:t>
      </w:r>
      <w:r>
        <w:rPr>
          <w:rFonts w:hint="eastAsia"/>
          <w:lang w:val="en-US" w:eastAsia="zh-CN"/>
        </w:rPr>
        <w:t>5</w:t>
      </w:r>
      <w:r>
        <w:rPr>
          <w:rFonts w:hint="eastAsia"/>
          <w:lang w:eastAsia="zh-CN"/>
        </w:rPr>
        <w:t>）</w:t>
      </w:r>
      <w:r>
        <w:rPr>
          <w:rFonts w:hint="eastAsia"/>
        </w:rPr>
        <w:t>投标标的清单；</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lang w:eastAsia="zh-CN"/>
        </w:rPr>
        <w:t>（</w:t>
      </w:r>
      <w:r>
        <w:rPr>
          <w:rFonts w:hint="eastAsia"/>
          <w:lang w:val="en-US" w:eastAsia="zh-CN"/>
        </w:rPr>
        <w:t>6</w:t>
      </w:r>
      <w:r>
        <w:rPr>
          <w:rFonts w:hint="eastAsia"/>
          <w:lang w:eastAsia="zh-CN"/>
        </w:rPr>
        <w:t>）</w:t>
      </w:r>
      <w:r>
        <w:rPr>
          <w:rFonts w:hint="eastAsia"/>
        </w:rPr>
        <w:t>商务技术偏离表；</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lang w:val="zh-CN"/>
        </w:rPr>
      </w:pPr>
      <w:r>
        <w:rPr>
          <w:rFonts w:hint="eastAsia"/>
          <w:lang w:eastAsia="zh-CN"/>
        </w:rPr>
        <w:t>（</w:t>
      </w:r>
      <w:r>
        <w:rPr>
          <w:rFonts w:hint="eastAsia"/>
          <w:lang w:val="en-US" w:eastAsia="zh-CN"/>
        </w:rPr>
        <w:t>7</w:t>
      </w:r>
      <w:r>
        <w:rPr>
          <w:rFonts w:hint="eastAsia"/>
          <w:lang w:eastAsia="zh-CN"/>
        </w:rPr>
        <w:t>）</w:t>
      </w:r>
      <w:r>
        <w:rPr>
          <w:rFonts w:hint="eastAsia"/>
          <w:lang w:val="zh-CN"/>
        </w:rPr>
        <w:t>政府采购供应商廉洁自律承诺书。</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rPr>
        <w:t>2</w:t>
      </w:r>
      <w:r>
        <w:rPr>
          <w:rFonts w:hint="eastAsia"/>
          <w:lang w:val="zh-CN"/>
        </w:rPr>
        <w:t>.</w:t>
      </w:r>
      <w:r>
        <w:rPr>
          <w:rFonts w:hint="eastAsia"/>
        </w:rPr>
        <w:t>3报价文件</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lang w:eastAsia="zh-CN"/>
        </w:rPr>
        <w:t>（</w:t>
      </w:r>
      <w:r>
        <w:rPr>
          <w:rFonts w:hint="eastAsia"/>
          <w:lang w:val="en-US" w:eastAsia="zh-CN"/>
        </w:rPr>
        <w:t>1</w:t>
      </w:r>
      <w:r>
        <w:rPr>
          <w:rFonts w:hint="eastAsia"/>
          <w:lang w:eastAsia="zh-CN"/>
        </w:rPr>
        <w:t>）</w:t>
      </w:r>
      <w:r>
        <w:rPr>
          <w:rFonts w:hint="eastAsia"/>
        </w:rPr>
        <w:t>开标一览表（报价表）；</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lang w:eastAsia="zh-CN"/>
        </w:rPr>
      </w:pPr>
      <w:r>
        <w:rPr>
          <w:rFonts w:hint="eastAsia"/>
          <w:lang w:eastAsia="zh-CN"/>
        </w:rPr>
        <w:t>（</w:t>
      </w:r>
      <w:r>
        <w:rPr>
          <w:rFonts w:hint="eastAsia"/>
          <w:lang w:val="en-US" w:eastAsia="zh-CN"/>
        </w:rPr>
        <w:t>2</w:t>
      </w:r>
      <w:r>
        <w:rPr>
          <w:rFonts w:hint="eastAsia"/>
          <w:lang w:eastAsia="zh-CN"/>
        </w:rPr>
        <w:t>）报价明细表；</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lang w:eastAsia="zh-CN"/>
        </w:rPr>
        <w:t>（</w:t>
      </w:r>
      <w:r>
        <w:rPr>
          <w:rFonts w:hint="eastAsia"/>
          <w:lang w:val="en-US" w:eastAsia="zh-CN"/>
        </w:rPr>
        <w:t>3</w:t>
      </w:r>
      <w:r>
        <w:rPr>
          <w:rFonts w:hint="eastAsia"/>
          <w:lang w:eastAsia="zh-CN"/>
        </w:rPr>
        <w:t>）</w:t>
      </w:r>
      <w:r>
        <w:rPr>
          <w:rFonts w:hint="eastAsia"/>
        </w:rPr>
        <w:t>中小企业声明函（如果有）。</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rPr>
        <w:t>3</w:t>
      </w:r>
      <w:r>
        <w:rPr>
          <w:rFonts w:hint="eastAsia"/>
          <w:lang w:val="en-US" w:eastAsia="zh-CN"/>
        </w:rPr>
        <w:t>.</w:t>
      </w:r>
      <w:r>
        <w:rPr>
          <w:rFonts w:hint="eastAsia"/>
        </w:rPr>
        <w:t>我方承诺除商务技术偏离表列出的偏离外，我方响应招标文件的全部要求。</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rPr>
        <w:t>4</w:t>
      </w:r>
      <w:r>
        <w:rPr>
          <w:rFonts w:hint="eastAsia"/>
          <w:lang w:val="en-US" w:eastAsia="zh-CN"/>
        </w:rPr>
        <w:t>.</w:t>
      </w:r>
      <w:r>
        <w:rPr>
          <w:rFonts w:hint="eastAsia"/>
        </w:rPr>
        <w:t>如我方中标，我方承诺：</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rPr>
        <w:t xml:space="preserve">4.1在收到中标通知书后，在中标通知书规定的期限内与你方签订合同； </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rPr>
        <w:t xml:space="preserve">4.2在签订合同时不向你方提出附加条件； </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rPr>
        <w:t xml:space="preserve">4.3按照招标文件要求提交履约保证金； </w:t>
      </w:r>
    </w:p>
    <w:p>
      <w:pPr>
        <w:pageBreakBefore w:val="0"/>
        <w:widowControl w:val="0"/>
        <w:kinsoku/>
        <w:wordWrap/>
        <w:overflowPunct/>
        <w:topLinePunct w:val="0"/>
        <w:autoSpaceDE/>
        <w:autoSpaceDN/>
        <w:bidi w:val="0"/>
        <w:adjustRightInd/>
        <w:spacing w:line="360" w:lineRule="auto"/>
        <w:ind w:firstLine="420" w:firstLineChars="200"/>
        <w:textAlignment w:val="auto"/>
        <w:rPr>
          <w:rFonts w:hint="eastAsia"/>
        </w:rPr>
      </w:pPr>
      <w:r>
        <w:rPr>
          <w:rFonts w:hint="eastAsia"/>
        </w:rPr>
        <w:t xml:space="preserve">4.4在合同约定的期限内完成合同规定的全部义务。 </w:t>
      </w:r>
    </w:p>
    <w:p>
      <w:pPr>
        <w:pageBreakBefore w:val="0"/>
        <w:widowControl w:val="0"/>
        <w:numPr>
          <w:ilvl w:val="0"/>
          <w:numId w:val="10"/>
        </w:numPr>
        <w:kinsoku/>
        <w:wordWrap/>
        <w:overflowPunct/>
        <w:topLinePunct w:val="0"/>
        <w:autoSpaceDE/>
        <w:autoSpaceDN/>
        <w:bidi w:val="0"/>
        <w:adjustRightInd/>
        <w:spacing w:line="360" w:lineRule="auto"/>
        <w:ind w:firstLine="420" w:firstLineChars="200"/>
        <w:textAlignment w:val="auto"/>
        <w:rPr>
          <w:rFonts w:hint="eastAsia"/>
        </w:rPr>
      </w:pPr>
      <w:r>
        <w:rPr>
          <w:rFonts w:hint="eastAsia"/>
        </w:rPr>
        <w:t xml:space="preserve">其他补充说明: </w:t>
      </w:r>
      <w:r>
        <w:rPr>
          <w:rFonts w:hint="eastAsia"/>
          <w:u w:val="single"/>
        </w:rPr>
        <w:t xml:space="preserve">                          </w:t>
      </w:r>
      <w:r>
        <w:rPr>
          <w:rFonts w:hint="eastAsia"/>
        </w:rPr>
        <w:t>。</w:t>
      </w:r>
    </w:p>
    <w:p>
      <w:pPr>
        <w:pageBreakBefore w:val="0"/>
        <w:widowControl w:val="0"/>
        <w:kinsoku/>
        <w:wordWrap/>
        <w:overflowPunct/>
        <w:topLinePunct w:val="0"/>
        <w:autoSpaceDE/>
        <w:autoSpaceDN/>
        <w:bidi w:val="0"/>
        <w:adjustRightInd/>
        <w:spacing w:line="360" w:lineRule="auto"/>
        <w:ind w:firstLine="5250" w:firstLineChars="2500"/>
        <w:textAlignment w:val="auto"/>
        <w:rPr>
          <w:rFonts w:hint="eastAsia"/>
        </w:rPr>
      </w:pPr>
      <w:r>
        <w:rPr>
          <w:rFonts w:hint="eastAsia"/>
          <w:lang w:eastAsia="zh-CN"/>
        </w:rPr>
        <w:t>供应商</w:t>
      </w:r>
      <w:r>
        <w:rPr>
          <w:rFonts w:hint="eastAsia"/>
        </w:rPr>
        <w:t xml:space="preserve">名称（电子签名）：                          </w:t>
      </w:r>
    </w:p>
    <w:p>
      <w:pPr>
        <w:pageBreakBefore w:val="0"/>
        <w:widowControl w:val="0"/>
        <w:kinsoku/>
        <w:wordWrap/>
        <w:overflowPunct/>
        <w:topLinePunct w:val="0"/>
        <w:autoSpaceDE/>
        <w:autoSpaceDN/>
        <w:bidi w:val="0"/>
        <w:adjustRightInd/>
        <w:spacing w:line="360" w:lineRule="auto"/>
        <w:textAlignment w:val="auto"/>
        <w:rPr>
          <w:rFonts w:hint="eastAsia"/>
        </w:rPr>
      </w:pPr>
      <w:r>
        <w:rPr>
          <w:rFonts w:hint="eastAsia"/>
        </w:rPr>
        <w:t xml:space="preserve">     </w:t>
      </w:r>
      <w:r>
        <w:rPr>
          <w:rFonts w:hint="eastAsia"/>
          <w:lang w:val="en-US" w:eastAsia="zh-CN"/>
        </w:rPr>
        <w:t xml:space="preserve">                                             </w:t>
      </w:r>
      <w:r>
        <w:rPr>
          <w:rFonts w:hint="eastAsia"/>
        </w:rPr>
        <w:t>日期：  年   月   日</w:t>
      </w:r>
    </w:p>
    <w:p>
      <w:pPr>
        <w:pStyle w:val="25"/>
        <w:spacing w:beforeLines="0" w:afterLines="0"/>
        <w:jc w:val="center"/>
        <w:rPr>
          <w:rFonts w:hint="eastAsia" w:ascii="宋体" w:hAnsi="宋体" w:eastAsia="宋体" w:cs="宋体"/>
          <w:color w:val="auto"/>
          <w:kern w:val="0"/>
          <w:sz w:val="24"/>
          <w:szCs w:val="24"/>
        </w:rPr>
      </w:pPr>
      <w:r>
        <w:rPr>
          <w:rFonts w:hint="eastAsia" w:ascii="宋体" w:hAnsi="宋体" w:eastAsia="宋体" w:cs="宋体"/>
          <w:b/>
          <w:bCs/>
          <w:color w:val="auto"/>
          <w:sz w:val="24"/>
          <w:szCs w:val="24"/>
        </w:rPr>
        <w:t>二、</w:t>
      </w:r>
      <w:r>
        <w:rPr>
          <w:rFonts w:hint="eastAsia" w:ascii="宋体" w:hAnsi="宋体" w:eastAsia="宋体" w:cs="宋体"/>
          <w:b/>
          <w:bCs/>
          <w:color w:val="auto"/>
          <w:sz w:val="24"/>
          <w:szCs w:val="24"/>
          <w:lang w:val="zh-CN"/>
        </w:rPr>
        <w:t>授权委托书</w:t>
      </w:r>
    </w:p>
    <w:p>
      <w:pPr>
        <w:rPr>
          <w:rFonts w:hint="eastAsia" w:ascii="宋体" w:hAnsi="宋体" w:eastAsia="宋体" w:cs="宋体"/>
          <w:color w:val="auto"/>
          <w:sz w:val="21"/>
          <w:szCs w:val="21"/>
        </w:rPr>
      </w:pPr>
    </w:p>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u w:val="single"/>
        </w:rPr>
        <w:t>（采购人）、（采购代理机构）</w:t>
      </w:r>
      <w:r>
        <w:rPr>
          <w:rFonts w:hint="eastAsia" w:ascii="宋体" w:hAnsi="宋体" w:eastAsia="宋体" w:cs="宋体"/>
          <w:color w:val="auto"/>
          <w:sz w:val="21"/>
          <w:szCs w:val="21"/>
          <w:lang w:val="zh-CN"/>
        </w:rPr>
        <w:t>：</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现</w:t>
      </w:r>
      <w:r>
        <w:rPr>
          <w:rFonts w:hint="eastAsia" w:ascii="宋体" w:hAnsi="宋体" w:eastAsia="宋体" w:cs="宋体"/>
          <w:color w:val="auto"/>
          <w:sz w:val="21"/>
          <w:szCs w:val="21"/>
          <w:lang w:val="zh-CN"/>
        </w:rPr>
        <w:t>委托</w:t>
      </w:r>
      <w:r>
        <w:rPr>
          <w:rFonts w:hint="eastAsia" w:ascii="宋体" w:hAnsi="宋体" w:eastAsia="宋体" w:cs="宋体"/>
          <w:color w:val="auto"/>
          <w:sz w:val="21"/>
          <w:szCs w:val="21"/>
          <w:u w:val="single"/>
          <w:lang w:val="zh-CN"/>
        </w:rPr>
        <w:t xml:space="preserve">          （姓名）</w:t>
      </w:r>
      <w:r>
        <w:rPr>
          <w:rFonts w:hint="eastAsia" w:ascii="宋体" w:hAnsi="宋体" w:eastAsia="宋体" w:cs="宋体"/>
          <w:color w:val="auto"/>
          <w:sz w:val="21"/>
          <w:szCs w:val="21"/>
          <w:lang w:val="zh-CN"/>
        </w:rPr>
        <w:t>为我方代理人（身份证号码：</w:t>
      </w:r>
      <w:r>
        <w:rPr>
          <w:rFonts w:hint="eastAsia" w:ascii="宋体" w:hAnsi="宋体" w:eastAsia="宋体" w:cs="宋体"/>
          <w:color w:val="auto"/>
          <w:sz w:val="21"/>
          <w:szCs w:val="21"/>
          <w:u w:val="single"/>
          <w:lang w:val="zh-CN"/>
        </w:rPr>
        <w:t xml:space="preserve">          </w:t>
      </w:r>
      <w:r>
        <w:rPr>
          <w:rFonts w:hint="eastAsia" w:ascii="宋体" w:hAnsi="宋体" w:eastAsia="宋体" w:cs="宋体"/>
          <w:color w:val="auto"/>
          <w:sz w:val="21"/>
          <w:szCs w:val="21"/>
          <w:lang w:val="zh-CN"/>
        </w:rPr>
        <w:t>，手机：</w:t>
      </w:r>
      <w:r>
        <w:rPr>
          <w:rFonts w:hint="eastAsia" w:ascii="宋体" w:hAnsi="宋体" w:eastAsia="宋体" w:cs="宋体"/>
          <w:color w:val="auto"/>
          <w:sz w:val="21"/>
          <w:szCs w:val="21"/>
          <w:u w:val="single"/>
          <w:lang w:val="zh-CN"/>
        </w:rPr>
        <w:t xml:space="preserve">          </w:t>
      </w:r>
      <w:r>
        <w:rPr>
          <w:rFonts w:hint="eastAsia" w:ascii="宋体" w:hAnsi="宋体" w:eastAsia="宋体" w:cs="宋体"/>
          <w:color w:val="auto"/>
          <w:sz w:val="21"/>
          <w:szCs w:val="21"/>
          <w:lang w:val="zh-CN"/>
        </w:rPr>
        <w:t>），以我方名义处理</w:t>
      </w:r>
      <w:r>
        <w:rPr>
          <w:rFonts w:hint="eastAsia" w:cs="宋体"/>
          <w:color w:val="auto"/>
          <w:sz w:val="21"/>
          <w:szCs w:val="21"/>
          <w:u w:val="single"/>
          <w:lang w:val="en-US" w:eastAsia="zh-CN"/>
        </w:rPr>
        <w:t xml:space="preserve">         </w:t>
      </w:r>
      <w:r>
        <w:rPr>
          <w:rFonts w:hint="eastAsia" w:ascii="宋体" w:hAnsi="宋体" w:eastAsia="宋体" w:cs="宋体"/>
          <w:color w:val="auto"/>
          <w:sz w:val="21"/>
          <w:szCs w:val="21"/>
          <w:u w:val="single"/>
        </w:rPr>
        <w:t>（项目名称）【招标编号：（采购编号）】</w:t>
      </w:r>
      <w:r>
        <w:rPr>
          <w:rFonts w:hint="eastAsia" w:ascii="宋体" w:hAnsi="宋体" w:eastAsia="宋体" w:cs="宋体"/>
          <w:color w:val="auto"/>
          <w:sz w:val="21"/>
          <w:szCs w:val="21"/>
          <w:lang w:val="zh-CN"/>
        </w:rPr>
        <w:t>政府采购投标的一切事项，其法律后果由我方承担。</w:t>
      </w:r>
    </w:p>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zh-CN"/>
        </w:rPr>
        <w:t>委托期限</w:t>
      </w:r>
      <w:r>
        <w:rPr>
          <w:rFonts w:hint="eastAsia" w:ascii="宋体" w:hAnsi="宋体" w:eastAsia="宋体" w:cs="宋体"/>
          <w:color w:val="auto"/>
          <w:sz w:val="21"/>
          <w:szCs w:val="21"/>
        </w:rPr>
        <w:t>：</w:t>
      </w:r>
      <w:r>
        <w:rPr>
          <w:rFonts w:hint="eastAsia" w:ascii="宋体" w:hAnsi="宋体" w:eastAsia="宋体" w:cs="宋体"/>
          <w:color w:val="auto"/>
          <w:sz w:val="21"/>
          <w:szCs w:val="21"/>
          <w:lang w:val="zh-CN"/>
        </w:rPr>
        <w:t>自</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zh-CN"/>
        </w:rPr>
        <w:t>年</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zh-CN"/>
        </w:rPr>
        <w:t>月</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zh-CN"/>
        </w:rPr>
        <w:t>日起至</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zh-CN"/>
        </w:rPr>
        <w:t>年</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zh-CN"/>
        </w:rPr>
        <w:t>月</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zh-CN"/>
        </w:rPr>
        <w:t>日止。</w:t>
      </w:r>
    </w:p>
    <w:p>
      <w:p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zh-CN"/>
        </w:rPr>
        <w:t>特此告知。</w:t>
      </w:r>
    </w:p>
    <w:p>
      <w:pPr>
        <w:spacing w:line="360" w:lineRule="auto"/>
        <w:ind w:firstLine="420"/>
        <w:rPr>
          <w:rFonts w:hint="eastAsia" w:cs="宋体"/>
          <w:color w:val="auto"/>
          <w:sz w:val="21"/>
          <w:szCs w:val="21"/>
          <w:lang w:val="zh-CN"/>
        </w:rPr>
      </w:pPr>
      <w:r>
        <w:rPr>
          <w:rFonts w:hint="eastAsia" w:cs="宋体"/>
          <w:color w:val="auto"/>
          <w:sz w:val="21"/>
          <w:szCs w:val="21"/>
          <w:lang w:val="zh-CN"/>
        </w:rPr>
        <w:t>附：法定代表人和代理人身份证正反面复印件。</w:t>
      </w:r>
    </w:p>
    <w:p>
      <w:pPr>
        <w:spacing w:line="360" w:lineRule="auto"/>
        <w:ind w:firstLine="420"/>
        <w:rPr>
          <w:rFonts w:hint="eastAsia" w:ascii="宋体" w:hAnsi="宋体" w:eastAsia="宋体" w:cs="宋体"/>
          <w:color w:val="auto"/>
          <w:sz w:val="21"/>
          <w:szCs w:val="21"/>
          <w:lang w:val="zh-CN"/>
        </w:rPr>
      </w:pPr>
    </w:p>
    <w:p>
      <w:pPr>
        <w:spacing w:line="360" w:lineRule="auto"/>
        <w:ind w:firstLine="420"/>
        <w:rPr>
          <w:rFonts w:hint="eastAsia" w:ascii="宋体" w:hAnsi="宋体" w:eastAsia="宋体" w:cs="宋体"/>
          <w:color w:val="auto"/>
          <w:sz w:val="21"/>
          <w:szCs w:val="21"/>
        </w:rPr>
      </w:pPr>
      <w:r>
        <w:rPr>
          <w:rFonts w:hint="eastAsia" w:ascii="宋体" w:hAnsi="宋体" w:eastAsia="宋体" w:cs="宋体"/>
          <w:color w:val="auto"/>
          <w:sz w:val="21"/>
          <w:szCs w:val="21"/>
          <w:lang w:val="zh-CN"/>
        </w:rPr>
        <w:t xml:space="preserve">                                          </w:t>
      </w:r>
      <w:r>
        <w:rPr>
          <w:rFonts w:hint="eastAsia" w:cs="宋体"/>
          <w:color w:val="auto"/>
          <w:sz w:val="21"/>
          <w:szCs w:val="21"/>
          <w:lang w:val="en-US" w:eastAsia="zh-CN"/>
        </w:rPr>
        <w:t xml:space="preserve">  </w:t>
      </w:r>
      <w:r>
        <w:rPr>
          <w:rFonts w:hint="eastAsia" w:ascii="宋体" w:hAnsi="宋体" w:eastAsia="宋体" w:cs="宋体"/>
          <w:color w:val="auto"/>
          <w:sz w:val="21"/>
          <w:szCs w:val="21"/>
          <w:lang w:val="zh-CN"/>
        </w:rPr>
        <w:t xml:space="preserve"> </w:t>
      </w:r>
      <w:r>
        <w:rPr>
          <w:rFonts w:hint="eastAsia" w:cs="宋体"/>
          <w:color w:val="auto"/>
          <w:sz w:val="21"/>
          <w:szCs w:val="21"/>
          <w:lang w:val="zh-CN"/>
        </w:rPr>
        <w:t>供应商</w:t>
      </w:r>
      <w:r>
        <w:rPr>
          <w:rFonts w:hint="eastAsia" w:ascii="宋体" w:hAnsi="宋体" w:eastAsia="宋体" w:cs="宋体"/>
          <w:color w:val="auto"/>
          <w:sz w:val="21"/>
          <w:szCs w:val="21"/>
          <w:lang w:val="zh-CN"/>
        </w:rPr>
        <w:t>名称(电子签名)：</w:t>
      </w:r>
    </w:p>
    <w:p>
      <w:pPr>
        <w:spacing w:line="360" w:lineRule="auto"/>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 xml:space="preserve">                                                 签发日期：  年  月   日</w:t>
      </w:r>
    </w:p>
    <w:p>
      <w:pPr>
        <w:spacing w:line="360" w:lineRule="auto"/>
        <w:rPr>
          <w:rFonts w:hint="eastAsia" w:ascii="宋体" w:hAnsi="宋体" w:eastAsia="宋体" w:cs="宋体"/>
          <w:b/>
          <w:bCs/>
          <w:color w:val="auto"/>
          <w:sz w:val="24"/>
          <w:szCs w:val="24"/>
          <w:lang w:eastAsia="zh-CN"/>
        </w:rPr>
      </w:pP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三、</w:t>
      </w:r>
      <w:r>
        <w:rPr>
          <w:rFonts w:hint="eastAsia" w:ascii="宋体" w:hAnsi="宋体" w:eastAsia="宋体" w:cs="宋体"/>
          <w:b/>
          <w:bCs/>
          <w:color w:val="auto"/>
          <w:sz w:val="24"/>
          <w:szCs w:val="24"/>
        </w:rPr>
        <w:t>符合性审查资料</w:t>
      </w:r>
    </w:p>
    <w:p>
      <w:pPr>
        <w:bidi w:val="0"/>
        <w:rPr>
          <w:rFonts w:hint="eastAsia"/>
        </w:rPr>
      </w:pPr>
    </w:p>
    <w:tbl>
      <w:tblPr>
        <w:tblStyle w:val="42"/>
        <w:tblW w:w="10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337"/>
        <w:gridCol w:w="3734"/>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46" w:type="dxa"/>
            <w:vAlign w:val="center"/>
          </w:tcPr>
          <w:p>
            <w:pPr>
              <w:bidi w:val="0"/>
              <w:spacing w:line="240" w:lineRule="auto"/>
              <w:jc w:val="center"/>
              <w:rPr>
                <w:rFonts w:hint="eastAsia"/>
              </w:rPr>
            </w:pPr>
            <w:r>
              <w:rPr>
                <w:rFonts w:hint="eastAsia"/>
              </w:rPr>
              <w:t>序号</w:t>
            </w:r>
          </w:p>
        </w:tc>
        <w:tc>
          <w:tcPr>
            <w:tcW w:w="4337" w:type="dxa"/>
            <w:vAlign w:val="center"/>
          </w:tcPr>
          <w:p>
            <w:pPr>
              <w:bidi w:val="0"/>
              <w:spacing w:line="240" w:lineRule="auto"/>
              <w:jc w:val="center"/>
              <w:rPr>
                <w:rFonts w:hint="eastAsia"/>
              </w:rPr>
            </w:pPr>
            <w:r>
              <w:rPr>
                <w:rFonts w:hint="eastAsia"/>
              </w:rPr>
              <w:t>实质性要求</w:t>
            </w:r>
          </w:p>
        </w:tc>
        <w:tc>
          <w:tcPr>
            <w:tcW w:w="3734" w:type="dxa"/>
            <w:vAlign w:val="center"/>
          </w:tcPr>
          <w:p>
            <w:pPr>
              <w:bidi w:val="0"/>
              <w:spacing w:line="240" w:lineRule="auto"/>
              <w:jc w:val="center"/>
              <w:rPr>
                <w:rFonts w:hint="eastAsia"/>
              </w:rPr>
            </w:pPr>
            <w:r>
              <w:rPr>
                <w:rFonts w:hint="eastAsia"/>
              </w:rPr>
              <w:t>需要提供的符合性审查资料</w:t>
            </w:r>
          </w:p>
        </w:tc>
        <w:tc>
          <w:tcPr>
            <w:tcW w:w="1300" w:type="dxa"/>
            <w:vAlign w:val="center"/>
          </w:tcPr>
          <w:p>
            <w:pPr>
              <w:bidi w:val="0"/>
              <w:spacing w:line="240" w:lineRule="auto"/>
              <w:jc w:val="center"/>
              <w:rPr>
                <w:rFonts w:hint="eastAsia"/>
              </w:rPr>
            </w:pPr>
            <w:r>
              <w:rPr>
                <w:rFonts w:hint="eastAsia"/>
              </w:rPr>
              <w:t>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646" w:type="dxa"/>
            <w:vAlign w:val="center"/>
          </w:tcPr>
          <w:p>
            <w:pPr>
              <w:bidi w:val="0"/>
              <w:spacing w:line="240" w:lineRule="auto"/>
              <w:jc w:val="center"/>
              <w:rPr>
                <w:rFonts w:hint="eastAsia"/>
              </w:rPr>
            </w:pPr>
            <w:r>
              <w:rPr>
                <w:rFonts w:hint="eastAsia"/>
              </w:rPr>
              <w:t>1</w:t>
            </w:r>
          </w:p>
        </w:tc>
        <w:tc>
          <w:tcPr>
            <w:tcW w:w="4337" w:type="dxa"/>
            <w:vAlign w:val="center"/>
          </w:tcPr>
          <w:p>
            <w:pPr>
              <w:bidi w:val="0"/>
              <w:spacing w:line="240" w:lineRule="auto"/>
              <w:jc w:val="both"/>
              <w:rPr>
                <w:rFonts w:hint="eastAsia"/>
              </w:rPr>
            </w:pPr>
            <w:r>
              <w:rPr>
                <w:rFonts w:hint="eastAsia"/>
              </w:rPr>
              <w:t>投标文件按照招标文件要求签署、盖章。</w:t>
            </w:r>
          </w:p>
        </w:tc>
        <w:tc>
          <w:tcPr>
            <w:tcW w:w="3734" w:type="dxa"/>
            <w:vAlign w:val="center"/>
          </w:tcPr>
          <w:p>
            <w:pPr>
              <w:bidi w:val="0"/>
              <w:spacing w:line="240" w:lineRule="auto"/>
              <w:jc w:val="both"/>
              <w:rPr>
                <w:rFonts w:hint="eastAsia" w:eastAsia="宋体"/>
                <w:lang w:eastAsia="zh-CN"/>
              </w:rPr>
            </w:pPr>
            <w:r>
              <w:rPr>
                <w:rFonts w:hint="eastAsia"/>
              </w:rPr>
              <w:t>需要使用电子签名或者签字盖章的投标文件的组成部分</w:t>
            </w:r>
            <w:r>
              <w:rPr>
                <w:rFonts w:hint="eastAsia"/>
                <w:lang w:eastAsia="zh-CN"/>
              </w:rPr>
              <w:t>。</w:t>
            </w:r>
          </w:p>
        </w:tc>
        <w:tc>
          <w:tcPr>
            <w:tcW w:w="1300" w:type="dxa"/>
            <w:vAlign w:val="center"/>
          </w:tcPr>
          <w:p>
            <w:pPr>
              <w:bidi w:val="0"/>
              <w:spacing w:line="240" w:lineRule="auto"/>
              <w:jc w:val="center"/>
              <w:rPr>
                <w:rFonts w:hint="eastAsia"/>
              </w:rPr>
            </w:pPr>
            <w:r>
              <w:rPr>
                <w:rFonts w:hint="eastAsia"/>
              </w:rPr>
              <w:t>见投标文件</w:t>
            </w:r>
          </w:p>
          <w:p>
            <w:pPr>
              <w:bidi w:val="0"/>
              <w:spacing w:line="240" w:lineRule="auto"/>
              <w:jc w:val="center"/>
              <w:rPr>
                <w:rFonts w:hint="eastAsia"/>
              </w:rPr>
            </w:pPr>
            <w:r>
              <w:rPr>
                <w:rFonts w:hint="eastAsia"/>
              </w:rPr>
              <w:t>第</w:t>
            </w:r>
            <w:r>
              <w:rPr>
                <w:rFonts w:hint="eastAsia"/>
                <w:u w:val="single"/>
              </w:rPr>
              <w:t xml:space="preserve">  </w:t>
            </w:r>
            <w:r>
              <w:rPr>
                <w:rFonts w:hint="eastAsia"/>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646" w:type="dxa"/>
            <w:vAlign w:val="center"/>
          </w:tcPr>
          <w:p>
            <w:pPr>
              <w:bidi w:val="0"/>
              <w:spacing w:line="240" w:lineRule="auto"/>
              <w:jc w:val="center"/>
              <w:rPr>
                <w:rFonts w:hint="eastAsia"/>
              </w:rPr>
            </w:pPr>
            <w:r>
              <w:rPr>
                <w:rFonts w:hint="eastAsia"/>
              </w:rPr>
              <w:t>2</w:t>
            </w:r>
          </w:p>
        </w:tc>
        <w:tc>
          <w:tcPr>
            <w:tcW w:w="4337" w:type="dxa"/>
            <w:vAlign w:val="center"/>
          </w:tcPr>
          <w:p>
            <w:pPr>
              <w:bidi w:val="0"/>
              <w:spacing w:line="240" w:lineRule="auto"/>
              <w:jc w:val="both"/>
              <w:rPr>
                <w:rFonts w:hint="eastAsia"/>
              </w:rPr>
            </w:pPr>
            <w:r>
              <w:rPr>
                <w:rFonts w:hint="eastAsia"/>
              </w:rPr>
              <w:t>投标文件中承诺的投标有效期不少于招标文件中载明的投标有效期。</w:t>
            </w:r>
          </w:p>
        </w:tc>
        <w:tc>
          <w:tcPr>
            <w:tcW w:w="3734" w:type="dxa"/>
            <w:vAlign w:val="center"/>
          </w:tcPr>
          <w:p>
            <w:pPr>
              <w:bidi w:val="0"/>
              <w:spacing w:line="240" w:lineRule="auto"/>
              <w:jc w:val="both"/>
              <w:rPr>
                <w:rFonts w:hint="eastAsia"/>
              </w:rPr>
            </w:pPr>
            <w:r>
              <w:rPr>
                <w:rFonts w:hint="eastAsia"/>
              </w:rPr>
              <w:t>投标函</w:t>
            </w:r>
          </w:p>
        </w:tc>
        <w:tc>
          <w:tcPr>
            <w:tcW w:w="1300" w:type="dxa"/>
            <w:vAlign w:val="center"/>
          </w:tcPr>
          <w:p>
            <w:pPr>
              <w:bidi w:val="0"/>
              <w:spacing w:line="240" w:lineRule="auto"/>
              <w:jc w:val="center"/>
              <w:rPr>
                <w:rFonts w:hint="eastAsia"/>
              </w:rPr>
            </w:pPr>
            <w:r>
              <w:rPr>
                <w:rFonts w:hint="eastAsia"/>
              </w:rPr>
              <w:t>见投标文件</w:t>
            </w:r>
          </w:p>
          <w:p>
            <w:pPr>
              <w:bidi w:val="0"/>
              <w:spacing w:line="240" w:lineRule="auto"/>
              <w:jc w:val="center"/>
              <w:rPr>
                <w:rFonts w:hint="eastAsia"/>
              </w:rPr>
            </w:pPr>
            <w:r>
              <w:rPr>
                <w:rFonts w:hint="eastAsia"/>
              </w:rPr>
              <w:t>第</w:t>
            </w:r>
            <w:r>
              <w:rPr>
                <w:rFonts w:hint="eastAsia"/>
                <w:u w:val="single"/>
              </w:rPr>
              <w:t xml:space="preserve">  </w:t>
            </w:r>
            <w:r>
              <w:rPr>
                <w:rFonts w:hint="eastAsia"/>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646" w:type="dxa"/>
            <w:vAlign w:val="center"/>
          </w:tcPr>
          <w:p>
            <w:pPr>
              <w:bidi w:val="0"/>
              <w:spacing w:line="240" w:lineRule="auto"/>
              <w:jc w:val="center"/>
              <w:rPr>
                <w:rFonts w:hint="eastAsia"/>
              </w:rPr>
            </w:pPr>
            <w:r>
              <w:rPr>
                <w:rFonts w:hint="eastAsia"/>
              </w:rPr>
              <w:t>3</w:t>
            </w:r>
          </w:p>
        </w:tc>
        <w:tc>
          <w:tcPr>
            <w:tcW w:w="4337" w:type="dxa"/>
            <w:vAlign w:val="center"/>
          </w:tcPr>
          <w:p>
            <w:pPr>
              <w:bidi w:val="0"/>
              <w:spacing w:line="240" w:lineRule="auto"/>
              <w:jc w:val="both"/>
              <w:rPr>
                <w:rFonts w:hint="eastAsia"/>
              </w:rPr>
            </w:pPr>
            <w:r>
              <w:rPr>
                <w:rFonts w:hint="eastAsia"/>
              </w:rPr>
              <w:t>投标文件满足招标文件的其它实质性要求。</w:t>
            </w:r>
          </w:p>
        </w:tc>
        <w:tc>
          <w:tcPr>
            <w:tcW w:w="3734" w:type="dxa"/>
            <w:vAlign w:val="center"/>
          </w:tcPr>
          <w:p>
            <w:pPr>
              <w:bidi w:val="0"/>
              <w:spacing w:line="240" w:lineRule="auto"/>
              <w:jc w:val="both"/>
              <w:rPr>
                <w:rFonts w:hint="eastAsia"/>
              </w:rPr>
            </w:pPr>
            <w:r>
              <w:rPr>
                <w:rFonts w:hint="eastAsia"/>
              </w:rPr>
              <w:t>招标文件其它实质性要求相应的材料（“▲” 系指实质性要求条款，招标文件无其它实质性要求的，无需提供）</w:t>
            </w:r>
          </w:p>
        </w:tc>
        <w:tc>
          <w:tcPr>
            <w:tcW w:w="1300" w:type="dxa"/>
            <w:vAlign w:val="center"/>
          </w:tcPr>
          <w:p>
            <w:pPr>
              <w:bidi w:val="0"/>
              <w:spacing w:line="240" w:lineRule="auto"/>
              <w:jc w:val="center"/>
              <w:rPr>
                <w:rFonts w:hint="eastAsia"/>
              </w:rPr>
            </w:pPr>
            <w:r>
              <w:rPr>
                <w:rFonts w:hint="eastAsia"/>
              </w:rPr>
              <w:t>见投标文件</w:t>
            </w:r>
          </w:p>
          <w:p>
            <w:pPr>
              <w:bidi w:val="0"/>
              <w:spacing w:line="240" w:lineRule="auto"/>
              <w:jc w:val="center"/>
              <w:rPr>
                <w:rFonts w:hint="eastAsia"/>
              </w:rPr>
            </w:pPr>
            <w:r>
              <w:rPr>
                <w:rFonts w:hint="eastAsia"/>
              </w:rPr>
              <w:t>第</w:t>
            </w:r>
            <w:r>
              <w:rPr>
                <w:rFonts w:hint="eastAsia"/>
                <w:u w:val="single"/>
              </w:rPr>
              <w:t xml:space="preserve">  </w:t>
            </w:r>
            <w:r>
              <w:rPr>
                <w:rFonts w:hint="eastAsia"/>
              </w:rPr>
              <w:t>页</w:t>
            </w:r>
          </w:p>
        </w:tc>
      </w:tr>
    </w:tbl>
    <w:p>
      <w:pPr>
        <w:bidi w:val="0"/>
        <w:rPr>
          <w:rFonts w:ascii="宋体" w:hAnsi="宋体" w:cs="宋体"/>
        </w:rPr>
      </w:pPr>
      <w:r>
        <w:rPr>
          <w:rFonts w:hint="eastAsia"/>
        </w:rPr>
        <w:t>注：按本格式和要求提供。</w:t>
      </w:r>
    </w:p>
    <w:p>
      <w:pPr>
        <w:jc w:val="center"/>
        <w:rPr>
          <w:rFonts w:ascii="宋体" w:hAnsi="宋体" w:cs="宋体"/>
        </w:rPr>
      </w:pPr>
      <w:r>
        <w:rPr>
          <w:rFonts w:hint="eastAsia" w:ascii="宋体" w:hAnsi="宋体" w:eastAsia="宋体" w:cs="宋体"/>
          <w:b/>
          <w:bCs/>
          <w:color w:val="auto"/>
          <w:sz w:val="32"/>
          <w:szCs w:val="32"/>
        </w:rPr>
        <w:br w:type="page"/>
      </w:r>
      <w:r>
        <w:rPr>
          <w:rFonts w:hint="eastAsia" w:ascii="宋体" w:hAnsi="宋体" w:cs="宋体"/>
          <w:b/>
          <w:kern w:val="0"/>
          <w:sz w:val="24"/>
          <w:szCs w:val="24"/>
          <w:lang w:eastAsia="zh-CN"/>
        </w:rPr>
        <w:t>四</w:t>
      </w:r>
      <w:r>
        <w:rPr>
          <w:rFonts w:hint="eastAsia" w:ascii="宋体" w:hAnsi="宋体" w:cs="宋体"/>
          <w:b/>
          <w:kern w:val="0"/>
          <w:sz w:val="24"/>
          <w:szCs w:val="24"/>
        </w:rPr>
        <w:t>、评标标准相应的商务技术资料</w:t>
      </w:r>
    </w:p>
    <w:p>
      <w:pPr>
        <w:snapToGrid w:val="0"/>
        <w:spacing w:line="360" w:lineRule="auto"/>
        <w:jc w:val="left"/>
        <w:rPr>
          <w:rFonts w:ascii="宋体" w:hAnsi="宋体" w:cs="宋体"/>
          <w:b w:val="0"/>
          <w:bCs/>
          <w:sz w:val="21"/>
          <w:szCs w:val="21"/>
        </w:rPr>
      </w:pPr>
      <w:r>
        <w:rPr>
          <w:rFonts w:hint="eastAsia" w:ascii="宋体" w:hAnsi="宋体" w:cs="宋体"/>
          <w:b w:val="0"/>
          <w:bCs/>
          <w:sz w:val="21"/>
          <w:szCs w:val="21"/>
        </w:rPr>
        <w:t>（按招标文件第四部分评标办法前附表中“投标文件中评标标准相应的商务技术资料目录”提供资料。）</w:t>
      </w:r>
    </w:p>
    <w:p>
      <w:pPr>
        <w:jc w:val="center"/>
        <w:rPr>
          <w:rFonts w:ascii="宋体" w:hAnsi="宋体" w:cs="宋体"/>
          <w:b/>
          <w:kern w:val="0"/>
          <w:sz w:val="32"/>
          <w:szCs w:val="32"/>
        </w:rPr>
      </w:pPr>
    </w:p>
    <w:p>
      <w:pPr>
        <w:jc w:val="center"/>
        <w:rPr>
          <w:rFonts w:ascii="宋体" w:hAnsi="宋体" w:cs="宋体"/>
          <w:b/>
          <w:kern w:val="0"/>
          <w:sz w:val="24"/>
          <w:szCs w:val="24"/>
        </w:rPr>
      </w:pPr>
      <w:r>
        <w:rPr>
          <w:rFonts w:hint="eastAsia" w:ascii="宋体" w:hAnsi="宋体" w:cs="宋体"/>
          <w:b/>
          <w:kern w:val="0"/>
          <w:sz w:val="24"/>
          <w:szCs w:val="24"/>
          <w:lang w:eastAsia="zh-CN"/>
        </w:rPr>
        <w:t>五</w:t>
      </w:r>
      <w:r>
        <w:rPr>
          <w:rFonts w:hint="eastAsia" w:ascii="宋体" w:hAnsi="宋体" w:cs="宋体"/>
          <w:b/>
          <w:kern w:val="0"/>
          <w:sz w:val="24"/>
          <w:szCs w:val="24"/>
        </w:rPr>
        <w:t>、投标标的清单</w:t>
      </w:r>
    </w:p>
    <w:tbl>
      <w:tblPr>
        <w:tblStyle w:val="42"/>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766"/>
        <w:gridCol w:w="1583"/>
        <w:gridCol w:w="2300"/>
        <w:gridCol w:w="1020"/>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1766"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名称</w:t>
            </w:r>
          </w:p>
        </w:tc>
        <w:tc>
          <w:tcPr>
            <w:tcW w:w="158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品牌（如果有）</w:t>
            </w:r>
          </w:p>
        </w:tc>
        <w:tc>
          <w:tcPr>
            <w:tcW w:w="230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规格型号</w:t>
            </w:r>
          </w:p>
        </w:tc>
        <w:tc>
          <w:tcPr>
            <w:tcW w:w="102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6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766"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sz w:val="21"/>
                <w:szCs w:val="21"/>
              </w:rPr>
            </w:pPr>
          </w:p>
        </w:tc>
        <w:tc>
          <w:tcPr>
            <w:tcW w:w="1583"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sz w:val="21"/>
                <w:szCs w:val="21"/>
              </w:rPr>
            </w:pPr>
          </w:p>
        </w:tc>
        <w:tc>
          <w:tcPr>
            <w:tcW w:w="230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sz w:val="21"/>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1"/>
                <w:szCs w:val="21"/>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6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2</w:t>
            </w:r>
          </w:p>
        </w:tc>
        <w:tc>
          <w:tcPr>
            <w:tcW w:w="1766"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sz w:val="21"/>
                <w:szCs w:val="21"/>
              </w:rPr>
            </w:pPr>
          </w:p>
        </w:tc>
        <w:tc>
          <w:tcPr>
            <w:tcW w:w="1583"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sz w:val="21"/>
                <w:szCs w:val="21"/>
              </w:rPr>
            </w:pPr>
          </w:p>
        </w:tc>
        <w:tc>
          <w:tcPr>
            <w:tcW w:w="230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sz w:val="21"/>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1"/>
                <w:szCs w:val="21"/>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6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w:t>
            </w:r>
          </w:p>
        </w:tc>
        <w:tc>
          <w:tcPr>
            <w:tcW w:w="1766"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sz w:val="21"/>
                <w:szCs w:val="21"/>
              </w:rPr>
            </w:pPr>
          </w:p>
        </w:tc>
        <w:tc>
          <w:tcPr>
            <w:tcW w:w="1583"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sz w:val="21"/>
                <w:szCs w:val="21"/>
              </w:rPr>
            </w:pPr>
          </w:p>
        </w:tc>
        <w:tc>
          <w:tcPr>
            <w:tcW w:w="2300"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eastAsia" w:ascii="宋体" w:hAnsi="宋体" w:eastAsia="宋体" w:cs="宋体"/>
                <w:sz w:val="21"/>
                <w:szCs w:val="21"/>
              </w:rPr>
            </w:pPr>
          </w:p>
        </w:tc>
        <w:tc>
          <w:tcPr>
            <w:tcW w:w="102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1"/>
                <w:szCs w:val="21"/>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1"/>
                <w:szCs w:val="21"/>
              </w:rPr>
            </w:pPr>
          </w:p>
        </w:tc>
      </w:tr>
    </w:tbl>
    <w:p>
      <w:pPr>
        <w:bidi w:val="0"/>
        <w:rPr>
          <w:rFonts w:hint="eastAsia"/>
        </w:rPr>
      </w:pPr>
    </w:p>
    <w:p>
      <w:pPr>
        <w:spacing w:line="360" w:lineRule="auto"/>
        <w:ind w:right="420"/>
        <w:rPr>
          <w:rFonts w:ascii="宋体" w:hAnsi="宋体" w:cs="宋体"/>
          <w:sz w:val="21"/>
          <w:szCs w:val="21"/>
        </w:rPr>
      </w:pPr>
      <w:r>
        <w:rPr>
          <w:rFonts w:hint="eastAsia" w:ascii="宋体" w:hAnsi="宋体" w:cs="宋体"/>
          <w:sz w:val="21"/>
          <w:szCs w:val="21"/>
        </w:rPr>
        <w:t>注：按本格式和要求提供。</w:t>
      </w:r>
    </w:p>
    <w:p>
      <w:pPr>
        <w:jc w:val="center"/>
        <w:rPr>
          <w:rFonts w:ascii="宋体" w:hAnsi="宋体" w:cs="宋体"/>
          <w:b/>
          <w:kern w:val="0"/>
          <w:sz w:val="32"/>
          <w:szCs w:val="32"/>
        </w:rPr>
      </w:pPr>
    </w:p>
    <w:p>
      <w:pPr>
        <w:jc w:val="center"/>
        <w:rPr>
          <w:rFonts w:ascii="宋体" w:hAnsi="宋体" w:cs="宋体"/>
          <w:b/>
          <w:kern w:val="0"/>
          <w:sz w:val="24"/>
          <w:szCs w:val="24"/>
        </w:rPr>
      </w:pPr>
    </w:p>
    <w:p>
      <w:pPr>
        <w:jc w:val="center"/>
        <w:rPr>
          <w:rFonts w:ascii="宋体" w:hAnsi="宋体" w:cs="宋体"/>
          <w:b/>
          <w:kern w:val="0"/>
          <w:sz w:val="24"/>
          <w:szCs w:val="24"/>
        </w:rPr>
      </w:pPr>
      <w:r>
        <w:rPr>
          <w:rFonts w:hint="eastAsia" w:ascii="宋体" w:hAnsi="宋体" w:cs="宋体"/>
          <w:b/>
          <w:kern w:val="0"/>
          <w:sz w:val="24"/>
          <w:szCs w:val="24"/>
          <w:lang w:eastAsia="zh-CN"/>
        </w:rPr>
        <w:t>六</w:t>
      </w:r>
      <w:r>
        <w:rPr>
          <w:rFonts w:hint="eastAsia" w:ascii="宋体" w:hAnsi="宋体" w:cs="宋体"/>
          <w:b/>
          <w:kern w:val="0"/>
          <w:sz w:val="24"/>
          <w:szCs w:val="24"/>
        </w:rPr>
        <w:t>、商务技术偏离表</w:t>
      </w:r>
    </w:p>
    <w:tbl>
      <w:tblPr>
        <w:tblStyle w:val="43"/>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3434"/>
        <w:gridCol w:w="3400"/>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47" w:type="dxa"/>
            <w:vAlign w:val="center"/>
          </w:tcPr>
          <w:p>
            <w:pPr>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序号</w:t>
            </w:r>
          </w:p>
        </w:tc>
        <w:tc>
          <w:tcPr>
            <w:tcW w:w="3434" w:type="dxa"/>
            <w:vAlign w:val="center"/>
          </w:tcPr>
          <w:p>
            <w:pPr>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招标文件章节及具体内容</w:t>
            </w:r>
          </w:p>
        </w:tc>
        <w:tc>
          <w:tcPr>
            <w:tcW w:w="3400" w:type="dxa"/>
            <w:vAlign w:val="center"/>
          </w:tcPr>
          <w:p>
            <w:pPr>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投标文件章节及具体内容</w:t>
            </w:r>
          </w:p>
        </w:tc>
        <w:tc>
          <w:tcPr>
            <w:tcW w:w="1366" w:type="dxa"/>
            <w:vAlign w:val="center"/>
          </w:tcPr>
          <w:p>
            <w:pPr>
              <w:spacing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47" w:type="dxa"/>
            <w:vAlign w:val="center"/>
          </w:tcPr>
          <w:p>
            <w:pPr>
              <w:spacing w:line="240" w:lineRule="auto"/>
              <w:jc w:val="cente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1</w:t>
            </w:r>
          </w:p>
        </w:tc>
        <w:tc>
          <w:tcPr>
            <w:tcW w:w="3434" w:type="dxa"/>
            <w:vAlign w:val="center"/>
          </w:tcPr>
          <w:p>
            <w:pPr>
              <w:spacing w:line="240" w:lineRule="auto"/>
              <w:jc w:val="center"/>
              <w:rPr>
                <w:rFonts w:hint="eastAsia" w:ascii="宋体" w:hAnsi="宋体" w:eastAsia="宋体" w:cs="宋体"/>
                <w:b w:val="0"/>
                <w:bCs w:val="0"/>
                <w:kern w:val="0"/>
                <w:sz w:val="21"/>
                <w:szCs w:val="21"/>
              </w:rPr>
            </w:pPr>
          </w:p>
        </w:tc>
        <w:tc>
          <w:tcPr>
            <w:tcW w:w="3400" w:type="dxa"/>
            <w:vAlign w:val="center"/>
          </w:tcPr>
          <w:p>
            <w:pPr>
              <w:spacing w:line="240" w:lineRule="auto"/>
              <w:jc w:val="center"/>
              <w:rPr>
                <w:rFonts w:hint="eastAsia" w:ascii="宋体" w:hAnsi="宋体" w:eastAsia="宋体" w:cs="宋体"/>
                <w:b w:val="0"/>
                <w:bCs w:val="0"/>
                <w:kern w:val="0"/>
                <w:sz w:val="21"/>
                <w:szCs w:val="21"/>
              </w:rPr>
            </w:pPr>
          </w:p>
        </w:tc>
        <w:tc>
          <w:tcPr>
            <w:tcW w:w="1366" w:type="dxa"/>
            <w:vAlign w:val="center"/>
          </w:tcPr>
          <w:p>
            <w:pPr>
              <w:spacing w:line="240" w:lineRule="auto"/>
              <w:jc w:val="center"/>
              <w:rPr>
                <w:rFonts w:hint="eastAsia" w:ascii="宋体" w:hAnsi="宋体" w:eastAsia="宋体" w:cs="宋体"/>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47" w:type="dxa"/>
            <w:vAlign w:val="center"/>
          </w:tcPr>
          <w:p>
            <w:pPr>
              <w:spacing w:line="240" w:lineRule="auto"/>
              <w:jc w:val="cente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2</w:t>
            </w:r>
          </w:p>
        </w:tc>
        <w:tc>
          <w:tcPr>
            <w:tcW w:w="3434" w:type="dxa"/>
            <w:vAlign w:val="center"/>
          </w:tcPr>
          <w:p>
            <w:pPr>
              <w:spacing w:line="240" w:lineRule="auto"/>
              <w:jc w:val="center"/>
              <w:rPr>
                <w:rFonts w:hint="eastAsia" w:ascii="宋体" w:hAnsi="宋体" w:eastAsia="宋体" w:cs="宋体"/>
                <w:b w:val="0"/>
                <w:bCs w:val="0"/>
                <w:kern w:val="0"/>
                <w:sz w:val="21"/>
                <w:szCs w:val="21"/>
              </w:rPr>
            </w:pPr>
          </w:p>
        </w:tc>
        <w:tc>
          <w:tcPr>
            <w:tcW w:w="3400" w:type="dxa"/>
            <w:vAlign w:val="center"/>
          </w:tcPr>
          <w:p>
            <w:pPr>
              <w:spacing w:line="240" w:lineRule="auto"/>
              <w:jc w:val="center"/>
              <w:rPr>
                <w:rFonts w:hint="eastAsia" w:ascii="宋体" w:hAnsi="宋体" w:eastAsia="宋体" w:cs="宋体"/>
                <w:b w:val="0"/>
                <w:bCs w:val="0"/>
                <w:kern w:val="0"/>
                <w:sz w:val="21"/>
                <w:szCs w:val="21"/>
              </w:rPr>
            </w:pPr>
          </w:p>
        </w:tc>
        <w:tc>
          <w:tcPr>
            <w:tcW w:w="1366" w:type="dxa"/>
            <w:vAlign w:val="center"/>
          </w:tcPr>
          <w:p>
            <w:pPr>
              <w:spacing w:line="240" w:lineRule="auto"/>
              <w:jc w:val="center"/>
              <w:rPr>
                <w:rFonts w:hint="eastAsia" w:ascii="宋体" w:hAnsi="宋体" w:eastAsia="宋体" w:cs="宋体"/>
                <w:b w:val="0"/>
                <w:bCs w:val="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47" w:type="dxa"/>
            <w:vAlign w:val="center"/>
          </w:tcPr>
          <w:p>
            <w:pPr>
              <w:spacing w:line="240" w:lineRule="auto"/>
              <w:jc w:val="center"/>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w:t>
            </w:r>
          </w:p>
        </w:tc>
        <w:tc>
          <w:tcPr>
            <w:tcW w:w="3434" w:type="dxa"/>
            <w:vAlign w:val="center"/>
          </w:tcPr>
          <w:p>
            <w:pPr>
              <w:spacing w:line="240" w:lineRule="auto"/>
              <w:jc w:val="center"/>
              <w:rPr>
                <w:rFonts w:hint="eastAsia" w:ascii="宋体" w:hAnsi="宋体" w:eastAsia="宋体" w:cs="宋体"/>
                <w:b w:val="0"/>
                <w:bCs w:val="0"/>
                <w:kern w:val="0"/>
                <w:sz w:val="21"/>
                <w:szCs w:val="21"/>
              </w:rPr>
            </w:pPr>
          </w:p>
        </w:tc>
        <w:tc>
          <w:tcPr>
            <w:tcW w:w="3400" w:type="dxa"/>
            <w:vAlign w:val="center"/>
          </w:tcPr>
          <w:p>
            <w:pPr>
              <w:spacing w:line="240" w:lineRule="auto"/>
              <w:jc w:val="center"/>
              <w:rPr>
                <w:rFonts w:hint="eastAsia" w:ascii="宋体" w:hAnsi="宋体" w:eastAsia="宋体" w:cs="宋体"/>
                <w:b w:val="0"/>
                <w:bCs w:val="0"/>
                <w:kern w:val="0"/>
                <w:sz w:val="21"/>
                <w:szCs w:val="21"/>
              </w:rPr>
            </w:pPr>
          </w:p>
        </w:tc>
        <w:tc>
          <w:tcPr>
            <w:tcW w:w="1366" w:type="dxa"/>
            <w:vAlign w:val="center"/>
          </w:tcPr>
          <w:p>
            <w:pPr>
              <w:spacing w:line="240" w:lineRule="auto"/>
              <w:jc w:val="center"/>
              <w:rPr>
                <w:rFonts w:hint="eastAsia" w:ascii="宋体" w:hAnsi="宋体" w:eastAsia="宋体" w:cs="宋体"/>
                <w:b w:val="0"/>
                <w:bCs w:val="0"/>
                <w:kern w:val="0"/>
                <w:sz w:val="21"/>
                <w:szCs w:val="21"/>
              </w:rPr>
            </w:pPr>
          </w:p>
        </w:tc>
      </w:tr>
    </w:tbl>
    <w:p>
      <w:pPr>
        <w:jc w:val="left"/>
        <w:rPr>
          <w:rFonts w:hint="eastAsia" w:ascii="宋体" w:hAnsi="宋体" w:cs="宋体"/>
          <w:kern w:val="0"/>
          <w:sz w:val="21"/>
          <w:szCs w:val="21"/>
        </w:rPr>
      </w:pPr>
    </w:p>
    <w:p>
      <w:pPr>
        <w:spacing w:line="360" w:lineRule="auto"/>
        <w:jc w:val="left"/>
        <w:rPr>
          <w:rFonts w:ascii="宋体" w:hAnsi="宋体" w:cs="宋体"/>
          <w:kern w:val="0"/>
          <w:sz w:val="21"/>
          <w:szCs w:val="21"/>
        </w:rPr>
      </w:pPr>
      <w:r>
        <w:rPr>
          <w:rFonts w:hint="eastAsia" w:ascii="宋体" w:hAnsi="宋体" w:cs="宋体"/>
          <w:kern w:val="0"/>
          <w:sz w:val="21"/>
          <w:szCs w:val="21"/>
          <w:lang w:eastAsia="zh-CN"/>
        </w:rPr>
        <w:t>供应商</w:t>
      </w:r>
      <w:r>
        <w:rPr>
          <w:rFonts w:hint="eastAsia" w:ascii="宋体" w:hAnsi="宋体" w:cs="宋体"/>
          <w:kern w:val="0"/>
          <w:sz w:val="21"/>
          <w:szCs w:val="21"/>
        </w:rPr>
        <w:t>保证：除商务技术偏离表列出的偏离外，</w:t>
      </w:r>
      <w:r>
        <w:rPr>
          <w:rFonts w:hint="eastAsia" w:ascii="宋体" w:hAnsi="宋体" w:cs="宋体"/>
          <w:kern w:val="0"/>
          <w:sz w:val="21"/>
          <w:szCs w:val="21"/>
          <w:lang w:eastAsia="zh-CN"/>
        </w:rPr>
        <w:t>供应商</w:t>
      </w:r>
      <w:r>
        <w:rPr>
          <w:rFonts w:hint="eastAsia" w:ascii="宋体" w:hAnsi="宋体" w:cs="宋体"/>
          <w:kern w:val="0"/>
          <w:sz w:val="21"/>
          <w:szCs w:val="21"/>
        </w:rPr>
        <w:t>响应招标文件的全部要求</w:t>
      </w:r>
    </w:p>
    <w:p>
      <w:pPr>
        <w:jc w:val="center"/>
        <w:rPr>
          <w:rFonts w:ascii="宋体" w:hAnsi="宋体" w:cs="宋体"/>
          <w:b/>
          <w:kern w:val="0"/>
          <w:sz w:val="21"/>
          <w:szCs w:val="21"/>
        </w:rPr>
      </w:pPr>
    </w:p>
    <w:p>
      <w:pPr>
        <w:spacing w:line="360" w:lineRule="auto"/>
        <w:ind w:right="420"/>
        <w:rPr>
          <w:rFonts w:ascii="宋体" w:hAnsi="宋体" w:cs="宋体"/>
          <w:sz w:val="21"/>
          <w:szCs w:val="21"/>
        </w:rPr>
      </w:pPr>
      <w:r>
        <w:rPr>
          <w:rFonts w:hint="eastAsia" w:ascii="宋体" w:hAnsi="宋体" w:cs="宋体"/>
          <w:sz w:val="21"/>
          <w:szCs w:val="21"/>
        </w:rPr>
        <w:t>注：按本格式和要求提供。</w:t>
      </w: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ind w:firstLine="1911" w:firstLineChars="595"/>
        <w:rPr>
          <w:rFonts w:ascii="宋体" w:hAnsi="宋体" w:cs="宋体"/>
          <w:b/>
          <w:bCs/>
          <w:sz w:val="32"/>
          <w:szCs w:val="32"/>
        </w:rPr>
      </w:pPr>
    </w:p>
    <w:p>
      <w:pPr>
        <w:widowControl/>
        <w:adjustRightInd/>
        <w:jc w:val="left"/>
        <w:rPr>
          <w:rFonts w:ascii="宋体" w:hAnsi="宋体" w:cs="宋体"/>
          <w:b/>
          <w:bCs/>
          <w:sz w:val="32"/>
          <w:szCs w:val="32"/>
        </w:rPr>
      </w:pPr>
      <w:r>
        <w:rPr>
          <w:rFonts w:ascii="宋体" w:hAnsi="宋体" w:cs="宋体"/>
          <w:b/>
          <w:bCs/>
          <w:sz w:val="32"/>
          <w:szCs w:val="32"/>
        </w:rPr>
        <w:br w:type="page"/>
      </w:r>
    </w:p>
    <w:p>
      <w:pPr>
        <w:jc w:val="center"/>
        <w:rPr>
          <w:rFonts w:ascii="宋体" w:hAnsi="宋体" w:cs="宋体"/>
          <w:b/>
          <w:kern w:val="0"/>
          <w:sz w:val="24"/>
          <w:szCs w:val="24"/>
        </w:rPr>
      </w:pPr>
      <w:r>
        <w:rPr>
          <w:rFonts w:hint="eastAsia" w:ascii="宋体" w:hAnsi="宋体" w:cs="宋体"/>
          <w:b/>
          <w:bCs/>
          <w:sz w:val="24"/>
          <w:szCs w:val="24"/>
          <w:lang w:eastAsia="zh-CN"/>
        </w:rPr>
        <w:t>七</w:t>
      </w:r>
      <w:r>
        <w:rPr>
          <w:rFonts w:hint="eastAsia" w:ascii="宋体" w:hAnsi="宋体" w:cs="宋体"/>
          <w:b/>
          <w:kern w:val="0"/>
          <w:sz w:val="24"/>
          <w:szCs w:val="24"/>
        </w:rPr>
        <w:t>、</w:t>
      </w:r>
      <w:r>
        <w:rPr>
          <w:rFonts w:hint="eastAsia" w:ascii="宋体" w:hAnsi="宋体" w:cs="宋体"/>
          <w:b/>
          <w:kern w:val="0"/>
          <w:sz w:val="24"/>
          <w:szCs w:val="24"/>
          <w:lang w:val="zh-CN"/>
        </w:rPr>
        <w:t>政府采购供应商廉洁自律承诺书</w:t>
      </w:r>
    </w:p>
    <w:p>
      <w:pPr>
        <w:snapToGrid w:val="0"/>
        <w:spacing w:line="360" w:lineRule="auto"/>
        <w:rPr>
          <w:rFonts w:ascii="宋体" w:hAnsi="宋体" w:cs="宋体"/>
          <w:color w:val="auto"/>
          <w:sz w:val="24"/>
        </w:rPr>
      </w:pPr>
    </w:p>
    <w:p>
      <w:pPr>
        <w:snapToGrid w:val="0"/>
        <w:spacing w:line="360" w:lineRule="auto"/>
        <w:rPr>
          <w:rFonts w:ascii="宋体" w:hAnsi="宋体" w:cs="宋体"/>
          <w:color w:val="auto"/>
          <w:kern w:val="0"/>
          <w:sz w:val="21"/>
          <w:szCs w:val="21"/>
        </w:rPr>
      </w:pPr>
      <w:r>
        <w:rPr>
          <w:rFonts w:hint="eastAsia" w:ascii="宋体" w:hAnsi="宋体" w:cs="宋体"/>
          <w:color w:val="auto"/>
          <w:sz w:val="21"/>
          <w:szCs w:val="21"/>
          <w:u w:val="single"/>
        </w:rPr>
        <w:t>（采购人）、（采购代理机构）</w:t>
      </w:r>
      <w:r>
        <w:rPr>
          <w:rFonts w:hint="eastAsia" w:ascii="宋体" w:hAnsi="宋体" w:cs="宋体"/>
          <w:color w:val="auto"/>
          <w:kern w:val="0"/>
          <w:sz w:val="21"/>
          <w:szCs w:val="21"/>
          <w:lang w:val="zh-CN"/>
        </w:rPr>
        <w:t>：</w:t>
      </w:r>
    </w:p>
    <w:p>
      <w:pPr>
        <w:autoSpaceDE w:val="0"/>
        <w:autoSpaceDN w:val="0"/>
        <w:spacing w:line="360" w:lineRule="auto"/>
        <w:ind w:left="2" w:leftChars="1" w:firstLine="420" w:firstLineChars="200"/>
        <w:jc w:val="left"/>
        <w:rPr>
          <w:rFonts w:ascii="宋体" w:hAnsi="宋体" w:cs="宋体"/>
          <w:kern w:val="0"/>
          <w:sz w:val="21"/>
          <w:szCs w:val="21"/>
          <w:lang w:val="zh-CN"/>
        </w:rPr>
      </w:pPr>
      <w:r>
        <w:rPr>
          <w:rFonts w:hint="eastAsia" w:ascii="宋体" w:hAnsi="宋体" w:cs="宋体"/>
          <w:kern w:val="0"/>
          <w:sz w:val="21"/>
          <w:szCs w:val="21"/>
          <w:lang w:val="zh-CN"/>
        </w:rPr>
        <w:t>我单位响应你</w:t>
      </w:r>
      <w:r>
        <w:rPr>
          <w:rFonts w:hint="eastAsia" w:ascii="宋体" w:hAnsi="宋体" w:cs="宋体"/>
          <w:sz w:val="21"/>
          <w:szCs w:val="21"/>
        </w:rPr>
        <w:t>单位</w:t>
      </w:r>
      <w:r>
        <w:rPr>
          <w:rFonts w:hint="eastAsia" w:ascii="宋体" w:hAnsi="宋体" w:cs="宋体"/>
          <w:kern w:val="0"/>
          <w:sz w:val="21"/>
          <w:szCs w:val="21"/>
          <w:lang w:val="zh-CN"/>
        </w:rPr>
        <w:t>项目招标要求参加投标。在这次投标过程中和中标后，我们将严格遵守国家法律法规要求，并郑重承诺：</w:t>
      </w:r>
    </w:p>
    <w:p>
      <w:pPr>
        <w:autoSpaceDE w:val="0"/>
        <w:autoSpaceDN w:val="0"/>
        <w:spacing w:line="360" w:lineRule="auto"/>
        <w:ind w:left="2" w:leftChars="1" w:firstLine="420" w:firstLineChars="200"/>
        <w:jc w:val="left"/>
        <w:rPr>
          <w:rFonts w:ascii="宋体" w:hAnsi="宋体" w:cs="宋体"/>
          <w:kern w:val="0"/>
          <w:sz w:val="21"/>
          <w:szCs w:val="21"/>
          <w:lang w:val="zh-CN"/>
        </w:rPr>
      </w:pPr>
      <w:r>
        <w:rPr>
          <w:rFonts w:hint="eastAsia" w:ascii="宋体" w:hAnsi="宋体" w:cs="宋体"/>
          <w:kern w:val="0"/>
          <w:sz w:val="21"/>
          <w:szCs w:val="21"/>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20" w:firstLineChars="200"/>
        <w:jc w:val="left"/>
        <w:rPr>
          <w:rFonts w:ascii="宋体" w:hAnsi="宋体" w:cs="宋体"/>
          <w:kern w:val="0"/>
          <w:sz w:val="21"/>
          <w:szCs w:val="21"/>
          <w:lang w:val="zh-CN"/>
        </w:rPr>
      </w:pPr>
      <w:r>
        <w:rPr>
          <w:rFonts w:hint="eastAsia" w:ascii="宋体" w:hAnsi="宋体" w:cs="宋体"/>
          <w:kern w:val="0"/>
          <w:sz w:val="21"/>
          <w:szCs w:val="21"/>
          <w:lang w:val="zh-CN"/>
        </w:rPr>
        <w:t xml:space="preserve">二、不为项目有关人员及部门报销应由你方单位或个人支付的费用； </w:t>
      </w:r>
    </w:p>
    <w:p>
      <w:pPr>
        <w:autoSpaceDE w:val="0"/>
        <w:autoSpaceDN w:val="0"/>
        <w:spacing w:line="360" w:lineRule="auto"/>
        <w:ind w:left="2" w:leftChars="1" w:firstLine="420" w:firstLineChars="200"/>
        <w:jc w:val="left"/>
        <w:rPr>
          <w:rFonts w:ascii="宋体" w:hAnsi="宋体" w:cs="宋体"/>
          <w:kern w:val="0"/>
          <w:sz w:val="21"/>
          <w:szCs w:val="21"/>
          <w:lang w:val="zh-CN"/>
        </w:rPr>
      </w:pPr>
      <w:r>
        <w:rPr>
          <w:rFonts w:hint="eastAsia" w:ascii="宋体" w:hAnsi="宋体" w:cs="宋体"/>
          <w:kern w:val="0"/>
          <w:sz w:val="21"/>
          <w:szCs w:val="21"/>
          <w:lang w:val="zh-CN"/>
        </w:rPr>
        <w:t xml:space="preserve">三、不向项目有关人员及部门提供有可能影响公正的宴请和健身娱乐等活动； </w:t>
      </w:r>
    </w:p>
    <w:p>
      <w:pPr>
        <w:autoSpaceDE w:val="0"/>
        <w:autoSpaceDN w:val="0"/>
        <w:spacing w:line="360" w:lineRule="auto"/>
        <w:ind w:left="2" w:leftChars="1" w:firstLine="420" w:firstLineChars="200"/>
        <w:jc w:val="left"/>
        <w:rPr>
          <w:rFonts w:ascii="宋体" w:hAnsi="宋体" w:cs="宋体"/>
          <w:kern w:val="0"/>
          <w:sz w:val="21"/>
          <w:szCs w:val="21"/>
          <w:lang w:val="zh-CN"/>
        </w:rPr>
      </w:pPr>
      <w:r>
        <w:rPr>
          <w:rFonts w:hint="eastAsia" w:ascii="宋体" w:hAnsi="宋体" w:cs="宋体"/>
          <w:kern w:val="0"/>
          <w:sz w:val="21"/>
          <w:szCs w:val="21"/>
          <w:lang w:val="zh-CN"/>
        </w:rPr>
        <w:t>四、不为项目有关人员及部门出国（境）、旅游等提供方便；</w:t>
      </w:r>
    </w:p>
    <w:p>
      <w:pPr>
        <w:autoSpaceDE w:val="0"/>
        <w:autoSpaceDN w:val="0"/>
        <w:spacing w:line="360" w:lineRule="auto"/>
        <w:ind w:left="481" w:leftChars="229"/>
        <w:jc w:val="left"/>
        <w:rPr>
          <w:rFonts w:ascii="宋体" w:hAnsi="宋体" w:cs="宋体"/>
          <w:kern w:val="0"/>
          <w:sz w:val="21"/>
          <w:szCs w:val="21"/>
          <w:lang w:val="zh-CN"/>
        </w:rPr>
      </w:pPr>
      <w:r>
        <w:rPr>
          <w:rFonts w:hint="eastAsia" w:ascii="宋体" w:hAnsi="宋体" w:cs="宋体"/>
          <w:kern w:val="0"/>
          <w:sz w:val="21"/>
          <w:szCs w:val="21"/>
          <w:lang w:val="zh-CN"/>
        </w:rPr>
        <w:t>五、不为项目有关人员个人装修住房、婚丧嫁娶、配偶子女工作安排等提供好处；</w:t>
      </w:r>
    </w:p>
    <w:p>
      <w:pPr>
        <w:autoSpaceDE w:val="0"/>
        <w:autoSpaceDN w:val="0"/>
        <w:spacing w:line="360" w:lineRule="auto"/>
        <w:ind w:firstLine="420" w:firstLineChars="200"/>
        <w:jc w:val="left"/>
        <w:rPr>
          <w:rFonts w:ascii="宋体" w:hAnsi="宋体" w:cs="宋体"/>
          <w:kern w:val="0"/>
          <w:sz w:val="21"/>
          <w:szCs w:val="21"/>
          <w:lang w:val="zh-CN"/>
        </w:rPr>
      </w:pPr>
      <w:r>
        <w:rPr>
          <w:rFonts w:hint="eastAsia" w:ascii="宋体" w:hAnsi="宋体" w:cs="宋体"/>
          <w:kern w:val="0"/>
          <w:sz w:val="21"/>
          <w:szCs w:val="21"/>
          <w:lang w:val="zh-CN"/>
        </w:rPr>
        <w:t>六、严格遵守《</w:t>
      </w:r>
      <w:r>
        <w:rPr>
          <w:rFonts w:hint="eastAsia" w:ascii="宋体" w:hAnsi="宋体" w:cs="宋体"/>
          <w:sz w:val="21"/>
          <w:szCs w:val="21"/>
          <w:lang w:val="zh-CN"/>
        </w:rPr>
        <w:t>中华人民共和国</w:t>
      </w:r>
      <w:r>
        <w:rPr>
          <w:rFonts w:hint="eastAsia" w:ascii="宋体" w:hAnsi="宋体" w:cs="宋体"/>
          <w:kern w:val="0"/>
          <w:sz w:val="21"/>
          <w:szCs w:val="21"/>
          <w:lang w:val="zh-CN"/>
        </w:rPr>
        <w:t>政府采购法》《</w:t>
      </w:r>
      <w:r>
        <w:rPr>
          <w:rFonts w:hint="eastAsia" w:ascii="宋体" w:hAnsi="宋体" w:cs="宋体"/>
          <w:sz w:val="21"/>
          <w:szCs w:val="21"/>
          <w:lang w:val="zh-CN"/>
        </w:rPr>
        <w:t>中华人民共和国</w:t>
      </w:r>
      <w:r>
        <w:rPr>
          <w:rFonts w:hint="eastAsia" w:ascii="宋体" w:hAnsi="宋体" w:cs="宋体"/>
          <w:kern w:val="0"/>
          <w:sz w:val="21"/>
          <w:szCs w:val="21"/>
          <w:lang w:val="zh-CN"/>
        </w:rPr>
        <w:t>招标投标法》</w:t>
      </w:r>
      <w:r>
        <w:rPr>
          <w:rFonts w:hint="eastAsia" w:ascii="宋体" w:hAnsi="宋体" w:cs="宋体"/>
          <w:sz w:val="21"/>
          <w:szCs w:val="21"/>
          <w:lang w:val="zh-CN"/>
        </w:rPr>
        <w:t>《中华人民共和国民法典》</w:t>
      </w:r>
      <w:r>
        <w:rPr>
          <w:rFonts w:hint="eastAsia" w:ascii="宋体" w:hAnsi="宋体" w:cs="宋体"/>
          <w:kern w:val="0"/>
          <w:sz w:val="21"/>
          <w:szCs w:val="21"/>
          <w:lang w:val="zh-CN"/>
        </w:rPr>
        <w:t xml:space="preserve">等法律法规，诚实守信，合法经营，坚决抵制各种违法违纪行为。 </w:t>
      </w:r>
    </w:p>
    <w:p>
      <w:pPr>
        <w:autoSpaceDE w:val="0"/>
        <w:autoSpaceDN w:val="0"/>
        <w:spacing w:line="360" w:lineRule="auto"/>
        <w:ind w:firstLine="420" w:firstLineChars="200"/>
        <w:jc w:val="left"/>
        <w:rPr>
          <w:rFonts w:ascii="宋体" w:hAnsi="宋体" w:cs="宋体"/>
          <w:kern w:val="0"/>
          <w:sz w:val="21"/>
          <w:szCs w:val="21"/>
          <w:lang w:val="zh-CN"/>
        </w:rPr>
      </w:pPr>
      <w:r>
        <w:rPr>
          <w:rFonts w:hint="eastAsia" w:ascii="宋体" w:hAnsi="宋体" w:cs="宋体"/>
          <w:kern w:val="0"/>
          <w:sz w:val="21"/>
          <w:szCs w:val="21"/>
          <w:lang w:val="zh-CN"/>
        </w:rPr>
        <w:t>如违反上述承诺，你</w:t>
      </w:r>
      <w:r>
        <w:rPr>
          <w:rFonts w:hint="eastAsia" w:ascii="宋体" w:hAnsi="宋体" w:cs="宋体"/>
          <w:sz w:val="21"/>
          <w:szCs w:val="21"/>
        </w:rPr>
        <w:t>单位</w:t>
      </w:r>
      <w:r>
        <w:rPr>
          <w:rFonts w:hint="eastAsia" w:ascii="宋体" w:hAnsi="宋体" w:cs="宋体"/>
          <w:kern w:val="0"/>
          <w:sz w:val="21"/>
          <w:szCs w:val="21"/>
          <w:lang w:val="zh-CN"/>
        </w:rPr>
        <w:t>有权立即取消我单位投标、中标或在建项目的建设资格，有权拒绝我单位在一定时期内进入你</w:t>
      </w:r>
      <w:r>
        <w:rPr>
          <w:rFonts w:hint="eastAsia" w:ascii="宋体" w:hAnsi="宋体" w:cs="宋体"/>
          <w:sz w:val="21"/>
          <w:szCs w:val="21"/>
        </w:rPr>
        <w:t>单位</w:t>
      </w:r>
      <w:r>
        <w:rPr>
          <w:rFonts w:hint="eastAsia" w:ascii="宋体" w:hAnsi="宋体" w:cs="宋体"/>
          <w:kern w:val="0"/>
          <w:sz w:val="21"/>
          <w:szCs w:val="21"/>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kern w:val="0"/>
          <w:sz w:val="21"/>
          <w:szCs w:val="21"/>
          <w:lang w:val="zh-CN"/>
        </w:rPr>
      </w:pPr>
    </w:p>
    <w:p>
      <w:pPr>
        <w:autoSpaceDE w:val="0"/>
        <w:autoSpaceDN w:val="0"/>
        <w:spacing w:line="360" w:lineRule="auto"/>
        <w:ind w:left="2"/>
        <w:jc w:val="left"/>
        <w:rPr>
          <w:rFonts w:ascii="宋体" w:hAnsi="宋体" w:cs="宋体"/>
          <w:kern w:val="0"/>
          <w:sz w:val="21"/>
          <w:szCs w:val="21"/>
          <w:lang w:val="zh-CN"/>
        </w:rPr>
      </w:pPr>
    </w:p>
    <w:p>
      <w:pPr>
        <w:autoSpaceDE w:val="0"/>
        <w:autoSpaceDN w:val="0"/>
        <w:spacing w:line="360" w:lineRule="auto"/>
        <w:ind w:left="2"/>
        <w:jc w:val="left"/>
        <w:rPr>
          <w:rFonts w:ascii="宋体" w:hAnsi="宋体" w:cs="宋体"/>
          <w:kern w:val="0"/>
          <w:sz w:val="21"/>
          <w:szCs w:val="21"/>
          <w:lang w:val="zh-CN"/>
        </w:rPr>
      </w:pPr>
    </w:p>
    <w:p>
      <w:pPr>
        <w:autoSpaceDE w:val="0"/>
        <w:autoSpaceDN w:val="0"/>
        <w:spacing w:line="360" w:lineRule="auto"/>
        <w:ind w:left="2" w:leftChars="1" w:right="1120" w:firstLine="4620" w:firstLineChars="2200"/>
        <w:jc w:val="left"/>
        <w:rPr>
          <w:rFonts w:ascii="宋体" w:hAnsi="宋体" w:cs="宋体"/>
          <w:kern w:val="0"/>
          <w:sz w:val="21"/>
          <w:szCs w:val="21"/>
          <w:lang w:val="zh-CN"/>
        </w:rPr>
      </w:pPr>
      <w:r>
        <w:rPr>
          <w:rFonts w:hint="eastAsia" w:ascii="宋体" w:hAnsi="宋体" w:cs="宋体"/>
          <w:kern w:val="0"/>
          <w:sz w:val="21"/>
          <w:szCs w:val="21"/>
          <w:lang w:val="zh-CN"/>
        </w:rPr>
        <w:t>供应商名称（</w:t>
      </w:r>
      <w:r>
        <w:rPr>
          <w:rFonts w:hint="eastAsia" w:ascii="宋体" w:hAnsi="宋体" w:cs="宋体"/>
          <w:sz w:val="21"/>
          <w:szCs w:val="21"/>
        </w:rPr>
        <w:t>电子签名</w:t>
      </w:r>
      <w:r>
        <w:rPr>
          <w:rFonts w:hint="eastAsia" w:ascii="宋体" w:hAnsi="宋体" w:cs="宋体"/>
          <w:kern w:val="0"/>
          <w:sz w:val="21"/>
          <w:szCs w:val="21"/>
          <w:lang w:val="zh-CN"/>
        </w:rPr>
        <w:t xml:space="preserve">）：                                                                                                                                                                                                               </w:t>
      </w:r>
    </w:p>
    <w:p>
      <w:pPr>
        <w:spacing w:line="360" w:lineRule="auto"/>
        <w:ind w:left="4620" w:leftChars="2200"/>
        <w:rPr>
          <w:rFonts w:ascii="宋体" w:hAnsi="宋体" w:cs="宋体"/>
          <w:sz w:val="21"/>
          <w:szCs w:val="21"/>
        </w:rPr>
      </w:pPr>
      <w:r>
        <w:rPr>
          <w:rFonts w:hint="eastAsia" w:ascii="宋体" w:hAnsi="宋体" w:cs="宋体"/>
          <w:kern w:val="0"/>
          <w:sz w:val="21"/>
          <w:szCs w:val="21"/>
          <w:lang w:val="zh-CN"/>
        </w:rPr>
        <w:t>日期</w:t>
      </w:r>
      <w:r>
        <w:rPr>
          <w:rFonts w:hint="eastAsia" w:ascii="宋体" w:hAnsi="宋体" w:cs="宋体"/>
          <w:kern w:val="0"/>
          <w:sz w:val="21"/>
          <w:szCs w:val="21"/>
        </w:rPr>
        <w:t>：</w:t>
      </w:r>
      <w:r>
        <w:rPr>
          <w:rFonts w:hint="eastAsia" w:ascii="宋体" w:hAnsi="宋体" w:cs="宋体"/>
          <w:kern w:val="0"/>
          <w:sz w:val="21"/>
          <w:szCs w:val="21"/>
          <w:lang w:val="zh-CN"/>
        </w:rPr>
        <w:t xml:space="preserve">   年   月   日</w:t>
      </w:r>
    </w:p>
    <w:p>
      <w:pPr>
        <w:spacing w:line="360" w:lineRule="auto"/>
        <w:jc w:val="center"/>
        <w:rPr>
          <w:rFonts w:ascii="宋体" w:hAnsi="宋体" w:cs="宋体"/>
          <w:b/>
          <w:bCs/>
          <w:sz w:val="21"/>
          <w:szCs w:val="21"/>
        </w:rPr>
      </w:pPr>
    </w:p>
    <w:p>
      <w:pPr>
        <w:spacing w:line="360" w:lineRule="auto"/>
        <w:ind w:right="420"/>
        <w:rPr>
          <w:rFonts w:ascii="宋体" w:hAnsi="宋体" w:cs="宋体"/>
          <w:sz w:val="21"/>
          <w:szCs w:val="21"/>
        </w:rPr>
      </w:pPr>
      <w:r>
        <w:rPr>
          <w:rFonts w:hint="eastAsia" w:ascii="宋体" w:hAnsi="宋体" w:cs="宋体"/>
          <w:sz w:val="21"/>
          <w:szCs w:val="21"/>
        </w:rPr>
        <w:t>注：按本格式和要求提供。</w:t>
      </w:r>
    </w:p>
    <w:p>
      <w:pPr>
        <w:spacing w:line="360" w:lineRule="auto"/>
        <w:jc w:val="center"/>
        <w:rPr>
          <w:rFonts w:ascii="宋体" w:hAnsi="宋体" w:cs="宋体"/>
          <w:b/>
          <w:bCs/>
          <w:sz w:val="21"/>
          <w:szCs w:val="21"/>
        </w:rPr>
        <w:sectPr>
          <w:headerReference r:id="rId16" w:type="first"/>
          <w:footerReference r:id="rId18" w:type="first"/>
          <w:headerReference r:id="rId15" w:type="default"/>
          <w:footerReference r:id="rId17" w:type="default"/>
          <w:pgSz w:w="11905" w:h="16838"/>
          <w:pgMar w:top="1417" w:right="1417" w:bottom="1417" w:left="1417" w:header="851" w:footer="992" w:gutter="0"/>
          <w:cols w:space="0" w:num="1"/>
          <w:titlePg/>
          <w:rtlGutter w:val="0"/>
          <w:docGrid w:linePitch="312" w:charSpace="0"/>
        </w:sectPr>
      </w:pPr>
    </w:p>
    <w:p>
      <w:pPr>
        <w:shd w:val="clear" w:color="auto" w:fill="FFFFFF"/>
        <w:snapToGrid w:val="0"/>
        <w:spacing w:after="50"/>
        <w:jc w:val="center"/>
        <w:rPr>
          <w:rFonts w:hint="eastAsia" w:ascii="宋体" w:hAnsi="宋体" w:eastAsia="宋体" w:cs="宋体"/>
          <w:b/>
          <w:sz w:val="24"/>
          <w:szCs w:val="24"/>
        </w:rPr>
      </w:pPr>
      <w:r>
        <w:rPr>
          <w:rFonts w:hint="eastAsia" w:ascii="宋体" w:hAnsi="宋体" w:eastAsia="宋体" w:cs="宋体"/>
          <w:b/>
          <w:sz w:val="24"/>
          <w:szCs w:val="24"/>
        </w:rPr>
        <w:t>评分索引表</w:t>
      </w:r>
    </w:p>
    <w:tbl>
      <w:tblPr>
        <w:tblStyle w:val="42"/>
        <w:tblW w:w="9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776"/>
        <w:gridCol w:w="5802"/>
        <w:gridCol w:w="842"/>
        <w:gridCol w:w="1065"/>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90" w:type="dxa"/>
            <w:noWrap w:val="0"/>
            <w:vAlign w:val="center"/>
          </w:tcPr>
          <w:p>
            <w:pPr>
              <w:spacing w:line="340" w:lineRule="exact"/>
              <w:jc w:val="center"/>
              <w:rPr>
                <w:rFonts w:hint="eastAsia" w:ascii="宋体" w:hAnsi="宋体" w:eastAsia="宋体" w:cs="宋体"/>
                <w:bCs/>
                <w:sz w:val="21"/>
                <w:szCs w:val="21"/>
              </w:rPr>
            </w:pPr>
            <w:r>
              <w:rPr>
                <w:rFonts w:hint="eastAsia" w:ascii="宋体" w:hAnsi="宋体" w:eastAsia="宋体" w:cs="宋体"/>
                <w:bCs/>
                <w:sz w:val="21"/>
                <w:szCs w:val="21"/>
              </w:rPr>
              <w:t>序号</w:t>
            </w:r>
          </w:p>
        </w:tc>
        <w:tc>
          <w:tcPr>
            <w:tcW w:w="776" w:type="dxa"/>
            <w:noWrap w:val="0"/>
            <w:vAlign w:val="center"/>
          </w:tcPr>
          <w:p>
            <w:pPr>
              <w:spacing w:line="340" w:lineRule="exact"/>
              <w:jc w:val="center"/>
              <w:rPr>
                <w:rFonts w:hint="eastAsia" w:ascii="宋体" w:hAnsi="宋体" w:eastAsia="宋体" w:cs="宋体"/>
                <w:bCs/>
                <w:sz w:val="21"/>
                <w:szCs w:val="21"/>
              </w:rPr>
            </w:pPr>
            <w:r>
              <w:rPr>
                <w:rFonts w:hint="eastAsia" w:ascii="宋体" w:hAnsi="宋体" w:eastAsia="宋体" w:cs="宋体"/>
                <w:bCs/>
                <w:sz w:val="21"/>
                <w:szCs w:val="21"/>
              </w:rPr>
              <w:t>项目</w:t>
            </w:r>
          </w:p>
        </w:tc>
        <w:tc>
          <w:tcPr>
            <w:tcW w:w="7709" w:type="dxa"/>
            <w:gridSpan w:val="3"/>
            <w:noWrap w:val="0"/>
            <w:vAlign w:val="center"/>
          </w:tcPr>
          <w:p>
            <w:pPr>
              <w:spacing w:line="340" w:lineRule="exact"/>
              <w:jc w:val="center"/>
              <w:rPr>
                <w:rFonts w:hint="eastAsia" w:ascii="宋体" w:hAnsi="宋体" w:eastAsia="宋体" w:cs="宋体"/>
                <w:bCs/>
                <w:sz w:val="21"/>
                <w:szCs w:val="21"/>
              </w:rPr>
            </w:pPr>
            <w:r>
              <w:rPr>
                <w:rFonts w:hint="eastAsia" w:ascii="宋体" w:hAnsi="宋体" w:eastAsia="宋体" w:cs="宋体"/>
                <w:bCs/>
                <w:sz w:val="21"/>
                <w:szCs w:val="21"/>
              </w:rPr>
              <w:t>审查标准</w:t>
            </w:r>
          </w:p>
        </w:tc>
        <w:tc>
          <w:tcPr>
            <w:tcW w:w="709" w:type="dxa"/>
            <w:noWrap w:val="0"/>
            <w:vAlign w:val="center"/>
          </w:tcPr>
          <w:p>
            <w:pPr>
              <w:spacing w:line="340" w:lineRule="exact"/>
              <w:jc w:val="center"/>
              <w:rPr>
                <w:rFonts w:hint="eastAsia" w:ascii="宋体" w:hAnsi="宋体" w:eastAsia="宋体" w:cs="宋体"/>
                <w:bCs/>
                <w:sz w:val="21"/>
                <w:szCs w:val="21"/>
              </w:rPr>
            </w:pPr>
            <w:r>
              <w:rPr>
                <w:rFonts w:hint="eastAsia" w:ascii="宋体" w:hAnsi="宋体" w:eastAsia="宋体" w:cs="宋体"/>
                <w:bCs/>
                <w:sz w:val="21"/>
                <w:szCs w:val="21"/>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90" w:type="dxa"/>
            <w:vMerge w:val="restart"/>
            <w:noWrap w:val="0"/>
            <w:vAlign w:val="center"/>
          </w:tcPr>
          <w:p>
            <w:pPr>
              <w:spacing w:line="340" w:lineRule="exact"/>
              <w:jc w:val="center"/>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1</w:t>
            </w:r>
          </w:p>
        </w:tc>
        <w:tc>
          <w:tcPr>
            <w:tcW w:w="776" w:type="dxa"/>
            <w:vMerge w:val="restart"/>
            <w:noWrap w:val="0"/>
            <w:vAlign w:val="center"/>
          </w:tcPr>
          <w:p>
            <w:pPr>
              <w:snapToGrid w:val="0"/>
              <w:spacing w:line="340" w:lineRule="exact"/>
              <w:jc w:val="center"/>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资格审查</w:t>
            </w:r>
          </w:p>
        </w:tc>
        <w:tc>
          <w:tcPr>
            <w:tcW w:w="8418" w:type="dxa"/>
            <w:gridSpan w:val="4"/>
            <w:noWrap w:val="0"/>
            <w:vAlign w:val="center"/>
          </w:tcPr>
          <w:p>
            <w:pPr>
              <w:tabs>
                <w:tab w:val="left" w:pos="3850"/>
              </w:tabs>
              <w:spacing w:line="340" w:lineRule="exact"/>
              <w:jc w:val="left"/>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一、符合《中华人民共和国政府采购法》第二十二条规定的</w:t>
            </w:r>
            <w:r>
              <w:rPr>
                <w:rFonts w:hint="eastAsia" w:cs="宋体"/>
                <w:b w:val="0"/>
                <w:bCs/>
                <w:i w:val="0"/>
                <w:iCs w:val="0"/>
                <w:sz w:val="21"/>
                <w:szCs w:val="21"/>
                <w:lang w:eastAsia="zh-CN"/>
              </w:rPr>
              <w:t>供应商</w:t>
            </w:r>
            <w:r>
              <w:rPr>
                <w:rFonts w:hint="eastAsia" w:ascii="宋体" w:hAnsi="宋体" w:eastAsia="宋体" w:cs="宋体"/>
                <w:b w:val="0"/>
                <w:bCs/>
                <w:i w:val="0"/>
                <w:iCs w:val="0"/>
                <w:sz w:val="21"/>
                <w:szCs w:val="21"/>
              </w:rPr>
              <w:t>资格条件和浙财采监[2013]24号《关于规范政府采购</w:t>
            </w:r>
            <w:r>
              <w:rPr>
                <w:rFonts w:hint="eastAsia" w:cs="宋体"/>
                <w:b w:val="0"/>
                <w:bCs/>
                <w:i w:val="0"/>
                <w:iCs w:val="0"/>
                <w:sz w:val="21"/>
                <w:szCs w:val="21"/>
                <w:lang w:eastAsia="zh-CN"/>
              </w:rPr>
              <w:t>供应商</w:t>
            </w:r>
            <w:r>
              <w:rPr>
                <w:rFonts w:hint="eastAsia" w:ascii="宋体" w:hAnsi="宋体" w:eastAsia="宋体" w:cs="宋体"/>
                <w:b w:val="0"/>
                <w:bCs/>
                <w:i w:val="0"/>
                <w:iCs w:val="0"/>
                <w:sz w:val="21"/>
                <w:szCs w:val="21"/>
              </w:rPr>
              <w:t>资格设定及资格审查的通知》第六条规定：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90" w:type="dxa"/>
            <w:vMerge w:val="continue"/>
            <w:noWrap w:val="0"/>
            <w:vAlign w:val="center"/>
          </w:tcPr>
          <w:p>
            <w:pPr>
              <w:spacing w:line="340" w:lineRule="exact"/>
              <w:jc w:val="center"/>
              <w:rPr>
                <w:rFonts w:hint="eastAsia" w:ascii="宋体" w:hAnsi="宋体" w:eastAsia="宋体" w:cs="宋体"/>
                <w:b w:val="0"/>
                <w:bCs/>
                <w:i w:val="0"/>
                <w:iCs w:val="0"/>
                <w:sz w:val="21"/>
                <w:szCs w:val="21"/>
              </w:rPr>
            </w:pPr>
          </w:p>
        </w:tc>
        <w:tc>
          <w:tcPr>
            <w:tcW w:w="776" w:type="dxa"/>
            <w:vMerge w:val="continue"/>
            <w:noWrap w:val="0"/>
            <w:vAlign w:val="center"/>
          </w:tcPr>
          <w:p>
            <w:pPr>
              <w:kinsoku w:val="0"/>
              <w:spacing w:line="340" w:lineRule="exact"/>
              <w:jc w:val="center"/>
              <w:rPr>
                <w:rFonts w:hint="eastAsia" w:ascii="宋体" w:hAnsi="宋体" w:eastAsia="宋体" w:cs="宋体"/>
                <w:b w:val="0"/>
                <w:bCs/>
                <w:i w:val="0"/>
                <w:iCs w:val="0"/>
                <w:sz w:val="21"/>
                <w:szCs w:val="21"/>
              </w:rPr>
            </w:pPr>
          </w:p>
        </w:tc>
        <w:tc>
          <w:tcPr>
            <w:tcW w:w="7709" w:type="dxa"/>
            <w:gridSpan w:val="3"/>
            <w:noWrap w:val="0"/>
            <w:vAlign w:val="center"/>
          </w:tcPr>
          <w:p>
            <w:pPr>
              <w:adjustRightInd w:val="0"/>
              <w:snapToGrid w:val="0"/>
              <w:spacing w:line="340" w:lineRule="exact"/>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（一）</w:t>
            </w:r>
            <w:r>
              <w:rPr>
                <w:rFonts w:hint="eastAsia" w:ascii="宋体" w:hAnsi="宋体" w:eastAsia="宋体" w:cs="宋体"/>
                <w:b w:val="0"/>
                <w:bCs/>
                <w:i w:val="0"/>
                <w:iCs w:val="0"/>
                <w:sz w:val="21"/>
                <w:szCs w:val="21"/>
                <w:lang w:val="en-US" w:eastAsia="zh-CN"/>
              </w:rPr>
              <w:t>符合参加政府采购活动应当具备的一般条件的承诺函</w:t>
            </w:r>
            <w:r>
              <w:rPr>
                <w:rFonts w:hint="eastAsia" w:ascii="宋体" w:hAnsi="宋体" w:eastAsia="宋体" w:cs="宋体"/>
                <w:b w:val="0"/>
                <w:bCs/>
                <w:i w:val="0"/>
                <w:iCs w:val="0"/>
                <w:sz w:val="21"/>
                <w:szCs w:val="21"/>
              </w:rPr>
              <w:t>。</w:t>
            </w:r>
          </w:p>
        </w:tc>
        <w:tc>
          <w:tcPr>
            <w:tcW w:w="709" w:type="dxa"/>
            <w:noWrap w:val="0"/>
            <w:vAlign w:val="center"/>
          </w:tcPr>
          <w:p>
            <w:pPr>
              <w:tabs>
                <w:tab w:val="left" w:pos="3850"/>
              </w:tabs>
              <w:spacing w:line="340" w:lineRule="exact"/>
              <w:jc w:val="center"/>
              <w:rPr>
                <w:rFonts w:hint="eastAsia" w:ascii="宋体" w:hAnsi="宋体" w:eastAsia="宋体" w:cs="宋体"/>
                <w:b w:val="0"/>
                <w:bCs/>
                <w:i w:val="0"/>
                <w:i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790" w:type="dxa"/>
            <w:vMerge w:val="continue"/>
            <w:noWrap w:val="0"/>
            <w:vAlign w:val="center"/>
          </w:tcPr>
          <w:p>
            <w:pPr>
              <w:spacing w:line="340" w:lineRule="exact"/>
              <w:jc w:val="center"/>
              <w:rPr>
                <w:rFonts w:hint="eastAsia" w:ascii="宋体" w:hAnsi="宋体" w:eastAsia="宋体" w:cs="宋体"/>
                <w:b w:val="0"/>
                <w:bCs/>
                <w:i w:val="0"/>
                <w:iCs w:val="0"/>
                <w:sz w:val="21"/>
                <w:szCs w:val="21"/>
              </w:rPr>
            </w:pPr>
          </w:p>
        </w:tc>
        <w:tc>
          <w:tcPr>
            <w:tcW w:w="776" w:type="dxa"/>
            <w:vMerge w:val="continue"/>
            <w:noWrap w:val="0"/>
            <w:vAlign w:val="center"/>
          </w:tcPr>
          <w:p>
            <w:pPr>
              <w:kinsoku w:val="0"/>
              <w:spacing w:line="340" w:lineRule="exact"/>
              <w:jc w:val="center"/>
              <w:rPr>
                <w:rFonts w:hint="eastAsia" w:ascii="宋体" w:hAnsi="宋体" w:eastAsia="宋体" w:cs="宋体"/>
                <w:b w:val="0"/>
                <w:bCs/>
                <w:i w:val="0"/>
                <w:iCs w:val="0"/>
                <w:sz w:val="21"/>
                <w:szCs w:val="21"/>
              </w:rPr>
            </w:pPr>
          </w:p>
        </w:tc>
        <w:tc>
          <w:tcPr>
            <w:tcW w:w="7709" w:type="dxa"/>
            <w:gridSpan w:val="3"/>
            <w:noWrap w:val="0"/>
            <w:vAlign w:val="center"/>
          </w:tcPr>
          <w:p>
            <w:pPr>
              <w:adjustRightInd w:val="0"/>
              <w:snapToGrid w:val="0"/>
              <w:spacing w:line="340" w:lineRule="exact"/>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（二）</w:t>
            </w:r>
            <w:r>
              <w:rPr>
                <w:rFonts w:hint="eastAsia" w:ascii="宋体" w:hAnsi="宋体" w:eastAsia="宋体" w:cs="宋体"/>
                <w:b w:val="0"/>
                <w:bCs/>
                <w:i w:val="0"/>
                <w:iCs w:val="0"/>
                <w:sz w:val="21"/>
                <w:szCs w:val="21"/>
                <w:lang w:val="en-US" w:eastAsia="zh-CN"/>
              </w:rPr>
              <w:t>落实政府采购政策需满足的资格要求</w:t>
            </w:r>
            <w:r>
              <w:rPr>
                <w:rFonts w:hint="eastAsia" w:ascii="宋体" w:hAnsi="宋体" w:eastAsia="宋体" w:cs="宋体"/>
                <w:b w:val="0"/>
                <w:bCs/>
                <w:i w:val="0"/>
                <w:iCs w:val="0"/>
                <w:sz w:val="21"/>
                <w:szCs w:val="21"/>
              </w:rPr>
              <w:t>。</w:t>
            </w:r>
          </w:p>
        </w:tc>
        <w:tc>
          <w:tcPr>
            <w:tcW w:w="709" w:type="dxa"/>
            <w:noWrap w:val="0"/>
            <w:vAlign w:val="center"/>
          </w:tcPr>
          <w:p>
            <w:pPr>
              <w:tabs>
                <w:tab w:val="left" w:pos="3850"/>
              </w:tabs>
              <w:spacing w:line="340" w:lineRule="exact"/>
              <w:jc w:val="center"/>
              <w:rPr>
                <w:rFonts w:hint="eastAsia" w:ascii="宋体" w:hAnsi="宋体" w:eastAsia="宋体" w:cs="宋体"/>
                <w:b w:val="0"/>
                <w:bCs/>
                <w:i w:val="0"/>
                <w:i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90" w:type="dxa"/>
            <w:vMerge w:val="continue"/>
            <w:noWrap w:val="0"/>
            <w:vAlign w:val="center"/>
          </w:tcPr>
          <w:p>
            <w:pPr>
              <w:spacing w:line="340" w:lineRule="exact"/>
              <w:jc w:val="center"/>
              <w:rPr>
                <w:rFonts w:hint="eastAsia" w:ascii="宋体" w:hAnsi="宋体" w:eastAsia="宋体" w:cs="宋体"/>
                <w:b w:val="0"/>
                <w:bCs/>
                <w:i w:val="0"/>
                <w:iCs w:val="0"/>
                <w:sz w:val="21"/>
                <w:szCs w:val="21"/>
              </w:rPr>
            </w:pPr>
          </w:p>
        </w:tc>
        <w:tc>
          <w:tcPr>
            <w:tcW w:w="776" w:type="dxa"/>
            <w:vMerge w:val="continue"/>
            <w:noWrap w:val="0"/>
            <w:vAlign w:val="center"/>
          </w:tcPr>
          <w:p>
            <w:pPr>
              <w:kinsoku w:val="0"/>
              <w:spacing w:line="340" w:lineRule="exact"/>
              <w:jc w:val="center"/>
              <w:rPr>
                <w:rFonts w:hint="eastAsia" w:ascii="宋体" w:hAnsi="宋体" w:eastAsia="宋体" w:cs="宋体"/>
                <w:b w:val="0"/>
                <w:bCs/>
                <w:i w:val="0"/>
                <w:iCs w:val="0"/>
                <w:sz w:val="21"/>
                <w:szCs w:val="21"/>
              </w:rPr>
            </w:pPr>
          </w:p>
        </w:tc>
        <w:tc>
          <w:tcPr>
            <w:tcW w:w="7709" w:type="dxa"/>
            <w:gridSpan w:val="3"/>
            <w:noWrap w:val="0"/>
            <w:vAlign w:val="center"/>
          </w:tcPr>
          <w:p>
            <w:pPr>
              <w:adjustRightInd w:val="0"/>
              <w:snapToGrid w:val="0"/>
              <w:spacing w:line="340" w:lineRule="exact"/>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（三）</w:t>
            </w:r>
            <w:r>
              <w:rPr>
                <w:rFonts w:hint="eastAsia" w:ascii="宋体" w:hAnsi="宋体" w:eastAsia="宋体" w:cs="宋体"/>
                <w:b w:val="0"/>
                <w:bCs/>
                <w:i w:val="0"/>
                <w:iCs w:val="0"/>
                <w:sz w:val="21"/>
                <w:szCs w:val="21"/>
                <w:lang w:val="en-US" w:eastAsia="zh-CN"/>
              </w:rPr>
              <w:t>本项目的特定资格要求</w:t>
            </w:r>
            <w:r>
              <w:rPr>
                <w:rFonts w:hint="eastAsia" w:ascii="宋体" w:hAnsi="宋体" w:eastAsia="宋体" w:cs="宋体"/>
                <w:b w:val="0"/>
                <w:bCs/>
                <w:i w:val="0"/>
                <w:iCs w:val="0"/>
                <w:sz w:val="21"/>
                <w:szCs w:val="21"/>
              </w:rPr>
              <w:t>（如有）。</w:t>
            </w:r>
          </w:p>
        </w:tc>
        <w:tc>
          <w:tcPr>
            <w:tcW w:w="709" w:type="dxa"/>
            <w:noWrap w:val="0"/>
            <w:vAlign w:val="center"/>
          </w:tcPr>
          <w:p>
            <w:pPr>
              <w:tabs>
                <w:tab w:val="left" w:pos="3850"/>
              </w:tabs>
              <w:spacing w:line="340" w:lineRule="exact"/>
              <w:jc w:val="center"/>
              <w:rPr>
                <w:rFonts w:hint="eastAsia" w:ascii="宋体" w:hAnsi="宋体" w:eastAsia="宋体" w:cs="宋体"/>
                <w:b w:val="0"/>
                <w:bCs/>
                <w:i w:val="0"/>
                <w:i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9984" w:type="dxa"/>
            <w:gridSpan w:val="6"/>
            <w:noWrap w:val="0"/>
            <w:vAlign w:val="center"/>
          </w:tcPr>
          <w:p>
            <w:pPr>
              <w:kinsoku w:val="0"/>
              <w:spacing w:line="340" w:lineRule="exact"/>
              <w:jc w:val="left"/>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注：以上材料</w:t>
            </w:r>
            <w:r>
              <w:rPr>
                <w:rFonts w:hint="eastAsia" w:cs="宋体"/>
                <w:b w:val="0"/>
                <w:bCs/>
                <w:i w:val="0"/>
                <w:iCs w:val="0"/>
                <w:sz w:val="21"/>
                <w:szCs w:val="21"/>
                <w:lang w:eastAsia="zh-CN"/>
              </w:rPr>
              <w:t>供应商</w:t>
            </w:r>
            <w:r>
              <w:rPr>
                <w:rFonts w:hint="eastAsia" w:ascii="宋体" w:hAnsi="宋体" w:eastAsia="宋体" w:cs="宋体"/>
                <w:b w:val="0"/>
                <w:bCs/>
                <w:i w:val="0"/>
                <w:iCs w:val="0"/>
                <w:sz w:val="21"/>
                <w:szCs w:val="21"/>
              </w:rPr>
              <w:t>有缺漏和不符合项的将会导致无效投标！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790" w:type="dxa"/>
            <w:noWrap w:val="0"/>
            <w:vAlign w:val="center"/>
          </w:tcPr>
          <w:p>
            <w:pPr>
              <w:spacing w:line="340" w:lineRule="exact"/>
              <w:jc w:val="center"/>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序号</w:t>
            </w:r>
          </w:p>
        </w:tc>
        <w:tc>
          <w:tcPr>
            <w:tcW w:w="776" w:type="dxa"/>
            <w:noWrap w:val="0"/>
            <w:vAlign w:val="center"/>
          </w:tcPr>
          <w:p>
            <w:pPr>
              <w:spacing w:line="340" w:lineRule="exact"/>
              <w:jc w:val="center"/>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项目</w:t>
            </w:r>
          </w:p>
        </w:tc>
        <w:tc>
          <w:tcPr>
            <w:tcW w:w="5802" w:type="dxa"/>
            <w:noWrap w:val="0"/>
            <w:vAlign w:val="center"/>
          </w:tcPr>
          <w:p>
            <w:pPr>
              <w:spacing w:line="340" w:lineRule="exact"/>
              <w:jc w:val="center"/>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评分标准</w:t>
            </w:r>
          </w:p>
        </w:tc>
        <w:tc>
          <w:tcPr>
            <w:tcW w:w="842" w:type="dxa"/>
            <w:noWrap w:val="0"/>
            <w:vAlign w:val="center"/>
          </w:tcPr>
          <w:p>
            <w:pPr>
              <w:spacing w:line="340" w:lineRule="exact"/>
              <w:jc w:val="center"/>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分值</w:t>
            </w:r>
          </w:p>
        </w:tc>
        <w:tc>
          <w:tcPr>
            <w:tcW w:w="1065" w:type="dxa"/>
            <w:noWrap w:val="0"/>
            <w:vAlign w:val="center"/>
          </w:tcPr>
          <w:p>
            <w:pPr>
              <w:spacing w:line="340" w:lineRule="exact"/>
              <w:jc w:val="center"/>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自评分</w:t>
            </w:r>
          </w:p>
        </w:tc>
        <w:tc>
          <w:tcPr>
            <w:tcW w:w="709" w:type="dxa"/>
            <w:noWrap w:val="0"/>
            <w:vAlign w:val="center"/>
          </w:tcPr>
          <w:p>
            <w:pPr>
              <w:spacing w:line="340" w:lineRule="exact"/>
              <w:jc w:val="center"/>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90" w:type="dxa"/>
            <w:noWrap w:val="0"/>
            <w:vAlign w:val="center"/>
          </w:tcPr>
          <w:p>
            <w:pPr>
              <w:spacing w:line="340" w:lineRule="exact"/>
              <w:jc w:val="center"/>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1</w:t>
            </w:r>
          </w:p>
        </w:tc>
        <w:tc>
          <w:tcPr>
            <w:tcW w:w="776" w:type="dxa"/>
            <w:noWrap w:val="0"/>
            <w:vAlign w:val="center"/>
          </w:tcPr>
          <w:p>
            <w:pPr>
              <w:keepNext/>
              <w:tabs>
                <w:tab w:val="left" w:pos="3808"/>
              </w:tabs>
              <w:adjustRightInd w:val="0"/>
              <w:snapToGrid w:val="0"/>
              <w:spacing w:line="340" w:lineRule="exact"/>
              <w:jc w:val="center"/>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w:t>
            </w:r>
          </w:p>
        </w:tc>
        <w:tc>
          <w:tcPr>
            <w:tcW w:w="5802" w:type="dxa"/>
            <w:noWrap w:val="0"/>
            <w:vAlign w:val="center"/>
          </w:tcPr>
          <w:p>
            <w:pPr>
              <w:keepNext/>
              <w:tabs>
                <w:tab w:val="left" w:pos="3808"/>
              </w:tabs>
              <w:adjustRightInd w:val="0"/>
              <w:snapToGrid w:val="0"/>
              <w:spacing w:line="340" w:lineRule="exact"/>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…（请按技术评分标准填写）</w:t>
            </w:r>
          </w:p>
        </w:tc>
        <w:tc>
          <w:tcPr>
            <w:tcW w:w="842" w:type="dxa"/>
            <w:noWrap w:val="0"/>
            <w:vAlign w:val="center"/>
          </w:tcPr>
          <w:p>
            <w:pPr>
              <w:keepNext/>
              <w:tabs>
                <w:tab w:val="left" w:pos="3808"/>
              </w:tabs>
              <w:adjustRightInd w:val="0"/>
              <w:snapToGrid w:val="0"/>
              <w:spacing w:line="340" w:lineRule="exact"/>
              <w:jc w:val="center"/>
              <w:rPr>
                <w:rFonts w:hint="eastAsia" w:ascii="宋体" w:hAnsi="宋体" w:eastAsia="宋体" w:cs="宋体"/>
                <w:b w:val="0"/>
                <w:bCs/>
                <w:i w:val="0"/>
                <w:iCs w:val="0"/>
                <w:spacing w:val="20"/>
                <w:sz w:val="21"/>
                <w:szCs w:val="21"/>
              </w:rPr>
            </w:pPr>
          </w:p>
        </w:tc>
        <w:tc>
          <w:tcPr>
            <w:tcW w:w="1065" w:type="dxa"/>
            <w:noWrap w:val="0"/>
            <w:vAlign w:val="center"/>
          </w:tcPr>
          <w:p>
            <w:pPr>
              <w:keepNext/>
              <w:tabs>
                <w:tab w:val="left" w:pos="3808"/>
              </w:tabs>
              <w:adjustRightInd w:val="0"/>
              <w:snapToGrid w:val="0"/>
              <w:spacing w:line="340" w:lineRule="exact"/>
              <w:jc w:val="center"/>
              <w:rPr>
                <w:rFonts w:hint="eastAsia" w:ascii="宋体" w:hAnsi="宋体" w:eastAsia="宋体" w:cs="宋体"/>
                <w:b w:val="0"/>
                <w:bCs/>
                <w:i w:val="0"/>
                <w:iCs w:val="0"/>
                <w:spacing w:val="20"/>
                <w:sz w:val="21"/>
                <w:szCs w:val="21"/>
              </w:rPr>
            </w:pPr>
          </w:p>
        </w:tc>
        <w:tc>
          <w:tcPr>
            <w:tcW w:w="709" w:type="dxa"/>
            <w:noWrap w:val="0"/>
            <w:vAlign w:val="center"/>
          </w:tcPr>
          <w:p>
            <w:pPr>
              <w:keepNext/>
              <w:tabs>
                <w:tab w:val="left" w:pos="3808"/>
              </w:tabs>
              <w:adjustRightInd w:val="0"/>
              <w:snapToGrid w:val="0"/>
              <w:spacing w:line="340" w:lineRule="exact"/>
              <w:jc w:val="center"/>
              <w:rPr>
                <w:rFonts w:hint="eastAsia" w:ascii="宋体" w:hAnsi="宋体" w:eastAsia="宋体" w:cs="宋体"/>
                <w:b w:val="0"/>
                <w:bCs/>
                <w:i w:val="0"/>
                <w:iCs w:val="0"/>
                <w:spacing w:val="2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90" w:type="dxa"/>
            <w:noWrap w:val="0"/>
            <w:vAlign w:val="center"/>
          </w:tcPr>
          <w:p>
            <w:pPr>
              <w:spacing w:line="340" w:lineRule="exact"/>
              <w:jc w:val="center"/>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2</w:t>
            </w:r>
          </w:p>
        </w:tc>
        <w:tc>
          <w:tcPr>
            <w:tcW w:w="776" w:type="dxa"/>
            <w:noWrap w:val="0"/>
            <w:vAlign w:val="center"/>
          </w:tcPr>
          <w:p>
            <w:pPr>
              <w:keepNext/>
              <w:tabs>
                <w:tab w:val="left" w:pos="3808"/>
              </w:tabs>
              <w:adjustRightInd w:val="0"/>
              <w:snapToGrid w:val="0"/>
              <w:spacing w:line="340" w:lineRule="exact"/>
              <w:jc w:val="center"/>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w:t>
            </w:r>
          </w:p>
        </w:tc>
        <w:tc>
          <w:tcPr>
            <w:tcW w:w="5802" w:type="dxa"/>
            <w:noWrap w:val="0"/>
            <w:vAlign w:val="center"/>
          </w:tcPr>
          <w:p>
            <w:pPr>
              <w:keepNext/>
              <w:tabs>
                <w:tab w:val="left" w:pos="3808"/>
              </w:tabs>
              <w:adjustRightInd w:val="0"/>
              <w:snapToGrid w:val="0"/>
              <w:spacing w:line="340" w:lineRule="exact"/>
              <w:rPr>
                <w:rFonts w:hint="eastAsia" w:ascii="宋体" w:hAnsi="宋体" w:eastAsia="宋体" w:cs="宋体"/>
                <w:b w:val="0"/>
                <w:bCs/>
                <w:i w:val="0"/>
                <w:iCs w:val="0"/>
                <w:sz w:val="21"/>
                <w:szCs w:val="21"/>
              </w:rPr>
            </w:pPr>
            <w:r>
              <w:rPr>
                <w:rFonts w:hint="eastAsia" w:ascii="宋体" w:hAnsi="宋体" w:eastAsia="宋体" w:cs="宋体"/>
                <w:b w:val="0"/>
                <w:bCs/>
                <w:i w:val="0"/>
                <w:iCs w:val="0"/>
                <w:sz w:val="21"/>
                <w:szCs w:val="21"/>
              </w:rPr>
              <w:t>…</w:t>
            </w:r>
          </w:p>
        </w:tc>
        <w:tc>
          <w:tcPr>
            <w:tcW w:w="842" w:type="dxa"/>
            <w:noWrap w:val="0"/>
            <w:vAlign w:val="center"/>
          </w:tcPr>
          <w:p>
            <w:pPr>
              <w:keepNext/>
              <w:tabs>
                <w:tab w:val="left" w:pos="3808"/>
              </w:tabs>
              <w:adjustRightInd w:val="0"/>
              <w:snapToGrid w:val="0"/>
              <w:spacing w:line="340" w:lineRule="exact"/>
              <w:jc w:val="center"/>
              <w:rPr>
                <w:rFonts w:hint="eastAsia" w:ascii="宋体" w:hAnsi="宋体" w:eastAsia="宋体" w:cs="宋体"/>
                <w:b w:val="0"/>
                <w:bCs/>
                <w:i w:val="0"/>
                <w:iCs w:val="0"/>
                <w:spacing w:val="20"/>
                <w:sz w:val="21"/>
                <w:szCs w:val="21"/>
              </w:rPr>
            </w:pPr>
          </w:p>
        </w:tc>
        <w:tc>
          <w:tcPr>
            <w:tcW w:w="1065" w:type="dxa"/>
            <w:noWrap w:val="0"/>
            <w:vAlign w:val="center"/>
          </w:tcPr>
          <w:p>
            <w:pPr>
              <w:keepNext/>
              <w:tabs>
                <w:tab w:val="left" w:pos="3808"/>
              </w:tabs>
              <w:adjustRightInd w:val="0"/>
              <w:snapToGrid w:val="0"/>
              <w:spacing w:line="340" w:lineRule="exact"/>
              <w:jc w:val="center"/>
              <w:rPr>
                <w:rFonts w:hint="eastAsia" w:ascii="宋体" w:hAnsi="宋体" w:eastAsia="宋体" w:cs="宋体"/>
                <w:b w:val="0"/>
                <w:bCs/>
                <w:i w:val="0"/>
                <w:iCs w:val="0"/>
                <w:spacing w:val="20"/>
                <w:sz w:val="21"/>
                <w:szCs w:val="21"/>
              </w:rPr>
            </w:pPr>
          </w:p>
        </w:tc>
        <w:tc>
          <w:tcPr>
            <w:tcW w:w="709" w:type="dxa"/>
            <w:noWrap w:val="0"/>
            <w:vAlign w:val="center"/>
          </w:tcPr>
          <w:p>
            <w:pPr>
              <w:keepNext/>
              <w:tabs>
                <w:tab w:val="left" w:pos="3808"/>
              </w:tabs>
              <w:adjustRightInd w:val="0"/>
              <w:snapToGrid w:val="0"/>
              <w:spacing w:line="340" w:lineRule="exact"/>
              <w:jc w:val="center"/>
              <w:rPr>
                <w:rFonts w:hint="eastAsia" w:ascii="宋体" w:hAnsi="宋体" w:eastAsia="宋体" w:cs="宋体"/>
                <w:b w:val="0"/>
                <w:bCs/>
                <w:i w:val="0"/>
                <w:iCs w:val="0"/>
                <w:spacing w:val="20"/>
                <w:sz w:val="21"/>
                <w:szCs w:val="21"/>
              </w:rPr>
            </w:pPr>
          </w:p>
        </w:tc>
      </w:tr>
    </w:tbl>
    <w:p>
      <w:pPr>
        <w:bidi w:val="0"/>
        <w:rPr>
          <w:rFonts w:hint="eastAsia"/>
        </w:rPr>
      </w:pPr>
    </w:p>
    <w:p>
      <w:pPr>
        <w:shd w:val="clear" w:color="auto" w:fill="FFFFFF"/>
        <w:snapToGrid w:val="0"/>
        <w:spacing w:after="50"/>
        <w:rPr>
          <w:rFonts w:hint="eastAsia" w:ascii="宋体" w:hAnsi="宋体" w:eastAsia="宋体" w:cs="宋体"/>
          <w:sz w:val="21"/>
          <w:szCs w:val="21"/>
        </w:rPr>
      </w:pPr>
      <w:r>
        <w:rPr>
          <w:rFonts w:hint="eastAsia" w:ascii="宋体" w:hAnsi="宋体" w:eastAsia="宋体" w:cs="宋体"/>
          <w:b/>
          <w:spacing w:val="-4"/>
          <w:sz w:val="21"/>
          <w:szCs w:val="21"/>
        </w:rPr>
        <w:t>备注：该表格仅为方便评标之用，表格放置在技术</w:t>
      </w:r>
      <w:r>
        <w:rPr>
          <w:rFonts w:hint="eastAsia" w:cs="宋体"/>
          <w:b/>
          <w:spacing w:val="-4"/>
          <w:sz w:val="21"/>
          <w:szCs w:val="21"/>
          <w:lang w:eastAsia="zh-CN"/>
        </w:rPr>
        <w:t>商务</w:t>
      </w:r>
      <w:r>
        <w:rPr>
          <w:rFonts w:hint="eastAsia" w:ascii="宋体" w:hAnsi="宋体" w:eastAsia="宋体" w:cs="宋体"/>
          <w:b/>
          <w:spacing w:val="-4"/>
          <w:sz w:val="21"/>
          <w:szCs w:val="21"/>
        </w:rPr>
        <w:t>文件目录的前页，以方便评标委员会进行评审。</w:t>
      </w:r>
    </w:p>
    <w:p>
      <w:pPr>
        <w:pStyle w:val="25"/>
        <w:snapToGrid w:val="0"/>
        <w:spacing w:before="156" w:after="156" w:line="440" w:lineRule="exact"/>
        <w:outlineLvl w:val="0"/>
        <w:rPr>
          <w:rFonts w:hint="eastAsia" w:ascii="宋体" w:hAnsi="宋体" w:eastAsia="宋体" w:cs="宋体"/>
          <w:color w:val="auto"/>
          <w:sz w:val="24"/>
          <w:szCs w:val="24"/>
          <w:lang w:val="en-US" w:eastAsia="zh-CN"/>
        </w:rPr>
      </w:pPr>
      <w:bookmarkStart w:id="509" w:name="_Toc12226"/>
      <w:bookmarkStart w:id="510" w:name="_Toc1123"/>
      <w:bookmarkStart w:id="511" w:name="_Toc25978"/>
      <w:bookmarkStart w:id="512" w:name="_Toc10171"/>
      <w:bookmarkStart w:id="513" w:name="_Toc17211"/>
    </w:p>
    <w:p>
      <w:pPr>
        <w:pStyle w:val="25"/>
        <w:snapToGrid w:val="0"/>
        <w:spacing w:before="156" w:after="156" w:line="440" w:lineRule="exact"/>
        <w:outlineLvl w:val="0"/>
        <w:rPr>
          <w:rFonts w:hint="eastAsia" w:ascii="宋体" w:hAnsi="宋体" w:eastAsia="宋体" w:cs="宋体"/>
          <w:color w:val="auto"/>
          <w:sz w:val="24"/>
          <w:szCs w:val="24"/>
          <w:lang w:val="en-US" w:eastAsia="zh-CN"/>
        </w:rPr>
      </w:pPr>
    </w:p>
    <w:p>
      <w:pPr>
        <w:pStyle w:val="25"/>
        <w:snapToGrid w:val="0"/>
        <w:spacing w:before="156" w:after="156" w:line="440" w:lineRule="exact"/>
        <w:outlineLvl w:val="0"/>
        <w:rPr>
          <w:rFonts w:hint="eastAsia" w:ascii="宋体" w:hAnsi="宋体" w:eastAsia="宋体" w:cs="宋体"/>
          <w:color w:val="auto"/>
          <w:sz w:val="24"/>
          <w:szCs w:val="24"/>
          <w:lang w:val="en-US" w:eastAsia="zh-CN"/>
        </w:rPr>
      </w:pPr>
    </w:p>
    <w:p>
      <w:pPr>
        <w:pStyle w:val="13"/>
        <w:rPr>
          <w:rFonts w:hint="eastAsia" w:ascii="宋体" w:hAnsi="宋体" w:eastAsia="宋体" w:cs="宋体"/>
          <w:color w:val="auto"/>
          <w:sz w:val="24"/>
          <w:szCs w:val="24"/>
          <w:lang w:val="en-US" w:eastAsia="zh-CN"/>
        </w:rPr>
      </w:pPr>
    </w:p>
    <w:p>
      <w:pPr>
        <w:rPr>
          <w:rFonts w:hint="eastAsia" w:ascii="宋体" w:hAnsi="宋体" w:eastAsia="宋体" w:cs="宋体"/>
          <w:color w:val="auto"/>
          <w:sz w:val="24"/>
          <w:szCs w:val="24"/>
          <w:lang w:val="en-US" w:eastAsia="zh-CN"/>
        </w:rPr>
      </w:pPr>
    </w:p>
    <w:p>
      <w:pPr>
        <w:pStyle w:val="8"/>
        <w:rPr>
          <w:rFonts w:hint="eastAsia" w:ascii="宋体" w:hAnsi="宋体" w:eastAsia="宋体" w:cs="宋体"/>
          <w:color w:val="auto"/>
          <w:sz w:val="24"/>
          <w:szCs w:val="24"/>
          <w:lang w:val="en-US" w:eastAsia="zh-CN"/>
        </w:rPr>
      </w:pPr>
    </w:p>
    <w:p>
      <w:pPr>
        <w:rPr>
          <w:rFonts w:hint="eastAsia" w:ascii="宋体" w:hAnsi="宋体" w:eastAsia="宋体" w:cs="宋体"/>
          <w:color w:val="auto"/>
          <w:sz w:val="24"/>
          <w:szCs w:val="24"/>
          <w:lang w:val="en-US" w:eastAsia="zh-CN"/>
        </w:rPr>
      </w:pPr>
    </w:p>
    <w:p>
      <w:pPr>
        <w:pStyle w:val="8"/>
        <w:rPr>
          <w:rFonts w:hint="eastAsia" w:ascii="宋体" w:hAnsi="宋体" w:eastAsia="宋体" w:cs="宋体"/>
          <w:color w:val="auto"/>
          <w:sz w:val="24"/>
          <w:szCs w:val="24"/>
          <w:lang w:val="en-US" w:eastAsia="zh-CN"/>
        </w:rPr>
      </w:pPr>
    </w:p>
    <w:p>
      <w:pPr>
        <w:rPr>
          <w:rFonts w:hint="eastAsia" w:ascii="宋体" w:hAnsi="宋体" w:eastAsia="宋体" w:cs="宋体"/>
          <w:color w:val="auto"/>
          <w:sz w:val="24"/>
          <w:szCs w:val="24"/>
          <w:lang w:val="en-US" w:eastAsia="zh-CN"/>
        </w:rPr>
      </w:pPr>
    </w:p>
    <w:p>
      <w:pPr>
        <w:pStyle w:val="8"/>
        <w:rPr>
          <w:rFonts w:hint="eastAsia"/>
          <w:lang w:val="en-US" w:eastAsia="zh-CN"/>
        </w:rPr>
      </w:pPr>
    </w:p>
    <w:p>
      <w:pPr>
        <w:bidi w:val="0"/>
        <w:rPr>
          <w:rFonts w:hint="eastAsia"/>
          <w:lang w:val="en-US" w:eastAsia="zh-CN"/>
        </w:rPr>
      </w:pPr>
    </w:p>
    <w:p>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1"/>
          <w:szCs w:val="21"/>
          <w:lang w:val="en-US" w:eastAsia="zh-CN"/>
        </w:rPr>
        <w:t>报价</w:t>
      </w:r>
      <w:r>
        <w:rPr>
          <w:rFonts w:hint="eastAsia" w:ascii="宋体" w:hAnsi="宋体" w:eastAsia="宋体" w:cs="宋体"/>
          <w:color w:val="auto"/>
          <w:sz w:val="21"/>
          <w:szCs w:val="21"/>
        </w:rPr>
        <w:t>部分：</w:t>
      </w:r>
      <w:bookmarkEnd w:id="509"/>
      <w:bookmarkEnd w:id="510"/>
      <w:bookmarkEnd w:id="511"/>
      <w:bookmarkEnd w:id="512"/>
      <w:bookmarkEnd w:id="513"/>
      <w:r>
        <w:rPr>
          <w:rFonts w:hint="eastAsia" w:ascii="宋体" w:hAnsi="宋体" w:eastAsia="宋体" w:cs="宋体"/>
          <w:color w:val="auto"/>
          <w:sz w:val="24"/>
          <w:szCs w:val="24"/>
        </w:rPr>
        <w:tab/>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color w:val="auto"/>
          <w:sz w:val="24"/>
          <w:szCs w:val="24"/>
          <w:lang w:eastAsia="zh-CN"/>
        </w:rPr>
        <w:t>一、</w:t>
      </w:r>
      <w:r>
        <w:rPr>
          <w:rFonts w:hint="eastAsia" w:ascii="宋体" w:hAnsi="宋体" w:eastAsia="宋体" w:cs="宋体"/>
          <w:b/>
          <w:bCs/>
          <w:color w:val="auto"/>
          <w:sz w:val="24"/>
          <w:szCs w:val="24"/>
        </w:rPr>
        <w:t>开标一览表</w:t>
      </w:r>
    </w:p>
    <w:p>
      <w:pPr>
        <w:bidi w:val="0"/>
        <w:rPr>
          <w:rFonts w:hint="eastAsia" w:ascii="宋体" w:hAnsi="宋体" w:eastAsia="宋体" w:cs="宋体"/>
        </w:rPr>
      </w:pPr>
    </w:p>
    <w:p>
      <w:pPr>
        <w:spacing w:line="400" w:lineRule="exact"/>
        <w:textAlignment w:val="bottom"/>
        <w:rPr>
          <w:rFonts w:hint="eastAsia" w:ascii="宋体" w:hAnsi="宋体" w:eastAsia="宋体" w:cs="宋体"/>
          <w:color w:val="auto"/>
          <w:sz w:val="21"/>
          <w:szCs w:val="21"/>
          <w:lang w:eastAsia="zh-CN"/>
        </w:rPr>
      </w:pPr>
      <w:r>
        <w:rPr>
          <w:rFonts w:hint="eastAsia" w:ascii="宋体" w:hAnsi="宋体" w:eastAsia="宋体" w:cs="宋体"/>
          <w:color w:val="auto"/>
          <w:sz w:val="21"/>
          <w:szCs w:val="21"/>
        </w:rPr>
        <w:t>项目名称：</w:t>
      </w:r>
      <w:r>
        <w:rPr>
          <w:rFonts w:hint="eastAsia" w:cs="宋体"/>
          <w:color w:val="auto"/>
          <w:sz w:val="21"/>
          <w:szCs w:val="21"/>
          <w:lang w:eastAsia="zh-CN"/>
        </w:rPr>
        <w:t>金华市婺城区康复医院改扩建工程医疗定制家具采购项目</w:t>
      </w:r>
    </w:p>
    <w:p>
      <w:pPr>
        <w:spacing w:line="400" w:lineRule="exac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项目编号</w:t>
      </w:r>
      <w:r>
        <w:rPr>
          <w:rFonts w:hint="eastAsia" w:ascii="宋体" w:hAnsi="宋体" w:eastAsia="宋体" w:cs="宋体"/>
          <w:color w:val="auto"/>
          <w:sz w:val="21"/>
          <w:szCs w:val="21"/>
        </w:rPr>
        <w:t>：</w:t>
      </w:r>
    </w:p>
    <w:tbl>
      <w:tblPr>
        <w:tblStyle w:val="42"/>
        <w:tblW w:w="10457" w:type="dxa"/>
        <w:jc w:val="center"/>
        <w:tblLayout w:type="fixed"/>
        <w:tblCellMar>
          <w:top w:w="0" w:type="dxa"/>
          <w:left w:w="108" w:type="dxa"/>
          <w:bottom w:w="0" w:type="dxa"/>
          <w:right w:w="108" w:type="dxa"/>
        </w:tblCellMar>
      </w:tblPr>
      <w:tblGrid>
        <w:gridCol w:w="683"/>
        <w:gridCol w:w="2970"/>
        <w:gridCol w:w="1430"/>
        <w:gridCol w:w="3370"/>
        <w:gridCol w:w="1182"/>
        <w:gridCol w:w="822"/>
      </w:tblGrid>
      <w:tr>
        <w:tblPrEx>
          <w:tblCellMar>
            <w:top w:w="0" w:type="dxa"/>
            <w:left w:w="108" w:type="dxa"/>
            <w:bottom w:w="0" w:type="dxa"/>
            <w:right w:w="108" w:type="dxa"/>
          </w:tblCellMar>
        </w:tblPrEx>
        <w:trPr>
          <w:trHeight w:val="747" w:hRule="atLeast"/>
          <w:jc w:val="center"/>
        </w:trPr>
        <w:tc>
          <w:tcPr>
            <w:tcW w:w="6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2970" w:type="dxa"/>
            <w:tcBorders>
              <w:top w:val="single" w:color="auto" w:sz="4" w:space="0"/>
              <w:left w:val="nil"/>
              <w:bottom w:val="single" w:color="auto" w:sz="4" w:space="0"/>
              <w:right w:val="single" w:color="auto" w:sz="4" w:space="0"/>
            </w:tcBorders>
            <w:vAlign w:val="center"/>
          </w:tcPr>
          <w:p>
            <w:pPr>
              <w:adjustRightInd w:val="0"/>
              <w:snapToGrid w:val="0"/>
              <w:spacing w:line="360" w:lineRule="exact"/>
              <w:jc w:val="center"/>
              <w:rPr>
                <w:rFonts w:hint="eastAsia" w:ascii="宋体" w:hAnsi="宋体" w:eastAsia="宋体" w:cs="宋体"/>
                <w:b/>
                <w:bCs/>
                <w:color w:val="auto"/>
                <w:sz w:val="21"/>
                <w:szCs w:val="21"/>
              </w:rPr>
            </w:pPr>
            <w:r>
              <w:rPr>
                <w:rFonts w:hint="eastAsia" w:cs="宋体"/>
                <w:b/>
                <w:bCs/>
                <w:color w:val="auto"/>
                <w:sz w:val="21"/>
                <w:szCs w:val="21"/>
                <w:lang w:eastAsia="zh-CN"/>
              </w:rPr>
              <w:t>招标内容</w:t>
            </w:r>
          </w:p>
        </w:tc>
        <w:tc>
          <w:tcPr>
            <w:tcW w:w="1430" w:type="dxa"/>
            <w:tcBorders>
              <w:top w:val="single" w:color="auto" w:sz="4" w:space="0"/>
              <w:left w:val="nil"/>
              <w:bottom w:val="single" w:color="auto" w:sz="4" w:space="0"/>
              <w:right w:val="single" w:color="auto" w:sz="4" w:space="0"/>
            </w:tcBorders>
            <w:vAlign w:val="center"/>
          </w:tcPr>
          <w:p>
            <w:pPr>
              <w:spacing w:line="360" w:lineRule="exact"/>
              <w:ind w:right="-11"/>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数量（单位）</w:t>
            </w:r>
          </w:p>
        </w:tc>
        <w:tc>
          <w:tcPr>
            <w:tcW w:w="3370" w:type="dxa"/>
            <w:tcBorders>
              <w:top w:val="single" w:color="auto" w:sz="4" w:space="0"/>
              <w:left w:val="nil"/>
              <w:bottom w:val="single" w:color="auto" w:sz="4" w:space="0"/>
              <w:right w:val="single" w:color="auto" w:sz="4" w:space="0"/>
            </w:tcBorders>
            <w:vAlign w:val="center"/>
          </w:tcPr>
          <w:p>
            <w:pPr>
              <w:spacing w:line="360" w:lineRule="exact"/>
              <w:ind w:right="-11"/>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报价（元）</w:t>
            </w:r>
          </w:p>
        </w:tc>
        <w:tc>
          <w:tcPr>
            <w:tcW w:w="1182" w:type="dxa"/>
            <w:tcBorders>
              <w:top w:val="single" w:color="auto" w:sz="4" w:space="0"/>
              <w:left w:val="nil"/>
              <w:bottom w:val="single" w:color="auto" w:sz="4" w:space="0"/>
              <w:right w:val="single" w:color="auto" w:sz="4" w:space="0"/>
            </w:tcBorders>
            <w:vAlign w:val="center"/>
          </w:tcPr>
          <w:p>
            <w:pPr>
              <w:spacing w:line="360" w:lineRule="exact"/>
              <w:ind w:right="-11"/>
              <w:jc w:val="center"/>
              <w:rPr>
                <w:rFonts w:hint="eastAsia" w:ascii="宋体" w:hAnsi="宋体" w:eastAsia="宋体" w:cs="宋体"/>
                <w:b/>
                <w:bCs/>
                <w:color w:val="auto"/>
                <w:sz w:val="21"/>
                <w:szCs w:val="21"/>
                <w:lang w:val="en-US" w:eastAsia="zh-CN"/>
              </w:rPr>
            </w:pPr>
            <w:r>
              <w:rPr>
                <w:rFonts w:hint="eastAsia" w:cs="宋体"/>
                <w:b/>
                <w:bCs/>
                <w:color w:val="auto"/>
                <w:sz w:val="21"/>
                <w:szCs w:val="21"/>
                <w:lang w:val="en-US" w:eastAsia="zh-CN"/>
              </w:rPr>
              <w:t>供货期限</w:t>
            </w:r>
          </w:p>
        </w:tc>
        <w:tc>
          <w:tcPr>
            <w:tcW w:w="822" w:type="dxa"/>
            <w:tcBorders>
              <w:top w:val="single" w:color="auto" w:sz="4" w:space="0"/>
              <w:left w:val="nil"/>
              <w:bottom w:val="single" w:color="auto" w:sz="4" w:space="0"/>
              <w:right w:val="single" w:color="auto" w:sz="4" w:space="0"/>
            </w:tcBorders>
            <w:vAlign w:val="center"/>
          </w:tcPr>
          <w:p>
            <w:pPr>
              <w:spacing w:line="360" w:lineRule="exact"/>
              <w:ind w:right="-11"/>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备注</w:t>
            </w:r>
          </w:p>
        </w:tc>
      </w:tr>
      <w:tr>
        <w:tblPrEx>
          <w:tblCellMar>
            <w:top w:w="0" w:type="dxa"/>
            <w:left w:w="108" w:type="dxa"/>
            <w:bottom w:w="0" w:type="dxa"/>
            <w:right w:w="108" w:type="dxa"/>
          </w:tblCellMar>
        </w:tblPrEx>
        <w:trPr>
          <w:trHeight w:val="1358" w:hRule="atLeast"/>
          <w:jc w:val="center"/>
        </w:trPr>
        <w:tc>
          <w:tcPr>
            <w:tcW w:w="68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 </w:t>
            </w:r>
          </w:p>
        </w:tc>
        <w:tc>
          <w:tcPr>
            <w:tcW w:w="2970" w:type="dxa"/>
            <w:tcBorders>
              <w:top w:val="single" w:color="auto" w:sz="4" w:space="0"/>
              <w:left w:val="nil"/>
              <w:bottom w:val="single" w:color="auto" w:sz="4" w:space="0"/>
              <w:right w:val="single" w:color="auto" w:sz="4" w:space="0"/>
            </w:tcBorders>
            <w:vAlign w:val="center"/>
          </w:tcPr>
          <w:p>
            <w:pPr>
              <w:adjustRightInd w:val="0"/>
              <w:snapToGrid w:val="0"/>
              <w:spacing w:line="360" w:lineRule="exact"/>
              <w:jc w:val="center"/>
              <w:rPr>
                <w:rFonts w:hint="eastAsia" w:ascii="宋体" w:hAnsi="宋体" w:eastAsia="宋体" w:cs="宋体"/>
                <w:color w:val="auto"/>
                <w:sz w:val="21"/>
                <w:szCs w:val="21"/>
                <w:lang w:eastAsia="zh-CN"/>
              </w:rPr>
            </w:pPr>
            <w:r>
              <w:rPr>
                <w:rFonts w:hint="eastAsia" w:cs="宋体"/>
                <w:color w:val="auto"/>
                <w:sz w:val="21"/>
                <w:szCs w:val="21"/>
                <w:lang w:eastAsia="zh-CN"/>
              </w:rPr>
              <w:t>金华市婺城区康复医院改扩建工程医疗定制家具采购</w:t>
            </w:r>
          </w:p>
        </w:tc>
        <w:tc>
          <w:tcPr>
            <w:tcW w:w="1430" w:type="dxa"/>
            <w:tcBorders>
              <w:top w:val="single" w:color="auto" w:sz="4" w:space="0"/>
              <w:left w:val="nil"/>
              <w:bottom w:val="single" w:color="auto" w:sz="4" w:space="0"/>
              <w:right w:val="single" w:color="auto" w:sz="4" w:space="0"/>
            </w:tcBorders>
            <w:vAlign w:val="center"/>
          </w:tcPr>
          <w:p>
            <w:pPr>
              <w:adjustRightInd w:val="0"/>
              <w:snapToGrid w:val="0"/>
              <w:spacing w:line="3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批</w:t>
            </w:r>
          </w:p>
        </w:tc>
        <w:tc>
          <w:tcPr>
            <w:tcW w:w="3370" w:type="dxa"/>
            <w:tcBorders>
              <w:top w:val="single" w:color="auto" w:sz="4" w:space="0"/>
              <w:left w:val="nil"/>
              <w:bottom w:val="single" w:color="auto" w:sz="4" w:space="0"/>
              <w:right w:val="single" w:color="auto" w:sz="4" w:space="0"/>
            </w:tcBorders>
            <w:vAlign w:val="center"/>
          </w:tcPr>
          <w:p>
            <w:pPr>
              <w:adjustRightInd w:val="0"/>
              <w:snapToGrid w:val="0"/>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大写：人民币</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val="en-US" w:eastAsia="zh-CN"/>
              </w:rPr>
              <w:t>元整</w:t>
            </w:r>
          </w:p>
          <w:p>
            <w:pPr>
              <w:adjustRightInd w:val="0"/>
              <w:snapToGrid w:val="0"/>
              <w:spacing w:line="36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小写：</w:t>
            </w:r>
            <w:r>
              <w:rPr>
                <w:rFonts w:hint="default" w:ascii="宋体" w:hAnsi="宋体" w:eastAsia="宋体" w:cs="宋体"/>
                <w:color w:val="auto"/>
                <w:sz w:val="21"/>
                <w:szCs w:val="21"/>
                <w:lang w:val="en-US" w:eastAsia="zh-CN"/>
              </w:rPr>
              <w:t>¥</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val="en-US" w:eastAsia="zh-CN"/>
              </w:rPr>
              <w:t>元</w:t>
            </w:r>
          </w:p>
        </w:tc>
        <w:tc>
          <w:tcPr>
            <w:tcW w:w="1182" w:type="dxa"/>
            <w:tcBorders>
              <w:top w:val="single" w:color="auto" w:sz="4" w:space="0"/>
              <w:left w:val="nil"/>
              <w:bottom w:val="single" w:color="auto" w:sz="4" w:space="0"/>
              <w:right w:val="single" w:color="auto" w:sz="4" w:space="0"/>
            </w:tcBorders>
            <w:vAlign w:val="center"/>
          </w:tcPr>
          <w:p>
            <w:pPr>
              <w:adjustRightInd w:val="0"/>
              <w:snapToGrid w:val="0"/>
              <w:spacing w:line="360" w:lineRule="exact"/>
              <w:jc w:val="center"/>
              <w:rPr>
                <w:rFonts w:hint="eastAsia" w:ascii="宋体" w:hAnsi="宋体" w:eastAsia="宋体" w:cs="宋体"/>
                <w:color w:val="auto"/>
                <w:sz w:val="21"/>
                <w:szCs w:val="21"/>
                <w:lang w:eastAsia="zh-CN"/>
              </w:rPr>
            </w:pPr>
          </w:p>
        </w:tc>
        <w:tc>
          <w:tcPr>
            <w:tcW w:w="822" w:type="dxa"/>
            <w:tcBorders>
              <w:top w:val="single" w:color="auto" w:sz="4" w:space="0"/>
              <w:left w:val="nil"/>
              <w:bottom w:val="single" w:color="auto" w:sz="4" w:space="0"/>
              <w:right w:val="single" w:color="auto" w:sz="4" w:space="0"/>
            </w:tcBorders>
            <w:vAlign w:val="center"/>
          </w:tcPr>
          <w:p>
            <w:pPr>
              <w:adjustRightInd w:val="0"/>
              <w:snapToGrid w:val="0"/>
              <w:spacing w:line="360" w:lineRule="exact"/>
              <w:rPr>
                <w:rFonts w:hint="eastAsia" w:ascii="宋体" w:hAnsi="宋体" w:eastAsia="宋体" w:cs="宋体"/>
                <w:color w:val="auto"/>
                <w:sz w:val="21"/>
                <w:szCs w:val="21"/>
              </w:rPr>
            </w:pPr>
          </w:p>
        </w:tc>
      </w:tr>
    </w:tbl>
    <w:p>
      <w:pPr>
        <w:pStyle w:val="39"/>
        <w:spacing w:before="0" w:beforeAutospacing="0" w:after="0" w:afterAutospacing="0" w:line="400" w:lineRule="exact"/>
        <w:ind w:firstLine="420" w:firstLineChars="200"/>
        <w:rPr>
          <w:rFonts w:hint="eastAsia" w:ascii="宋体" w:hAnsi="宋体" w:eastAsia="宋体" w:cs="宋体"/>
          <w:color w:val="auto"/>
          <w:sz w:val="21"/>
          <w:szCs w:val="21"/>
        </w:rPr>
      </w:pPr>
    </w:p>
    <w:p>
      <w:pPr>
        <w:pStyle w:val="39"/>
        <w:spacing w:before="0" w:beforeAutospacing="0" w:after="0" w:afterAutospacing="0" w:line="400" w:lineRule="exact"/>
        <w:ind w:firstLine="420" w:firstLineChars="200"/>
        <w:rPr>
          <w:rFonts w:hint="eastAsia" w:cs="宋体"/>
          <w:color w:val="auto"/>
          <w:sz w:val="21"/>
          <w:szCs w:val="21"/>
          <w:lang w:eastAsia="zh-CN"/>
        </w:rPr>
      </w:pPr>
    </w:p>
    <w:p>
      <w:pPr>
        <w:autoSpaceDE w:val="0"/>
        <w:autoSpaceDN w:val="0"/>
        <w:spacing w:line="360" w:lineRule="auto"/>
        <w:ind w:left="2" w:firstLine="4620" w:firstLineChars="2200"/>
        <w:jc w:val="left"/>
        <w:rPr>
          <w:rFonts w:hint="eastAsia" w:ascii="宋体" w:hAnsi="宋体" w:eastAsia="宋体" w:cs="宋体"/>
          <w:kern w:val="0"/>
          <w:sz w:val="21"/>
          <w:szCs w:val="21"/>
          <w:lang w:val="zh-CN"/>
        </w:rPr>
      </w:pPr>
      <w:r>
        <w:rPr>
          <w:rFonts w:hint="eastAsia" w:ascii="宋体" w:hAnsi="宋体" w:eastAsia="宋体" w:cs="宋体"/>
          <w:kern w:val="0"/>
          <w:sz w:val="21"/>
          <w:szCs w:val="21"/>
          <w:lang w:val="zh-CN" w:eastAsia="zh-CN"/>
        </w:rPr>
        <w:t>供应商名称（电子签名）</w:t>
      </w:r>
      <w:r>
        <w:rPr>
          <w:rFonts w:hint="eastAsia" w:ascii="宋体" w:hAnsi="宋体" w:eastAsia="宋体" w:cs="宋体"/>
          <w:kern w:val="0"/>
          <w:sz w:val="21"/>
          <w:szCs w:val="21"/>
          <w:lang w:val="zh-CN"/>
        </w:rPr>
        <w:t>：</w:t>
      </w:r>
    </w:p>
    <w:p>
      <w:pPr>
        <w:autoSpaceDE w:val="0"/>
        <w:autoSpaceDN w:val="0"/>
        <w:spacing w:line="360" w:lineRule="auto"/>
        <w:ind w:left="2" w:firstLine="4620" w:firstLineChars="2200"/>
        <w:jc w:val="left"/>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法定代表人（</w:t>
      </w:r>
      <w:r>
        <w:rPr>
          <w:rFonts w:hint="eastAsia" w:ascii="宋体" w:hAnsi="宋体" w:eastAsia="宋体" w:cs="宋体"/>
          <w:kern w:val="0"/>
          <w:sz w:val="21"/>
          <w:szCs w:val="21"/>
          <w:lang w:val="zh-CN" w:eastAsia="zh-CN"/>
        </w:rPr>
        <w:t>电子章</w:t>
      </w:r>
      <w:r>
        <w:rPr>
          <w:rFonts w:hint="eastAsia" w:ascii="宋体" w:hAnsi="宋体" w:eastAsia="宋体" w:cs="宋体"/>
          <w:kern w:val="0"/>
          <w:sz w:val="21"/>
          <w:szCs w:val="21"/>
          <w:lang w:val="zh-CN"/>
        </w:rPr>
        <w:t>）：</w:t>
      </w:r>
    </w:p>
    <w:p>
      <w:pPr>
        <w:autoSpaceDE w:val="0"/>
        <w:autoSpaceDN w:val="0"/>
        <w:spacing w:line="360" w:lineRule="auto"/>
        <w:ind w:firstLine="4620" w:firstLineChars="2200"/>
        <w:jc w:val="left"/>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日期：</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年</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月</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日</w:t>
      </w:r>
    </w:p>
    <w:p>
      <w:pPr>
        <w:spacing w:line="360" w:lineRule="auto"/>
        <w:ind w:left="4620" w:leftChars="2200"/>
        <w:rPr>
          <w:rFonts w:ascii="宋体" w:hAnsi="宋体" w:cs="宋体"/>
          <w:sz w:val="21"/>
          <w:szCs w:val="21"/>
        </w:rPr>
      </w:pPr>
    </w:p>
    <w:p>
      <w:pPr>
        <w:pStyle w:val="25"/>
        <w:spacing w:before="156" w:after="156" w:line="450" w:lineRule="exact"/>
        <w:ind w:firstLine="3990" w:firstLineChars="1900"/>
        <w:rPr>
          <w:rFonts w:hint="eastAsia" w:ascii="宋体" w:hAnsi="宋体" w:eastAsia="宋体" w:cs="宋体"/>
          <w:color w:val="auto"/>
          <w:sz w:val="21"/>
          <w:szCs w:val="21"/>
        </w:rPr>
      </w:pPr>
    </w:p>
    <w:p>
      <w:pPr>
        <w:jc w:val="center"/>
        <w:rPr>
          <w:rFonts w:hint="eastAsia" w:ascii="宋体" w:hAnsi="宋体" w:eastAsia="宋体" w:cs="宋体"/>
          <w:b/>
          <w:bCs/>
          <w:color w:val="auto"/>
          <w:sz w:val="21"/>
          <w:szCs w:val="21"/>
        </w:rPr>
      </w:pPr>
    </w:p>
    <w:p>
      <w:pPr>
        <w:numPr>
          <w:ilvl w:val="0"/>
          <w:numId w:val="0"/>
        </w:numPr>
        <w:spacing w:line="360" w:lineRule="auto"/>
        <w:ind w:firstLine="422" w:firstLineChars="200"/>
        <w:rPr>
          <w:rFonts w:hint="eastAsia" w:ascii="宋体" w:hAnsi="宋体" w:eastAsia="宋体" w:cs="宋体"/>
          <w:b/>
          <w:bCs/>
          <w:color w:val="auto"/>
          <w:sz w:val="21"/>
          <w:szCs w:val="21"/>
          <w:highlight w:val="none"/>
        </w:rPr>
      </w:pPr>
      <w:r>
        <w:rPr>
          <w:rFonts w:hint="eastAsia" w:cs="宋体"/>
          <w:b/>
          <w:bCs/>
          <w:color w:val="auto"/>
          <w:sz w:val="21"/>
          <w:szCs w:val="21"/>
          <w:highlight w:val="none"/>
          <w:lang w:eastAsia="zh-CN"/>
        </w:rPr>
        <w:t>注：</w:t>
      </w:r>
      <w:r>
        <w:rPr>
          <w:rFonts w:hint="eastAsia" w:ascii="宋体" w:hAnsi="宋体" w:eastAsia="宋体" w:cs="宋体"/>
          <w:b/>
          <w:bCs/>
          <w:color w:val="auto"/>
          <w:sz w:val="21"/>
          <w:szCs w:val="21"/>
          <w:highlight w:val="none"/>
        </w:rPr>
        <w:t>投标报价为投标方所能承受的最低报价，</w:t>
      </w:r>
      <w:r>
        <w:rPr>
          <w:rFonts w:hint="eastAsia" w:ascii="宋体" w:hAnsi="宋体" w:eastAsia="宋体" w:cs="宋体"/>
          <w:b/>
          <w:bCs/>
          <w:color w:val="auto"/>
          <w:sz w:val="21"/>
          <w:szCs w:val="21"/>
          <w:highlight w:val="none"/>
          <w:lang w:eastAsia="zh-CN"/>
        </w:rPr>
        <w:t>应包括但不限于</w:t>
      </w:r>
      <w:r>
        <w:rPr>
          <w:rFonts w:hint="eastAsia" w:cs="宋体"/>
          <w:b/>
          <w:bCs/>
          <w:color w:val="auto"/>
          <w:sz w:val="21"/>
          <w:szCs w:val="21"/>
          <w:highlight w:val="none"/>
          <w:lang w:eastAsia="zh-CN"/>
        </w:rPr>
        <w:t>医疗</w:t>
      </w:r>
      <w:r>
        <w:rPr>
          <w:rFonts w:hint="eastAsia" w:ascii="宋体" w:hAnsi="宋体" w:eastAsia="宋体" w:cs="宋体"/>
          <w:b/>
          <w:bCs/>
          <w:color w:val="auto"/>
          <w:sz w:val="21"/>
          <w:szCs w:val="21"/>
          <w:highlight w:val="none"/>
          <w:lang w:eastAsia="zh-CN"/>
        </w:rPr>
        <w:t>家具的设计、打样、制造、仓储、供货、运输、安装、验收、检验检测、保险及质保期内的维护和缺陷的纠正及相关服务等全过程产生的所有成本和费用以及一切税费。</w:t>
      </w:r>
    </w:p>
    <w:p>
      <w:pPr>
        <w:pStyle w:val="25"/>
        <w:numPr>
          <w:ilvl w:val="0"/>
          <w:numId w:val="0"/>
        </w:numPr>
        <w:spacing w:beforeLines="0" w:afterLines="0"/>
        <w:ind w:firstLine="420" w:firstLineChars="200"/>
        <w:rPr>
          <w:rFonts w:hint="eastAsia" w:ascii="宋体" w:hAnsi="宋体" w:eastAsia="宋体" w:cs="宋体"/>
          <w:color w:val="auto"/>
          <w:sz w:val="21"/>
          <w:szCs w:val="21"/>
          <w:highlight w:val="none"/>
        </w:rPr>
      </w:pPr>
    </w:p>
    <w:p>
      <w:pPr>
        <w:pStyle w:val="25"/>
        <w:numPr>
          <w:ilvl w:val="0"/>
          <w:numId w:val="11"/>
        </w:numPr>
        <w:spacing w:beforeLines="0" w:afterLines="0"/>
        <w:ind w:left="0" w:leftChars="0" w:firstLine="420" w:firstLineChars="200"/>
        <w:rPr>
          <w:rFonts w:hint="eastAsia" w:ascii="宋体" w:hAnsi="宋体" w:eastAsia="宋体" w:cs="宋体"/>
          <w:color w:val="auto"/>
          <w:sz w:val="21"/>
          <w:szCs w:val="21"/>
          <w:highlight w:val="none"/>
        </w:rPr>
        <w:sectPr>
          <w:footerReference r:id="rId20" w:type="first"/>
          <w:footerReference r:id="rId19" w:type="default"/>
          <w:pgSz w:w="11905" w:h="16838"/>
          <w:pgMar w:top="1417" w:right="1417" w:bottom="1417" w:left="1417" w:header="851" w:footer="992" w:gutter="0"/>
          <w:pgNumType w:fmt="decimal"/>
          <w:cols w:space="0" w:num="1"/>
          <w:titlePg/>
          <w:rtlGutter w:val="0"/>
          <w:docGrid w:linePitch="312" w:charSpace="0"/>
        </w:sectPr>
      </w:pPr>
    </w:p>
    <w:p>
      <w:pPr>
        <w:pStyle w:val="25"/>
        <w:spacing w:beforeLines="0" w:afterLines="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二、报价明细表</w:t>
      </w:r>
    </w:p>
    <w:tbl>
      <w:tblPr>
        <w:tblStyle w:val="42"/>
        <w:tblpPr w:leftFromText="180" w:rightFromText="180" w:vertAnchor="text" w:horzAnchor="page" w:tblpX="1198" w:tblpY="239"/>
        <w:tblOverlap w:val="never"/>
        <w:tblW w:w="9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550"/>
        <w:gridCol w:w="1533"/>
        <w:gridCol w:w="1917"/>
        <w:gridCol w:w="867"/>
        <w:gridCol w:w="883"/>
        <w:gridCol w:w="717"/>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4" w:type="dxa"/>
            <w:vAlign w:val="center"/>
          </w:tcPr>
          <w:p>
            <w:pPr>
              <w:pStyle w:val="25"/>
              <w:spacing w:beforeLines="0" w:afterLines="0"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1550" w:type="dxa"/>
            <w:vAlign w:val="center"/>
          </w:tcPr>
          <w:p>
            <w:pPr>
              <w:spacing w:line="240" w:lineRule="auto"/>
              <w:jc w:val="center"/>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名称</w:t>
            </w:r>
          </w:p>
        </w:tc>
        <w:tc>
          <w:tcPr>
            <w:tcW w:w="1533" w:type="dxa"/>
            <w:vAlign w:val="center"/>
          </w:tcPr>
          <w:p>
            <w:pPr>
              <w:spacing w:line="240" w:lineRule="auto"/>
              <w:jc w:val="center"/>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品牌（如果有）</w:t>
            </w:r>
          </w:p>
        </w:tc>
        <w:tc>
          <w:tcPr>
            <w:tcW w:w="1917" w:type="dxa"/>
            <w:vAlign w:val="center"/>
          </w:tcPr>
          <w:p>
            <w:pPr>
              <w:spacing w:line="240" w:lineRule="auto"/>
              <w:jc w:val="center"/>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规格型号</w:t>
            </w:r>
          </w:p>
        </w:tc>
        <w:tc>
          <w:tcPr>
            <w:tcW w:w="867" w:type="dxa"/>
            <w:vAlign w:val="center"/>
          </w:tcPr>
          <w:p>
            <w:pPr>
              <w:spacing w:line="240" w:lineRule="auto"/>
              <w:jc w:val="center"/>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数量</w:t>
            </w:r>
          </w:p>
        </w:tc>
        <w:tc>
          <w:tcPr>
            <w:tcW w:w="883" w:type="dxa"/>
            <w:vAlign w:val="center"/>
          </w:tcPr>
          <w:p>
            <w:pPr>
              <w:spacing w:line="240" w:lineRule="auto"/>
              <w:jc w:val="center"/>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单价</w:t>
            </w:r>
          </w:p>
        </w:tc>
        <w:tc>
          <w:tcPr>
            <w:tcW w:w="717" w:type="dxa"/>
            <w:vAlign w:val="center"/>
          </w:tcPr>
          <w:p>
            <w:pPr>
              <w:spacing w:line="240" w:lineRule="auto"/>
              <w:jc w:val="center"/>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合计</w:t>
            </w:r>
          </w:p>
        </w:tc>
        <w:tc>
          <w:tcPr>
            <w:tcW w:w="1583" w:type="dxa"/>
            <w:vAlign w:val="center"/>
          </w:tcPr>
          <w:p>
            <w:pPr>
              <w:spacing w:line="240" w:lineRule="auto"/>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kern w:val="2"/>
                <w:sz w:val="21"/>
                <w:szCs w:val="21"/>
                <w:lang w:val="en-US" w:eastAsia="zh-CN" w:bidi="ar-SA"/>
              </w:rPr>
              <w:t>备注（如果有）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4" w:type="dxa"/>
            <w:vAlign w:val="center"/>
          </w:tcPr>
          <w:p>
            <w:pPr>
              <w:pStyle w:val="25"/>
              <w:spacing w:beforeLines="0" w:afterLines="0" w:line="24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1</w:t>
            </w:r>
          </w:p>
        </w:tc>
        <w:tc>
          <w:tcPr>
            <w:tcW w:w="1550" w:type="dxa"/>
            <w:vAlign w:val="center"/>
          </w:tcPr>
          <w:p>
            <w:pPr>
              <w:pStyle w:val="25"/>
              <w:spacing w:beforeLines="0" w:afterLines="0" w:line="240" w:lineRule="auto"/>
              <w:jc w:val="center"/>
              <w:rPr>
                <w:rFonts w:hint="eastAsia" w:ascii="宋体" w:hAnsi="宋体" w:eastAsia="宋体" w:cs="宋体"/>
                <w:b w:val="0"/>
                <w:bCs w:val="0"/>
                <w:color w:val="auto"/>
                <w:sz w:val="21"/>
                <w:szCs w:val="21"/>
              </w:rPr>
            </w:pPr>
          </w:p>
        </w:tc>
        <w:tc>
          <w:tcPr>
            <w:tcW w:w="1533"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1917"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867"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883"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717"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1583" w:type="dxa"/>
            <w:vAlign w:val="center"/>
          </w:tcPr>
          <w:p>
            <w:pPr>
              <w:pStyle w:val="25"/>
              <w:spacing w:beforeLines="0" w:afterLines="0" w:line="240" w:lineRule="auto"/>
              <w:jc w:val="center"/>
              <w:rPr>
                <w:rFonts w:hint="eastAsia" w:ascii="宋体" w:hAnsi="宋体" w:eastAsia="宋体" w:cs="宋体"/>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4" w:type="dxa"/>
            <w:vAlign w:val="center"/>
          </w:tcPr>
          <w:p>
            <w:pPr>
              <w:pStyle w:val="25"/>
              <w:spacing w:beforeLines="0" w:afterLines="0" w:line="24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2</w:t>
            </w:r>
          </w:p>
        </w:tc>
        <w:tc>
          <w:tcPr>
            <w:tcW w:w="1550" w:type="dxa"/>
            <w:vAlign w:val="center"/>
          </w:tcPr>
          <w:p>
            <w:pPr>
              <w:pStyle w:val="25"/>
              <w:spacing w:beforeLines="0" w:afterLines="0" w:line="240" w:lineRule="auto"/>
              <w:jc w:val="center"/>
              <w:rPr>
                <w:rFonts w:hint="eastAsia" w:ascii="宋体" w:hAnsi="宋体" w:eastAsia="宋体" w:cs="宋体"/>
                <w:b w:val="0"/>
                <w:bCs w:val="0"/>
                <w:color w:val="auto"/>
                <w:sz w:val="21"/>
                <w:szCs w:val="21"/>
              </w:rPr>
            </w:pPr>
          </w:p>
        </w:tc>
        <w:tc>
          <w:tcPr>
            <w:tcW w:w="1533"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1917"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867"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883"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717"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1583" w:type="dxa"/>
            <w:vAlign w:val="center"/>
          </w:tcPr>
          <w:p>
            <w:pPr>
              <w:pStyle w:val="25"/>
              <w:spacing w:beforeLines="0" w:afterLines="0" w:line="240" w:lineRule="auto"/>
              <w:jc w:val="center"/>
              <w:rPr>
                <w:rFonts w:hint="eastAsia" w:ascii="宋体" w:hAnsi="宋体" w:eastAsia="宋体" w:cs="宋体"/>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4" w:type="dxa"/>
            <w:vAlign w:val="center"/>
          </w:tcPr>
          <w:p>
            <w:pPr>
              <w:pStyle w:val="25"/>
              <w:spacing w:beforeLines="0" w:afterLines="0" w:line="240" w:lineRule="auto"/>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3</w:t>
            </w:r>
          </w:p>
        </w:tc>
        <w:tc>
          <w:tcPr>
            <w:tcW w:w="1550" w:type="dxa"/>
            <w:vAlign w:val="center"/>
          </w:tcPr>
          <w:p>
            <w:pPr>
              <w:pStyle w:val="25"/>
              <w:spacing w:beforeLines="0" w:afterLines="0" w:line="240" w:lineRule="auto"/>
              <w:jc w:val="center"/>
              <w:rPr>
                <w:rFonts w:hint="eastAsia" w:ascii="宋体" w:hAnsi="宋体" w:eastAsia="宋体" w:cs="宋体"/>
                <w:b w:val="0"/>
                <w:bCs w:val="0"/>
                <w:color w:val="auto"/>
                <w:sz w:val="21"/>
                <w:szCs w:val="21"/>
              </w:rPr>
            </w:pPr>
          </w:p>
        </w:tc>
        <w:tc>
          <w:tcPr>
            <w:tcW w:w="1533"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1917"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867"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883"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717" w:type="dxa"/>
            <w:vAlign w:val="center"/>
          </w:tcPr>
          <w:p>
            <w:pPr>
              <w:pStyle w:val="25"/>
              <w:spacing w:beforeLines="0" w:afterLines="0" w:line="240" w:lineRule="auto"/>
              <w:jc w:val="center"/>
              <w:rPr>
                <w:rFonts w:hint="eastAsia" w:ascii="宋体" w:hAnsi="宋体" w:eastAsia="宋体" w:cs="宋体"/>
                <w:b/>
                <w:bCs/>
                <w:color w:val="auto"/>
                <w:sz w:val="21"/>
                <w:szCs w:val="21"/>
              </w:rPr>
            </w:pPr>
          </w:p>
        </w:tc>
        <w:tc>
          <w:tcPr>
            <w:tcW w:w="1583" w:type="dxa"/>
            <w:vAlign w:val="center"/>
          </w:tcPr>
          <w:p>
            <w:pPr>
              <w:pStyle w:val="25"/>
              <w:spacing w:beforeLines="0" w:afterLines="0" w:line="240" w:lineRule="auto"/>
              <w:jc w:val="center"/>
              <w:rPr>
                <w:rFonts w:hint="eastAsia" w:ascii="宋体" w:hAnsi="宋体" w:eastAsia="宋体" w:cs="宋体"/>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4" w:type="dxa"/>
            <w:vAlign w:val="center"/>
          </w:tcPr>
          <w:p>
            <w:pPr>
              <w:pStyle w:val="25"/>
              <w:spacing w:beforeLines="0" w:afterLines="0"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4</w:t>
            </w:r>
          </w:p>
        </w:tc>
        <w:tc>
          <w:tcPr>
            <w:tcW w:w="1550" w:type="dxa"/>
            <w:vAlign w:val="center"/>
          </w:tcPr>
          <w:p>
            <w:pPr>
              <w:pStyle w:val="25"/>
              <w:spacing w:beforeLines="0" w:afterLines="0" w:line="240" w:lineRule="auto"/>
              <w:jc w:val="center"/>
              <w:rPr>
                <w:rFonts w:hint="eastAsia" w:ascii="宋体" w:hAnsi="宋体" w:eastAsia="宋体" w:cs="宋体"/>
                <w:b w:val="0"/>
                <w:bCs w:val="0"/>
                <w:sz w:val="21"/>
                <w:szCs w:val="21"/>
              </w:rPr>
            </w:pPr>
          </w:p>
        </w:tc>
        <w:tc>
          <w:tcPr>
            <w:tcW w:w="1533" w:type="dxa"/>
            <w:vAlign w:val="center"/>
          </w:tcPr>
          <w:p>
            <w:pPr>
              <w:pStyle w:val="25"/>
              <w:spacing w:beforeLines="0" w:afterLines="0" w:line="240" w:lineRule="auto"/>
              <w:jc w:val="center"/>
              <w:rPr>
                <w:rFonts w:hint="eastAsia" w:ascii="宋体" w:hAnsi="宋体" w:eastAsia="宋体" w:cs="宋体"/>
                <w:b/>
                <w:bCs/>
                <w:sz w:val="21"/>
                <w:szCs w:val="21"/>
              </w:rPr>
            </w:pPr>
          </w:p>
        </w:tc>
        <w:tc>
          <w:tcPr>
            <w:tcW w:w="1917" w:type="dxa"/>
            <w:vAlign w:val="center"/>
          </w:tcPr>
          <w:p>
            <w:pPr>
              <w:pStyle w:val="25"/>
              <w:spacing w:beforeLines="0" w:afterLines="0" w:line="240" w:lineRule="auto"/>
              <w:jc w:val="center"/>
              <w:rPr>
                <w:rFonts w:hint="eastAsia" w:ascii="宋体" w:hAnsi="宋体" w:eastAsia="宋体" w:cs="宋体"/>
                <w:b/>
                <w:bCs/>
                <w:sz w:val="21"/>
                <w:szCs w:val="21"/>
              </w:rPr>
            </w:pPr>
          </w:p>
        </w:tc>
        <w:tc>
          <w:tcPr>
            <w:tcW w:w="867" w:type="dxa"/>
            <w:vAlign w:val="center"/>
          </w:tcPr>
          <w:p>
            <w:pPr>
              <w:pStyle w:val="25"/>
              <w:spacing w:beforeLines="0" w:afterLines="0" w:line="240" w:lineRule="auto"/>
              <w:jc w:val="center"/>
              <w:rPr>
                <w:rFonts w:hint="eastAsia" w:ascii="宋体" w:hAnsi="宋体" w:eastAsia="宋体" w:cs="宋体"/>
                <w:b/>
                <w:bCs/>
                <w:sz w:val="21"/>
                <w:szCs w:val="21"/>
              </w:rPr>
            </w:pPr>
          </w:p>
        </w:tc>
        <w:tc>
          <w:tcPr>
            <w:tcW w:w="883" w:type="dxa"/>
            <w:vAlign w:val="center"/>
          </w:tcPr>
          <w:p>
            <w:pPr>
              <w:pStyle w:val="25"/>
              <w:spacing w:beforeLines="0" w:afterLines="0" w:line="240" w:lineRule="auto"/>
              <w:jc w:val="center"/>
              <w:rPr>
                <w:rFonts w:hint="eastAsia" w:ascii="宋体" w:hAnsi="宋体" w:eastAsia="宋体" w:cs="宋体"/>
                <w:b/>
                <w:bCs/>
                <w:sz w:val="21"/>
                <w:szCs w:val="21"/>
              </w:rPr>
            </w:pPr>
          </w:p>
        </w:tc>
        <w:tc>
          <w:tcPr>
            <w:tcW w:w="717" w:type="dxa"/>
            <w:vAlign w:val="center"/>
          </w:tcPr>
          <w:p>
            <w:pPr>
              <w:pStyle w:val="25"/>
              <w:spacing w:beforeLines="0" w:afterLines="0" w:line="240" w:lineRule="auto"/>
              <w:jc w:val="center"/>
              <w:rPr>
                <w:rFonts w:hint="eastAsia" w:ascii="宋体" w:hAnsi="宋体" w:eastAsia="宋体" w:cs="宋体"/>
                <w:b/>
                <w:bCs/>
                <w:sz w:val="21"/>
                <w:szCs w:val="21"/>
              </w:rPr>
            </w:pPr>
          </w:p>
        </w:tc>
        <w:tc>
          <w:tcPr>
            <w:tcW w:w="1583" w:type="dxa"/>
            <w:vAlign w:val="center"/>
          </w:tcPr>
          <w:p>
            <w:pPr>
              <w:pStyle w:val="25"/>
              <w:spacing w:beforeLines="0" w:afterLines="0" w:line="240" w:lineRule="auto"/>
              <w:jc w:val="center"/>
              <w:rPr>
                <w:rFonts w:hint="eastAsia" w:ascii="宋体" w:hAnsi="宋体" w:eastAsia="宋体" w:cs="宋体"/>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4" w:type="dxa"/>
            <w:vAlign w:val="center"/>
          </w:tcPr>
          <w:p>
            <w:pPr>
              <w:pStyle w:val="25"/>
              <w:spacing w:beforeLines="0" w:afterLines="0"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5</w:t>
            </w:r>
          </w:p>
        </w:tc>
        <w:tc>
          <w:tcPr>
            <w:tcW w:w="1550" w:type="dxa"/>
            <w:vAlign w:val="center"/>
          </w:tcPr>
          <w:p>
            <w:pPr>
              <w:pStyle w:val="25"/>
              <w:spacing w:beforeLines="0" w:afterLines="0" w:line="240" w:lineRule="auto"/>
              <w:jc w:val="center"/>
              <w:rPr>
                <w:rFonts w:hint="eastAsia" w:ascii="宋体" w:hAnsi="宋体" w:eastAsia="宋体" w:cs="宋体"/>
                <w:b w:val="0"/>
                <w:bCs w:val="0"/>
                <w:sz w:val="21"/>
                <w:szCs w:val="21"/>
              </w:rPr>
            </w:pPr>
          </w:p>
        </w:tc>
        <w:tc>
          <w:tcPr>
            <w:tcW w:w="1533" w:type="dxa"/>
            <w:vAlign w:val="center"/>
          </w:tcPr>
          <w:p>
            <w:pPr>
              <w:pStyle w:val="25"/>
              <w:spacing w:beforeLines="0" w:afterLines="0" w:line="240" w:lineRule="auto"/>
              <w:jc w:val="center"/>
              <w:rPr>
                <w:rFonts w:hint="eastAsia" w:ascii="宋体" w:hAnsi="宋体" w:eastAsia="宋体" w:cs="宋体"/>
                <w:b/>
                <w:bCs/>
                <w:sz w:val="21"/>
                <w:szCs w:val="21"/>
              </w:rPr>
            </w:pPr>
          </w:p>
        </w:tc>
        <w:tc>
          <w:tcPr>
            <w:tcW w:w="1917" w:type="dxa"/>
            <w:vAlign w:val="center"/>
          </w:tcPr>
          <w:p>
            <w:pPr>
              <w:pStyle w:val="25"/>
              <w:spacing w:beforeLines="0" w:afterLines="0" w:line="240" w:lineRule="auto"/>
              <w:jc w:val="center"/>
              <w:rPr>
                <w:rFonts w:hint="eastAsia" w:ascii="宋体" w:hAnsi="宋体" w:eastAsia="宋体" w:cs="宋体"/>
                <w:b/>
                <w:bCs/>
                <w:sz w:val="21"/>
                <w:szCs w:val="21"/>
              </w:rPr>
            </w:pPr>
          </w:p>
        </w:tc>
        <w:tc>
          <w:tcPr>
            <w:tcW w:w="867" w:type="dxa"/>
            <w:vAlign w:val="center"/>
          </w:tcPr>
          <w:p>
            <w:pPr>
              <w:pStyle w:val="25"/>
              <w:spacing w:beforeLines="0" w:afterLines="0" w:line="240" w:lineRule="auto"/>
              <w:jc w:val="center"/>
              <w:rPr>
                <w:rFonts w:hint="eastAsia" w:ascii="宋体" w:hAnsi="宋体" w:eastAsia="宋体" w:cs="宋体"/>
                <w:b/>
                <w:bCs/>
                <w:sz w:val="21"/>
                <w:szCs w:val="21"/>
              </w:rPr>
            </w:pPr>
          </w:p>
        </w:tc>
        <w:tc>
          <w:tcPr>
            <w:tcW w:w="883" w:type="dxa"/>
            <w:vAlign w:val="center"/>
          </w:tcPr>
          <w:p>
            <w:pPr>
              <w:pStyle w:val="25"/>
              <w:spacing w:beforeLines="0" w:afterLines="0" w:line="240" w:lineRule="auto"/>
              <w:jc w:val="center"/>
              <w:rPr>
                <w:rFonts w:hint="eastAsia" w:ascii="宋体" w:hAnsi="宋体" w:eastAsia="宋体" w:cs="宋体"/>
                <w:b/>
                <w:bCs/>
                <w:sz w:val="21"/>
                <w:szCs w:val="21"/>
              </w:rPr>
            </w:pPr>
          </w:p>
        </w:tc>
        <w:tc>
          <w:tcPr>
            <w:tcW w:w="717" w:type="dxa"/>
            <w:vAlign w:val="center"/>
          </w:tcPr>
          <w:p>
            <w:pPr>
              <w:pStyle w:val="25"/>
              <w:spacing w:beforeLines="0" w:afterLines="0" w:line="240" w:lineRule="auto"/>
              <w:jc w:val="center"/>
              <w:rPr>
                <w:rFonts w:hint="eastAsia" w:ascii="宋体" w:hAnsi="宋体" w:eastAsia="宋体" w:cs="宋体"/>
                <w:b/>
                <w:bCs/>
                <w:sz w:val="21"/>
                <w:szCs w:val="21"/>
              </w:rPr>
            </w:pPr>
          </w:p>
        </w:tc>
        <w:tc>
          <w:tcPr>
            <w:tcW w:w="1583" w:type="dxa"/>
            <w:vAlign w:val="center"/>
          </w:tcPr>
          <w:p>
            <w:pPr>
              <w:pStyle w:val="25"/>
              <w:spacing w:beforeLines="0" w:afterLines="0" w:line="240" w:lineRule="auto"/>
              <w:jc w:val="center"/>
              <w:rPr>
                <w:rFonts w:hint="eastAsia" w:ascii="宋体" w:hAnsi="宋体" w:eastAsia="宋体" w:cs="宋体"/>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4" w:type="dxa"/>
            <w:vAlign w:val="center"/>
          </w:tcPr>
          <w:p>
            <w:pPr>
              <w:pStyle w:val="25"/>
              <w:spacing w:beforeLines="0" w:afterLines="0"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6</w:t>
            </w:r>
          </w:p>
        </w:tc>
        <w:tc>
          <w:tcPr>
            <w:tcW w:w="1550" w:type="dxa"/>
            <w:vAlign w:val="center"/>
          </w:tcPr>
          <w:p>
            <w:pPr>
              <w:pStyle w:val="25"/>
              <w:spacing w:beforeLines="0" w:afterLines="0" w:line="240" w:lineRule="auto"/>
              <w:jc w:val="center"/>
              <w:rPr>
                <w:rFonts w:hint="eastAsia" w:ascii="宋体" w:hAnsi="宋体" w:eastAsia="宋体" w:cs="宋体"/>
                <w:b w:val="0"/>
                <w:bCs w:val="0"/>
                <w:sz w:val="21"/>
                <w:szCs w:val="21"/>
              </w:rPr>
            </w:pPr>
          </w:p>
        </w:tc>
        <w:tc>
          <w:tcPr>
            <w:tcW w:w="1533" w:type="dxa"/>
            <w:vAlign w:val="center"/>
          </w:tcPr>
          <w:p>
            <w:pPr>
              <w:pStyle w:val="25"/>
              <w:spacing w:beforeLines="0" w:afterLines="0" w:line="240" w:lineRule="auto"/>
              <w:jc w:val="center"/>
              <w:rPr>
                <w:rFonts w:hint="eastAsia" w:ascii="宋体" w:hAnsi="宋体" w:eastAsia="宋体" w:cs="宋体"/>
                <w:b/>
                <w:bCs/>
                <w:sz w:val="21"/>
                <w:szCs w:val="21"/>
              </w:rPr>
            </w:pPr>
          </w:p>
        </w:tc>
        <w:tc>
          <w:tcPr>
            <w:tcW w:w="1917" w:type="dxa"/>
            <w:vAlign w:val="center"/>
          </w:tcPr>
          <w:p>
            <w:pPr>
              <w:pStyle w:val="25"/>
              <w:spacing w:beforeLines="0" w:afterLines="0" w:line="240" w:lineRule="auto"/>
              <w:jc w:val="center"/>
              <w:rPr>
                <w:rFonts w:hint="eastAsia" w:ascii="宋体" w:hAnsi="宋体" w:eastAsia="宋体" w:cs="宋体"/>
                <w:b/>
                <w:bCs/>
                <w:sz w:val="21"/>
                <w:szCs w:val="21"/>
              </w:rPr>
            </w:pPr>
          </w:p>
        </w:tc>
        <w:tc>
          <w:tcPr>
            <w:tcW w:w="867" w:type="dxa"/>
            <w:vAlign w:val="center"/>
          </w:tcPr>
          <w:p>
            <w:pPr>
              <w:pStyle w:val="25"/>
              <w:spacing w:beforeLines="0" w:afterLines="0" w:line="240" w:lineRule="auto"/>
              <w:jc w:val="center"/>
              <w:rPr>
                <w:rFonts w:hint="eastAsia" w:ascii="宋体" w:hAnsi="宋体" w:eastAsia="宋体" w:cs="宋体"/>
                <w:b/>
                <w:bCs/>
                <w:sz w:val="21"/>
                <w:szCs w:val="21"/>
              </w:rPr>
            </w:pPr>
          </w:p>
        </w:tc>
        <w:tc>
          <w:tcPr>
            <w:tcW w:w="883" w:type="dxa"/>
            <w:vAlign w:val="center"/>
          </w:tcPr>
          <w:p>
            <w:pPr>
              <w:pStyle w:val="25"/>
              <w:spacing w:beforeLines="0" w:afterLines="0" w:line="240" w:lineRule="auto"/>
              <w:jc w:val="center"/>
              <w:rPr>
                <w:rFonts w:hint="eastAsia" w:ascii="宋体" w:hAnsi="宋体" w:eastAsia="宋体" w:cs="宋体"/>
                <w:b/>
                <w:bCs/>
                <w:sz w:val="21"/>
                <w:szCs w:val="21"/>
              </w:rPr>
            </w:pPr>
          </w:p>
        </w:tc>
        <w:tc>
          <w:tcPr>
            <w:tcW w:w="717" w:type="dxa"/>
            <w:vAlign w:val="center"/>
          </w:tcPr>
          <w:p>
            <w:pPr>
              <w:pStyle w:val="25"/>
              <w:spacing w:beforeLines="0" w:afterLines="0" w:line="240" w:lineRule="auto"/>
              <w:jc w:val="center"/>
              <w:rPr>
                <w:rFonts w:hint="eastAsia" w:ascii="宋体" w:hAnsi="宋体" w:eastAsia="宋体" w:cs="宋体"/>
                <w:b/>
                <w:bCs/>
                <w:sz w:val="21"/>
                <w:szCs w:val="21"/>
              </w:rPr>
            </w:pPr>
          </w:p>
        </w:tc>
        <w:tc>
          <w:tcPr>
            <w:tcW w:w="1583" w:type="dxa"/>
            <w:vAlign w:val="center"/>
          </w:tcPr>
          <w:p>
            <w:pPr>
              <w:pStyle w:val="25"/>
              <w:spacing w:beforeLines="0" w:afterLines="0" w:line="240" w:lineRule="auto"/>
              <w:jc w:val="center"/>
              <w:rPr>
                <w:rFonts w:hint="eastAsia" w:ascii="宋体" w:hAnsi="宋体" w:eastAsia="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4" w:type="dxa"/>
            <w:vAlign w:val="center"/>
          </w:tcPr>
          <w:p>
            <w:pPr>
              <w:pStyle w:val="25"/>
              <w:spacing w:beforeLines="0" w:afterLines="0"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7</w:t>
            </w:r>
          </w:p>
        </w:tc>
        <w:tc>
          <w:tcPr>
            <w:tcW w:w="1550" w:type="dxa"/>
            <w:vAlign w:val="center"/>
          </w:tcPr>
          <w:p>
            <w:pPr>
              <w:pStyle w:val="25"/>
              <w:spacing w:beforeLines="0" w:afterLines="0" w:line="240" w:lineRule="auto"/>
              <w:jc w:val="center"/>
              <w:rPr>
                <w:rFonts w:hint="eastAsia" w:ascii="宋体" w:hAnsi="宋体" w:eastAsia="宋体" w:cs="宋体"/>
                <w:b w:val="0"/>
                <w:bCs w:val="0"/>
                <w:sz w:val="21"/>
                <w:szCs w:val="21"/>
              </w:rPr>
            </w:pPr>
          </w:p>
        </w:tc>
        <w:tc>
          <w:tcPr>
            <w:tcW w:w="1533" w:type="dxa"/>
            <w:vAlign w:val="center"/>
          </w:tcPr>
          <w:p>
            <w:pPr>
              <w:pStyle w:val="25"/>
              <w:spacing w:beforeLines="0" w:afterLines="0" w:line="240" w:lineRule="auto"/>
              <w:jc w:val="center"/>
              <w:rPr>
                <w:rFonts w:hint="eastAsia" w:ascii="宋体" w:hAnsi="宋体" w:eastAsia="宋体" w:cs="宋体"/>
                <w:b/>
                <w:bCs/>
                <w:sz w:val="21"/>
                <w:szCs w:val="21"/>
              </w:rPr>
            </w:pPr>
          </w:p>
        </w:tc>
        <w:tc>
          <w:tcPr>
            <w:tcW w:w="1917" w:type="dxa"/>
            <w:vAlign w:val="center"/>
          </w:tcPr>
          <w:p>
            <w:pPr>
              <w:pStyle w:val="25"/>
              <w:spacing w:beforeLines="0" w:afterLines="0" w:line="240" w:lineRule="auto"/>
              <w:jc w:val="center"/>
              <w:rPr>
                <w:rFonts w:hint="eastAsia" w:ascii="宋体" w:hAnsi="宋体" w:eastAsia="宋体" w:cs="宋体"/>
                <w:b/>
                <w:bCs/>
                <w:sz w:val="21"/>
                <w:szCs w:val="21"/>
              </w:rPr>
            </w:pPr>
          </w:p>
        </w:tc>
        <w:tc>
          <w:tcPr>
            <w:tcW w:w="867" w:type="dxa"/>
            <w:vAlign w:val="center"/>
          </w:tcPr>
          <w:p>
            <w:pPr>
              <w:pStyle w:val="25"/>
              <w:spacing w:beforeLines="0" w:afterLines="0" w:line="240" w:lineRule="auto"/>
              <w:jc w:val="center"/>
              <w:rPr>
                <w:rFonts w:hint="eastAsia" w:ascii="宋体" w:hAnsi="宋体" w:eastAsia="宋体" w:cs="宋体"/>
                <w:b/>
                <w:bCs/>
                <w:sz w:val="21"/>
                <w:szCs w:val="21"/>
              </w:rPr>
            </w:pPr>
          </w:p>
        </w:tc>
        <w:tc>
          <w:tcPr>
            <w:tcW w:w="883" w:type="dxa"/>
            <w:vAlign w:val="center"/>
          </w:tcPr>
          <w:p>
            <w:pPr>
              <w:pStyle w:val="25"/>
              <w:spacing w:beforeLines="0" w:afterLines="0" w:line="240" w:lineRule="auto"/>
              <w:jc w:val="center"/>
              <w:rPr>
                <w:rFonts w:hint="eastAsia" w:ascii="宋体" w:hAnsi="宋体" w:eastAsia="宋体" w:cs="宋体"/>
                <w:b/>
                <w:bCs/>
                <w:sz w:val="21"/>
                <w:szCs w:val="21"/>
              </w:rPr>
            </w:pPr>
          </w:p>
        </w:tc>
        <w:tc>
          <w:tcPr>
            <w:tcW w:w="717" w:type="dxa"/>
            <w:vAlign w:val="center"/>
          </w:tcPr>
          <w:p>
            <w:pPr>
              <w:pStyle w:val="25"/>
              <w:spacing w:beforeLines="0" w:afterLines="0" w:line="240" w:lineRule="auto"/>
              <w:jc w:val="center"/>
              <w:rPr>
                <w:rFonts w:hint="eastAsia" w:ascii="宋体" w:hAnsi="宋体" w:eastAsia="宋体" w:cs="宋体"/>
                <w:b/>
                <w:bCs/>
                <w:sz w:val="21"/>
                <w:szCs w:val="21"/>
              </w:rPr>
            </w:pPr>
          </w:p>
        </w:tc>
        <w:tc>
          <w:tcPr>
            <w:tcW w:w="1583" w:type="dxa"/>
            <w:vAlign w:val="center"/>
          </w:tcPr>
          <w:p>
            <w:pPr>
              <w:pStyle w:val="25"/>
              <w:spacing w:beforeLines="0" w:afterLines="0" w:line="240" w:lineRule="auto"/>
              <w:jc w:val="center"/>
              <w:rPr>
                <w:rFonts w:hint="eastAsia" w:ascii="宋体" w:hAnsi="宋体" w:eastAsia="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4" w:type="dxa"/>
            <w:vAlign w:val="center"/>
          </w:tcPr>
          <w:p>
            <w:pPr>
              <w:pStyle w:val="25"/>
              <w:spacing w:beforeLines="0" w:afterLines="0" w:line="240" w:lineRule="auto"/>
              <w:jc w:val="center"/>
              <w:rPr>
                <w:rFonts w:hint="eastAsia" w:ascii="宋体" w:hAnsi="宋体" w:eastAsia="宋体" w:cs="宋体"/>
                <w:b w:val="0"/>
                <w:bCs w:val="0"/>
                <w:sz w:val="21"/>
                <w:szCs w:val="21"/>
              </w:rPr>
            </w:pPr>
            <w:r>
              <w:rPr>
                <w:rFonts w:hint="eastAsia" w:ascii="宋体" w:hAnsi="宋体" w:eastAsia="宋体" w:cs="宋体"/>
                <w:b w:val="0"/>
                <w:bCs w:val="0"/>
                <w:sz w:val="21"/>
                <w:szCs w:val="21"/>
              </w:rPr>
              <w:t>...</w:t>
            </w:r>
          </w:p>
        </w:tc>
        <w:tc>
          <w:tcPr>
            <w:tcW w:w="1550" w:type="dxa"/>
            <w:vAlign w:val="center"/>
          </w:tcPr>
          <w:p>
            <w:pPr>
              <w:pStyle w:val="25"/>
              <w:spacing w:beforeLines="0" w:afterLines="0" w:line="240" w:lineRule="auto"/>
              <w:jc w:val="center"/>
              <w:rPr>
                <w:rFonts w:hint="eastAsia" w:ascii="宋体" w:hAnsi="宋体" w:eastAsia="宋体" w:cs="宋体"/>
                <w:b w:val="0"/>
                <w:bCs w:val="0"/>
                <w:sz w:val="21"/>
                <w:szCs w:val="21"/>
              </w:rPr>
            </w:pPr>
          </w:p>
        </w:tc>
        <w:tc>
          <w:tcPr>
            <w:tcW w:w="1533" w:type="dxa"/>
            <w:vAlign w:val="center"/>
          </w:tcPr>
          <w:p>
            <w:pPr>
              <w:pStyle w:val="25"/>
              <w:spacing w:beforeLines="0" w:afterLines="0" w:line="240" w:lineRule="auto"/>
              <w:jc w:val="center"/>
              <w:rPr>
                <w:rFonts w:hint="eastAsia" w:ascii="宋体" w:hAnsi="宋体" w:eastAsia="宋体" w:cs="宋体"/>
                <w:b/>
                <w:bCs/>
                <w:sz w:val="21"/>
                <w:szCs w:val="21"/>
              </w:rPr>
            </w:pPr>
          </w:p>
        </w:tc>
        <w:tc>
          <w:tcPr>
            <w:tcW w:w="1917" w:type="dxa"/>
            <w:vAlign w:val="center"/>
          </w:tcPr>
          <w:p>
            <w:pPr>
              <w:pStyle w:val="25"/>
              <w:spacing w:beforeLines="0" w:afterLines="0" w:line="240" w:lineRule="auto"/>
              <w:jc w:val="center"/>
              <w:rPr>
                <w:rFonts w:hint="eastAsia" w:ascii="宋体" w:hAnsi="宋体" w:eastAsia="宋体" w:cs="宋体"/>
                <w:b/>
                <w:bCs/>
                <w:sz w:val="21"/>
                <w:szCs w:val="21"/>
              </w:rPr>
            </w:pPr>
          </w:p>
        </w:tc>
        <w:tc>
          <w:tcPr>
            <w:tcW w:w="867" w:type="dxa"/>
            <w:vAlign w:val="center"/>
          </w:tcPr>
          <w:p>
            <w:pPr>
              <w:pStyle w:val="25"/>
              <w:spacing w:beforeLines="0" w:afterLines="0" w:line="240" w:lineRule="auto"/>
              <w:jc w:val="center"/>
              <w:rPr>
                <w:rFonts w:hint="eastAsia" w:ascii="宋体" w:hAnsi="宋体" w:eastAsia="宋体" w:cs="宋体"/>
                <w:b/>
                <w:bCs/>
                <w:sz w:val="21"/>
                <w:szCs w:val="21"/>
              </w:rPr>
            </w:pPr>
          </w:p>
        </w:tc>
        <w:tc>
          <w:tcPr>
            <w:tcW w:w="883" w:type="dxa"/>
            <w:vAlign w:val="center"/>
          </w:tcPr>
          <w:p>
            <w:pPr>
              <w:pStyle w:val="25"/>
              <w:spacing w:beforeLines="0" w:afterLines="0" w:line="240" w:lineRule="auto"/>
              <w:jc w:val="center"/>
              <w:rPr>
                <w:rFonts w:hint="eastAsia" w:ascii="宋体" w:hAnsi="宋体" w:eastAsia="宋体" w:cs="宋体"/>
                <w:b/>
                <w:bCs/>
                <w:sz w:val="21"/>
                <w:szCs w:val="21"/>
              </w:rPr>
            </w:pPr>
          </w:p>
        </w:tc>
        <w:tc>
          <w:tcPr>
            <w:tcW w:w="717" w:type="dxa"/>
            <w:vAlign w:val="center"/>
          </w:tcPr>
          <w:p>
            <w:pPr>
              <w:pStyle w:val="25"/>
              <w:spacing w:beforeLines="0" w:afterLines="0" w:line="240" w:lineRule="auto"/>
              <w:jc w:val="center"/>
              <w:rPr>
                <w:rFonts w:hint="eastAsia" w:ascii="宋体" w:hAnsi="宋体" w:eastAsia="宋体" w:cs="宋体"/>
                <w:b/>
                <w:bCs/>
                <w:sz w:val="21"/>
                <w:szCs w:val="21"/>
              </w:rPr>
            </w:pPr>
          </w:p>
        </w:tc>
        <w:tc>
          <w:tcPr>
            <w:tcW w:w="1583" w:type="dxa"/>
            <w:vAlign w:val="center"/>
          </w:tcPr>
          <w:p>
            <w:pPr>
              <w:pStyle w:val="25"/>
              <w:spacing w:beforeLines="0" w:afterLines="0" w:line="240" w:lineRule="auto"/>
              <w:jc w:val="center"/>
              <w:rPr>
                <w:rFonts w:hint="eastAsia" w:ascii="宋体" w:hAnsi="宋体" w:eastAsia="宋体" w:cs="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34" w:type="dxa"/>
            <w:vAlign w:val="center"/>
          </w:tcPr>
          <w:p>
            <w:pPr>
              <w:pStyle w:val="25"/>
              <w:spacing w:beforeLines="0" w:afterLines="0" w:line="240" w:lineRule="auto"/>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总计</w:t>
            </w:r>
          </w:p>
        </w:tc>
        <w:tc>
          <w:tcPr>
            <w:tcW w:w="9050" w:type="dxa"/>
            <w:gridSpan w:val="7"/>
            <w:vAlign w:val="center"/>
          </w:tcPr>
          <w:p>
            <w:pPr>
              <w:pStyle w:val="25"/>
              <w:spacing w:beforeLines="0" w:afterLines="0" w:line="240" w:lineRule="auto"/>
              <w:jc w:val="both"/>
              <w:rPr>
                <w:rFonts w:hint="eastAsia" w:ascii="宋体" w:hAnsi="宋体" w:eastAsia="宋体" w:cs="宋体"/>
                <w:b/>
                <w:bCs/>
                <w:sz w:val="21"/>
                <w:szCs w:val="21"/>
              </w:rPr>
            </w:pPr>
            <w:r>
              <w:rPr>
                <w:rFonts w:hint="eastAsia" w:ascii="宋体" w:hAnsi="宋体" w:eastAsia="宋体" w:cs="宋体"/>
                <w:b/>
                <w:bCs/>
                <w:sz w:val="21"/>
                <w:szCs w:val="21"/>
              </w:rPr>
              <w:t>投标总价：大写：                 小写 ：</w:t>
            </w:r>
          </w:p>
        </w:tc>
      </w:tr>
    </w:tbl>
    <w:p>
      <w:pPr>
        <w:snapToGrid w:val="0"/>
        <w:spacing w:line="360" w:lineRule="auto"/>
        <w:rPr>
          <w:rFonts w:hint="eastAsia" w:ascii="宋体" w:hAnsi="宋体" w:eastAsia="宋体" w:cs="宋体"/>
          <w:b/>
          <w:kern w:val="0"/>
          <w:sz w:val="24"/>
          <w:lang w:val="zh-CN"/>
        </w:rPr>
      </w:pPr>
      <w:r>
        <w:rPr>
          <w:rFonts w:hint="eastAsia" w:ascii="宋体" w:hAnsi="宋体" w:cs="宋体"/>
          <w:b/>
          <w:kern w:val="0"/>
          <w:sz w:val="24"/>
          <w:lang w:val="zh-CN"/>
        </w:rPr>
        <w:t>注：</w:t>
      </w:r>
    </w:p>
    <w:p>
      <w:pPr>
        <w:spacing w:line="360" w:lineRule="auto"/>
        <w:ind w:firstLine="480" w:firstLineChars="200"/>
        <w:rPr>
          <w:rFonts w:hint="eastAsia" w:ascii="宋体" w:hAnsi="宋体" w:eastAsia="宋体" w:cs="宋体"/>
          <w:kern w:val="0"/>
          <w:sz w:val="24"/>
          <w:lang w:val="zh-CN"/>
        </w:rPr>
      </w:pPr>
      <w:r>
        <w:rPr>
          <w:rFonts w:hint="eastAsia" w:ascii="宋体" w:hAnsi="宋体" w:eastAsia="宋体" w:cs="宋体"/>
          <w:kern w:val="0"/>
          <w:sz w:val="24"/>
          <w:lang w:val="zh-CN"/>
        </w:rPr>
        <w:t>1</w:t>
      </w:r>
      <w:r>
        <w:rPr>
          <w:rFonts w:hint="eastAsia" w:ascii="宋体" w:hAnsi="宋体" w:eastAsia="宋体" w:cs="宋体"/>
          <w:kern w:val="0"/>
          <w:sz w:val="24"/>
          <w:lang w:val="en-US" w:eastAsia="zh-CN"/>
        </w:rPr>
        <w:t>.</w:t>
      </w:r>
      <w:r>
        <w:rPr>
          <w:rFonts w:hint="eastAsia" w:ascii="宋体" w:hAnsi="宋体" w:eastAsia="宋体" w:cs="宋体"/>
          <w:kern w:val="0"/>
          <w:sz w:val="24"/>
          <w:lang w:val="zh-CN"/>
        </w:rPr>
        <w:t>投标人需按本表格式填写</w:t>
      </w:r>
      <w:r>
        <w:rPr>
          <w:rFonts w:hint="eastAsia" w:ascii="宋体" w:hAnsi="宋体" w:eastAsia="宋体" w:cs="宋体"/>
          <w:b/>
          <w:kern w:val="0"/>
          <w:sz w:val="24"/>
          <w:lang w:val="zh-CN"/>
        </w:rPr>
        <w:t>，</w:t>
      </w:r>
      <w:r>
        <w:rPr>
          <w:rFonts w:hint="eastAsia" w:ascii="宋体" w:hAnsi="宋体" w:eastAsia="宋体" w:cs="宋体"/>
          <w:b/>
          <w:kern w:val="0"/>
          <w:sz w:val="24"/>
        </w:rPr>
        <w:t>否则视为</w:t>
      </w:r>
      <w:r>
        <w:rPr>
          <w:rFonts w:hint="eastAsia" w:ascii="宋体" w:hAnsi="宋体" w:eastAsia="宋体" w:cs="宋体"/>
          <w:b/>
          <w:sz w:val="24"/>
        </w:rPr>
        <w:t>投标文件含有采购人不能接受的附加条件，投标无效</w:t>
      </w:r>
      <w:r>
        <w:rPr>
          <w:rFonts w:hint="eastAsia" w:ascii="宋体" w:hAnsi="宋体" w:eastAsia="宋体" w:cs="宋体"/>
          <w:kern w:val="0"/>
          <w:sz w:val="24"/>
          <w:lang w:val="zh-CN"/>
        </w:rPr>
        <w:t>。</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lang w:val="zh-CN"/>
        </w:rPr>
        <w:t>2</w:t>
      </w:r>
      <w:r>
        <w:rPr>
          <w:rFonts w:hint="eastAsia" w:ascii="宋体" w:hAnsi="宋体" w:eastAsia="宋体" w:cs="宋体"/>
          <w:kern w:val="0"/>
          <w:sz w:val="24"/>
          <w:lang w:val="en-US" w:eastAsia="zh-CN"/>
        </w:rPr>
        <w:t>.</w:t>
      </w:r>
      <w:r>
        <w:rPr>
          <w:rFonts w:hint="eastAsia" w:ascii="宋体" w:hAnsi="宋体" w:eastAsia="宋体" w:cs="宋体"/>
          <w:kern w:val="0"/>
          <w:sz w:val="24"/>
          <w:lang w:val="zh-CN"/>
        </w:rPr>
        <w:t>有关本项目实施所涉及的一切费用均计入报价。</w:t>
      </w:r>
      <w:r>
        <w:rPr>
          <w:rFonts w:hint="eastAsia" w:ascii="宋体" w:hAnsi="宋体" w:eastAsia="宋体" w:cs="宋体"/>
          <w:b/>
          <w:kern w:val="0"/>
          <w:sz w:val="24"/>
          <w:lang w:val="zh-CN"/>
        </w:rPr>
        <w:t>采购人将以合同形式有偿取得货物或服务，不接受投标人给予的赠品、回扣或者与采购无关的其他商品、服务</w:t>
      </w:r>
      <w:r>
        <w:rPr>
          <w:rFonts w:hint="eastAsia" w:ascii="宋体" w:hAnsi="宋体" w:eastAsia="宋体" w:cs="宋体"/>
          <w:kern w:val="0"/>
          <w:sz w:val="24"/>
          <w:lang w:val="zh-CN"/>
        </w:rPr>
        <w:t>，</w:t>
      </w:r>
      <w:r>
        <w:rPr>
          <w:rFonts w:hint="eastAsia" w:ascii="宋体" w:hAnsi="宋体" w:eastAsia="宋体" w:cs="宋体"/>
          <w:b/>
          <w:kern w:val="0"/>
          <w:sz w:val="24"/>
          <w:lang w:val="zh-CN"/>
        </w:rPr>
        <w:t>不得出现“0元”“免费赠送”等形式的无偿报价，</w:t>
      </w:r>
      <w:r>
        <w:rPr>
          <w:rFonts w:hint="eastAsia" w:ascii="宋体" w:hAnsi="宋体" w:eastAsia="宋体" w:cs="宋体"/>
          <w:b/>
          <w:kern w:val="0"/>
          <w:sz w:val="24"/>
        </w:rPr>
        <w:t>否则视为</w:t>
      </w:r>
      <w:r>
        <w:rPr>
          <w:rFonts w:hint="eastAsia" w:ascii="宋体" w:hAnsi="宋体" w:eastAsia="宋体" w:cs="宋体"/>
          <w:b/>
          <w:sz w:val="24"/>
        </w:rPr>
        <w:t>投标文件含有采购人不能接受的附加条件，投标无效</w:t>
      </w:r>
      <w:r>
        <w:rPr>
          <w:rFonts w:hint="eastAsia" w:ascii="宋体" w:hAnsi="宋体" w:eastAsia="宋体" w:cs="宋体"/>
          <w:b/>
          <w:kern w:val="0"/>
          <w:sz w:val="24"/>
          <w:lang w:val="zh-CN"/>
        </w:rPr>
        <w:t>；采购内容未包含在《开标一览表（报价表）》名称栏中，投标人不能作出合理解释的，</w:t>
      </w:r>
      <w:r>
        <w:rPr>
          <w:rFonts w:hint="eastAsia" w:ascii="宋体" w:hAnsi="宋体" w:eastAsia="宋体" w:cs="宋体"/>
          <w:b/>
          <w:kern w:val="0"/>
          <w:sz w:val="24"/>
        </w:rPr>
        <w:t>视为</w:t>
      </w:r>
      <w:r>
        <w:rPr>
          <w:rFonts w:hint="eastAsia" w:ascii="宋体" w:hAnsi="宋体" w:eastAsia="宋体" w:cs="宋体"/>
          <w:b/>
          <w:sz w:val="24"/>
        </w:rPr>
        <w:t>投标文件含有采购人不能接受的附加条件的，投标无效。</w:t>
      </w:r>
    </w:p>
    <w:p>
      <w:pPr>
        <w:snapToGrid w:val="0"/>
        <w:spacing w:line="360" w:lineRule="auto"/>
        <w:ind w:firstLine="480" w:firstLineChars="200"/>
        <w:jc w:val="left"/>
        <w:rPr>
          <w:rFonts w:hint="eastAsia" w:ascii="宋体" w:hAnsi="宋体" w:eastAsia="宋体" w:cs="宋体"/>
          <w:kern w:val="0"/>
          <w:sz w:val="24"/>
          <w:lang w:val="zh-CN"/>
        </w:rPr>
      </w:pPr>
      <w:r>
        <w:rPr>
          <w:rFonts w:hint="eastAsia" w:ascii="宋体" w:hAnsi="宋体" w:eastAsia="宋体" w:cs="宋体"/>
          <w:kern w:val="0"/>
          <w:sz w:val="24"/>
          <w:lang w:val="zh-CN"/>
        </w:rPr>
        <w:t>3</w:t>
      </w:r>
      <w:r>
        <w:rPr>
          <w:rFonts w:hint="eastAsia" w:ascii="宋体" w:hAnsi="宋体" w:eastAsia="宋体" w:cs="宋体"/>
          <w:kern w:val="0"/>
          <w:sz w:val="24"/>
          <w:lang w:val="en-US" w:eastAsia="zh-CN"/>
        </w:rPr>
        <w:t>.</w:t>
      </w:r>
      <w:r>
        <w:rPr>
          <w:rFonts w:hint="eastAsia" w:ascii="宋体" w:hAnsi="宋体" w:eastAsia="宋体" w:cs="宋体"/>
          <w:kern w:val="0"/>
          <w:sz w:val="24"/>
          <w:lang w:val="zh-CN"/>
        </w:rPr>
        <w:t>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宋体" w:hAnsi="宋体" w:eastAsia="宋体" w:cs="宋体"/>
          <w:color w:val="auto"/>
          <w:kern w:val="0"/>
          <w:sz w:val="24"/>
          <w:lang w:val="zh-CN"/>
        </w:rPr>
      </w:pPr>
      <w:r>
        <w:rPr>
          <w:rFonts w:hint="eastAsia" w:ascii="宋体" w:hAnsi="宋体" w:eastAsia="宋体" w:cs="宋体"/>
          <w:color w:val="auto"/>
          <w:kern w:val="0"/>
          <w:sz w:val="24"/>
          <w:szCs w:val="22"/>
          <w:lang w:val="zh-CN"/>
        </w:rPr>
        <w:t>4</w:t>
      </w:r>
      <w:r>
        <w:rPr>
          <w:rFonts w:hint="eastAsia" w:ascii="宋体" w:hAnsi="宋体" w:eastAsia="宋体" w:cs="宋体"/>
          <w:color w:val="auto"/>
          <w:kern w:val="0"/>
          <w:sz w:val="24"/>
          <w:szCs w:val="22"/>
          <w:lang w:val="en-US" w:eastAsia="zh-CN"/>
        </w:rPr>
        <w:t>.</w:t>
      </w:r>
      <w:r>
        <w:rPr>
          <w:rFonts w:hint="eastAsia" w:ascii="宋体" w:hAnsi="宋体" w:eastAsia="宋体" w:cs="宋体"/>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autoSpaceDE w:val="0"/>
        <w:autoSpaceDN w:val="0"/>
        <w:spacing w:line="360" w:lineRule="auto"/>
        <w:ind w:left="2" w:firstLine="4620" w:firstLineChars="2200"/>
        <w:jc w:val="left"/>
        <w:rPr>
          <w:rFonts w:hint="eastAsia" w:ascii="宋体" w:hAnsi="宋体" w:eastAsia="宋体" w:cs="宋体"/>
          <w:kern w:val="0"/>
          <w:sz w:val="21"/>
          <w:szCs w:val="21"/>
          <w:lang w:val="zh-CN" w:eastAsia="zh-CN"/>
        </w:rPr>
      </w:pPr>
    </w:p>
    <w:p>
      <w:pPr>
        <w:autoSpaceDE w:val="0"/>
        <w:autoSpaceDN w:val="0"/>
        <w:spacing w:line="360" w:lineRule="auto"/>
        <w:ind w:left="2" w:firstLine="4620" w:firstLineChars="2200"/>
        <w:jc w:val="left"/>
        <w:rPr>
          <w:rFonts w:hint="eastAsia" w:ascii="宋体" w:hAnsi="宋体" w:eastAsia="宋体" w:cs="宋体"/>
          <w:kern w:val="0"/>
          <w:sz w:val="21"/>
          <w:szCs w:val="21"/>
          <w:lang w:val="zh-CN"/>
        </w:rPr>
      </w:pPr>
      <w:r>
        <w:rPr>
          <w:rFonts w:hint="eastAsia" w:ascii="宋体" w:hAnsi="宋体" w:eastAsia="宋体" w:cs="宋体"/>
          <w:kern w:val="0"/>
          <w:sz w:val="21"/>
          <w:szCs w:val="21"/>
          <w:lang w:val="zh-CN" w:eastAsia="zh-CN"/>
        </w:rPr>
        <w:t>供应商名称（电子签名）</w:t>
      </w:r>
      <w:r>
        <w:rPr>
          <w:rFonts w:hint="eastAsia" w:ascii="宋体" w:hAnsi="宋体" w:eastAsia="宋体" w:cs="宋体"/>
          <w:kern w:val="0"/>
          <w:sz w:val="21"/>
          <w:szCs w:val="21"/>
          <w:lang w:val="zh-CN"/>
        </w:rPr>
        <w:t>：</w:t>
      </w:r>
    </w:p>
    <w:p>
      <w:pPr>
        <w:autoSpaceDE w:val="0"/>
        <w:autoSpaceDN w:val="0"/>
        <w:spacing w:line="360" w:lineRule="auto"/>
        <w:ind w:left="2" w:firstLine="4620" w:firstLineChars="2200"/>
        <w:jc w:val="left"/>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法定代表人（</w:t>
      </w:r>
      <w:r>
        <w:rPr>
          <w:rFonts w:hint="eastAsia" w:ascii="宋体" w:hAnsi="宋体" w:eastAsia="宋体" w:cs="宋体"/>
          <w:kern w:val="0"/>
          <w:sz w:val="21"/>
          <w:szCs w:val="21"/>
          <w:lang w:val="zh-CN" w:eastAsia="zh-CN"/>
        </w:rPr>
        <w:t>电子章</w:t>
      </w:r>
      <w:r>
        <w:rPr>
          <w:rFonts w:hint="eastAsia" w:ascii="宋体" w:hAnsi="宋体" w:eastAsia="宋体" w:cs="宋体"/>
          <w:kern w:val="0"/>
          <w:sz w:val="21"/>
          <w:szCs w:val="21"/>
          <w:lang w:val="zh-CN"/>
        </w:rPr>
        <w:t>）：</w:t>
      </w:r>
    </w:p>
    <w:p>
      <w:pPr>
        <w:autoSpaceDE w:val="0"/>
        <w:autoSpaceDN w:val="0"/>
        <w:spacing w:line="360" w:lineRule="auto"/>
        <w:ind w:left="2" w:firstLine="4620" w:firstLineChars="2200"/>
        <w:jc w:val="left"/>
        <w:rPr>
          <w:rFonts w:hint="eastAsia" w:ascii="宋体" w:hAnsi="宋体" w:eastAsia="宋体" w:cs="宋体"/>
          <w:color w:val="auto"/>
          <w:sz w:val="21"/>
          <w:szCs w:val="21"/>
        </w:rPr>
      </w:pPr>
      <w:r>
        <w:rPr>
          <w:rFonts w:hint="eastAsia" w:ascii="宋体" w:hAnsi="宋体" w:eastAsia="宋体" w:cs="宋体"/>
          <w:kern w:val="0"/>
          <w:sz w:val="21"/>
          <w:szCs w:val="21"/>
          <w:lang w:val="zh-CN"/>
        </w:rPr>
        <w:t>日期：</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年</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月</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lang w:val="zh-CN"/>
        </w:rPr>
        <w:t>日</w:t>
      </w:r>
    </w:p>
    <w:p>
      <w:pPr>
        <w:pStyle w:val="25"/>
        <w:spacing w:beforeLines="0" w:afterLines="0"/>
        <w:jc w:val="center"/>
        <w:rPr>
          <w:rFonts w:hint="eastAsia" w:ascii="宋体" w:hAnsi="宋体" w:eastAsia="宋体" w:cs="宋体"/>
          <w:b/>
          <w:bCs/>
          <w:i/>
          <w:iCs/>
          <w:sz w:val="24"/>
          <w:szCs w:val="24"/>
        </w:rPr>
      </w:pP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中小企业声明函（货物）</w:t>
      </w:r>
    </w:p>
    <w:p>
      <w:pPr>
        <w:bidi w:val="0"/>
        <w:rPr>
          <w:rFonts w:hint="eastAsia"/>
        </w:rPr>
      </w:pP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本公司（联合体）郑重声明，根据《政府采购促进中小企业发展管理办法》（财库﹝2020﹞46 号）的规定，本公司（联合体）参加</w:t>
      </w:r>
      <w:r>
        <w:rPr>
          <w:rFonts w:hint="eastAsia" w:ascii="宋体" w:hAnsi="宋体" w:eastAsia="宋体" w:cs="宋体"/>
          <w:sz w:val="21"/>
          <w:szCs w:val="21"/>
          <w:highlight w:val="none"/>
          <w:u w:val="single"/>
        </w:rPr>
        <w:t xml:space="preserve"> （单位名称） </w:t>
      </w:r>
      <w:r>
        <w:rPr>
          <w:rFonts w:hint="eastAsia" w:ascii="宋体" w:hAnsi="宋体" w:eastAsia="宋体" w:cs="宋体"/>
          <w:sz w:val="21"/>
          <w:szCs w:val="21"/>
          <w:highlight w:val="none"/>
        </w:rPr>
        <w:t>的</w:t>
      </w:r>
      <w:r>
        <w:rPr>
          <w:rFonts w:hint="eastAsia" w:ascii="宋体" w:hAnsi="宋体" w:eastAsia="宋体" w:cs="宋体"/>
          <w:sz w:val="21"/>
          <w:szCs w:val="21"/>
          <w:highlight w:val="none"/>
          <w:u w:val="single"/>
        </w:rPr>
        <w:t xml:space="preserve"> （项目名称） </w:t>
      </w:r>
      <w:r>
        <w:rPr>
          <w:rFonts w:hint="eastAsia" w:ascii="宋体" w:hAnsi="宋体" w:eastAsia="宋体" w:cs="宋体"/>
          <w:sz w:val="21"/>
          <w:szCs w:val="21"/>
          <w:highlight w:val="none"/>
        </w:rPr>
        <w:t>采购活动，提供的货物全部由符合政策要求的中小企业制造。相关企业（含联合体中的中小企业、签订分包意向协议的中小企业）的具体情况如下：</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1. </w:t>
      </w:r>
      <w:r>
        <w:rPr>
          <w:rFonts w:hint="eastAsia" w:ascii="宋体" w:hAnsi="宋体" w:eastAsia="宋体" w:cs="宋体"/>
          <w:sz w:val="21"/>
          <w:szCs w:val="21"/>
          <w:highlight w:val="none"/>
          <w:u w:val="single"/>
        </w:rPr>
        <w:t>（标的名称）</w:t>
      </w:r>
      <w:r>
        <w:rPr>
          <w:rFonts w:hint="eastAsia" w:ascii="宋体" w:hAnsi="宋体" w:eastAsia="宋体" w:cs="宋体"/>
          <w:sz w:val="21"/>
          <w:szCs w:val="21"/>
          <w:highlight w:val="none"/>
        </w:rPr>
        <w:t xml:space="preserve"> ，属于 </w:t>
      </w:r>
      <w:r>
        <w:rPr>
          <w:rFonts w:hint="eastAsia" w:ascii="宋体" w:hAnsi="宋体" w:eastAsia="宋体" w:cs="宋体"/>
          <w:sz w:val="21"/>
          <w:szCs w:val="21"/>
          <w:highlight w:val="none"/>
          <w:u w:val="single"/>
        </w:rPr>
        <w:t>（采购文件中明确的所属行业）</w:t>
      </w:r>
      <w:r>
        <w:rPr>
          <w:rFonts w:hint="eastAsia" w:ascii="宋体" w:hAnsi="宋体" w:eastAsia="宋体" w:cs="宋体"/>
          <w:sz w:val="21"/>
          <w:szCs w:val="21"/>
          <w:highlight w:val="none"/>
        </w:rPr>
        <w:t>行业 ；制造商为</w:t>
      </w:r>
      <w:r>
        <w:rPr>
          <w:rFonts w:hint="eastAsia" w:ascii="宋体" w:hAnsi="宋体" w:eastAsia="宋体" w:cs="宋体"/>
          <w:sz w:val="21"/>
          <w:szCs w:val="21"/>
          <w:highlight w:val="none"/>
          <w:u w:val="single"/>
        </w:rPr>
        <w:t>（企业名称）</w:t>
      </w:r>
      <w:r>
        <w:rPr>
          <w:rFonts w:hint="eastAsia" w:ascii="宋体" w:hAnsi="宋体" w:eastAsia="宋体" w:cs="宋体"/>
          <w:sz w:val="21"/>
          <w:szCs w:val="21"/>
          <w:highlight w:val="none"/>
        </w:rPr>
        <w:t xml:space="preserve"> ，从业人员</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人，营业收入为</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万元，资产总额为</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万元，属于</w:t>
      </w:r>
      <w:r>
        <w:rPr>
          <w:rFonts w:hint="eastAsia" w:ascii="宋体" w:hAnsi="宋体" w:eastAsia="宋体" w:cs="宋体"/>
          <w:sz w:val="21"/>
          <w:szCs w:val="21"/>
          <w:highlight w:val="none"/>
          <w:u w:val="single"/>
        </w:rPr>
        <w:t xml:space="preserve"> （中型企业、小型企业、微型企业）</w:t>
      </w:r>
      <w:r>
        <w:rPr>
          <w:rFonts w:hint="eastAsia" w:ascii="宋体" w:hAnsi="宋体" w:eastAsia="宋体" w:cs="宋体"/>
          <w:sz w:val="21"/>
          <w:szCs w:val="21"/>
          <w:highlight w:val="none"/>
        </w:rPr>
        <w:t xml:space="preserve"> ；</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2. </w:t>
      </w:r>
      <w:r>
        <w:rPr>
          <w:rFonts w:hint="eastAsia" w:ascii="宋体" w:hAnsi="宋体" w:eastAsia="宋体" w:cs="宋体"/>
          <w:sz w:val="21"/>
          <w:szCs w:val="21"/>
          <w:highlight w:val="none"/>
          <w:u w:val="single"/>
        </w:rPr>
        <w:t>（标的名称）</w:t>
      </w:r>
      <w:r>
        <w:rPr>
          <w:rFonts w:hint="eastAsia" w:ascii="宋体" w:hAnsi="宋体" w:eastAsia="宋体" w:cs="宋体"/>
          <w:sz w:val="21"/>
          <w:szCs w:val="21"/>
          <w:highlight w:val="none"/>
        </w:rPr>
        <w:t xml:space="preserve"> ，属于 </w:t>
      </w:r>
      <w:r>
        <w:rPr>
          <w:rFonts w:hint="eastAsia" w:ascii="宋体" w:hAnsi="宋体" w:eastAsia="宋体" w:cs="宋体"/>
          <w:sz w:val="21"/>
          <w:szCs w:val="21"/>
          <w:highlight w:val="none"/>
          <w:u w:val="single"/>
        </w:rPr>
        <w:t>（采购文件中明确的所属行业）</w:t>
      </w:r>
      <w:r>
        <w:rPr>
          <w:rFonts w:hint="eastAsia" w:ascii="宋体" w:hAnsi="宋体" w:eastAsia="宋体" w:cs="宋体"/>
          <w:sz w:val="21"/>
          <w:szCs w:val="21"/>
          <w:highlight w:val="none"/>
        </w:rPr>
        <w:t>行业 ；制造商为</w:t>
      </w:r>
      <w:r>
        <w:rPr>
          <w:rFonts w:hint="eastAsia" w:ascii="宋体" w:hAnsi="宋体" w:eastAsia="宋体" w:cs="宋体"/>
          <w:sz w:val="21"/>
          <w:szCs w:val="21"/>
          <w:highlight w:val="none"/>
          <w:u w:val="single"/>
        </w:rPr>
        <w:t xml:space="preserve"> （企业名称）</w:t>
      </w:r>
      <w:r>
        <w:rPr>
          <w:rFonts w:hint="eastAsia" w:ascii="宋体" w:hAnsi="宋体" w:eastAsia="宋体" w:cs="宋体"/>
          <w:sz w:val="21"/>
          <w:szCs w:val="21"/>
          <w:highlight w:val="none"/>
        </w:rPr>
        <w:t xml:space="preserve"> ，从业人员</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人，营业收入为</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万元，资产总额为</w:t>
      </w:r>
      <w:r>
        <w:rPr>
          <w:rFonts w:hint="eastAsia" w:ascii="宋体" w:hAnsi="宋体" w:eastAsia="宋体" w:cs="宋体"/>
          <w:sz w:val="21"/>
          <w:szCs w:val="21"/>
          <w:highlight w:val="none"/>
          <w:u w:val="single"/>
        </w:rPr>
        <w:t xml:space="preserve"> </w:t>
      </w:r>
      <w:r>
        <w:rPr>
          <w:rFonts w:hint="eastAsia"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万元，属于</w:t>
      </w:r>
      <w:r>
        <w:rPr>
          <w:rFonts w:hint="eastAsia" w:ascii="宋体" w:hAnsi="宋体" w:eastAsia="宋体" w:cs="宋体"/>
          <w:sz w:val="21"/>
          <w:szCs w:val="21"/>
          <w:highlight w:val="none"/>
          <w:u w:val="single"/>
        </w:rPr>
        <w:t xml:space="preserve"> （中型企业、小型企业、微型企业）</w:t>
      </w:r>
      <w:r>
        <w:rPr>
          <w:rFonts w:hint="eastAsia" w:ascii="宋体" w:hAnsi="宋体" w:eastAsia="宋体" w:cs="宋体"/>
          <w:sz w:val="21"/>
          <w:szCs w:val="21"/>
          <w:highlight w:val="none"/>
        </w:rPr>
        <w:t xml:space="preserve"> ；</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以上企业，不属于大企业的分支机构，不存在控股股东为大企业的情形，也不存在与大企业的负责人为同一人的情形。</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本企业对上述声明内容的真实性负责。如有虚假，将依法承担相应责任。</w:t>
      </w:r>
    </w:p>
    <w:p>
      <w:pPr>
        <w:snapToGrid w:val="0"/>
        <w:spacing w:line="360" w:lineRule="auto"/>
        <w:ind w:firstLine="4515" w:firstLineChars="2150"/>
        <w:rPr>
          <w:rFonts w:hint="eastAsia" w:cs="宋体"/>
          <w:kern w:val="0"/>
          <w:sz w:val="21"/>
          <w:szCs w:val="21"/>
          <w:highlight w:val="none"/>
          <w:lang w:val="zh-CN"/>
        </w:rPr>
      </w:pPr>
    </w:p>
    <w:p>
      <w:pPr>
        <w:snapToGrid w:val="0"/>
        <w:spacing w:line="360" w:lineRule="auto"/>
        <w:ind w:firstLine="4515" w:firstLineChars="2150"/>
        <w:rPr>
          <w:rFonts w:hint="eastAsia" w:ascii="宋体" w:hAnsi="宋体" w:eastAsia="宋体" w:cs="宋体"/>
          <w:kern w:val="0"/>
          <w:sz w:val="21"/>
          <w:szCs w:val="21"/>
          <w:highlight w:val="none"/>
        </w:rPr>
      </w:pPr>
      <w:r>
        <w:rPr>
          <w:rFonts w:hint="eastAsia" w:cs="宋体"/>
          <w:kern w:val="0"/>
          <w:sz w:val="21"/>
          <w:szCs w:val="21"/>
          <w:highlight w:val="none"/>
          <w:lang w:val="zh-CN"/>
        </w:rPr>
        <w:t>供应商</w:t>
      </w:r>
      <w:r>
        <w:rPr>
          <w:rFonts w:hint="eastAsia" w:ascii="宋体" w:hAnsi="宋体" w:eastAsia="宋体" w:cs="宋体"/>
          <w:kern w:val="0"/>
          <w:sz w:val="21"/>
          <w:szCs w:val="21"/>
          <w:highlight w:val="none"/>
          <w:lang w:val="zh-CN"/>
        </w:rPr>
        <w:t>名称(电子签名)：</w:t>
      </w:r>
    </w:p>
    <w:p>
      <w:pPr>
        <w:snapToGrid w:val="0"/>
        <w:spacing w:line="360" w:lineRule="auto"/>
        <w:rPr>
          <w:rFonts w:hint="eastAsia" w:ascii="宋体" w:hAnsi="宋体" w:eastAsia="宋体" w:cs="宋体"/>
          <w:kern w:val="0"/>
          <w:sz w:val="21"/>
          <w:szCs w:val="21"/>
          <w:highlight w:val="none"/>
          <w:lang w:val="zh-CN"/>
        </w:rPr>
      </w:pPr>
      <w:r>
        <w:rPr>
          <w:rFonts w:hint="eastAsia" w:ascii="宋体" w:hAnsi="宋体" w:eastAsia="宋体" w:cs="宋体"/>
          <w:kern w:val="0"/>
          <w:sz w:val="21"/>
          <w:szCs w:val="21"/>
          <w:highlight w:val="none"/>
          <w:lang w:val="zh-CN"/>
        </w:rPr>
        <w:t xml:space="preserve">                                           日期</w:t>
      </w:r>
      <w:r>
        <w:rPr>
          <w:rFonts w:hint="eastAsia" w:ascii="宋体" w:hAnsi="宋体" w:eastAsia="宋体" w:cs="宋体"/>
          <w:kern w:val="0"/>
          <w:sz w:val="21"/>
          <w:szCs w:val="21"/>
          <w:highlight w:val="none"/>
        </w:rPr>
        <w:t xml:space="preserve">：  年  </w:t>
      </w:r>
      <w:r>
        <w:rPr>
          <w:rFonts w:hint="eastAsia" w:ascii="宋体" w:hAnsi="宋体" w:eastAsia="宋体" w:cs="宋体"/>
          <w:kern w:val="0"/>
          <w:sz w:val="21"/>
          <w:szCs w:val="21"/>
          <w:highlight w:val="none"/>
          <w:lang w:val="zh-CN"/>
        </w:rPr>
        <w:t>月</w:t>
      </w:r>
      <w:r>
        <w:rPr>
          <w:rFonts w:hint="eastAsia" w:ascii="宋体" w:hAnsi="宋体" w:eastAsia="宋体" w:cs="宋体"/>
          <w:kern w:val="0"/>
          <w:sz w:val="21"/>
          <w:szCs w:val="21"/>
          <w:highlight w:val="none"/>
        </w:rPr>
        <w:t xml:space="preserve">   </w:t>
      </w:r>
      <w:r>
        <w:rPr>
          <w:rFonts w:hint="eastAsia" w:ascii="宋体" w:hAnsi="宋体" w:eastAsia="宋体" w:cs="宋体"/>
          <w:kern w:val="0"/>
          <w:sz w:val="21"/>
          <w:szCs w:val="21"/>
          <w:highlight w:val="none"/>
          <w:lang w:val="zh-CN"/>
        </w:rPr>
        <w:t>日</w:t>
      </w:r>
    </w:p>
    <w:p>
      <w:pPr>
        <w:spacing w:line="360" w:lineRule="auto"/>
        <w:ind w:right="420" w:firstLine="420" w:firstLineChars="200"/>
        <w:rPr>
          <w:rFonts w:hint="eastAsia" w:ascii="宋体" w:hAnsi="宋体" w:eastAsia="宋体" w:cs="宋体"/>
          <w:sz w:val="21"/>
          <w:szCs w:val="21"/>
          <w:highlight w:val="none"/>
        </w:rPr>
      </w:pPr>
    </w:p>
    <w:p>
      <w:pPr>
        <w:spacing w:line="360" w:lineRule="auto"/>
        <w:ind w:right="42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从业人员、营业收入、资产总额填报上一年度数据，无上一年度数据的新成立企业可不填报。</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w:t>
      </w:r>
      <w:r>
        <w:rPr>
          <w:rFonts w:hint="eastAsia" w:cs="宋体"/>
          <w:sz w:val="21"/>
          <w:szCs w:val="21"/>
          <w:highlight w:val="none"/>
          <w:lang w:eastAsia="zh-CN"/>
        </w:rPr>
        <w:t>供应商</w:t>
      </w:r>
      <w:r>
        <w:rPr>
          <w:rFonts w:hint="eastAsia" w:ascii="宋体" w:hAnsi="宋体" w:eastAsia="宋体" w:cs="宋体"/>
          <w:sz w:val="21"/>
          <w:szCs w:val="21"/>
          <w:highlight w:val="none"/>
        </w:rPr>
        <w:t>提供由省级以上监狱管理局、戒毒管理局（含新疆生产建设兵团）出具的属于监狱企业证明文件的，视同为小型和微型企业。</w:t>
      </w:r>
    </w:p>
    <w:p>
      <w:pPr>
        <w:pStyle w:val="3"/>
        <w:ind w:left="0" w:leftChars="0" w:firstLine="0" w:firstLineChars="0"/>
        <w:rPr>
          <w:rFonts w:hint="eastAsia" w:ascii="宋体" w:hAnsi="宋体" w:eastAsia="宋体" w:cs="宋体"/>
        </w:rPr>
      </w:pPr>
    </w:p>
    <w:sectPr>
      <w:pgSz w:w="11905" w:h="16838"/>
      <w:pgMar w:top="1417" w:right="1417" w:bottom="1417" w:left="1417" w:header="851" w:footer="992" w:gutter="0"/>
      <w:pgNumType w:fmt="decimal"/>
      <w:cols w:space="0" w:num="1"/>
      <w:titlePg/>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apple-system">
    <w:altName w:val="Segoe Print"/>
    <w:panose1 w:val="00000000000000000000"/>
    <w:charset w:val="00"/>
    <w:family w:val="auto"/>
    <w:pitch w:val="default"/>
    <w:sig w:usb0="00000000" w:usb1="00000000" w:usb2="00000000" w:usb3="00000000" w:csb0="00000001" w:csb1="00000000"/>
  </w:font>
  <w:font w:name="Helvetica">
    <w:panose1 w:val="020B0504020202030204"/>
    <w:charset w:val="00"/>
    <w:family w:val="swiss"/>
    <w:pitch w:val="default"/>
    <w:sig w:usb0="00000007" w:usb1="00000000" w:usb2="00000000" w:usb3="00000000" w:csb0="00000093"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swiss"/>
    <w:pitch w:val="default"/>
    <w:sig w:usb0="80000287" w:usb1="280F3C52" w:usb2="00000016" w:usb3="00000000" w:csb0="0004001F" w:csb1="00000000"/>
  </w:font>
  <w:font w:name="Helvetica Neue">
    <w:altName w:val="Times New Roman"/>
    <w:panose1 w:val="02000503000000020004"/>
    <w:charset w:val="00"/>
    <w:family w:val="auto"/>
    <w:pitch w:val="default"/>
    <w:sig w:usb0="00000000" w:usb1="00000000" w:usb2="00000010" w:usb3="00000000" w:csb0="00000000" w:csb1="00000000"/>
  </w:font>
  <w:font w:name="Romantic">
    <w:panose1 w:val="000004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0</w:t>
                    </w:r>
                    <w:r>
                      <w:fldChar w:fldCharType="end"/>
                    </w:r>
                  </w:p>
                </w:txbxContent>
              </v:textbox>
            </v:shape>
          </w:pict>
        </mc:Fallback>
      </mc:AlternateContent>
    </w: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6</w:t>
                    </w:r>
                    <w:r>
                      <w:fldChar w:fldCharType="end"/>
                    </w:r>
                  </w:p>
                </w:txbxContent>
              </v:textbox>
            </v:shape>
          </w:pict>
        </mc:Fallback>
      </mc:AlternateContent>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rPr>
        <w:rFonts w:ascii="仿宋_GB2312" w:eastAsia="仿宋_GB2312"/>
        <w:b/>
        <w:i/>
        <w:u w:val="single"/>
      </w:rPr>
    </w:pPr>
    <w:r>
      <w:t></w:t>
    </w:r>
    <w:r>
      <w:rPr>
        <w:rFonts w:hint="eastAsia"/>
      </w:rPr>
      <w:t xml:space="preserve">                                    </w:t>
    </w:r>
  </w:p>
  <w:p>
    <w:pPr>
      <w:pBdr>
        <w:bottom w:val="none" w:color="auto" w:sz="0" w:space="0"/>
      </w:pBd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jc w:val="right"/>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7202CD"/>
    <w:multiLevelType w:val="singleLevel"/>
    <w:tmpl w:val="807202CD"/>
    <w:lvl w:ilvl="0" w:tentative="0">
      <w:start w:val="5"/>
      <w:numFmt w:val="decimal"/>
      <w:lvlText w:val="%1."/>
      <w:lvlJc w:val="left"/>
      <w:pPr>
        <w:tabs>
          <w:tab w:val="left" w:pos="312"/>
        </w:tabs>
      </w:pPr>
    </w:lvl>
  </w:abstractNum>
  <w:abstractNum w:abstractNumId="1">
    <w:nsid w:val="84392FA5"/>
    <w:multiLevelType w:val="singleLevel"/>
    <w:tmpl w:val="84392FA5"/>
    <w:lvl w:ilvl="0" w:tentative="0">
      <w:start w:val="1"/>
      <w:numFmt w:val="decimal"/>
      <w:lvlText w:val="%1."/>
      <w:lvlJc w:val="left"/>
      <w:pPr>
        <w:tabs>
          <w:tab w:val="left" w:pos="312"/>
        </w:tabs>
      </w:pPr>
    </w:lvl>
  </w:abstractNum>
  <w:abstractNum w:abstractNumId="2">
    <w:nsid w:val="BE4FFA28"/>
    <w:multiLevelType w:val="singleLevel"/>
    <w:tmpl w:val="BE4FFA28"/>
    <w:lvl w:ilvl="0" w:tentative="0">
      <w:start w:val="1"/>
      <w:numFmt w:val="decimal"/>
      <w:lvlText w:val="%1."/>
      <w:lvlJc w:val="left"/>
      <w:pPr>
        <w:tabs>
          <w:tab w:val="left" w:pos="312"/>
        </w:tabs>
      </w:pPr>
    </w:lvl>
  </w:abstractNum>
  <w:abstractNum w:abstractNumId="3">
    <w:nsid w:val="D1A23E58"/>
    <w:multiLevelType w:val="singleLevel"/>
    <w:tmpl w:val="D1A23E58"/>
    <w:lvl w:ilvl="0" w:tentative="0">
      <w:start w:val="5"/>
      <w:numFmt w:val="chineseCounting"/>
      <w:suff w:val="nothing"/>
      <w:lvlText w:val="%1、"/>
      <w:lvlJc w:val="left"/>
      <w:rPr>
        <w:rFonts w:hint="eastAsia"/>
      </w:rPr>
    </w:lvl>
  </w:abstractNum>
  <w:abstractNum w:abstractNumId="4">
    <w:nsid w:val="D876CE69"/>
    <w:multiLevelType w:val="singleLevel"/>
    <w:tmpl w:val="D876CE69"/>
    <w:lvl w:ilvl="0" w:tentative="0">
      <w:start w:val="29"/>
      <w:numFmt w:val="decimal"/>
      <w:lvlText w:val="%1."/>
      <w:lvlJc w:val="left"/>
      <w:pPr>
        <w:tabs>
          <w:tab w:val="left" w:pos="312"/>
        </w:tabs>
      </w:pPr>
    </w:lvl>
  </w:abstractNum>
  <w:abstractNum w:abstractNumId="5">
    <w:nsid w:val="F6CE8F93"/>
    <w:multiLevelType w:val="singleLevel"/>
    <w:tmpl w:val="F6CE8F93"/>
    <w:lvl w:ilvl="0" w:tentative="0">
      <w:start w:val="1"/>
      <w:numFmt w:val="decimalEnclosedCircleChinese"/>
      <w:suff w:val="nothing"/>
      <w:lvlText w:val="%1　"/>
      <w:lvlJc w:val="left"/>
      <w:pPr>
        <w:ind w:left="0" w:firstLine="400"/>
      </w:pPr>
      <w:rPr>
        <w:rFonts w:hint="eastAsia"/>
      </w:rPr>
    </w:lvl>
  </w:abstractNum>
  <w:abstractNum w:abstractNumId="6">
    <w:nsid w:val="0A1790BA"/>
    <w:multiLevelType w:val="singleLevel"/>
    <w:tmpl w:val="0A1790BA"/>
    <w:lvl w:ilvl="0" w:tentative="0">
      <w:start w:val="1"/>
      <w:numFmt w:val="chineseCounting"/>
      <w:suff w:val="nothing"/>
      <w:lvlText w:val="%1、"/>
      <w:lvlJc w:val="left"/>
      <w:rPr>
        <w:rFonts w:hint="eastAsia"/>
      </w:rPr>
    </w:lvl>
  </w:abstractNum>
  <w:abstractNum w:abstractNumId="7">
    <w:nsid w:val="0D64E4E1"/>
    <w:multiLevelType w:val="singleLevel"/>
    <w:tmpl w:val="0D64E4E1"/>
    <w:lvl w:ilvl="0" w:tentative="0">
      <w:start w:val="3"/>
      <w:numFmt w:val="chineseCounting"/>
      <w:suff w:val="nothing"/>
      <w:lvlText w:val="（%1）"/>
      <w:lvlJc w:val="left"/>
      <w:rPr>
        <w:rFonts w:hint="eastAsia"/>
      </w:rPr>
    </w:lvl>
  </w:abstractNum>
  <w:abstractNum w:abstractNumId="8">
    <w:nsid w:val="5315DE24"/>
    <w:multiLevelType w:val="singleLevel"/>
    <w:tmpl w:val="5315DE24"/>
    <w:lvl w:ilvl="0" w:tentative="0">
      <w:start w:val="1"/>
      <w:numFmt w:val="decimal"/>
      <w:lvlText w:val="%1."/>
      <w:lvlJc w:val="left"/>
      <w:pPr>
        <w:tabs>
          <w:tab w:val="left" w:pos="312"/>
        </w:tabs>
      </w:pPr>
    </w:lvl>
  </w:abstractNum>
  <w:abstractNum w:abstractNumId="9">
    <w:nsid w:val="59C0AA2C"/>
    <w:multiLevelType w:val="singleLevel"/>
    <w:tmpl w:val="59C0AA2C"/>
    <w:lvl w:ilvl="0" w:tentative="0">
      <w:start w:val="7"/>
      <w:numFmt w:val="chineseCounting"/>
      <w:suff w:val="space"/>
      <w:lvlText w:val="第%1章"/>
      <w:lvlJc w:val="left"/>
      <w:pPr>
        <w:ind w:left="3570"/>
      </w:pPr>
      <w:rPr>
        <w:rFonts w:cs="Times New Roman"/>
      </w:rPr>
    </w:lvl>
  </w:abstractNum>
  <w:abstractNum w:abstractNumId="10">
    <w:nsid w:val="5A39D5D3"/>
    <w:multiLevelType w:val="singleLevel"/>
    <w:tmpl w:val="5A39D5D3"/>
    <w:lvl w:ilvl="0" w:tentative="0">
      <w:start w:val="1"/>
      <w:numFmt w:val="decimal"/>
      <w:suff w:val="nothing"/>
      <w:lvlText w:val="%1、"/>
      <w:lvlJc w:val="left"/>
      <w:rPr>
        <w:rFonts w:cs="Times New Roman"/>
      </w:rPr>
    </w:lvl>
  </w:abstractNum>
  <w:num w:numId="1">
    <w:abstractNumId w:val="4"/>
  </w:num>
  <w:num w:numId="2">
    <w:abstractNumId w:val="6"/>
  </w:num>
  <w:num w:numId="3">
    <w:abstractNumId w:val="7"/>
  </w:num>
  <w:num w:numId="4">
    <w:abstractNumId w:val="2"/>
  </w:num>
  <w:num w:numId="5">
    <w:abstractNumId w:val="1"/>
  </w:num>
  <w:num w:numId="6">
    <w:abstractNumId w:val="8"/>
  </w:num>
  <w:num w:numId="7">
    <w:abstractNumId w:val="3"/>
  </w:num>
  <w:num w:numId="8">
    <w:abstractNumId w:val="9"/>
  </w:num>
  <w:num w:numId="9">
    <w:abstractNumId w:val="5"/>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oNotHyphenateCaps/>
  <w:drawingGridHorizontalSpacing w:val="210"/>
  <w:drawingGridVerticalSpacing w:val="99999990"/>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1YmNkMmJlZDgxNWQxMTlmNjc2MDQxMGVjNjIzZTkifQ=="/>
  </w:docVars>
  <w:rsids>
    <w:rsidRoot w:val="00172A27"/>
    <w:rsid w:val="00012549"/>
    <w:rsid w:val="00021791"/>
    <w:rsid w:val="000306E8"/>
    <w:rsid w:val="00034C88"/>
    <w:rsid w:val="000352BB"/>
    <w:rsid w:val="00035575"/>
    <w:rsid w:val="00037653"/>
    <w:rsid w:val="0004017B"/>
    <w:rsid w:val="00064A5D"/>
    <w:rsid w:val="000736AE"/>
    <w:rsid w:val="0008731F"/>
    <w:rsid w:val="000913B8"/>
    <w:rsid w:val="000933D1"/>
    <w:rsid w:val="00096EAD"/>
    <w:rsid w:val="0009730A"/>
    <w:rsid w:val="000A7D87"/>
    <w:rsid w:val="000D2940"/>
    <w:rsid w:val="000D3AD7"/>
    <w:rsid w:val="000D567A"/>
    <w:rsid w:val="000D7099"/>
    <w:rsid w:val="000E1125"/>
    <w:rsid w:val="000E24D7"/>
    <w:rsid w:val="000F5D9C"/>
    <w:rsid w:val="000F73BD"/>
    <w:rsid w:val="00101B3D"/>
    <w:rsid w:val="001050DF"/>
    <w:rsid w:val="00112009"/>
    <w:rsid w:val="00126D06"/>
    <w:rsid w:val="00130DC6"/>
    <w:rsid w:val="00131B73"/>
    <w:rsid w:val="00141E0A"/>
    <w:rsid w:val="00141F05"/>
    <w:rsid w:val="00143100"/>
    <w:rsid w:val="00145CEC"/>
    <w:rsid w:val="001513B5"/>
    <w:rsid w:val="00156F24"/>
    <w:rsid w:val="001578DE"/>
    <w:rsid w:val="001600BA"/>
    <w:rsid w:val="00160239"/>
    <w:rsid w:val="00161CA2"/>
    <w:rsid w:val="0016258C"/>
    <w:rsid w:val="00164382"/>
    <w:rsid w:val="00164A25"/>
    <w:rsid w:val="00167415"/>
    <w:rsid w:val="001703EF"/>
    <w:rsid w:val="001707B5"/>
    <w:rsid w:val="00171AE3"/>
    <w:rsid w:val="00172A27"/>
    <w:rsid w:val="00180C63"/>
    <w:rsid w:val="00180F4F"/>
    <w:rsid w:val="00190EDA"/>
    <w:rsid w:val="00190F3F"/>
    <w:rsid w:val="001915A1"/>
    <w:rsid w:val="0019332B"/>
    <w:rsid w:val="001935F7"/>
    <w:rsid w:val="001A0C95"/>
    <w:rsid w:val="001A16DD"/>
    <w:rsid w:val="001A1D0D"/>
    <w:rsid w:val="001B6EA5"/>
    <w:rsid w:val="001C366F"/>
    <w:rsid w:val="001C47D6"/>
    <w:rsid w:val="001D0D0A"/>
    <w:rsid w:val="001D2B34"/>
    <w:rsid w:val="001E2CE1"/>
    <w:rsid w:val="001E31E1"/>
    <w:rsid w:val="00200769"/>
    <w:rsid w:val="0020266C"/>
    <w:rsid w:val="0020535E"/>
    <w:rsid w:val="002121BA"/>
    <w:rsid w:val="00213984"/>
    <w:rsid w:val="00214A8C"/>
    <w:rsid w:val="00227F3D"/>
    <w:rsid w:val="00232A39"/>
    <w:rsid w:val="00233857"/>
    <w:rsid w:val="00234FFF"/>
    <w:rsid w:val="0024156F"/>
    <w:rsid w:val="00244376"/>
    <w:rsid w:val="00255E12"/>
    <w:rsid w:val="00257049"/>
    <w:rsid w:val="002634C4"/>
    <w:rsid w:val="002641F1"/>
    <w:rsid w:val="00265348"/>
    <w:rsid w:val="002656D0"/>
    <w:rsid w:val="00267093"/>
    <w:rsid w:val="00270D2B"/>
    <w:rsid w:val="00286A14"/>
    <w:rsid w:val="0029008D"/>
    <w:rsid w:val="002A3867"/>
    <w:rsid w:val="002B407B"/>
    <w:rsid w:val="002B6FD6"/>
    <w:rsid w:val="002C17FC"/>
    <w:rsid w:val="002C3AC9"/>
    <w:rsid w:val="002D3867"/>
    <w:rsid w:val="002D5090"/>
    <w:rsid w:val="002E31C1"/>
    <w:rsid w:val="002E5FBC"/>
    <w:rsid w:val="002E7FBD"/>
    <w:rsid w:val="002F34C5"/>
    <w:rsid w:val="002F5F60"/>
    <w:rsid w:val="002F6F54"/>
    <w:rsid w:val="00306252"/>
    <w:rsid w:val="00306732"/>
    <w:rsid w:val="003118E5"/>
    <w:rsid w:val="00316D86"/>
    <w:rsid w:val="003174CC"/>
    <w:rsid w:val="0033531F"/>
    <w:rsid w:val="00340D6C"/>
    <w:rsid w:val="00342E08"/>
    <w:rsid w:val="003431B5"/>
    <w:rsid w:val="003432A9"/>
    <w:rsid w:val="00343BF9"/>
    <w:rsid w:val="003457CE"/>
    <w:rsid w:val="00357DB2"/>
    <w:rsid w:val="0036337C"/>
    <w:rsid w:val="00375F6A"/>
    <w:rsid w:val="0037665D"/>
    <w:rsid w:val="0037734F"/>
    <w:rsid w:val="00381E1D"/>
    <w:rsid w:val="0038444F"/>
    <w:rsid w:val="003965F3"/>
    <w:rsid w:val="003B492D"/>
    <w:rsid w:val="003B4DF9"/>
    <w:rsid w:val="003B752B"/>
    <w:rsid w:val="003C0AB4"/>
    <w:rsid w:val="003D052C"/>
    <w:rsid w:val="003D1349"/>
    <w:rsid w:val="003D1F14"/>
    <w:rsid w:val="003D49F4"/>
    <w:rsid w:val="003D5A25"/>
    <w:rsid w:val="003F6948"/>
    <w:rsid w:val="004055D8"/>
    <w:rsid w:val="00411F4D"/>
    <w:rsid w:val="00414AC4"/>
    <w:rsid w:val="00415CD2"/>
    <w:rsid w:val="0041753B"/>
    <w:rsid w:val="00417F02"/>
    <w:rsid w:val="00422A8D"/>
    <w:rsid w:val="004232B6"/>
    <w:rsid w:val="004331DD"/>
    <w:rsid w:val="004377B1"/>
    <w:rsid w:val="00441B7F"/>
    <w:rsid w:val="00442AEB"/>
    <w:rsid w:val="00450FDF"/>
    <w:rsid w:val="00453BB5"/>
    <w:rsid w:val="00460E88"/>
    <w:rsid w:val="00461C13"/>
    <w:rsid w:val="00463154"/>
    <w:rsid w:val="00466F27"/>
    <w:rsid w:val="00472801"/>
    <w:rsid w:val="00480649"/>
    <w:rsid w:val="00494132"/>
    <w:rsid w:val="00495440"/>
    <w:rsid w:val="004A0D8E"/>
    <w:rsid w:val="004A0F6F"/>
    <w:rsid w:val="004A1F26"/>
    <w:rsid w:val="004A236F"/>
    <w:rsid w:val="004A42B0"/>
    <w:rsid w:val="004A4C0A"/>
    <w:rsid w:val="004C1251"/>
    <w:rsid w:val="004C5436"/>
    <w:rsid w:val="004D07E3"/>
    <w:rsid w:val="004D6675"/>
    <w:rsid w:val="004E0FE9"/>
    <w:rsid w:val="004E15A7"/>
    <w:rsid w:val="00503F95"/>
    <w:rsid w:val="00505856"/>
    <w:rsid w:val="005078A5"/>
    <w:rsid w:val="00507C12"/>
    <w:rsid w:val="00511521"/>
    <w:rsid w:val="0051207D"/>
    <w:rsid w:val="00512A8E"/>
    <w:rsid w:val="00514F88"/>
    <w:rsid w:val="00515571"/>
    <w:rsid w:val="00527AC5"/>
    <w:rsid w:val="005310DF"/>
    <w:rsid w:val="00535857"/>
    <w:rsid w:val="005400AA"/>
    <w:rsid w:val="00544CBF"/>
    <w:rsid w:val="00553D36"/>
    <w:rsid w:val="00556A9C"/>
    <w:rsid w:val="00556B2C"/>
    <w:rsid w:val="00557A78"/>
    <w:rsid w:val="00560DDB"/>
    <w:rsid w:val="005610E0"/>
    <w:rsid w:val="005610ED"/>
    <w:rsid w:val="0056677A"/>
    <w:rsid w:val="00574FBF"/>
    <w:rsid w:val="00581AFB"/>
    <w:rsid w:val="00582FB4"/>
    <w:rsid w:val="0059272F"/>
    <w:rsid w:val="005948D6"/>
    <w:rsid w:val="00597EED"/>
    <w:rsid w:val="005A0060"/>
    <w:rsid w:val="005A1BAD"/>
    <w:rsid w:val="005C6B23"/>
    <w:rsid w:val="005C72C3"/>
    <w:rsid w:val="005C7F3D"/>
    <w:rsid w:val="005D1A71"/>
    <w:rsid w:val="005D6313"/>
    <w:rsid w:val="005F06C8"/>
    <w:rsid w:val="005F2B1F"/>
    <w:rsid w:val="005F7B0E"/>
    <w:rsid w:val="00603FA9"/>
    <w:rsid w:val="0060400A"/>
    <w:rsid w:val="00605D19"/>
    <w:rsid w:val="00605D60"/>
    <w:rsid w:val="00607248"/>
    <w:rsid w:val="00615752"/>
    <w:rsid w:val="00624E90"/>
    <w:rsid w:val="00627003"/>
    <w:rsid w:val="006340FC"/>
    <w:rsid w:val="00636B4C"/>
    <w:rsid w:val="00645B5F"/>
    <w:rsid w:val="00646464"/>
    <w:rsid w:val="00650C7E"/>
    <w:rsid w:val="00650FC5"/>
    <w:rsid w:val="00651124"/>
    <w:rsid w:val="006549E9"/>
    <w:rsid w:val="0066012B"/>
    <w:rsid w:val="00662C51"/>
    <w:rsid w:val="006648E9"/>
    <w:rsid w:val="006654A4"/>
    <w:rsid w:val="006667E0"/>
    <w:rsid w:val="0066715B"/>
    <w:rsid w:val="00676292"/>
    <w:rsid w:val="00677012"/>
    <w:rsid w:val="00677654"/>
    <w:rsid w:val="0068039E"/>
    <w:rsid w:val="00681A75"/>
    <w:rsid w:val="0068299B"/>
    <w:rsid w:val="006900F0"/>
    <w:rsid w:val="0069041D"/>
    <w:rsid w:val="006905BB"/>
    <w:rsid w:val="00692C72"/>
    <w:rsid w:val="006935C2"/>
    <w:rsid w:val="006A6CC3"/>
    <w:rsid w:val="006B2278"/>
    <w:rsid w:val="006B7506"/>
    <w:rsid w:val="006C1FC9"/>
    <w:rsid w:val="006D2D2D"/>
    <w:rsid w:val="006E2B10"/>
    <w:rsid w:val="006E5380"/>
    <w:rsid w:val="006F55B7"/>
    <w:rsid w:val="006F7E51"/>
    <w:rsid w:val="00704441"/>
    <w:rsid w:val="00704F6A"/>
    <w:rsid w:val="00705428"/>
    <w:rsid w:val="00720C71"/>
    <w:rsid w:val="0072709F"/>
    <w:rsid w:val="0073701A"/>
    <w:rsid w:val="00737968"/>
    <w:rsid w:val="007402EE"/>
    <w:rsid w:val="007403F1"/>
    <w:rsid w:val="00745689"/>
    <w:rsid w:val="0074728D"/>
    <w:rsid w:val="00761785"/>
    <w:rsid w:val="00764279"/>
    <w:rsid w:val="00766986"/>
    <w:rsid w:val="00770000"/>
    <w:rsid w:val="007731C7"/>
    <w:rsid w:val="00777B89"/>
    <w:rsid w:val="00781333"/>
    <w:rsid w:val="007847C9"/>
    <w:rsid w:val="007867C2"/>
    <w:rsid w:val="007951D1"/>
    <w:rsid w:val="007A2998"/>
    <w:rsid w:val="007A645A"/>
    <w:rsid w:val="007A78C5"/>
    <w:rsid w:val="007C35A9"/>
    <w:rsid w:val="007C441D"/>
    <w:rsid w:val="007D41B6"/>
    <w:rsid w:val="007D613C"/>
    <w:rsid w:val="007D7E3A"/>
    <w:rsid w:val="007E309E"/>
    <w:rsid w:val="007F7464"/>
    <w:rsid w:val="00804C8D"/>
    <w:rsid w:val="008120D8"/>
    <w:rsid w:val="00817202"/>
    <w:rsid w:val="0082201E"/>
    <w:rsid w:val="008236E6"/>
    <w:rsid w:val="0083211B"/>
    <w:rsid w:val="00833DEC"/>
    <w:rsid w:val="00842ED1"/>
    <w:rsid w:val="008469C5"/>
    <w:rsid w:val="00850381"/>
    <w:rsid w:val="008676A7"/>
    <w:rsid w:val="00875A90"/>
    <w:rsid w:val="00893CAB"/>
    <w:rsid w:val="008967AA"/>
    <w:rsid w:val="008A1D56"/>
    <w:rsid w:val="008B1DDB"/>
    <w:rsid w:val="008B5555"/>
    <w:rsid w:val="008B577C"/>
    <w:rsid w:val="008C0C2A"/>
    <w:rsid w:val="008C19A0"/>
    <w:rsid w:val="008C2E68"/>
    <w:rsid w:val="008C615D"/>
    <w:rsid w:val="008C63F2"/>
    <w:rsid w:val="008E1587"/>
    <w:rsid w:val="008E4837"/>
    <w:rsid w:val="008F6F25"/>
    <w:rsid w:val="009002CB"/>
    <w:rsid w:val="00907BBF"/>
    <w:rsid w:val="00910231"/>
    <w:rsid w:val="00912957"/>
    <w:rsid w:val="009276C6"/>
    <w:rsid w:val="0093148A"/>
    <w:rsid w:val="00933FBF"/>
    <w:rsid w:val="00945535"/>
    <w:rsid w:val="009466AD"/>
    <w:rsid w:val="0094672C"/>
    <w:rsid w:val="009632B7"/>
    <w:rsid w:val="00965BB5"/>
    <w:rsid w:val="00967BCF"/>
    <w:rsid w:val="00967E8A"/>
    <w:rsid w:val="009713CF"/>
    <w:rsid w:val="00981EBA"/>
    <w:rsid w:val="009879CB"/>
    <w:rsid w:val="009A1314"/>
    <w:rsid w:val="009C2EEF"/>
    <w:rsid w:val="009C6508"/>
    <w:rsid w:val="009D0BE5"/>
    <w:rsid w:val="009D1D5F"/>
    <w:rsid w:val="009D3F1F"/>
    <w:rsid w:val="009D7FAA"/>
    <w:rsid w:val="009E06ED"/>
    <w:rsid w:val="009E17F3"/>
    <w:rsid w:val="009F0433"/>
    <w:rsid w:val="009F3C70"/>
    <w:rsid w:val="009F5104"/>
    <w:rsid w:val="009F6BE3"/>
    <w:rsid w:val="00A06DF7"/>
    <w:rsid w:val="00A10772"/>
    <w:rsid w:val="00A10ADA"/>
    <w:rsid w:val="00A1311B"/>
    <w:rsid w:val="00A2057E"/>
    <w:rsid w:val="00A35296"/>
    <w:rsid w:val="00A36D52"/>
    <w:rsid w:val="00A37174"/>
    <w:rsid w:val="00A37F3E"/>
    <w:rsid w:val="00A402BA"/>
    <w:rsid w:val="00A44663"/>
    <w:rsid w:val="00A4547E"/>
    <w:rsid w:val="00A46ECF"/>
    <w:rsid w:val="00A560DF"/>
    <w:rsid w:val="00A628E6"/>
    <w:rsid w:val="00A701A6"/>
    <w:rsid w:val="00A70FD2"/>
    <w:rsid w:val="00A72625"/>
    <w:rsid w:val="00A72629"/>
    <w:rsid w:val="00A77163"/>
    <w:rsid w:val="00A82DAE"/>
    <w:rsid w:val="00A86A6B"/>
    <w:rsid w:val="00A86D92"/>
    <w:rsid w:val="00A942E5"/>
    <w:rsid w:val="00A958E0"/>
    <w:rsid w:val="00A95F4D"/>
    <w:rsid w:val="00AB51F5"/>
    <w:rsid w:val="00AB698D"/>
    <w:rsid w:val="00AB7B6C"/>
    <w:rsid w:val="00AC026B"/>
    <w:rsid w:val="00AC5F7A"/>
    <w:rsid w:val="00AD07C8"/>
    <w:rsid w:val="00AD35D7"/>
    <w:rsid w:val="00AD4E47"/>
    <w:rsid w:val="00AD53F4"/>
    <w:rsid w:val="00AD623F"/>
    <w:rsid w:val="00AD6299"/>
    <w:rsid w:val="00AF0D99"/>
    <w:rsid w:val="00AF5B6B"/>
    <w:rsid w:val="00B06244"/>
    <w:rsid w:val="00B1162A"/>
    <w:rsid w:val="00B11A40"/>
    <w:rsid w:val="00B20B36"/>
    <w:rsid w:val="00B22F34"/>
    <w:rsid w:val="00B24021"/>
    <w:rsid w:val="00B24EA7"/>
    <w:rsid w:val="00B37B73"/>
    <w:rsid w:val="00B4014D"/>
    <w:rsid w:val="00B4202F"/>
    <w:rsid w:val="00B459CC"/>
    <w:rsid w:val="00B46999"/>
    <w:rsid w:val="00B51BAE"/>
    <w:rsid w:val="00B60247"/>
    <w:rsid w:val="00B6246B"/>
    <w:rsid w:val="00B668FA"/>
    <w:rsid w:val="00B71B8E"/>
    <w:rsid w:val="00B72506"/>
    <w:rsid w:val="00B73197"/>
    <w:rsid w:val="00B771F0"/>
    <w:rsid w:val="00B82543"/>
    <w:rsid w:val="00B910AF"/>
    <w:rsid w:val="00BA41B9"/>
    <w:rsid w:val="00BA6D4B"/>
    <w:rsid w:val="00BB0911"/>
    <w:rsid w:val="00BB2830"/>
    <w:rsid w:val="00BB53B2"/>
    <w:rsid w:val="00BC0E66"/>
    <w:rsid w:val="00BD542D"/>
    <w:rsid w:val="00BE1CE3"/>
    <w:rsid w:val="00BE4391"/>
    <w:rsid w:val="00BE5F20"/>
    <w:rsid w:val="00BF5927"/>
    <w:rsid w:val="00BF6F4A"/>
    <w:rsid w:val="00C02152"/>
    <w:rsid w:val="00C07532"/>
    <w:rsid w:val="00C13605"/>
    <w:rsid w:val="00C16DC3"/>
    <w:rsid w:val="00C31185"/>
    <w:rsid w:val="00C34066"/>
    <w:rsid w:val="00C3638A"/>
    <w:rsid w:val="00C363D9"/>
    <w:rsid w:val="00C46AF2"/>
    <w:rsid w:val="00C47084"/>
    <w:rsid w:val="00C47D55"/>
    <w:rsid w:val="00C504C6"/>
    <w:rsid w:val="00C52D5C"/>
    <w:rsid w:val="00C55552"/>
    <w:rsid w:val="00C560D3"/>
    <w:rsid w:val="00C60981"/>
    <w:rsid w:val="00C62F53"/>
    <w:rsid w:val="00C67633"/>
    <w:rsid w:val="00C7233A"/>
    <w:rsid w:val="00C76B6E"/>
    <w:rsid w:val="00C86D1C"/>
    <w:rsid w:val="00C9577C"/>
    <w:rsid w:val="00CA071F"/>
    <w:rsid w:val="00CA3E18"/>
    <w:rsid w:val="00CA452F"/>
    <w:rsid w:val="00CA4843"/>
    <w:rsid w:val="00CA4DC1"/>
    <w:rsid w:val="00CA5417"/>
    <w:rsid w:val="00CB1BA1"/>
    <w:rsid w:val="00CB66F3"/>
    <w:rsid w:val="00CB742E"/>
    <w:rsid w:val="00CC44E7"/>
    <w:rsid w:val="00CC6FF6"/>
    <w:rsid w:val="00CD7172"/>
    <w:rsid w:val="00CE174D"/>
    <w:rsid w:val="00CE6AD2"/>
    <w:rsid w:val="00CF20F9"/>
    <w:rsid w:val="00D02F5C"/>
    <w:rsid w:val="00D11CD2"/>
    <w:rsid w:val="00D139D9"/>
    <w:rsid w:val="00D200B4"/>
    <w:rsid w:val="00D2297E"/>
    <w:rsid w:val="00D3382B"/>
    <w:rsid w:val="00D3546C"/>
    <w:rsid w:val="00D35AB9"/>
    <w:rsid w:val="00D44193"/>
    <w:rsid w:val="00D5474E"/>
    <w:rsid w:val="00D57626"/>
    <w:rsid w:val="00D62CAE"/>
    <w:rsid w:val="00D631D5"/>
    <w:rsid w:val="00D64291"/>
    <w:rsid w:val="00D66F03"/>
    <w:rsid w:val="00D715BA"/>
    <w:rsid w:val="00D80300"/>
    <w:rsid w:val="00D81B29"/>
    <w:rsid w:val="00D84A25"/>
    <w:rsid w:val="00DA25ED"/>
    <w:rsid w:val="00DA49D2"/>
    <w:rsid w:val="00DB2B2C"/>
    <w:rsid w:val="00DB7DBD"/>
    <w:rsid w:val="00DC07EA"/>
    <w:rsid w:val="00DC3123"/>
    <w:rsid w:val="00DC5961"/>
    <w:rsid w:val="00DC67AB"/>
    <w:rsid w:val="00DD4D96"/>
    <w:rsid w:val="00DD5880"/>
    <w:rsid w:val="00DD652B"/>
    <w:rsid w:val="00DD6EE7"/>
    <w:rsid w:val="00DE1F51"/>
    <w:rsid w:val="00DE1F65"/>
    <w:rsid w:val="00DE3BFC"/>
    <w:rsid w:val="00DF05D3"/>
    <w:rsid w:val="00DF6DE6"/>
    <w:rsid w:val="00E0359C"/>
    <w:rsid w:val="00E0766C"/>
    <w:rsid w:val="00E12471"/>
    <w:rsid w:val="00E17F3C"/>
    <w:rsid w:val="00E22613"/>
    <w:rsid w:val="00E26B06"/>
    <w:rsid w:val="00E309F7"/>
    <w:rsid w:val="00E42F01"/>
    <w:rsid w:val="00E43553"/>
    <w:rsid w:val="00E56B52"/>
    <w:rsid w:val="00E713CD"/>
    <w:rsid w:val="00E721A6"/>
    <w:rsid w:val="00E7709D"/>
    <w:rsid w:val="00E77CC7"/>
    <w:rsid w:val="00E81556"/>
    <w:rsid w:val="00E82DA7"/>
    <w:rsid w:val="00E83B3D"/>
    <w:rsid w:val="00E8770E"/>
    <w:rsid w:val="00E92BBD"/>
    <w:rsid w:val="00E96B4E"/>
    <w:rsid w:val="00EB2A7E"/>
    <w:rsid w:val="00EB47F6"/>
    <w:rsid w:val="00EC0B6F"/>
    <w:rsid w:val="00ED5C06"/>
    <w:rsid w:val="00ED5D4A"/>
    <w:rsid w:val="00EE311B"/>
    <w:rsid w:val="00EE3C36"/>
    <w:rsid w:val="00EE741C"/>
    <w:rsid w:val="00EF01F2"/>
    <w:rsid w:val="00EF27F6"/>
    <w:rsid w:val="00F02A8E"/>
    <w:rsid w:val="00F04846"/>
    <w:rsid w:val="00F07FF1"/>
    <w:rsid w:val="00F131C1"/>
    <w:rsid w:val="00F16983"/>
    <w:rsid w:val="00F17CB6"/>
    <w:rsid w:val="00F2173B"/>
    <w:rsid w:val="00F22BE0"/>
    <w:rsid w:val="00F264EC"/>
    <w:rsid w:val="00F274F3"/>
    <w:rsid w:val="00F335A2"/>
    <w:rsid w:val="00F47AB9"/>
    <w:rsid w:val="00F5074D"/>
    <w:rsid w:val="00F56226"/>
    <w:rsid w:val="00F62417"/>
    <w:rsid w:val="00F74E38"/>
    <w:rsid w:val="00F75B26"/>
    <w:rsid w:val="00F90F11"/>
    <w:rsid w:val="00F9626F"/>
    <w:rsid w:val="00F965F0"/>
    <w:rsid w:val="00F97746"/>
    <w:rsid w:val="00FA4F6F"/>
    <w:rsid w:val="00FB597D"/>
    <w:rsid w:val="00FC1D27"/>
    <w:rsid w:val="00FC7DB6"/>
    <w:rsid w:val="00FD552E"/>
    <w:rsid w:val="00FD5D40"/>
    <w:rsid w:val="00FE0CA7"/>
    <w:rsid w:val="00FE789C"/>
    <w:rsid w:val="00FF109F"/>
    <w:rsid w:val="00FF5E54"/>
    <w:rsid w:val="00FF7344"/>
    <w:rsid w:val="01034F50"/>
    <w:rsid w:val="01071034"/>
    <w:rsid w:val="010C3DC8"/>
    <w:rsid w:val="010F0586"/>
    <w:rsid w:val="01147C1B"/>
    <w:rsid w:val="012B26EA"/>
    <w:rsid w:val="012F1E7E"/>
    <w:rsid w:val="01372EF4"/>
    <w:rsid w:val="013E72D6"/>
    <w:rsid w:val="016C19DD"/>
    <w:rsid w:val="018D1F57"/>
    <w:rsid w:val="01935025"/>
    <w:rsid w:val="01940616"/>
    <w:rsid w:val="019468C3"/>
    <w:rsid w:val="01946C70"/>
    <w:rsid w:val="01960646"/>
    <w:rsid w:val="0198396D"/>
    <w:rsid w:val="019A7D31"/>
    <w:rsid w:val="01A35C3F"/>
    <w:rsid w:val="01A86C0F"/>
    <w:rsid w:val="01A87EF9"/>
    <w:rsid w:val="01BC38B3"/>
    <w:rsid w:val="01BD5A74"/>
    <w:rsid w:val="01BF5575"/>
    <w:rsid w:val="01C43576"/>
    <w:rsid w:val="01CC7188"/>
    <w:rsid w:val="01D67023"/>
    <w:rsid w:val="01EA264A"/>
    <w:rsid w:val="01EA5A69"/>
    <w:rsid w:val="01EC5D8E"/>
    <w:rsid w:val="01EF6A19"/>
    <w:rsid w:val="01FD0220"/>
    <w:rsid w:val="02196CE0"/>
    <w:rsid w:val="021C07F4"/>
    <w:rsid w:val="022A79A6"/>
    <w:rsid w:val="022F0311"/>
    <w:rsid w:val="02305689"/>
    <w:rsid w:val="023648F9"/>
    <w:rsid w:val="02517404"/>
    <w:rsid w:val="025A409B"/>
    <w:rsid w:val="0265265E"/>
    <w:rsid w:val="026A5370"/>
    <w:rsid w:val="0273304A"/>
    <w:rsid w:val="027C5C41"/>
    <w:rsid w:val="0285750B"/>
    <w:rsid w:val="02857B6B"/>
    <w:rsid w:val="0287367C"/>
    <w:rsid w:val="0290543B"/>
    <w:rsid w:val="02936426"/>
    <w:rsid w:val="029E4833"/>
    <w:rsid w:val="02A0279B"/>
    <w:rsid w:val="02A26202"/>
    <w:rsid w:val="02A70443"/>
    <w:rsid w:val="02B77DBC"/>
    <w:rsid w:val="02BE0656"/>
    <w:rsid w:val="02C41D37"/>
    <w:rsid w:val="02C51E35"/>
    <w:rsid w:val="02CB7C07"/>
    <w:rsid w:val="02CE73EF"/>
    <w:rsid w:val="02D1501C"/>
    <w:rsid w:val="02D8297C"/>
    <w:rsid w:val="02D96A98"/>
    <w:rsid w:val="02E64489"/>
    <w:rsid w:val="02F02BD5"/>
    <w:rsid w:val="02FB3F9C"/>
    <w:rsid w:val="030F42DA"/>
    <w:rsid w:val="03162828"/>
    <w:rsid w:val="031E2D7E"/>
    <w:rsid w:val="03255D1D"/>
    <w:rsid w:val="03287252"/>
    <w:rsid w:val="033B5913"/>
    <w:rsid w:val="03485655"/>
    <w:rsid w:val="034B1CD7"/>
    <w:rsid w:val="034C1B99"/>
    <w:rsid w:val="03511B98"/>
    <w:rsid w:val="0355741B"/>
    <w:rsid w:val="035710E7"/>
    <w:rsid w:val="03701F6B"/>
    <w:rsid w:val="037B2872"/>
    <w:rsid w:val="038F5B78"/>
    <w:rsid w:val="0390482D"/>
    <w:rsid w:val="0395088A"/>
    <w:rsid w:val="03A80A8F"/>
    <w:rsid w:val="03C75496"/>
    <w:rsid w:val="03C920D7"/>
    <w:rsid w:val="03CB058F"/>
    <w:rsid w:val="03D602CF"/>
    <w:rsid w:val="03E3500C"/>
    <w:rsid w:val="03EB1496"/>
    <w:rsid w:val="03F7727A"/>
    <w:rsid w:val="03FC631D"/>
    <w:rsid w:val="03FC6CA3"/>
    <w:rsid w:val="040673D8"/>
    <w:rsid w:val="04183B93"/>
    <w:rsid w:val="04265590"/>
    <w:rsid w:val="042C0564"/>
    <w:rsid w:val="0438161B"/>
    <w:rsid w:val="043F210B"/>
    <w:rsid w:val="04414FE4"/>
    <w:rsid w:val="045A7C55"/>
    <w:rsid w:val="04755130"/>
    <w:rsid w:val="047A25EF"/>
    <w:rsid w:val="0491498E"/>
    <w:rsid w:val="04924281"/>
    <w:rsid w:val="04937E27"/>
    <w:rsid w:val="04AC41D5"/>
    <w:rsid w:val="04B967A6"/>
    <w:rsid w:val="04C008D8"/>
    <w:rsid w:val="04C04FE4"/>
    <w:rsid w:val="04C817B0"/>
    <w:rsid w:val="04C83767"/>
    <w:rsid w:val="04DA2B2F"/>
    <w:rsid w:val="04DC07A4"/>
    <w:rsid w:val="04F504F3"/>
    <w:rsid w:val="04F53D68"/>
    <w:rsid w:val="04FA1ACA"/>
    <w:rsid w:val="050661D6"/>
    <w:rsid w:val="050E4744"/>
    <w:rsid w:val="05114E34"/>
    <w:rsid w:val="0518353C"/>
    <w:rsid w:val="05273F4C"/>
    <w:rsid w:val="052B5A86"/>
    <w:rsid w:val="052D0B22"/>
    <w:rsid w:val="052D526C"/>
    <w:rsid w:val="052E5B42"/>
    <w:rsid w:val="05324CAB"/>
    <w:rsid w:val="053A77F1"/>
    <w:rsid w:val="054D6C8E"/>
    <w:rsid w:val="0568093E"/>
    <w:rsid w:val="05765EB1"/>
    <w:rsid w:val="05770510"/>
    <w:rsid w:val="05A250EF"/>
    <w:rsid w:val="05A75FD0"/>
    <w:rsid w:val="05AC3B67"/>
    <w:rsid w:val="05B46132"/>
    <w:rsid w:val="05BB3FE0"/>
    <w:rsid w:val="05BD309E"/>
    <w:rsid w:val="05CD1CD0"/>
    <w:rsid w:val="05D4727A"/>
    <w:rsid w:val="05E264A2"/>
    <w:rsid w:val="05E65C45"/>
    <w:rsid w:val="05EC445F"/>
    <w:rsid w:val="05FE588C"/>
    <w:rsid w:val="06191B00"/>
    <w:rsid w:val="06261FB2"/>
    <w:rsid w:val="062A49FE"/>
    <w:rsid w:val="062B2C58"/>
    <w:rsid w:val="062E0973"/>
    <w:rsid w:val="062E123A"/>
    <w:rsid w:val="062F2F65"/>
    <w:rsid w:val="06331B58"/>
    <w:rsid w:val="063C7300"/>
    <w:rsid w:val="063D3F68"/>
    <w:rsid w:val="063E75FF"/>
    <w:rsid w:val="063F2FDA"/>
    <w:rsid w:val="0641467C"/>
    <w:rsid w:val="065B2D5A"/>
    <w:rsid w:val="066826A5"/>
    <w:rsid w:val="066B231B"/>
    <w:rsid w:val="067D64D7"/>
    <w:rsid w:val="068B3E25"/>
    <w:rsid w:val="06921094"/>
    <w:rsid w:val="069D24CF"/>
    <w:rsid w:val="069F4F12"/>
    <w:rsid w:val="06A122F1"/>
    <w:rsid w:val="06A26572"/>
    <w:rsid w:val="06A91C12"/>
    <w:rsid w:val="06AB3000"/>
    <w:rsid w:val="06BF2BC9"/>
    <w:rsid w:val="06C21EA0"/>
    <w:rsid w:val="06C57E6A"/>
    <w:rsid w:val="06C66DBE"/>
    <w:rsid w:val="06CD34FD"/>
    <w:rsid w:val="06D31C97"/>
    <w:rsid w:val="06E23775"/>
    <w:rsid w:val="06E70C2C"/>
    <w:rsid w:val="06F63B02"/>
    <w:rsid w:val="070F7992"/>
    <w:rsid w:val="0710600C"/>
    <w:rsid w:val="07171799"/>
    <w:rsid w:val="072A18B1"/>
    <w:rsid w:val="073350D1"/>
    <w:rsid w:val="07396345"/>
    <w:rsid w:val="07421ADB"/>
    <w:rsid w:val="075A6561"/>
    <w:rsid w:val="07656D5F"/>
    <w:rsid w:val="076664FA"/>
    <w:rsid w:val="078041E1"/>
    <w:rsid w:val="07A962EF"/>
    <w:rsid w:val="07AB2622"/>
    <w:rsid w:val="07AE0209"/>
    <w:rsid w:val="07B90CB8"/>
    <w:rsid w:val="07C92876"/>
    <w:rsid w:val="07CD3CFC"/>
    <w:rsid w:val="07CE1DAE"/>
    <w:rsid w:val="07CF1762"/>
    <w:rsid w:val="07D35871"/>
    <w:rsid w:val="07D664BB"/>
    <w:rsid w:val="07E72487"/>
    <w:rsid w:val="07F01394"/>
    <w:rsid w:val="080033D8"/>
    <w:rsid w:val="08132934"/>
    <w:rsid w:val="081C7FFD"/>
    <w:rsid w:val="081E60F8"/>
    <w:rsid w:val="08221F43"/>
    <w:rsid w:val="08267BDB"/>
    <w:rsid w:val="082A2ADC"/>
    <w:rsid w:val="083E1DD9"/>
    <w:rsid w:val="083E2014"/>
    <w:rsid w:val="08443EC8"/>
    <w:rsid w:val="0847015A"/>
    <w:rsid w:val="08497C63"/>
    <w:rsid w:val="084D4D6C"/>
    <w:rsid w:val="085A2DB3"/>
    <w:rsid w:val="085D10D0"/>
    <w:rsid w:val="086D78C5"/>
    <w:rsid w:val="08700C32"/>
    <w:rsid w:val="0874771F"/>
    <w:rsid w:val="08774AE2"/>
    <w:rsid w:val="088322CA"/>
    <w:rsid w:val="088A7892"/>
    <w:rsid w:val="08BA40FB"/>
    <w:rsid w:val="08BD074A"/>
    <w:rsid w:val="08C705FA"/>
    <w:rsid w:val="08DC30CD"/>
    <w:rsid w:val="08F33B3B"/>
    <w:rsid w:val="08F868DD"/>
    <w:rsid w:val="08FC6E2E"/>
    <w:rsid w:val="09035158"/>
    <w:rsid w:val="090459B7"/>
    <w:rsid w:val="090573DB"/>
    <w:rsid w:val="090649E8"/>
    <w:rsid w:val="091003D3"/>
    <w:rsid w:val="09100FA5"/>
    <w:rsid w:val="09173718"/>
    <w:rsid w:val="0924214D"/>
    <w:rsid w:val="092F5500"/>
    <w:rsid w:val="093C3F05"/>
    <w:rsid w:val="094175EF"/>
    <w:rsid w:val="094C5F48"/>
    <w:rsid w:val="09527849"/>
    <w:rsid w:val="09693DAC"/>
    <w:rsid w:val="097248E3"/>
    <w:rsid w:val="0974250E"/>
    <w:rsid w:val="098B0009"/>
    <w:rsid w:val="099F5600"/>
    <w:rsid w:val="09A71B4A"/>
    <w:rsid w:val="09B01B5C"/>
    <w:rsid w:val="09B20F93"/>
    <w:rsid w:val="09E27B07"/>
    <w:rsid w:val="09E3717D"/>
    <w:rsid w:val="09E82966"/>
    <w:rsid w:val="09E96C7E"/>
    <w:rsid w:val="09F25B44"/>
    <w:rsid w:val="09F52184"/>
    <w:rsid w:val="0A0263AD"/>
    <w:rsid w:val="0A0E44C4"/>
    <w:rsid w:val="0A1102E2"/>
    <w:rsid w:val="0A111B5D"/>
    <w:rsid w:val="0A1D501B"/>
    <w:rsid w:val="0A2747B1"/>
    <w:rsid w:val="0A2B62ED"/>
    <w:rsid w:val="0A2D34DE"/>
    <w:rsid w:val="0A3B1781"/>
    <w:rsid w:val="0A4E5829"/>
    <w:rsid w:val="0A57271D"/>
    <w:rsid w:val="0A5C7041"/>
    <w:rsid w:val="0A611896"/>
    <w:rsid w:val="0A64065C"/>
    <w:rsid w:val="0A736B9E"/>
    <w:rsid w:val="0A773CC6"/>
    <w:rsid w:val="0AA45BE3"/>
    <w:rsid w:val="0AAC1283"/>
    <w:rsid w:val="0AAF776F"/>
    <w:rsid w:val="0ABA6CFB"/>
    <w:rsid w:val="0AC575B2"/>
    <w:rsid w:val="0ACD4A8B"/>
    <w:rsid w:val="0AD6716A"/>
    <w:rsid w:val="0AD77CC3"/>
    <w:rsid w:val="0AE44FF2"/>
    <w:rsid w:val="0AEC4F01"/>
    <w:rsid w:val="0AF27A1C"/>
    <w:rsid w:val="0AF736DF"/>
    <w:rsid w:val="0AF749EA"/>
    <w:rsid w:val="0AF775B1"/>
    <w:rsid w:val="0B046867"/>
    <w:rsid w:val="0B147505"/>
    <w:rsid w:val="0B160F28"/>
    <w:rsid w:val="0B186138"/>
    <w:rsid w:val="0B247573"/>
    <w:rsid w:val="0B263FC3"/>
    <w:rsid w:val="0B2A5495"/>
    <w:rsid w:val="0B312DDC"/>
    <w:rsid w:val="0B474785"/>
    <w:rsid w:val="0B4762E5"/>
    <w:rsid w:val="0B5B572E"/>
    <w:rsid w:val="0B5F5D6D"/>
    <w:rsid w:val="0B637D80"/>
    <w:rsid w:val="0B650069"/>
    <w:rsid w:val="0B733C87"/>
    <w:rsid w:val="0B765A05"/>
    <w:rsid w:val="0B8E7447"/>
    <w:rsid w:val="0B8F6F34"/>
    <w:rsid w:val="0B9630BA"/>
    <w:rsid w:val="0B987894"/>
    <w:rsid w:val="0B995D74"/>
    <w:rsid w:val="0B99732C"/>
    <w:rsid w:val="0BA42EE9"/>
    <w:rsid w:val="0BA62F19"/>
    <w:rsid w:val="0BAD1188"/>
    <w:rsid w:val="0BB25B14"/>
    <w:rsid w:val="0BBA658E"/>
    <w:rsid w:val="0BD33744"/>
    <w:rsid w:val="0BEB700C"/>
    <w:rsid w:val="0BED0C88"/>
    <w:rsid w:val="0BFA5C0C"/>
    <w:rsid w:val="0C0B7609"/>
    <w:rsid w:val="0C0C2225"/>
    <w:rsid w:val="0C0C77E8"/>
    <w:rsid w:val="0C106091"/>
    <w:rsid w:val="0C2D3DB0"/>
    <w:rsid w:val="0C2D6092"/>
    <w:rsid w:val="0C392ED5"/>
    <w:rsid w:val="0C3D7ED2"/>
    <w:rsid w:val="0C3F144D"/>
    <w:rsid w:val="0C4F55C6"/>
    <w:rsid w:val="0C6F3786"/>
    <w:rsid w:val="0C6F5D70"/>
    <w:rsid w:val="0C753D66"/>
    <w:rsid w:val="0C8F03AB"/>
    <w:rsid w:val="0C9E0697"/>
    <w:rsid w:val="0CA56900"/>
    <w:rsid w:val="0CAA480D"/>
    <w:rsid w:val="0CC02F95"/>
    <w:rsid w:val="0CD0215E"/>
    <w:rsid w:val="0CD23192"/>
    <w:rsid w:val="0CD531CD"/>
    <w:rsid w:val="0CD67673"/>
    <w:rsid w:val="0CD9237B"/>
    <w:rsid w:val="0CDC2B11"/>
    <w:rsid w:val="0CE84637"/>
    <w:rsid w:val="0CEA6C31"/>
    <w:rsid w:val="0CFA3C12"/>
    <w:rsid w:val="0CFC079E"/>
    <w:rsid w:val="0D036F33"/>
    <w:rsid w:val="0D134109"/>
    <w:rsid w:val="0D14003A"/>
    <w:rsid w:val="0D190034"/>
    <w:rsid w:val="0D19211F"/>
    <w:rsid w:val="0D346348"/>
    <w:rsid w:val="0D385640"/>
    <w:rsid w:val="0D3E2F48"/>
    <w:rsid w:val="0D523873"/>
    <w:rsid w:val="0D5546D7"/>
    <w:rsid w:val="0D5B41B8"/>
    <w:rsid w:val="0D5D59B8"/>
    <w:rsid w:val="0D6014CB"/>
    <w:rsid w:val="0D7037CF"/>
    <w:rsid w:val="0D706F44"/>
    <w:rsid w:val="0D725B55"/>
    <w:rsid w:val="0D784D87"/>
    <w:rsid w:val="0D88397B"/>
    <w:rsid w:val="0D8D4CF1"/>
    <w:rsid w:val="0D8E7F3E"/>
    <w:rsid w:val="0D8F0677"/>
    <w:rsid w:val="0D914962"/>
    <w:rsid w:val="0DA7523E"/>
    <w:rsid w:val="0DB53CD0"/>
    <w:rsid w:val="0DB90694"/>
    <w:rsid w:val="0DBC0F94"/>
    <w:rsid w:val="0DC34DF0"/>
    <w:rsid w:val="0DC70837"/>
    <w:rsid w:val="0DCC4915"/>
    <w:rsid w:val="0DD11F8B"/>
    <w:rsid w:val="0DD9261D"/>
    <w:rsid w:val="0DE269ED"/>
    <w:rsid w:val="0DE939DB"/>
    <w:rsid w:val="0DEB5CC3"/>
    <w:rsid w:val="0DEE7B66"/>
    <w:rsid w:val="0DF141EC"/>
    <w:rsid w:val="0E0109D3"/>
    <w:rsid w:val="0E134C62"/>
    <w:rsid w:val="0E3959B5"/>
    <w:rsid w:val="0E395A11"/>
    <w:rsid w:val="0E4C27FD"/>
    <w:rsid w:val="0E5F499B"/>
    <w:rsid w:val="0E77377E"/>
    <w:rsid w:val="0E805F71"/>
    <w:rsid w:val="0E8B4F62"/>
    <w:rsid w:val="0E8F557F"/>
    <w:rsid w:val="0E9C138B"/>
    <w:rsid w:val="0E9D7447"/>
    <w:rsid w:val="0E9F702C"/>
    <w:rsid w:val="0EA766DC"/>
    <w:rsid w:val="0EAC43D9"/>
    <w:rsid w:val="0EBA34C1"/>
    <w:rsid w:val="0EC331F7"/>
    <w:rsid w:val="0ECE1A24"/>
    <w:rsid w:val="0EDD0531"/>
    <w:rsid w:val="0EE125EC"/>
    <w:rsid w:val="0EED644A"/>
    <w:rsid w:val="0EF87618"/>
    <w:rsid w:val="0F031E5F"/>
    <w:rsid w:val="0F0338D1"/>
    <w:rsid w:val="0F0F4198"/>
    <w:rsid w:val="0F111021"/>
    <w:rsid w:val="0F1702AC"/>
    <w:rsid w:val="0F1B620A"/>
    <w:rsid w:val="0F3155D8"/>
    <w:rsid w:val="0F354FE8"/>
    <w:rsid w:val="0F3957BE"/>
    <w:rsid w:val="0F630FB4"/>
    <w:rsid w:val="0F6E00DB"/>
    <w:rsid w:val="0F720149"/>
    <w:rsid w:val="0F7622C0"/>
    <w:rsid w:val="0F7F48C5"/>
    <w:rsid w:val="0F8B33BC"/>
    <w:rsid w:val="0F8C78A3"/>
    <w:rsid w:val="0F9D174F"/>
    <w:rsid w:val="0FA106D1"/>
    <w:rsid w:val="0FA4037E"/>
    <w:rsid w:val="0FB228FA"/>
    <w:rsid w:val="0FB512B0"/>
    <w:rsid w:val="0FB7351A"/>
    <w:rsid w:val="0FBB5A35"/>
    <w:rsid w:val="0FBD7DC7"/>
    <w:rsid w:val="0FC33576"/>
    <w:rsid w:val="0FCC249E"/>
    <w:rsid w:val="0FD23E86"/>
    <w:rsid w:val="0FD85456"/>
    <w:rsid w:val="0FDB0E01"/>
    <w:rsid w:val="0FDF230C"/>
    <w:rsid w:val="0FF10ACA"/>
    <w:rsid w:val="0FFA6502"/>
    <w:rsid w:val="10035A07"/>
    <w:rsid w:val="100374CC"/>
    <w:rsid w:val="10046849"/>
    <w:rsid w:val="100D0043"/>
    <w:rsid w:val="10234080"/>
    <w:rsid w:val="102648C7"/>
    <w:rsid w:val="103D6AA9"/>
    <w:rsid w:val="103D6AAE"/>
    <w:rsid w:val="104B4C5A"/>
    <w:rsid w:val="10525B0E"/>
    <w:rsid w:val="105A4718"/>
    <w:rsid w:val="105D1DC1"/>
    <w:rsid w:val="1085426E"/>
    <w:rsid w:val="10880D1B"/>
    <w:rsid w:val="108C25AB"/>
    <w:rsid w:val="10AA5A0D"/>
    <w:rsid w:val="10AE2ED4"/>
    <w:rsid w:val="10B653F4"/>
    <w:rsid w:val="10C86AD0"/>
    <w:rsid w:val="10CC531E"/>
    <w:rsid w:val="10D23112"/>
    <w:rsid w:val="10D32EB4"/>
    <w:rsid w:val="10DD46B8"/>
    <w:rsid w:val="10E02B36"/>
    <w:rsid w:val="10F205A8"/>
    <w:rsid w:val="10F62DF5"/>
    <w:rsid w:val="10F74885"/>
    <w:rsid w:val="10FD29EF"/>
    <w:rsid w:val="111323D6"/>
    <w:rsid w:val="111A07DE"/>
    <w:rsid w:val="114274E0"/>
    <w:rsid w:val="114C09DF"/>
    <w:rsid w:val="114C66F9"/>
    <w:rsid w:val="1151114D"/>
    <w:rsid w:val="11587D66"/>
    <w:rsid w:val="115C6A21"/>
    <w:rsid w:val="115D42D6"/>
    <w:rsid w:val="115E347B"/>
    <w:rsid w:val="116036F5"/>
    <w:rsid w:val="117E38B4"/>
    <w:rsid w:val="11812B0E"/>
    <w:rsid w:val="11A26405"/>
    <w:rsid w:val="11AB06A4"/>
    <w:rsid w:val="11BC570D"/>
    <w:rsid w:val="11BC6DD1"/>
    <w:rsid w:val="11BE77CB"/>
    <w:rsid w:val="11C1144A"/>
    <w:rsid w:val="11C125E3"/>
    <w:rsid w:val="11D557B0"/>
    <w:rsid w:val="11E62F9E"/>
    <w:rsid w:val="11EB2ADA"/>
    <w:rsid w:val="12070DCE"/>
    <w:rsid w:val="120D0196"/>
    <w:rsid w:val="121562E2"/>
    <w:rsid w:val="121E0FE2"/>
    <w:rsid w:val="122425A3"/>
    <w:rsid w:val="122D0B62"/>
    <w:rsid w:val="12527EEB"/>
    <w:rsid w:val="125B74EB"/>
    <w:rsid w:val="127C5C01"/>
    <w:rsid w:val="12873A2E"/>
    <w:rsid w:val="12887089"/>
    <w:rsid w:val="128C0874"/>
    <w:rsid w:val="12915A6F"/>
    <w:rsid w:val="12A22504"/>
    <w:rsid w:val="12A505ED"/>
    <w:rsid w:val="12AB554A"/>
    <w:rsid w:val="12B34F04"/>
    <w:rsid w:val="12B54D8E"/>
    <w:rsid w:val="12C527D2"/>
    <w:rsid w:val="12D332E0"/>
    <w:rsid w:val="12DD1D7C"/>
    <w:rsid w:val="13012792"/>
    <w:rsid w:val="13057423"/>
    <w:rsid w:val="13166CD8"/>
    <w:rsid w:val="13240D28"/>
    <w:rsid w:val="132635F0"/>
    <w:rsid w:val="132A0D36"/>
    <w:rsid w:val="1330455D"/>
    <w:rsid w:val="133722BB"/>
    <w:rsid w:val="1337639C"/>
    <w:rsid w:val="1340357E"/>
    <w:rsid w:val="134171E0"/>
    <w:rsid w:val="134B74B3"/>
    <w:rsid w:val="13555876"/>
    <w:rsid w:val="135C3979"/>
    <w:rsid w:val="135F0877"/>
    <w:rsid w:val="135F2F2B"/>
    <w:rsid w:val="136327AC"/>
    <w:rsid w:val="137A2D83"/>
    <w:rsid w:val="137D07B8"/>
    <w:rsid w:val="139B6973"/>
    <w:rsid w:val="139C69E2"/>
    <w:rsid w:val="13A60529"/>
    <w:rsid w:val="13B82A03"/>
    <w:rsid w:val="14003E80"/>
    <w:rsid w:val="14014D57"/>
    <w:rsid w:val="14105DBE"/>
    <w:rsid w:val="14114FAB"/>
    <w:rsid w:val="14123FCA"/>
    <w:rsid w:val="141A5CCF"/>
    <w:rsid w:val="14213E6D"/>
    <w:rsid w:val="143137E4"/>
    <w:rsid w:val="14543A81"/>
    <w:rsid w:val="145D09FE"/>
    <w:rsid w:val="145D0EA8"/>
    <w:rsid w:val="14677B9F"/>
    <w:rsid w:val="14714EF0"/>
    <w:rsid w:val="14866AF3"/>
    <w:rsid w:val="148753DF"/>
    <w:rsid w:val="14954EB9"/>
    <w:rsid w:val="14994B36"/>
    <w:rsid w:val="14BB2F7D"/>
    <w:rsid w:val="14BD374F"/>
    <w:rsid w:val="14D162B4"/>
    <w:rsid w:val="14D84D6B"/>
    <w:rsid w:val="14F770AC"/>
    <w:rsid w:val="14F93F10"/>
    <w:rsid w:val="150A4012"/>
    <w:rsid w:val="150D5B14"/>
    <w:rsid w:val="151F0780"/>
    <w:rsid w:val="15343BDA"/>
    <w:rsid w:val="15362045"/>
    <w:rsid w:val="154374A3"/>
    <w:rsid w:val="15671A36"/>
    <w:rsid w:val="157A6CFD"/>
    <w:rsid w:val="158169BC"/>
    <w:rsid w:val="158A4349"/>
    <w:rsid w:val="15964341"/>
    <w:rsid w:val="15AC6860"/>
    <w:rsid w:val="15B662B9"/>
    <w:rsid w:val="15C55F3B"/>
    <w:rsid w:val="15CD0038"/>
    <w:rsid w:val="15D471B7"/>
    <w:rsid w:val="15D73F4B"/>
    <w:rsid w:val="15F470CE"/>
    <w:rsid w:val="15F83436"/>
    <w:rsid w:val="16085515"/>
    <w:rsid w:val="160B2BCB"/>
    <w:rsid w:val="160D58DE"/>
    <w:rsid w:val="16123E40"/>
    <w:rsid w:val="16176F8D"/>
    <w:rsid w:val="161A4BA8"/>
    <w:rsid w:val="161D7B80"/>
    <w:rsid w:val="16397617"/>
    <w:rsid w:val="163E1D0B"/>
    <w:rsid w:val="164B2C0A"/>
    <w:rsid w:val="164B31A8"/>
    <w:rsid w:val="16582A8C"/>
    <w:rsid w:val="16776213"/>
    <w:rsid w:val="16847D21"/>
    <w:rsid w:val="16A2758B"/>
    <w:rsid w:val="16A54903"/>
    <w:rsid w:val="16AB60BD"/>
    <w:rsid w:val="16AE5916"/>
    <w:rsid w:val="16B0570B"/>
    <w:rsid w:val="16B42376"/>
    <w:rsid w:val="16C52340"/>
    <w:rsid w:val="16CB2917"/>
    <w:rsid w:val="16E2687B"/>
    <w:rsid w:val="16E627D1"/>
    <w:rsid w:val="16EB0554"/>
    <w:rsid w:val="1706617A"/>
    <w:rsid w:val="17126799"/>
    <w:rsid w:val="17145744"/>
    <w:rsid w:val="172466C7"/>
    <w:rsid w:val="173B0CAA"/>
    <w:rsid w:val="17462599"/>
    <w:rsid w:val="17694359"/>
    <w:rsid w:val="176A38F9"/>
    <w:rsid w:val="176B7A5A"/>
    <w:rsid w:val="1780281C"/>
    <w:rsid w:val="17893649"/>
    <w:rsid w:val="17A22154"/>
    <w:rsid w:val="17B205CE"/>
    <w:rsid w:val="17B601C4"/>
    <w:rsid w:val="17BE1847"/>
    <w:rsid w:val="17C037AE"/>
    <w:rsid w:val="17D37C75"/>
    <w:rsid w:val="17D808C5"/>
    <w:rsid w:val="17E47156"/>
    <w:rsid w:val="17E941F4"/>
    <w:rsid w:val="17EF096E"/>
    <w:rsid w:val="180D4B34"/>
    <w:rsid w:val="18150810"/>
    <w:rsid w:val="18164FAB"/>
    <w:rsid w:val="181B3FF5"/>
    <w:rsid w:val="18536472"/>
    <w:rsid w:val="18647688"/>
    <w:rsid w:val="18686935"/>
    <w:rsid w:val="186B74AA"/>
    <w:rsid w:val="187137EA"/>
    <w:rsid w:val="188E4B14"/>
    <w:rsid w:val="18931004"/>
    <w:rsid w:val="18A44024"/>
    <w:rsid w:val="18A762BE"/>
    <w:rsid w:val="18BF0BC1"/>
    <w:rsid w:val="18D53F7B"/>
    <w:rsid w:val="18E01597"/>
    <w:rsid w:val="18E56D63"/>
    <w:rsid w:val="18F41B50"/>
    <w:rsid w:val="18F943AA"/>
    <w:rsid w:val="18FE1E82"/>
    <w:rsid w:val="19091787"/>
    <w:rsid w:val="190A609B"/>
    <w:rsid w:val="191275FC"/>
    <w:rsid w:val="191D3836"/>
    <w:rsid w:val="1923729D"/>
    <w:rsid w:val="192D7BBF"/>
    <w:rsid w:val="193D4AAE"/>
    <w:rsid w:val="194046E2"/>
    <w:rsid w:val="19444608"/>
    <w:rsid w:val="19472FAB"/>
    <w:rsid w:val="19553DC0"/>
    <w:rsid w:val="195D3853"/>
    <w:rsid w:val="196C378A"/>
    <w:rsid w:val="19793BA8"/>
    <w:rsid w:val="197A5422"/>
    <w:rsid w:val="19A405C6"/>
    <w:rsid w:val="19A94267"/>
    <w:rsid w:val="19B823BE"/>
    <w:rsid w:val="19DC292B"/>
    <w:rsid w:val="19F44BF4"/>
    <w:rsid w:val="1A06491F"/>
    <w:rsid w:val="1A077E94"/>
    <w:rsid w:val="1A0B24D6"/>
    <w:rsid w:val="1A177608"/>
    <w:rsid w:val="1A192DAE"/>
    <w:rsid w:val="1A1B2562"/>
    <w:rsid w:val="1A1F3D1A"/>
    <w:rsid w:val="1A220F05"/>
    <w:rsid w:val="1A22129A"/>
    <w:rsid w:val="1A277557"/>
    <w:rsid w:val="1A2C29B3"/>
    <w:rsid w:val="1A300A13"/>
    <w:rsid w:val="1A4C58B4"/>
    <w:rsid w:val="1A4F144A"/>
    <w:rsid w:val="1A566EC3"/>
    <w:rsid w:val="1A5C1A9C"/>
    <w:rsid w:val="1A685C86"/>
    <w:rsid w:val="1A7404AA"/>
    <w:rsid w:val="1A7A4544"/>
    <w:rsid w:val="1A7B12E8"/>
    <w:rsid w:val="1A7D5233"/>
    <w:rsid w:val="1A85184C"/>
    <w:rsid w:val="1A8E13B9"/>
    <w:rsid w:val="1AB40983"/>
    <w:rsid w:val="1AB81392"/>
    <w:rsid w:val="1AB96FD2"/>
    <w:rsid w:val="1ABF0D6D"/>
    <w:rsid w:val="1AC8397F"/>
    <w:rsid w:val="1ADF6989"/>
    <w:rsid w:val="1AF26406"/>
    <w:rsid w:val="1B0D7C9A"/>
    <w:rsid w:val="1B104A8D"/>
    <w:rsid w:val="1B17225F"/>
    <w:rsid w:val="1B3F27DF"/>
    <w:rsid w:val="1B401E11"/>
    <w:rsid w:val="1B4D5B29"/>
    <w:rsid w:val="1B5218D9"/>
    <w:rsid w:val="1B561238"/>
    <w:rsid w:val="1B5F233E"/>
    <w:rsid w:val="1B646BCC"/>
    <w:rsid w:val="1B656B86"/>
    <w:rsid w:val="1B675BE9"/>
    <w:rsid w:val="1B6B3188"/>
    <w:rsid w:val="1B85679D"/>
    <w:rsid w:val="1B887834"/>
    <w:rsid w:val="1B8B72BA"/>
    <w:rsid w:val="1B8C5E10"/>
    <w:rsid w:val="1BA40802"/>
    <w:rsid w:val="1BB06EE7"/>
    <w:rsid w:val="1BBC4E21"/>
    <w:rsid w:val="1BCC7343"/>
    <w:rsid w:val="1BD14F52"/>
    <w:rsid w:val="1BD27CB9"/>
    <w:rsid w:val="1BE00844"/>
    <w:rsid w:val="1BE817DD"/>
    <w:rsid w:val="1BEA3954"/>
    <w:rsid w:val="1BEE54E3"/>
    <w:rsid w:val="1BF1773E"/>
    <w:rsid w:val="1BFE4461"/>
    <w:rsid w:val="1BFF65BD"/>
    <w:rsid w:val="1C03696D"/>
    <w:rsid w:val="1C082A15"/>
    <w:rsid w:val="1C1E3345"/>
    <w:rsid w:val="1C2475E3"/>
    <w:rsid w:val="1C252021"/>
    <w:rsid w:val="1C347697"/>
    <w:rsid w:val="1C385AF2"/>
    <w:rsid w:val="1C38700B"/>
    <w:rsid w:val="1C4F2F7C"/>
    <w:rsid w:val="1C5D2E86"/>
    <w:rsid w:val="1C5E4278"/>
    <w:rsid w:val="1C705C99"/>
    <w:rsid w:val="1C7814E1"/>
    <w:rsid w:val="1C786F1F"/>
    <w:rsid w:val="1C815324"/>
    <w:rsid w:val="1C936BCF"/>
    <w:rsid w:val="1C970B54"/>
    <w:rsid w:val="1C987E7F"/>
    <w:rsid w:val="1CA65204"/>
    <w:rsid w:val="1CA76BD0"/>
    <w:rsid w:val="1CAF4C2B"/>
    <w:rsid w:val="1CB73831"/>
    <w:rsid w:val="1CBE33B0"/>
    <w:rsid w:val="1CC659C3"/>
    <w:rsid w:val="1CD31EA7"/>
    <w:rsid w:val="1CDE4F0E"/>
    <w:rsid w:val="1CE12C0A"/>
    <w:rsid w:val="1CFC388A"/>
    <w:rsid w:val="1CFD3B09"/>
    <w:rsid w:val="1D002C45"/>
    <w:rsid w:val="1D0429EC"/>
    <w:rsid w:val="1D20762E"/>
    <w:rsid w:val="1D2B1C4D"/>
    <w:rsid w:val="1D2C441A"/>
    <w:rsid w:val="1D3051E7"/>
    <w:rsid w:val="1D347574"/>
    <w:rsid w:val="1D446008"/>
    <w:rsid w:val="1D605C3F"/>
    <w:rsid w:val="1D6357C6"/>
    <w:rsid w:val="1D673753"/>
    <w:rsid w:val="1D6B4532"/>
    <w:rsid w:val="1D746E4F"/>
    <w:rsid w:val="1D773437"/>
    <w:rsid w:val="1D7C3BD6"/>
    <w:rsid w:val="1D7D0A4A"/>
    <w:rsid w:val="1D7D329A"/>
    <w:rsid w:val="1D862419"/>
    <w:rsid w:val="1D8E022A"/>
    <w:rsid w:val="1D91571F"/>
    <w:rsid w:val="1D953BED"/>
    <w:rsid w:val="1D9D2C2E"/>
    <w:rsid w:val="1D9E25DC"/>
    <w:rsid w:val="1DA34F7F"/>
    <w:rsid w:val="1DB27CA2"/>
    <w:rsid w:val="1DBE5D8C"/>
    <w:rsid w:val="1DC57079"/>
    <w:rsid w:val="1DDE67DF"/>
    <w:rsid w:val="1DE9002C"/>
    <w:rsid w:val="1DED5A2D"/>
    <w:rsid w:val="1E026CC2"/>
    <w:rsid w:val="1E1D514B"/>
    <w:rsid w:val="1E1E3811"/>
    <w:rsid w:val="1E30487B"/>
    <w:rsid w:val="1E310D12"/>
    <w:rsid w:val="1E3E48B3"/>
    <w:rsid w:val="1E3E6195"/>
    <w:rsid w:val="1E3F37EA"/>
    <w:rsid w:val="1E482198"/>
    <w:rsid w:val="1E4971EC"/>
    <w:rsid w:val="1E652BA8"/>
    <w:rsid w:val="1E6C175F"/>
    <w:rsid w:val="1E756B75"/>
    <w:rsid w:val="1E781B1B"/>
    <w:rsid w:val="1E8371CB"/>
    <w:rsid w:val="1E8516CC"/>
    <w:rsid w:val="1E8C1345"/>
    <w:rsid w:val="1E940327"/>
    <w:rsid w:val="1E964062"/>
    <w:rsid w:val="1EA935DA"/>
    <w:rsid w:val="1EB20091"/>
    <w:rsid w:val="1EB76264"/>
    <w:rsid w:val="1EB8187A"/>
    <w:rsid w:val="1EB93399"/>
    <w:rsid w:val="1EBE0304"/>
    <w:rsid w:val="1EC356C0"/>
    <w:rsid w:val="1EC646D6"/>
    <w:rsid w:val="1EC97818"/>
    <w:rsid w:val="1ECD4663"/>
    <w:rsid w:val="1EE26477"/>
    <w:rsid w:val="1F106FB8"/>
    <w:rsid w:val="1F1443DD"/>
    <w:rsid w:val="1F2324B5"/>
    <w:rsid w:val="1F2D5364"/>
    <w:rsid w:val="1F3A2DC5"/>
    <w:rsid w:val="1F40087D"/>
    <w:rsid w:val="1F503EBE"/>
    <w:rsid w:val="1F537508"/>
    <w:rsid w:val="1F5C4555"/>
    <w:rsid w:val="1F733A77"/>
    <w:rsid w:val="1F865C1D"/>
    <w:rsid w:val="1F8D49DE"/>
    <w:rsid w:val="1F99459C"/>
    <w:rsid w:val="1FA425C1"/>
    <w:rsid w:val="1FD062D1"/>
    <w:rsid w:val="1FDD200A"/>
    <w:rsid w:val="1FEA5EBB"/>
    <w:rsid w:val="1FF65635"/>
    <w:rsid w:val="1FF663D0"/>
    <w:rsid w:val="20073BB7"/>
    <w:rsid w:val="200872A5"/>
    <w:rsid w:val="20177955"/>
    <w:rsid w:val="201D3A95"/>
    <w:rsid w:val="20244A2B"/>
    <w:rsid w:val="2036408F"/>
    <w:rsid w:val="20467D92"/>
    <w:rsid w:val="204734B5"/>
    <w:rsid w:val="204F1C72"/>
    <w:rsid w:val="2053169F"/>
    <w:rsid w:val="2056605B"/>
    <w:rsid w:val="20606170"/>
    <w:rsid w:val="206C65FB"/>
    <w:rsid w:val="20732866"/>
    <w:rsid w:val="20747047"/>
    <w:rsid w:val="20873EE4"/>
    <w:rsid w:val="208A0197"/>
    <w:rsid w:val="208C4BB4"/>
    <w:rsid w:val="208E14A9"/>
    <w:rsid w:val="20915784"/>
    <w:rsid w:val="20A221E1"/>
    <w:rsid w:val="20A32F17"/>
    <w:rsid w:val="20BA6A42"/>
    <w:rsid w:val="20C41643"/>
    <w:rsid w:val="20D83B05"/>
    <w:rsid w:val="20EF67D2"/>
    <w:rsid w:val="20F53E43"/>
    <w:rsid w:val="211717C8"/>
    <w:rsid w:val="21227D66"/>
    <w:rsid w:val="21297DC7"/>
    <w:rsid w:val="212B379D"/>
    <w:rsid w:val="212F5122"/>
    <w:rsid w:val="213A3C94"/>
    <w:rsid w:val="21601CF7"/>
    <w:rsid w:val="21627ED3"/>
    <w:rsid w:val="216F1A4C"/>
    <w:rsid w:val="21721168"/>
    <w:rsid w:val="21725635"/>
    <w:rsid w:val="21795B7D"/>
    <w:rsid w:val="21816D7A"/>
    <w:rsid w:val="21917926"/>
    <w:rsid w:val="21A93570"/>
    <w:rsid w:val="21AA1485"/>
    <w:rsid w:val="21B63D30"/>
    <w:rsid w:val="21B84C2F"/>
    <w:rsid w:val="21BD746F"/>
    <w:rsid w:val="21C42B01"/>
    <w:rsid w:val="21CB1166"/>
    <w:rsid w:val="21D40AB7"/>
    <w:rsid w:val="21DF5D05"/>
    <w:rsid w:val="21E171C8"/>
    <w:rsid w:val="21EB7868"/>
    <w:rsid w:val="21EF6570"/>
    <w:rsid w:val="21F21EEB"/>
    <w:rsid w:val="21FA0393"/>
    <w:rsid w:val="21FF750D"/>
    <w:rsid w:val="220521A0"/>
    <w:rsid w:val="22083335"/>
    <w:rsid w:val="22263A18"/>
    <w:rsid w:val="222F6DA9"/>
    <w:rsid w:val="22300DC9"/>
    <w:rsid w:val="223B1C77"/>
    <w:rsid w:val="223D184F"/>
    <w:rsid w:val="224038C6"/>
    <w:rsid w:val="224A280E"/>
    <w:rsid w:val="22507E7E"/>
    <w:rsid w:val="22510FC4"/>
    <w:rsid w:val="22536676"/>
    <w:rsid w:val="225B5045"/>
    <w:rsid w:val="22677666"/>
    <w:rsid w:val="22890652"/>
    <w:rsid w:val="229926D2"/>
    <w:rsid w:val="22AF480C"/>
    <w:rsid w:val="22B54B5D"/>
    <w:rsid w:val="22D352F0"/>
    <w:rsid w:val="22DC2E38"/>
    <w:rsid w:val="22DE14B1"/>
    <w:rsid w:val="22EC55C5"/>
    <w:rsid w:val="22ED78E2"/>
    <w:rsid w:val="22F5042A"/>
    <w:rsid w:val="22FB48BA"/>
    <w:rsid w:val="231B7494"/>
    <w:rsid w:val="231F4E1A"/>
    <w:rsid w:val="2322620A"/>
    <w:rsid w:val="23240737"/>
    <w:rsid w:val="232753B5"/>
    <w:rsid w:val="23276F5B"/>
    <w:rsid w:val="23310CE7"/>
    <w:rsid w:val="2336376C"/>
    <w:rsid w:val="23393C42"/>
    <w:rsid w:val="233A378C"/>
    <w:rsid w:val="23435906"/>
    <w:rsid w:val="234C2589"/>
    <w:rsid w:val="234C7961"/>
    <w:rsid w:val="23565C89"/>
    <w:rsid w:val="235C048C"/>
    <w:rsid w:val="236B79C0"/>
    <w:rsid w:val="239F23ED"/>
    <w:rsid w:val="23A16771"/>
    <w:rsid w:val="23A54C44"/>
    <w:rsid w:val="23A63E74"/>
    <w:rsid w:val="23A93475"/>
    <w:rsid w:val="23B05D6F"/>
    <w:rsid w:val="23B540AE"/>
    <w:rsid w:val="23B90A84"/>
    <w:rsid w:val="23CC5AE8"/>
    <w:rsid w:val="23D6085E"/>
    <w:rsid w:val="23D61C32"/>
    <w:rsid w:val="23E73B2A"/>
    <w:rsid w:val="23EE489C"/>
    <w:rsid w:val="24005BC4"/>
    <w:rsid w:val="240750AB"/>
    <w:rsid w:val="24343308"/>
    <w:rsid w:val="24431F27"/>
    <w:rsid w:val="24456F32"/>
    <w:rsid w:val="244E4DBA"/>
    <w:rsid w:val="248D4DB1"/>
    <w:rsid w:val="24A328AB"/>
    <w:rsid w:val="24A87442"/>
    <w:rsid w:val="24AC4D48"/>
    <w:rsid w:val="24BD446E"/>
    <w:rsid w:val="24C37C12"/>
    <w:rsid w:val="24C41836"/>
    <w:rsid w:val="24C8549C"/>
    <w:rsid w:val="24CE5C86"/>
    <w:rsid w:val="24DB356C"/>
    <w:rsid w:val="24E151BA"/>
    <w:rsid w:val="24E43E2B"/>
    <w:rsid w:val="24EA5702"/>
    <w:rsid w:val="25097AD5"/>
    <w:rsid w:val="25192830"/>
    <w:rsid w:val="25203BEC"/>
    <w:rsid w:val="2527464F"/>
    <w:rsid w:val="253B74A0"/>
    <w:rsid w:val="25427615"/>
    <w:rsid w:val="254E5E24"/>
    <w:rsid w:val="255D43C7"/>
    <w:rsid w:val="25667E1C"/>
    <w:rsid w:val="256D24B2"/>
    <w:rsid w:val="2576655B"/>
    <w:rsid w:val="25841075"/>
    <w:rsid w:val="25907D92"/>
    <w:rsid w:val="259355C1"/>
    <w:rsid w:val="25963054"/>
    <w:rsid w:val="25A11297"/>
    <w:rsid w:val="25A7086B"/>
    <w:rsid w:val="25AA6A0E"/>
    <w:rsid w:val="25AE5B73"/>
    <w:rsid w:val="25BC3AA1"/>
    <w:rsid w:val="25D10953"/>
    <w:rsid w:val="25F934FF"/>
    <w:rsid w:val="25FA14EA"/>
    <w:rsid w:val="2607317D"/>
    <w:rsid w:val="26105100"/>
    <w:rsid w:val="26160EFC"/>
    <w:rsid w:val="26164E0B"/>
    <w:rsid w:val="261766A3"/>
    <w:rsid w:val="261B0E5D"/>
    <w:rsid w:val="261D54F5"/>
    <w:rsid w:val="26217CFD"/>
    <w:rsid w:val="262A127B"/>
    <w:rsid w:val="263078A8"/>
    <w:rsid w:val="2633065A"/>
    <w:rsid w:val="26485912"/>
    <w:rsid w:val="264A6903"/>
    <w:rsid w:val="264C4879"/>
    <w:rsid w:val="2663100D"/>
    <w:rsid w:val="267B1EE0"/>
    <w:rsid w:val="267E5A82"/>
    <w:rsid w:val="26956BB3"/>
    <w:rsid w:val="26992804"/>
    <w:rsid w:val="269A0916"/>
    <w:rsid w:val="26A619D7"/>
    <w:rsid w:val="26A670D3"/>
    <w:rsid w:val="26B50445"/>
    <w:rsid w:val="26C3530A"/>
    <w:rsid w:val="26E8174D"/>
    <w:rsid w:val="26EC5EA6"/>
    <w:rsid w:val="26ED0572"/>
    <w:rsid w:val="26F35C1B"/>
    <w:rsid w:val="270504CF"/>
    <w:rsid w:val="2709250C"/>
    <w:rsid w:val="2709581D"/>
    <w:rsid w:val="271361CF"/>
    <w:rsid w:val="27156111"/>
    <w:rsid w:val="271B0068"/>
    <w:rsid w:val="27313E04"/>
    <w:rsid w:val="273F0D02"/>
    <w:rsid w:val="274372F7"/>
    <w:rsid w:val="27437625"/>
    <w:rsid w:val="27516EB0"/>
    <w:rsid w:val="27685EC8"/>
    <w:rsid w:val="27723569"/>
    <w:rsid w:val="27872335"/>
    <w:rsid w:val="279A2E33"/>
    <w:rsid w:val="279A3A14"/>
    <w:rsid w:val="27B944E0"/>
    <w:rsid w:val="27C7724D"/>
    <w:rsid w:val="27CA6A65"/>
    <w:rsid w:val="27CB75BC"/>
    <w:rsid w:val="27D01156"/>
    <w:rsid w:val="27D62805"/>
    <w:rsid w:val="27D73EF6"/>
    <w:rsid w:val="27F23845"/>
    <w:rsid w:val="27F34D9B"/>
    <w:rsid w:val="27FB3AB2"/>
    <w:rsid w:val="27FE2C17"/>
    <w:rsid w:val="2800405D"/>
    <w:rsid w:val="2800612A"/>
    <w:rsid w:val="28007B90"/>
    <w:rsid w:val="28087C28"/>
    <w:rsid w:val="281947AB"/>
    <w:rsid w:val="281A51B3"/>
    <w:rsid w:val="281D2F8B"/>
    <w:rsid w:val="28281E02"/>
    <w:rsid w:val="283052C4"/>
    <w:rsid w:val="283B13A1"/>
    <w:rsid w:val="283D0EB4"/>
    <w:rsid w:val="28505B4F"/>
    <w:rsid w:val="285A19B8"/>
    <w:rsid w:val="28627FDA"/>
    <w:rsid w:val="28645263"/>
    <w:rsid w:val="28724583"/>
    <w:rsid w:val="287B0D77"/>
    <w:rsid w:val="28874D38"/>
    <w:rsid w:val="288B17A4"/>
    <w:rsid w:val="28916070"/>
    <w:rsid w:val="28957ED6"/>
    <w:rsid w:val="28972B57"/>
    <w:rsid w:val="28A23518"/>
    <w:rsid w:val="28AF4CD8"/>
    <w:rsid w:val="28BA0068"/>
    <w:rsid w:val="28D72D0A"/>
    <w:rsid w:val="28DE0D17"/>
    <w:rsid w:val="28E14743"/>
    <w:rsid w:val="28EB11A3"/>
    <w:rsid w:val="2906743B"/>
    <w:rsid w:val="290721A2"/>
    <w:rsid w:val="291408BF"/>
    <w:rsid w:val="2916253A"/>
    <w:rsid w:val="2916472C"/>
    <w:rsid w:val="292F2020"/>
    <w:rsid w:val="29492EE0"/>
    <w:rsid w:val="294A4A26"/>
    <w:rsid w:val="29652B4F"/>
    <w:rsid w:val="297A0FF1"/>
    <w:rsid w:val="298163FD"/>
    <w:rsid w:val="29863F39"/>
    <w:rsid w:val="29910EDF"/>
    <w:rsid w:val="299D4369"/>
    <w:rsid w:val="29A3517B"/>
    <w:rsid w:val="29A86956"/>
    <w:rsid w:val="29AE7B84"/>
    <w:rsid w:val="29BD6FBF"/>
    <w:rsid w:val="29C12D97"/>
    <w:rsid w:val="29C14972"/>
    <w:rsid w:val="29C57380"/>
    <w:rsid w:val="29C75D29"/>
    <w:rsid w:val="29D2455A"/>
    <w:rsid w:val="29F23194"/>
    <w:rsid w:val="29F71D5A"/>
    <w:rsid w:val="29F75CFF"/>
    <w:rsid w:val="29F909EA"/>
    <w:rsid w:val="29FF5931"/>
    <w:rsid w:val="29FF6315"/>
    <w:rsid w:val="2A0D15E4"/>
    <w:rsid w:val="2A203AD0"/>
    <w:rsid w:val="2A2B2F14"/>
    <w:rsid w:val="2A2F2866"/>
    <w:rsid w:val="2A4629A0"/>
    <w:rsid w:val="2A4A0A06"/>
    <w:rsid w:val="2A746FF8"/>
    <w:rsid w:val="2A7A794E"/>
    <w:rsid w:val="2A9511B2"/>
    <w:rsid w:val="2AA11BF7"/>
    <w:rsid w:val="2AA72678"/>
    <w:rsid w:val="2AA85307"/>
    <w:rsid w:val="2AC444D7"/>
    <w:rsid w:val="2AD56CB7"/>
    <w:rsid w:val="2AE45165"/>
    <w:rsid w:val="2AEB2912"/>
    <w:rsid w:val="2AEF760B"/>
    <w:rsid w:val="2AF67784"/>
    <w:rsid w:val="2AFA0029"/>
    <w:rsid w:val="2AFC13F6"/>
    <w:rsid w:val="2B0309BC"/>
    <w:rsid w:val="2B0B20D7"/>
    <w:rsid w:val="2B105907"/>
    <w:rsid w:val="2B1F4F5D"/>
    <w:rsid w:val="2B226500"/>
    <w:rsid w:val="2B284033"/>
    <w:rsid w:val="2B357502"/>
    <w:rsid w:val="2B3E3960"/>
    <w:rsid w:val="2B3F6FE0"/>
    <w:rsid w:val="2B442281"/>
    <w:rsid w:val="2B4B32F0"/>
    <w:rsid w:val="2B5040D4"/>
    <w:rsid w:val="2B5278F2"/>
    <w:rsid w:val="2B540CAB"/>
    <w:rsid w:val="2B58369D"/>
    <w:rsid w:val="2B712010"/>
    <w:rsid w:val="2B7439D4"/>
    <w:rsid w:val="2B8C271F"/>
    <w:rsid w:val="2BA63A2B"/>
    <w:rsid w:val="2BAB1B3F"/>
    <w:rsid w:val="2BCA2D97"/>
    <w:rsid w:val="2BCD4A5C"/>
    <w:rsid w:val="2BD061F9"/>
    <w:rsid w:val="2BD51A7C"/>
    <w:rsid w:val="2BDD210E"/>
    <w:rsid w:val="2BDF4E38"/>
    <w:rsid w:val="2BE83051"/>
    <w:rsid w:val="2BF551D9"/>
    <w:rsid w:val="2C0344D9"/>
    <w:rsid w:val="2C0A726F"/>
    <w:rsid w:val="2C10711F"/>
    <w:rsid w:val="2C150587"/>
    <w:rsid w:val="2C2D5A76"/>
    <w:rsid w:val="2C5F4623"/>
    <w:rsid w:val="2C5F7DBA"/>
    <w:rsid w:val="2C713219"/>
    <w:rsid w:val="2C72121D"/>
    <w:rsid w:val="2C7B19A4"/>
    <w:rsid w:val="2C890348"/>
    <w:rsid w:val="2C9B68B0"/>
    <w:rsid w:val="2CA22A8D"/>
    <w:rsid w:val="2CA676DF"/>
    <w:rsid w:val="2CAE49E0"/>
    <w:rsid w:val="2CB41363"/>
    <w:rsid w:val="2CC27B7C"/>
    <w:rsid w:val="2CCC6043"/>
    <w:rsid w:val="2CDF1E47"/>
    <w:rsid w:val="2CEE5104"/>
    <w:rsid w:val="2CEF2EAA"/>
    <w:rsid w:val="2CF22BD2"/>
    <w:rsid w:val="2CF45759"/>
    <w:rsid w:val="2D073034"/>
    <w:rsid w:val="2D075A46"/>
    <w:rsid w:val="2D2A268A"/>
    <w:rsid w:val="2D3D697C"/>
    <w:rsid w:val="2D4777C2"/>
    <w:rsid w:val="2D4872E0"/>
    <w:rsid w:val="2D4B76B0"/>
    <w:rsid w:val="2D5C01B3"/>
    <w:rsid w:val="2D703A18"/>
    <w:rsid w:val="2D750DC6"/>
    <w:rsid w:val="2D771A24"/>
    <w:rsid w:val="2D896E92"/>
    <w:rsid w:val="2D8F19F0"/>
    <w:rsid w:val="2D914747"/>
    <w:rsid w:val="2D96027D"/>
    <w:rsid w:val="2D976BF1"/>
    <w:rsid w:val="2DB657D0"/>
    <w:rsid w:val="2DB837CE"/>
    <w:rsid w:val="2DB977EE"/>
    <w:rsid w:val="2DBD0FFD"/>
    <w:rsid w:val="2DC7487B"/>
    <w:rsid w:val="2DCA7B81"/>
    <w:rsid w:val="2DCF558A"/>
    <w:rsid w:val="2DCF5999"/>
    <w:rsid w:val="2DDD6A38"/>
    <w:rsid w:val="2DE73501"/>
    <w:rsid w:val="2DE76748"/>
    <w:rsid w:val="2DF72F39"/>
    <w:rsid w:val="2E0F6005"/>
    <w:rsid w:val="2E144422"/>
    <w:rsid w:val="2E25396E"/>
    <w:rsid w:val="2E2E2329"/>
    <w:rsid w:val="2E3E44F1"/>
    <w:rsid w:val="2E4B66A3"/>
    <w:rsid w:val="2E5642C4"/>
    <w:rsid w:val="2E620CE9"/>
    <w:rsid w:val="2E6A3887"/>
    <w:rsid w:val="2E7118BE"/>
    <w:rsid w:val="2E7F76AA"/>
    <w:rsid w:val="2E814C6A"/>
    <w:rsid w:val="2E87616A"/>
    <w:rsid w:val="2E9334A0"/>
    <w:rsid w:val="2E9A17C6"/>
    <w:rsid w:val="2EA07B49"/>
    <w:rsid w:val="2EB743E2"/>
    <w:rsid w:val="2EC87B50"/>
    <w:rsid w:val="2ED2688B"/>
    <w:rsid w:val="2ED86177"/>
    <w:rsid w:val="2EDB356F"/>
    <w:rsid w:val="2EF74E4B"/>
    <w:rsid w:val="2EF8068B"/>
    <w:rsid w:val="2F073210"/>
    <w:rsid w:val="2F08082A"/>
    <w:rsid w:val="2F0969A0"/>
    <w:rsid w:val="2F0D2C08"/>
    <w:rsid w:val="2F1733C2"/>
    <w:rsid w:val="2F2B12E3"/>
    <w:rsid w:val="2F2B68D2"/>
    <w:rsid w:val="2F2D4527"/>
    <w:rsid w:val="2F342CF5"/>
    <w:rsid w:val="2F4202BE"/>
    <w:rsid w:val="2F483D44"/>
    <w:rsid w:val="2F60231C"/>
    <w:rsid w:val="2F620E88"/>
    <w:rsid w:val="2F64799E"/>
    <w:rsid w:val="2F7120CB"/>
    <w:rsid w:val="2F760A29"/>
    <w:rsid w:val="2F8079AB"/>
    <w:rsid w:val="2F871F56"/>
    <w:rsid w:val="2F963509"/>
    <w:rsid w:val="2FA829AF"/>
    <w:rsid w:val="2FAD5000"/>
    <w:rsid w:val="2FC0445F"/>
    <w:rsid w:val="2FC37B7E"/>
    <w:rsid w:val="2FCD46B4"/>
    <w:rsid w:val="2FD84CA1"/>
    <w:rsid w:val="2FD94020"/>
    <w:rsid w:val="2FEC4EFE"/>
    <w:rsid w:val="2FFD1277"/>
    <w:rsid w:val="30010947"/>
    <w:rsid w:val="300A121A"/>
    <w:rsid w:val="3015196E"/>
    <w:rsid w:val="3020392B"/>
    <w:rsid w:val="3024402D"/>
    <w:rsid w:val="302A0F27"/>
    <w:rsid w:val="302B3434"/>
    <w:rsid w:val="302B7B04"/>
    <w:rsid w:val="302F7288"/>
    <w:rsid w:val="303E1E31"/>
    <w:rsid w:val="3045286B"/>
    <w:rsid w:val="304C1DBB"/>
    <w:rsid w:val="304F1994"/>
    <w:rsid w:val="30533AA9"/>
    <w:rsid w:val="3054529F"/>
    <w:rsid w:val="30597EE9"/>
    <w:rsid w:val="30765024"/>
    <w:rsid w:val="30796696"/>
    <w:rsid w:val="307E2C34"/>
    <w:rsid w:val="308E7465"/>
    <w:rsid w:val="30A90FE7"/>
    <w:rsid w:val="30A92788"/>
    <w:rsid w:val="30AB0CE7"/>
    <w:rsid w:val="30AC7329"/>
    <w:rsid w:val="30B07AD1"/>
    <w:rsid w:val="30B95D9A"/>
    <w:rsid w:val="30BB50D3"/>
    <w:rsid w:val="30BE224E"/>
    <w:rsid w:val="30C5322A"/>
    <w:rsid w:val="30C7299A"/>
    <w:rsid w:val="30D06822"/>
    <w:rsid w:val="30D32460"/>
    <w:rsid w:val="30D35386"/>
    <w:rsid w:val="30D41EAC"/>
    <w:rsid w:val="30DB1C21"/>
    <w:rsid w:val="30E06F5F"/>
    <w:rsid w:val="30E172EF"/>
    <w:rsid w:val="30E24B94"/>
    <w:rsid w:val="30ED2A73"/>
    <w:rsid w:val="30F17B4C"/>
    <w:rsid w:val="30F34D94"/>
    <w:rsid w:val="30F508C2"/>
    <w:rsid w:val="30FB531A"/>
    <w:rsid w:val="30FC4DF4"/>
    <w:rsid w:val="310A6BEE"/>
    <w:rsid w:val="3117386B"/>
    <w:rsid w:val="31177005"/>
    <w:rsid w:val="31300188"/>
    <w:rsid w:val="31390221"/>
    <w:rsid w:val="313C2D8D"/>
    <w:rsid w:val="31442AF1"/>
    <w:rsid w:val="314C4FED"/>
    <w:rsid w:val="316A0478"/>
    <w:rsid w:val="31730BEC"/>
    <w:rsid w:val="317B3B9E"/>
    <w:rsid w:val="317C4B93"/>
    <w:rsid w:val="31933B58"/>
    <w:rsid w:val="319A294D"/>
    <w:rsid w:val="31A05090"/>
    <w:rsid w:val="31A42026"/>
    <w:rsid w:val="31A5062B"/>
    <w:rsid w:val="31AE67EB"/>
    <w:rsid w:val="31B04D12"/>
    <w:rsid w:val="31B15ED6"/>
    <w:rsid w:val="31B303BB"/>
    <w:rsid w:val="31BE0593"/>
    <w:rsid w:val="31BF76A0"/>
    <w:rsid w:val="31C62C91"/>
    <w:rsid w:val="31CF2FF2"/>
    <w:rsid w:val="31D5340E"/>
    <w:rsid w:val="31D90A49"/>
    <w:rsid w:val="31E86A37"/>
    <w:rsid w:val="31EA72E3"/>
    <w:rsid w:val="31ED2E5F"/>
    <w:rsid w:val="31F43311"/>
    <w:rsid w:val="31FA0902"/>
    <w:rsid w:val="31FC4F6A"/>
    <w:rsid w:val="3204374B"/>
    <w:rsid w:val="32214B1E"/>
    <w:rsid w:val="322B14FE"/>
    <w:rsid w:val="32303729"/>
    <w:rsid w:val="32344510"/>
    <w:rsid w:val="32384936"/>
    <w:rsid w:val="32460F0D"/>
    <w:rsid w:val="3282020B"/>
    <w:rsid w:val="328F3898"/>
    <w:rsid w:val="32A90220"/>
    <w:rsid w:val="32B82215"/>
    <w:rsid w:val="32C32353"/>
    <w:rsid w:val="32C36FFE"/>
    <w:rsid w:val="32D22BBD"/>
    <w:rsid w:val="32DC5760"/>
    <w:rsid w:val="32EA75D3"/>
    <w:rsid w:val="32EB5707"/>
    <w:rsid w:val="32EB76C8"/>
    <w:rsid w:val="32F47FD1"/>
    <w:rsid w:val="32F77425"/>
    <w:rsid w:val="32FE7823"/>
    <w:rsid w:val="330403B0"/>
    <w:rsid w:val="330A6248"/>
    <w:rsid w:val="330B634C"/>
    <w:rsid w:val="33180E0E"/>
    <w:rsid w:val="33237D4D"/>
    <w:rsid w:val="332A6B92"/>
    <w:rsid w:val="3334799C"/>
    <w:rsid w:val="33392A06"/>
    <w:rsid w:val="33412A76"/>
    <w:rsid w:val="334C0F95"/>
    <w:rsid w:val="33556165"/>
    <w:rsid w:val="3367487E"/>
    <w:rsid w:val="336E1583"/>
    <w:rsid w:val="337E6139"/>
    <w:rsid w:val="33805BB8"/>
    <w:rsid w:val="33847FC7"/>
    <w:rsid w:val="3388244A"/>
    <w:rsid w:val="339F0183"/>
    <w:rsid w:val="33A03017"/>
    <w:rsid w:val="33AD03BC"/>
    <w:rsid w:val="33AD0534"/>
    <w:rsid w:val="33B745C3"/>
    <w:rsid w:val="33B949D5"/>
    <w:rsid w:val="33BF0A9B"/>
    <w:rsid w:val="33CC6585"/>
    <w:rsid w:val="33D06979"/>
    <w:rsid w:val="33D2205E"/>
    <w:rsid w:val="33D77A97"/>
    <w:rsid w:val="33E04484"/>
    <w:rsid w:val="33E7105B"/>
    <w:rsid w:val="33FC7658"/>
    <w:rsid w:val="34004ED2"/>
    <w:rsid w:val="34051094"/>
    <w:rsid w:val="340D568A"/>
    <w:rsid w:val="3418241B"/>
    <w:rsid w:val="341E0358"/>
    <w:rsid w:val="342318A7"/>
    <w:rsid w:val="342B3BF8"/>
    <w:rsid w:val="34371A98"/>
    <w:rsid w:val="343A23A6"/>
    <w:rsid w:val="344409B3"/>
    <w:rsid w:val="345B6866"/>
    <w:rsid w:val="345E3E10"/>
    <w:rsid w:val="346007DF"/>
    <w:rsid w:val="346A04F4"/>
    <w:rsid w:val="346E7583"/>
    <w:rsid w:val="347E2031"/>
    <w:rsid w:val="347E6CE6"/>
    <w:rsid w:val="348335F4"/>
    <w:rsid w:val="34922C10"/>
    <w:rsid w:val="349D3AAC"/>
    <w:rsid w:val="349D4C2E"/>
    <w:rsid w:val="34A1632A"/>
    <w:rsid w:val="34A45FBE"/>
    <w:rsid w:val="34A660BA"/>
    <w:rsid w:val="34A843EE"/>
    <w:rsid w:val="34B07B23"/>
    <w:rsid w:val="34B531EF"/>
    <w:rsid w:val="34B867EE"/>
    <w:rsid w:val="34BA169E"/>
    <w:rsid w:val="34BC3AF9"/>
    <w:rsid w:val="34BE2416"/>
    <w:rsid w:val="34DA701C"/>
    <w:rsid w:val="34E55C18"/>
    <w:rsid w:val="34F751D2"/>
    <w:rsid w:val="350208F7"/>
    <w:rsid w:val="3517114A"/>
    <w:rsid w:val="351F5798"/>
    <w:rsid w:val="35256F4A"/>
    <w:rsid w:val="353F7A66"/>
    <w:rsid w:val="35462D95"/>
    <w:rsid w:val="354B5146"/>
    <w:rsid w:val="354C09ED"/>
    <w:rsid w:val="354C298C"/>
    <w:rsid w:val="3550272F"/>
    <w:rsid w:val="355109C3"/>
    <w:rsid w:val="3552399C"/>
    <w:rsid w:val="35570A72"/>
    <w:rsid w:val="3559362A"/>
    <w:rsid w:val="355A3D21"/>
    <w:rsid w:val="356015EB"/>
    <w:rsid w:val="35682159"/>
    <w:rsid w:val="356D7DF7"/>
    <w:rsid w:val="35802BF6"/>
    <w:rsid w:val="358335A0"/>
    <w:rsid w:val="358F1682"/>
    <w:rsid w:val="35A270B8"/>
    <w:rsid w:val="35A74A1E"/>
    <w:rsid w:val="35AE6132"/>
    <w:rsid w:val="35C95B31"/>
    <w:rsid w:val="35CF2C19"/>
    <w:rsid w:val="35D61A55"/>
    <w:rsid w:val="35D75179"/>
    <w:rsid w:val="35E57783"/>
    <w:rsid w:val="35EB0E51"/>
    <w:rsid w:val="35F02A24"/>
    <w:rsid w:val="360A06B6"/>
    <w:rsid w:val="36101636"/>
    <w:rsid w:val="3628252E"/>
    <w:rsid w:val="363700C3"/>
    <w:rsid w:val="364610ED"/>
    <w:rsid w:val="365718B7"/>
    <w:rsid w:val="365C0B2E"/>
    <w:rsid w:val="365D1176"/>
    <w:rsid w:val="36716D26"/>
    <w:rsid w:val="36853990"/>
    <w:rsid w:val="36855942"/>
    <w:rsid w:val="368C5DF9"/>
    <w:rsid w:val="36977EA7"/>
    <w:rsid w:val="369F584C"/>
    <w:rsid w:val="36A14C83"/>
    <w:rsid w:val="36A70C7C"/>
    <w:rsid w:val="36A81C86"/>
    <w:rsid w:val="36A91B6E"/>
    <w:rsid w:val="36B37FBE"/>
    <w:rsid w:val="36B90C02"/>
    <w:rsid w:val="36C126CF"/>
    <w:rsid w:val="36CE0EC4"/>
    <w:rsid w:val="36DC2870"/>
    <w:rsid w:val="36E10A03"/>
    <w:rsid w:val="36E239E1"/>
    <w:rsid w:val="36E54496"/>
    <w:rsid w:val="36F62AE0"/>
    <w:rsid w:val="37067166"/>
    <w:rsid w:val="370B1E08"/>
    <w:rsid w:val="37267667"/>
    <w:rsid w:val="373F5819"/>
    <w:rsid w:val="37454092"/>
    <w:rsid w:val="374B575E"/>
    <w:rsid w:val="374C74AE"/>
    <w:rsid w:val="375557D0"/>
    <w:rsid w:val="37584833"/>
    <w:rsid w:val="375D490D"/>
    <w:rsid w:val="37717267"/>
    <w:rsid w:val="37776F53"/>
    <w:rsid w:val="37780A46"/>
    <w:rsid w:val="37793FFD"/>
    <w:rsid w:val="377C47AE"/>
    <w:rsid w:val="377F6125"/>
    <w:rsid w:val="378916BC"/>
    <w:rsid w:val="378D0714"/>
    <w:rsid w:val="37903720"/>
    <w:rsid w:val="379D6FCC"/>
    <w:rsid w:val="37AA4397"/>
    <w:rsid w:val="37B822C5"/>
    <w:rsid w:val="37BB355C"/>
    <w:rsid w:val="37C9124C"/>
    <w:rsid w:val="37CB036E"/>
    <w:rsid w:val="37D95B0A"/>
    <w:rsid w:val="37E93F1C"/>
    <w:rsid w:val="37F00E54"/>
    <w:rsid w:val="37F9304E"/>
    <w:rsid w:val="37FA178F"/>
    <w:rsid w:val="38031D0D"/>
    <w:rsid w:val="38057E99"/>
    <w:rsid w:val="380E6881"/>
    <w:rsid w:val="380F20AB"/>
    <w:rsid w:val="38122883"/>
    <w:rsid w:val="38141E1A"/>
    <w:rsid w:val="382721B4"/>
    <w:rsid w:val="38304457"/>
    <w:rsid w:val="384C43ED"/>
    <w:rsid w:val="3856677A"/>
    <w:rsid w:val="387B036E"/>
    <w:rsid w:val="388E3E3B"/>
    <w:rsid w:val="38AB5A29"/>
    <w:rsid w:val="38B21AB9"/>
    <w:rsid w:val="38B84649"/>
    <w:rsid w:val="38BC38F1"/>
    <w:rsid w:val="38C15B04"/>
    <w:rsid w:val="38CD601E"/>
    <w:rsid w:val="38DF7C68"/>
    <w:rsid w:val="38E1756D"/>
    <w:rsid w:val="38E2156D"/>
    <w:rsid w:val="38EF19B7"/>
    <w:rsid w:val="38FE671E"/>
    <w:rsid w:val="38FF23D5"/>
    <w:rsid w:val="390A4CB1"/>
    <w:rsid w:val="390E4ABF"/>
    <w:rsid w:val="39123713"/>
    <w:rsid w:val="3914611E"/>
    <w:rsid w:val="392055EA"/>
    <w:rsid w:val="39246174"/>
    <w:rsid w:val="3927460F"/>
    <w:rsid w:val="392A5822"/>
    <w:rsid w:val="394017FC"/>
    <w:rsid w:val="3941246B"/>
    <w:rsid w:val="3955635D"/>
    <w:rsid w:val="395B1EAD"/>
    <w:rsid w:val="396F68E4"/>
    <w:rsid w:val="39785A0F"/>
    <w:rsid w:val="39787523"/>
    <w:rsid w:val="39865DEF"/>
    <w:rsid w:val="399216CE"/>
    <w:rsid w:val="39934A08"/>
    <w:rsid w:val="399A32EA"/>
    <w:rsid w:val="399B479C"/>
    <w:rsid w:val="39B312B9"/>
    <w:rsid w:val="39B75F3E"/>
    <w:rsid w:val="39CE56C3"/>
    <w:rsid w:val="39CF72D9"/>
    <w:rsid w:val="39D236E8"/>
    <w:rsid w:val="39D857ED"/>
    <w:rsid w:val="39D90529"/>
    <w:rsid w:val="39DA7253"/>
    <w:rsid w:val="39DB00CE"/>
    <w:rsid w:val="39DC5160"/>
    <w:rsid w:val="39DE3E67"/>
    <w:rsid w:val="39E41E48"/>
    <w:rsid w:val="39EC2F2E"/>
    <w:rsid w:val="39EF2BBC"/>
    <w:rsid w:val="39F55B2E"/>
    <w:rsid w:val="3A074047"/>
    <w:rsid w:val="3A094DAA"/>
    <w:rsid w:val="3A15469F"/>
    <w:rsid w:val="3A194CBC"/>
    <w:rsid w:val="3A256B50"/>
    <w:rsid w:val="3A283CDD"/>
    <w:rsid w:val="3A2A1D7A"/>
    <w:rsid w:val="3A443698"/>
    <w:rsid w:val="3A4F791D"/>
    <w:rsid w:val="3A623A23"/>
    <w:rsid w:val="3A7B6C1C"/>
    <w:rsid w:val="3A851561"/>
    <w:rsid w:val="3A8E4854"/>
    <w:rsid w:val="3AA374D3"/>
    <w:rsid w:val="3AA537D8"/>
    <w:rsid w:val="3AA73276"/>
    <w:rsid w:val="3AAB45AD"/>
    <w:rsid w:val="3AAC284C"/>
    <w:rsid w:val="3AAD12A8"/>
    <w:rsid w:val="3AAE4A6F"/>
    <w:rsid w:val="3AAE73EA"/>
    <w:rsid w:val="3AB413AD"/>
    <w:rsid w:val="3AB63993"/>
    <w:rsid w:val="3AB92320"/>
    <w:rsid w:val="3ACC1A80"/>
    <w:rsid w:val="3AD10479"/>
    <w:rsid w:val="3AE47436"/>
    <w:rsid w:val="3B345B55"/>
    <w:rsid w:val="3B3576D4"/>
    <w:rsid w:val="3B475D7B"/>
    <w:rsid w:val="3B615F60"/>
    <w:rsid w:val="3B6405FB"/>
    <w:rsid w:val="3B6704D1"/>
    <w:rsid w:val="3B6F6C6D"/>
    <w:rsid w:val="3B7F4F35"/>
    <w:rsid w:val="3B826044"/>
    <w:rsid w:val="3B8C4961"/>
    <w:rsid w:val="3BA72974"/>
    <w:rsid w:val="3BAB792D"/>
    <w:rsid w:val="3BE803A8"/>
    <w:rsid w:val="3BF4670B"/>
    <w:rsid w:val="3BFE1E9C"/>
    <w:rsid w:val="3C0E5944"/>
    <w:rsid w:val="3C19498A"/>
    <w:rsid w:val="3C3F1FF8"/>
    <w:rsid w:val="3C49774C"/>
    <w:rsid w:val="3C4A6EC1"/>
    <w:rsid w:val="3C4B50FF"/>
    <w:rsid w:val="3C5D7AF1"/>
    <w:rsid w:val="3C6779A4"/>
    <w:rsid w:val="3C681155"/>
    <w:rsid w:val="3C6A5C8A"/>
    <w:rsid w:val="3C782121"/>
    <w:rsid w:val="3C7C2F0C"/>
    <w:rsid w:val="3C7F1F70"/>
    <w:rsid w:val="3C860A8F"/>
    <w:rsid w:val="3C8B5E8B"/>
    <w:rsid w:val="3C8D4270"/>
    <w:rsid w:val="3C9035EC"/>
    <w:rsid w:val="3C953042"/>
    <w:rsid w:val="3C9A2A35"/>
    <w:rsid w:val="3C9B16D7"/>
    <w:rsid w:val="3C9F19B6"/>
    <w:rsid w:val="3CA35DEE"/>
    <w:rsid w:val="3CA53444"/>
    <w:rsid w:val="3CAF682F"/>
    <w:rsid w:val="3CB07487"/>
    <w:rsid w:val="3CCF379F"/>
    <w:rsid w:val="3CD46124"/>
    <w:rsid w:val="3CD56B20"/>
    <w:rsid w:val="3CD61DE5"/>
    <w:rsid w:val="3CEC2606"/>
    <w:rsid w:val="3CF0677B"/>
    <w:rsid w:val="3CF105AD"/>
    <w:rsid w:val="3CF8306D"/>
    <w:rsid w:val="3CFF3BA0"/>
    <w:rsid w:val="3D0114A3"/>
    <w:rsid w:val="3D040F3D"/>
    <w:rsid w:val="3D3323EE"/>
    <w:rsid w:val="3D3B2DAC"/>
    <w:rsid w:val="3D3F2834"/>
    <w:rsid w:val="3D442ECA"/>
    <w:rsid w:val="3D44705C"/>
    <w:rsid w:val="3D460AFC"/>
    <w:rsid w:val="3D587CCD"/>
    <w:rsid w:val="3D5C6229"/>
    <w:rsid w:val="3D62191A"/>
    <w:rsid w:val="3D687CFB"/>
    <w:rsid w:val="3D6A53C2"/>
    <w:rsid w:val="3D6D7FB1"/>
    <w:rsid w:val="3D7725E5"/>
    <w:rsid w:val="3D8272B3"/>
    <w:rsid w:val="3D8C1AA8"/>
    <w:rsid w:val="3D915C40"/>
    <w:rsid w:val="3D9817D7"/>
    <w:rsid w:val="3DAC0C74"/>
    <w:rsid w:val="3DB80E0D"/>
    <w:rsid w:val="3DB8304E"/>
    <w:rsid w:val="3DC65998"/>
    <w:rsid w:val="3DD365F2"/>
    <w:rsid w:val="3DD465B8"/>
    <w:rsid w:val="3DD90649"/>
    <w:rsid w:val="3DFA617F"/>
    <w:rsid w:val="3DFB32B7"/>
    <w:rsid w:val="3DFE3772"/>
    <w:rsid w:val="3E073C6F"/>
    <w:rsid w:val="3E0E0482"/>
    <w:rsid w:val="3E1822EC"/>
    <w:rsid w:val="3E191FA4"/>
    <w:rsid w:val="3E1C3824"/>
    <w:rsid w:val="3E2316B2"/>
    <w:rsid w:val="3E306D3C"/>
    <w:rsid w:val="3E3B7FC7"/>
    <w:rsid w:val="3E410076"/>
    <w:rsid w:val="3E437E4F"/>
    <w:rsid w:val="3E5407E9"/>
    <w:rsid w:val="3E5E1282"/>
    <w:rsid w:val="3E706080"/>
    <w:rsid w:val="3E745C34"/>
    <w:rsid w:val="3E7C61E1"/>
    <w:rsid w:val="3E834B41"/>
    <w:rsid w:val="3EA615FA"/>
    <w:rsid w:val="3EB15E1B"/>
    <w:rsid w:val="3EBD4074"/>
    <w:rsid w:val="3ED77EED"/>
    <w:rsid w:val="3ED91E43"/>
    <w:rsid w:val="3EF056F1"/>
    <w:rsid w:val="3EFA3E31"/>
    <w:rsid w:val="3EFC2C0A"/>
    <w:rsid w:val="3F003720"/>
    <w:rsid w:val="3F00728C"/>
    <w:rsid w:val="3F0355F0"/>
    <w:rsid w:val="3F10256C"/>
    <w:rsid w:val="3F172099"/>
    <w:rsid w:val="3F241BDD"/>
    <w:rsid w:val="3F2B4C98"/>
    <w:rsid w:val="3F35470B"/>
    <w:rsid w:val="3F394E65"/>
    <w:rsid w:val="3F3E7728"/>
    <w:rsid w:val="3F457413"/>
    <w:rsid w:val="3F477E7D"/>
    <w:rsid w:val="3F4E07C3"/>
    <w:rsid w:val="3F5805AB"/>
    <w:rsid w:val="3F5B3E76"/>
    <w:rsid w:val="3F6607A3"/>
    <w:rsid w:val="3F683246"/>
    <w:rsid w:val="3F686E59"/>
    <w:rsid w:val="3F886983"/>
    <w:rsid w:val="3F896BDC"/>
    <w:rsid w:val="3F8D511B"/>
    <w:rsid w:val="3F926080"/>
    <w:rsid w:val="3FA124A7"/>
    <w:rsid w:val="3FE661AF"/>
    <w:rsid w:val="3FF67818"/>
    <w:rsid w:val="3FF94BF3"/>
    <w:rsid w:val="3FFF2F46"/>
    <w:rsid w:val="4008668A"/>
    <w:rsid w:val="40161C25"/>
    <w:rsid w:val="40162F7F"/>
    <w:rsid w:val="40180B24"/>
    <w:rsid w:val="402E3753"/>
    <w:rsid w:val="40380225"/>
    <w:rsid w:val="404571A5"/>
    <w:rsid w:val="404A379F"/>
    <w:rsid w:val="404B6752"/>
    <w:rsid w:val="4051494B"/>
    <w:rsid w:val="40576313"/>
    <w:rsid w:val="406A4A77"/>
    <w:rsid w:val="406C6533"/>
    <w:rsid w:val="4073464E"/>
    <w:rsid w:val="407F30D8"/>
    <w:rsid w:val="408E1716"/>
    <w:rsid w:val="40920EB0"/>
    <w:rsid w:val="40977E8C"/>
    <w:rsid w:val="40997E92"/>
    <w:rsid w:val="40A9392A"/>
    <w:rsid w:val="40B4348E"/>
    <w:rsid w:val="40BA6E38"/>
    <w:rsid w:val="40BD1DFC"/>
    <w:rsid w:val="40C2196A"/>
    <w:rsid w:val="40C5480B"/>
    <w:rsid w:val="40E031D4"/>
    <w:rsid w:val="40EF134A"/>
    <w:rsid w:val="40F0171C"/>
    <w:rsid w:val="40F96576"/>
    <w:rsid w:val="40FC5BBA"/>
    <w:rsid w:val="41067F18"/>
    <w:rsid w:val="4108125C"/>
    <w:rsid w:val="41086E7F"/>
    <w:rsid w:val="410B2D7E"/>
    <w:rsid w:val="410D164E"/>
    <w:rsid w:val="412F73BB"/>
    <w:rsid w:val="41401255"/>
    <w:rsid w:val="415A6B2F"/>
    <w:rsid w:val="415F0F0F"/>
    <w:rsid w:val="416E2EC1"/>
    <w:rsid w:val="416F5BE6"/>
    <w:rsid w:val="417D7BF8"/>
    <w:rsid w:val="417E01B4"/>
    <w:rsid w:val="417F715C"/>
    <w:rsid w:val="41961F68"/>
    <w:rsid w:val="41A40C43"/>
    <w:rsid w:val="41AF3821"/>
    <w:rsid w:val="41B926AA"/>
    <w:rsid w:val="41BB0DC9"/>
    <w:rsid w:val="41C15EE0"/>
    <w:rsid w:val="41CD28E1"/>
    <w:rsid w:val="41E1703B"/>
    <w:rsid w:val="41E3279D"/>
    <w:rsid w:val="41E62E34"/>
    <w:rsid w:val="41EF5180"/>
    <w:rsid w:val="42004FD7"/>
    <w:rsid w:val="420165EB"/>
    <w:rsid w:val="42030C7C"/>
    <w:rsid w:val="420439DD"/>
    <w:rsid w:val="420E772D"/>
    <w:rsid w:val="42265EA5"/>
    <w:rsid w:val="42285B38"/>
    <w:rsid w:val="423676B0"/>
    <w:rsid w:val="423C4AA8"/>
    <w:rsid w:val="424C3BE5"/>
    <w:rsid w:val="425811B8"/>
    <w:rsid w:val="425D2216"/>
    <w:rsid w:val="42604727"/>
    <w:rsid w:val="42612564"/>
    <w:rsid w:val="426B5F2C"/>
    <w:rsid w:val="42762070"/>
    <w:rsid w:val="42797633"/>
    <w:rsid w:val="428339B4"/>
    <w:rsid w:val="42886DFA"/>
    <w:rsid w:val="42986AD6"/>
    <w:rsid w:val="429F227D"/>
    <w:rsid w:val="42A111F7"/>
    <w:rsid w:val="42AB3AC1"/>
    <w:rsid w:val="42B00812"/>
    <w:rsid w:val="42B644AB"/>
    <w:rsid w:val="42B6473C"/>
    <w:rsid w:val="42BC71D6"/>
    <w:rsid w:val="42CB3D7F"/>
    <w:rsid w:val="42DA57FA"/>
    <w:rsid w:val="42E15128"/>
    <w:rsid w:val="42FB3C7F"/>
    <w:rsid w:val="430D20D9"/>
    <w:rsid w:val="43133889"/>
    <w:rsid w:val="431A14CB"/>
    <w:rsid w:val="431A701E"/>
    <w:rsid w:val="431D1DC5"/>
    <w:rsid w:val="43263623"/>
    <w:rsid w:val="43480BC3"/>
    <w:rsid w:val="43517BD6"/>
    <w:rsid w:val="4354173E"/>
    <w:rsid w:val="435631BA"/>
    <w:rsid w:val="43671E93"/>
    <w:rsid w:val="43675823"/>
    <w:rsid w:val="436F581A"/>
    <w:rsid w:val="43791DC2"/>
    <w:rsid w:val="43940D04"/>
    <w:rsid w:val="439E7877"/>
    <w:rsid w:val="43A91C40"/>
    <w:rsid w:val="43AB37BE"/>
    <w:rsid w:val="43B02DBD"/>
    <w:rsid w:val="43C67AE3"/>
    <w:rsid w:val="43D73A08"/>
    <w:rsid w:val="43DC343B"/>
    <w:rsid w:val="43E057AD"/>
    <w:rsid w:val="43F102B3"/>
    <w:rsid w:val="43F51B6C"/>
    <w:rsid w:val="440C6045"/>
    <w:rsid w:val="44124FE0"/>
    <w:rsid w:val="44196458"/>
    <w:rsid w:val="44224519"/>
    <w:rsid w:val="442E2CF8"/>
    <w:rsid w:val="442F4E7A"/>
    <w:rsid w:val="44337E55"/>
    <w:rsid w:val="443E3E49"/>
    <w:rsid w:val="44557B02"/>
    <w:rsid w:val="445701B8"/>
    <w:rsid w:val="44622F89"/>
    <w:rsid w:val="44674C69"/>
    <w:rsid w:val="446763A7"/>
    <w:rsid w:val="446F4BC2"/>
    <w:rsid w:val="446F6F5F"/>
    <w:rsid w:val="44800CE8"/>
    <w:rsid w:val="44867EF3"/>
    <w:rsid w:val="44912B53"/>
    <w:rsid w:val="449E3BBE"/>
    <w:rsid w:val="44AC7255"/>
    <w:rsid w:val="44AD2B59"/>
    <w:rsid w:val="44AF0737"/>
    <w:rsid w:val="44C654D2"/>
    <w:rsid w:val="44C711F9"/>
    <w:rsid w:val="44C807C2"/>
    <w:rsid w:val="44CF53C9"/>
    <w:rsid w:val="44E008BD"/>
    <w:rsid w:val="44E91C40"/>
    <w:rsid w:val="44F604A0"/>
    <w:rsid w:val="44F63DC5"/>
    <w:rsid w:val="44F824F9"/>
    <w:rsid w:val="44F8429B"/>
    <w:rsid w:val="45026324"/>
    <w:rsid w:val="45055D3B"/>
    <w:rsid w:val="4507541D"/>
    <w:rsid w:val="45091B74"/>
    <w:rsid w:val="450A133E"/>
    <w:rsid w:val="45115739"/>
    <w:rsid w:val="45130D62"/>
    <w:rsid w:val="45170778"/>
    <w:rsid w:val="45196DEE"/>
    <w:rsid w:val="4527156C"/>
    <w:rsid w:val="452C57EC"/>
    <w:rsid w:val="452C5CED"/>
    <w:rsid w:val="45321187"/>
    <w:rsid w:val="45322F35"/>
    <w:rsid w:val="453E335A"/>
    <w:rsid w:val="45470C20"/>
    <w:rsid w:val="454D5FC1"/>
    <w:rsid w:val="45540135"/>
    <w:rsid w:val="4554507A"/>
    <w:rsid w:val="4559404B"/>
    <w:rsid w:val="455E02DB"/>
    <w:rsid w:val="456E0423"/>
    <w:rsid w:val="457B432E"/>
    <w:rsid w:val="458102A7"/>
    <w:rsid w:val="45850C4F"/>
    <w:rsid w:val="45907561"/>
    <w:rsid w:val="45916DD1"/>
    <w:rsid w:val="459276E8"/>
    <w:rsid w:val="459724C8"/>
    <w:rsid w:val="45A12420"/>
    <w:rsid w:val="45AB022C"/>
    <w:rsid w:val="45B55C4E"/>
    <w:rsid w:val="45C02129"/>
    <w:rsid w:val="45C37A46"/>
    <w:rsid w:val="45C87DF2"/>
    <w:rsid w:val="45CE25B0"/>
    <w:rsid w:val="45D70820"/>
    <w:rsid w:val="45DE65C9"/>
    <w:rsid w:val="45EA18FB"/>
    <w:rsid w:val="45EF24CB"/>
    <w:rsid w:val="45EF500E"/>
    <w:rsid w:val="45FE51D4"/>
    <w:rsid w:val="460D54C7"/>
    <w:rsid w:val="461678C9"/>
    <w:rsid w:val="4621457A"/>
    <w:rsid w:val="462F503E"/>
    <w:rsid w:val="46364CA7"/>
    <w:rsid w:val="463B320A"/>
    <w:rsid w:val="463C549D"/>
    <w:rsid w:val="464C17F9"/>
    <w:rsid w:val="464C3DE4"/>
    <w:rsid w:val="464F2026"/>
    <w:rsid w:val="465C2312"/>
    <w:rsid w:val="465F4FBB"/>
    <w:rsid w:val="46626256"/>
    <w:rsid w:val="46646F9B"/>
    <w:rsid w:val="466A6DCD"/>
    <w:rsid w:val="46741EFE"/>
    <w:rsid w:val="4696226D"/>
    <w:rsid w:val="46981072"/>
    <w:rsid w:val="469F0464"/>
    <w:rsid w:val="46A817D7"/>
    <w:rsid w:val="46B87687"/>
    <w:rsid w:val="46D743A0"/>
    <w:rsid w:val="46DF77E9"/>
    <w:rsid w:val="46E47A06"/>
    <w:rsid w:val="46E51901"/>
    <w:rsid w:val="4703600F"/>
    <w:rsid w:val="47081B0D"/>
    <w:rsid w:val="47087399"/>
    <w:rsid w:val="47096A75"/>
    <w:rsid w:val="47115ECC"/>
    <w:rsid w:val="471637EB"/>
    <w:rsid w:val="47172588"/>
    <w:rsid w:val="471A1CA6"/>
    <w:rsid w:val="471A1FB8"/>
    <w:rsid w:val="472E5ED4"/>
    <w:rsid w:val="47513A3B"/>
    <w:rsid w:val="47717BB7"/>
    <w:rsid w:val="47751CE6"/>
    <w:rsid w:val="4778638C"/>
    <w:rsid w:val="479C6C3F"/>
    <w:rsid w:val="47AB098F"/>
    <w:rsid w:val="47AC0494"/>
    <w:rsid w:val="47D01EDF"/>
    <w:rsid w:val="47DB2B2E"/>
    <w:rsid w:val="47E02522"/>
    <w:rsid w:val="47E3607E"/>
    <w:rsid w:val="47E807B4"/>
    <w:rsid w:val="47F0063F"/>
    <w:rsid w:val="4802190F"/>
    <w:rsid w:val="480D6EF0"/>
    <w:rsid w:val="481132D5"/>
    <w:rsid w:val="48233059"/>
    <w:rsid w:val="482A618E"/>
    <w:rsid w:val="483951F7"/>
    <w:rsid w:val="485C6841"/>
    <w:rsid w:val="486C4077"/>
    <w:rsid w:val="486D4BE0"/>
    <w:rsid w:val="488059C7"/>
    <w:rsid w:val="48862ABC"/>
    <w:rsid w:val="48961A92"/>
    <w:rsid w:val="489A0D1D"/>
    <w:rsid w:val="48A028AB"/>
    <w:rsid w:val="48AF3A43"/>
    <w:rsid w:val="48AF500B"/>
    <w:rsid w:val="48BA2989"/>
    <w:rsid w:val="48BF1684"/>
    <w:rsid w:val="48C147B8"/>
    <w:rsid w:val="48C93323"/>
    <w:rsid w:val="48E4788C"/>
    <w:rsid w:val="48E8555C"/>
    <w:rsid w:val="48F71EC2"/>
    <w:rsid w:val="4906686E"/>
    <w:rsid w:val="490A0962"/>
    <w:rsid w:val="49126890"/>
    <w:rsid w:val="493B579B"/>
    <w:rsid w:val="49414053"/>
    <w:rsid w:val="494B704F"/>
    <w:rsid w:val="494C65FC"/>
    <w:rsid w:val="494E3B16"/>
    <w:rsid w:val="49522ABE"/>
    <w:rsid w:val="495F3E43"/>
    <w:rsid w:val="49640A67"/>
    <w:rsid w:val="497141D1"/>
    <w:rsid w:val="49732F5C"/>
    <w:rsid w:val="497A66C5"/>
    <w:rsid w:val="49837347"/>
    <w:rsid w:val="49A40368"/>
    <w:rsid w:val="49A526FA"/>
    <w:rsid w:val="49A66C93"/>
    <w:rsid w:val="49A809C0"/>
    <w:rsid w:val="49B0520C"/>
    <w:rsid w:val="49B20786"/>
    <w:rsid w:val="49B95160"/>
    <w:rsid w:val="49BE4D0E"/>
    <w:rsid w:val="49C32CF5"/>
    <w:rsid w:val="49CF1A27"/>
    <w:rsid w:val="49D72B15"/>
    <w:rsid w:val="49D8134E"/>
    <w:rsid w:val="49E12E74"/>
    <w:rsid w:val="49E2267F"/>
    <w:rsid w:val="49E32A95"/>
    <w:rsid w:val="49F77D91"/>
    <w:rsid w:val="49FC5A15"/>
    <w:rsid w:val="4A153DDA"/>
    <w:rsid w:val="4A193A0B"/>
    <w:rsid w:val="4A294BB6"/>
    <w:rsid w:val="4A2A5D2D"/>
    <w:rsid w:val="4A2D4B0D"/>
    <w:rsid w:val="4A375520"/>
    <w:rsid w:val="4A3B27F9"/>
    <w:rsid w:val="4A493024"/>
    <w:rsid w:val="4A564AEE"/>
    <w:rsid w:val="4A594137"/>
    <w:rsid w:val="4A614B7B"/>
    <w:rsid w:val="4A677986"/>
    <w:rsid w:val="4A6D63A2"/>
    <w:rsid w:val="4A7644BB"/>
    <w:rsid w:val="4A8B5C1B"/>
    <w:rsid w:val="4A995519"/>
    <w:rsid w:val="4AA36387"/>
    <w:rsid w:val="4AAC49A7"/>
    <w:rsid w:val="4AAD4048"/>
    <w:rsid w:val="4ABD6DFB"/>
    <w:rsid w:val="4AC32693"/>
    <w:rsid w:val="4AC779BE"/>
    <w:rsid w:val="4ACF2E94"/>
    <w:rsid w:val="4ADB2673"/>
    <w:rsid w:val="4AE9752F"/>
    <w:rsid w:val="4AEF4F70"/>
    <w:rsid w:val="4AF85ED4"/>
    <w:rsid w:val="4B092965"/>
    <w:rsid w:val="4B0C0036"/>
    <w:rsid w:val="4B270CDD"/>
    <w:rsid w:val="4B295488"/>
    <w:rsid w:val="4B2E2BDE"/>
    <w:rsid w:val="4B2F33FB"/>
    <w:rsid w:val="4B4319EF"/>
    <w:rsid w:val="4B573BC4"/>
    <w:rsid w:val="4B5877DC"/>
    <w:rsid w:val="4B62144B"/>
    <w:rsid w:val="4B717BFC"/>
    <w:rsid w:val="4B737EAE"/>
    <w:rsid w:val="4B774E0A"/>
    <w:rsid w:val="4B7D0796"/>
    <w:rsid w:val="4B7F3AA7"/>
    <w:rsid w:val="4B8500CD"/>
    <w:rsid w:val="4B8C5A6E"/>
    <w:rsid w:val="4B9B2052"/>
    <w:rsid w:val="4BA11FF2"/>
    <w:rsid w:val="4BB04C8E"/>
    <w:rsid w:val="4BB905BD"/>
    <w:rsid w:val="4BCB6AC2"/>
    <w:rsid w:val="4BCE4EC9"/>
    <w:rsid w:val="4BCF1015"/>
    <w:rsid w:val="4BEB0BC9"/>
    <w:rsid w:val="4BEF16CD"/>
    <w:rsid w:val="4BEF1A4E"/>
    <w:rsid w:val="4C0B382B"/>
    <w:rsid w:val="4C0F2E84"/>
    <w:rsid w:val="4C2909EF"/>
    <w:rsid w:val="4C447804"/>
    <w:rsid w:val="4C547220"/>
    <w:rsid w:val="4C575677"/>
    <w:rsid w:val="4C5A6AE1"/>
    <w:rsid w:val="4C6602D6"/>
    <w:rsid w:val="4C670112"/>
    <w:rsid w:val="4C6977C1"/>
    <w:rsid w:val="4C7D110A"/>
    <w:rsid w:val="4C906FAA"/>
    <w:rsid w:val="4C954E2A"/>
    <w:rsid w:val="4CA44B13"/>
    <w:rsid w:val="4CA75BD1"/>
    <w:rsid w:val="4CB51BE9"/>
    <w:rsid w:val="4CB74994"/>
    <w:rsid w:val="4CBA3672"/>
    <w:rsid w:val="4CDC7EC6"/>
    <w:rsid w:val="4CE74B0E"/>
    <w:rsid w:val="4D041254"/>
    <w:rsid w:val="4D133B5A"/>
    <w:rsid w:val="4D260C80"/>
    <w:rsid w:val="4D2F3630"/>
    <w:rsid w:val="4D2F582F"/>
    <w:rsid w:val="4D361C2F"/>
    <w:rsid w:val="4D37534E"/>
    <w:rsid w:val="4D3C0C8F"/>
    <w:rsid w:val="4D4C35A0"/>
    <w:rsid w:val="4D4D09E0"/>
    <w:rsid w:val="4D68534F"/>
    <w:rsid w:val="4D6A0120"/>
    <w:rsid w:val="4D724DBC"/>
    <w:rsid w:val="4D765B21"/>
    <w:rsid w:val="4D7A194E"/>
    <w:rsid w:val="4D7D5F04"/>
    <w:rsid w:val="4D7F4A05"/>
    <w:rsid w:val="4D850E34"/>
    <w:rsid w:val="4D8F37A3"/>
    <w:rsid w:val="4D9E7167"/>
    <w:rsid w:val="4DA57BA8"/>
    <w:rsid w:val="4DAB76AC"/>
    <w:rsid w:val="4DAE5FA3"/>
    <w:rsid w:val="4DAF74E3"/>
    <w:rsid w:val="4DB72DA3"/>
    <w:rsid w:val="4DB83E51"/>
    <w:rsid w:val="4DD111B8"/>
    <w:rsid w:val="4DEC03B5"/>
    <w:rsid w:val="4E22148C"/>
    <w:rsid w:val="4E240946"/>
    <w:rsid w:val="4E2F59E9"/>
    <w:rsid w:val="4E3072B9"/>
    <w:rsid w:val="4E385AA8"/>
    <w:rsid w:val="4E527A7D"/>
    <w:rsid w:val="4E531CD5"/>
    <w:rsid w:val="4E5320BD"/>
    <w:rsid w:val="4E5B7046"/>
    <w:rsid w:val="4E670AAB"/>
    <w:rsid w:val="4E814984"/>
    <w:rsid w:val="4E875D72"/>
    <w:rsid w:val="4E9A31EA"/>
    <w:rsid w:val="4EA627BB"/>
    <w:rsid w:val="4EB16F21"/>
    <w:rsid w:val="4EB64968"/>
    <w:rsid w:val="4ECF5CDA"/>
    <w:rsid w:val="4EE259CC"/>
    <w:rsid w:val="4EEE60FC"/>
    <w:rsid w:val="4EF123EB"/>
    <w:rsid w:val="4EF57C77"/>
    <w:rsid w:val="4EF6464A"/>
    <w:rsid w:val="4EF66F80"/>
    <w:rsid w:val="4EF677DC"/>
    <w:rsid w:val="4F0004DF"/>
    <w:rsid w:val="4F0650DF"/>
    <w:rsid w:val="4F0C247B"/>
    <w:rsid w:val="4F1214ED"/>
    <w:rsid w:val="4F187555"/>
    <w:rsid w:val="4F1D07B2"/>
    <w:rsid w:val="4F256418"/>
    <w:rsid w:val="4F2F1940"/>
    <w:rsid w:val="4F2F3DD4"/>
    <w:rsid w:val="4F30407B"/>
    <w:rsid w:val="4F493A00"/>
    <w:rsid w:val="4F4C12DC"/>
    <w:rsid w:val="4F4E67C1"/>
    <w:rsid w:val="4F593A45"/>
    <w:rsid w:val="4F6C7EE3"/>
    <w:rsid w:val="4F725FCF"/>
    <w:rsid w:val="4F754D8F"/>
    <w:rsid w:val="4F8B69E9"/>
    <w:rsid w:val="4F8E6E71"/>
    <w:rsid w:val="4F9100E9"/>
    <w:rsid w:val="4FA50077"/>
    <w:rsid w:val="4FAD159B"/>
    <w:rsid w:val="4FAF0EB2"/>
    <w:rsid w:val="4FB95274"/>
    <w:rsid w:val="4FBE1987"/>
    <w:rsid w:val="4FBF623E"/>
    <w:rsid w:val="4FF31B8B"/>
    <w:rsid w:val="4FF34542"/>
    <w:rsid w:val="4FFF6C3B"/>
    <w:rsid w:val="5000205A"/>
    <w:rsid w:val="50112CCA"/>
    <w:rsid w:val="50143D6C"/>
    <w:rsid w:val="50195BC5"/>
    <w:rsid w:val="501D3B9E"/>
    <w:rsid w:val="503D781D"/>
    <w:rsid w:val="50416A41"/>
    <w:rsid w:val="505D7402"/>
    <w:rsid w:val="506B0C6B"/>
    <w:rsid w:val="507422DB"/>
    <w:rsid w:val="50755520"/>
    <w:rsid w:val="50816127"/>
    <w:rsid w:val="508B3032"/>
    <w:rsid w:val="50901343"/>
    <w:rsid w:val="50964897"/>
    <w:rsid w:val="50995107"/>
    <w:rsid w:val="509E57D2"/>
    <w:rsid w:val="50AD49D6"/>
    <w:rsid w:val="50B57BA5"/>
    <w:rsid w:val="50CC3418"/>
    <w:rsid w:val="50DB13FF"/>
    <w:rsid w:val="50DE7A22"/>
    <w:rsid w:val="50EF1C49"/>
    <w:rsid w:val="50F12035"/>
    <w:rsid w:val="50F65BB9"/>
    <w:rsid w:val="50FF276F"/>
    <w:rsid w:val="51066160"/>
    <w:rsid w:val="5106769A"/>
    <w:rsid w:val="510B187D"/>
    <w:rsid w:val="51210A96"/>
    <w:rsid w:val="512A1782"/>
    <w:rsid w:val="51335821"/>
    <w:rsid w:val="51380B1D"/>
    <w:rsid w:val="51473487"/>
    <w:rsid w:val="516614BF"/>
    <w:rsid w:val="51682B7D"/>
    <w:rsid w:val="51706F44"/>
    <w:rsid w:val="518E0501"/>
    <w:rsid w:val="519A3943"/>
    <w:rsid w:val="51A85B53"/>
    <w:rsid w:val="51B24501"/>
    <w:rsid w:val="51B5396F"/>
    <w:rsid w:val="51CB6B9D"/>
    <w:rsid w:val="51D47A2A"/>
    <w:rsid w:val="51DB5B71"/>
    <w:rsid w:val="51E81578"/>
    <w:rsid w:val="51F74E62"/>
    <w:rsid w:val="51F82510"/>
    <w:rsid w:val="51FD5D48"/>
    <w:rsid w:val="520816F0"/>
    <w:rsid w:val="520E7167"/>
    <w:rsid w:val="52107FF1"/>
    <w:rsid w:val="52164A92"/>
    <w:rsid w:val="52164D6E"/>
    <w:rsid w:val="522068C3"/>
    <w:rsid w:val="52213BD6"/>
    <w:rsid w:val="52262A83"/>
    <w:rsid w:val="522755A9"/>
    <w:rsid w:val="522B3DE7"/>
    <w:rsid w:val="522D5F9E"/>
    <w:rsid w:val="5233214C"/>
    <w:rsid w:val="523D3021"/>
    <w:rsid w:val="523F5EE2"/>
    <w:rsid w:val="524452D7"/>
    <w:rsid w:val="52451214"/>
    <w:rsid w:val="52490A5B"/>
    <w:rsid w:val="525A21DB"/>
    <w:rsid w:val="525A7E3B"/>
    <w:rsid w:val="528D02D9"/>
    <w:rsid w:val="529452C3"/>
    <w:rsid w:val="529D321D"/>
    <w:rsid w:val="52A82A88"/>
    <w:rsid w:val="52B326D5"/>
    <w:rsid w:val="52C85998"/>
    <w:rsid w:val="52D011FD"/>
    <w:rsid w:val="52D042BA"/>
    <w:rsid w:val="52D44B32"/>
    <w:rsid w:val="52F80BD7"/>
    <w:rsid w:val="531554BA"/>
    <w:rsid w:val="531B346D"/>
    <w:rsid w:val="531E705B"/>
    <w:rsid w:val="532139FE"/>
    <w:rsid w:val="532B02B3"/>
    <w:rsid w:val="53331459"/>
    <w:rsid w:val="53396119"/>
    <w:rsid w:val="533A4A3B"/>
    <w:rsid w:val="533B4284"/>
    <w:rsid w:val="533B4644"/>
    <w:rsid w:val="5353632B"/>
    <w:rsid w:val="5358178E"/>
    <w:rsid w:val="5364528D"/>
    <w:rsid w:val="536635A5"/>
    <w:rsid w:val="53745FCB"/>
    <w:rsid w:val="537F7253"/>
    <w:rsid w:val="539214FD"/>
    <w:rsid w:val="53957C99"/>
    <w:rsid w:val="53AE658F"/>
    <w:rsid w:val="53BB0A35"/>
    <w:rsid w:val="53C31C7B"/>
    <w:rsid w:val="53C32960"/>
    <w:rsid w:val="53C51418"/>
    <w:rsid w:val="53D11E6D"/>
    <w:rsid w:val="53E52859"/>
    <w:rsid w:val="53F1220E"/>
    <w:rsid w:val="53FD70EB"/>
    <w:rsid w:val="53FF0417"/>
    <w:rsid w:val="540C3015"/>
    <w:rsid w:val="540E7126"/>
    <w:rsid w:val="5413171E"/>
    <w:rsid w:val="54173703"/>
    <w:rsid w:val="542F16F5"/>
    <w:rsid w:val="543E6119"/>
    <w:rsid w:val="544B085D"/>
    <w:rsid w:val="544C1606"/>
    <w:rsid w:val="54542EC7"/>
    <w:rsid w:val="54587EF8"/>
    <w:rsid w:val="54630D18"/>
    <w:rsid w:val="546C031D"/>
    <w:rsid w:val="54872A0D"/>
    <w:rsid w:val="548C5093"/>
    <w:rsid w:val="548E5275"/>
    <w:rsid w:val="54960D8A"/>
    <w:rsid w:val="54961BE6"/>
    <w:rsid w:val="549A4653"/>
    <w:rsid w:val="549A7848"/>
    <w:rsid w:val="549B1C7B"/>
    <w:rsid w:val="549D59DA"/>
    <w:rsid w:val="549D7B34"/>
    <w:rsid w:val="54A92D6E"/>
    <w:rsid w:val="54AC47AC"/>
    <w:rsid w:val="54B67253"/>
    <w:rsid w:val="54C31DFB"/>
    <w:rsid w:val="54CB2529"/>
    <w:rsid w:val="54DE229B"/>
    <w:rsid w:val="54EA3525"/>
    <w:rsid w:val="54F10C97"/>
    <w:rsid w:val="54F31C3F"/>
    <w:rsid w:val="55033B5A"/>
    <w:rsid w:val="550C6742"/>
    <w:rsid w:val="55286B5D"/>
    <w:rsid w:val="55370B74"/>
    <w:rsid w:val="553E32CC"/>
    <w:rsid w:val="553F6404"/>
    <w:rsid w:val="5540695E"/>
    <w:rsid w:val="55497C86"/>
    <w:rsid w:val="5561599F"/>
    <w:rsid w:val="557B3E52"/>
    <w:rsid w:val="55801AF6"/>
    <w:rsid w:val="558B2502"/>
    <w:rsid w:val="55906040"/>
    <w:rsid w:val="559E292C"/>
    <w:rsid w:val="55AA092A"/>
    <w:rsid w:val="55B2279F"/>
    <w:rsid w:val="55B8784D"/>
    <w:rsid w:val="55C36AC2"/>
    <w:rsid w:val="55C36B2D"/>
    <w:rsid w:val="55D91D1B"/>
    <w:rsid w:val="55E122D6"/>
    <w:rsid w:val="55EB5E5E"/>
    <w:rsid w:val="5602235D"/>
    <w:rsid w:val="56050AD9"/>
    <w:rsid w:val="560C2229"/>
    <w:rsid w:val="560F612E"/>
    <w:rsid w:val="56136FCF"/>
    <w:rsid w:val="5622687B"/>
    <w:rsid w:val="562D73B0"/>
    <w:rsid w:val="563132FA"/>
    <w:rsid w:val="563D0B70"/>
    <w:rsid w:val="564238CE"/>
    <w:rsid w:val="564412B1"/>
    <w:rsid w:val="564C4285"/>
    <w:rsid w:val="56507120"/>
    <w:rsid w:val="5661695F"/>
    <w:rsid w:val="56795DD4"/>
    <w:rsid w:val="56830FA9"/>
    <w:rsid w:val="56887244"/>
    <w:rsid w:val="568A5200"/>
    <w:rsid w:val="568C25A3"/>
    <w:rsid w:val="569B0F57"/>
    <w:rsid w:val="56A37AC7"/>
    <w:rsid w:val="56A4204B"/>
    <w:rsid w:val="56B26554"/>
    <w:rsid w:val="56B457AB"/>
    <w:rsid w:val="56D06502"/>
    <w:rsid w:val="56E15C15"/>
    <w:rsid w:val="56E3635E"/>
    <w:rsid w:val="56F22AE8"/>
    <w:rsid w:val="570105B3"/>
    <w:rsid w:val="57070DBE"/>
    <w:rsid w:val="5712027E"/>
    <w:rsid w:val="572B3918"/>
    <w:rsid w:val="573B0CA6"/>
    <w:rsid w:val="573D690C"/>
    <w:rsid w:val="573D69F5"/>
    <w:rsid w:val="5742239C"/>
    <w:rsid w:val="574477EF"/>
    <w:rsid w:val="574529A9"/>
    <w:rsid w:val="57541832"/>
    <w:rsid w:val="5761518A"/>
    <w:rsid w:val="576200A0"/>
    <w:rsid w:val="576E0894"/>
    <w:rsid w:val="577055E8"/>
    <w:rsid w:val="57751D0C"/>
    <w:rsid w:val="577637F3"/>
    <w:rsid w:val="57772385"/>
    <w:rsid w:val="57796942"/>
    <w:rsid w:val="57825012"/>
    <w:rsid w:val="578C2A79"/>
    <w:rsid w:val="579F6C9C"/>
    <w:rsid w:val="57A03A6F"/>
    <w:rsid w:val="57B53A8B"/>
    <w:rsid w:val="57BE6B6A"/>
    <w:rsid w:val="57C265AB"/>
    <w:rsid w:val="57C97B3D"/>
    <w:rsid w:val="57CF6D04"/>
    <w:rsid w:val="57D460CD"/>
    <w:rsid w:val="57E33B9E"/>
    <w:rsid w:val="57E36408"/>
    <w:rsid w:val="57FA4511"/>
    <w:rsid w:val="580117DA"/>
    <w:rsid w:val="581A41AF"/>
    <w:rsid w:val="58223C74"/>
    <w:rsid w:val="582569E3"/>
    <w:rsid w:val="583249D0"/>
    <w:rsid w:val="584675DA"/>
    <w:rsid w:val="58613E05"/>
    <w:rsid w:val="58621817"/>
    <w:rsid w:val="5866446C"/>
    <w:rsid w:val="58790BC3"/>
    <w:rsid w:val="58A37003"/>
    <w:rsid w:val="58A95CE6"/>
    <w:rsid w:val="58AA7C08"/>
    <w:rsid w:val="58AD47CD"/>
    <w:rsid w:val="58B06B3A"/>
    <w:rsid w:val="58B75472"/>
    <w:rsid w:val="58BE4122"/>
    <w:rsid w:val="58C47CC8"/>
    <w:rsid w:val="58D07132"/>
    <w:rsid w:val="58DE0DC1"/>
    <w:rsid w:val="58E77B4B"/>
    <w:rsid w:val="58EB4AEA"/>
    <w:rsid w:val="58F06C24"/>
    <w:rsid w:val="58F22C67"/>
    <w:rsid w:val="58F24E19"/>
    <w:rsid w:val="58FB369D"/>
    <w:rsid w:val="59002994"/>
    <w:rsid w:val="590707A2"/>
    <w:rsid w:val="591E363D"/>
    <w:rsid w:val="59226B8C"/>
    <w:rsid w:val="593D00E6"/>
    <w:rsid w:val="59637C18"/>
    <w:rsid w:val="59652E03"/>
    <w:rsid w:val="596B50BB"/>
    <w:rsid w:val="597F1079"/>
    <w:rsid w:val="599259E9"/>
    <w:rsid w:val="59992AB6"/>
    <w:rsid w:val="59B252EF"/>
    <w:rsid w:val="59C80201"/>
    <w:rsid w:val="59CA58BE"/>
    <w:rsid w:val="59D6626B"/>
    <w:rsid w:val="59DE6F71"/>
    <w:rsid w:val="59DF64C4"/>
    <w:rsid w:val="59FE69FF"/>
    <w:rsid w:val="5A061A4A"/>
    <w:rsid w:val="5A125363"/>
    <w:rsid w:val="5A1E1CFE"/>
    <w:rsid w:val="5A306340"/>
    <w:rsid w:val="5A320D3D"/>
    <w:rsid w:val="5A3876EE"/>
    <w:rsid w:val="5A3E0FC5"/>
    <w:rsid w:val="5A437BB7"/>
    <w:rsid w:val="5A4418F4"/>
    <w:rsid w:val="5A487009"/>
    <w:rsid w:val="5A4D73F7"/>
    <w:rsid w:val="5A4E6BB6"/>
    <w:rsid w:val="5A5123B0"/>
    <w:rsid w:val="5A5557E2"/>
    <w:rsid w:val="5A5E689F"/>
    <w:rsid w:val="5A672AF4"/>
    <w:rsid w:val="5A6F5188"/>
    <w:rsid w:val="5A802097"/>
    <w:rsid w:val="5AA6680C"/>
    <w:rsid w:val="5AA964F0"/>
    <w:rsid w:val="5AB3659E"/>
    <w:rsid w:val="5ABF715D"/>
    <w:rsid w:val="5ACE5B14"/>
    <w:rsid w:val="5AD0377E"/>
    <w:rsid w:val="5AD16FA3"/>
    <w:rsid w:val="5AE86B65"/>
    <w:rsid w:val="5AEE47FE"/>
    <w:rsid w:val="5B201B65"/>
    <w:rsid w:val="5B287DA3"/>
    <w:rsid w:val="5B2E7C80"/>
    <w:rsid w:val="5B3037D3"/>
    <w:rsid w:val="5B354615"/>
    <w:rsid w:val="5B3E2C1C"/>
    <w:rsid w:val="5B4701CA"/>
    <w:rsid w:val="5B473E31"/>
    <w:rsid w:val="5B567261"/>
    <w:rsid w:val="5B5D6FE3"/>
    <w:rsid w:val="5B5E61A5"/>
    <w:rsid w:val="5B611E06"/>
    <w:rsid w:val="5B647C7F"/>
    <w:rsid w:val="5B6538D9"/>
    <w:rsid w:val="5B783939"/>
    <w:rsid w:val="5B7A5A93"/>
    <w:rsid w:val="5B7B4F26"/>
    <w:rsid w:val="5B872136"/>
    <w:rsid w:val="5B9160B4"/>
    <w:rsid w:val="5BB47116"/>
    <w:rsid w:val="5BC122F3"/>
    <w:rsid w:val="5BC31D3D"/>
    <w:rsid w:val="5BC4084E"/>
    <w:rsid w:val="5BC50551"/>
    <w:rsid w:val="5BC51144"/>
    <w:rsid w:val="5BCE11A0"/>
    <w:rsid w:val="5BD25830"/>
    <w:rsid w:val="5BDF5939"/>
    <w:rsid w:val="5BE74D6D"/>
    <w:rsid w:val="5BE90AB4"/>
    <w:rsid w:val="5BF27DE4"/>
    <w:rsid w:val="5C055AF1"/>
    <w:rsid w:val="5C0E3DA5"/>
    <w:rsid w:val="5C176595"/>
    <w:rsid w:val="5C184F5F"/>
    <w:rsid w:val="5C311300"/>
    <w:rsid w:val="5C313183"/>
    <w:rsid w:val="5C3726F0"/>
    <w:rsid w:val="5C464ACA"/>
    <w:rsid w:val="5C556F22"/>
    <w:rsid w:val="5C574792"/>
    <w:rsid w:val="5C6B0B2F"/>
    <w:rsid w:val="5C6F4BE2"/>
    <w:rsid w:val="5C7C1C9D"/>
    <w:rsid w:val="5C7E2398"/>
    <w:rsid w:val="5C817DB8"/>
    <w:rsid w:val="5C8A74EE"/>
    <w:rsid w:val="5C8B7ADF"/>
    <w:rsid w:val="5C8D7B93"/>
    <w:rsid w:val="5C8E3EE9"/>
    <w:rsid w:val="5C9718CF"/>
    <w:rsid w:val="5C976E84"/>
    <w:rsid w:val="5CA5143C"/>
    <w:rsid w:val="5CA72F45"/>
    <w:rsid w:val="5CA75A71"/>
    <w:rsid w:val="5CA76B70"/>
    <w:rsid w:val="5CAB769C"/>
    <w:rsid w:val="5CAE096D"/>
    <w:rsid w:val="5CB57B68"/>
    <w:rsid w:val="5CC23C0A"/>
    <w:rsid w:val="5CDB6CD9"/>
    <w:rsid w:val="5CDD72A7"/>
    <w:rsid w:val="5CE1053B"/>
    <w:rsid w:val="5CE813AA"/>
    <w:rsid w:val="5CEB3B09"/>
    <w:rsid w:val="5CF74435"/>
    <w:rsid w:val="5CF87142"/>
    <w:rsid w:val="5CFE561A"/>
    <w:rsid w:val="5D005C6C"/>
    <w:rsid w:val="5D0219E4"/>
    <w:rsid w:val="5D0C63EE"/>
    <w:rsid w:val="5D0E526A"/>
    <w:rsid w:val="5D143F47"/>
    <w:rsid w:val="5D151C75"/>
    <w:rsid w:val="5D1B6C16"/>
    <w:rsid w:val="5D1E4ABE"/>
    <w:rsid w:val="5D2F106D"/>
    <w:rsid w:val="5D44482E"/>
    <w:rsid w:val="5D492A75"/>
    <w:rsid w:val="5D555B3A"/>
    <w:rsid w:val="5D7672A4"/>
    <w:rsid w:val="5D79190C"/>
    <w:rsid w:val="5D792D27"/>
    <w:rsid w:val="5D8C751E"/>
    <w:rsid w:val="5D8E441C"/>
    <w:rsid w:val="5D8F656D"/>
    <w:rsid w:val="5DB275EE"/>
    <w:rsid w:val="5DB60CBF"/>
    <w:rsid w:val="5DC30C3C"/>
    <w:rsid w:val="5DD27BEB"/>
    <w:rsid w:val="5DD368B0"/>
    <w:rsid w:val="5DD90C6D"/>
    <w:rsid w:val="5DDC5728"/>
    <w:rsid w:val="5DE37D01"/>
    <w:rsid w:val="5DE46ABC"/>
    <w:rsid w:val="5DEA4328"/>
    <w:rsid w:val="5DEF71C7"/>
    <w:rsid w:val="5E020CF2"/>
    <w:rsid w:val="5E061653"/>
    <w:rsid w:val="5E0B59F8"/>
    <w:rsid w:val="5E130052"/>
    <w:rsid w:val="5E1A14C7"/>
    <w:rsid w:val="5E1E2C06"/>
    <w:rsid w:val="5E1F577F"/>
    <w:rsid w:val="5E222E3F"/>
    <w:rsid w:val="5E273632"/>
    <w:rsid w:val="5E2A50FB"/>
    <w:rsid w:val="5E4208B7"/>
    <w:rsid w:val="5E47638D"/>
    <w:rsid w:val="5E6051D0"/>
    <w:rsid w:val="5E741061"/>
    <w:rsid w:val="5E74625B"/>
    <w:rsid w:val="5E764306"/>
    <w:rsid w:val="5E791263"/>
    <w:rsid w:val="5E7E7C15"/>
    <w:rsid w:val="5E8125D9"/>
    <w:rsid w:val="5E831B27"/>
    <w:rsid w:val="5E9322F7"/>
    <w:rsid w:val="5E9F1BD3"/>
    <w:rsid w:val="5EAB60C6"/>
    <w:rsid w:val="5EB3429C"/>
    <w:rsid w:val="5EBA2D17"/>
    <w:rsid w:val="5ECB6710"/>
    <w:rsid w:val="5ED2135C"/>
    <w:rsid w:val="5ED4722D"/>
    <w:rsid w:val="5EDA07A3"/>
    <w:rsid w:val="5EDD64E3"/>
    <w:rsid w:val="5EE265C8"/>
    <w:rsid w:val="5EEC4B99"/>
    <w:rsid w:val="5EF746FA"/>
    <w:rsid w:val="5F0701F4"/>
    <w:rsid w:val="5F0844B3"/>
    <w:rsid w:val="5F1366FD"/>
    <w:rsid w:val="5F202EAB"/>
    <w:rsid w:val="5F317B6C"/>
    <w:rsid w:val="5F387044"/>
    <w:rsid w:val="5F50799D"/>
    <w:rsid w:val="5F5776BE"/>
    <w:rsid w:val="5F5D63BC"/>
    <w:rsid w:val="5F6D531F"/>
    <w:rsid w:val="5F6F4EFE"/>
    <w:rsid w:val="5F890695"/>
    <w:rsid w:val="5F98641F"/>
    <w:rsid w:val="5FA70D03"/>
    <w:rsid w:val="5FAC5273"/>
    <w:rsid w:val="5FB71A4D"/>
    <w:rsid w:val="5FD469F9"/>
    <w:rsid w:val="5FF16FF0"/>
    <w:rsid w:val="5FF926E2"/>
    <w:rsid w:val="6009211F"/>
    <w:rsid w:val="600E46B5"/>
    <w:rsid w:val="601276B7"/>
    <w:rsid w:val="603571C2"/>
    <w:rsid w:val="60363663"/>
    <w:rsid w:val="60374FBB"/>
    <w:rsid w:val="605607A4"/>
    <w:rsid w:val="60567FC7"/>
    <w:rsid w:val="605B469C"/>
    <w:rsid w:val="60657AC4"/>
    <w:rsid w:val="60663C92"/>
    <w:rsid w:val="606A53F7"/>
    <w:rsid w:val="606B0E89"/>
    <w:rsid w:val="606E11B5"/>
    <w:rsid w:val="6074676D"/>
    <w:rsid w:val="60861BB4"/>
    <w:rsid w:val="608C6BB7"/>
    <w:rsid w:val="60A55697"/>
    <w:rsid w:val="60A55730"/>
    <w:rsid w:val="60A96D9C"/>
    <w:rsid w:val="60B83176"/>
    <w:rsid w:val="60BA7FEE"/>
    <w:rsid w:val="60CD32DA"/>
    <w:rsid w:val="60CD7DF0"/>
    <w:rsid w:val="60D549E6"/>
    <w:rsid w:val="60E44DBD"/>
    <w:rsid w:val="60F470C4"/>
    <w:rsid w:val="6101703D"/>
    <w:rsid w:val="610279BE"/>
    <w:rsid w:val="610A7857"/>
    <w:rsid w:val="610F3430"/>
    <w:rsid w:val="6114434E"/>
    <w:rsid w:val="612234A0"/>
    <w:rsid w:val="61326038"/>
    <w:rsid w:val="61352A19"/>
    <w:rsid w:val="61485229"/>
    <w:rsid w:val="614B761B"/>
    <w:rsid w:val="615B72F4"/>
    <w:rsid w:val="615D081D"/>
    <w:rsid w:val="6168576A"/>
    <w:rsid w:val="616E399B"/>
    <w:rsid w:val="616E79A9"/>
    <w:rsid w:val="616F29ED"/>
    <w:rsid w:val="61703BC7"/>
    <w:rsid w:val="61721AF1"/>
    <w:rsid w:val="61733EAE"/>
    <w:rsid w:val="618A056C"/>
    <w:rsid w:val="618F4379"/>
    <w:rsid w:val="619005C2"/>
    <w:rsid w:val="61913D8C"/>
    <w:rsid w:val="61A40288"/>
    <w:rsid w:val="61AD0C9C"/>
    <w:rsid w:val="61B02B42"/>
    <w:rsid w:val="61B1236A"/>
    <w:rsid w:val="61BA3E95"/>
    <w:rsid w:val="61BF1536"/>
    <w:rsid w:val="61CA024D"/>
    <w:rsid w:val="61CA5BA5"/>
    <w:rsid w:val="61D3332B"/>
    <w:rsid w:val="61D715F3"/>
    <w:rsid w:val="61DE3117"/>
    <w:rsid w:val="61DE6087"/>
    <w:rsid w:val="62026BFB"/>
    <w:rsid w:val="620311CD"/>
    <w:rsid w:val="620F66AB"/>
    <w:rsid w:val="62193DAB"/>
    <w:rsid w:val="622B3D8B"/>
    <w:rsid w:val="623F4C2F"/>
    <w:rsid w:val="624655B5"/>
    <w:rsid w:val="6255518D"/>
    <w:rsid w:val="626641B9"/>
    <w:rsid w:val="62670E1D"/>
    <w:rsid w:val="62693C78"/>
    <w:rsid w:val="626A543A"/>
    <w:rsid w:val="626C06E3"/>
    <w:rsid w:val="627E5722"/>
    <w:rsid w:val="62863415"/>
    <w:rsid w:val="62A12320"/>
    <w:rsid w:val="62AC36D9"/>
    <w:rsid w:val="62B7283A"/>
    <w:rsid w:val="62BA36B6"/>
    <w:rsid w:val="62BF608C"/>
    <w:rsid w:val="62C93908"/>
    <w:rsid w:val="62DA6447"/>
    <w:rsid w:val="62DC6235"/>
    <w:rsid w:val="62FD4CA5"/>
    <w:rsid w:val="63007C1E"/>
    <w:rsid w:val="63077974"/>
    <w:rsid w:val="631125B4"/>
    <w:rsid w:val="631303F2"/>
    <w:rsid w:val="631F1B1B"/>
    <w:rsid w:val="632127D9"/>
    <w:rsid w:val="632616D6"/>
    <w:rsid w:val="632652B9"/>
    <w:rsid w:val="63334847"/>
    <w:rsid w:val="63364624"/>
    <w:rsid w:val="6338134A"/>
    <w:rsid w:val="63422582"/>
    <w:rsid w:val="63456DBB"/>
    <w:rsid w:val="63484EAB"/>
    <w:rsid w:val="634A45C7"/>
    <w:rsid w:val="635A66BD"/>
    <w:rsid w:val="635B1484"/>
    <w:rsid w:val="63624784"/>
    <w:rsid w:val="63780739"/>
    <w:rsid w:val="637B784E"/>
    <w:rsid w:val="638318FC"/>
    <w:rsid w:val="6383639C"/>
    <w:rsid w:val="63855ED4"/>
    <w:rsid w:val="63862038"/>
    <w:rsid w:val="6392716D"/>
    <w:rsid w:val="63953FFE"/>
    <w:rsid w:val="63987C58"/>
    <w:rsid w:val="639901CC"/>
    <w:rsid w:val="63993630"/>
    <w:rsid w:val="63A131D0"/>
    <w:rsid w:val="63A25842"/>
    <w:rsid w:val="63A60682"/>
    <w:rsid w:val="63A81FF3"/>
    <w:rsid w:val="63B46391"/>
    <w:rsid w:val="63B633B8"/>
    <w:rsid w:val="63C04B50"/>
    <w:rsid w:val="63C05BD4"/>
    <w:rsid w:val="63C214A2"/>
    <w:rsid w:val="63C91F22"/>
    <w:rsid w:val="63DE6141"/>
    <w:rsid w:val="63E6754D"/>
    <w:rsid w:val="63E75E35"/>
    <w:rsid w:val="63F4750D"/>
    <w:rsid w:val="63F554F5"/>
    <w:rsid w:val="63F6448F"/>
    <w:rsid w:val="6413300D"/>
    <w:rsid w:val="64172058"/>
    <w:rsid w:val="64216BB3"/>
    <w:rsid w:val="64277FB7"/>
    <w:rsid w:val="64283880"/>
    <w:rsid w:val="643B596F"/>
    <w:rsid w:val="64403DF0"/>
    <w:rsid w:val="64412516"/>
    <w:rsid w:val="644F58D2"/>
    <w:rsid w:val="6455045E"/>
    <w:rsid w:val="645711B6"/>
    <w:rsid w:val="645E43BF"/>
    <w:rsid w:val="64677126"/>
    <w:rsid w:val="64792A42"/>
    <w:rsid w:val="647D4783"/>
    <w:rsid w:val="64837667"/>
    <w:rsid w:val="6484267E"/>
    <w:rsid w:val="64900DA2"/>
    <w:rsid w:val="64973884"/>
    <w:rsid w:val="649D10AE"/>
    <w:rsid w:val="64A76B97"/>
    <w:rsid w:val="64AD5A8F"/>
    <w:rsid w:val="64C81E6F"/>
    <w:rsid w:val="64CE2E6B"/>
    <w:rsid w:val="64E50C90"/>
    <w:rsid w:val="64EE3B40"/>
    <w:rsid w:val="64F329A7"/>
    <w:rsid w:val="64F90A0C"/>
    <w:rsid w:val="65165FC2"/>
    <w:rsid w:val="65176627"/>
    <w:rsid w:val="65225B15"/>
    <w:rsid w:val="65231F5F"/>
    <w:rsid w:val="6530764B"/>
    <w:rsid w:val="653A039C"/>
    <w:rsid w:val="653B1BA5"/>
    <w:rsid w:val="653B6D24"/>
    <w:rsid w:val="6547044E"/>
    <w:rsid w:val="654C7CC8"/>
    <w:rsid w:val="65596DFC"/>
    <w:rsid w:val="656C5B5F"/>
    <w:rsid w:val="656E17BB"/>
    <w:rsid w:val="658219CD"/>
    <w:rsid w:val="658448E7"/>
    <w:rsid w:val="65986129"/>
    <w:rsid w:val="659C63CB"/>
    <w:rsid w:val="65A21FE7"/>
    <w:rsid w:val="65A97358"/>
    <w:rsid w:val="65AD4046"/>
    <w:rsid w:val="65BA6B35"/>
    <w:rsid w:val="65BC16F7"/>
    <w:rsid w:val="65BE4101"/>
    <w:rsid w:val="65C2455A"/>
    <w:rsid w:val="65CE7088"/>
    <w:rsid w:val="65D101A9"/>
    <w:rsid w:val="65E14779"/>
    <w:rsid w:val="65E766D2"/>
    <w:rsid w:val="660B29CD"/>
    <w:rsid w:val="6611200E"/>
    <w:rsid w:val="661B7AC3"/>
    <w:rsid w:val="66300A43"/>
    <w:rsid w:val="6630136E"/>
    <w:rsid w:val="6639272B"/>
    <w:rsid w:val="663E3744"/>
    <w:rsid w:val="664E3C78"/>
    <w:rsid w:val="666A25DA"/>
    <w:rsid w:val="666A6C5E"/>
    <w:rsid w:val="66717927"/>
    <w:rsid w:val="6687699C"/>
    <w:rsid w:val="668A21CC"/>
    <w:rsid w:val="668B782F"/>
    <w:rsid w:val="668E66D0"/>
    <w:rsid w:val="6698251C"/>
    <w:rsid w:val="66994FEA"/>
    <w:rsid w:val="669A3B5C"/>
    <w:rsid w:val="66AB1119"/>
    <w:rsid w:val="66B11000"/>
    <w:rsid w:val="66BB1970"/>
    <w:rsid w:val="66C06DE6"/>
    <w:rsid w:val="66CE4200"/>
    <w:rsid w:val="66E75575"/>
    <w:rsid w:val="66E96F94"/>
    <w:rsid w:val="66F65F9A"/>
    <w:rsid w:val="66FD7472"/>
    <w:rsid w:val="66FF540E"/>
    <w:rsid w:val="67102FB0"/>
    <w:rsid w:val="67195CEE"/>
    <w:rsid w:val="67202112"/>
    <w:rsid w:val="67421DC5"/>
    <w:rsid w:val="674C5651"/>
    <w:rsid w:val="67524EE9"/>
    <w:rsid w:val="675301D2"/>
    <w:rsid w:val="67603080"/>
    <w:rsid w:val="67862852"/>
    <w:rsid w:val="679A61DA"/>
    <w:rsid w:val="679C2918"/>
    <w:rsid w:val="67A84FA4"/>
    <w:rsid w:val="67AC584C"/>
    <w:rsid w:val="67C17715"/>
    <w:rsid w:val="67C44693"/>
    <w:rsid w:val="67CC6B56"/>
    <w:rsid w:val="67CE478C"/>
    <w:rsid w:val="67D45371"/>
    <w:rsid w:val="67D54407"/>
    <w:rsid w:val="67DC2F4E"/>
    <w:rsid w:val="67E00368"/>
    <w:rsid w:val="67E32BFD"/>
    <w:rsid w:val="67E53228"/>
    <w:rsid w:val="67E57AE2"/>
    <w:rsid w:val="67F23646"/>
    <w:rsid w:val="67F315E4"/>
    <w:rsid w:val="67F409A3"/>
    <w:rsid w:val="68035EF6"/>
    <w:rsid w:val="680C4402"/>
    <w:rsid w:val="681C07D5"/>
    <w:rsid w:val="682277BF"/>
    <w:rsid w:val="682E69EB"/>
    <w:rsid w:val="683217A8"/>
    <w:rsid w:val="683F1F2C"/>
    <w:rsid w:val="6848540C"/>
    <w:rsid w:val="684C0078"/>
    <w:rsid w:val="685E1359"/>
    <w:rsid w:val="68630963"/>
    <w:rsid w:val="68631C55"/>
    <w:rsid w:val="68650090"/>
    <w:rsid w:val="6878358F"/>
    <w:rsid w:val="68793D03"/>
    <w:rsid w:val="689A117C"/>
    <w:rsid w:val="68B02203"/>
    <w:rsid w:val="68CA0F59"/>
    <w:rsid w:val="68CC43E4"/>
    <w:rsid w:val="68D21358"/>
    <w:rsid w:val="68DC4D06"/>
    <w:rsid w:val="68E65DD2"/>
    <w:rsid w:val="69085F21"/>
    <w:rsid w:val="691248BE"/>
    <w:rsid w:val="69304A94"/>
    <w:rsid w:val="69393BAE"/>
    <w:rsid w:val="6940659F"/>
    <w:rsid w:val="69506EA8"/>
    <w:rsid w:val="696F09BC"/>
    <w:rsid w:val="69714502"/>
    <w:rsid w:val="69726769"/>
    <w:rsid w:val="698E1EFD"/>
    <w:rsid w:val="69A8240D"/>
    <w:rsid w:val="69B24CF9"/>
    <w:rsid w:val="69D6747D"/>
    <w:rsid w:val="69DC4101"/>
    <w:rsid w:val="69E553CA"/>
    <w:rsid w:val="69EC3D05"/>
    <w:rsid w:val="69F27CF1"/>
    <w:rsid w:val="69FA1FA4"/>
    <w:rsid w:val="6A0F5AFD"/>
    <w:rsid w:val="6A100DF6"/>
    <w:rsid w:val="6A290FC1"/>
    <w:rsid w:val="6A2C0634"/>
    <w:rsid w:val="6A3C2DFE"/>
    <w:rsid w:val="6A4D0357"/>
    <w:rsid w:val="6A53215D"/>
    <w:rsid w:val="6A617017"/>
    <w:rsid w:val="6A6413C2"/>
    <w:rsid w:val="6A6E7D35"/>
    <w:rsid w:val="6A6F7A33"/>
    <w:rsid w:val="6A70138B"/>
    <w:rsid w:val="6A706F6A"/>
    <w:rsid w:val="6A715BF3"/>
    <w:rsid w:val="6A783D6A"/>
    <w:rsid w:val="6A82466A"/>
    <w:rsid w:val="6A844D99"/>
    <w:rsid w:val="6A88371F"/>
    <w:rsid w:val="6AA21F99"/>
    <w:rsid w:val="6AC35315"/>
    <w:rsid w:val="6AC94419"/>
    <w:rsid w:val="6ACA5559"/>
    <w:rsid w:val="6ACA793F"/>
    <w:rsid w:val="6AD147BF"/>
    <w:rsid w:val="6AD85483"/>
    <w:rsid w:val="6AE00DF2"/>
    <w:rsid w:val="6AE13BA2"/>
    <w:rsid w:val="6AFB69D7"/>
    <w:rsid w:val="6B071BE6"/>
    <w:rsid w:val="6B126B59"/>
    <w:rsid w:val="6B146021"/>
    <w:rsid w:val="6B1637CA"/>
    <w:rsid w:val="6B166777"/>
    <w:rsid w:val="6B1C45F8"/>
    <w:rsid w:val="6B303FB9"/>
    <w:rsid w:val="6B370FC8"/>
    <w:rsid w:val="6B436036"/>
    <w:rsid w:val="6B4E14FE"/>
    <w:rsid w:val="6B4F341C"/>
    <w:rsid w:val="6B5259B8"/>
    <w:rsid w:val="6B663F76"/>
    <w:rsid w:val="6B691E16"/>
    <w:rsid w:val="6B6B5F51"/>
    <w:rsid w:val="6B75161C"/>
    <w:rsid w:val="6B76553C"/>
    <w:rsid w:val="6B7D1BFA"/>
    <w:rsid w:val="6B7F427C"/>
    <w:rsid w:val="6B817D5D"/>
    <w:rsid w:val="6B8B0006"/>
    <w:rsid w:val="6B975315"/>
    <w:rsid w:val="6BAB3DAF"/>
    <w:rsid w:val="6BB703D0"/>
    <w:rsid w:val="6BCC196D"/>
    <w:rsid w:val="6BE06201"/>
    <w:rsid w:val="6BF117A7"/>
    <w:rsid w:val="6BFB0174"/>
    <w:rsid w:val="6C005369"/>
    <w:rsid w:val="6C1338C0"/>
    <w:rsid w:val="6C140938"/>
    <w:rsid w:val="6C1F6B07"/>
    <w:rsid w:val="6C215E63"/>
    <w:rsid w:val="6C255054"/>
    <w:rsid w:val="6C285AF6"/>
    <w:rsid w:val="6C293996"/>
    <w:rsid w:val="6C35271C"/>
    <w:rsid w:val="6C3A2120"/>
    <w:rsid w:val="6C3A69EF"/>
    <w:rsid w:val="6C45627A"/>
    <w:rsid w:val="6C553065"/>
    <w:rsid w:val="6C5C00D6"/>
    <w:rsid w:val="6C626405"/>
    <w:rsid w:val="6C6570D8"/>
    <w:rsid w:val="6C674C3B"/>
    <w:rsid w:val="6C79166B"/>
    <w:rsid w:val="6C7D5443"/>
    <w:rsid w:val="6C80274B"/>
    <w:rsid w:val="6C8754D2"/>
    <w:rsid w:val="6CA05DC9"/>
    <w:rsid w:val="6CA432ED"/>
    <w:rsid w:val="6CA6326E"/>
    <w:rsid w:val="6CAD32A0"/>
    <w:rsid w:val="6CC52B54"/>
    <w:rsid w:val="6CC605C2"/>
    <w:rsid w:val="6CDA1437"/>
    <w:rsid w:val="6CEC07B0"/>
    <w:rsid w:val="6D11449A"/>
    <w:rsid w:val="6D12342C"/>
    <w:rsid w:val="6D411CC2"/>
    <w:rsid w:val="6D487BD1"/>
    <w:rsid w:val="6D4B5785"/>
    <w:rsid w:val="6D512D7B"/>
    <w:rsid w:val="6D5A57E4"/>
    <w:rsid w:val="6D5B689E"/>
    <w:rsid w:val="6D6F023F"/>
    <w:rsid w:val="6D752B9B"/>
    <w:rsid w:val="6D7971D9"/>
    <w:rsid w:val="6D817EC7"/>
    <w:rsid w:val="6D885ECE"/>
    <w:rsid w:val="6D88636F"/>
    <w:rsid w:val="6D8D0F03"/>
    <w:rsid w:val="6D923FD9"/>
    <w:rsid w:val="6D9C42C1"/>
    <w:rsid w:val="6DA32438"/>
    <w:rsid w:val="6DA324FF"/>
    <w:rsid w:val="6DA84B0E"/>
    <w:rsid w:val="6DAE166F"/>
    <w:rsid w:val="6DB333C4"/>
    <w:rsid w:val="6DB425ED"/>
    <w:rsid w:val="6DB66368"/>
    <w:rsid w:val="6DC85B13"/>
    <w:rsid w:val="6DCB0655"/>
    <w:rsid w:val="6DCE3702"/>
    <w:rsid w:val="6DD002B2"/>
    <w:rsid w:val="6DE4576F"/>
    <w:rsid w:val="6DE504C6"/>
    <w:rsid w:val="6DE625C8"/>
    <w:rsid w:val="6DED26F8"/>
    <w:rsid w:val="6DEF1D54"/>
    <w:rsid w:val="6DF27591"/>
    <w:rsid w:val="6DF337AB"/>
    <w:rsid w:val="6DF37641"/>
    <w:rsid w:val="6DF9479E"/>
    <w:rsid w:val="6E034A0F"/>
    <w:rsid w:val="6E040C0B"/>
    <w:rsid w:val="6E0C2B62"/>
    <w:rsid w:val="6E0C7D09"/>
    <w:rsid w:val="6E19188C"/>
    <w:rsid w:val="6E251832"/>
    <w:rsid w:val="6E286B3C"/>
    <w:rsid w:val="6E2B2D04"/>
    <w:rsid w:val="6E2B5378"/>
    <w:rsid w:val="6E363CEE"/>
    <w:rsid w:val="6E43074A"/>
    <w:rsid w:val="6E497B2B"/>
    <w:rsid w:val="6E4C734A"/>
    <w:rsid w:val="6E54365B"/>
    <w:rsid w:val="6E553F7F"/>
    <w:rsid w:val="6E5B0146"/>
    <w:rsid w:val="6E663CF4"/>
    <w:rsid w:val="6E6A102F"/>
    <w:rsid w:val="6E785C21"/>
    <w:rsid w:val="6E7F0D74"/>
    <w:rsid w:val="6E8A165B"/>
    <w:rsid w:val="6E906F1A"/>
    <w:rsid w:val="6E964536"/>
    <w:rsid w:val="6E9E0743"/>
    <w:rsid w:val="6E9F0171"/>
    <w:rsid w:val="6EAF0400"/>
    <w:rsid w:val="6EAF1E4E"/>
    <w:rsid w:val="6EB36E21"/>
    <w:rsid w:val="6EC273ED"/>
    <w:rsid w:val="6ECA48B4"/>
    <w:rsid w:val="6EE43922"/>
    <w:rsid w:val="6EE573DC"/>
    <w:rsid w:val="6EE67C48"/>
    <w:rsid w:val="6EF834E8"/>
    <w:rsid w:val="6EF92EDF"/>
    <w:rsid w:val="6EFE578D"/>
    <w:rsid w:val="6F00094D"/>
    <w:rsid w:val="6F0E423A"/>
    <w:rsid w:val="6F155261"/>
    <w:rsid w:val="6F1B471A"/>
    <w:rsid w:val="6F2939E7"/>
    <w:rsid w:val="6F3D2034"/>
    <w:rsid w:val="6F460005"/>
    <w:rsid w:val="6F4638EA"/>
    <w:rsid w:val="6F4A173E"/>
    <w:rsid w:val="6F532EB9"/>
    <w:rsid w:val="6F533287"/>
    <w:rsid w:val="6F541CA3"/>
    <w:rsid w:val="6F57143F"/>
    <w:rsid w:val="6F5C042D"/>
    <w:rsid w:val="6F5D3BD5"/>
    <w:rsid w:val="6F726CDC"/>
    <w:rsid w:val="6F737639"/>
    <w:rsid w:val="6F761DA6"/>
    <w:rsid w:val="6F7E13EF"/>
    <w:rsid w:val="6F806720"/>
    <w:rsid w:val="6F843848"/>
    <w:rsid w:val="6F977BD4"/>
    <w:rsid w:val="6F9E5E1A"/>
    <w:rsid w:val="6FB46CA8"/>
    <w:rsid w:val="6FB510C2"/>
    <w:rsid w:val="6FB80427"/>
    <w:rsid w:val="6FC735DE"/>
    <w:rsid w:val="6FCA351B"/>
    <w:rsid w:val="6FDE0996"/>
    <w:rsid w:val="6FDE3C5C"/>
    <w:rsid w:val="6FE23769"/>
    <w:rsid w:val="6FF35AF8"/>
    <w:rsid w:val="6FF86136"/>
    <w:rsid w:val="701115F1"/>
    <w:rsid w:val="70146390"/>
    <w:rsid w:val="701B3443"/>
    <w:rsid w:val="70397D66"/>
    <w:rsid w:val="704F6EF5"/>
    <w:rsid w:val="705C5BF0"/>
    <w:rsid w:val="706D6A0B"/>
    <w:rsid w:val="706F2DB2"/>
    <w:rsid w:val="707447BA"/>
    <w:rsid w:val="707A385E"/>
    <w:rsid w:val="7090587A"/>
    <w:rsid w:val="7096140F"/>
    <w:rsid w:val="70990E37"/>
    <w:rsid w:val="709B0167"/>
    <w:rsid w:val="70A15901"/>
    <w:rsid w:val="70B920AD"/>
    <w:rsid w:val="70BC3F81"/>
    <w:rsid w:val="70C3247F"/>
    <w:rsid w:val="70C80216"/>
    <w:rsid w:val="70D647FB"/>
    <w:rsid w:val="70DB059A"/>
    <w:rsid w:val="70DF7B65"/>
    <w:rsid w:val="70E55590"/>
    <w:rsid w:val="70EE7E0F"/>
    <w:rsid w:val="70F41171"/>
    <w:rsid w:val="71002089"/>
    <w:rsid w:val="71285179"/>
    <w:rsid w:val="712B65B2"/>
    <w:rsid w:val="714D5707"/>
    <w:rsid w:val="715E5BB8"/>
    <w:rsid w:val="716463AF"/>
    <w:rsid w:val="71656EF1"/>
    <w:rsid w:val="716E25AF"/>
    <w:rsid w:val="717704E1"/>
    <w:rsid w:val="717E72C5"/>
    <w:rsid w:val="718334A7"/>
    <w:rsid w:val="718A152F"/>
    <w:rsid w:val="71994CA2"/>
    <w:rsid w:val="71BD32E1"/>
    <w:rsid w:val="71C142C8"/>
    <w:rsid w:val="71C4125D"/>
    <w:rsid w:val="71DB168C"/>
    <w:rsid w:val="71E32728"/>
    <w:rsid w:val="71E57342"/>
    <w:rsid w:val="71E91071"/>
    <w:rsid w:val="71EF190F"/>
    <w:rsid w:val="71EF4A75"/>
    <w:rsid w:val="71F85026"/>
    <w:rsid w:val="72140F74"/>
    <w:rsid w:val="72173CEE"/>
    <w:rsid w:val="722839B2"/>
    <w:rsid w:val="72290004"/>
    <w:rsid w:val="7229687D"/>
    <w:rsid w:val="72367AF2"/>
    <w:rsid w:val="725B32EE"/>
    <w:rsid w:val="72670D4C"/>
    <w:rsid w:val="726C69ED"/>
    <w:rsid w:val="726E38F3"/>
    <w:rsid w:val="7283018B"/>
    <w:rsid w:val="72883731"/>
    <w:rsid w:val="728A0AAC"/>
    <w:rsid w:val="729171D5"/>
    <w:rsid w:val="72940C56"/>
    <w:rsid w:val="729B1E9E"/>
    <w:rsid w:val="72A02642"/>
    <w:rsid w:val="72A10820"/>
    <w:rsid w:val="72A633D1"/>
    <w:rsid w:val="72A858A1"/>
    <w:rsid w:val="72C01991"/>
    <w:rsid w:val="72C06B95"/>
    <w:rsid w:val="72D92B78"/>
    <w:rsid w:val="72D93FA6"/>
    <w:rsid w:val="72DA1E1E"/>
    <w:rsid w:val="72E34F79"/>
    <w:rsid w:val="72E43459"/>
    <w:rsid w:val="72F17EEE"/>
    <w:rsid w:val="72F50688"/>
    <w:rsid w:val="72F91B9E"/>
    <w:rsid w:val="72F95FAA"/>
    <w:rsid w:val="73001C4A"/>
    <w:rsid w:val="731073B9"/>
    <w:rsid w:val="73114B08"/>
    <w:rsid w:val="732717D8"/>
    <w:rsid w:val="73273C28"/>
    <w:rsid w:val="735018BD"/>
    <w:rsid w:val="73575B28"/>
    <w:rsid w:val="73731B52"/>
    <w:rsid w:val="737679C4"/>
    <w:rsid w:val="73787F0F"/>
    <w:rsid w:val="73794E03"/>
    <w:rsid w:val="738C6DD2"/>
    <w:rsid w:val="739056BE"/>
    <w:rsid w:val="739B066F"/>
    <w:rsid w:val="73A76ADE"/>
    <w:rsid w:val="73A80BD0"/>
    <w:rsid w:val="73A90D65"/>
    <w:rsid w:val="73AD53A9"/>
    <w:rsid w:val="73C6568E"/>
    <w:rsid w:val="73DD4EAC"/>
    <w:rsid w:val="73E306CA"/>
    <w:rsid w:val="73E74000"/>
    <w:rsid w:val="74037F03"/>
    <w:rsid w:val="74074A64"/>
    <w:rsid w:val="74082B41"/>
    <w:rsid w:val="740C7A9E"/>
    <w:rsid w:val="740F44CA"/>
    <w:rsid w:val="7425246F"/>
    <w:rsid w:val="742B525B"/>
    <w:rsid w:val="742F2A4B"/>
    <w:rsid w:val="742F76B1"/>
    <w:rsid w:val="743B53B0"/>
    <w:rsid w:val="743C2802"/>
    <w:rsid w:val="745C3E68"/>
    <w:rsid w:val="745E7258"/>
    <w:rsid w:val="74625A60"/>
    <w:rsid w:val="7468236A"/>
    <w:rsid w:val="746E0D77"/>
    <w:rsid w:val="747177FD"/>
    <w:rsid w:val="749F7D6A"/>
    <w:rsid w:val="74A107B4"/>
    <w:rsid w:val="74A36B4B"/>
    <w:rsid w:val="74AB0875"/>
    <w:rsid w:val="74B43AE9"/>
    <w:rsid w:val="74C06305"/>
    <w:rsid w:val="74C245DD"/>
    <w:rsid w:val="74C859DC"/>
    <w:rsid w:val="74D17EA3"/>
    <w:rsid w:val="74D27C5C"/>
    <w:rsid w:val="74D56844"/>
    <w:rsid w:val="74F01624"/>
    <w:rsid w:val="74F312F3"/>
    <w:rsid w:val="74F44B48"/>
    <w:rsid w:val="75052326"/>
    <w:rsid w:val="750F12F1"/>
    <w:rsid w:val="75152161"/>
    <w:rsid w:val="751E3E3B"/>
    <w:rsid w:val="752175BA"/>
    <w:rsid w:val="75404338"/>
    <w:rsid w:val="75487E60"/>
    <w:rsid w:val="75492247"/>
    <w:rsid w:val="754E350B"/>
    <w:rsid w:val="755D1DF0"/>
    <w:rsid w:val="755F1B8B"/>
    <w:rsid w:val="756026BA"/>
    <w:rsid w:val="7566208E"/>
    <w:rsid w:val="756809B4"/>
    <w:rsid w:val="756F6CE4"/>
    <w:rsid w:val="758D2505"/>
    <w:rsid w:val="758F3067"/>
    <w:rsid w:val="75A1607F"/>
    <w:rsid w:val="75A371E3"/>
    <w:rsid w:val="75A90571"/>
    <w:rsid w:val="75B549F1"/>
    <w:rsid w:val="75B5638C"/>
    <w:rsid w:val="75BD6728"/>
    <w:rsid w:val="75C10E51"/>
    <w:rsid w:val="75CC73A2"/>
    <w:rsid w:val="75CD472A"/>
    <w:rsid w:val="75D04983"/>
    <w:rsid w:val="75D97853"/>
    <w:rsid w:val="75DA0A02"/>
    <w:rsid w:val="75DB2AFB"/>
    <w:rsid w:val="75DC36E2"/>
    <w:rsid w:val="75E32E4A"/>
    <w:rsid w:val="75E605FD"/>
    <w:rsid w:val="75E6391D"/>
    <w:rsid w:val="75EC0818"/>
    <w:rsid w:val="75EF1721"/>
    <w:rsid w:val="75F70372"/>
    <w:rsid w:val="75F93DE6"/>
    <w:rsid w:val="75FA5BA0"/>
    <w:rsid w:val="762153E4"/>
    <w:rsid w:val="76265D70"/>
    <w:rsid w:val="76272B72"/>
    <w:rsid w:val="762B1F97"/>
    <w:rsid w:val="763D1C61"/>
    <w:rsid w:val="76403D56"/>
    <w:rsid w:val="765174A9"/>
    <w:rsid w:val="76592168"/>
    <w:rsid w:val="765C603F"/>
    <w:rsid w:val="765F3BDB"/>
    <w:rsid w:val="767B37A1"/>
    <w:rsid w:val="7680422A"/>
    <w:rsid w:val="7693549D"/>
    <w:rsid w:val="769578A8"/>
    <w:rsid w:val="7699206B"/>
    <w:rsid w:val="769E6540"/>
    <w:rsid w:val="76A16327"/>
    <w:rsid w:val="76AA2A8A"/>
    <w:rsid w:val="76AD0D87"/>
    <w:rsid w:val="76B312DB"/>
    <w:rsid w:val="76B55CFF"/>
    <w:rsid w:val="76BB3AD8"/>
    <w:rsid w:val="76C229D7"/>
    <w:rsid w:val="76D46C00"/>
    <w:rsid w:val="76D718D7"/>
    <w:rsid w:val="76D75CD8"/>
    <w:rsid w:val="76E4280A"/>
    <w:rsid w:val="76EF5542"/>
    <w:rsid w:val="76F13BBD"/>
    <w:rsid w:val="76F2123B"/>
    <w:rsid w:val="76FC074B"/>
    <w:rsid w:val="76FF7A72"/>
    <w:rsid w:val="770A4EDC"/>
    <w:rsid w:val="771616F4"/>
    <w:rsid w:val="7722543B"/>
    <w:rsid w:val="77292260"/>
    <w:rsid w:val="772B2E92"/>
    <w:rsid w:val="77354C24"/>
    <w:rsid w:val="7738100A"/>
    <w:rsid w:val="773D34E9"/>
    <w:rsid w:val="77465310"/>
    <w:rsid w:val="77670EE6"/>
    <w:rsid w:val="77777413"/>
    <w:rsid w:val="7785521F"/>
    <w:rsid w:val="778D3A1F"/>
    <w:rsid w:val="77D319EF"/>
    <w:rsid w:val="77D76A4C"/>
    <w:rsid w:val="77F87DD2"/>
    <w:rsid w:val="78003E45"/>
    <w:rsid w:val="780F33AD"/>
    <w:rsid w:val="781B0F3A"/>
    <w:rsid w:val="781C2616"/>
    <w:rsid w:val="781F6D5E"/>
    <w:rsid w:val="78226EDA"/>
    <w:rsid w:val="7829419B"/>
    <w:rsid w:val="78322781"/>
    <w:rsid w:val="78363A24"/>
    <w:rsid w:val="78383A2D"/>
    <w:rsid w:val="784268BE"/>
    <w:rsid w:val="784E3F9B"/>
    <w:rsid w:val="78561D88"/>
    <w:rsid w:val="78580500"/>
    <w:rsid w:val="785E60CD"/>
    <w:rsid w:val="78760176"/>
    <w:rsid w:val="787A39E2"/>
    <w:rsid w:val="788067F2"/>
    <w:rsid w:val="788E3912"/>
    <w:rsid w:val="78994534"/>
    <w:rsid w:val="789F6C34"/>
    <w:rsid w:val="78A44AAA"/>
    <w:rsid w:val="78AE7D97"/>
    <w:rsid w:val="78CB09C1"/>
    <w:rsid w:val="78CB709E"/>
    <w:rsid w:val="78D21C11"/>
    <w:rsid w:val="78D3635B"/>
    <w:rsid w:val="78DB5D00"/>
    <w:rsid w:val="78DB7A26"/>
    <w:rsid w:val="78DD5854"/>
    <w:rsid w:val="78DE1A3F"/>
    <w:rsid w:val="78DE1D61"/>
    <w:rsid w:val="78EE0DAC"/>
    <w:rsid w:val="78F02E36"/>
    <w:rsid w:val="78FD68D3"/>
    <w:rsid w:val="79050360"/>
    <w:rsid w:val="790D12E8"/>
    <w:rsid w:val="790D449D"/>
    <w:rsid w:val="792E73C6"/>
    <w:rsid w:val="795107AD"/>
    <w:rsid w:val="79532B77"/>
    <w:rsid w:val="79576A35"/>
    <w:rsid w:val="795E37D1"/>
    <w:rsid w:val="79705938"/>
    <w:rsid w:val="7970739B"/>
    <w:rsid w:val="79746C17"/>
    <w:rsid w:val="79820F9B"/>
    <w:rsid w:val="79C23FE1"/>
    <w:rsid w:val="79C603BA"/>
    <w:rsid w:val="79CC1CE2"/>
    <w:rsid w:val="79CC38C5"/>
    <w:rsid w:val="79CD4610"/>
    <w:rsid w:val="79CD54BC"/>
    <w:rsid w:val="79D30A41"/>
    <w:rsid w:val="79E4770A"/>
    <w:rsid w:val="79FA1254"/>
    <w:rsid w:val="79FE22DC"/>
    <w:rsid w:val="7A0B361E"/>
    <w:rsid w:val="7A0F77AD"/>
    <w:rsid w:val="7A111E97"/>
    <w:rsid w:val="7A1B38F0"/>
    <w:rsid w:val="7A263317"/>
    <w:rsid w:val="7A316066"/>
    <w:rsid w:val="7A3321AC"/>
    <w:rsid w:val="7A361AAC"/>
    <w:rsid w:val="7A3C4768"/>
    <w:rsid w:val="7A487D58"/>
    <w:rsid w:val="7A4B0019"/>
    <w:rsid w:val="7A506EB7"/>
    <w:rsid w:val="7A592C88"/>
    <w:rsid w:val="7A5D6E7A"/>
    <w:rsid w:val="7A722668"/>
    <w:rsid w:val="7A745B94"/>
    <w:rsid w:val="7A786973"/>
    <w:rsid w:val="7A7F4724"/>
    <w:rsid w:val="7A843877"/>
    <w:rsid w:val="7A8733E2"/>
    <w:rsid w:val="7A881E06"/>
    <w:rsid w:val="7A8A159D"/>
    <w:rsid w:val="7A935C50"/>
    <w:rsid w:val="7A9A4994"/>
    <w:rsid w:val="7AB2017D"/>
    <w:rsid w:val="7AC37F81"/>
    <w:rsid w:val="7AC745C7"/>
    <w:rsid w:val="7AC83B2D"/>
    <w:rsid w:val="7ACD4741"/>
    <w:rsid w:val="7ACD72E6"/>
    <w:rsid w:val="7AD27332"/>
    <w:rsid w:val="7AF163CB"/>
    <w:rsid w:val="7AF3468F"/>
    <w:rsid w:val="7AF36A82"/>
    <w:rsid w:val="7AF94FE4"/>
    <w:rsid w:val="7B082C6F"/>
    <w:rsid w:val="7B0D6C74"/>
    <w:rsid w:val="7B1D3413"/>
    <w:rsid w:val="7B250829"/>
    <w:rsid w:val="7B2C5B69"/>
    <w:rsid w:val="7B36559F"/>
    <w:rsid w:val="7B39610A"/>
    <w:rsid w:val="7B3B6C24"/>
    <w:rsid w:val="7B483966"/>
    <w:rsid w:val="7B4A3BD6"/>
    <w:rsid w:val="7B4B3FDA"/>
    <w:rsid w:val="7B506CF3"/>
    <w:rsid w:val="7B5A2C8C"/>
    <w:rsid w:val="7B5E2D6E"/>
    <w:rsid w:val="7B7608D6"/>
    <w:rsid w:val="7B8B20C2"/>
    <w:rsid w:val="7B922B07"/>
    <w:rsid w:val="7BA0723A"/>
    <w:rsid w:val="7BAB542E"/>
    <w:rsid w:val="7BB20440"/>
    <w:rsid w:val="7BBD3350"/>
    <w:rsid w:val="7BEC4031"/>
    <w:rsid w:val="7BEE2BEA"/>
    <w:rsid w:val="7BEF2CA2"/>
    <w:rsid w:val="7BF20003"/>
    <w:rsid w:val="7BF52432"/>
    <w:rsid w:val="7BF83D2F"/>
    <w:rsid w:val="7C09602F"/>
    <w:rsid w:val="7C15735A"/>
    <w:rsid w:val="7C1A325D"/>
    <w:rsid w:val="7C2F5BC7"/>
    <w:rsid w:val="7C4351C0"/>
    <w:rsid w:val="7C484047"/>
    <w:rsid w:val="7C4B0718"/>
    <w:rsid w:val="7C5D08F3"/>
    <w:rsid w:val="7C5D51D4"/>
    <w:rsid w:val="7C5F37AC"/>
    <w:rsid w:val="7C616302"/>
    <w:rsid w:val="7C68323B"/>
    <w:rsid w:val="7C6E1CB8"/>
    <w:rsid w:val="7C702D9E"/>
    <w:rsid w:val="7C742DE4"/>
    <w:rsid w:val="7C746F10"/>
    <w:rsid w:val="7C7C01A9"/>
    <w:rsid w:val="7C7D4FF3"/>
    <w:rsid w:val="7C871CC1"/>
    <w:rsid w:val="7C8E0290"/>
    <w:rsid w:val="7C9F2D84"/>
    <w:rsid w:val="7CA908A7"/>
    <w:rsid w:val="7CAC4D90"/>
    <w:rsid w:val="7CB067ED"/>
    <w:rsid w:val="7CB312F3"/>
    <w:rsid w:val="7CBE089F"/>
    <w:rsid w:val="7CDF7C47"/>
    <w:rsid w:val="7CE86459"/>
    <w:rsid w:val="7CEE6A0E"/>
    <w:rsid w:val="7CF73118"/>
    <w:rsid w:val="7CF7594D"/>
    <w:rsid w:val="7CFA7998"/>
    <w:rsid w:val="7CFD0BCA"/>
    <w:rsid w:val="7D043F61"/>
    <w:rsid w:val="7D0C727B"/>
    <w:rsid w:val="7D172F70"/>
    <w:rsid w:val="7D211B53"/>
    <w:rsid w:val="7D2634A5"/>
    <w:rsid w:val="7D2A46E9"/>
    <w:rsid w:val="7D2E068F"/>
    <w:rsid w:val="7D3B2822"/>
    <w:rsid w:val="7D410242"/>
    <w:rsid w:val="7D527271"/>
    <w:rsid w:val="7D6F401F"/>
    <w:rsid w:val="7D737AB6"/>
    <w:rsid w:val="7D8622A6"/>
    <w:rsid w:val="7D87797E"/>
    <w:rsid w:val="7D8A559C"/>
    <w:rsid w:val="7D943A85"/>
    <w:rsid w:val="7DA05576"/>
    <w:rsid w:val="7DA127E5"/>
    <w:rsid w:val="7DAE78A7"/>
    <w:rsid w:val="7DBE0BD5"/>
    <w:rsid w:val="7DD5221B"/>
    <w:rsid w:val="7DD91C0C"/>
    <w:rsid w:val="7DDD76A5"/>
    <w:rsid w:val="7DE72CA0"/>
    <w:rsid w:val="7DE91FA1"/>
    <w:rsid w:val="7DEA58F7"/>
    <w:rsid w:val="7DFA0DF1"/>
    <w:rsid w:val="7DFB23D5"/>
    <w:rsid w:val="7DFC0BF0"/>
    <w:rsid w:val="7E0B7189"/>
    <w:rsid w:val="7E1279A9"/>
    <w:rsid w:val="7E234A38"/>
    <w:rsid w:val="7E273413"/>
    <w:rsid w:val="7E2D4440"/>
    <w:rsid w:val="7E3E75A6"/>
    <w:rsid w:val="7E447613"/>
    <w:rsid w:val="7E45714A"/>
    <w:rsid w:val="7E47703A"/>
    <w:rsid w:val="7E516DCD"/>
    <w:rsid w:val="7E554D9D"/>
    <w:rsid w:val="7E5579B2"/>
    <w:rsid w:val="7E6204D9"/>
    <w:rsid w:val="7E6A73BF"/>
    <w:rsid w:val="7E6D565C"/>
    <w:rsid w:val="7E772F4B"/>
    <w:rsid w:val="7E7A465F"/>
    <w:rsid w:val="7E7A61FF"/>
    <w:rsid w:val="7E7E2937"/>
    <w:rsid w:val="7E877484"/>
    <w:rsid w:val="7E8D05A8"/>
    <w:rsid w:val="7E915ACC"/>
    <w:rsid w:val="7EA01841"/>
    <w:rsid w:val="7EA647A3"/>
    <w:rsid w:val="7EA77290"/>
    <w:rsid w:val="7EB079B7"/>
    <w:rsid w:val="7EBB107C"/>
    <w:rsid w:val="7EBC7278"/>
    <w:rsid w:val="7EBD792C"/>
    <w:rsid w:val="7EC567A8"/>
    <w:rsid w:val="7ECD14A2"/>
    <w:rsid w:val="7ED213CD"/>
    <w:rsid w:val="7ED56F98"/>
    <w:rsid w:val="7EDB7FE5"/>
    <w:rsid w:val="7EDF5BE0"/>
    <w:rsid w:val="7EE13440"/>
    <w:rsid w:val="7EED6FB0"/>
    <w:rsid w:val="7EF5076D"/>
    <w:rsid w:val="7EF663A5"/>
    <w:rsid w:val="7F0672BA"/>
    <w:rsid w:val="7F1410BB"/>
    <w:rsid w:val="7F174EB2"/>
    <w:rsid w:val="7F1E16FA"/>
    <w:rsid w:val="7F204924"/>
    <w:rsid w:val="7F227F6E"/>
    <w:rsid w:val="7F2C6C36"/>
    <w:rsid w:val="7F304647"/>
    <w:rsid w:val="7F347A46"/>
    <w:rsid w:val="7F355062"/>
    <w:rsid w:val="7F43693B"/>
    <w:rsid w:val="7F4570DC"/>
    <w:rsid w:val="7F571A13"/>
    <w:rsid w:val="7F6668EA"/>
    <w:rsid w:val="7F6C3162"/>
    <w:rsid w:val="7F7570C2"/>
    <w:rsid w:val="7F816C9D"/>
    <w:rsid w:val="7FA27176"/>
    <w:rsid w:val="7FA62660"/>
    <w:rsid w:val="7FAF4A9D"/>
    <w:rsid w:val="7FBA0843"/>
    <w:rsid w:val="7FCA4665"/>
    <w:rsid w:val="7FCA65EB"/>
    <w:rsid w:val="7FD051A1"/>
    <w:rsid w:val="7FD1652F"/>
    <w:rsid w:val="7FDB6636"/>
    <w:rsid w:val="7FE869FE"/>
    <w:rsid w:val="7FE91DEE"/>
    <w:rsid w:val="7FEF6B28"/>
    <w:rsid w:val="7FFE0C1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qFormat="1" w:unhideWhenUsed="0" w:uiPriority="0" w:semiHidden="0"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qFormat="1" w:unhideWhenUsed="0" w:uiPriority="99" w:semiHidden="0" w:name="Closing"/>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0" w:semiHidden="0" w:name="Body Text First Indent" w:locked="1"/>
    <w:lsdException w:qFormat="1" w:unhideWhenUsed="0" w:uiPriority="99" w:semiHidden="0"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0" w:semiHidden="0"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qFormat="1" w:unhideWhenUsed="0" w:uiPriority="99" w:semiHidden="0" w:name="HTML Code" w:locked="1"/>
    <w:lsdException w:qFormat="1" w:unhideWhenUsed="0" w:uiPriority="99" w:semiHidden="0" w:name="HTML Definition" w:locked="1"/>
    <w:lsdException w:qFormat="1" w:unhideWhenUsed="0" w:uiPriority="99" w:semiHidden="0" w:name="HTML Keyboard" w:locked="1"/>
    <w:lsdException w:uiPriority="99" w:name="HTML Preformatted" w:locked="1"/>
    <w:lsdException w:qFormat="1" w:unhideWhenUsed="0" w:uiPriority="99" w:semiHidden="0"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left"/>
    </w:pPr>
    <w:rPr>
      <w:rFonts w:ascii="宋体" w:hAnsi="宋体" w:eastAsia="宋体" w:cs="Times New Roman"/>
      <w:kern w:val="2"/>
      <w:sz w:val="21"/>
      <w:szCs w:val="28"/>
      <w:lang w:val="en-US" w:eastAsia="zh-CN" w:bidi="ar-SA"/>
    </w:rPr>
  </w:style>
  <w:style w:type="paragraph" w:styleId="7">
    <w:name w:val="heading 1"/>
    <w:basedOn w:val="1"/>
    <w:next w:val="1"/>
    <w:link w:val="57"/>
    <w:qFormat/>
    <w:uiPriority w:val="99"/>
    <w:pPr>
      <w:keepNext/>
      <w:keepLines/>
      <w:spacing w:before="340" w:after="330" w:line="578" w:lineRule="auto"/>
      <w:jc w:val="center"/>
      <w:outlineLvl w:val="0"/>
    </w:pPr>
    <w:rPr>
      <w:rFonts w:ascii="宋体" w:hAnsi="宋体" w:eastAsia="宋体"/>
      <w:b/>
      <w:bCs/>
      <w:kern w:val="44"/>
      <w:sz w:val="30"/>
      <w:szCs w:val="44"/>
    </w:rPr>
  </w:style>
  <w:style w:type="paragraph" w:styleId="8">
    <w:name w:val="heading 2"/>
    <w:basedOn w:val="1"/>
    <w:next w:val="1"/>
    <w:link w:val="58"/>
    <w:qFormat/>
    <w:uiPriority w:val="99"/>
    <w:pPr>
      <w:keepNext/>
      <w:keepLines/>
      <w:spacing w:before="260" w:after="260" w:line="415" w:lineRule="auto"/>
      <w:outlineLvl w:val="1"/>
    </w:pPr>
    <w:rPr>
      <w:rFonts w:ascii="Cambria" w:hAnsi="Cambria"/>
      <w:b/>
      <w:bCs/>
      <w:kern w:val="0"/>
      <w:sz w:val="32"/>
      <w:szCs w:val="32"/>
    </w:rPr>
  </w:style>
  <w:style w:type="paragraph" w:styleId="9">
    <w:name w:val="heading 3"/>
    <w:basedOn w:val="8"/>
    <w:next w:val="1"/>
    <w:link w:val="59"/>
    <w:qFormat/>
    <w:uiPriority w:val="99"/>
    <w:pPr>
      <w:spacing w:line="416" w:lineRule="auto"/>
      <w:outlineLvl w:val="2"/>
    </w:pPr>
    <w:rPr>
      <w:rFonts w:ascii="Times New Roman" w:hAnsi="Times New Roman"/>
    </w:rPr>
  </w:style>
  <w:style w:type="paragraph" w:styleId="10">
    <w:name w:val="heading 4"/>
    <w:basedOn w:val="1"/>
    <w:next w:val="1"/>
    <w:link w:val="60"/>
    <w:qFormat/>
    <w:uiPriority w:val="99"/>
    <w:pPr>
      <w:keepNext/>
      <w:keepLines/>
      <w:spacing w:before="280" w:after="290" w:line="376" w:lineRule="auto"/>
      <w:outlineLvl w:val="3"/>
    </w:pPr>
    <w:rPr>
      <w:rFonts w:ascii="Cambria" w:hAnsi="Cambria"/>
      <w:b/>
      <w:bCs/>
      <w:kern w:val="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5"/>
    <w:link w:val="62"/>
    <w:qFormat/>
    <w:locked/>
    <w:uiPriority w:val="99"/>
    <w:pPr>
      <w:spacing w:after="120"/>
      <w:ind w:left="420" w:firstLine="420"/>
    </w:pPr>
    <w:rPr>
      <w:rFonts w:cs="Arial Unicode MS"/>
      <w:color w:val="000000"/>
      <w:spacing w:val="-4"/>
      <w:kern w:val="2"/>
      <w:sz w:val="21"/>
      <w:szCs w:val="21"/>
    </w:rPr>
  </w:style>
  <w:style w:type="paragraph" w:styleId="3">
    <w:name w:val="Body Text Indent"/>
    <w:basedOn w:val="1"/>
    <w:next w:val="4"/>
    <w:link w:val="61"/>
    <w:qFormat/>
    <w:uiPriority w:val="99"/>
    <w:pPr>
      <w:spacing w:line="200" w:lineRule="atLeast"/>
      <w:ind w:firstLine="301"/>
    </w:pPr>
    <w:rPr>
      <w:kern w:val="0"/>
      <w:sz w:val="24"/>
      <w:szCs w:val="24"/>
    </w:rPr>
  </w:style>
  <w:style w:type="paragraph" w:styleId="4">
    <w:name w:val="envelope return"/>
    <w:basedOn w:val="1"/>
    <w:qFormat/>
    <w:locked/>
    <w:uiPriority w:val="0"/>
    <w:pPr>
      <w:adjustRightInd w:val="0"/>
      <w:snapToGrid w:val="0"/>
      <w:spacing w:line="360" w:lineRule="auto"/>
      <w:textAlignment w:val="baseline"/>
    </w:pPr>
    <w:rPr>
      <w:rFonts w:ascii="Arial" w:hAnsi="Arial" w:eastAsia="仿宋" w:cs="Arial"/>
      <w:kern w:val="0"/>
      <w:sz w:val="28"/>
      <w:szCs w:val="21"/>
    </w:rPr>
  </w:style>
  <w:style w:type="paragraph" w:styleId="5">
    <w:name w:val="Body Text First Indent"/>
    <w:basedOn w:val="1"/>
    <w:next w:val="6"/>
    <w:qFormat/>
    <w:locked/>
    <w:uiPriority w:val="0"/>
    <w:pPr>
      <w:autoSpaceDE w:val="0"/>
      <w:autoSpaceDN w:val="0"/>
      <w:adjustRightInd w:val="0"/>
      <w:ind w:firstLine="420" w:firstLineChars="100"/>
      <w:jc w:val="left"/>
    </w:pPr>
    <w:rPr>
      <w:rFonts w:ascii="仿宋_GB2312" w:hAnsi="Calibri"/>
      <w:b/>
      <w:kern w:val="0"/>
      <w:sz w:val="32"/>
      <w:szCs w:val="32"/>
    </w:rPr>
  </w:style>
  <w:style w:type="paragraph" w:styleId="6">
    <w:name w:val="toc 6"/>
    <w:basedOn w:val="1"/>
    <w:next w:val="1"/>
    <w:semiHidden/>
    <w:qFormat/>
    <w:uiPriority w:val="99"/>
    <w:pPr>
      <w:ind w:left="2100" w:leftChars="1000"/>
    </w:pPr>
  </w:style>
  <w:style w:type="paragraph" w:styleId="11">
    <w:name w:val="toc 7"/>
    <w:basedOn w:val="1"/>
    <w:next w:val="1"/>
    <w:semiHidden/>
    <w:qFormat/>
    <w:uiPriority w:val="99"/>
    <w:pPr>
      <w:ind w:left="2520" w:leftChars="1200"/>
    </w:pPr>
  </w:style>
  <w:style w:type="paragraph" w:styleId="12">
    <w:name w:val="List Number"/>
    <w:basedOn w:val="1"/>
    <w:qFormat/>
    <w:uiPriority w:val="99"/>
    <w:pPr>
      <w:widowControl/>
      <w:tabs>
        <w:tab w:val="left" w:pos="454"/>
        <w:tab w:val="left" w:pos="720"/>
      </w:tabs>
      <w:spacing w:afterLines="50"/>
      <w:ind w:left="454" w:hanging="284"/>
      <w:jc w:val="left"/>
    </w:pPr>
    <w:rPr>
      <w:kern w:val="0"/>
      <w:sz w:val="24"/>
      <w:szCs w:val="24"/>
    </w:rPr>
  </w:style>
  <w:style w:type="paragraph" w:styleId="13">
    <w:name w:val="Normal Indent"/>
    <w:basedOn w:val="1"/>
    <w:next w:val="1"/>
    <w:link w:val="78"/>
    <w:qFormat/>
    <w:uiPriority w:val="99"/>
    <w:pPr>
      <w:ind w:firstLine="420"/>
    </w:pPr>
    <w:rPr>
      <w:sz w:val="21"/>
      <w:szCs w:val="20"/>
    </w:rPr>
  </w:style>
  <w:style w:type="paragraph" w:styleId="14">
    <w:name w:val="caption"/>
    <w:basedOn w:val="1"/>
    <w:next w:val="1"/>
    <w:qFormat/>
    <w:uiPriority w:val="99"/>
    <w:pPr>
      <w:spacing w:before="152" w:after="160"/>
    </w:pPr>
    <w:rPr>
      <w:rFonts w:ascii="Arial" w:hAnsi="Arial" w:eastAsia="黑体" w:cs="Arial"/>
      <w:sz w:val="20"/>
      <w:szCs w:val="20"/>
    </w:rPr>
  </w:style>
  <w:style w:type="paragraph" w:styleId="15">
    <w:name w:val="List Bullet"/>
    <w:basedOn w:val="1"/>
    <w:qFormat/>
    <w:uiPriority w:val="99"/>
    <w:pPr>
      <w:spacing w:line="360" w:lineRule="auto"/>
    </w:pPr>
    <w:rPr>
      <w:rFonts w:ascii="宋体" w:hAnsi="宋体" w:cs="宋体"/>
      <w:sz w:val="18"/>
      <w:szCs w:val="18"/>
    </w:rPr>
  </w:style>
  <w:style w:type="paragraph" w:styleId="16">
    <w:name w:val="Document Map"/>
    <w:basedOn w:val="1"/>
    <w:link w:val="63"/>
    <w:semiHidden/>
    <w:qFormat/>
    <w:uiPriority w:val="99"/>
    <w:pPr>
      <w:shd w:val="clear" w:color="auto" w:fill="000080"/>
    </w:pPr>
    <w:rPr>
      <w:kern w:val="0"/>
      <w:sz w:val="2"/>
      <w:szCs w:val="2"/>
    </w:rPr>
  </w:style>
  <w:style w:type="paragraph" w:styleId="17">
    <w:name w:val="annotation text"/>
    <w:basedOn w:val="1"/>
    <w:link w:val="64"/>
    <w:qFormat/>
    <w:uiPriority w:val="99"/>
    <w:pPr>
      <w:jc w:val="left"/>
    </w:pPr>
    <w:rPr>
      <w:kern w:val="0"/>
      <w:sz w:val="24"/>
      <w:szCs w:val="24"/>
    </w:rPr>
  </w:style>
  <w:style w:type="paragraph" w:styleId="18">
    <w:name w:val="Body Text 3"/>
    <w:basedOn w:val="1"/>
    <w:link w:val="65"/>
    <w:qFormat/>
    <w:uiPriority w:val="99"/>
    <w:pPr>
      <w:snapToGrid w:val="0"/>
      <w:spacing w:before="50" w:after="50"/>
    </w:pPr>
    <w:rPr>
      <w:kern w:val="0"/>
      <w:sz w:val="16"/>
      <w:szCs w:val="16"/>
    </w:rPr>
  </w:style>
  <w:style w:type="paragraph" w:styleId="19">
    <w:name w:val="Closing"/>
    <w:basedOn w:val="1"/>
    <w:link w:val="66"/>
    <w:qFormat/>
    <w:uiPriority w:val="99"/>
    <w:pPr>
      <w:ind w:left="100" w:leftChars="2100"/>
    </w:pPr>
    <w:rPr>
      <w:kern w:val="0"/>
      <w:sz w:val="24"/>
      <w:szCs w:val="24"/>
    </w:rPr>
  </w:style>
  <w:style w:type="paragraph" w:styleId="20">
    <w:name w:val="Body Text"/>
    <w:basedOn w:val="1"/>
    <w:next w:val="5"/>
    <w:link w:val="67"/>
    <w:qFormat/>
    <w:uiPriority w:val="99"/>
    <w:pPr>
      <w:spacing w:after="120"/>
    </w:pPr>
    <w:rPr>
      <w:kern w:val="0"/>
      <w:sz w:val="24"/>
      <w:szCs w:val="24"/>
    </w:rPr>
  </w:style>
  <w:style w:type="paragraph" w:styleId="21">
    <w:name w:val="List Number 3"/>
    <w:basedOn w:val="1"/>
    <w:qFormat/>
    <w:uiPriority w:val="99"/>
    <w:pPr>
      <w:tabs>
        <w:tab w:val="left" w:pos="1200"/>
      </w:tabs>
      <w:ind w:left="720" w:hanging="360"/>
    </w:pPr>
    <w:rPr>
      <w:sz w:val="21"/>
      <w:szCs w:val="21"/>
    </w:rPr>
  </w:style>
  <w:style w:type="paragraph" w:styleId="22">
    <w:name w:val="List 2"/>
    <w:basedOn w:val="1"/>
    <w:qFormat/>
    <w:uiPriority w:val="99"/>
    <w:pPr>
      <w:ind w:left="200" w:leftChars="200" w:hanging="200" w:hangingChars="200"/>
    </w:pPr>
  </w:style>
  <w:style w:type="paragraph" w:styleId="23">
    <w:name w:val="toc 5"/>
    <w:basedOn w:val="1"/>
    <w:next w:val="1"/>
    <w:semiHidden/>
    <w:qFormat/>
    <w:uiPriority w:val="99"/>
    <w:pPr>
      <w:ind w:left="1680" w:leftChars="800"/>
    </w:pPr>
  </w:style>
  <w:style w:type="paragraph" w:styleId="24">
    <w:name w:val="toc 3"/>
    <w:basedOn w:val="1"/>
    <w:next w:val="1"/>
    <w:semiHidden/>
    <w:qFormat/>
    <w:uiPriority w:val="99"/>
    <w:pPr>
      <w:ind w:left="840" w:leftChars="400"/>
    </w:pPr>
  </w:style>
  <w:style w:type="paragraph" w:styleId="25">
    <w:name w:val="Plain Text"/>
    <w:basedOn w:val="1"/>
    <w:next w:val="13"/>
    <w:link w:val="68"/>
    <w:qFormat/>
    <w:uiPriority w:val="99"/>
    <w:pPr>
      <w:spacing w:beforeLines="50" w:afterLines="50" w:line="400" w:lineRule="atLeast"/>
    </w:pPr>
    <w:rPr>
      <w:rFonts w:ascii="宋体" w:hAnsi="Courier New"/>
      <w:sz w:val="24"/>
      <w:szCs w:val="24"/>
    </w:rPr>
  </w:style>
  <w:style w:type="paragraph" w:styleId="26">
    <w:name w:val="toc 8"/>
    <w:basedOn w:val="1"/>
    <w:next w:val="1"/>
    <w:semiHidden/>
    <w:qFormat/>
    <w:uiPriority w:val="99"/>
    <w:pPr>
      <w:ind w:left="2940" w:leftChars="1400"/>
    </w:pPr>
  </w:style>
  <w:style w:type="paragraph" w:styleId="27">
    <w:name w:val="Date"/>
    <w:basedOn w:val="1"/>
    <w:next w:val="1"/>
    <w:link w:val="69"/>
    <w:qFormat/>
    <w:uiPriority w:val="99"/>
    <w:pPr>
      <w:ind w:left="2500" w:leftChars="2500"/>
    </w:pPr>
    <w:rPr>
      <w:kern w:val="0"/>
      <w:sz w:val="24"/>
      <w:szCs w:val="24"/>
    </w:rPr>
  </w:style>
  <w:style w:type="paragraph" w:styleId="28">
    <w:name w:val="Body Text Indent 2"/>
    <w:basedOn w:val="1"/>
    <w:link w:val="70"/>
    <w:qFormat/>
    <w:uiPriority w:val="99"/>
    <w:pPr>
      <w:snapToGrid w:val="0"/>
      <w:ind w:firstLine="542" w:firstLineChars="225"/>
    </w:pPr>
    <w:rPr>
      <w:kern w:val="0"/>
      <w:sz w:val="24"/>
      <w:szCs w:val="24"/>
    </w:rPr>
  </w:style>
  <w:style w:type="paragraph" w:styleId="29">
    <w:name w:val="Balloon Text"/>
    <w:basedOn w:val="1"/>
    <w:link w:val="71"/>
    <w:semiHidden/>
    <w:qFormat/>
    <w:uiPriority w:val="99"/>
    <w:rPr>
      <w:kern w:val="0"/>
      <w:sz w:val="2"/>
      <w:szCs w:val="2"/>
    </w:rPr>
  </w:style>
  <w:style w:type="paragraph" w:styleId="30">
    <w:name w:val="footer"/>
    <w:basedOn w:val="1"/>
    <w:link w:val="72"/>
    <w:qFormat/>
    <w:uiPriority w:val="99"/>
    <w:pPr>
      <w:tabs>
        <w:tab w:val="center" w:pos="4153"/>
        <w:tab w:val="right" w:pos="8306"/>
      </w:tabs>
      <w:snapToGrid w:val="0"/>
      <w:jc w:val="left"/>
    </w:pPr>
    <w:rPr>
      <w:kern w:val="0"/>
      <w:sz w:val="18"/>
      <w:szCs w:val="18"/>
    </w:rPr>
  </w:style>
  <w:style w:type="paragraph" w:styleId="31">
    <w:name w:val="header"/>
    <w:basedOn w:val="1"/>
    <w:link w:val="73"/>
    <w:qFormat/>
    <w:uiPriority w:val="99"/>
    <w:pPr>
      <w:pBdr>
        <w:bottom w:val="single" w:color="auto" w:sz="6" w:space="1"/>
      </w:pBdr>
      <w:tabs>
        <w:tab w:val="center" w:pos="4153"/>
        <w:tab w:val="right" w:pos="8306"/>
      </w:tabs>
      <w:snapToGrid w:val="0"/>
      <w:jc w:val="center"/>
    </w:pPr>
    <w:rPr>
      <w:sz w:val="18"/>
      <w:szCs w:val="18"/>
    </w:rPr>
  </w:style>
  <w:style w:type="paragraph" w:styleId="32">
    <w:name w:val="toc 1"/>
    <w:basedOn w:val="1"/>
    <w:next w:val="1"/>
    <w:qFormat/>
    <w:uiPriority w:val="99"/>
  </w:style>
  <w:style w:type="paragraph" w:styleId="33">
    <w:name w:val="toc 4"/>
    <w:basedOn w:val="1"/>
    <w:next w:val="1"/>
    <w:semiHidden/>
    <w:qFormat/>
    <w:uiPriority w:val="99"/>
    <w:pPr>
      <w:ind w:left="1260" w:leftChars="600"/>
    </w:pPr>
  </w:style>
  <w:style w:type="paragraph" w:styleId="34">
    <w:name w:val="List"/>
    <w:basedOn w:val="1"/>
    <w:qFormat/>
    <w:uiPriority w:val="99"/>
    <w:pPr>
      <w:ind w:left="200" w:hanging="200" w:hangingChars="200"/>
    </w:pPr>
  </w:style>
  <w:style w:type="paragraph" w:styleId="35">
    <w:name w:val="Body Text Indent 3"/>
    <w:basedOn w:val="1"/>
    <w:qFormat/>
    <w:locked/>
    <w:uiPriority w:val="0"/>
    <w:pPr>
      <w:snapToGrid w:val="0"/>
      <w:ind w:firstLine="480" w:firstLineChars="200"/>
      <w:jc w:val="left"/>
    </w:pPr>
    <w:rPr>
      <w:rFonts w:ascii="仿宋_GB2312" w:eastAsia="仿宋_GB2312" w:cs="Times New Roman"/>
      <w:color w:val="000000"/>
      <w:sz w:val="24"/>
    </w:rPr>
  </w:style>
  <w:style w:type="paragraph" w:styleId="36">
    <w:name w:val="toc 2"/>
    <w:basedOn w:val="1"/>
    <w:next w:val="1"/>
    <w:semiHidden/>
    <w:qFormat/>
    <w:uiPriority w:val="99"/>
    <w:pPr>
      <w:ind w:left="420" w:leftChars="200"/>
    </w:pPr>
  </w:style>
  <w:style w:type="paragraph" w:styleId="37">
    <w:name w:val="toc 9"/>
    <w:basedOn w:val="1"/>
    <w:next w:val="1"/>
    <w:semiHidden/>
    <w:qFormat/>
    <w:uiPriority w:val="99"/>
    <w:pPr>
      <w:ind w:left="3360" w:leftChars="1600"/>
    </w:pPr>
  </w:style>
  <w:style w:type="paragraph" w:styleId="38">
    <w:name w:val="Body Text 2"/>
    <w:basedOn w:val="1"/>
    <w:link w:val="74"/>
    <w:qFormat/>
    <w:uiPriority w:val="99"/>
    <w:pPr>
      <w:widowControl/>
      <w:snapToGrid w:val="0"/>
      <w:spacing w:before="50" w:afterLines="50" w:line="400" w:lineRule="atLeast"/>
      <w:jc w:val="left"/>
    </w:pPr>
    <w:rPr>
      <w:kern w:val="0"/>
      <w:sz w:val="24"/>
      <w:szCs w:val="24"/>
    </w:rPr>
  </w:style>
  <w:style w:type="paragraph" w:styleId="39">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40">
    <w:name w:val="Title"/>
    <w:basedOn w:val="1"/>
    <w:link w:val="75"/>
    <w:qFormat/>
    <w:uiPriority w:val="99"/>
    <w:pPr>
      <w:spacing w:before="240" w:after="60"/>
      <w:jc w:val="center"/>
      <w:outlineLvl w:val="0"/>
    </w:pPr>
    <w:rPr>
      <w:rFonts w:ascii="Cambria" w:hAnsi="Cambria"/>
      <w:b/>
      <w:bCs/>
      <w:kern w:val="0"/>
      <w:sz w:val="32"/>
      <w:szCs w:val="32"/>
    </w:rPr>
  </w:style>
  <w:style w:type="paragraph" w:styleId="41">
    <w:name w:val="annotation subject"/>
    <w:basedOn w:val="17"/>
    <w:next w:val="17"/>
    <w:link w:val="76"/>
    <w:semiHidden/>
    <w:qFormat/>
    <w:uiPriority w:val="99"/>
    <w:rPr>
      <w:b/>
      <w:bCs/>
    </w:rPr>
  </w:style>
  <w:style w:type="table" w:styleId="43">
    <w:name w:val="Table Grid"/>
    <w:basedOn w:val="42"/>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99"/>
    <w:rPr>
      <w:rFonts w:cs="Times New Roman"/>
      <w:b/>
    </w:rPr>
  </w:style>
  <w:style w:type="character" w:styleId="46">
    <w:name w:val="page number"/>
    <w:qFormat/>
    <w:uiPriority w:val="99"/>
    <w:rPr>
      <w:rFonts w:cs="Times New Roman"/>
    </w:rPr>
  </w:style>
  <w:style w:type="character" w:styleId="47">
    <w:name w:val="FollowedHyperlink"/>
    <w:qFormat/>
    <w:uiPriority w:val="99"/>
    <w:rPr>
      <w:rFonts w:cs="Times New Roman"/>
      <w:color w:val="000000"/>
      <w:u w:val="none"/>
    </w:rPr>
  </w:style>
  <w:style w:type="character" w:styleId="48">
    <w:name w:val="HTML Definition"/>
    <w:qFormat/>
    <w:locked/>
    <w:uiPriority w:val="99"/>
    <w:rPr>
      <w:rFonts w:cs="Times New Roman"/>
      <w:i/>
    </w:rPr>
  </w:style>
  <w:style w:type="character" w:styleId="49">
    <w:name w:val="Hyperlink"/>
    <w:basedOn w:val="44"/>
    <w:qFormat/>
    <w:uiPriority w:val="99"/>
    <w:rPr>
      <w:rFonts w:cs="Times New Roman"/>
      <w:color w:val="000000"/>
      <w:u w:val="none"/>
    </w:rPr>
  </w:style>
  <w:style w:type="character" w:styleId="50">
    <w:name w:val="HTML Code"/>
    <w:qFormat/>
    <w:locked/>
    <w:uiPriority w:val="99"/>
    <w:rPr>
      <w:rFonts w:ascii="-apple-system" w:hAnsi="-apple-system" w:cs="-apple-system"/>
      <w:sz w:val="21"/>
      <w:szCs w:val="21"/>
    </w:rPr>
  </w:style>
  <w:style w:type="character" w:styleId="51">
    <w:name w:val="annotation reference"/>
    <w:semiHidden/>
    <w:qFormat/>
    <w:uiPriority w:val="99"/>
    <w:rPr>
      <w:rFonts w:cs="Times New Roman"/>
      <w:sz w:val="21"/>
    </w:rPr>
  </w:style>
  <w:style w:type="character" w:styleId="52">
    <w:name w:val="HTML Keyboard"/>
    <w:qFormat/>
    <w:locked/>
    <w:uiPriority w:val="99"/>
    <w:rPr>
      <w:rFonts w:ascii="-apple-system" w:hAnsi="-apple-system" w:cs="-apple-system"/>
      <w:sz w:val="21"/>
      <w:szCs w:val="21"/>
    </w:rPr>
  </w:style>
  <w:style w:type="character" w:styleId="53">
    <w:name w:val="HTML Sample"/>
    <w:qFormat/>
    <w:locked/>
    <w:uiPriority w:val="99"/>
    <w:rPr>
      <w:rFonts w:ascii="-apple-system" w:hAnsi="-apple-system" w:cs="-apple-system"/>
      <w:sz w:val="21"/>
      <w:szCs w:val="21"/>
    </w:rPr>
  </w:style>
  <w:style w:type="paragraph" w:customStyle="1" w:styleId="54">
    <w:name w:val="xl53"/>
    <w:basedOn w:val="1"/>
    <w:next w:val="1"/>
    <w:qFormat/>
    <w:uiPriority w:val="0"/>
    <w:pPr>
      <w:spacing w:before="280" w:after="280" w:line="100" w:lineRule="exact"/>
      <w:jc w:val="center"/>
    </w:pPr>
    <w:rPr>
      <w:rFonts w:ascii="宋体"/>
      <w:b/>
      <w:sz w:val="20"/>
    </w:rPr>
  </w:style>
  <w:style w:type="paragraph" w:customStyle="1" w:styleId="55">
    <w:name w:val="章正文"/>
    <w:basedOn w:val="1"/>
    <w:qFormat/>
    <w:uiPriority w:val="99"/>
    <w:pPr>
      <w:spacing w:beforeLines="50" w:after="120" w:line="300" w:lineRule="auto"/>
      <w:ind w:firstLine="480"/>
    </w:pPr>
    <w:rPr>
      <w:rFonts w:ascii="Helvetica" w:hAnsi="Helvetica"/>
      <w:kern w:val="0"/>
      <w:sz w:val="24"/>
    </w:rPr>
  </w:style>
  <w:style w:type="paragraph" w:customStyle="1" w:styleId="56">
    <w:name w:val="BodyText1I2"/>
    <w:basedOn w:val="1"/>
    <w:qFormat/>
    <w:uiPriority w:val="0"/>
    <w:pPr>
      <w:widowControl/>
      <w:spacing w:after="120"/>
      <w:ind w:left="420" w:leftChars="200" w:firstLine="420" w:firstLineChars="200"/>
      <w:textAlignment w:val="baseline"/>
    </w:pPr>
    <w:rPr>
      <w:sz w:val="21"/>
      <w:szCs w:val="24"/>
    </w:rPr>
  </w:style>
  <w:style w:type="character" w:customStyle="1" w:styleId="57">
    <w:name w:val="标题 1 Char"/>
    <w:link w:val="7"/>
    <w:qFormat/>
    <w:locked/>
    <w:uiPriority w:val="99"/>
    <w:rPr>
      <w:rFonts w:ascii="宋体" w:hAnsi="宋体" w:eastAsia="宋体" w:cs="Times New Roman"/>
      <w:b/>
      <w:kern w:val="44"/>
      <w:sz w:val="30"/>
    </w:rPr>
  </w:style>
  <w:style w:type="character" w:customStyle="1" w:styleId="58">
    <w:name w:val="标题 2 Char"/>
    <w:link w:val="8"/>
    <w:semiHidden/>
    <w:qFormat/>
    <w:locked/>
    <w:uiPriority w:val="99"/>
    <w:rPr>
      <w:rFonts w:ascii="Cambria" w:hAnsi="Cambria" w:eastAsia="宋体" w:cs="Times New Roman"/>
      <w:b/>
      <w:sz w:val="32"/>
    </w:rPr>
  </w:style>
  <w:style w:type="character" w:customStyle="1" w:styleId="59">
    <w:name w:val="标题 3 Char"/>
    <w:link w:val="9"/>
    <w:semiHidden/>
    <w:qFormat/>
    <w:locked/>
    <w:uiPriority w:val="99"/>
    <w:rPr>
      <w:rFonts w:cs="Times New Roman"/>
      <w:b/>
      <w:sz w:val="32"/>
    </w:rPr>
  </w:style>
  <w:style w:type="character" w:customStyle="1" w:styleId="60">
    <w:name w:val="标题 4 Char"/>
    <w:link w:val="10"/>
    <w:semiHidden/>
    <w:qFormat/>
    <w:locked/>
    <w:uiPriority w:val="99"/>
    <w:rPr>
      <w:rFonts w:ascii="Cambria" w:hAnsi="Cambria" w:eastAsia="宋体" w:cs="Times New Roman"/>
      <w:b/>
      <w:sz w:val="28"/>
    </w:rPr>
  </w:style>
  <w:style w:type="character" w:customStyle="1" w:styleId="61">
    <w:name w:val="正文文本缩进 Char"/>
    <w:link w:val="3"/>
    <w:semiHidden/>
    <w:qFormat/>
    <w:locked/>
    <w:uiPriority w:val="99"/>
    <w:rPr>
      <w:rFonts w:cs="Times New Roman"/>
      <w:sz w:val="24"/>
    </w:rPr>
  </w:style>
  <w:style w:type="character" w:customStyle="1" w:styleId="62">
    <w:name w:val="正文首行缩进 2 Char"/>
    <w:link w:val="2"/>
    <w:semiHidden/>
    <w:qFormat/>
    <w:locked/>
    <w:uiPriority w:val="99"/>
    <w:rPr>
      <w:rFonts w:cs="Times New Roman"/>
      <w:sz w:val="28"/>
      <w:szCs w:val="28"/>
    </w:rPr>
  </w:style>
  <w:style w:type="character" w:customStyle="1" w:styleId="63">
    <w:name w:val="文档结构图 Char"/>
    <w:link w:val="16"/>
    <w:semiHidden/>
    <w:qFormat/>
    <w:locked/>
    <w:uiPriority w:val="99"/>
    <w:rPr>
      <w:rFonts w:cs="Times New Roman"/>
      <w:sz w:val="2"/>
    </w:rPr>
  </w:style>
  <w:style w:type="character" w:customStyle="1" w:styleId="64">
    <w:name w:val="批注文字 Char"/>
    <w:link w:val="17"/>
    <w:qFormat/>
    <w:locked/>
    <w:uiPriority w:val="99"/>
    <w:rPr>
      <w:rFonts w:cs="Times New Roman"/>
      <w:sz w:val="24"/>
    </w:rPr>
  </w:style>
  <w:style w:type="character" w:customStyle="1" w:styleId="65">
    <w:name w:val="正文文本 3 Char"/>
    <w:link w:val="18"/>
    <w:semiHidden/>
    <w:qFormat/>
    <w:locked/>
    <w:uiPriority w:val="99"/>
    <w:rPr>
      <w:rFonts w:cs="Times New Roman"/>
      <w:sz w:val="16"/>
    </w:rPr>
  </w:style>
  <w:style w:type="character" w:customStyle="1" w:styleId="66">
    <w:name w:val="结束语 Char"/>
    <w:link w:val="19"/>
    <w:semiHidden/>
    <w:qFormat/>
    <w:locked/>
    <w:uiPriority w:val="99"/>
    <w:rPr>
      <w:rFonts w:cs="Times New Roman"/>
      <w:sz w:val="24"/>
    </w:rPr>
  </w:style>
  <w:style w:type="character" w:customStyle="1" w:styleId="67">
    <w:name w:val="正文文本 Char"/>
    <w:link w:val="20"/>
    <w:qFormat/>
    <w:locked/>
    <w:uiPriority w:val="99"/>
    <w:rPr>
      <w:rFonts w:cs="Times New Roman"/>
      <w:sz w:val="24"/>
    </w:rPr>
  </w:style>
  <w:style w:type="character" w:customStyle="1" w:styleId="68">
    <w:name w:val="纯文本 Char"/>
    <w:link w:val="25"/>
    <w:qFormat/>
    <w:locked/>
    <w:uiPriority w:val="99"/>
    <w:rPr>
      <w:rFonts w:ascii="宋体" w:hAnsi="Courier New" w:cs="Times New Roman"/>
      <w:kern w:val="2"/>
      <w:sz w:val="24"/>
    </w:rPr>
  </w:style>
  <w:style w:type="character" w:customStyle="1" w:styleId="69">
    <w:name w:val="日期 Char"/>
    <w:link w:val="27"/>
    <w:semiHidden/>
    <w:qFormat/>
    <w:locked/>
    <w:uiPriority w:val="99"/>
    <w:rPr>
      <w:rFonts w:cs="Times New Roman"/>
      <w:sz w:val="24"/>
    </w:rPr>
  </w:style>
  <w:style w:type="character" w:customStyle="1" w:styleId="70">
    <w:name w:val="正文文本缩进 2 Char"/>
    <w:link w:val="28"/>
    <w:semiHidden/>
    <w:qFormat/>
    <w:locked/>
    <w:uiPriority w:val="99"/>
    <w:rPr>
      <w:rFonts w:cs="Times New Roman"/>
      <w:sz w:val="24"/>
    </w:rPr>
  </w:style>
  <w:style w:type="character" w:customStyle="1" w:styleId="71">
    <w:name w:val="批注框文本 Char"/>
    <w:link w:val="29"/>
    <w:semiHidden/>
    <w:qFormat/>
    <w:locked/>
    <w:uiPriority w:val="99"/>
    <w:rPr>
      <w:rFonts w:cs="Times New Roman"/>
      <w:sz w:val="2"/>
    </w:rPr>
  </w:style>
  <w:style w:type="character" w:customStyle="1" w:styleId="72">
    <w:name w:val="页脚 Char"/>
    <w:link w:val="30"/>
    <w:semiHidden/>
    <w:qFormat/>
    <w:locked/>
    <w:uiPriority w:val="99"/>
    <w:rPr>
      <w:rFonts w:cs="Times New Roman"/>
      <w:sz w:val="18"/>
    </w:rPr>
  </w:style>
  <w:style w:type="character" w:customStyle="1" w:styleId="73">
    <w:name w:val="页眉 Char"/>
    <w:link w:val="31"/>
    <w:qFormat/>
    <w:locked/>
    <w:uiPriority w:val="99"/>
    <w:rPr>
      <w:rFonts w:eastAsia="宋体" w:cs="Times New Roman"/>
      <w:kern w:val="2"/>
      <w:sz w:val="18"/>
      <w:lang w:val="en-US" w:eastAsia="zh-CN"/>
    </w:rPr>
  </w:style>
  <w:style w:type="character" w:customStyle="1" w:styleId="74">
    <w:name w:val="正文文本 2 Char"/>
    <w:link w:val="38"/>
    <w:semiHidden/>
    <w:qFormat/>
    <w:locked/>
    <w:uiPriority w:val="99"/>
    <w:rPr>
      <w:rFonts w:cs="Times New Roman"/>
      <w:sz w:val="24"/>
    </w:rPr>
  </w:style>
  <w:style w:type="character" w:customStyle="1" w:styleId="75">
    <w:name w:val="标题 Char"/>
    <w:link w:val="40"/>
    <w:qFormat/>
    <w:locked/>
    <w:uiPriority w:val="99"/>
    <w:rPr>
      <w:rFonts w:ascii="Cambria" w:hAnsi="Cambria" w:cs="Times New Roman"/>
      <w:b/>
      <w:sz w:val="32"/>
    </w:rPr>
  </w:style>
  <w:style w:type="character" w:customStyle="1" w:styleId="76">
    <w:name w:val="批注主题 Char"/>
    <w:link w:val="41"/>
    <w:semiHidden/>
    <w:qFormat/>
    <w:locked/>
    <w:uiPriority w:val="99"/>
    <w:rPr>
      <w:rFonts w:cs="Times New Roman"/>
      <w:b/>
      <w:sz w:val="24"/>
    </w:rPr>
  </w:style>
  <w:style w:type="character" w:customStyle="1" w:styleId="77">
    <w:name w:val="hour_pm"/>
    <w:qFormat/>
    <w:uiPriority w:val="99"/>
    <w:rPr>
      <w:rFonts w:cs="Times New Roman"/>
    </w:rPr>
  </w:style>
  <w:style w:type="character" w:customStyle="1" w:styleId="78">
    <w:name w:val="正文缩进 Char"/>
    <w:link w:val="13"/>
    <w:qFormat/>
    <w:locked/>
    <w:uiPriority w:val="99"/>
    <w:rPr>
      <w:rFonts w:eastAsia="宋体"/>
      <w:kern w:val="2"/>
      <w:sz w:val="21"/>
      <w:lang w:val="en-US" w:eastAsia="zh-CN"/>
    </w:rPr>
  </w:style>
  <w:style w:type="character" w:customStyle="1" w:styleId="79">
    <w:name w:val="hover9"/>
    <w:qFormat/>
    <w:uiPriority w:val="99"/>
    <w:rPr>
      <w:rFonts w:cs="Times New Roman"/>
      <w:shd w:val="clear" w:color="auto" w:fill="EEEEEE"/>
    </w:rPr>
  </w:style>
  <w:style w:type="character" w:customStyle="1" w:styleId="80">
    <w:name w:val="font41"/>
    <w:qFormat/>
    <w:uiPriority w:val="99"/>
    <w:rPr>
      <w:rFonts w:ascii="Calibri" w:hAnsi="Calibri" w:cs="Calibri"/>
      <w:color w:val="000000"/>
      <w:sz w:val="21"/>
      <w:szCs w:val="21"/>
      <w:u w:val="none"/>
    </w:rPr>
  </w:style>
  <w:style w:type="character" w:customStyle="1" w:styleId="81">
    <w:name w:val="hover"/>
    <w:qFormat/>
    <w:uiPriority w:val="99"/>
    <w:rPr>
      <w:rFonts w:cs="Times New Roman"/>
      <w:shd w:val="clear" w:color="auto" w:fill="EEEEEE"/>
    </w:rPr>
  </w:style>
  <w:style w:type="character" w:customStyle="1" w:styleId="82">
    <w:name w:val="param_td12"/>
    <w:qFormat/>
    <w:uiPriority w:val="99"/>
    <w:rPr>
      <w:rFonts w:cs="Times New Roman"/>
    </w:rPr>
  </w:style>
  <w:style w:type="character" w:customStyle="1" w:styleId="83">
    <w:name w:val="wordstyle1"/>
    <w:qFormat/>
    <w:uiPriority w:val="99"/>
    <w:rPr>
      <w:sz w:val="20"/>
    </w:rPr>
  </w:style>
  <w:style w:type="character" w:customStyle="1" w:styleId="84">
    <w:name w:val="old"/>
    <w:qFormat/>
    <w:uiPriority w:val="99"/>
    <w:rPr>
      <w:rFonts w:cs="Times New Roman"/>
      <w:color w:val="999999"/>
    </w:rPr>
  </w:style>
  <w:style w:type="character" w:customStyle="1" w:styleId="85">
    <w:name w:val="hour_am"/>
    <w:qFormat/>
    <w:uiPriority w:val="99"/>
    <w:rPr>
      <w:rFonts w:cs="Times New Roman"/>
    </w:rPr>
  </w:style>
  <w:style w:type="paragraph" w:customStyle="1" w:styleId="86">
    <w:name w:val="Char Char Char"/>
    <w:basedOn w:val="1"/>
    <w:qFormat/>
    <w:uiPriority w:val="99"/>
  </w:style>
  <w:style w:type="paragraph" w:customStyle="1" w:styleId="87">
    <w:name w:val="itemlis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88">
    <w:name w:val="List Paragraph1"/>
    <w:basedOn w:val="1"/>
    <w:qFormat/>
    <w:uiPriority w:val="99"/>
    <w:pPr>
      <w:ind w:firstLine="420" w:firstLineChars="200"/>
    </w:pPr>
  </w:style>
  <w:style w:type="paragraph" w:customStyle="1" w:styleId="89">
    <w:name w:val="默认段落字体 Para Char Char Char Char Char Char Char Char Char1 Char Char Char Char"/>
    <w:basedOn w:val="1"/>
    <w:qFormat/>
    <w:uiPriority w:val="99"/>
    <w:rPr>
      <w:rFonts w:ascii="Tahoma" w:hAnsi="Tahoma" w:cs="Tahoma"/>
      <w:sz w:val="24"/>
      <w:szCs w:val="24"/>
    </w:rPr>
  </w:style>
  <w:style w:type="paragraph" w:customStyle="1" w:styleId="90">
    <w:name w:val="Char Char Char Char Char Char"/>
    <w:basedOn w:val="1"/>
    <w:qFormat/>
    <w:uiPriority w:val="99"/>
    <w:rPr>
      <w:sz w:val="21"/>
      <w:szCs w:val="21"/>
    </w:rPr>
  </w:style>
  <w:style w:type="paragraph" w:customStyle="1" w:styleId="91">
    <w:name w:val="Char Char Char Char Char Char Char Char Char Char"/>
    <w:basedOn w:val="1"/>
    <w:qFormat/>
    <w:uiPriority w:val="99"/>
    <w:rPr>
      <w:rFonts w:ascii="Tahoma" w:hAnsi="Tahoma"/>
      <w:sz w:val="24"/>
      <w:szCs w:val="20"/>
    </w:rPr>
  </w:style>
  <w:style w:type="paragraph" w:customStyle="1" w:styleId="92">
    <w:name w:val="表内文字"/>
    <w:basedOn w:val="1"/>
    <w:qFormat/>
    <w:uiPriority w:val="99"/>
    <w:pPr>
      <w:tabs>
        <w:tab w:val="left" w:pos="1418"/>
      </w:tabs>
      <w:spacing w:line="360" w:lineRule="auto"/>
      <w:jc w:val="center"/>
    </w:pPr>
    <w:rPr>
      <w:rFonts w:ascii="仿宋_GB2312" w:eastAsia="仿宋_GB2312" w:cs="仿宋_GB2312"/>
      <w:spacing w:val="-20"/>
      <w:kern w:val="0"/>
      <w:sz w:val="24"/>
      <w:szCs w:val="24"/>
    </w:rPr>
  </w:style>
  <w:style w:type="paragraph" w:customStyle="1" w:styleId="93">
    <w:name w:val="此正文"/>
    <w:basedOn w:val="1"/>
    <w:qFormat/>
    <w:uiPriority w:val="99"/>
    <w:pPr>
      <w:spacing w:line="360" w:lineRule="auto"/>
      <w:ind w:firstLine="200" w:firstLineChars="200"/>
    </w:pPr>
    <w:rPr>
      <w:sz w:val="24"/>
      <w:szCs w:val="24"/>
    </w:rPr>
  </w:style>
  <w:style w:type="paragraph" w:customStyle="1" w:styleId="94">
    <w:name w:val="Char Char1 Char Char Char Char Char Char Char Char"/>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95">
    <w:name w:val="Char"/>
    <w:basedOn w:val="1"/>
    <w:qFormat/>
    <w:uiPriority w:val="99"/>
    <w:rPr>
      <w:rFonts w:ascii="仿宋_GB2312" w:eastAsia="仿宋_GB2312" w:cs="仿宋_GB2312"/>
      <w:b/>
      <w:bCs/>
      <w:sz w:val="32"/>
      <w:szCs w:val="32"/>
    </w:rPr>
  </w:style>
  <w:style w:type="paragraph" w:customStyle="1" w:styleId="96">
    <w:name w:val="reader-word-layer reader-word-s4-3"/>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97">
    <w:name w:val="Char11"/>
    <w:basedOn w:val="1"/>
    <w:qFormat/>
    <w:uiPriority w:val="99"/>
    <w:pPr>
      <w:jc w:val="center"/>
    </w:pPr>
    <w:rPr>
      <w:b/>
      <w:bCs/>
      <w:kern w:val="44"/>
      <w:sz w:val="44"/>
      <w:szCs w:val="44"/>
    </w:rPr>
  </w:style>
  <w:style w:type="paragraph" w:customStyle="1" w:styleId="98">
    <w:name w:val="Char1"/>
    <w:basedOn w:val="1"/>
    <w:qFormat/>
    <w:uiPriority w:val="99"/>
    <w:pPr>
      <w:jc w:val="center"/>
    </w:pPr>
    <w:rPr>
      <w:b/>
      <w:bCs/>
      <w:kern w:val="44"/>
      <w:sz w:val="44"/>
      <w:szCs w:val="44"/>
    </w:rPr>
  </w:style>
  <w:style w:type="paragraph" w:customStyle="1" w:styleId="99">
    <w:name w:val="正文 A"/>
    <w:next w:val="2"/>
    <w:qFormat/>
    <w:uiPriority w:val="99"/>
    <w:pPr>
      <w:widowControl w:val="0"/>
    </w:pPr>
    <w:rPr>
      <w:rFonts w:ascii="宋体" w:hAnsi="宋体" w:eastAsia="宋体" w:cs="宋体"/>
      <w:color w:val="000000"/>
      <w:sz w:val="34"/>
      <w:szCs w:val="34"/>
      <w:lang w:val="en-US" w:eastAsia="zh-CN" w:bidi="ar-SA"/>
    </w:rPr>
  </w:style>
  <w:style w:type="paragraph" w:customStyle="1" w:styleId="100">
    <w:name w:val="正文段"/>
    <w:basedOn w:val="1"/>
    <w:qFormat/>
    <w:uiPriority w:val="99"/>
    <w:pPr>
      <w:widowControl/>
      <w:snapToGrid w:val="0"/>
      <w:spacing w:afterLines="50"/>
      <w:ind w:firstLine="200" w:firstLineChars="200"/>
    </w:pPr>
    <w:rPr>
      <w:kern w:val="0"/>
      <w:sz w:val="24"/>
      <w:szCs w:val="24"/>
    </w:rPr>
  </w:style>
  <w:style w:type="paragraph" w:customStyle="1" w:styleId="101">
    <w:name w:val="Normal1"/>
    <w:qFormat/>
    <w:uiPriority w:val="99"/>
    <w:pPr>
      <w:jc w:val="both"/>
    </w:pPr>
    <w:rPr>
      <w:rFonts w:ascii="Calibri" w:hAnsi="Calibri" w:eastAsia="宋体" w:cs="宋体"/>
      <w:kern w:val="2"/>
      <w:sz w:val="21"/>
      <w:szCs w:val="21"/>
      <w:lang w:val="en-US" w:eastAsia="zh-CN" w:bidi="ar-SA"/>
    </w:rPr>
  </w:style>
  <w:style w:type="character" w:customStyle="1" w:styleId="102">
    <w:name w:val="fontstyle01"/>
    <w:qFormat/>
    <w:uiPriority w:val="99"/>
    <w:rPr>
      <w:rFonts w:ascii="宋体" w:hAnsi="宋体" w:eastAsia="宋体" w:cs="宋体"/>
      <w:color w:val="000000"/>
      <w:sz w:val="30"/>
      <w:szCs w:val="30"/>
    </w:rPr>
  </w:style>
  <w:style w:type="paragraph" w:customStyle="1" w:styleId="103">
    <w:name w:val="样式1"/>
    <w:basedOn w:val="1"/>
    <w:qFormat/>
    <w:uiPriority w:val="99"/>
    <w:pPr>
      <w:jc w:val="center"/>
    </w:pPr>
  </w:style>
  <w:style w:type="character" w:customStyle="1" w:styleId="104">
    <w:name w:val="font51"/>
    <w:basedOn w:val="44"/>
    <w:qFormat/>
    <w:uiPriority w:val="99"/>
    <w:rPr>
      <w:rFonts w:ascii="宋体" w:hAnsi="宋体" w:eastAsia="宋体" w:cs="宋体"/>
      <w:color w:val="FF0000"/>
      <w:sz w:val="21"/>
      <w:szCs w:val="21"/>
      <w:u w:val="none"/>
    </w:rPr>
  </w:style>
  <w:style w:type="character" w:customStyle="1" w:styleId="105">
    <w:name w:val="font11"/>
    <w:qFormat/>
    <w:uiPriority w:val="99"/>
    <w:rPr>
      <w:rFonts w:ascii="宋体" w:hAnsi="宋体" w:eastAsia="宋体" w:cs="宋体"/>
      <w:color w:val="000000"/>
      <w:sz w:val="21"/>
      <w:szCs w:val="21"/>
      <w:u w:val="none"/>
    </w:rPr>
  </w:style>
  <w:style w:type="character" w:customStyle="1" w:styleId="106">
    <w:name w:val="font01"/>
    <w:qFormat/>
    <w:uiPriority w:val="99"/>
    <w:rPr>
      <w:rFonts w:ascii="宋体" w:hAnsi="宋体" w:eastAsia="宋体" w:cs="宋体"/>
      <w:color w:val="FF0000"/>
      <w:sz w:val="21"/>
      <w:szCs w:val="21"/>
      <w:u w:val="none"/>
    </w:rPr>
  </w:style>
  <w:style w:type="paragraph" w:customStyle="1" w:styleId="107">
    <w:name w:val="表格标题/图片标题/日期格式/图片居中"/>
    <w:qFormat/>
    <w:uiPriority w:val="99"/>
    <w:pPr>
      <w:jc w:val="center"/>
    </w:pPr>
    <w:rPr>
      <w:rFonts w:ascii="宋体" w:hAnsi="宋体" w:eastAsia="宋体" w:cs="Times New Roman"/>
      <w:b/>
      <w:kern w:val="2"/>
      <w:sz w:val="28"/>
      <w:szCs w:val="24"/>
      <w:lang w:val="en-US" w:eastAsia="zh-CN" w:bidi="ar-SA"/>
    </w:rPr>
  </w:style>
  <w:style w:type="paragraph" w:customStyle="1" w:styleId="108">
    <w:name w:val="表格文本"/>
    <w:basedOn w:val="1"/>
    <w:next w:val="1"/>
    <w:qFormat/>
    <w:uiPriority w:val="99"/>
    <w:pPr>
      <w:adjustRightInd w:val="0"/>
      <w:snapToGrid w:val="0"/>
      <w:jc w:val="center"/>
    </w:pPr>
    <w:rPr>
      <w:color w:val="000000"/>
      <w:sz w:val="24"/>
      <w:szCs w:val="21"/>
    </w:rPr>
  </w:style>
  <w:style w:type="character" w:customStyle="1" w:styleId="109">
    <w:name w:val="NormalCharacter"/>
    <w:qFormat/>
    <w:uiPriority w:val="0"/>
  </w:style>
  <w:style w:type="paragraph" w:customStyle="1" w:styleId="110">
    <w:name w:val="Table Paragraph"/>
    <w:basedOn w:val="1"/>
    <w:qFormat/>
    <w:uiPriority w:val="1"/>
    <w:rPr>
      <w:rFonts w:ascii="宋体" w:hAnsi="宋体" w:cs="宋体"/>
      <w:lang w:val="zh-CN" w:bidi="zh-CN"/>
    </w:rPr>
  </w:style>
  <w:style w:type="paragraph" w:customStyle="1" w:styleId="111">
    <w:name w:val="_Style 49"/>
    <w:basedOn w:val="1"/>
    <w:next w:val="25"/>
    <w:qFormat/>
    <w:uiPriority w:val="0"/>
    <w:rPr>
      <w:rFonts w:ascii="宋体" w:hAnsi="Courier New"/>
      <w:kern w:val="0"/>
      <w:sz w:val="24"/>
      <w:szCs w:val="24"/>
    </w:rPr>
  </w:style>
  <w:style w:type="paragraph" w:customStyle="1" w:styleId="112">
    <w:name w:val="自动更正"/>
    <w:qFormat/>
    <w:uiPriority w:val="0"/>
    <w:pPr>
      <w:widowControl w:val="0"/>
      <w:jc w:val="both"/>
    </w:pPr>
    <w:rPr>
      <w:rFonts w:ascii="黑体" w:hAnsi="黑体" w:eastAsia="微软雅黑" w:cs="黑体"/>
      <w:kern w:val="2"/>
      <w:sz w:val="21"/>
      <w:szCs w:val="24"/>
      <w:lang w:val="en-US" w:eastAsia="zh-CN" w:bidi="ar-SA"/>
    </w:rPr>
  </w:style>
  <w:style w:type="paragraph" w:customStyle="1" w:styleId="113">
    <w:name w:val="默认"/>
    <w:qFormat/>
    <w:uiPriority w:val="0"/>
    <w:pPr>
      <w:framePr w:wrap="around" w:vAnchor="margin" w:hAnchor="text" w:y="1"/>
    </w:pPr>
    <w:rPr>
      <w:rFonts w:ascii="Helvetica Neue" w:hAnsi="Helvetica Neue" w:eastAsia="Helvetica Neue" w:cs="Helvetica Neue"/>
      <w:color w:val="000000"/>
      <w:sz w:val="22"/>
      <w:szCs w:val="22"/>
      <w:lang w:val="en-US" w:eastAsia="zh-CN" w:bidi="ar-SA"/>
    </w:rPr>
  </w:style>
  <w:style w:type="character" w:customStyle="1" w:styleId="114">
    <w:name w:val="font121"/>
    <w:qFormat/>
    <w:uiPriority w:val="0"/>
    <w:rPr>
      <w:rFonts w:ascii="Romantic" w:hAnsi="Romantic" w:eastAsia="Romantic" w:cs="Romantic"/>
      <w:color w:val="000000"/>
      <w:sz w:val="21"/>
      <w:szCs w:val="21"/>
      <w:u w:val="none"/>
    </w:rPr>
  </w:style>
  <w:style w:type="character" w:customStyle="1" w:styleId="115">
    <w:name w:val="font31"/>
    <w:qFormat/>
    <w:uiPriority w:val="0"/>
    <w:rPr>
      <w:rFonts w:ascii="Arial" w:hAnsi="Arial" w:cs="Arial"/>
      <w:color w:val="000000"/>
      <w:sz w:val="21"/>
      <w:szCs w:val="21"/>
      <w:u w:val="none"/>
    </w:rPr>
  </w:style>
  <w:style w:type="character" w:customStyle="1" w:styleId="116">
    <w:name w:val="font13"/>
    <w:basedOn w:val="44"/>
    <w:qFormat/>
    <w:uiPriority w:val="0"/>
    <w:rPr>
      <w:rFonts w:hint="eastAsia" w:ascii="宋体" w:hAnsi="宋体" w:eastAsia="宋体" w:cs="宋体"/>
      <w:color w:val="000000"/>
      <w:sz w:val="24"/>
      <w:szCs w:val="24"/>
      <w:u w:val="none"/>
    </w:rPr>
  </w:style>
  <w:style w:type="character" w:customStyle="1" w:styleId="117">
    <w:name w:val="font132"/>
    <w:basedOn w:val="44"/>
    <w:qFormat/>
    <w:uiPriority w:val="0"/>
    <w:rPr>
      <w:rFonts w:hint="eastAsia" w:ascii="宋体" w:hAnsi="宋体" w:eastAsia="宋体" w:cs="宋体"/>
      <w:color w:val="000000"/>
      <w:sz w:val="24"/>
      <w:szCs w:val="24"/>
      <w:u w:val="none"/>
    </w:rPr>
  </w:style>
  <w:style w:type="character" w:customStyle="1" w:styleId="118">
    <w:name w:val="font81"/>
    <w:basedOn w:val="44"/>
    <w:qFormat/>
    <w:uiPriority w:val="0"/>
    <w:rPr>
      <w:rFonts w:ascii="Arial Unicode MS" w:hAnsi="Arial Unicode MS" w:eastAsia="Arial Unicode MS" w:cs="Arial Unicode MS"/>
      <w:color w:val="000000"/>
      <w:sz w:val="16"/>
      <w:szCs w:val="16"/>
      <w:u w:val="none"/>
    </w:rPr>
  </w:style>
  <w:style w:type="character" w:customStyle="1" w:styleId="119">
    <w:name w:val="font71"/>
    <w:basedOn w:val="44"/>
    <w:qFormat/>
    <w:uiPriority w:val="0"/>
    <w:rPr>
      <w:rFonts w:hint="eastAsia" w:ascii="宋体" w:hAnsi="宋体" w:eastAsia="宋体" w:cs="宋体"/>
      <w:color w:val="000000"/>
      <w:sz w:val="16"/>
      <w:szCs w:val="16"/>
      <w:u w:val="none"/>
    </w:rPr>
  </w:style>
  <w:style w:type="character" w:customStyle="1" w:styleId="120">
    <w:name w:val="font91"/>
    <w:basedOn w:val="44"/>
    <w:qFormat/>
    <w:uiPriority w:val="0"/>
    <w:rPr>
      <w:rFonts w:hint="eastAsia" w:ascii="宋体" w:hAnsi="宋体" w:eastAsia="宋体" w:cs="宋体"/>
      <w:color w:val="000000"/>
      <w:sz w:val="16"/>
      <w:szCs w:val="16"/>
      <w:u w:val="none"/>
    </w:rPr>
  </w:style>
  <w:style w:type="character" w:customStyle="1" w:styleId="121">
    <w:name w:val="font21"/>
    <w:basedOn w:val="44"/>
    <w:qFormat/>
    <w:uiPriority w:val="0"/>
    <w:rPr>
      <w:rFonts w:hint="eastAsia" w:ascii="宋体" w:hAnsi="宋体" w:eastAsia="宋体" w:cs="宋体"/>
      <w:color w:val="000000"/>
      <w:sz w:val="20"/>
      <w:szCs w:val="20"/>
      <w:u w:val="none"/>
    </w:rPr>
  </w:style>
  <w:style w:type="character" w:customStyle="1" w:styleId="122">
    <w:name w:val="font61"/>
    <w:basedOn w:val="44"/>
    <w:qFormat/>
    <w:uiPriority w:val="0"/>
    <w:rPr>
      <w:rFonts w:hint="eastAsia" w:ascii="宋体" w:hAnsi="宋体" w:eastAsia="宋体" w:cs="宋体"/>
      <w:color w:val="000000"/>
      <w:sz w:val="20"/>
      <w:szCs w:val="20"/>
      <w:u w:val="none"/>
    </w:rPr>
  </w:style>
  <w:style w:type="paragraph" w:customStyle="1" w:styleId="123">
    <w:name w:val="Plain Text"/>
    <w:basedOn w:val="1"/>
    <w:qFormat/>
    <w:uiPriority w:val="0"/>
    <w:pPr>
      <w:adjustRightInd w:val="0"/>
      <w:textAlignment w:val="baseline"/>
    </w:pPr>
    <w:rPr>
      <w:rFonts w:ascii="宋体" w:hAnsi="Courier New" w:eastAsia="楷体_GB2312"/>
      <w:sz w:val="26"/>
    </w:rPr>
  </w:style>
  <w:style w:type="paragraph" w:customStyle="1" w:styleId="124">
    <w:name w:val="p17"/>
    <w:basedOn w:val="1"/>
    <w:qFormat/>
    <w:uiPriority w:val="0"/>
    <w:pPr>
      <w:widowControl/>
      <w:spacing w:before="156" w:beforeLines="0" w:line="360" w:lineRule="auto"/>
      <w:ind w:firstLine="420"/>
    </w:pPr>
    <w:rPr>
      <w:kern w:val="0"/>
      <w:sz w:val="24"/>
    </w:rPr>
  </w:style>
  <w:style w:type="paragraph" w:customStyle="1" w:styleId="125">
    <w:name w:val="[Normal]"/>
    <w:qFormat/>
    <w:uiPriority w:val="99"/>
    <w:rPr>
      <w:rFonts w:ascii="宋体" w:hAnsi="宋体" w:eastAsia="宋体" w:cs="宋体"/>
      <w:sz w:val="24"/>
      <w:szCs w:val="24"/>
      <w:lang w:val="zh-CN" w:eastAsia="zh-CN" w:bidi="ar-SA"/>
    </w:rPr>
  </w:style>
  <w:style w:type="paragraph" w:customStyle="1" w:styleId="126">
    <w:name w:val="WPSOffice手动目录 1"/>
    <w:qFormat/>
    <w:uiPriority w:val="0"/>
    <w:pPr>
      <w:ind w:leftChars="0"/>
    </w:pPr>
    <w:rPr>
      <w:rFonts w:ascii="Times New Roman" w:hAnsi="Times New Roman" w:eastAsia="宋体" w:cs="Times New Roman"/>
      <w:sz w:val="20"/>
      <w:szCs w:val="20"/>
    </w:rPr>
  </w:style>
  <w:style w:type="paragraph" w:customStyle="1" w:styleId="127">
    <w:name w:val="正文格式"/>
    <w:basedOn w:val="1"/>
    <w:qFormat/>
    <w:uiPriority w:val="99"/>
    <w:pPr>
      <w:widowControl/>
      <w:adjustRightInd w:val="0"/>
      <w:snapToGrid w:val="0"/>
      <w:spacing w:line="400" w:lineRule="atLeast"/>
      <w:ind w:firstLine="482"/>
      <w:textAlignment w:val="baseline"/>
    </w:pPr>
    <w:rPr>
      <w:kern w:val="0"/>
      <w:sz w:val="24"/>
    </w:rPr>
  </w:style>
  <w:style w:type="paragraph" w:customStyle="1" w:styleId="128">
    <w:name w:val="纯文本1"/>
    <w:basedOn w:val="129"/>
    <w:qFormat/>
    <w:uiPriority w:val="0"/>
    <w:rPr>
      <w:rFonts w:hint="default" w:ascii="宋体" w:hAnsi="Courier New"/>
      <w:kern w:val="0"/>
      <w:sz w:val="20"/>
      <w:szCs w:val="21"/>
    </w:rPr>
  </w:style>
  <w:style w:type="paragraph" w:customStyle="1" w:styleId="129">
    <w:name w:val="正文2"/>
    <w:qFormat/>
    <w:uiPriority w:val="0"/>
    <w:pPr>
      <w:widowControl w:val="0"/>
      <w:jc w:val="both"/>
    </w:pPr>
    <w:rPr>
      <w:rFonts w:hint="eastAsia" w:ascii="Times New Roman" w:hAnsi="Times New Roman" w:eastAsia="宋体" w:cs="Times New Roman"/>
      <w:kern w:val="2"/>
      <w:sz w:val="21"/>
      <w:lang w:val="en-US" w:eastAsia="zh-CN" w:bidi="ar-SA"/>
    </w:rPr>
  </w:style>
  <w:style w:type="paragraph" w:styleId="130">
    <w:name w:val="List Paragraph"/>
    <w:basedOn w:val="1"/>
    <w:qFormat/>
    <w:uiPriority w:val="99"/>
    <w:pPr>
      <w:adjustRightInd/>
      <w:ind w:firstLine="420" w:firstLineChars="200"/>
    </w:pPr>
  </w:style>
  <w:style w:type="paragraph" w:customStyle="1" w:styleId="131">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132">
    <w:name w:val="索引 11"/>
    <w:basedOn w:val="1"/>
    <w:next w:val="1"/>
    <w:qFormat/>
    <w:uiPriority w:val="99"/>
    <w:pPr>
      <w:adjustRightInd/>
      <w:spacing w:line="360" w:lineRule="auto"/>
    </w:pPr>
    <w:rPr>
      <w:rFonts w:ascii="仿宋_GB2312" w:eastAsia="仿宋_GB2312"/>
      <w:sz w:val="24"/>
      <w:szCs w:val="20"/>
    </w:rPr>
  </w:style>
  <w:style w:type="paragraph" w:customStyle="1" w:styleId="133">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13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35">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7.png"/><Relationship Id="rId98" Type="http://schemas.openxmlformats.org/officeDocument/2006/relationships/image" Target="media/image76.png"/><Relationship Id="rId97" Type="http://schemas.openxmlformats.org/officeDocument/2006/relationships/image" Target="media/image75.png"/><Relationship Id="rId96" Type="http://schemas.openxmlformats.org/officeDocument/2006/relationships/image" Target="media/image74.png"/><Relationship Id="rId95" Type="http://schemas.openxmlformats.org/officeDocument/2006/relationships/image" Target="media/image73.png"/><Relationship Id="rId94" Type="http://schemas.openxmlformats.org/officeDocument/2006/relationships/image" Target="media/image72.png"/><Relationship Id="rId93" Type="http://schemas.openxmlformats.org/officeDocument/2006/relationships/image" Target="media/image71.png"/><Relationship Id="rId92" Type="http://schemas.openxmlformats.org/officeDocument/2006/relationships/image" Target="media/image70.png"/><Relationship Id="rId91" Type="http://schemas.openxmlformats.org/officeDocument/2006/relationships/image" Target="media/image69.png"/><Relationship Id="rId90" Type="http://schemas.openxmlformats.org/officeDocument/2006/relationships/image" Target="media/image68.png"/><Relationship Id="rId9" Type="http://schemas.openxmlformats.org/officeDocument/2006/relationships/footer" Target="footer2.xml"/><Relationship Id="rId89" Type="http://schemas.openxmlformats.org/officeDocument/2006/relationships/image" Target="media/image67.png"/><Relationship Id="rId88" Type="http://schemas.openxmlformats.org/officeDocument/2006/relationships/image" Target="media/image66.png"/><Relationship Id="rId87" Type="http://schemas.openxmlformats.org/officeDocument/2006/relationships/image" Target="media/image65.png"/><Relationship Id="rId86" Type="http://schemas.openxmlformats.org/officeDocument/2006/relationships/image" Target="media/image64.png"/><Relationship Id="rId85" Type="http://schemas.openxmlformats.org/officeDocument/2006/relationships/image" Target="media/image63.png"/><Relationship Id="rId84" Type="http://schemas.openxmlformats.org/officeDocument/2006/relationships/image" Target="media/image62.png"/><Relationship Id="rId83" Type="http://schemas.openxmlformats.org/officeDocument/2006/relationships/image" Target="media/image61.png"/><Relationship Id="rId82" Type="http://schemas.openxmlformats.org/officeDocument/2006/relationships/image" Target="media/image60.png"/><Relationship Id="rId81" Type="http://schemas.openxmlformats.org/officeDocument/2006/relationships/image" Target="media/image59.png"/><Relationship Id="rId80" Type="http://schemas.openxmlformats.org/officeDocument/2006/relationships/image" Target="media/image58.png"/><Relationship Id="rId8" Type="http://schemas.openxmlformats.org/officeDocument/2006/relationships/footer" Target="footer1.xml"/><Relationship Id="rId79" Type="http://schemas.openxmlformats.org/officeDocument/2006/relationships/image" Target="media/image57.png"/><Relationship Id="rId78" Type="http://schemas.openxmlformats.org/officeDocument/2006/relationships/image" Target="media/image56.png"/><Relationship Id="rId77" Type="http://schemas.openxmlformats.org/officeDocument/2006/relationships/image" Target="media/image55.png"/><Relationship Id="rId76" Type="http://schemas.openxmlformats.org/officeDocument/2006/relationships/image" Target="media/image54.png"/><Relationship Id="rId75" Type="http://schemas.openxmlformats.org/officeDocument/2006/relationships/image" Target="media/image53.png"/><Relationship Id="rId74" Type="http://schemas.openxmlformats.org/officeDocument/2006/relationships/image" Target="media/image52.png"/><Relationship Id="rId73" Type="http://schemas.openxmlformats.org/officeDocument/2006/relationships/image" Target="media/image51.png"/><Relationship Id="rId72" Type="http://schemas.openxmlformats.org/officeDocument/2006/relationships/image" Target="media/image50.png"/><Relationship Id="rId71" Type="http://schemas.openxmlformats.org/officeDocument/2006/relationships/image" Target="media/image49.png"/><Relationship Id="rId70" Type="http://schemas.openxmlformats.org/officeDocument/2006/relationships/image" Target="media/image48.png"/><Relationship Id="rId7" Type="http://schemas.openxmlformats.org/officeDocument/2006/relationships/header" Target="header3.xml"/><Relationship Id="rId69" Type="http://schemas.openxmlformats.org/officeDocument/2006/relationships/image" Target="media/image47.png"/><Relationship Id="rId68" Type="http://schemas.openxmlformats.org/officeDocument/2006/relationships/image" Target="media/image46.png"/><Relationship Id="rId67" Type="http://schemas.openxmlformats.org/officeDocument/2006/relationships/image" Target="media/image45.png"/><Relationship Id="rId66" Type="http://schemas.openxmlformats.org/officeDocument/2006/relationships/image" Target="media/image44.png"/><Relationship Id="rId65" Type="http://schemas.openxmlformats.org/officeDocument/2006/relationships/image" Target="media/image43.png"/><Relationship Id="rId64" Type="http://schemas.openxmlformats.org/officeDocument/2006/relationships/image" Target="media/image42.png"/><Relationship Id="rId63" Type="http://schemas.openxmlformats.org/officeDocument/2006/relationships/image" Target="media/image41.jpeg"/><Relationship Id="rId62" Type="http://schemas.openxmlformats.org/officeDocument/2006/relationships/image" Target="media/image40.png"/><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header" Target="header2.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jpeg"/><Relationship Id="rId55" Type="http://schemas.openxmlformats.org/officeDocument/2006/relationships/image" Target="NULL" TargetMode="External"/><Relationship Id="rId54" Type="http://schemas.openxmlformats.org/officeDocument/2006/relationships/image" Target="media/image33.jpe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jpeg"/><Relationship Id="rId50" Type="http://schemas.openxmlformats.org/officeDocument/2006/relationships/image" Target="media/image29.png"/><Relationship Id="rId5" Type="http://schemas.openxmlformats.org/officeDocument/2006/relationships/header" Target="header1.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endnotes" Target="endnotes.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jpe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jpe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png"/><Relationship Id="rId28" Type="http://schemas.openxmlformats.org/officeDocument/2006/relationships/image" Target="media/image7.jpe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5.xml"/><Relationship Id="rId153" Type="http://schemas.openxmlformats.org/officeDocument/2006/relationships/fontTable" Target="fontTable.xml"/><Relationship Id="rId152" Type="http://schemas.openxmlformats.org/officeDocument/2006/relationships/customXml" Target="../customXml/item2.xml"/><Relationship Id="rId151" Type="http://schemas.openxmlformats.org/officeDocument/2006/relationships/numbering" Target="numbering.xml"/><Relationship Id="rId150" Type="http://schemas.openxmlformats.org/officeDocument/2006/relationships/customXml" Target="../customXml/item1.xml"/><Relationship Id="rId15" Type="http://schemas.openxmlformats.org/officeDocument/2006/relationships/header" Target="header4.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emf"/><Relationship Id="rId145" Type="http://schemas.openxmlformats.org/officeDocument/2006/relationships/oleObject" Target="embeddings/oleObject1.bin"/><Relationship Id="rId144" Type="http://schemas.openxmlformats.org/officeDocument/2006/relationships/image" Target="media/image122.jpeg"/><Relationship Id="rId143" Type="http://schemas.openxmlformats.org/officeDocument/2006/relationships/image" Target="media/image121.png"/><Relationship Id="rId142" Type="http://schemas.openxmlformats.org/officeDocument/2006/relationships/image" Target="media/image120.png"/><Relationship Id="rId141" Type="http://schemas.openxmlformats.org/officeDocument/2006/relationships/image" Target="media/image119.png"/><Relationship Id="rId140" Type="http://schemas.openxmlformats.org/officeDocument/2006/relationships/image" Target="media/image118.png"/><Relationship Id="rId14" Type="http://schemas.openxmlformats.org/officeDocument/2006/relationships/footer" Target="footer7.xml"/><Relationship Id="rId139" Type="http://schemas.openxmlformats.org/officeDocument/2006/relationships/image" Target="media/image117.png"/><Relationship Id="rId138" Type="http://schemas.openxmlformats.org/officeDocument/2006/relationships/image" Target="media/image116.png"/><Relationship Id="rId137" Type="http://schemas.openxmlformats.org/officeDocument/2006/relationships/image" Target="media/image115.png"/><Relationship Id="rId136" Type="http://schemas.openxmlformats.org/officeDocument/2006/relationships/image" Target="media/image114.png"/><Relationship Id="rId135" Type="http://schemas.openxmlformats.org/officeDocument/2006/relationships/image" Target="media/image113.png"/><Relationship Id="rId134" Type="http://schemas.openxmlformats.org/officeDocument/2006/relationships/image" Target="media/image112.png"/><Relationship Id="rId133" Type="http://schemas.openxmlformats.org/officeDocument/2006/relationships/image" Target="media/image111.png"/><Relationship Id="rId132" Type="http://schemas.openxmlformats.org/officeDocument/2006/relationships/image" Target="media/image110.png"/><Relationship Id="rId131" Type="http://schemas.openxmlformats.org/officeDocument/2006/relationships/image" Target="media/image109.png"/><Relationship Id="rId130" Type="http://schemas.openxmlformats.org/officeDocument/2006/relationships/image" Target="media/image108.png"/><Relationship Id="rId13" Type="http://schemas.openxmlformats.org/officeDocument/2006/relationships/footer" Target="footer6.xml"/><Relationship Id="rId129" Type="http://schemas.openxmlformats.org/officeDocument/2006/relationships/image" Target="media/image107.png"/><Relationship Id="rId128" Type="http://schemas.openxmlformats.org/officeDocument/2006/relationships/image" Target="media/image106.png"/><Relationship Id="rId127" Type="http://schemas.openxmlformats.org/officeDocument/2006/relationships/image" Target="media/image105.png"/><Relationship Id="rId126" Type="http://schemas.openxmlformats.org/officeDocument/2006/relationships/image" Target="media/image104.png"/><Relationship Id="rId125" Type="http://schemas.openxmlformats.org/officeDocument/2006/relationships/image" Target="media/image103.png"/><Relationship Id="rId124" Type="http://schemas.openxmlformats.org/officeDocument/2006/relationships/image" Target="media/image102.png"/><Relationship Id="rId123" Type="http://schemas.openxmlformats.org/officeDocument/2006/relationships/image" Target="media/image101.png"/><Relationship Id="rId122" Type="http://schemas.openxmlformats.org/officeDocument/2006/relationships/image" Target="media/image100.png"/><Relationship Id="rId121" Type="http://schemas.openxmlformats.org/officeDocument/2006/relationships/image" Target="media/image99.png"/><Relationship Id="rId120" Type="http://schemas.openxmlformats.org/officeDocument/2006/relationships/image" Target="media/image98.png"/><Relationship Id="rId12" Type="http://schemas.openxmlformats.org/officeDocument/2006/relationships/footer" Target="footer5.xml"/><Relationship Id="rId119" Type="http://schemas.openxmlformats.org/officeDocument/2006/relationships/image" Target="media/image97.png"/><Relationship Id="rId118" Type="http://schemas.openxmlformats.org/officeDocument/2006/relationships/image" Target="media/image96.png"/><Relationship Id="rId117" Type="http://schemas.openxmlformats.org/officeDocument/2006/relationships/image" Target="media/image95.png"/><Relationship Id="rId116" Type="http://schemas.openxmlformats.org/officeDocument/2006/relationships/image" Target="media/image94.png"/><Relationship Id="rId115" Type="http://schemas.openxmlformats.org/officeDocument/2006/relationships/image" Target="media/image93.png"/><Relationship Id="rId114" Type="http://schemas.openxmlformats.org/officeDocument/2006/relationships/image" Target="media/image92.png"/><Relationship Id="rId113" Type="http://schemas.openxmlformats.org/officeDocument/2006/relationships/image" Target="media/image91.png"/><Relationship Id="rId112" Type="http://schemas.openxmlformats.org/officeDocument/2006/relationships/image" Target="media/image90.png"/><Relationship Id="rId111" Type="http://schemas.openxmlformats.org/officeDocument/2006/relationships/image" Target="media/image89.png"/><Relationship Id="rId110" Type="http://schemas.openxmlformats.org/officeDocument/2006/relationships/image" Target="media/image88.png"/><Relationship Id="rId11" Type="http://schemas.openxmlformats.org/officeDocument/2006/relationships/footer" Target="footer4.xml"/><Relationship Id="rId109" Type="http://schemas.openxmlformats.org/officeDocument/2006/relationships/image" Target="media/image87.png"/><Relationship Id="rId108" Type="http://schemas.openxmlformats.org/officeDocument/2006/relationships/image" Target="media/image86.png"/><Relationship Id="rId107" Type="http://schemas.openxmlformats.org/officeDocument/2006/relationships/image" Target="media/image85.png"/><Relationship Id="rId106" Type="http://schemas.openxmlformats.org/officeDocument/2006/relationships/image" Target="media/image84.png"/><Relationship Id="rId105" Type="http://schemas.openxmlformats.org/officeDocument/2006/relationships/image" Target="media/image83.png"/><Relationship Id="rId104" Type="http://schemas.openxmlformats.org/officeDocument/2006/relationships/image" Target="media/image82.png"/><Relationship Id="rId103" Type="http://schemas.openxmlformats.org/officeDocument/2006/relationships/image" Target="media/image81.png"/><Relationship Id="rId102" Type="http://schemas.openxmlformats.org/officeDocument/2006/relationships/image" Target="media/image80.png"/><Relationship Id="rId101" Type="http://schemas.openxmlformats.org/officeDocument/2006/relationships/image" Target="media/image79.png"/><Relationship Id="rId100" Type="http://schemas.openxmlformats.org/officeDocument/2006/relationships/image" Target="media/image78.jpe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1"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50DB3F-EAC6-4935-8180-5FD856E65BCE}">
  <ds:schemaRefs/>
</ds:datastoreItem>
</file>

<file path=docProps/app.xml><?xml version="1.0" encoding="utf-8"?>
<Properties xmlns="http://schemas.openxmlformats.org/officeDocument/2006/extended-properties" xmlns:vt="http://schemas.openxmlformats.org/officeDocument/2006/docPropsVTypes">
  <Template>Normal</Template>
  <Company>www.xpxzlt.cn</Company>
  <Pages>76</Pages>
  <Words>47655</Words>
  <Characters>53259</Characters>
  <Lines>127</Lines>
  <Paragraphs>35</Paragraphs>
  <TotalTime>65</TotalTime>
  <ScaleCrop>false</ScaleCrop>
  <LinksUpToDate>false</LinksUpToDate>
  <CharactersWithSpaces>55841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2020-01-07T01:08:00Z</dcterms:created>
  <dc:creator>999宝藏网</dc:creator>
  <cp:lastModifiedBy>楼莉岚</cp:lastModifiedBy>
  <cp:lastPrinted>2023-03-13T05:32:00Z</cp:lastPrinted>
  <dcterms:modified xsi:type="dcterms:W3CDTF">2023-03-24T11:40:52Z</dcterms:modified>
  <dc:title>兰溪市公共资源交易中心关于兰溪市中医院卫生保洁服务采购项目</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3D3CF7AC7A2440F68C12137768E0DDAF</vt:lpwstr>
  </property>
</Properties>
</file>