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FA6EC">
      <w:pPr>
        <w:shd w:val="clear" w:color="auto" w:fill="FFFFFF"/>
        <w:tabs>
          <w:tab w:val="left" w:pos="4500"/>
        </w:tabs>
        <w:snapToGrid w:val="0"/>
        <w:spacing w:line="360" w:lineRule="auto"/>
        <w:textAlignment w:val="bottom"/>
        <w:rPr>
          <w:rFonts w:ascii="宋体" w:hAnsi="宋体" w:cs="宋体"/>
          <w:b/>
          <w:bCs/>
          <w:color w:val="auto"/>
          <w:spacing w:val="6"/>
          <w:sz w:val="52"/>
          <w:szCs w:val="52"/>
          <w:highlight w:val="none"/>
        </w:rPr>
      </w:pPr>
      <w:r>
        <w:rPr>
          <w:rFonts w:hint="eastAsia" w:eastAsia="宋体"/>
          <w:b/>
          <w:bCs/>
          <w:color w:val="auto"/>
          <w:sz w:val="48"/>
          <w:szCs w:val="48"/>
          <w:highlight w:val="none"/>
          <w:lang w:eastAsia="zh-CN"/>
        </w:rPr>
        <w:drawing>
          <wp:inline distT="0" distB="0" distL="114300" distR="114300">
            <wp:extent cx="1609725" cy="1418590"/>
            <wp:effectExtent l="0" t="0" r="9525" b="10160"/>
            <wp:docPr id="15" name="图片 15" descr="acad6a001491df2c9cd3bd9f411f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cad6a001491df2c9cd3bd9f411f8e5"/>
                    <pic:cNvPicPr>
                      <a:picLocks noChangeAspect="1"/>
                    </pic:cNvPicPr>
                  </pic:nvPicPr>
                  <pic:blipFill>
                    <a:blip r:embed="rId17"/>
                    <a:stretch>
                      <a:fillRect/>
                    </a:stretch>
                  </pic:blipFill>
                  <pic:spPr>
                    <a:xfrm>
                      <a:off x="0" y="0"/>
                      <a:ext cx="1609725" cy="1418590"/>
                    </a:xfrm>
                    <a:prstGeom prst="rect">
                      <a:avLst/>
                    </a:prstGeom>
                  </pic:spPr>
                </pic:pic>
              </a:graphicData>
            </a:graphic>
          </wp:inline>
        </w:drawing>
      </w:r>
    </w:p>
    <w:p w14:paraId="573EA83E">
      <w:pPr>
        <w:shd w:val="clear" w:color="auto" w:fill="FFFFFF"/>
        <w:tabs>
          <w:tab w:val="left" w:pos="4500"/>
        </w:tabs>
        <w:snapToGrid w:val="0"/>
        <w:spacing w:line="360" w:lineRule="auto"/>
        <w:jc w:val="center"/>
        <w:textAlignment w:val="bottom"/>
        <w:rPr>
          <w:rFonts w:hint="eastAsia" w:ascii="宋体" w:hAnsi="宋体" w:cs="宋体"/>
          <w:b/>
          <w:bCs/>
          <w:color w:val="auto"/>
          <w:sz w:val="60"/>
          <w:szCs w:val="60"/>
          <w:highlight w:val="none"/>
          <w:lang w:eastAsia="zh-CN"/>
        </w:rPr>
      </w:pPr>
      <w:r>
        <w:rPr>
          <w:rFonts w:hint="eastAsia" w:ascii="宋体" w:hAnsi="宋体" w:cs="宋体"/>
          <w:b/>
          <w:bCs/>
          <w:color w:val="auto"/>
          <w:sz w:val="60"/>
          <w:szCs w:val="60"/>
          <w:highlight w:val="none"/>
          <w:lang w:eastAsia="zh-CN"/>
        </w:rPr>
        <w:t>台州学院药学院酶催化实验室仪器设备采购项目</w:t>
      </w:r>
    </w:p>
    <w:p w14:paraId="09635E6D">
      <w:pPr>
        <w:shd w:val="clear" w:color="auto" w:fill="FFFFFF"/>
        <w:tabs>
          <w:tab w:val="left" w:pos="4500"/>
        </w:tabs>
        <w:snapToGrid w:val="0"/>
        <w:spacing w:line="360" w:lineRule="auto"/>
        <w:jc w:val="both"/>
        <w:textAlignment w:val="bottom"/>
        <w:rPr>
          <w:rFonts w:ascii="宋体" w:hAnsi="宋体" w:cs="宋体"/>
          <w:b/>
          <w:bCs/>
          <w:color w:val="auto"/>
          <w:sz w:val="72"/>
          <w:szCs w:val="72"/>
          <w:highlight w:val="none"/>
        </w:rPr>
      </w:pPr>
    </w:p>
    <w:p w14:paraId="6C83BFC4">
      <w:pPr>
        <w:shd w:val="clear" w:color="auto" w:fill="FFFFFF"/>
        <w:tabs>
          <w:tab w:val="left" w:pos="4500"/>
        </w:tabs>
        <w:snapToGrid w:val="0"/>
        <w:spacing w:line="360" w:lineRule="auto"/>
        <w:jc w:val="center"/>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rPr>
        <w:t>公开采购文件</w:t>
      </w:r>
    </w:p>
    <w:p w14:paraId="6BDF1558">
      <w:pPr>
        <w:widowControl/>
        <w:spacing w:line="360" w:lineRule="auto"/>
        <w:ind w:right="-2"/>
        <w:jc w:val="center"/>
        <w:rPr>
          <w:rFonts w:ascii="宋体" w:hAnsi="宋体"/>
          <w:b/>
          <w:color w:val="auto"/>
          <w:sz w:val="36"/>
          <w:highlight w:val="none"/>
        </w:rPr>
      </w:pPr>
      <w:r>
        <w:rPr>
          <w:rFonts w:hint="eastAsia" w:ascii="宋体" w:hAnsi="宋体"/>
          <w:b/>
          <w:color w:val="auto"/>
          <w:sz w:val="36"/>
          <w:highlight w:val="none"/>
        </w:rPr>
        <w:t>（线上电子招投标）</w:t>
      </w:r>
    </w:p>
    <w:p w14:paraId="3B691AF5">
      <w:pPr>
        <w:shd w:val="clear" w:color="auto" w:fill="FFFFFF"/>
        <w:snapToGrid w:val="0"/>
        <w:spacing w:line="360" w:lineRule="auto"/>
        <w:textAlignment w:val="bottom"/>
        <w:rPr>
          <w:rFonts w:ascii="宋体" w:hAnsi="宋体" w:cs="宋体"/>
          <w:b/>
          <w:bCs/>
          <w:color w:val="auto"/>
          <w:sz w:val="48"/>
          <w:szCs w:val="48"/>
          <w:highlight w:val="none"/>
        </w:rPr>
      </w:pPr>
      <w:r>
        <w:rPr>
          <w:rFonts w:ascii="宋体" w:hAnsi="宋体" w:cs="宋体"/>
          <w:color w:val="auto"/>
          <w:sz w:val="48"/>
          <w:szCs w:val="48"/>
          <w:highlight w:val="none"/>
        </w:rPr>
        <mc:AlternateContent>
          <mc:Choice Requires="wps">
            <w:drawing>
              <wp:anchor distT="0" distB="0" distL="114300" distR="114300" simplePos="0" relativeHeight="251660288" behindDoc="0" locked="0" layoutInCell="0" allowOverlap="1">
                <wp:simplePos x="0" y="0"/>
                <wp:positionH relativeFrom="column">
                  <wp:posOffset>4191000</wp:posOffset>
                </wp:positionH>
                <wp:positionV relativeFrom="paragraph">
                  <wp:posOffset>72390</wp:posOffset>
                </wp:positionV>
                <wp:extent cx="635" cy="0"/>
                <wp:effectExtent l="0" t="4445" r="0" b="5080"/>
                <wp:wrapSquare wrapText="bothSides"/>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30pt;margin-top:5.7pt;height:0pt;width:0.05pt;mso-wrap-distance-bottom:0pt;mso-wrap-distance-left:9pt;mso-wrap-distance-right:9pt;mso-wrap-distance-top:0pt;z-index:251660288;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DtYH4l7QEAAOIDAAAOAAAAZHJzL2Uyb0RvYy54bWytU81uEzEQ&#10;viPxDpbvZNOgVmWVTQ8N5YIgEvAAE9u7a8l/8rjZ5CV4ASRucOLInbehPAZj7zaUcsmBPXjH4/E3&#10;830zXl7trWE7FVF71/Cz2Zwz5YSX2nUN//D+5tklZ5jASTDeqYYfFPKr1dMnyyHUauF7b6SKjEAc&#10;1kNoeJ9SqKsKRa8s4MwH5eiw9dFCom3sKhlhIHRrqsV8flENPsoQvVCI5F2Ph3xCjKcA+rbVQq29&#10;uLXKpRE1KgOJKGGvA/JVqbZtlUhv2xZVYqbhxDSVlZKQvc1rtVpC3UUIvRZTCXBKCY84WdCOkh6h&#10;1pCA3Ub9D5TVInr0bZoJb6uRSFGEWJzNH2nzroegCheSGsNRdPx/sOLNbhOZlg2ntjuw1PC7T99/&#10;fvzy68dnWu++fWWXWaQhYE2x124Tpx2GTcyM9220+U9c2L4IezgKq/aJCXJePD/nTNz7qz+XQsT0&#10;SnnLstFwo13mCzXsXmOiRBR6H5LdxrGh4S/OFxkOaPhaajqZNhABdF25i95oeaONyTcwdttrE9kO&#10;8gCUL9Mh3L/CcpI1YD/GlaNxNHoF8qWTLB0CSePoRfBcglWSM6PoAWWLAKFOoM0pkZTauHxBlfGc&#10;eGZ9R0WztfXyUISu8o5aXyqexjTP1sM92Q+f5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Le&#10;bdQAAAAJAQAADwAAAAAAAAABACAAAAAiAAAAZHJzL2Rvd25yZXYueG1sUEsBAhQAFAAAAAgAh07i&#10;QO1gfiXtAQAA4gMAAA4AAAAAAAAAAQAgAAAAIwEAAGRycy9lMm9Eb2MueG1sUEsFBgAAAAAGAAYA&#10;WQEAAIIFAAAAAA==&#10;">
                <v:fill on="f" focussize="0,0"/>
                <v:stroke color="#000000" joinstyle="round"/>
                <v:imagedata o:title=""/>
                <o:lock v:ext="edit" aspectratio="f"/>
                <w10:wrap type="square"/>
              </v:line>
            </w:pict>
          </mc:Fallback>
        </mc:AlternateContent>
      </w:r>
    </w:p>
    <w:p w14:paraId="031A6928">
      <w:pPr>
        <w:spacing w:line="360" w:lineRule="auto"/>
        <w:ind w:left="-210" w:leftChars="-100" w:right="-57" w:firstLine="1200" w:firstLineChars="400"/>
        <w:rPr>
          <w:rFonts w:hint="eastAsia"/>
          <w:color w:val="auto"/>
          <w:sz w:val="30"/>
          <w:szCs w:val="30"/>
          <w:highlight w:val="none"/>
        </w:rPr>
      </w:pPr>
    </w:p>
    <w:p w14:paraId="66A83D89">
      <w:pPr>
        <w:spacing w:line="360" w:lineRule="auto"/>
        <w:ind w:left="-210" w:leftChars="-100" w:right="-57" w:firstLine="1200" w:firstLineChars="400"/>
        <w:rPr>
          <w:rFonts w:hint="eastAsia" w:asciiTheme="minorEastAsia" w:hAnsiTheme="minorEastAsia" w:eastAsiaTheme="minorEastAsia"/>
          <w:color w:val="auto"/>
          <w:sz w:val="30"/>
          <w:szCs w:val="30"/>
          <w:highlight w:val="none"/>
          <w:lang w:eastAsia="zh-CN"/>
        </w:rPr>
      </w:pPr>
      <w:r>
        <w:rPr>
          <w:rFonts w:hint="eastAsia"/>
          <w:color w:val="auto"/>
          <w:sz w:val="30"/>
          <w:szCs w:val="30"/>
          <w:highlight w:val="none"/>
        </w:rPr>
        <w:t>项</w:t>
      </w:r>
      <w:r>
        <w:rPr>
          <w:rFonts w:hint="eastAsia" w:asciiTheme="minorEastAsia" w:hAnsiTheme="minorEastAsia" w:eastAsiaTheme="minorEastAsia"/>
          <w:color w:val="auto"/>
          <w:sz w:val="30"/>
          <w:szCs w:val="30"/>
          <w:highlight w:val="none"/>
        </w:rPr>
        <w:t>目</w:t>
      </w:r>
      <w:r>
        <w:rPr>
          <w:rFonts w:asciiTheme="minorEastAsia" w:hAnsiTheme="minorEastAsia" w:eastAsiaTheme="minorEastAsia"/>
          <w:color w:val="auto"/>
          <w:sz w:val="30"/>
          <w:szCs w:val="30"/>
          <w:highlight w:val="none"/>
        </w:rPr>
        <w:t>编号：</w:t>
      </w:r>
      <w:r>
        <w:rPr>
          <w:rFonts w:hint="eastAsia" w:asciiTheme="minorEastAsia" w:hAnsiTheme="minorEastAsia" w:eastAsiaTheme="minorEastAsia"/>
          <w:color w:val="auto"/>
          <w:sz w:val="30"/>
          <w:szCs w:val="30"/>
          <w:highlight w:val="none"/>
          <w:lang w:eastAsia="zh-CN"/>
        </w:rPr>
        <w:t>ZGTZZB2025-0607</w:t>
      </w:r>
    </w:p>
    <w:p w14:paraId="1413556F">
      <w:pPr>
        <w:spacing w:line="360" w:lineRule="auto"/>
        <w:ind w:left="-210" w:leftChars="-100" w:right="-57" w:firstLine="1200" w:firstLineChars="400"/>
        <w:rPr>
          <w:rFonts w:hint="eastAsia" w:eastAsia="宋体"/>
          <w:color w:val="auto"/>
          <w:sz w:val="30"/>
          <w:szCs w:val="30"/>
          <w:highlight w:val="none"/>
          <w:lang w:eastAsia="zh-CN"/>
        </w:rPr>
      </w:pPr>
      <w:r>
        <w:rPr>
          <w:color w:val="auto"/>
          <w:sz w:val="30"/>
          <w:szCs w:val="30"/>
          <w:highlight w:val="none"/>
        </w:rPr>
        <w:t>采购人：</w:t>
      </w:r>
      <w:r>
        <w:rPr>
          <w:rFonts w:hint="eastAsia" w:asciiTheme="minorEastAsia" w:hAnsiTheme="minorEastAsia" w:eastAsiaTheme="minorEastAsia"/>
          <w:color w:val="auto"/>
          <w:sz w:val="30"/>
          <w:szCs w:val="30"/>
          <w:highlight w:val="none"/>
          <w:lang w:eastAsia="zh-CN"/>
        </w:rPr>
        <w:t>台州学院</w:t>
      </w:r>
    </w:p>
    <w:p w14:paraId="0B5B52B6">
      <w:pPr>
        <w:spacing w:line="360" w:lineRule="auto"/>
        <w:ind w:left="-210" w:leftChars="-100" w:right="-57" w:firstLine="1200" w:firstLineChars="400"/>
        <w:rPr>
          <w:color w:val="auto"/>
          <w:sz w:val="30"/>
          <w:szCs w:val="30"/>
          <w:highlight w:val="none"/>
        </w:rPr>
      </w:pPr>
      <w:r>
        <w:rPr>
          <w:rFonts w:hint="eastAsia"/>
          <w:color w:val="auto"/>
          <w:sz w:val="30"/>
          <w:szCs w:val="30"/>
          <w:highlight w:val="none"/>
        </w:rPr>
        <w:t>采购代理机构</w:t>
      </w:r>
      <w:r>
        <w:rPr>
          <w:color w:val="auto"/>
          <w:sz w:val="30"/>
          <w:szCs w:val="30"/>
          <w:highlight w:val="none"/>
        </w:rPr>
        <w:t>：</w:t>
      </w:r>
      <w:bookmarkStart w:id="0" w:name="OLE_LINK15"/>
      <w:r>
        <w:rPr>
          <w:color w:val="auto"/>
          <w:sz w:val="30"/>
          <w:szCs w:val="30"/>
          <w:highlight w:val="none"/>
        </w:rPr>
        <w:t>中冠工程管理咨询有限公司</w:t>
      </w:r>
      <w:bookmarkEnd w:id="0"/>
    </w:p>
    <w:p w14:paraId="04854B0B">
      <w:pPr>
        <w:spacing w:line="360" w:lineRule="auto"/>
        <w:ind w:left="-210" w:leftChars="-100" w:right="-57" w:firstLine="1200" w:firstLineChars="400"/>
        <w:rPr>
          <w:color w:val="auto"/>
          <w:sz w:val="30"/>
          <w:szCs w:val="30"/>
          <w:highlight w:val="none"/>
        </w:rPr>
      </w:pPr>
      <w:r>
        <w:rPr>
          <w:color w:val="auto"/>
          <w:sz w:val="30"/>
          <w:szCs w:val="30"/>
          <w:highlight w:val="none"/>
        </w:rPr>
        <w:t>二〇</w:t>
      </w:r>
      <w:r>
        <w:rPr>
          <w:rFonts w:hint="eastAsia"/>
          <w:color w:val="auto"/>
          <w:sz w:val="30"/>
          <w:szCs w:val="30"/>
          <w:highlight w:val="none"/>
        </w:rPr>
        <w:t>二</w:t>
      </w:r>
      <w:r>
        <w:rPr>
          <w:rFonts w:hint="eastAsia"/>
          <w:color w:val="auto"/>
          <w:sz w:val="30"/>
          <w:szCs w:val="30"/>
          <w:highlight w:val="none"/>
          <w:lang w:eastAsia="zh-CN"/>
        </w:rPr>
        <w:t>五</w:t>
      </w:r>
      <w:r>
        <w:rPr>
          <w:color w:val="auto"/>
          <w:sz w:val="30"/>
          <w:szCs w:val="30"/>
          <w:highlight w:val="none"/>
        </w:rPr>
        <w:t>年</w:t>
      </w:r>
      <w:r>
        <w:rPr>
          <w:rFonts w:hint="eastAsia"/>
          <w:color w:val="auto"/>
          <w:sz w:val="30"/>
          <w:szCs w:val="30"/>
          <w:highlight w:val="none"/>
          <w:u w:val="single"/>
          <w:lang w:val="en-US" w:eastAsia="zh-CN"/>
        </w:rPr>
        <w:t xml:space="preserve">  六  </w:t>
      </w:r>
      <w:r>
        <w:rPr>
          <w:color w:val="auto"/>
          <w:sz w:val="30"/>
          <w:szCs w:val="30"/>
          <w:highlight w:val="none"/>
        </w:rPr>
        <w:t>月</w:t>
      </w:r>
    </w:p>
    <w:p w14:paraId="62683EB2">
      <w:pPr>
        <w:shd w:val="clear" w:color="auto" w:fill="FFFFFF"/>
        <w:snapToGrid w:val="0"/>
        <w:spacing w:line="480" w:lineRule="auto"/>
        <w:ind w:firstLine="425"/>
        <w:textAlignment w:val="bottom"/>
        <w:rPr>
          <w:rFonts w:ascii="宋体" w:hAnsi="宋体" w:cs="宋体"/>
          <w:b/>
          <w:bCs/>
          <w:color w:val="auto"/>
          <w:sz w:val="30"/>
          <w:szCs w:val="30"/>
          <w:highlight w:val="none"/>
        </w:rPr>
      </w:pPr>
    </w:p>
    <w:p w14:paraId="7E1B43CB">
      <w:pPr>
        <w:pageBreakBefore/>
        <w:shd w:val="clear" w:color="auto" w:fill="FFFFFF"/>
        <w:snapToGrid w:val="0"/>
        <w:spacing w:line="360" w:lineRule="auto"/>
        <w:jc w:val="center"/>
        <w:rPr>
          <w:rFonts w:ascii="宋体" w:hAnsi="宋体" w:cs="宋体"/>
          <w:b/>
          <w:bCs/>
          <w:color w:val="auto"/>
          <w:sz w:val="24"/>
          <w:highlight w:val="none"/>
        </w:rPr>
        <w:sectPr>
          <w:footerReference r:id="rId3" w:type="first"/>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sectPr>
      </w:pPr>
    </w:p>
    <w:p w14:paraId="433FCFA8">
      <w:pPr>
        <w:spacing w:line="600" w:lineRule="auto"/>
        <w:jc w:val="center"/>
        <w:rPr>
          <w:rFonts w:ascii="宋体" w:hAnsi="宋体"/>
          <w:b/>
          <w:bCs/>
          <w:color w:val="auto"/>
          <w:sz w:val="44"/>
          <w:szCs w:val="44"/>
          <w:highlight w:val="none"/>
        </w:rPr>
      </w:pPr>
      <w:r>
        <w:rPr>
          <w:rFonts w:ascii="宋体" w:hAnsi="宋体"/>
          <w:b/>
          <w:bCs/>
          <w:color w:val="auto"/>
          <w:sz w:val="44"/>
          <w:szCs w:val="44"/>
          <w:highlight w:val="none"/>
        </w:rPr>
        <w:t>目录</w:t>
      </w:r>
    </w:p>
    <w:p w14:paraId="1B6266AC">
      <w:pPr>
        <w:pStyle w:val="21"/>
        <w:spacing w:line="600" w:lineRule="auto"/>
        <w:rPr>
          <w:b/>
          <w:bCs/>
          <w:color w:val="auto"/>
          <w:highlight w:val="none"/>
        </w:rPr>
      </w:pPr>
    </w:p>
    <w:p w14:paraId="4C097B1D">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TOC \o "1-1" \h \u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_Toc28085 </w:instrText>
      </w:r>
      <w:r>
        <w:rPr>
          <w:rFonts w:hint="eastAsia" w:ascii="宋体" w:hAnsi="宋体" w:eastAsia="宋体" w:cs="宋体"/>
          <w:bCs w:val="0"/>
          <w:color w:val="auto"/>
          <w:sz w:val="28"/>
          <w:szCs w:val="28"/>
          <w:highlight w:val="none"/>
        </w:rPr>
        <w:fldChar w:fldCharType="separate"/>
      </w:r>
      <w:r>
        <w:rPr>
          <w:rFonts w:hint="eastAsia" w:ascii="宋体" w:hAnsi="宋体" w:cs="宋体"/>
          <w:bCs/>
          <w:color w:val="auto"/>
          <w:sz w:val="28"/>
          <w:szCs w:val="28"/>
          <w:highlight w:val="none"/>
        </w:rPr>
        <w:t>第一部分  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_Toc28085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6BD59139">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_Toc20966 </w:instrText>
      </w:r>
      <w:r>
        <w:rPr>
          <w:rFonts w:hint="eastAsia" w:ascii="宋体" w:hAnsi="宋体" w:eastAsia="宋体" w:cs="宋体"/>
          <w:bCs w:val="0"/>
          <w:color w:val="auto"/>
          <w:sz w:val="28"/>
          <w:szCs w:val="28"/>
          <w:highlight w:val="none"/>
        </w:rPr>
        <w:fldChar w:fldCharType="separate"/>
      </w:r>
      <w:r>
        <w:rPr>
          <w:rFonts w:hint="eastAsia" w:cs="宋体" w:asciiTheme="minorEastAsia" w:hAnsiTheme="minorEastAsia" w:eastAsiaTheme="minorEastAsia"/>
          <w:bCs/>
          <w:color w:val="auto"/>
          <w:sz w:val="28"/>
          <w:szCs w:val="28"/>
          <w:highlight w:val="none"/>
        </w:rPr>
        <w:t>第二部分  投标资料表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_Toc20966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1FC8BAFB">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_Toc11910 </w:instrText>
      </w:r>
      <w:r>
        <w:rPr>
          <w:rFonts w:hint="eastAsia" w:ascii="宋体" w:hAnsi="宋体" w:eastAsia="宋体" w:cs="宋体"/>
          <w:bCs w:val="0"/>
          <w:color w:val="auto"/>
          <w:sz w:val="28"/>
          <w:szCs w:val="28"/>
          <w:highlight w:val="none"/>
        </w:rPr>
        <w:fldChar w:fldCharType="separate"/>
      </w:r>
      <w:r>
        <w:rPr>
          <w:rFonts w:hint="eastAsia" w:asciiTheme="minorEastAsia" w:hAnsiTheme="minorEastAsia" w:eastAsiaTheme="minorEastAsia"/>
          <w:bCs/>
          <w:color w:val="auto"/>
          <w:sz w:val="28"/>
          <w:szCs w:val="28"/>
          <w:highlight w:val="none"/>
        </w:rPr>
        <w:t>第三部分  投标</w:t>
      </w:r>
      <w:r>
        <w:rPr>
          <w:rFonts w:hint="eastAsia" w:asciiTheme="minorEastAsia" w:hAnsiTheme="minorEastAsia" w:eastAsiaTheme="minorEastAsia"/>
          <w:bCs/>
          <w:color w:val="auto"/>
          <w:sz w:val="28"/>
          <w:szCs w:val="28"/>
          <w:highlight w:val="none"/>
          <w:lang w:eastAsia="zh-CN"/>
        </w:rPr>
        <w:t>人</w:t>
      </w:r>
      <w:r>
        <w:rPr>
          <w:rFonts w:hint="eastAsia" w:asciiTheme="minorEastAsia" w:hAnsiTheme="minorEastAsia" w:eastAsiaTheme="minorEastAsia"/>
          <w:bCs/>
          <w:color w:val="auto"/>
          <w:sz w:val="28"/>
          <w:szCs w:val="28"/>
          <w:highlight w:val="none"/>
        </w:rPr>
        <w:t>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_Toc11910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5E27E98D">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_Toc3645 </w:instrText>
      </w:r>
      <w:r>
        <w:rPr>
          <w:rFonts w:hint="eastAsia" w:ascii="宋体" w:hAnsi="宋体" w:eastAsia="宋体" w:cs="宋体"/>
          <w:bCs w:val="0"/>
          <w:color w:val="auto"/>
          <w:sz w:val="28"/>
          <w:szCs w:val="28"/>
          <w:highlight w:val="none"/>
        </w:rPr>
        <w:fldChar w:fldCharType="separate"/>
      </w:r>
      <w:r>
        <w:rPr>
          <w:rFonts w:hint="eastAsia" w:asciiTheme="minorEastAsia" w:hAnsiTheme="minorEastAsia" w:eastAsiaTheme="minorEastAsia"/>
          <w:color w:val="auto"/>
          <w:sz w:val="28"/>
          <w:szCs w:val="28"/>
          <w:highlight w:val="none"/>
        </w:rPr>
        <w:t xml:space="preserve">第四部分 </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_Toc3645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6213DD93">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_Toc6847 </w:instrText>
      </w:r>
      <w:r>
        <w:rPr>
          <w:rFonts w:hint="eastAsia" w:ascii="宋体" w:hAnsi="宋体" w:eastAsia="宋体" w:cs="宋体"/>
          <w:bCs w:val="0"/>
          <w:color w:val="auto"/>
          <w:sz w:val="28"/>
          <w:szCs w:val="28"/>
          <w:highlight w:val="none"/>
        </w:rPr>
        <w:fldChar w:fldCharType="separate"/>
      </w:r>
      <w:r>
        <w:rPr>
          <w:rFonts w:hint="eastAsia" w:asciiTheme="minorEastAsia" w:hAnsiTheme="minorEastAsia" w:eastAsiaTheme="minorEastAsia"/>
          <w:color w:val="auto"/>
          <w:sz w:val="28"/>
          <w:szCs w:val="28"/>
          <w:highlight w:val="none"/>
        </w:rPr>
        <w:t>第五部分  采购内容及要求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_Toc6847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021466EA">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_Toc1509 </w:instrText>
      </w:r>
      <w:r>
        <w:rPr>
          <w:rFonts w:hint="eastAsia" w:ascii="宋体" w:hAnsi="宋体" w:eastAsia="宋体" w:cs="宋体"/>
          <w:bCs w:val="0"/>
          <w:color w:val="auto"/>
          <w:sz w:val="28"/>
          <w:szCs w:val="28"/>
          <w:highlight w:val="none"/>
        </w:rPr>
        <w:fldChar w:fldCharType="separate"/>
      </w:r>
      <w:r>
        <w:rPr>
          <w:rFonts w:hint="eastAsia" w:asciiTheme="minorEastAsia" w:hAnsiTheme="minorEastAsia" w:eastAsiaTheme="minorEastAsia"/>
          <w:color w:val="auto"/>
          <w:sz w:val="28"/>
          <w:szCs w:val="28"/>
          <w:highlight w:val="none"/>
        </w:rPr>
        <w:t xml:space="preserve">第六部分 </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_Toc1509 \h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1740F203">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_Toc13438 </w:instrText>
      </w:r>
      <w:r>
        <w:rPr>
          <w:rFonts w:hint="eastAsia" w:ascii="宋体" w:hAnsi="宋体" w:eastAsia="宋体" w:cs="宋体"/>
          <w:bCs w:val="0"/>
          <w:color w:val="auto"/>
          <w:sz w:val="28"/>
          <w:szCs w:val="28"/>
          <w:highlight w:val="none"/>
        </w:rPr>
        <w:fldChar w:fldCharType="separate"/>
      </w:r>
      <w:r>
        <w:rPr>
          <w:rFonts w:hint="eastAsia" w:ascii="宋体" w:hAnsi="宋体" w:eastAsia="宋体" w:cs="宋体"/>
          <w:color w:val="auto"/>
          <w:sz w:val="28"/>
          <w:szCs w:val="28"/>
          <w:highlight w:val="none"/>
        </w:rPr>
        <w:t xml:space="preserve">第七部分  </w:t>
      </w:r>
      <w:r>
        <w:rPr>
          <w:rFonts w:hint="eastAsia" w:ascii="宋体" w:hAnsi="宋体" w:eastAsia="宋体" w:cs="宋体"/>
          <w:bCs/>
          <w:color w:val="auto"/>
          <w:sz w:val="28"/>
          <w:szCs w:val="28"/>
          <w:highlight w:val="none"/>
        </w:rPr>
        <w:t>格式与表格</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_Toc13438 \h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2C83CAA6">
      <w:pPr>
        <w:pStyle w:val="33"/>
        <w:tabs>
          <w:tab w:val="right" w:leader="dot" w:pos="8306"/>
          <w:tab w:val="clear" w:pos="8789"/>
        </w:tabs>
        <w:rPr>
          <w:color w:val="auto"/>
          <w:highlight w:val="none"/>
        </w:rPr>
      </w:pPr>
    </w:p>
    <w:p w14:paraId="10D3D182">
      <w:pPr>
        <w:spacing w:line="720" w:lineRule="auto"/>
        <w:rPr>
          <w:rFonts w:hint="eastAsia" w:ascii="宋体" w:hAnsi="宋体" w:eastAsia="宋体" w:cs="宋体"/>
          <w:b/>
          <w:bCs w:val="0"/>
          <w:color w:val="auto"/>
          <w:sz w:val="28"/>
          <w:szCs w:val="28"/>
          <w:highlight w:val="none"/>
        </w:rPr>
      </w:pPr>
      <w:r>
        <w:rPr>
          <w:rFonts w:hint="eastAsia" w:ascii="宋体" w:hAnsi="宋体" w:eastAsia="宋体" w:cs="宋体"/>
          <w:bCs w:val="0"/>
          <w:color w:val="auto"/>
          <w:szCs w:val="28"/>
          <w:highlight w:val="none"/>
        </w:rPr>
        <w:fldChar w:fldCharType="end"/>
      </w:r>
    </w:p>
    <w:p w14:paraId="20F1330D">
      <w:pPr>
        <w:pStyle w:val="21"/>
        <w:rPr>
          <w:color w:val="auto"/>
          <w:highlight w:val="none"/>
        </w:rPr>
      </w:pPr>
    </w:p>
    <w:p w14:paraId="76099DE2">
      <w:pPr>
        <w:rPr>
          <w:color w:val="auto"/>
          <w:highlight w:val="none"/>
        </w:rPr>
      </w:pPr>
    </w:p>
    <w:p w14:paraId="3578E5C7">
      <w:pPr>
        <w:pStyle w:val="21"/>
        <w:rPr>
          <w:color w:val="auto"/>
          <w:highlight w:val="none"/>
        </w:rPr>
      </w:pPr>
    </w:p>
    <w:p w14:paraId="5CB1C77E">
      <w:pPr>
        <w:rPr>
          <w:color w:val="auto"/>
          <w:highlight w:val="none"/>
        </w:rPr>
      </w:pPr>
    </w:p>
    <w:p w14:paraId="19DE2956">
      <w:pPr>
        <w:pStyle w:val="21"/>
        <w:rPr>
          <w:color w:val="auto"/>
          <w:highlight w:val="none"/>
        </w:rPr>
      </w:pPr>
    </w:p>
    <w:p w14:paraId="053EABE8">
      <w:pPr>
        <w:rPr>
          <w:color w:val="auto"/>
          <w:highlight w:val="none"/>
        </w:rPr>
      </w:pPr>
    </w:p>
    <w:p w14:paraId="7B71A8A8">
      <w:pPr>
        <w:pStyle w:val="21"/>
        <w:rPr>
          <w:color w:val="auto"/>
          <w:highlight w:val="none"/>
        </w:rPr>
      </w:pPr>
    </w:p>
    <w:p w14:paraId="51C26CCB">
      <w:pPr>
        <w:rPr>
          <w:color w:val="auto"/>
          <w:highlight w:val="none"/>
        </w:rPr>
      </w:pPr>
    </w:p>
    <w:p w14:paraId="3F90FEED">
      <w:pPr>
        <w:pStyle w:val="21"/>
        <w:rPr>
          <w:color w:val="auto"/>
          <w:highlight w:val="none"/>
        </w:rPr>
      </w:pPr>
    </w:p>
    <w:p w14:paraId="14D0DDFD">
      <w:pPr>
        <w:rPr>
          <w:color w:val="auto"/>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3FA5502">
      <w:pPr>
        <w:pageBreakBefore/>
        <w:shd w:val="clear" w:color="auto" w:fill="FFFFFF"/>
        <w:snapToGrid w:val="0"/>
        <w:spacing w:line="500" w:lineRule="exact"/>
        <w:ind w:left="105"/>
        <w:jc w:val="center"/>
        <w:outlineLvl w:val="0"/>
        <w:rPr>
          <w:rFonts w:ascii="宋体" w:hAnsi="宋体" w:cs="宋体"/>
          <w:b/>
          <w:bCs/>
          <w:color w:val="auto"/>
          <w:sz w:val="32"/>
          <w:szCs w:val="32"/>
          <w:highlight w:val="none"/>
        </w:rPr>
      </w:pPr>
      <w:bookmarkStart w:id="1" w:name="_Toc28085"/>
      <w:bookmarkStart w:id="2" w:name="_Toc18128"/>
      <w:bookmarkStart w:id="3" w:name="_Toc8375"/>
      <w:bookmarkStart w:id="4" w:name="_Toc11758"/>
      <w:bookmarkStart w:id="5" w:name="_Toc12459"/>
      <w:bookmarkStart w:id="6" w:name="_Toc25290"/>
      <w:bookmarkStart w:id="7" w:name="_Toc1038"/>
      <w:r>
        <w:rPr>
          <w:rFonts w:hint="eastAsia" w:ascii="宋体" w:hAnsi="宋体" w:cs="宋体"/>
          <w:b/>
          <w:bCs/>
          <w:color w:val="auto"/>
          <w:sz w:val="32"/>
          <w:szCs w:val="32"/>
          <w:highlight w:val="none"/>
        </w:rPr>
        <w:t>第一部分  采购公告</w:t>
      </w:r>
      <w:bookmarkEnd w:id="1"/>
      <w:bookmarkEnd w:id="2"/>
      <w:bookmarkEnd w:id="3"/>
      <w:bookmarkEnd w:id="4"/>
      <w:bookmarkEnd w:id="5"/>
      <w:bookmarkEnd w:id="6"/>
      <w:bookmarkEnd w:id="7"/>
    </w:p>
    <w:p w14:paraId="2490CA1A">
      <w:pPr>
        <w:pBdr>
          <w:top w:val="single" w:color="auto" w:sz="4" w:space="1"/>
          <w:left w:val="single" w:color="auto" w:sz="4" w:space="4"/>
          <w:bottom w:val="single" w:color="auto" w:sz="4" w:space="1"/>
          <w:right w:val="single" w:color="auto" w:sz="4" w:space="4"/>
        </w:pBdr>
        <w:spacing w:line="380" w:lineRule="exact"/>
        <w:rPr>
          <w:rFonts w:asciiTheme="minorEastAsia" w:hAnsiTheme="minorEastAsia" w:eastAsiaTheme="minorEastAsia"/>
          <w:color w:val="auto"/>
          <w:sz w:val="24"/>
          <w:highlight w:val="none"/>
        </w:rPr>
      </w:pPr>
      <w:bookmarkStart w:id="8" w:name="_Hlk51884093"/>
      <w:bookmarkStart w:id="9" w:name="_Toc262312595"/>
      <w:bookmarkStart w:id="10" w:name="_Toc263083249"/>
      <w:r>
        <w:rPr>
          <w:rFonts w:hint="eastAsia" w:asciiTheme="minorEastAsia" w:hAnsiTheme="minorEastAsia" w:eastAsiaTheme="minorEastAsia"/>
          <w:color w:val="auto"/>
          <w:szCs w:val="21"/>
          <w:highlight w:val="none"/>
        </w:rPr>
        <w:t>项</w:t>
      </w:r>
      <w:r>
        <w:rPr>
          <w:rFonts w:hint="eastAsia" w:asciiTheme="minorEastAsia" w:hAnsiTheme="minorEastAsia" w:eastAsiaTheme="minorEastAsia"/>
          <w:color w:val="auto"/>
          <w:sz w:val="24"/>
          <w:highlight w:val="none"/>
        </w:rPr>
        <w:t>目概况</w:t>
      </w:r>
    </w:p>
    <w:p w14:paraId="54071FCD">
      <w:pPr>
        <w:pBdr>
          <w:top w:val="single" w:color="auto" w:sz="4" w:space="1"/>
          <w:left w:val="single" w:color="auto" w:sz="4" w:space="4"/>
          <w:bottom w:val="single" w:color="auto" w:sz="4" w:space="1"/>
          <w:right w:val="single" w:color="auto" w:sz="4" w:space="4"/>
        </w:pBdr>
        <w:spacing w:line="380" w:lineRule="exact"/>
        <w:ind w:firstLine="480" w:firstLineChars="200"/>
        <w:rPr>
          <w:rFonts w:asciiTheme="minorEastAsia" w:hAnsiTheme="minorEastAsia" w:eastAsiaTheme="minorEastAsia"/>
          <w:color w:val="auto"/>
          <w:sz w:val="24"/>
          <w:highlight w:val="none"/>
          <w:u w:val="single"/>
        </w:rPr>
      </w:pPr>
      <w:bookmarkStart w:id="11" w:name="OLE_LINK10"/>
      <w:r>
        <w:rPr>
          <w:rFonts w:hint="eastAsia" w:asciiTheme="minorEastAsia" w:hAnsiTheme="minorEastAsia" w:eastAsiaTheme="minorEastAsia"/>
          <w:color w:val="auto"/>
          <w:sz w:val="24"/>
          <w:highlight w:val="none"/>
          <w:u w:val="single"/>
          <w:lang w:eastAsia="zh-CN"/>
        </w:rPr>
        <w:t>台州学院药学院酶催化实验室仪器设备采购项目</w:t>
      </w:r>
      <w:bookmarkEnd w:id="11"/>
      <w:r>
        <w:rPr>
          <w:rFonts w:hint="eastAsia" w:asciiTheme="minorEastAsia" w:hAnsiTheme="minorEastAsia" w:eastAsiaTheme="minorEastAsia"/>
          <w:color w:val="auto"/>
          <w:sz w:val="24"/>
          <w:highlight w:val="none"/>
        </w:rPr>
        <w:t>的潜在投标人应在</w:t>
      </w:r>
      <w:r>
        <w:rPr>
          <w:rFonts w:hint="eastAsia" w:asciiTheme="minorEastAsia" w:hAnsiTheme="minorEastAsia" w:eastAsiaTheme="minorEastAsia"/>
          <w:color w:val="auto"/>
          <w:sz w:val="24"/>
          <w:highlight w:val="none"/>
          <w:u w:val="single"/>
        </w:rPr>
        <w:t>政采云平台</w:t>
      </w:r>
      <w:r>
        <w:rPr>
          <w:rFonts w:hint="eastAsia" w:asciiTheme="minorEastAsia" w:hAnsiTheme="minorEastAsia" w:eastAsiaTheme="minorEastAsia"/>
          <w:color w:val="auto"/>
          <w:sz w:val="24"/>
          <w:highlight w:val="none"/>
        </w:rPr>
        <w:t>获取采购文件，并于2025年07月22日</w:t>
      </w:r>
      <w:r>
        <w:rPr>
          <w:rFonts w:hint="eastAsia" w:asciiTheme="minorEastAsia" w:hAnsiTheme="minorEastAsia" w:eastAsiaTheme="minorEastAsia"/>
          <w:bCs/>
          <w:color w:val="auto"/>
          <w:sz w:val="24"/>
          <w:highlight w:val="none"/>
          <w:u w:val="single"/>
        </w:rPr>
        <w:t>09点00分（</w:t>
      </w:r>
      <w:r>
        <w:rPr>
          <w:rFonts w:hint="eastAsia" w:asciiTheme="minorEastAsia" w:hAnsiTheme="minorEastAsia" w:eastAsiaTheme="minorEastAsia"/>
          <w:bCs/>
          <w:color w:val="auto"/>
          <w:sz w:val="24"/>
          <w:highlight w:val="none"/>
        </w:rPr>
        <w:t>北京时间）前递交投标文件</w:t>
      </w:r>
      <w:r>
        <w:rPr>
          <w:rFonts w:hint="eastAsia" w:asciiTheme="minorEastAsia" w:hAnsiTheme="minorEastAsia" w:eastAsiaTheme="minorEastAsia"/>
          <w:color w:val="auto"/>
          <w:sz w:val="24"/>
          <w:highlight w:val="none"/>
        </w:rPr>
        <w:t>。</w:t>
      </w:r>
    </w:p>
    <w:p w14:paraId="00BB7DC8">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一、项目基本情况</w:t>
      </w:r>
    </w:p>
    <w:p w14:paraId="2F08717F">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项目编号：</w:t>
      </w:r>
      <w:bookmarkStart w:id="12" w:name="OLE_LINK17"/>
      <w:r>
        <w:rPr>
          <w:rFonts w:hint="eastAsia" w:cs="宋体" w:asciiTheme="minorEastAsia" w:hAnsiTheme="minorEastAsia" w:eastAsiaTheme="minorEastAsia"/>
          <w:color w:val="auto"/>
          <w:sz w:val="24"/>
          <w:highlight w:val="none"/>
          <w:lang w:eastAsia="zh-CN"/>
        </w:rPr>
        <w:t>ZGTZZB2025-0607</w:t>
      </w:r>
      <w:bookmarkEnd w:id="12"/>
    </w:p>
    <w:p w14:paraId="1E957528">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项目名称：</w:t>
      </w:r>
      <w:bookmarkStart w:id="13" w:name="OLE_LINK18"/>
      <w:r>
        <w:rPr>
          <w:rFonts w:hint="eastAsia" w:cs="宋体" w:asciiTheme="minorEastAsia" w:hAnsiTheme="minorEastAsia" w:eastAsiaTheme="minorEastAsia"/>
          <w:color w:val="auto"/>
          <w:sz w:val="24"/>
          <w:highlight w:val="none"/>
          <w:lang w:eastAsia="zh-CN"/>
        </w:rPr>
        <w:t>台州学院药学院酶催化实验室仪器设备采购项目</w:t>
      </w:r>
      <w:bookmarkEnd w:id="13"/>
    </w:p>
    <w:p w14:paraId="2B1CFB73">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预算金额</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528000</w:t>
      </w:r>
    </w:p>
    <w:p w14:paraId="05DB716A">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528000</w:t>
      </w:r>
    </w:p>
    <w:p w14:paraId="0ABC182E">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采购需求：</w:t>
      </w:r>
      <w:r>
        <w:rPr>
          <w:rFonts w:hint="eastAsia" w:cs="宋体" w:asciiTheme="minorEastAsia" w:hAnsiTheme="minorEastAsia" w:eastAsiaTheme="minorEastAsia"/>
          <w:color w:val="auto"/>
          <w:sz w:val="24"/>
          <w:highlight w:val="none"/>
        </w:rPr>
        <w:t>详见采购文件第五部分“采购内容及要求”</w:t>
      </w:r>
    </w:p>
    <w:p w14:paraId="6B273A3C">
      <w:pPr>
        <w:pStyle w:val="43"/>
        <w:spacing w:before="0" w:beforeAutospacing="0" w:after="0" w:afterAutospacing="0" w:line="380" w:lineRule="exact"/>
        <w:ind w:firstLine="482" w:firstLineChars="200"/>
        <w:contextualSpacing/>
        <w:rPr>
          <w:rFonts w:hint="eastAsia" w:asciiTheme="minorEastAsia" w:hAnsiTheme="minorEastAsia" w:eastAsiaTheme="minorEastAsia"/>
          <w:b/>
          <w:bCs/>
          <w:color w:val="auto"/>
          <w:kern w:val="2"/>
          <w:highlight w:val="none"/>
        </w:rPr>
      </w:pPr>
    </w:p>
    <w:p w14:paraId="35C92C8D">
      <w:pPr>
        <w:pStyle w:val="43"/>
        <w:spacing w:before="0" w:beforeAutospacing="0" w:after="0" w:afterAutospacing="0" w:line="380" w:lineRule="exact"/>
        <w:ind w:firstLine="482" w:firstLineChars="200"/>
        <w:contextualSpacing/>
        <w:rPr>
          <w:rFonts w:asciiTheme="minorEastAsia" w:hAnsiTheme="minorEastAsia" w:eastAsiaTheme="minorEastAsia"/>
          <w:b/>
          <w:bCs/>
          <w:color w:val="auto"/>
          <w:kern w:val="2"/>
          <w:highlight w:val="none"/>
        </w:rPr>
      </w:pPr>
      <w:r>
        <w:rPr>
          <w:rFonts w:hint="eastAsia" w:asciiTheme="minorEastAsia" w:hAnsiTheme="minorEastAsia" w:eastAsiaTheme="minorEastAsia"/>
          <w:b/>
          <w:bCs/>
          <w:color w:val="auto"/>
          <w:kern w:val="2"/>
          <w:highlight w:val="none"/>
        </w:rPr>
        <w:t>标项一：</w:t>
      </w:r>
    </w:p>
    <w:p w14:paraId="36C6149D">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lang w:eastAsia="zh-CN"/>
        </w:rPr>
      </w:pPr>
      <w:r>
        <w:rPr>
          <w:rFonts w:hint="eastAsia" w:asciiTheme="minorEastAsia" w:hAnsiTheme="minorEastAsia" w:eastAsiaTheme="minorEastAsia"/>
          <w:color w:val="auto"/>
          <w:kern w:val="2"/>
          <w:highlight w:val="none"/>
        </w:rPr>
        <w:t>标项名称：</w:t>
      </w:r>
      <w:r>
        <w:rPr>
          <w:rFonts w:hint="eastAsia" w:cs="宋体" w:asciiTheme="minorEastAsia" w:hAnsiTheme="minorEastAsia" w:eastAsiaTheme="minorEastAsia"/>
          <w:color w:val="auto"/>
          <w:sz w:val="24"/>
          <w:highlight w:val="none"/>
          <w:lang w:eastAsia="zh-CN"/>
        </w:rPr>
        <w:t>台州学院药学院酶催化实验室仪器设备采购项目</w:t>
      </w:r>
    </w:p>
    <w:p w14:paraId="744645B6">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数量：1</w:t>
      </w:r>
      <w:r>
        <w:rPr>
          <w:rFonts w:hint="eastAsia" w:asciiTheme="minorEastAsia" w:hAnsiTheme="minorEastAsia" w:eastAsiaTheme="minorEastAsia"/>
          <w:color w:val="auto"/>
          <w:kern w:val="2"/>
          <w:highlight w:val="none"/>
          <w:lang w:val="en-US" w:eastAsia="zh-CN"/>
        </w:rPr>
        <w:t>批</w:t>
      </w:r>
    </w:p>
    <w:p w14:paraId="2229D68C">
      <w:pPr>
        <w:pStyle w:val="43"/>
        <w:spacing w:before="0" w:beforeAutospacing="0" w:after="0" w:afterAutospacing="0" w:line="380" w:lineRule="exact"/>
        <w:ind w:firstLine="480" w:firstLineChars="200"/>
        <w:contextualSpacing/>
        <w:rPr>
          <w:rFonts w:hint="eastAsia" w:cs="宋体"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kern w:val="2"/>
          <w:highlight w:val="none"/>
        </w:rPr>
        <w:t>预算金额（元）：</w:t>
      </w:r>
      <w:r>
        <w:rPr>
          <w:rFonts w:hint="eastAsia" w:asciiTheme="minorEastAsia" w:hAnsiTheme="minorEastAsia" w:eastAsiaTheme="minorEastAsia"/>
          <w:color w:val="auto"/>
          <w:kern w:val="2"/>
          <w:highlight w:val="none"/>
          <w:lang w:eastAsia="zh-CN"/>
        </w:rPr>
        <w:t>528000</w:t>
      </w:r>
    </w:p>
    <w:p w14:paraId="68D9E9B1">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lang w:eastAsia="zh-CN"/>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hint="eastAsia" w:asciiTheme="minorEastAsia" w:hAnsiTheme="minorEastAsia" w:eastAsiaTheme="minorEastAsia"/>
          <w:color w:val="auto"/>
          <w:kern w:val="2"/>
          <w:highlight w:val="none"/>
        </w:rPr>
        <w:t>）：</w:t>
      </w:r>
      <w:r>
        <w:rPr>
          <w:rFonts w:hint="eastAsia" w:asciiTheme="minorEastAsia" w:hAnsiTheme="minorEastAsia" w:eastAsiaTheme="minorEastAsia"/>
          <w:color w:val="auto"/>
          <w:kern w:val="2"/>
          <w:highlight w:val="none"/>
          <w:lang w:eastAsia="zh-CN"/>
        </w:rPr>
        <w:t>528000</w:t>
      </w:r>
    </w:p>
    <w:p w14:paraId="73C6372E">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简要规格描述或项目基本概况介绍、用途：具体内容详见采购文件第五部分“采购内容及要求”。</w:t>
      </w:r>
    </w:p>
    <w:p w14:paraId="4B6E886C">
      <w:pPr>
        <w:pStyle w:val="43"/>
        <w:spacing w:before="0" w:beforeAutospacing="0" w:after="0" w:afterAutospacing="0" w:line="380" w:lineRule="exact"/>
        <w:ind w:firstLine="48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eastAsiaTheme="minorEastAsia"/>
          <w:color w:val="auto"/>
          <w:kern w:val="2"/>
          <w:highlight w:val="none"/>
          <w:lang w:eastAsia="zh-CN"/>
        </w:rPr>
        <w:t>交</w:t>
      </w:r>
      <w:r>
        <w:rPr>
          <w:rFonts w:hint="eastAsia" w:cs="宋体" w:asciiTheme="minorEastAsia" w:hAnsiTheme="minorEastAsia" w:eastAsiaTheme="minorEastAsia"/>
          <w:color w:val="auto"/>
          <w:kern w:val="2"/>
          <w:highlight w:val="none"/>
          <w:lang w:eastAsia="zh-CN"/>
        </w:rPr>
        <w:t>货期</w:t>
      </w:r>
      <w:r>
        <w:rPr>
          <w:rFonts w:hint="eastAsia" w:cs="宋体" w:asciiTheme="minorEastAsia" w:hAnsiTheme="minorEastAsia" w:eastAsiaTheme="minorEastAsia"/>
          <w:color w:val="auto"/>
          <w:kern w:val="2"/>
          <w:highlight w:val="none"/>
        </w:rPr>
        <w:t>：</w:t>
      </w:r>
      <w:r>
        <w:rPr>
          <w:rFonts w:hint="eastAsia" w:asciiTheme="minorEastAsia" w:hAnsiTheme="minorEastAsia" w:cstheme="minorEastAsia"/>
          <w:color w:val="auto"/>
          <w:spacing w:val="10"/>
          <w:kern w:val="2"/>
          <w:sz w:val="24"/>
          <w:szCs w:val="24"/>
          <w:highlight w:val="none"/>
          <w:lang w:val="en-US" w:eastAsia="zh-CN" w:bidi="ar-SA"/>
        </w:rPr>
        <w:t>自合同签订之日起90日历天内完成交货。</w:t>
      </w:r>
    </w:p>
    <w:p w14:paraId="7A9A3297">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asciiTheme="minorEastAsia" w:hAnsiTheme="minorEastAsia" w:eastAsiaTheme="minorEastAsia"/>
          <w:color w:val="auto"/>
          <w:kern w:val="2"/>
          <w:highlight w:val="none"/>
        </w:rPr>
        <w:t>本项目（</w:t>
      </w:r>
      <w:r>
        <w:rPr>
          <w:rFonts w:hint="eastAsia" w:asciiTheme="minorEastAsia" w:hAnsiTheme="minorEastAsia" w:eastAsiaTheme="minorEastAsia"/>
          <w:color w:val="auto"/>
          <w:kern w:val="2"/>
          <w:highlight w:val="none"/>
        </w:rPr>
        <w:t>否</w:t>
      </w:r>
      <w:r>
        <w:rPr>
          <w:rFonts w:asciiTheme="minorEastAsia" w:hAnsiTheme="minorEastAsia" w:eastAsiaTheme="minorEastAsia"/>
          <w:color w:val="auto"/>
          <w:kern w:val="2"/>
          <w:highlight w:val="none"/>
        </w:rPr>
        <w:t>）接受联合体投标。</w:t>
      </w:r>
    </w:p>
    <w:p w14:paraId="648326A0">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本项目（</w:t>
      </w:r>
      <w:r>
        <w:rPr>
          <w:rFonts w:hint="eastAsia" w:cs="宋体" w:asciiTheme="minorEastAsia" w:hAnsiTheme="minorEastAsia" w:eastAsiaTheme="minorEastAsia"/>
          <w:color w:val="auto"/>
          <w:sz w:val="24"/>
          <w:highlight w:val="none"/>
        </w:rPr>
        <w:t>否</w:t>
      </w:r>
      <w:r>
        <w:rPr>
          <w:rFonts w:cs="宋体" w:asciiTheme="minorEastAsia" w:hAnsiTheme="minorEastAsia" w:eastAsiaTheme="minorEastAsia"/>
          <w:color w:val="auto"/>
          <w:sz w:val="24"/>
          <w:highlight w:val="none"/>
        </w:rPr>
        <w:t>）接受</w:t>
      </w:r>
      <w:r>
        <w:rPr>
          <w:rFonts w:hint="eastAsia" w:cs="宋体" w:asciiTheme="minorEastAsia" w:hAnsiTheme="minorEastAsia" w:eastAsiaTheme="minorEastAsia"/>
          <w:color w:val="auto"/>
          <w:sz w:val="24"/>
          <w:highlight w:val="none"/>
        </w:rPr>
        <w:t>分包。</w:t>
      </w:r>
    </w:p>
    <w:p w14:paraId="15B03111">
      <w:pPr>
        <w:pStyle w:val="43"/>
        <w:spacing w:before="0" w:beforeAutospacing="0" w:after="0" w:afterAutospacing="0" w:line="380" w:lineRule="exact"/>
        <w:contextualSpacing/>
        <w:rPr>
          <w:color w:val="auto"/>
          <w:highlight w:val="none"/>
        </w:rPr>
      </w:pPr>
    </w:p>
    <w:p w14:paraId="5E04BBDC">
      <w:pPr>
        <w:widowControl/>
        <w:spacing w:line="380" w:lineRule="exact"/>
        <w:contextualSpacing/>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二、申请人的资格要求</w:t>
      </w:r>
    </w:p>
    <w:p w14:paraId="39667C8A">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满足《中华人民共和国政府采购法》第二十二条规定；未被“信用中国”（www.creditchina.gov.cn)、中国政府采购网（www.ccgp.gov.cn）列入失信被执行人、重大税收违法</w:t>
      </w:r>
      <w:r>
        <w:rPr>
          <w:rFonts w:hint="eastAsia" w:cs="宋体" w:asciiTheme="minorEastAsia" w:hAnsiTheme="minorEastAsia" w:eastAsiaTheme="minorEastAsia"/>
          <w:color w:val="auto"/>
          <w:sz w:val="24"/>
          <w:highlight w:val="none"/>
        </w:rPr>
        <w:t>失信主体</w:t>
      </w:r>
      <w:r>
        <w:rPr>
          <w:rFonts w:cs="宋体" w:asciiTheme="minorEastAsia" w:hAnsiTheme="minorEastAsia" w:eastAsiaTheme="minorEastAsia"/>
          <w:color w:val="auto"/>
          <w:sz w:val="24"/>
          <w:highlight w:val="none"/>
        </w:rPr>
        <w:t>、政府采购严重违法失信行为记录名单。</w:t>
      </w:r>
    </w:p>
    <w:p w14:paraId="5F334305">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2、落实政府采购政策需满足的资格要求：</w:t>
      </w:r>
      <w:r>
        <w:rPr>
          <w:rFonts w:hint="eastAsia" w:cs="宋体" w:asciiTheme="minorEastAsia" w:hAnsiTheme="minorEastAsia" w:eastAsiaTheme="minorEastAsia"/>
          <w:color w:val="auto"/>
          <w:sz w:val="24"/>
          <w:highlight w:val="none"/>
          <w:lang w:eastAsia="zh-CN"/>
        </w:rPr>
        <w:t>无</w:t>
      </w:r>
      <w:r>
        <w:rPr>
          <w:rFonts w:hint="eastAsia" w:cs="宋体" w:asciiTheme="minorEastAsia" w:hAnsiTheme="minorEastAsia" w:eastAsiaTheme="minorEastAsia"/>
          <w:b/>
          <w:bCs/>
          <w:color w:val="auto"/>
          <w:sz w:val="24"/>
          <w:highlight w:val="none"/>
        </w:rPr>
        <w:t>。</w:t>
      </w:r>
    </w:p>
    <w:p w14:paraId="758D15BF">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rPr>
        <w:t>无。</w:t>
      </w:r>
    </w:p>
    <w:p w14:paraId="39E7F329">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三、获取采购文件</w:t>
      </w:r>
    </w:p>
    <w:p w14:paraId="69BF95E8">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w:t>
      </w:r>
      <w:r>
        <w:rPr>
          <w:rFonts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rPr>
        <w:t>2025年</w:t>
      </w:r>
      <w:r>
        <w:rPr>
          <w:rFonts w:hint="eastAsia" w:cs="宋体" w:asciiTheme="minorEastAsia" w:hAnsiTheme="minorEastAsia" w:eastAsiaTheme="minorEastAsia"/>
          <w:color w:val="auto"/>
          <w:sz w:val="24"/>
          <w:highlight w:val="none"/>
          <w:lang w:val="en-US" w:eastAsia="zh-CN"/>
        </w:rPr>
        <w:t>07月22日</w:t>
      </w:r>
      <w:r>
        <w:rPr>
          <w:rFonts w:cs="宋体" w:asciiTheme="minorEastAsia" w:hAnsiTheme="minorEastAsia" w:eastAsiaTheme="minorEastAsia"/>
          <w:color w:val="auto"/>
          <w:sz w:val="24"/>
          <w:highlight w:val="none"/>
        </w:rPr>
        <w:t xml:space="preserve"> ，每天上午00:00至12:00 ，下午12:00至23:59（北京时间，线上获取法定节假日均可，线下获取文件法定节假日除外）</w:t>
      </w:r>
    </w:p>
    <w:p w14:paraId="0078BA17">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地点（网址）：</w:t>
      </w:r>
      <w:r>
        <w:rPr>
          <w:rFonts w:hint="eastAsia" w:cs="宋体" w:asciiTheme="minorEastAsia" w:hAnsiTheme="minorEastAsia" w:eastAsiaTheme="minorEastAsia"/>
          <w:color w:val="auto"/>
          <w:sz w:val="24"/>
          <w:highlight w:val="none"/>
        </w:rPr>
        <w:t>政采云平台（</w:t>
      </w:r>
      <w:r>
        <w:rPr>
          <w:rFonts w:cs="宋体" w:asciiTheme="minorEastAsia" w:hAnsiTheme="minorEastAsia" w:eastAsiaTheme="minorEastAsia"/>
          <w:color w:val="auto"/>
          <w:sz w:val="24"/>
          <w:highlight w:val="none"/>
        </w:rPr>
        <w:t>https://www.zcygov.cn/）</w:t>
      </w:r>
    </w:p>
    <w:p w14:paraId="04289A79">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rPr>
        <w:t>本项目采购文件实行“政府采购云平台”在线获取，不提供采购文件纸质版。供应商获取采购文件前应先完成“政府采购云平台”的账号注册；</w:t>
      </w:r>
    </w:p>
    <w:p w14:paraId="5588EC75">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潜在供应商登陆政采云平台，在线申请获取采购文件（进入“项目采购”应用，在获取采购文件菜单中选择项目，申请获取采购文件；仅需浏览采购文件的供应商可点击“游客，浏览采购文件”直接下载采购文件浏览）；</w:t>
      </w:r>
    </w:p>
    <w:p w14:paraId="7B793636">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67B33086">
      <w:pPr>
        <w:widowControl/>
        <w:spacing w:line="380" w:lineRule="exact"/>
        <w:ind w:firstLine="590" w:firstLineChars="245"/>
        <w:contextualSpacing/>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注：请供应商按上述要求获取采购文件，未依法获取采购文件的供应商不得对本项目提起质疑、投诉，不得参加本项目的投标活动；如未在“政采云”系统内完成相关流程，引起的投标无效责任自负。</w:t>
      </w:r>
    </w:p>
    <w:p w14:paraId="7B152A07">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售价（元）：0</w:t>
      </w:r>
    </w:p>
    <w:p w14:paraId="2D0F2F44">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四、提交投标文件截止时间、开标时间和地点</w:t>
      </w:r>
    </w:p>
    <w:p w14:paraId="1796F98D">
      <w:pPr>
        <w:widowControl/>
        <w:spacing w:line="380" w:lineRule="exact"/>
        <w:ind w:firstLine="482"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提交投标文件截止时间：</w:t>
      </w:r>
      <w:r>
        <w:rPr>
          <w:rFonts w:hint="eastAsia" w:cs="宋体" w:asciiTheme="minorEastAsia" w:hAnsiTheme="minorEastAsia" w:eastAsiaTheme="minorEastAsia"/>
          <w:color w:val="auto"/>
          <w:sz w:val="24"/>
          <w:highlight w:val="none"/>
        </w:rPr>
        <w:t>2025年07月22日09</w:t>
      </w:r>
      <w:r>
        <w:rPr>
          <w:rFonts w:cs="宋体" w:asciiTheme="minorEastAsia" w:hAnsiTheme="minorEastAsia" w:eastAsiaTheme="minorEastAsia"/>
          <w:color w:val="auto"/>
          <w:sz w:val="24"/>
          <w:highlight w:val="none"/>
        </w:rPr>
        <w:t>:00:00（北京时间）</w:t>
      </w:r>
    </w:p>
    <w:p w14:paraId="4B9F91B5">
      <w:pPr>
        <w:widowControl/>
        <w:spacing w:line="380" w:lineRule="exact"/>
        <w:ind w:firstLine="482"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投标地点（网址）：</w:t>
      </w:r>
      <w:r>
        <w:rPr>
          <w:rFonts w:hint="eastAsia" w:cs="宋体" w:asciiTheme="minorEastAsia" w:hAnsiTheme="minorEastAsia" w:eastAsiaTheme="minorEastAsia"/>
          <w:color w:val="auto"/>
          <w:sz w:val="24"/>
          <w:highlight w:val="none"/>
        </w:rPr>
        <w:t>通过政采云平台（</w:t>
      </w:r>
      <w:r>
        <w:rPr>
          <w:rFonts w:cs="宋体" w:asciiTheme="minorEastAsia" w:hAnsiTheme="minorEastAsia" w:eastAsiaTheme="minorEastAsia"/>
          <w:color w:val="auto"/>
          <w:sz w:val="24"/>
          <w:highlight w:val="none"/>
        </w:rPr>
        <w:t xml:space="preserve">www.zcygov.cn）”实行在线投标响应（电子投标） </w:t>
      </w:r>
      <w:r>
        <w:rPr>
          <w:rFonts w:hint="eastAsia" w:cs="宋体" w:asciiTheme="minorEastAsia" w:hAnsiTheme="minorEastAsia" w:eastAsiaTheme="minorEastAsia"/>
          <w:color w:val="auto"/>
          <w:sz w:val="24"/>
          <w:highlight w:val="none"/>
        </w:rPr>
        <w:t>。</w:t>
      </w:r>
    </w:p>
    <w:p w14:paraId="12E125F4">
      <w:pPr>
        <w:widowControl/>
        <w:spacing w:line="380" w:lineRule="exact"/>
        <w:ind w:firstLine="472" w:firstLineChars="196"/>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开标时间：</w:t>
      </w: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07月22日</w:t>
      </w:r>
      <w:r>
        <w:rPr>
          <w:rFonts w:hint="eastAsia" w:cs="宋体" w:asciiTheme="minorEastAsia" w:hAnsiTheme="minorEastAsia" w:eastAsiaTheme="minorEastAsia"/>
          <w:color w:val="auto"/>
          <w:sz w:val="24"/>
          <w:highlight w:val="none"/>
        </w:rPr>
        <w:t>09</w:t>
      </w:r>
      <w:r>
        <w:rPr>
          <w:rFonts w:cs="宋体" w:asciiTheme="minorEastAsia" w:hAnsiTheme="minorEastAsia" w:eastAsiaTheme="minorEastAsia"/>
          <w:color w:val="auto"/>
          <w:sz w:val="24"/>
          <w:highlight w:val="none"/>
        </w:rPr>
        <w:t>:00:00</w:t>
      </w:r>
    </w:p>
    <w:p w14:paraId="645E2FB7">
      <w:pPr>
        <w:widowControl/>
        <w:spacing w:line="380" w:lineRule="exact"/>
        <w:ind w:firstLine="479" w:firstLineChars="199"/>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开标地点（网址）：</w:t>
      </w:r>
      <w:r>
        <w:rPr>
          <w:rFonts w:hint="eastAsia" w:cs="宋体" w:asciiTheme="minorEastAsia" w:hAnsiTheme="minorEastAsia" w:eastAsiaTheme="minorEastAsia"/>
          <w:bCs/>
          <w:color w:val="auto"/>
          <w:sz w:val="24"/>
          <w:highlight w:val="none"/>
        </w:rPr>
        <w:t>台州市市府大道777号台州市公共资源交易中心3楼一号开标室。</w:t>
      </w:r>
    </w:p>
    <w:p w14:paraId="205FF8BA">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五、公告期限</w:t>
      </w:r>
    </w:p>
    <w:p w14:paraId="34ACF2F2">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自本公告发布之日起5个工作日。</w:t>
      </w:r>
    </w:p>
    <w:p w14:paraId="02AC7593">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六、其他补充事宜</w:t>
      </w:r>
    </w:p>
    <w:p w14:paraId="75B100E0">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12B47FD">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E99A276">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FE0461">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4.其他事项：无。</w:t>
      </w:r>
    </w:p>
    <w:p w14:paraId="7149A801">
      <w:pPr>
        <w:snapToGrid w:val="0"/>
        <w:spacing w:line="380" w:lineRule="exact"/>
        <w:outlineLvl w:val="1"/>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七、对本次采购提出询问、质疑、投诉，请按以下方式联系</w:t>
      </w:r>
    </w:p>
    <w:p w14:paraId="4D46A6B7">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1、采购人信息</w:t>
      </w:r>
    </w:p>
    <w:p w14:paraId="0C90F8B4">
      <w:pPr>
        <w:widowControl/>
        <w:spacing w:line="380" w:lineRule="exact"/>
        <w:ind w:firstLine="480" w:firstLineChars="200"/>
        <w:contextualSpacing/>
        <w:jc w:val="left"/>
        <w:rPr>
          <w:rFonts w:hint="eastAsia"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eastAsia="zh-CN"/>
        </w:rPr>
        <w:t>台州学院</w:t>
      </w:r>
    </w:p>
    <w:p w14:paraId="78897B2B">
      <w:pPr>
        <w:widowControl/>
        <w:spacing w:line="380" w:lineRule="exact"/>
        <w:ind w:firstLine="480" w:firstLineChars="200"/>
        <w:contextualSpacing/>
        <w:jc w:val="left"/>
        <w:rPr>
          <w:rFonts w:hint="eastAsia"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地</w:t>
      </w:r>
      <w:r>
        <w:rPr>
          <w:rFonts w:hint="eastAsia" w:asciiTheme="minorEastAsia" w:hAnsiTheme="minorEastAsia" w:eastAsiaTheme="minorEastAsia"/>
          <w:color w:val="auto"/>
          <w:sz w:val="24"/>
          <w:highlight w:val="none"/>
        </w:rPr>
        <w:t>址：</w:t>
      </w:r>
      <w:r>
        <w:rPr>
          <w:rFonts w:hint="eastAsia" w:asciiTheme="minorEastAsia" w:hAnsiTheme="minorEastAsia" w:eastAsiaTheme="minorEastAsia"/>
          <w:color w:val="auto"/>
          <w:sz w:val="24"/>
          <w:highlight w:val="none"/>
          <w:lang w:eastAsia="zh-CN"/>
        </w:rPr>
        <w:t>浙江省台州市椒江区市府大道1139号</w:t>
      </w:r>
    </w:p>
    <w:p w14:paraId="0405F968">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58862C8F">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w:t>
      </w:r>
      <w:r>
        <w:rPr>
          <w:rFonts w:hint="eastAsia" w:cs="Arial" w:asciiTheme="minorEastAsia" w:hAnsiTheme="minorEastAsia" w:eastAsiaTheme="minorEastAsia"/>
          <w:color w:val="auto"/>
          <w:sz w:val="24"/>
          <w:highlight w:val="none"/>
        </w:rPr>
        <w:t>梁老师</w:t>
      </w:r>
    </w:p>
    <w:p w14:paraId="3E3C803C">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w:t>
      </w:r>
      <w:r>
        <w:rPr>
          <w:rFonts w:hint="eastAsia" w:cs="Arial" w:asciiTheme="minorEastAsia" w:hAnsiTheme="minorEastAsia" w:eastAsiaTheme="minorEastAsia"/>
          <w:color w:val="auto"/>
          <w:sz w:val="24"/>
          <w:highlight w:val="none"/>
        </w:rPr>
        <w:t>0576-88660897</w:t>
      </w:r>
    </w:p>
    <w:p w14:paraId="7935054C">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cs="Arial" w:asciiTheme="minorEastAsia" w:hAnsiTheme="minorEastAsia" w:eastAsiaTheme="minorEastAsia"/>
          <w:color w:val="auto"/>
          <w:sz w:val="24"/>
          <w:highlight w:val="none"/>
        </w:rPr>
        <w:t>吴老师</w:t>
      </w:r>
    </w:p>
    <w:p w14:paraId="17CBDA0B">
      <w:pPr>
        <w:spacing w:line="380" w:lineRule="exact"/>
        <w:ind w:firstLine="480" w:firstLineChars="200"/>
        <w:contextualSpacing/>
        <w:rPr>
          <w:rFonts w:hint="eastAsia" w:cs="Arial"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质疑联系方式：</w:t>
      </w:r>
      <w:r>
        <w:rPr>
          <w:rFonts w:hint="eastAsia" w:cs="Arial" w:asciiTheme="minorEastAsia" w:hAnsiTheme="minorEastAsia" w:eastAsiaTheme="minorEastAsia"/>
          <w:color w:val="auto"/>
          <w:sz w:val="24"/>
          <w:highlight w:val="none"/>
        </w:rPr>
        <w:t>0576-88660896</w:t>
      </w:r>
      <w:r>
        <w:rPr>
          <w:rFonts w:hint="eastAsia" w:cs="Arial" w:asciiTheme="minorEastAsia" w:hAnsiTheme="minorEastAsia" w:eastAsiaTheme="minorEastAsia"/>
          <w:color w:val="auto"/>
          <w:sz w:val="24"/>
          <w:highlight w:val="none"/>
          <w:lang w:val="en-US" w:eastAsia="zh-CN"/>
        </w:rPr>
        <w:t xml:space="preserve"> </w:t>
      </w:r>
    </w:p>
    <w:p w14:paraId="4DA7A183">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2、采购代理机构信息</w:t>
      </w:r>
    </w:p>
    <w:p w14:paraId="7C532CA4">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名称：中冠工程管理咨询有限公司</w:t>
      </w:r>
    </w:p>
    <w:p w14:paraId="65F2D8C1">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地址：浙江省台州市椒江区东海大道378号4楼</w:t>
      </w:r>
    </w:p>
    <w:p w14:paraId="65B02346">
      <w:pPr>
        <w:spacing w:line="380" w:lineRule="exact"/>
        <w:ind w:firstLine="480" w:firstLineChars="200"/>
        <w:contextualSpacing/>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项目联系人（询问）：陈金泉、戴艳燕、</w:t>
      </w:r>
      <w:r>
        <w:rPr>
          <w:rFonts w:hint="eastAsia" w:cs="Arial" w:asciiTheme="minorEastAsia" w:hAnsiTheme="minorEastAsia" w:eastAsiaTheme="minorEastAsia"/>
          <w:color w:val="auto"/>
          <w:sz w:val="24"/>
          <w:highlight w:val="none"/>
          <w:lang w:eastAsia="zh-CN"/>
        </w:rPr>
        <w:t>徐茜</w:t>
      </w:r>
    </w:p>
    <w:p w14:paraId="2586E57B">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项目联系方式（询问）：0576-81810227、18968407875</w:t>
      </w:r>
    </w:p>
    <w:p w14:paraId="6083033A">
      <w:pPr>
        <w:spacing w:line="380" w:lineRule="exact"/>
        <w:ind w:firstLine="480" w:firstLineChars="200"/>
        <w:contextualSpacing/>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质疑联系人：</w:t>
      </w:r>
      <w:r>
        <w:rPr>
          <w:rFonts w:hint="eastAsia" w:cs="Arial" w:asciiTheme="minorEastAsia" w:hAnsiTheme="minorEastAsia" w:eastAsiaTheme="minorEastAsia"/>
          <w:color w:val="auto"/>
          <w:sz w:val="24"/>
          <w:highlight w:val="none"/>
          <w:lang w:eastAsia="zh-CN"/>
        </w:rPr>
        <w:t>刘霞</w:t>
      </w:r>
    </w:p>
    <w:p w14:paraId="3DE10A2A">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质疑联系方式：</w:t>
      </w:r>
      <w:r>
        <w:rPr>
          <w:rFonts w:cs="Arial" w:asciiTheme="minorEastAsia" w:hAnsiTheme="minorEastAsia" w:eastAsiaTheme="minorEastAsia"/>
          <w:color w:val="auto"/>
          <w:sz w:val="24"/>
          <w:highlight w:val="none"/>
        </w:rPr>
        <w:t>0576-81810270</w:t>
      </w:r>
    </w:p>
    <w:p w14:paraId="29D87BED">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3、同级政府采购监督管理部门</w:t>
      </w:r>
    </w:p>
    <w:p w14:paraId="1C6634B4">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名称：台州市财政局政府采购监管处</w:t>
      </w:r>
    </w:p>
    <w:p w14:paraId="29CCA6E3">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地址：浙江省台州市椒江区纬一路</w:t>
      </w:r>
      <w:r>
        <w:rPr>
          <w:rFonts w:cs="Arial" w:asciiTheme="minorEastAsia" w:hAnsiTheme="minorEastAsia" w:eastAsiaTheme="minorEastAsia"/>
          <w:color w:val="auto"/>
          <w:sz w:val="24"/>
          <w:highlight w:val="none"/>
        </w:rPr>
        <w:t>66号</w:t>
      </w:r>
    </w:p>
    <w:p w14:paraId="5DD9C580">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传真：/</w:t>
      </w:r>
    </w:p>
    <w:p w14:paraId="55638116">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联系人：陈老师、李老师</w:t>
      </w:r>
    </w:p>
    <w:p w14:paraId="39CD208A">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监督投诉电话：</w:t>
      </w:r>
      <w:r>
        <w:rPr>
          <w:rFonts w:cs="Arial" w:asciiTheme="minorEastAsia" w:hAnsiTheme="minorEastAsia" w:eastAsiaTheme="minorEastAsia"/>
          <w:color w:val="auto"/>
          <w:sz w:val="24"/>
          <w:highlight w:val="none"/>
        </w:rPr>
        <w:t xml:space="preserve">0576-88206705 、88206731  </w:t>
      </w:r>
    </w:p>
    <w:p w14:paraId="4C9E019A">
      <w:pPr>
        <w:pStyle w:val="16"/>
        <w:ind w:firstLine="0" w:firstLineChars="0"/>
        <w:jc w:val="center"/>
        <w:rPr>
          <w:rFonts w:asciiTheme="minorEastAsia" w:hAnsiTheme="minorEastAsia" w:eastAsiaTheme="minorEastAsia"/>
          <w:b/>
          <w:color w:val="auto"/>
          <w:sz w:val="24"/>
          <w:highlight w:val="none"/>
        </w:rPr>
      </w:pPr>
    </w:p>
    <w:p w14:paraId="080819A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w:t>
      </w:r>
      <w:r>
        <w:rPr>
          <w:rFonts w:hint="eastAsia" w:cs="宋体" w:asciiTheme="minorEastAsia" w:hAnsiTheme="minorEastAsia" w:eastAsiaTheme="minorEastAsia"/>
          <w:b/>
          <w:color w:val="auto"/>
          <w:sz w:val="24"/>
          <w:highlight w:val="none"/>
        </w:rPr>
        <w:t>中标人如有融资需求，可使用以下服务</w:t>
      </w:r>
    </w:p>
    <w:p w14:paraId="50BC7A53">
      <w:pPr>
        <w:pStyle w:val="16"/>
        <w:ind w:firstLine="0" w:firstLineChars="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政采贷联系方式</w:t>
      </w:r>
    </w:p>
    <w:tbl>
      <w:tblPr>
        <w:tblStyle w:val="4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479"/>
        <w:gridCol w:w="1600"/>
        <w:gridCol w:w="3748"/>
      </w:tblGrid>
      <w:tr w14:paraId="1EB1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shd w:val="clear" w:color="auto" w:fill="EEECE1" w:themeFill="background2"/>
            <w:vAlign w:val="center"/>
          </w:tcPr>
          <w:p w14:paraId="41E743F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银行</w:t>
            </w:r>
          </w:p>
        </w:tc>
        <w:tc>
          <w:tcPr>
            <w:tcW w:w="1479" w:type="dxa"/>
            <w:shd w:val="clear" w:color="auto" w:fill="EEECE1" w:themeFill="background2"/>
            <w:vAlign w:val="center"/>
          </w:tcPr>
          <w:p w14:paraId="74AD6EAE">
            <w:pPr>
              <w:keepNext w:val="0"/>
              <w:keepLines w:val="0"/>
              <w:suppressLineNumbers w:val="0"/>
              <w:spacing w:before="0" w:beforeAutospacing="0" w:after="0" w:afterAutospacing="0"/>
              <w:ind w:left="0" w:right="0"/>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贷款年利率</w:t>
            </w:r>
          </w:p>
        </w:tc>
        <w:tc>
          <w:tcPr>
            <w:tcW w:w="1600" w:type="dxa"/>
            <w:shd w:val="clear" w:color="auto" w:fill="EEECE1" w:themeFill="background2"/>
            <w:vAlign w:val="center"/>
          </w:tcPr>
          <w:p w14:paraId="756EC53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3748" w:type="dxa"/>
            <w:shd w:val="clear" w:color="auto" w:fill="EEECE1" w:themeFill="background2"/>
            <w:vAlign w:val="center"/>
          </w:tcPr>
          <w:p w14:paraId="23265B5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735A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15942C3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中国工商银行</w:t>
            </w:r>
          </w:p>
        </w:tc>
        <w:tc>
          <w:tcPr>
            <w:tcW w:w="1479" w:type="dxa"/>
            <w:vAlign w:val="center"/>
          </w:tcPr>
          <w:p w14:paraId="54B57F5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07FEA83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卢嘉诚</w:t>
            </w:r>
          </w:p>
        </w:tc>
        <w:tc>
          <w:tcPr>
            <w:tcW w:w="3748" w:type="dxa"/>
            <w:vAlign w:val="center"/>
          </w:tcPr>
          <w:p w14:paraId="4AEB852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13867658508</w:t>
            </w:r>
          </w:p>
        </w:tc>
      </w:tr>
      <w:tr w14:paraId="11E1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A52893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中国农业银行</w:t>
            </w:r>
          </w:p>
        </w:tc>
        <w:tc>
          <w:tcPr>
            <w:tcW w:w="1479" w:type="dxa"/>
            <w:vAlign w:val="center"/>
          </w:tcPr>
          <w:p w14:paraId="4DEA659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590E9BA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龚盛</w:t>
            </w:r>
          </w:p>
        </w:tc>
        <w:tc>
          <w:tcPr>
            <w:tcW w:w="3748" w:type="dxa"/>
            <w:vAlign w:val="center"/>
          </w:tcPr>
          <w:p w14:paraId="79C3962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15858682216</w:t>
            </w:r>
          </w:p>
        </w:tc>
      </w:tr>
      <w:tr w14:paraId="2B61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563E110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中国建设银行</w:t>
            </w:r>
          </w:p>
        </w:tc>
        <w:tc>
          <w:tcPr>
            <w:tcW w:w="1479" w:type="dxa"/>
            <w:vAlign w:val="center"/>
          </w:tcPr>
          <w:p w14:paraId="6483D15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314C9B2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梅晶晶</w:t>
            </w:r>
          </w:p>
        </w:tc>
        <w:tc>
          <w:tcPr>
            <w:tcW w:w="3748" w:type="dxa"/>
            <w:vAlign w:val="center"/>
          </w:tcPr>
          <w:p w14:paraId="18BBA1D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88525339、13736585303</w:t>
            </w:r>
          </w:p>
        </w:tc>
      </w:tr>
      <w:tr w14:paraId="65A2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A1C296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中国银行</w:t>
            </w:r>
          </w:p>
        </w:tc>
        <w:tc>
          <w:tcPr>
            <w:tcW w:w="1479" w:type="dxa"/>
            <w:vAlign w:val="center"/>
          </w:tcPr>
          <w:p w14:paraId="4B1C5DD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1600" w:type="dxa"/>
            <w:vAlign w:val="center"/>
          </w:tcPr>
          <w:p w14:paraId="7BF7185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w:t>
            </w:r>
          </w:p>
        </w:tc>
        <w:tc>
          <w:tcPr>
            <w:tcW w:w="3748" w:type="dxa"/>
            <w:vAlign w:val="center"/>
          </w:tcPr>
          <w:p w14:paraId="726FD3E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default" w:asciiTheme="minorEastAsia" w:hAnsiTheme="minorEastAsia" w:eastAsiaTheme="minorEastAsia"/>
                <w:color w:val="auto"/>
                <w:kern w:val="0"/>
                <w:sz w:val="24"/>
                <w:highlight w:val="none"/>
              </w:rPr>
              <w:t>13857677798</w:t>
            </w:r>
          </w:p>
        </w:tc>
      </w:tr>
      <w:tr w14:paraId="03A5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09214C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浦发银行台州分行</w:t>
            </w:r>
          </w:p>
        </w:tc>
        <w:tc>
          <w:tcPr>
            <w:tcW w:w="1479" w:type="dxa"/>
            <w:vAlign w:val="center"/>
          </w:tcPr>
          <w:p w14:paraId="7E2A40D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5FB86D3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王渊</w:t>
            </w:r>
          </w:p>
        </w:tc>
        <w:tc>
          <w:tcPr>
            <w:tcW w:w="3748" w:type="dxa"/>
            <w:vAlign w:val="center"/>
          </w:tcPr>
          <w:p w14:paraId="0FFB7EC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13616676319</w:t>
            </w:r>
          </w:p>
        </w:tc>
      </w:tr>
      <w:tr w14:paraId="59B5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362EB42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浦发银行椒江分行</w:t>
            </w:r>
          </w:p>
        </w:tc>
        <w:tc>
          <w:tcPr>
            <w:tcW w:w="1479" w:type="dxa"/>
            <w:vAlign w:val="center"/>
          </w:tcPr>
          <w:p w14:paraId="286B2E5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77F83E4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孙瑞华</w:t>
            </w:r>
          </w:p>
        </w:tc>
        <w:tc>
          <w:tcPr>
            <w:tcW w:w="3748" w:type="dxa"/>
            <w:vAlign w:val="center"/>
          </w:tcPr>
          <w:p w14:paraId="2135606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13857688081</w:t>
            </w:r>
          </w:p>
        </w:tc>
      </w:tr>
      <w:tr w14:paraId="58AA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E6E73F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交通银行台州分行</w:t>
            </w:r>
          </w:p>
        </w:tc>
        <w:tc>
          <w:tcPr>
            <w:tcW w:w="1479" w:type="dxa"/>
            <w:vAlign w:val="center"/>
          </w:tcPr>
          <w:p w14:paraId="2BDFC6F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1600" w:type="dxa"/>
            <w:vAlign w:val="center"/>
          </w:tcPr>
          <w:p w14:paraId="5E2F9BE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周翔宇</w:t>
            </w:r>
          </w:p>
        </w:tc>
        <w:tc>
          <w:tcPr>
            <w:tcW w:w="3748" w:type="dxa"/>
            <w:vAlign w:val="center"/>
          </w:tcPr>
          <w:p w14:paraId="7250B27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13867697018</w:t>
            </w:r>
          </w:p>
        </w:tc>
      </w:tr>
      <w:tr w14:paraId="2D96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0B9A1E6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招商银行台州分行</w:t>
            </w:r>
          </w:p>
        </w:tc>
        <w:tc>
          <w:tcPr>
            <w:tcW w:w="1479" w:type="dxa"/>
            <w:vAlign w:val="center"/>
          </w:tcPr>
          <w:p w14:paraId="4C8482C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4.32%起</w:t>
            </w:r>
          </w:p>
        </w:tc>
        <w:tc>
          <w:tcPr>
            <w:tcW w:w="1600" w:type="dxa"/>
            <w:vAlign w:val="center"/>
          </w:tcPr>
          <w:p w14:paraId="73F48E1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王海玲</w:t>
            </w:r>
          </w:p>
        </w:tc>
        <w:tc>
          <w:tcPr>
            <w:tcW w:w="3748" w:type="dxa"/>
            <w:vAlign w:val="center"/>
          </w:tcPr>
          <w:p w14:paraId="744FDC7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13566413827</w:t>
            </w:r>
          </w:p>
        </w:tc>
      </w:tr>
      <w:tr w14:paraId="6ECC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932EF6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浙商银行台州分行</w:t>
            </w:r>
          </w:p>
        </w:tc>
        <w:tc>
          <w:tcPr>
            <w:tcW w:w="1479" w:type="dxa"/>
            <w:vAlign w:val="center"/>
          </w:tcPr>
          <w:p w14:paraId="397B1CA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5.01%起</w:t>
            </w:r>
          </w:p>
        </w:tc>
        <w:tc>
          <w:tcPr>
            <w:tcW w:w="1600" w:type="dxa"/>
            <w:vAlign w:val="center"/>
          </w:tcPr>
          <w:p w14:paraId="219AF7B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章涉漪</w:t>
            </w:r>
          </w:p>
        </w:tc>
        <w:tc>
          <w:tcPr>
            <w:tcW w:w="3748" w:type="dxa"/>
            <w:vAlign w:val="center"/>
          </w:tcPr>
          <w:p w14:paraId="2F97A8E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81880185、13606681262</w:t>
            </w:r>
          </w:p>
        </w:tc>
      </w:tr>
      <w:tr w14:paraId="4863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D18E33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中信银行台州分行</w:t>
            </w:r>
          </w:p>
        </w:tc>
        <w:tc>
          <w:tcPr>
            <w:tcW w:w="1479" w:type="dxa"/>
            <w:vAlign w:val="center"/>
          </w:tcPr>
          <w:p w14:paraId="3EBD3AF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4.15%起</w:t>
            </w:r>
          </w:p>
        </w:tc>
        <w:tc>
          <w:tcPr>
            <w:tcW w:w="1600" w:type="dxa"/>
            <w:vAlign w:val="center"/>
          </w:tcPr>
          <w:p w14:paraId="75C08BD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陈金园</w:t>
            </w:r>
          </w:p>
        </w:tc>
        <w:tc>
          <w:tcPr>
            <w:tcW w:w="3748" w:type="dxa"/>
            <w:vAlign w:val="center"/>
          </w:tcPr>
          <w:p w14:paraId="6A10E75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13586052161</w:t>
            </w:r>
          </w:p>
        </w:tc>
      </w:tr>
      <w:tr w14:paraId="2887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3BFF3F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华夏银行台州分行</w:t>
            </w:r>
          </w:p>
        </w:tc>
        <w:tc>
          <w:tcPr>
            <w:tcW w:w="1479" w:type="dxa"/>
            <w:vAlign w:val="center"/>
          </w:tcPr>
          <w:p w14:paraId="540224A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4.5%起</w:t>
            </w:r>
          </w:p>
        </w:tc>
        <w:tc>
          <w:tcPr>
            <w:tcW w:w="1600" w:type="dxa"/>
            <w:vAlign w:val="center"/>
          </w:tcPr>
          <w:p w14:paraId="1E5B014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邱明达</w:t>
            </w:r>
          </w:p>
        </w:tc>
        <w:tc>
          <w:tcPr>
            <w:tcW w:w="3748" w:type="dxa"/>
            <w:vAlign w:val="center"/>
          </w:tcPr>
          <w:p w14:paraId="0852CA8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81871518、13736252233</w:t>
            </w:r>
          </w:p>
        </w:tc>
      </w:tr>
      <w:tr w14:paraId="4EE9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4F14B6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泰隆银行开发区支行</w:t>
            </w:r>
          </w:p>
        </w:tc>
        <w:tc>
          <w:tcPr>
            <w:tcW w:w="1479" w:type="dxa"/>
            <w:vAlign w:val="center"/>
          </w:tcPr>
          <w:p w14:paraId="0A825FD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1600" w:type="dxa"/>
            <w:vAlign w:val="center"/>
          </w:tcPr>
          <w:p w14:paraId="58F78F5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梁宛莉</w:t>
            </w:r>
          </w:p>
        </w:tc>
        <w:tc>
          <w:tcPr>
            <w:tcW w:w="3748" w:type="dxa"/>
            <w:vAlign w:val="center"/>
          </w:tcPr>
          <w:p w14:paraId="281AE14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13306869100</w:t>
            </w:r>
          </w:p>
        </w:tc>
      </w:tr>
      <w:tr w14:paraId="24D3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00141CD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民泰银行椒江支行</w:t>
            </w:r>
          </w:p>
        </w:tc>
        <w:tc>
          <w:tcPr>
            <w:tcW w:w="1479" w:type="dxa"/>
            <w:vAlign w:val="center"/>
          </w:tcPr>
          <w:p w14:paraId="66ACD35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5.8%起</w:t>
            </w:r>
          </w:p>
        </w:tc>
        <w:tc>
          <w:tcPr>
            <w:tcW w:w="1600" w:type="dxa"/>
            <w:vAlign w:val="center"/>
          </w:tcPr>
          <w:p w14:paraId="463C741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陈慧珠</w:t>
            </w:r>
          </w:p>
        </w:tc>
        <w:tc>
          <w:tcPr>
            <w:tcW w:w="3748" w:type="dxa"/>
            <w:vAlign w:val="center"/>
          </w:tcPr>
          <w:p w14:paraId="3B97B71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13857699669</w:t>
            </w:r>
          </w:p>
        </w:tc>
      </w:tr>
      <w:tr w14:paraId="4A11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574EC4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绍兴银行台州分行</w:t>
            </w:r>
          </w:p>
        </w:tc>
        <w:tc>
          <w:tcPr>
            <w:tcW w:w="1479" w:type="dxa"/>
            <w:vAlign w:val="center"/>
          </w:tcPr>
          <w:p w14:paraId="4F3E95C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5.1%起</w:t>
            </w:r>
          </w:p>
        </w:tc>
        <w:tc>
          <w:tcPr>
            <w:tcW w:w="1600" w:type="dxa"/>
            <w:vAlign w:val="center"/>
          </w:tcPr>
          <w:p w14:paraId="6A1E4B4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郭庭斌</w:t>
            </w:r>
          </w:p>
        </w:tc>
        <w:tc>
          <w:tcPr>
            <w:tcW w:w="3748" w:type="dxa"/>
            <w:vAlign w:val="center"/>
          </w:tcPr>
          <w:p w14:paraId="6D0F532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15958633119</w:t>
            </w:r>
          </w:p>
        </w:tc>
      </w:tr>
      <w:tr w14:paraId="53DC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1E3B8A0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温州银行台州分行</w:t>
            </w:r>
          </w:p>
        </w:tc>
        <w:tc>
          <w:tcPr>
            <w:tcW w:w="1479" w:type="dxa"/>
            <w:vAlign w:val="center"/>
          </w:tcPr>
          <w:p w14:paraId="45B396F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4.55%起</w:t>
            </w:r>
          </w:p>
        </w:tc>
        <w:tc>
          <w:tcPr>
            <w:tcW w:w="1600" w:type="dxa"/>
            <w:vAlign w:val="center"/>
          </w:tcPr>
          <w:p w14:paraId="4D9429D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王晓波</w:t>
            </w:r>
          </w:p>
        </w:tc>
        <w:tc>
          <w:tcPr>
            <w:tcW w:w="3748" w:type="dxa"/>
            <w:vAlign w:val="center"/>
          </w:tcPr>
          <w:p w14:paraId="163F3D0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15824005475</w:t>
            </w:r>
          </w:p>
        </w:tc>
      </w:tr>
      <w:tr w14:paraId="6DF3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C24071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平安银行台州分行</w:t>
            </w:r>
          </w:p>
        </w:tc>
        <w:tc>
          <w:tcPr>
            <w:tcW w:w="1479" w:type="dxa"/>
            <w:vAlign w:val="center"/>
          </w:tcPr>
          <w:p w14:paraId="5D2EBE3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6.53%起</w:t>
            </w:r>
          </w:p>
        </w:tc>
        <w:tc>
          <w:tcPr>
            <w:tcW w:w="1600" w:type="dxa"/>
            <w:vAlign w:val="center"/>
          </w:tcPr>
          <w:p w14:paraId="114DD70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李俊丽</w:t>
            </w:r>
          </w:p>
        </w:tc>
        <w:tc>
          <w:tcPr>
            <w:tcW w:w="3748" w:type="dxa"/>
            <w:vAlign w:val="center"/>
          </w:tcPr>
          <w:p w14:paraId="78D8221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15906861035</w:t>
            </w:r>
          </w:p>
        </w:tc>
      </w:tr>
      <w:tr w14:paraId="68EE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ED6FD5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宁波银行台州分行</w:t>
            </w:r>
          </w:p>
        </w:tc>
        <w:tc>
          <w:tcPr>
            <w:tcW w:w="1479" w:type="dxa"/>
            <w:vAlign w:val="center"/>
          </w:tcPr>
          <w:p w14:paraId="73E700C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4.35%起</w:t>
            </w:r>
          </w:p>
        </w:tc>
        <w:tc>
          <w:tcPr>
            <w:tcW w:w="1600" w:type="dxa"/>
            <w:vAlign w:val="center"/>
          </w:tcPr>
          <w:p w14:paraId="4CA715A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戴莉丽</w:t>
            </w:r>
          </w:p>
        </w:tc>
        <w:tc>
          <w:tcPr>
            <w:tcW w:w="3748" w:type="dxa"/>
            <w:vAlign w:val="center"/>
          </w:tcPr>
          <w:p w14:paraId="29BF652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13566627207</w:t>
            </w:r>
          </w:p>
        </w:tc>
      </w:tr>
      <w:tr w14:paraId="13C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3C65AAD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金华银行台州分行</w:t>
            </w:r>
          </w:p>
        </w:tc>
        <w:tc>
          <w:tcPr>
            <w:tcW w:w="1479" w:type="dxa"/>
            <w:vAlign w:val="center"/>
          </w:tcPr>
          <w:p w14:paraId="3B39229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06502DC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金雪婷</w:t>
            </w:r>
          </w:p>
        </w:tc>
        <w:tc>
          <w:tcPr>
            <w:tcW w:w="3748" w:type="dxa"/>
            <w:vAlign w:val="center"/>
          </w:tcPr>
          <w:p w14:paraId="6482ECE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81886670、15968661569</w:t>
            </w:r>
          </w:p>
        </w:tc>
      </w:tr>
      <w:tr w14:paraId="5904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8FD3AC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台州银行</w:t>
            </w:r>
          </w:p>
        </w:tc>
        <w:tc>
          <w:tcPr>
            <w:tcW w:w="1479" w:type="dxa"/>
            <w:vAlign w:val="center"/>
          </w:tcPr>
          <w:p w14:paraId="4EDAE4E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1600" w:type="dxa"/>
            <w:vAlign w:val="center"/>
          </w:tcPr>
          <w:p w14:paraId="51220DA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洪婷</w:t>
            </w:r>
          </w:p>
        </w:tc>
        <w:tc>
          <w:tcPr>
            <w:tcW w:w="3748" w:type="dxa"/>
            <w:vAlign w:val="center"/>
          </w:tcPr>
          <w:p w14:paraId="09A4F94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15858624999</w:t>
            </w:r>
          </w:p>
        </w:tc>
      </w:tr>
      <w:tr w14:paraId="097D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C94F77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邮储银行台州分行</w:t>
            </w:r>
          </w:p>
        </w:tc>
        <w:tc>
          <w:tcPr>
            <w:tcW w:w="1479" w:type="dxa"/>
            <w:vAlign w:val="center"/>
          </w:tcPr>
          <w:p w14:paraId="6EAB79D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3.85%起</w:t>
            </w:r>
          </w:p>
        </w:tc>
        <w:tc>
          <w:tcPr>
            <w:tcW w:w="1600" w:type="dxa"/>
            <w:vAlign w:val="center"/>
          </w:tcPr>
          <w:p w14:paraId="65C5D47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董庆</w:t>
            </w:r>
          </w:p>
        </w:tc>
        <w:tc>
          <w:tcPr>
            <w:tcW w:w="3748" w:type="dxa"/>
            <w:vAlign w:val="center"/>
          </w:tcPr>
          <w:p w14:paraId="43ACC8F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81888982、18957683757</w:t>
            </w:r>
          </w:p>
        </w:tc>
      </w:tr>
    </w:tbl>
    <w:p w14:paraId="2AC8F1A2">
      <w:pPr>
        <w:pStyle w:val="26"/>
        <w:spacing w:beforeLines="50" w:afterLines="50" w:line="360" w:lineRule="auto"/>
        <w:outlineLvl w:val="0"/>
        <w:rPr>
          <w:rFonts w:asciiTheme="minorEastAsia" w:hAnsiTheme="minorEastAsia" w:eastAsiaTheme="minorEastAsia"/>
          <w:color w:val="auto"/>
          <w:sz w:val="24"/>
          <w:szCs w:val="24"/>
          <w:highlight w:val="none"/>
        </w:rPr>
      </w:pPr>
    </w:p>
    <w:p w14:paraId="7DFB4E0A">
      <w:pPr>
        <w:pStyle w:val="16"/>
        <w:ind w:firstLine="482"/>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合同履约保函联系方式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2857"/>
        <w:gridCol w:w="1353"/>
        <w:gridCol w:w="1784"/>
      </w:tblGrid>
      <w:tr w14:paraId="72C6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shd w:val="clear" w:color="auto" w:fill="DDD9C4" w:themeFill="background2" w:themeFillShade="E6"/>
            <w:vAlign w:val="center"/>
          </w:tcPr>
          <w:p w14:paraId="2FFE69A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保险公司名称</w:t>
            </w:r>
          </w:p>
        </w:tc>
        <w:tc>
          <w:tcPr>
            <w:tcW w:w="2857" w:type="dxa"/>
            <w:shd w:val="clear" w:color="auto" w:fill="DDD9C4" w:themeFill="background2" w:themeFillShade="E6"/>
            <w:vAlign w:val="center"/>
          </w:tcPr>
          <w:p w14:paraId="599CEB1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保费率</w:t>
            </w:r>
          </w:p>
        </w:tc>
        <w:tc>
          <w:tcPr>
            <w:tcW w:w="1353" w:type="dxa"/>
            <w:shd w:val="clear" w:color="auto" w:fill="DDD9C4" w:themeFill="background2" w:themeFillShade="E6"/>
            <w:vAlign w:val="center"/>
          </w:tcPr>
          <w:p w14:paraId="1E237C4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1784" w:type="dxa"/>
            <w:shd w:val="clear" w:color="auto" w:fill="DDD9C4" w:themeFill="background2" w:themeFillShade="E6"/>
            <w:vAlign w:val="center"/>
          </w:tcPr>
          <w:p w14:paraId="153A31F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7EE6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67E590D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857" w:type="dxa"/>
            <w:vAlign w:val="center"/>
          </w:tcPr>
          <w:p w14:paraId="6D85AF1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vAlign w:val="center"/>
          </w:tcPr>
          <w:p w14:paraId="6CE74E7F">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84" w:type="dxa"/>
            <w:vAlign w:val="center"/>
          </w:tcPr>
          <w:p w14:paraId="3B6F94A4">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623F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4BC6BF5F">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永诚财产保险股份有限公司台州分公司</w:t>
            </w:r>
          </w:p>
        </w:tc>
        <w:tc>
          <w:tcPr>
            <w:tcW w:w="2857" w:type="dxa"/>
            <w:vAlign w:val="center"/>
          </w:tcPr>
          <w:p w14:paraId="72615C3B">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年费率1%，最低保费1000元</w:t>
            </w:r>
          </w:p>
        </w:tc>
        <w:tc>
          <w:tcPr>
            <w:tcW w:w="1353" w:type="dxa"/>
            <w:vAlign w:val="center"/>
          </w:tcPr>
          <w:p w14:paraId="714BFBF8">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尹刚强</w:t>
            </w:r>
          </w:p>
        </w:tc>
        <w:tc>
          <w:tcPr>
            <w:tcW w:w="1784" w:type="dxa"/>
            <w:vAlign w:val="center"/>
          </w:tcPr>
          <w:p w14:paraId="702FE61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13750668184</w:t>
            </w:r>
          </w:p>
        </w:tc>
      </w:tr>
      <w:tr w14:paraId="34DB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7F967F6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华泰财产保险有限公司台州中心支公司</w:t>
            </w:r>
          </w:p>
        </w:tc>
        <w:tc>
          <w:tcPr>
            <w:tcW w:w="2857" w:type="dxa"/>
            <w:vAlign w:val="center"/>
          </w:tcPr>
          <w:p w14:paraId="4F7BA96D">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年费率0.5%，最低保费1000元</w:t>
            </w:r>
          </w:p>
        </w:tc>
        <w:tc>
          <w:tcPr>
            <w:tcW w:w="1353" w:type="dxa"/>
            <w:vAlign w:val="center"/>
          </w:tcPr>
          <w:p w14:paraId="187EE2C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王灵芳</w:t>
            </w:r>
          </w:p>
        </w:tc>
        <w:tc>
          <w:tcPr>
            <w:tcW w:w="1784" w:type="dxa"/>
            <w:vAlign w:val="center"/>
          </w:tcPr>
          <w:p w14:paraId="4074507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88869818、13586123199</w:t>
            </w:r>
          </w:p>
        </w:tc>
      </w:tr>
      <w:tr w14:paraId="2419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5B3F4675">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中国大地财产保险股份有限公司台州中心支公司</w:t>
            </w:r>
          </w:p>
        </w:tc>
        <w:tc>
          <w:tcPr>
            <w:tcW w:w="2857" w:type="dxa"/>
            <w:vAlign w:val="center"/>
          </w:tcPr>
          <w:p w14:paraId="2D4E2FC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年费率1.5%，最低保费1000元</w:t>
            </w:r>
          </w:p>
        </w:tc>
        <w:tc>
          <w:tcPr>
            <w:tcW w:w="1353" w:type="dxa"/>
            <w:vAlign w:val="center"/>
          </w:tcPr>
          <w:p w14:paraId="053255A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徐小明</w:t>
            </w:r>
          </w:p>
        </w:tc>
        <w:tc>
          <w:tcPr>
            <w:tcW w:w="1784" w:type="dxa"/>
            <w:vAlign w:val="center"/>
          </w:tcPr>
          <w:p w14:paraId="21E5E354">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88552788、13968603112</w:t>
            </w:r>
          </w:p>
        </w:tc>
      </w:tr>
      <w:tr w14:paraId="2BC7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015D638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857" w:type="dxa"/>
            <w:vAlign w:val="center"/>
          </w:tcPr>
          <w:p w14:paraId="7EE1EBD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vAlign w:val="center"/>
          </w:tcPr>
          <w:p w14:paraId="48245268">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84" w:type="dxa"/>
            <w:vAlign w:val="center"/>
          </w:tcPr>
          <w:p w14:paraId="50EFDBE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607D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74B41D5D">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中华联合财产保险股份有限公司台州中心支公司</w:t>
            </w:r>
          </w:p>
        </w:tc>
        <w:tc>
          <w:tcPr>
            <w:tcW w:w="2857" w:type="dxa"/>
            <w:vAlign w:val="center"/>
          </w:tcPr>
          <w:p w14:paraId="11AC5EE4">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年费率2%，最低保费500元</w:t>
            </w:r>
          </w:p>
        </w:tc>
        <w:tc>
          <w:tcPr>
            <w:tcW w:w="1353" w:type="dxa"/>
            <w:vAlign w:val="center"/>
          </w:tcPr>
          <w:p w14:paraId="0EBEBED5">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王仙高</w:t>
            </w:r>
          </w:p>
        </w:tc>
        <w:tc>
          <w:tcPr>
            <w:tcW w:w="1784" w:type="dxa"/>
            <w:vAlign w:val="center"/>
          </w:tcPr>
          <w:p w14:paraId="799B696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13858600221</w:t>
            </w:r>
          </w:p>
        </w:tc>
      </w:tr>
      <w:tr w14:paraId="7FED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15C08C1B">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中国人民财产保险股份有限公司台州中心支公司</w:t>
            </w:r>
          </w:p>
        </w:tc>
        <w:tc>
          <w:tcPr>
            <w:tcW w:w="2857" w:type="dxa"/>
            <w:vAlign w:val="center"/>
          </w:tcPr>
          <w:p w14:paraId="5765A03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年费率0.3%，最低保费1000元</w:t>
            </w:r>
          </w:p>
        </w:tc>
        <w:tc>
          <w:tcPr>
            <w:tcW w:w="1353" w:type="dxa"/>
            <w:vAlign w:val="center"/>
          </w:tcPr>
          <w:p w14:paraId="2F0CB5F7">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王仙春</w:t>
            </w:r>
          </w:p>
        </w:tc>
        <w:tc>
          <w:tcPr>
            <w:tcW w:w="1784" w:type="dxa"/>
            <w:vAlign w:val="center"/>
          </w:tcPr>
          <w:p w14:paraId="2C59D9EE">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13515769179</w:t>
            </w:r>
          </w:p>
        </w:tc>
      </w:tr>
      <w:tr w14:paraId="780C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1DB3EA85">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永安财产保险股份有限公司台州中心支公司</w:t>
            </w:r>
          </w:p>
        </w:tc>
        <w:tc>
          <w:tcPr>
            <w:tcW w:w="2857" w:type="dxa"/>
            <w:vAlign w:val="center"/>
          </w:tcPr>
          <w:p w14:paraId="132954B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w:t>
            </w:r>
          </w:p>
        </w:tc>
        <w:tc>
          <w:tcPr>
            <w:tcW w:w="1353" w:type="dxa"/>
            <w:vAlign w:val="center"/>
          </w:tcPr>
          <w:p w14:paraId="0019FB1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王春宇</w:t>
            </w:r>
          </w:p>
        </w:tc>
        <w:tc>
          <w:tcPr>
            <w:tcW w:w="1784" w:type="dxa"/>
            <w:vAlign w:val="center"/>
          </w:tcPr>
          <w:p w14:paraId="690312E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13676675331</w:t>
            </w:r>
          </w:p>
        </w:tc>
      </w:tr>
    </w:tbl>
    <w:p w14:paraId="53F34374">
      <w:pPr>
        <w:spacing w:line="276" w:lineRule="auto"/>
        <w:ind w:firstLine="843" w:firstLineChars="350"/>
        <w:jc w:val="center"/>
        <w:rPr>
          <w:rFonts w:cs="宋体" w:asciiTheme="minorEastAsia" w:hAnsiTheme="minorEastAsia" w:eastAsiaTheme="minorEastAsia"/>
          <w:b/>
          <w:color w:val="auto"/>
          <w:sz w:val="24"/>
          <w:highlight w:val="none"/>
        </w:rPr>
      </w:pPr>
    </w:p>
    <w:p w14:paraId="3548BDB7">
      <w:pPr>
        <w:spacing w:line="276" w:lineRule="auto"/>
        <w:ind w:firstLine="843" w:firstLineChars="35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预付款保函联系方式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2971"/>
        <w:gridCol w:w="1147"/>
        <w:gridCol w:w="1768"/>
      </w:tblGrid>
      <w:tr w14:paraId="64BF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1" w:type="dxa"/>
            <w:vAlign w:val="center"/>
          </w:tcPr>
          <w:p w14:paraId="5CD388D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保险公司名称</w:t>
            </w:r>
          </w:p>
        </w:tc>
        <w:tc>
          <w:tcPr>
            <w:tcW w:w="2971" w:type="dxa"/>
            <w:vAlign w:val="center"/>
          </w:tcPr>
          <w:p w14:paraId="59FEC3C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保费率</w:t>
            </w:r>
          </w:p>
        </w:tc>
        <w:tc>
          <w:tcPr>
            <w:tcW w:w="1147" w:type="dxa"/>
            <w:vAlign w:val="center"/>
          </w:tcPr>
          <w:p w14:paraId="376E1DE7">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联系人</w:t>
            </w:r>
          </w:p>
        </w:tc>
        <w:tc>
          <w:tcPr>
            <w:tcW w:w="1768" w:type="dxa"/>
            <w:vAlign w:val="center"/>
          </w:tcPr>
          <w:p w14:paraId="7D56CA4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联系电话</w:t>
            </w:r>
          </w:p>
        </w:tc>
      </w:tr>
      <w:tr w14:paraId="40C1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1" w:type="dxa"/>
            <w:vAlign w:val="center"/>
          </w:tcPr>
          <w:p w14:paraId="532C6A6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971" w:type="dxa"/>
            <w:vAlign w:val="center"/>
          </w:tcPr>
          <w:p w14:paraId="5AF1725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年费率3%，最低保费500元</w:t>
            </w:r>
          </w:p>
        </w:tc>
        <w:tc>
          <w:tcPr>
            <w:tcW w:w="1147" w:type="dxa"/>
            <w:vAlign w:val="center"/>
          </w:tcPr>
          <w:p w14:paraId="4E45FA10">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68" w:type="dxa"/>
            <w:vAlign w:val="center"/>
          </w:tcPr>
          <w:p w14:paraId="2C5AD35D">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23C6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1" w:type="dxa"/>
            <w:vAlign w:val="center"/>
          </w:tcPr>
          <w:p w14:paraId="4C17EFE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971" w:type="dxa"/>
            <w:vAlign w:val="center"/>
          </w:tcPr>
          <w:p w14:paraId="57D51D42">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147" w:type="dxa"/>
            <w:vAlign w:val="center"/>
          </w:tcPr>
          <w:p w14:paraId="694235C6">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68" w:type="dxa"/>
            <w:vAlign w:val="center"/>
          </w:tcPr>
          <w:p w14:paraId="50552B2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6CEB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171" w:type="dxa"/>
            <w:vAlign w:val="center"/>
          </w:tcPr>
          <w:p w14:paraId="5F9827D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天安财产保险股份有限公司台州中心支公司</w:t>
            </w:r>
          </w:p>
        </w:tc>
        <w:tc>
          <w:tcPr>
            <w:tcW w:w="2971" w:type="dxa"/>
            <w:vAlign w:val="center"/>
          </w:tcPr>
          <w:p w14:paraId="674116FE">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年费率1%-2%，最低保费500元</w:t>
            </w:r>
          </w:p>
        </w:tc>
        <w:tc>
          <w:tcPr>
            <w:tcW w:w="1147" w:type="dxa"/>
            <w:vAlign w:val="center"/>
          </w:tcPr>
          <w:p w14:paraId="4AC521D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罗赛</w:t>
            </w:r>
          </w:p>
        </w:tc>
        <w:tc>
          <w:tcPr>
            <w:tcW w:w="1768" w:type="dxa"/>
            <w:vAlign w:val="center"/>
          </w:tcPr>
          <w:p w14:paraId="37BA71C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13736605643</w:t>
            </w:r>
          </w:p>
        </w:tc>
      </w:tr>
    </w:tbl>
    <w:p w14:paraId="6F7BF419">
      <w:pPr>
        <w:spacing w:line="400" w:lineRule="exact"/>
        <w:contextualSpacing/>
        <w:jc w:val="left"/>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若对项目采购电子交易系统操作有疑问，可登录政采云（https://www.zcygov.cn/），点击右侧咨询小采，获取采小蜜智能服务管家帮助，或拨打政采云服务热线</w:t>
      </w:r>
      <w:r>
        <w:rPr>
          <w:rFonts w:cs="Arial" w:asciiTheme="minorEastAsia" w:hAnsiTheme="minorEastAsia" w:eastAsiaTheme="minorEastAsia"/>
          <w:b/>
          <w:color w:val="auto"/>
          <w:sz w:val="24"/>
          <w:highlight w:val="none"/>
        </w:rPr>
        <w:t>95763</w:t>
      </w:r>
      <w:r>
        <w:rPr>
          <w:rFonts w:hint="eastAsia" w:cs="Arial" w:asciiTheme="minorEastAsia" w:hAnsiTheme="minorEastAsia" w:eastAsiaTheme="minorEastAsia"/>
          <w:b/>
          <w:color w:val="auto"/>
          <w:sz w:val="24"/>
          <w:highlight w:val="none"/>
        </w:rPr>
        <w:t>获取热线服务帮助。</w:t>
      </w:r>
    </w:p>
    <w:p w14:paraId="020D9AA6">
      <w:pPr>
        <w:spacing w:line="400" w:lineRule="exact"/>
        <w:ind w:firstLine="482" w:firstLineChars="200"/>
        <w:contextualSpacing/>
        <w:jc w:val="left"/>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CA问题联系电话（人工）：汇信CA400-888-4636；天谷CA400-087-8198。</w:t>
      </w:r>
      <w:bookmarkEnd w:id="8"/>
    </w:p>
    <w:bookmarkEnd w:id="9"/>
    <w:bookmarkEnd w:id="10"/>
    <w:p w14:paraId="4CF72D31">
      <w:pPr>
        <w:pageBreakBefore/>
        <w:shd w:val="clear" w:color="auto" w:fill="FFFFFF"/>
        <w:snapToGrid w:val="0"/>
        <w:spacing w:line="360" w:lineRule="auto"/>
        <w:ind w:left="105"/>
        <w:jc w:val="center"/>
        <w:outlineLvl w:val="0"/>
        <w:rPr>
          <w:rFonts w:ascii="Times New Roman" w:hAnsi="Times New Roman"/>
          <w:color w:val="auto"/>
          <w:sz w:val="36"/>
          <w:szCs w:val="36"/>
          <w:highlight w:val="none"/>
        </w:rPr>
      </w:pPr>
      <w:bookmarkStart w:id="14" w:name="_Toc22671"/>
      <w:bookmarkStart w:id="15" w:name="_Toc32413"/>
      <w:bookmarkStart w:id="16" w:name="_Toc11440"/>
      <w:bookmarkStart w:id="17" w:name="_Toc3692"/>
      <w:bookmarkStart w:id="18" w:name="_Toc18266"/>
      <w:bookmarkStart w:id="19" w:name="_Toc20966"/>
      <w:r>
        <w:rPr>
          <w:rFonts w:hint="eastAsia" w:cs="宋体" w:asciiTheme="minorEastAsia" w:hAnsiTheme="minorEastAsia" w:eastAsiaTheme="minorEastAsia"/>
          <w:b/>
          <w:bCs/>
          <w:color w:val="auto"/>
          <w:sz w:val="32"/>
          <w:szCs w:val="32"/>
          <w:highlight w:val="none"/>
        </w:rPr>
        <w:t xml:space="preserve">第二部分  </w:t>
      </w:r>
      <w:bookmarkEnd w:id="14"/>
      <w:bookmarkEnd w:id="15"/>
      <w:bookmarkEnd w:id="16"/>
      <w:bookmarkEnd w:id="17"/>
      <w:bookmarkEnd w:id="18"/>
      <w:bookmarkStart w:id="20" w:name="_Toc53870597"/>
      <w:bookmarkStart w:id="21" w:name="_Toc14033"/>
      <w:bookmarkStart w:id="22" w:name="_Toc233618971"/>
      <w:bookmarkStart w:id="23" w:name="_Toc8189"/>
      <w:bookmarkStart w:id="24" w:name="_Toc354996695"/>
      <w:bookmarkStart w:id="25" w:name="_Toc5551"/>
      <w:bookmarkStart w:id="26" w:name="_Toc32345"/>
      <w:r>
        <w:rPr>
          <w:rFonts w:hint="eastAsia" w:cs="宋体" w:asciiTheme="minorEastAsia" w:hAnsiTheme="minorEastAsia" w:eastAsiaTheme="minorEastAsia"/>
          <w:b/>
          <w:bCs/>
          <w:color w:val="auto"/>
          <w:sz w:val="32"/>
          <w:szCs w:val="32"/>
          <w:highlight w:val="none"/>
        </w:rPr>
        <w:t>投标资料表</w:t>
      </w:r>
      <w:bookmarkEnd w:id="19"/>
      <w:bookmarkEnd w:id="20"/>
    </w:p>
    <w:tbl>
      <w:tblPr>
        <w:tblStyle w:val="47"/>
        <w:tblW w:w="969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3"/>
        <w:gridCol w:w="1419"/>
        <w:gridCol w:w="7455"/>
      </w:tblGrid>
      <w:tr w14:paraId="383FD0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9" w:hRule="atLeast"/>
          <w:tblHeader/>
          <w:jc w:val="center"/>
        </w:trPr>
        <w:tc>
          <w:tcPr>
            <w:tcW w:w="823" w:type="dxa"/>
            <w:tcBorders>
              <w:bottom w:val="single" w:color="auto" w:sz="4" w:space="0"/>
            </w:tcBorders>
            <w:shd w:val="clear" w:color="auto" w:fill="DDD9C4" w:themeFill="background2" w:themeFillShade="E6"/>
            <w:vAlign w:val="center"/>
          </w:tcPr>
          <w:p w14:paraId="30F4DB0B">
            <w:pPr>
              <w:keepNext w:val="0"/>
              <w:keepLines w:val="0"/>
              <w:suppressLineNumbers w:val="0"/>
              <w:spacing w:before="0" w:beforeAutospacing="0" w:after="0" w:afterAutospacing="0" w:line="360" w:lineRule="auto"/>
              <w:ind w:left="-108" w:right="-113"/>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8874" w:type="dxa"/>
            <w:gridSpan w:val="2"/>
            <w:tcBorders>
              <w:bottom w:val="single" w:color="auto" w:sz="4" w:space="0"/>
            </w:tcBorders>
            <w:shd w:val="clear" w:color="auto" w:fill="DDD9C4" w:themeFill="background2" w:themeFillShade="E6"/>
            <w:vAlign w:val="center"/>
          </w:tcPr>
          <w:p w14:paraId="7809242C">
            <w:pPr>
              <w:keepNext w:val="0"/>
              <w:keepLines w:val="0"/>
              <w:suppressLineNumbers w:val="0"/>
              <w:spacing w:before="0" w:beforeAutospacing="0" w:after="0" w:afterAutospacing="0" w:line="360" w:lineRule="auto"/>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内         容</w:t>
            </w:r>
          </w:p>
        </w:tc>
      </w:tr>
      <w:tr w14:paraId="305C4A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92" w:hRule="atLeast"/>
          <w:jc w:val="center"/>
        </w:trPr>
        <w:tc>
          <w:tcPr>
            <w:tcW w:w="823" w:type="dxa"/>
            <w:vMerge w:val="restart"/>
            <w:vAlign w:val="center"/>
          </w:tcPr>
          <w:p w14:paraId="3C3BE654">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p>
        </w:tc>
        <w:tc>
          <w:tcPr>
            <w:tcW w:w="8874" w:type="dxa"/>
            <w:gridSpan w:val="2"/>
            <w:vAlign w:val="center"/>
          </w:tcPr>
          <w:p w14:paraId="5019C8BA">
            <w:pPr>
              <w:keepNext w:val="0"/>
              <w:keepLines w:val="0"/>
              <w:suppressLineNumbers w:val="0"/>
              <w:tabs>
                <w:tab w:val="left" w:pos="1580"/>
                <w:tab w:val="left" w:pos="3436"/>
                <w:tab w:val="left" w:pos="5512"/>
              </w:tabs>
              <w:spacing w:before="0" w:beforeAutospacing="0" w:after="0" w:afterAutospacing="0" w:line="360" w:lineRule="auto"/>
              <w:ind w:left="21" w:right="0"/>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szCs w:val="24"/>
                <w:highlight w:val="none"/>
              </w:rPr>
              <w:t>台州学院</w:t>
            </w:r>
          </w:p>
          <w:p w14:paraId="6A36C687">
            <w:pPr>
              <w:keepNext w:val="0"/>
              <w:keepLines w:val="0"/>
              <w:suppressLineNumbers w:val="0"/>
              <w:tabs>
                <w:tab w:val="left" w:pos="1580"/>
                <w:tab w:val="left" w:pos="3436"/>
                <w:tab w:val="left" w:pos="5512"/>
              </w:tabs>
              <w:spacing w:before="0" w:beforeAutospacing="0" w:after="0" w:afterAutospacing="0" w:line="360" w:lineRule="auto"/>
              <w:ind w:left="21"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梁老师</w:t>
            </w:r>
            <w:r>
              <w:rPr>
                <w:rFonts w:hint="eastAsia" w:asciiTheme="minorEastAsia" w:hAnsiTheme="minorEastAsia" w:eastAsiaTheme="minorEastAsia"/>
                <w:color w:val="auto"/>
                <w:sz w:val="24"/>
                <w:highlight w:val="none"/>
              </w:rPr>
              <w:t>；联系电话：</w:t>
            </w:r>
            <w:r>
              <w:rPr>
                <w:rFonts w:hint="eastAsia" w:cs="Arial" w:asciiTheme="minorEastAsia" w:hAnsiTheme="minorEastAsia" w:eastAsiaTheme="minorEastAsia"/>
                <w:color w:val="auto"/>
                <w:sz w:val="24"/>
                <w:highlight w:val="none"/>
              </w:rPr>
              <w:t>0576-88660897</w:t>
            </w:r>
          </w:p>
          <w:p w14:paraId="39CB66CC">
            <w:pPr>
              <w:keepNext w:val="0"/>
              <w:keepLines w:val="0"/>
              <w:suppressLineNumbers w:val="0"/>
              <w:tabs>
                <w:tab w:val="left" w:pos="1580"/>
                <w:tab w:val="left" w:pos="3436"/>
                <w:tab w:val="left" w:pos="5512"/>
              </w:tabs>
              <w:spacing w:before="0" w:beforeAutospacing="0" w:after="0" w:afterAutospacing="0" w:line="360" w:lineRule="auto"/>
              <w:ind w:left="21" w:right="0"/>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地址：</w:t>
            </w:r>
            <w:r>
              <w:rPr>
                <w:rFonts w:hint="eastAsia" w:asciiTheme="minorEastAsia" w:hAnsiTheme="minorEastAsia" w:eastAsiaTheme="minorEastAsia"/>
                <w:color w:val="auto"/>
                <w:sz w:val="24"/>
                <w:highlight w:val="none"/>
                <w:lang w:eastAsia="zh-CN"/>
              </w:rPr>
              <w:t>浙江省台州市椒江区市府大道1139号</w:t>
            </w:r>
          </w:p>
        </w:tc>
      </w:tr>
      <w:tr w14:paraId="063284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67" w:hRule="atLeast"/>
          <w:jc w:val="center"/>
        </w:trPr>
        <w:tc>
          <w:tcPr>
            <w:tcW w:w="823" w:type="dxa"/>
            <w:vMerge w:val="continue"/>
            <w:vAlign w:val="center"/>
          </w:tcPr>
          <w:p w14:paraId="2D026CAF">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p>
        </w:tc>
        <w:tc>
          <w:tcPr>
            <w:tcW w:w="8874" w:type="dxa"/>
            <w:gridSpan w:val="2"/>
            <w:vAlign w:val="center"/>
          </w:tcPr>
          <w:p w14:paraId="691071BF">
            <w:pPr>
              <w:keepNext w:val="0"/>
              <w:keepLines w:val="0"/>
              <w:suppressLineNumbers w:val="0"/>
              <w:tabs>
                <w:tab w:val="left" w:pos="1580"/>
                <w:tab w:val="left" w:pos="3436"/>
                <w:tab w:val="left" w:pos="5512"/>
              </w:tabs>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default" w:asciiTheme="minorEastAsia" w:hAnsiTheme="minorEastAsia" w:eastAsiaTheme="minorEastAsia"/>
                <w:color w:val="auto"/>
                <w:sz w:val="24"/>
                <w:highlight w:val="none"/>
              </w:rPr>
              <w:t>代理机构：中冠工程管理咨询有限公司</w:t>
            </w:r>
          </w:p>
          <w:p w14:paraId="7BA9B0B7">
            <w:pPr>
              <w:keepNext w:val="0"/>
              <w:keepLines w:val="0"/>
              <w:suppressLineNumbers w:val="0"/>
              <w:tabs>
                <w:tab w:val="left" w:pos="1300"/>
              </w:tabs>
              <w:spacing w:before="0" w:beforeAutospacing="0" w:after="0" w:afterAutospacing="0" w:line="360" w:lineRule="auto"/>
              <w:ind w:left="21" w:right="0"/>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陈金泉、戴艳燕、</w:t>
            </w:r>
            <w:r>
              <w:rPr>
                <w:rFonts w:hint="eastAsia" w:cs="Arial" w:asciiTheme="minorEastAsia" w:hAnsiTheme="minorEastAsia" w:eastAsiaTheme="minorEastAsia"/>
                <w:color w:val="auto"/>
                <w:sz w:val="24"/>
                <w:highlight w:val="none"/>
                <w:lang w:eastAsia="zh-CN"/>
              </w:rPr>
              <w:t>徐茜</w:t>
            </w:r>
          </w:p>
          <w:p w14:paraId="486A89CC">
            <w:pPr>
              <w:keepNext w:val="0"/>
              <w:keepLines w:val="0"/>
              <w:suppressLineNumbers w:val="0"/>
              <w:spacing w:before="0" w:beforeAutospacing="0" w:after="0" w:afterAutospacing="0" w:line="360" w:lineRule="auto"/>
              <w:ind w:left="0" w:right="0"/>
              <w:contextualSpacing/>
              <w:rPr>
                <w:rFonts w:hint="default"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r>
              <w:rPr>
                <w:rFonts w:hint="default" w:cs="Arial" w:asciiTheme="minorEastAsia" w:hAnsiTheme="minorEastAsia" w:eastAsiaTheme="minorEastAsia"/>
                <w:color w:val="auto"/>
                <w:sz w:val="24"/>
                <w:highlight w:val="none"/>
              </w:rPr>
              <w:t>0576-81810227、18968407875</w:t>
            </w:r>
            <w:r>
              <w:rPr>
                <w:rFonts w:hint="eastAsia" w:asciiTheme="minorEastAsia" w:hAnsiTheme="minorEastAsia" w:eastAsiaTheme="minorEastAsia"/>
                <w:color w:val="auto"/>
                <w:sz w:val="24"/>
                <w:highlight w:val="none"/>
              </w:rPr>
              <w:t xml:space="preserve">  </w:t>
            </w:r>
          </w:p>
          <w:p w14:paraId="01BE7AEC">
            <w:pPr>
              <w:keepNext w:val="0"/>
              <w:keepLines w:val="0"/>
              <w:suppressLineNumbers w:val="0"/>
              <w:spacing w:before="0" w:beforeAutospacing="0" w:after="0" w:afterAutospacing="0" w:line="360" w:lineRule="auto"/>
              <w:ind w:left="0" w:right="0"/>
              <w:contextualSpacing/>
              <w:rPr>
                <w:rFonts w:hint="default"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w:t>
            </w:r>
            <w:r>
              <w:rPr>
                <w:rFonts w:hint="default" w:cs="Arial" w:asciiTheme="minorEastAsia" w:hAnsiTheme="minorEastAsia" w:eastAsiaTheme="minorEastAsia"/>
                <w:color w:val="auto"/>
                <w:sz w:val="24"/>
                <w:highlight w:val="none"/>
              </w:rPr>
              <w:t>378号4楼</w:t>
            </w:r>
          </w:p>
        </w:tc>
      </w:tr>
      <w:tr w14:paraId="1CAB50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7E51D995">
            <w:pPr>
              <w:keepNext w:val="0"/>
              <w:keepLines w:val="0"/>
              <w:suppressLineNumbers w:val="0"/>
              <w:spacing w:before="0" w:beforeAutospacing="0" w:after="0" w:afterAutospacing="0" w:line="360" w:lineRule="auto"/>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p>
        </w:tc>
        <w:tc>
          <w:tcPr>
            <w:tcW w:w="8874" w:type="dxa"/>
            <w:gridSpan w:val="2"/>
            <w:tcBorders>
              <w:top w:val="single" w:color="auto" w:sz="4" w:space="0"/>
              <w:bottom w:val="single" w:color="auto" w:sz="2" w:space="0"/>
            </w:tcBorders>
            <w:vAlign w:val="center"/>
          </w:tcPr>
          <w:p w14:paraId="3B912893">
            <w:pPr>
              <w:keepNext w:val="0"/>
              <w:keepLines w:val="0"/>
              <w:suppressLineNumbers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经批准的本次采购</w:t>
            </w:r>
            <w:r>
              <w:rPr>
                <w:rFonts w:hint="eastAsia" w:asciiTheme="minorEastAsia" w:hAnsiTheme="minorEastAsia" w:eastAsiaTheme="minorEastAsia"/>
                <w:color w:val="auto"/>
                <w:sz w:val="24"/>
                <w:highlight w:val="none"/>
                <w:lang w:val="en-US" w:eastAsia="zh-CN"/>
              </w:rPr>
              <w:t>方</w:t>
            </w:r>
            <w:r>
              <w:rPr>
                <w:rFonts w:hint="eastAsia" w:asciiTheme="minorEastAsia" w:hAnsiTheme="minorEastAsia" w:eastAsiaTheme="minorEastAsia"/>
                <w:color w:val="auto"/>
                <w:sz w:val="24"/>
                <w:highlight w:val="none"/>
              </w:rPr>
              <w:t>式：公开招标</w:t>
            </w:r>
          </w:p>
        </w:tc>
      </w:tr>
      <w:tr w14:paraId="67D3E9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6FF10147">
            <w:pPr>
              <w:keepNext w:val="0"/>
              <w:keepLines w:val="0"/>
              <w:suppressLineNumbers w:val="0"/>
              <w:spacing w:before="0" w:beforeAutospacing="0" w:after="0" w:afterAutospacing="0" w:line="360" w:lineRule="auto"/>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p>
        </w:tc>
        <w:tc>
          <w:tcPr>
            <w:tcW w:w="8874" w:type="dxa"/>
            <w:gridSpan w:val="2"/>
            <w:tcBorders>
              <w:top w:val="single" w:color="auto" w:sz="4" w:space="0"/>
              <w:bottom w:val="single" w:color="auto" w:sz="2" w:space="0"/>
            </w:tcBorders>
            <w:vAlign w:val="center"/>
          </w:tcPr>
          <w:p w14:paraId="4B09B57C">
            <w:pPr>
              <w:keepNext w:val="0"/>
              <w:keepLines w:val="0"/>
              <w:suppressLineNumbers w:val="0"/>
              <w:spacing w:before="0" w:beforeAutospacing="0" w:after="0" w:afterAutospacing="0" w:line="360" w:lineRule="auto"/>
              <w:ind w:left="0" w:right="0"/>
              <w:contextualSpacing/>
              <w:rPr>
                <w:rFonts w:hint="default" w:cs="Arial" w:asciiTheme="minorEastAsia" w:hAnsiTheme="minorEastAsia" w:eastAsiaTheme="minorEastAsia"/>
                <w:bCs/>
                <w:color w:val="auto"/>
                <w:sz w:val="24"/>
                <w:highlight w:val="none"/>
              </w:rPr>
            </w:pPr>
            <w:r>
              <w:rPr>
                <w:rFonts w:hint="eastAsia" w:cs="Arial" w:asciiTheme="minorEastAsia" w:hAnsiTheme="minorEastAsia" w:eastAsiaTheme="minorEastAsia"/>
                <w:bCs/>
                <w:color w:val="auto"/>
                <w:sz w:val="24"/>
                <w:highlight w:val="none"/>
              </w:rPr>
              <w:t>投标人</w:t>
            </w:r>
            <w:r>
              <w:rPr>
                <w:rFonts w:hint="default" w:cs="Arial" w:asciiTheme="minorEastAsia" w:hAnsiTheme="minorEastAsia" w:eastAsiaTheme="minorEastAsia"/>
                <w:bCs/>
                <w:color w:val="auto"/>
                <w:sz w:val="24"/>
                <w:highlight w:val="none"/>
              </w:rPr>
              <w:t>的资格要求：</w:t>
            </w:r>
            <w:r>
              <w:rPr>
                <w:rFonts w:hint="eastAsia" w:asciiTheme="minorEastAsia" w:hAnsiTheme="minorEastAsia" w:eastAsiaTheme="minorEastAsia"/>
                <w:color w:val="auto"/>
                <w:sz w:val="24"/>
                <w:highlight w:val="none"/>
              </w:rPr>
              <w:t>详见“第一部分 采购</w:t>
            </w:r>
            <w:r>
              <w:rPr>
                <w:rFonts w:hint="default" w:asciiTheme="minorEastAsia" w:hAnsiTheme="minorEastAsia" w:eastAsiaTheme="minorEastAsia"/>
                <w:color w:val="auto"/>
                <w:sz w:val="24"/>
                <w:highlight w:val="none"/>
              </w:rPr>
              <w:t>公告</w:t>
            </w:r>
            <w:r>
              <w:rPr>
                <w:rFonts w:hint="eastAsia" w:asciiTheme="minorEastAsia" w:hAnsiTheme="minorEastAsia" w:eastAsiaTheme="minorEastAsia"/>
                <w:color w:val="auto"/>
                <w:sz w:val="24"/>
                <w:highlight w:val="none"/>
              </w:rPr>
              <w:t>”。</w:t>
            </w:r>
          </w:p>
        </w:tc>
      </w:tr>
      <w:tr w14:paraId="4F89F3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266617D3">
            <w:pPr>
              <w:keepNext w:val="0"/>
              <w:keepLines w:val="0"/>
              <w:suppressLineNumbers w:val="0"/>
              <w:spacing w:before="0" w:beforeAutospacing="0" w:after="0" w:afterAutospacing="0" w:line="360" w:lineRule="auto"/>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p>
        </w:tc>
        <w:tc>
          <w:tcPr>
            <w:tcW w:w="8874" w:type="dxa"/>
            <w:gridSpan w:val="2"/>
            <w:tcBorders>
              <w:top w:val="single" w:color="auto" w:sz="4" w:space="0"/>
              <w:bottom w:val="single" w:color="auto" w:sz="2" w:space="0"/>
            </w:tcBorders>
            <w:vAlign w:val="center"/>
          </w:tcPr>
          <w:p w14:paraId="44D1FC27">
            <w:pPr>
              <w:keepNext w:val="0"/>
              <w:keepLines w:val="0"/>
              <w:suppressLineNumbers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资格审查：本项目采用资格后审。</w:t>
            </w:r>
          </w:p>
        </w:tc>
      </w:tr>
      <w:tr w14:paraId="0FFE8F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38F5B47D">
            <w:pPr>
              <w:keepNext w:val="0"/>
              <w:keepLines w:val="0"/>
              <w:suppressLineNumbers w:val="0"/>
              <w:tabs>
                <w:tab w:val="left" w:pos="1580"/>
                <w:tab w:val="left" w:pos="3436"/>
                <w:tab w:val="left" w:pos="5512"/>
              </w:tabs>
              <w:spacing w:before="0" w:beforeAutospacing="0" w:after="0" w:afterAutospacing="0" w:line="360" w:lineRule="auto"/>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p>
        </w:tc>
        <w:tc>
          <w:tcPr>
            <w:tcW w:w="8874" w:type="dxa"/>
            <w:gridSpan w:val="2"/>
            <w:vAlign w:val="center"/>
          </w:tcPr>
          <w:p w14:paraId="621A7936">
            <w:pPr>
              <w:keepNext w:val="0"/>
              <w:keepLines w:val="0"/>
              <w:suppressLineNumbers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商务条款资料部分：见“第五部分 采购内容及要求”</w:t>
            </w:r>
          </w:p>
        </w:tc>
      </w:tr>
      <w:tr w14:paraId="40D4FD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325" w:hRule="atLeast"/>
          <w:jc w:val="center"/>
        </w:trPr>
        <w:tc>
          <w:tcPr>
            <w:tcW w:w="823" w:type="dxa"/>
            <w:vAlign w:val="center"/>
          </w:tcPr>
          <w:p w14:paraId="020F53DA">
            <w:pPr>
              <w:keepNext w:val="0"/>
              <w:keepLines w:val="0"/>
              <w:suppressLineNumbers w:val="0"/>
              <w:tabs>
                <w:tab w:val="left" w:pos="1580"/>
                <w:tab w:val="left" w:pos="3436"/>
                <w:tab w:val="left" w:pos="5512"/>
              </w:tabs>
              <w:spacing w:before="0" w:beforeAutospacing="0" w:after="0" w:afterAutospacing="0" w:line="360" w:lineRule="auto"/>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p>
        </w:tc>
        <w:tc>
          <w:tcPr>
            <w:tcW w:w="8874" w:type="dxa"/>
            <w:gridSpan w:val="2"/>
            <w:vAlign w:val="center"/>
          </w:tcPr>
          <w:p w14:paraId="0829D824">
            <w:pPr>
              <w:keepNext w:val="0"/>
              <w:keepLines w:val="0"/>
              <w:suppressLineNumbers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投标报价：</w:t>
            </w:r>
          </w:p>
          <w:p w14:paraId="2517A458">
            <w:pPr>
              <w:keepNext w:val="0"/>
              <w:keepLines w:val="0"/>
              <w:suppressLineNumbers w:val="0"/>
              <w:spacing w:before="0" w:beforeAutospacing="0" w:after="0" w:afterAutospacing="0" w:line="360" w:lineRule="auto"/>
              <w:ind w:left="0" w:right="0"/>
              <w:contextualSpacing/>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1、最高</w:t>
            </w:r>
            <w:r>
              <w:rPr>
                <w:rFonts w:hint="eastAsia" w:asciiTheme="minorEastAsia" w:hAnsiTheme="minorEastAsia" w:eastAsiaTheme="minorEastAsia"/>
                <w:b/>
                <w:bCs w:val="0"/>
                <w:color w:val="auto"/>
                <w:sz w:val="24"/>
                <w:highlight w:val="none"/>
              </w:rPr>
              <w:t>限价：</w:t>
            </w:r>
            <w:r>
              <w:rPr>
                <w:rFonts w:hint="eastAsia" w:ascii="宋体" w:hAnsi="宋体"/>
                <w:b/>
                <w:bCs w:val="0"/>
                <w:color w:val="auto"/>
                <w:sz w:val="24"/>
                <w:highlight w:val="none"/>
                <w:lang w:val="en-US" w:eastAsia="zh-CN"/>
              </w:rPr>
              <w:t>52.8</w:t>
            </w:r>
            <w:r>
              <w:rPr>
                <w:rFonts w:hint="eastAsia" w:asciiTheme="minorEastAsia" w:hAnsiTheme="minorEastAsia" w:eastAsiaTheme="minorEastAsia"/>
                <w:b/>
                <w:bCs w:val="0"/>
                <w:color w:val="auto"/>
                <w:sz w:val="24"/>
                <w:highlight w:val="none"/>
                <w:lang w:val="en-US" w:eastAsia="zh-CN"/>
              </w:rPr>
              <w:t>万元。</w:t>
            </w:r>
            <w:r>
              <w:rPr>
                <w:rFonts w:hint="eastAsia" w:asciiTheme="minorEastAsia" w:hAnsiTheme="minorEastAsia" w:eastAsiaTheme="minorEastAsia"/>
                <w:b/>
                <w:bCs w:val="0"/>
                <w:color w:val="auto"/>
                <w:sz w:val="24"/>
                <w:highlight w:val="none"/>
              </w:rPr>
              <w:t>报价超过最高限价的，其投标将作无效投标处理。</w:t>
            </w:r>
          </w:p>
          <w:p w14:paraId="04E5FAF5">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2、投标报价应是采购文件所确定的采购内容及要求内全部工作内容的价格表现。</w:t>
            </w:r>
            <w:r>
              <w:rPr>
                <w:rFonts w:hint="eastAsia" w:ascii="宋体" w:hAnsi="宋体" w:eastAsia="宋体" w:cs="宋体"/>
                <w:b w:val="0"/>
                <w:bCs/>
                <w:color w:val="auto"/>
                <w:sz w:val="24"/>
                <w:szCs w:val="24"/>
                <w:highlight w:val="none"/>
              </w:rPr>
              <w:t>所有设备（含进口和非进口）均采用人民币报价。本项目的成交报价应包含货款、标准附件、备品备件、专用工具、包装、运输、装卸、保险、税金、货到就位以及安装、调试、培训、保修、</w:t>
            </w:r>
            <w:r>
              <w:rPr>
                <w:rFonts w:hint="eastAsia" w:ascii="宋体" w:hAnsi="宋体" w:eastAsia="宋体" w:cs="宋体"/>
                <w:b/>
                <w:bCs w:val="0"/>
                <w:color w:val="auto"/>
                <w:sz w:val="24"/>
                <w:szCs w:val="24"/>
                <w:highlight w:val="none"/>
              </w:rPr>
              <w:t>进口设备的外贸代理费</w:t>
            </w:r>
            <w:r>
              <w:rPr>
                <w:rFonts w:hint="eastAsia" w:ascii="宋体" w:hAnsi="宋体" w:eastAsia="宋体" w:cs="宋体"/>
                <w:b w:val="0"/>
                <w:bCs/>
                <w:color w:val="auto"/>
                <w:sz w:val="24"/>
                <w:szCs w:val="24"/>
                <w:highlight w:val="none"/>
              </w:rPr>
              <w:t>等一切税金和费用</w:t>
            </w:r>
            <w:r>
              <w:rPr>
                <w:rFonts w:hint="eastAsia" w:cs="Times New Roman" w:asciiTheme="minorEastAsia" w:hAnsiTheme="minorEastAsia" w:eastAsiaTheme="minorEastAsia"/>
                <w:color w:val="auto"/>
                <w:sz w:val="24"/>
                <w:szCs w:val="24"/>
                <w:highlight w:val="none"/>
              </w:rPr>
              <w:t>。</w:t>
            </w:r>
          </w:p>
          <w:p w14:paraId="3390CD42">
            <w:pPr>
              <w:pStyle w:val="21"/>
              <w:keepNext w:val="0"/>
              <w:keepLines w:val="0"/>
              <w:suppressLineNumbers w:val="0"/>
              <w:spacing w:before="0" w:beforeAutospacing="0" w:after="0" w:afterAutospacing="0" w:line="360" w:lineRule="auto"/>
              <w:ind w:left="0" w:right="0" w:firstLine="0"/>
              <w:jc w:val="left"/>
              <w:rPr>
                <w:rFonts w:hint="default"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3、不论中标结果如何，投标人均应自行承担所有与投标有关的全部费用。</w:t>
            </w:r>
          </w:p>
        </w:tc>
      </w:tr>
      <w:tr w14:paraId="416DA6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823" w:type="dxa"/>
            <w:vAlign w:val="center"/>
          </w:tcPr>
          <w:p w14:paraId="440ACA07">
            <w:pPr>
              <w:keepNext w:val="0"/>
              <w:keepLines w:val="0"/>
              <w:suppressLineNumbers w:val="0"/>
              <w:tabs>
                <w:tab w:val="left" w:pos="1580"/>
                <w:tab w:val="left" w:pos="3436"/>
                <w:tab w:val="left" w:pos="5512"/>
              </w:tabs>
              <w:spacing w:before="0" w:beforeAutospacing="0" w:after="0" w:afterAutospacing="0" w:line="360" w:lineRule="auto"/>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p>
        </w:tc>
        <w:tc>
          <w:tcPr>
            <w:tcW w:w="8874" w:type="dxa"/>
            <w:gridSpan w:val="2"/>
            <w:vAlign w:val="center"/>
          </w:tcPr>
          <w:p w14:paraId="5559A741">
            <w:pPr>
              <w:keepNext w:val="0"/>
              <w:keepLines w:val="0"/>
              <w:suppressLineNumbers w:val="0"/>
              <w:autoSpaceDE w:val="0"/>
              <w:autoSpaceDN w:val="0"/>
              <w:snapToGrid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投标有效期：开标之日起90日历天。</w:t>
            </w:r>
          </w:p>
        </w:tc>
      </w:tr>
      <w:tr w14:paraId="150B26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768099AE">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p>
        </w:tc>
        <w:tc>
          <w:tcPr>
            <w:tcW w:w="8874" w:type="dxa"/>
            <w:gridSpan w:val="2"/>
            <w:vAlign w:val="center"/>
          </w:tcPr>
          <w:p w14:paraId="0E55DDA5">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投标文件的制作和投标：</w:t>
            </w:r>
          </w:p>
          <w:p w14:paraId="6ABEDE22">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请投标供应商在投标前仔细阅读“政府采购项目电子交易操作指南”。</w:t>
            </w:r>
          </w:p>
          <w:p w14:paraId="52F23452">
            <w:pPr>
              <w:pStyle w:val="21"/>
              <w:keepNext w:val="0"/>
              <w:keepLines w:val="0"/>
              <w:suppressLineNumbers w:val="0"/>
              <w:spacing w:before="0" w:beforeAutospacing="0" w:after="0" w:afterAutospacing="0" w:line="360" w:lineRule="auto"/>
              <w:ind w:left="105" w:leftChars="5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投标文件的制作：投标供应商按照本项目</w:t>
            </w:r>
            <w:r>
              <w:rPr>
                <w:rFonts w:hint="eastAsia" w:cs="Times New Roman" w:asciiTheme="minorEastAsia" w:hAnsiTheme="minorEastAsia" w:eastAsiaTheme="minorEastAsia"/>
                <w:color w:val="auto"/>
                <w:sz w:val="24"/>
                <w:szCs w:val="24"/>
                <w:highlight w:val="none"/>
              </w:rPr>
              <w:t>采购</w:t>
            </w:r>
            <w:r>
              <w:rPr>
                <w:rFonts w:hint="default" w:cs="Times New Roman" w:asciiTheme="minorEastAsia" w:hAnsiTheme="minorEastAsia" w:eastAsiaTheme="minorEastAsia"/>
                <w:color w:val="auto"/>
                <w:sz w:val="24"/>
                <w:szCs w:val="24"/>
                <w:highlight w:val="none"/>
              </w:rPr>
              <w:t>文件和政采云平台的要求,通过“政采云电子交易客户端”编制、加密并递交投标文件（下载网址：https://zfcg.czt.zj.gov.cn/download/index.html）。</w:t>
            </w:r>
          </w:p>
          <w:p w14:paraId="195F60F4">
            <w:pPr>
              <w:pStyle w:val="21"/>
              <w:keepNext w:val="0"/>
              <w:keepLines w:val="0"/>
              <w:suppressLineNumbers w:val="0"/>
              <w:spacing w:before="0" w:beforeAutospacing="0" w:after="0" w:afterAutospacing="0" w:line="360" w:lineRule="auto"/>
              <w:ind w:left="105" w:leftChars="5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2</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5C67A6B1">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3</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投标文件解密：投标供应商应在开标后30分钟内完成解密。</w:t>
            </w:r>
          </w:p>
          <w:p w14:paraId="4A1A16BD">
            <w:pPr>
              <w:pStyle w:val="21"/>
              <w:keepNext w:val="0"/>
              <w:keepLines w:val="0"/>
              <w:suppressLineNumbers w:val="0"/>
              <w:spacing w:before="0" w:beforeAutospacing="0" w:after="0" w:afterAutospacing="0" w:line="360" w:lineRule="auto"/>
              <w:ind w:left="0" w:right="0" w:firstLine="0"/>
              <w:jc w:val="left"/>
              <w:rPr>
                <w:rFonts w:hint="default" w:asciiTheme="minorEastAsia" w:hAnsiTheme="minorEastAsia" w:eastAsiaTheme="minorEastAsia"/>
                <w:color w:val="auto"/>
                <w:kern w:val="0"/>
                <w:sz w:val="24"/>
                <w:szCs w:val="24"/>
                <w:highlight w:val="none"/>
              </w:rPr>
            </w:pPr>
            <w:r>
              <w:rPr>
                <w:rFonts w:hint="eastAsia" w:cs="Times New Roman" w:asciiTheme="minorEastAsia" w:hAnsiTheme="minorEastAsia" w:eastAsiaTheme="minorEastAsia"/>
                <w:color w:val="auto"/>
                <w:sz w:val="24"/>
                <w:szCs w:val="24"/>
                <w:highlight w:val="none"/>
              </w:rPr>
              <w:t>4、中标供应商中标后需提供纸质投标文件给采购人作为备案存档，纸质投标文件系电子投标文件纸质版，两者内容应一致；数量为：资格证明文件2份；商务技术文件2份；报价文件2份。</w:t>
            </w:r>
          </w:p>
        </w:tc>
      </w:tr>
      <w:tr w14:paraId="7C908A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1C6B93E0">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p>
        </w:tc>
        <w:tc>
          <w:tcPr>
            <w:tcW w:w="8874" w:type="dxa"/>
            <w:gridSpan w:val="2"/>
            <w:vAlign w:val="center"/>
          </w:tcPr>
          <w:p w14:paraId="486B6D4A">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投标文件组成与份数：</w:t>
            </w:r>
          </w:p>
          <w:p w14:paraId="2F11FC2D">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1、上传到政府采购云平台的电子加密投标文件（含资格证明文件、</w:t>
            </w:r>
            <w:r>
              <w:rPr>
                <w:rFonts w:hint="eastAsia" w:cs="Times New Roman" w:asciiTheme="minorEastAsia" w:hAnsiTheme="minorEastAsia" w:eastAsiaTheme="minorEastAsia"/>
                <w:color w:val="auto"/>
                <w:sz w:val="24"/>
                <w:szCs w:val="24"/>
                <w:highlight w:val="none"/>
                <w:lang w:eastAsia="zh-CN"/>
              </w:rPr>
              <w:t>商务技术文件</w:t>
            </w:r>
            <w:r>
              <w:rPr>
                <w:rFonts w:hint="eastAsia" w:cs="Times New Roman" w:asciiTheme="minorEastAsia" w:hAnsiTheme="minorEastAsia" w:eastAsiaTheme="minorEastAsia"/>
                <w:color w:val="auto"/>
                <w:sz w:val="24"/>
                <w:szCs w:val="24"/>
                <w:highlight w:val="none"/>
              </w:rPr>
              <w:t>、报价文件）1份。</w:t>
            </w:r>
          </w:p>
          <w:p w14:paraId="17B4684D">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2、电子备份投标文件（含资格证明文件、</w:t>
            </w:r>
            <w:r>
              <w:rPr>
                <w:rFonts w:hint="eastAsia" w:cs="Times New Roman" w:asciiTheme="minorEastAsia" w:hAnsiTheme="minorEastAsia" w:eastAsiaTheme="minorEastAsia"/>
                <w:color w:val="auto"/>
                <w:sz w:val="24"/>
                <w:szCs w:val="24"/>
                <w:highlight w:val="none"/>
                <w:lang w:eastAsia="zh-CN"/>
              </w:rPr>
              <w:t>商务技术文件</w:t>
            </w:r>
            <w:r>
              <w:rPr>
                <w:rFonts w:hint="eastAsia" w:cs="Times New Roman" w:asciiTheme="minorEastAsia" w:hAnsiTheme="minorEastAsia" w:eastAsiaTheme="minorEastAsia"/>
                <w:color w:val="auto"/>
                <w:sz w:val="24"/>
                <w:szCs w:val="24"/>
                <w:highlight w:val="none"/>
              </w:rPr>
              <w:t>、报价文件）1份。备份投标文件是通过政采云电子交易客户端制作投标文件产生的备份文件，请投标供应商自行妥善保管。</w:t>
            </w:r>
          </w:p>
          <w:p w14:paraId="44F2E999">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（1）使用前提：投标供应商自行在线解密操作失败无法按时寻求技术人员帮助解密，或者投标供应商寻求技术人员帮助仍无法按时完成解密。</w:t>
            </w:r>
          </w:p>
          <w:p w14:paraId="5C3DABCB">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（2）递交截止时间：同投标截止时间。</w:t>
            </w:r>
          </w:p>
          <w:p w14:paraId="4D9AECC9">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（3）投递邮箱：</w:t>
            </w:r>
            <w:r>
              <w:rPr>
                <w:rFonts w:hint="default"/>
                <w:color w:val="auto"/>
                <w:highlight w:val="none"/>
              </w:rPr>
              <w:fldChar w:fldCharType="begin"/>
            </w:r>
            <w:r>
              <w:rPr>
                <w:rFonts w:hint="default"/>
                <w:color w:val="auto"/>
                <w:highlight w:val="none"/>
              </w:rPr>
              <w:instrText xml:space="preserve"> HYPERLINK "mailto:zgtzfgs@163.com" </w:instrText>
            </w:r>
            <w:r>
              <w:rPr>
                <w:rFonts w:hint="default"/>
                <w:color w:val="auto"/>
                <w:highlight w:val="none"/>
              </w:rPr>
              <w:fldChar w:fldCharType="separate"/>
            </w:r>
            <w:r>
              <w:rPr>
                <w:rFonts w:hint="eastAsia" w:cs="Times New Roman" w:asciiTheme="minorEastAsia" w:hAnsiTheme="minorEastAsia" w:eastAsiaTheme="minorEastAsia"/>
                <w:b/>
                <w:color w:val="auto"/>
                <w:sz w:val="24"/>
                <w:szCs w:val="24"/>
                <w:highlight w:val="none"/>
              </w:rPr>
              <w:t>zgtzfgs@163.com</w:t>
            </w:r>
            <w:r>
              <w:rPr>
                <w:rFonts w:hint="eastAsia" w:cs="Times New Roman" w:asciiTheme="minorEastAsia" w:hAnsiTheme="minorEastAsia" w:eastAsiaTheme="minorEastAsia"/>
                <w:b/>
                <w:color w:val="auto"/>
                <w:sz w:val="24"/>
                <w:szCs w:val="24"/>
                <w:highlight w:val="none"/>
              </w:rPr>
              <w:fldChar w:fldCharType="end"/>
            </w:r>
            <w:r>
              <w:rPr>
                <w:rFonts w:hint="eastAsia" w:cs="Times New Roman" w:asciiTheme="minorEastAsia" w:hAnsiTheme="minorEastAsia" w:eastAsiaTheme="minorEastAsia"/>
                <w:b/>
                <w:color w:val="auto"/>
                <w:sz w:val="24"/>
                <w:szCs w:val="24"/>
                <w:highlight w:val="none"/>
              </w:rPr>
              <w:t>。</w:t>
            </w:r>
          </w:p>
          <w:p w14:paraId="3A8233CF">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（4）备份投标文件由供应商自行确定是否提交，因备份投标文件未加密而造成失密等情况，采购代理机构概不负责。未在系统上提交投标文件而仅提交备份投标文件的，其投标无效。</w:t>
            </w:r>
          </w:p>
        </w:tc>
      </w:tr>
      <w:tr w14:paraId="11C23D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2" w:hRule="atLeast"/>
          <w:jc w:val="center"/>
        </w:trPr>
        <w:tc>
          <w:tcPr>
            <w:tcW w:w="823" w:type="dxa"/>
            <w:tcBorders>
              <w:top w:val="single" w:color="auto" w:sz="2" w:space="0"/>
            </w:tcBorders>
            <w:vAlign w:val="center"/>
          </w:tcPr>
          <w:p w14:paraId="6EA15EAD">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p>
        </w:tc>
        <w:tc>
          <w:tcPr>
            <w:tcW w:w="8874" w:type="dxa"/>
            <w:gridSpan w:val="2"/>
            <w:tcBorders>
              <w:top w:val="single" w:color="auto" w:sz="2" w:space="0"/>
            </w:tcBorders>
            <w:vAlign w:val="center"/>
          </w:tcPr>
          <w:p w14:paraId="364E876E">
            <w:pPr>
              <w:keepNext w:val="0"/>
              <w:keepLines w:val="0"/>
              <w:suppressLineNumbers w:val="0"/>
              <w:autoSpaceDE w:val="0"/>
              <w:autoSpaceDN w:val="0"/>
              <w:snapToGrid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采购公告与中标公告发布网站：</w:t>
            </w:r>
            <w:r>
              <w:rPr>
                <w:rFonts w:hint="eastAsia" w:cs="Arial" w:asciiTheme="minorEastAsia" w:hAnsiTheme="minorEastAsia" w:eastAsiaTheme="minorEastAsia"/>
                <w:color w:val="auto"/>
                <w:sz w:val="24"/>
                <w:highlight w:val="none"/>
              </w:rPr>
              <w:t>浙江政府采购网（</w:t>
            </w:r>
            <w:r>
              <w:rPr>
                <w:rFonts w:hint="eastAsia" w:cs="宋体" w:asciiTheme="minorEastAsia" w:hAnsiTheme="minorEastAsia" w:eastAsiaTheme="minorEastAsia"/>
                <w:color w:val="auto"/>
                <w:sz w:val="24"/>
                <w:highlight w:val="none"/>
              </w:rPr>
              <w:t>www.zcygov.cn</w:t>
            </w:r>
            <w:r>
              <w:rPr>
                <w:rFonts w:hint="eastAsia"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szCs w:val="24"/>
                <w:highlight w:val="none"/>
              </w:rPr>
              <w:t>台州学院招投标中心（https://ztbzx.tzc.edu.cn/）</w:t>
            </w:r>
            <w:r>
              <w:rPr>
                <w:rFonts w:hint="eastAsia" w:cs="Arial" w:asciiTheme="minorEastAsia" w:hAnsiTheme="minorEastAsia" w:eastAsiaTheme="minorEastAsia"/>
                <w:color w:val="auto"/>
                <w:sz w:val="24"/>
                <w:highlight w:val="none"/>
              </w:rPr>
              <w:t>。</w:t>
            </w:r>
          </w:p>
        </w:tc>
      </w:tr>
      <w:tr w14:paraId="66EC2F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0" w:hRule="atLeast"/>
          <w:jc w:val="center"/>
        </w:trPr>
        <w:tc>
          <w:tcPr>
            <w:tcW w:w="823" w:type="dxa"/>
            <w:tcBorders>
              <w:top w:val="single" w:color="auto" w:sz="2" w:space="0"/>
            </w:tcBorders>
            <w:vAlign w:val="center"/>
          </w:tcPr>
          <w:p w14:paraId="77098ACC">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p>
        </w:tc>
        <w:tc>
          <w:tcPr>
            <w:tcW w:w="8874" w:type="dxa"/>
            <w:gridSpan w:val="2"/>
            <w:tcBorders>
              <w:top w:val="single" w:color="auto" w:sz="2" w:space="0"/>
            </w:tcBorders>
            <w:vAlign w:val="center"/>
          </w:tcPr>
          <w:p w14:paraId="51EF55AA">
            <w:pPr>
              <w:keepNext w:val="0"/>
              <w:keepLines w:val="0"/>
              <w:suppressLineNumbers w:val="0"/>
              <w:autoSpaceDE w:val="0"/>
              <w:autoSpaceDN w:val="0"/>
              <w:snapToGrid w:val="0"/>
              <w:spacing w:before="0" w:beforeAutospacing="0" w:after="0" w:afterAutospacing="0" w:line="360" w:lineRule="auto"/>
              <w:ind w:left="0" w:right="0"/>
              <w:contextualSpacing/>
              <w:jc w:val="left"/>
              <w:rPr>
                <w:rFonts w:hint="default" w:asciiTheme="minorEastAsia" w:hAnsiTheme="minorEastAsia" w:eastAsiaTheme="minorEastAsia"/>
                <w:color w:val="auto"/>
                <w:sz w:val="24"/>
                <w:highlight w:val="none"/>
              </w:rPr>
            </w:pPr>
            <w:r>
              <w:rPr>
                <w:rFonts w:hint="eastAsia" w:ascii="宋体" w:hAnsi="宋体" w:cs="宋体"/>
                <w:color w:val="auto"/>
                <w:sz w:val="24"/>
                <w:highlight w:val="none"/>
              </w:rPr>
              <w:t>信用信息查询渠道</w:t>
            </w:r>
            <w:r>
              <w:rPr>
                <w:rFonts w:hint="eastAsia" w:asciiTheme="minorEastAsia" w:hAnsiTheme="minorEastAsia" w:eastAsiaTheme="minorEastAsia"/>
                <w:color w:val="auto"/>
                <w:sz w:val="24"/>
                <w:highlight w:val="none"/>
              </w:rPr>
              <w:t>：</w:t>
            </w:r>
            <w:r>
              <w:rPr>
                <w:rFonts w:hint="default" w:asciiTheme="minorEastAsia" w:hAnsiTheme="minorEastAsia" w:eastAsiaTheme="minorEastAsia"/>
                <w:color w:val="auto"/>
                <w:sz w:val="24"/>
                <w:highlight w:val="none"/>
              </w:rPr>
              <w:t>信用中国网站（www.creditchina.gov.cn）、中国政府采购网（www.ccgp.gov.cn）</w:t>
            </w:r>
            <w:r>
              <w:rPr>
                <w:rFonts w:hint="eastAsia" w:asciiTheme="minorEastAsia" w:hAnsiTheme="minorEastAsia" w:eastAsiaTheme="minorEastAsia"/>
                <w:color w:val="auto"/>
                <w:sz w:val="24"/>
                <w:highlight w:val="none"/>
              </w:rPr>
              <w:t>。</w:t>
            </w:r>
          </w:p>
        </w:tc>
      </w:tr>
      <w:tr w14:paraId="083D39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B55ED0D">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cs="宋体"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p>
        </w:tc>
        <w:tc>
          <w:tcPr>
            <w:tcW w:w="8874" w:type="dxa"/>
            <w:gridSpan w:val="2"/>
            <w:vAlign w:val="center"/>
          </w:tcPr>
          <w:p w14:paraId="5D61365D">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1、踏勘现场时间及地点：不组织，各投标单位根据自己需要，自行前往勘察现场和周围环境，所产生的费用由投标单位自理。</w:t>
            </w:r>
          </w:p>
          <w:p w14:paraId="7F58105B">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2、节能产品、环保产品：无要求；</w:t>
            </w:r>
          </w:p>
          <w:p w14:paraId="767807E1">
            <w:pPr>
              <w:pStyle w:val="21"/>
              <w:keepNext w:val="0"/>
              <w:keepLines w:val="0"/>
              <w:suppressLineNumbers w:val="0"/>
              <w:spacing w:before="0" w:beforeAutospacing="0" w:after="0" w:afterAutospacing="0" w:line="360" w:lineRule="auto"/>
              <w:ind w:left="0" w:right="0" w:firstLine="0"/>
              <w:jc w:val="left"/>
              <w:rPr>
                <w:rFonts w:hint="eastAsia" w:cs="Times New Roman" w:asciiTheme="minorEastAsia" w:hAnsiTheme="minorEastAsia" w:eastAsiaTheme="minorEastAsia"/>
                <w:color w:val="auto"/>
                <w:sz w:val="24"/>
                <w:szCs w:val="24"/>
                <w:highlight w:val="none"/>
                <w:lang w:val="en-US" w:eastAsia="zh-CN"/>
              </w:rPr>
            </w:pPr>
            <w:r>
              <w:rPr>
                <w:rFonts w:hint="default" w:cs="Times New Roman" w:asciiTheme="minorEastAsia" w:hAnsiTheme="minorEastAsia" w:eastAsiaTheme="minorEastAsia"/>
                <w:color w:val="auto"/>
                <w:sz w:val="24"/>
                <w:szCs w:val="24"/>
                <w:highlight w:val="none"/>
              </w:rPr>
              <w:t>3、样品：</w:t>
            </w:r>
            <w:r>
              <w:rPr>
                <w:rFonts w:hint="eastAsia" w:cs="Times New Roman" w:asciiTheme="minorEastAsia" w:hAnsiTheme="minorEastAsia" w:eastAsiaTheme="minorEastAsia"/>
                <w:color w:val="auto"/>
                <w:sz w:val="24"/>
                <w:szCs w:val="24"/>
                <w:highlight w:val="none"/>
                <w:lang w:val="en-US" w:eastAsia="zh-CN"/>
              </w:rPr>
              <w:t>无；</w:t>
            </w:r>
          </w:p>
          <w:p w14:paraId="6DADED89">
            <w:pPr>
              <w:pStyle w:val="21"/>
              <w:keepNext w:val="0"/>
              <w:keepLines w:val="0"/>
              <w:suppressLineNumbers w:val="0"/>
              <w:spacing w:before="0" w:beforeAutospacing="0" w:after="0" w:afterAutospacing="0" w:line="360" w:lineRule="auto"/>
              <w:ind w:left="0" w:right="0" w:firstLine="0"/>
              <w:jc w:val="left"/>
              <w:rPr>
                <w:rFonts w:hint="default"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4、现场演示：</w:t>
            </w:r>
            <w:r>
              <w:rPr>
                <w:rFonts w:hint="eastAsia" w:cs="Times New Roman" w:asciiTheme="minorEastAsia" w:hAnsiTheme="minorEastAsia" w:eastAsiaTheme="minorEastAsia"/>
                <w:color w:val="auto"/>
                <w:sz w:val="24"/>
                <w:szCs w:val="24"/>
                <w:highlight w:val="none"/>
                <w:lang w:eastAsia="zh-CN"/>
              </w:rPr>
              <w:t>无</w:t>
            </w:r>
            <w:r>
              <w:rPr>
                <w:rFonts w:hint="eastAsia" w:cs="Times New Roman" w:asciiTheme="minorEastAsia" w:hAnsiTheme="minorEastAsia" w:eastAsiaTheme="minorEastAsia"/>
                <w:color w:val="auto"/>
                <w:sz w:val="24"/>
                <w:szCs w:val="24"/>
                <w:highlight w:val="none"/>
              </w:rPr>
              <w:t>。</w:t>
            </w:r>
          </w:p>
        </w:tc>
      </w:tr>
      <w:tr w14:paraId="526C77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6D71BB32">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p>
        </w:tc>
        <w:tc>
          <w:tcPr>
            <w:tcW w:w="1419" w:type="dxa"/>
            <w:vAlign w:val="center"/>
          </w:tcPr>
          <w:p w14:paraId="0FA57B7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进口产品</w:t>
            </w:r>
          </w:p>
        </w:tc>
        <w:tc>
          <w:tcPr>
            <w:tcW w:w="7455" w:type="dxa"/>
            <w:vAlign w:val="center"/>
          </w:tcPr>
          <w:p w14:paraId="5EDC8F69">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color w:val="auto"/>
                <w:sz w:val="24"/>
                <w:highlight w:val="none"/>
              </w:rPr>
              <w:t>本项目不允许采购进口产品。</w:t>
            </w:r>
          </w:p>
          <w:p w14:paraId="643F6C27">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b w:val="0"/>
                <w:bCs w:val="0"/>
                <w:color w:val="auto"/>
                <w:sz w:val="24"/>
                <w:highlight w:val="none"/>
              </w:rPr>
              <w:t>可以</w:t>
            </w:r>
            <w:r>
              <w:rPr>
                <w:rFonts w:hint="eastAsia" w:ascii="宋体" w:hAnsi="宋体" w:eastAsia="宋体" w:cs="宋体"/>
                <w:b w:val="0"/>
                <w:bCs w:val="0"/>
                <w:color w:val="auto"/>
                <w:sz w:val="24"/>
                <w:highlight w:val="none"/>
              </w:rPr>
              <w:t>采购进口产品</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color w:val="auto"/>
                <w:sz w:val="24"/>
                <w:highlight w:val="none"/>
              </w:rPr>
              <w:t>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CEB38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3" w:type="dxa"/>
            <w:vAlign w:val="center"/>
          </w:tcPr>
          <w:p w14:paraId="524F0045">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p>
        </w:tc>
        <w:tc>
          <w:tcPr>
            <w:tcW w:w="1419" w:type="dxa"/>
            <w:vAlign w:val="center"/>
          </w:tcPr>
          <w:p w14:paraId="065560CC">
            <w:pPr>
              <w:keepNext w:val="0"/>
              <w:keepLines w:val="0"/>
              <w:suppressLineNumbers w:val="0"/>
              <w:spacing w:before="0" w:beforeAutospacing="0" w:after="0" w:afterAutospacing="0" w:line="360" w:lineRule="auto"/>
              <w:ind w:left="17" w:right="0" w:hanging="16" w:hangingChars="7"/>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项目属性与核心产品</w:t>
            </w:r>
          </w:p>
        </w:tc>
        <w:tc>
          <w:tcPr>
            <w:tcW w:w="7455" w:type="dxa"/>
            <w:vAlign w:val="center"/>
          </w:tcPr>
          <w:p w14:paraId="112816A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color w:val="auto"/>
                <w:sz w:val="24"/>
                <w:highlight w:val="none"/>
              </w:rPr>
              <w:t>A货物类，核心产品为：</w:t>
            </w:r>
            <w:r>
              <w:rPr>
                <w:rFonts w:hint="eastAsia" w:asciiTheme="minorEastAsia" w:hAnsiTheme="minorEastAsia" w:eastAsiaTheme="minorEastAsia"/>
                <w:color w:val="auto"/>
                <w:sz w:val="24"/>
                <w:highlight w:val="none"/>
                <w:u w:val="single"/>
                <w:lang w:val="en-US" w:eastAsia="zh-CN"/>
              </w:rPr>
              <w:t xml:space="preserve"> </w:t>
            </w:r>
            <w:r>
              <w:rPr>
                <w:rFonts w:hint="eastAsia" w:cs="Times New Roman"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高效液相色谱</w:t>
            </w:r>
            <w:r>
              <w:rPr>
                <w:rFonts w:hint="eastAsia" w:asciiTheme="minorEastAsia" w:hAnsiTheme="minorEastAsia" w:eastAsiaTheme="minorEastAsia"/>
                <w:color w:val="auto"/>
                <w:sz w:val="24"/>
                <w:highlight w:val="none"/>
                <w:u w:val="single"/>
                <w:lang w:val="en-US" w:eastAsia="zh-CN"/>
              </w:rPr>
              <w:t>仪</w:t>
            </w:r>
            <w:r>
              <w:rPr>
                <w:rFonts w:hint="eastAsia" w:asciiTheme="minorEastAsia" w:hAnsiTheme="minorEastAsia" w:eastAsiaTheme="minorEastAsia"/>
                <w:color w:val="auto"/>
                <w:sz w:val="24"/>
                <w:highlight w:val="none"/>
                <w:u w:val="single"/>
              </w:rPr>
              <w:t>、多功能酶标仪</w:t>
            </w:r>
            <w:r>
              <w:rPr>
                <w:rFonts w:hint="eastAsia" w:cs="Times New Roman"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p>
          <w:p w14:paraId="1BC7096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color w:val="auto"/>
                <w:sz w:val="24"/>
                <w:highlight w:val="none"/>
              </w:rPr>
              <w:t>B服务类。</w:t>
            </w:r>
          </w:p>
        </w:tc>
      </w:tr>
      <w:tr w14:paraId="6A76EA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730" w:hRule="atLeast"/>
          <w:jc w:val="center"/>
        </w:trPr>
        <w:tc>
          <w:tcPr>
            <w:tcW w:w="823" w:type="dxa"/>
            <w:vAlign w:val="center"/>
          </w:tcPr>
          <w:p w14:paraId="6155D0E8">
            <w:pPr>
              <w:keepNext w:val="0"/>
              <w:keepLines w:val="0"/>
              <w:suppressLineNumbers w:val="0"/>
              <w:autoSpaceDE w:val="0"/>
              <w:autoSpaceDN w:val="0"/>
              <w:snapToGrid w:val="0"/>
              <w:spacing w:before="0" w:beforeAutospacing="0" w:after="0" w:afterAutospacing="0" w:line="360" w:lineRule="auto"/>
              <w:ind w:left="-95" w:leftChars="0" w:right="-129" w:rightChars="0"/>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p>
        </w:tc>
        <w:tc>
          <w:tcPr>
            <w:tcW w:w="1419" w:type="dxa"/>
            <w:vAlign w:val="center"/>
          </w:tcPr>
          <w:p w14:paraId="125BA86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highlight w:val="none"/>
              </w:rPr>
            </w:pPr>
            <w:r>
              <w:rPr>
                <w:rFonts w:hint="eastAsia" w:ascii="宋体" w:hAnsi="宋体" w:eastAsia="宋体" w:cs="宋体"/>
                <w:color w:val="auto"/>
                <w:sz w:val="24"/>
                <w:highlight w:val="none"/>
              </w:rPr>
              <w:t>采购标的对应的中小企业划分标准所属行业</w:t>
            </w:r>
          </w:p>
        </w:tc>
        <w:tc>
          <w:tcPr>
            <w:tcW w:w="7455" w:type="dxa"/>
            <w:vAlign w:val="center"/>
          </w:tcPr>
          <w:p w14:paraId="699F2F17">
            <w:pPr>
              <w:keepNext w:val="0"/>
              <w:keepLines w:val="0"/>
              <w:numPr>
                <w:ilvl w:val="0"/>
                <w:numId w:val="0"/>
              </w:numPr>
              <w:suppressLineNumbers w:val="0"/>
              <w:spacing w:before="0" w:beforeAutospacing="0" w:after="0" w:afterAutospacing="0" w:line="360" w:lineRule="auto"/>
              <w:ind w:left="0" w:leftChars="0" w:right="0" w:rightChars="0"/>
              <w:rPr>
                <w:rFonts w:hint="eastAsia" w:cs="Times New Roman" w:asciiTheme="minorEastAsia" w:hAnsiTheme="minorEastAsia" w:eastAsiaTheme="minorEastAsia"/>
                <w:color w:val="auto"/>
                <w:sz w:val="24"/>
                <w:highlight w:val="none"/>
              </w:rPr>
            </w:pPr>
            <w:r>
              <w:rPr>
                <w:rFonts w:hint="default" w:ascii="宋体" w:hAnsi="宋体" w:eastAsia="宋体" w:cs="宋体"/>
                <w:color w:val="auto"/>
                <w:kern w:val="2"/>
                <w:sz w:val="24"/>
                <w:szCs w:val="24"/>
                <w:highlight w:val="none"/>
                <w:lang w:val="en-US" w:eastAsia="zh-CN" w:bidi="ar-SA"/>
              </w:rPr>
              <w:t>(1)</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lang w:val="en-US" w:eastAsia="zh-CN"/>
              </w:rPr>
              <w:t>高效液相色谱仪</w:t>
            </w:r>
            <w:r>
              <w:rPr>
                <w:rFonts w:hint="eastAsia" w:cs="Times New Roman" w:asciiTheme="minorEastAsia" w:hAnsiTheme="minorEastAsia" w:eastAsiaTheme="minorEastAsia"/>
                <w:color w:val="auto"/>
                <w:sz w:val="24"/>
                <w:highlight w:val="none"/>
              </w:rPr>
              <w:t>，属于</w:t>
            </w:r>
            <w:bookmarkStart w:id="27" w:name="OLE_LINK4"/>
            <w:r>
              <w:rPr>
                <w:rFonts w:hint="eastAsia" w:cs="Times New Roman" w:asciiTheme="minorEastAsia" w:hAnsiTheme="minorEastAsia" w:eastAsiaTheme="minorEastAsia"/>
                <w:color w:val="auto"/>
                <w:sz w:val="24"/>
                <w:highlight w:val="none"/>
                <w:u w:val="single"/>
                <w:lang w:val="en-US" w:eastAsia="zh-CN"/>
              </w:rPr>
              <w:t>工业</w:t>
            </w:r>
            <w:bookmarkEnd w:id="27"/>
            <w:r>
              <w:rPr>
                <w:rFonts w:hint="eastAsia" w:cs="Times New Roman" w:asciiTheme="minorEastAsia" w:hAnsiTheme="minorEastAsia" w:eastAsiaTheme="minorEastAsia"/>
                <w:color w:val="auto"/>
                <w:sz w:val="24"/>
                <w:highlight w:val="none"/>
              </w:rPr>
              <w:t>行业；</w:t>
            </w:r>
          </w:p>
          <w:p w14:paraId="4DD0D876">
            <w:pPr>
              <w:keepNext w:val="0"/>
              <w:keepLines w:val="0"/>
              <w:numPr>
                <w:ilvl w:val="0"/>
                <w:numId w:val="0"/>
              </w:numPr>
              <w:suppressLineNumbers w:val="0"/>
              <w:spacing w:before="0" w:beforeAutospacing="0" w:after="0" w:afterAutospacing="0" w:line="360" w:lineRule="auto"/>
              <w:ind w:left="0" w:leftChars="0" w:right="0" w:rightChars="0"/>
              <w:rPr>
                <w:rFonts w:hint="eastAsia" w:cs="Times New Roman" w:asciiTheme="minorEastAsia" w:hAnsiTheme="minorEastAsia" w:eastAsiaTheme="minorEastAsia"/>
                <w:color w:val="auto"/>
                <w:sz w:val="24"/>
                <w:highlight w:val="none"/>
                <w:lang w:eastAsia="zh-CN"/>
              </w:rPr>
            </w:pPr>
            <w:r>
              <w:rPr>
                <w:rFonts w:hint="default" w:ascii="宋体" w:hAnsi="宋体" w:eastAsia="宋体" w:cs="宋体"/>
                <w:color w:val="auto"/>
                <w:kern w:val="2"/>
                <w:sz w:val="24"/>
                <w:szCs w:val="24"/>
                <w:highlight w:val="none"/>
                <w:lang w:val="en-US" w:eastAsia="zh-CN" w:bidi="ar-SA"/>
              </w:rPr>
              <w:t>(2)</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lang w:val="en-US" w:eastAsia="zh-CN"/>
              </w:rPr>
              <w:t>多功能酶标仪</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lang w:val="en-US" w:eastAsia="zh-CN"/>
              </w:rPr>
              <w:t>工业</w:t>
            </w:r>
            <w:r>
              <w:rPr>
                <w:rFonts w:hint="eastAsia" w:cs="Times New Roman" w:asciiTheme="minorEastAsia" w:hAnsiTheme="minorEastAsia" w:eastAsiaTheme="minorEastAsia"/>
                <w:color w:val="auto"/>
                <w:sz w:val="24"/>
                <w:highlight w:val="none"/>
              </w:rPr>
              <w:t>行业</w:t>
            </w:r>
            <w:r>
              <w:rPr>
                <w:rFonts w:hint="eastAsia" w:cs="Times New Roman" w:asciiTheme="minorEastAsia" w:hAnsiTheme="minorEastAsia" w:eastAsiaTheme="minorEastAsia"/>
                <w:color w:val="auto"/>
                <w:sz w:val="24"/>
                <w:highlight w:val="none"/>
                <w:lang w:eastAsia="zh-CN"/>
              </w:rPr>
              <w:t>；</w:t>
            </w:r>
          </w:p>
          <w:p w14:paraId="7E8F5EFD">
            <w:pPr>
              <w:keepNext w:val="0"/>
              <w:keepLines w:val="0"/>
              <w:numPr>
                <w:ilvl w:val="0"/>
                <w:numId w:val="0"/>
              </w:numPr>
              <w:suppressLineNumbers w:val="0"/>
              <w:spacing w:before="0" w:beforeAutospacing="0" w:after="0" w:afterAutospacing="0" w:line="360" w:lineRule="auto"/>
              <w:ind w:left="0" w:leftChars="0" w:right="0" w:rightChars="0"/>
              <w:rPr>
                <w:rFonts w:hint="eastAsia" w:cs="Times New Roman" w:asciiTheme="minorEastAsia" w:hAnsiTheme="minorEastAsia" w:eastAsiaTheme="minorEastAsia"/>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w:t>
            </w:r>
            <w:r>
              <w:rPr>
                <w:rFonts w:hint="default" w:ascii="宋体" w:hAnsi="宋体" w:eastAsia="宋体" w:cs="宋体"/>
                <w:color w:val="auto"/>
                <w:kern w:val="2"/>
                <w:sz w:val="24"/>
                <w:szCs w:val="24"/>
                <w:highlight w:val="none"/>
                <w:lang w:val="en-US" w:eastAsia="zh-CN" w:bidi="ar-SA"/>
              </w:rPr>
              <w:t>)</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lang w:val="en-US" w:eastAsia="zh-CN"/>
              </w:rPr>
              <w:t xml:space="preserve">超微量紫外分光光度计 </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lang w:val="en-US" w:eastAsia="zh-CN"/>
              </w:rPr>
              <w:t>工业</w:t>
            </w:r>
            <w:r>
              <w:rPr>
                <w:rFonts w:hint="eastAsia" w:cs="Times New Roman" w:asciiTheme="minorEastAsia" w:hAnsiTheme="minorEastAsia" w:eastAsiaTheme="minorEastAsia"/>
                <w:color w:val="auto"/>
                <w:sz w:val="24"/>
                <w:highlight w:val="none"/>
              </w:rPr>
              <w:t>行业</w:t>
            </w:r>
            <w:r>
              <w:rPr>
                <w:rFonts w:hint="eastAsia" w:cs="Times New Roman" w:asciiTheme="minorEastAsia" w:hAnsiTheme="minorEastAsia" w:eastAsiaTheme="minorEastAsia"/>
                <w:color w:val="auto"/>
                <w:sz w:val="24"/>
                <w:highlight w:val="none"/>
                <w:lang w:eastAsia="zh-CN"/>
              </w:rPr>
              <w:t>。</w:t>
            </w:r>
          </w:p>
        </w:tc>
      </w:tr>
      <w:tr w14:paraId="2BE27F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823" w:type="dxa"/>
            <w:vAlign w:val="center"/>
          </w:tcPr>
          <w:p w14:paraId="184D78F9">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p>
        </w:tc>
        <w:tc>
          <w:tcPr>
            <w:tcW w:w="8874" w:type="dxa"/>
            <w:gridSpan w:val="2"/>
            <w:vAlign w:val="center"/>
          </w:tcPr>
          <w:p w14:paraId="57ED8D81">
            <w:pPr>
              <w:pStyle w:val="28"/>
              <w:keepNext w:val="0"/>
              <w:keepLines w:val="0"/>
              <w:suppressLineNumbers w:val="0"/>
              <w:spacing w:before="0" w:beforeAutospacing="0" w:after="0" w:afterAutospacing="0" w:line="360" w:lineRule="auto"/>
              <w:ind w:left="0" w:leftChars="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履约保证金：</w:t>
            </w:r>
            <w:r>
              <w:rPr>
                <w:rFonts w:hint="eastAsia" w:asciiTheme="minorEastAsia" w:hAnsiTheme="minorEastAsia" w:eastAsiaTheme="minorEastAsia"/>
                <w:color w:val="auto"/>
                <w:sz w:val="24"/>
                <w:szCs w:val="24"/>
                <w:highlight w:val="none"/>
              </w:rPr>
              <w:t>本项目不收履约保证金</w:t>
            </w:r>
            <w:r>
              <w:rPr>
                <w:rFonts w:hint="eastAsia" w:asciiTheme="minorEastAsia" w:hAnsiTheme="minorEastAsia" w:eastAsiaTheme="minorEastAsia"/>
                <w:color w:val="auto"/>
                <w:sz w:val="24"/>
                <w:highlight w:val="none"/>
              </w:rPr>
              <w:t>。</w:t>
            </w:r>
          </w:p>
        </w:tc>
      </w:tr>
      <w:tr w14:paraId="7DF66D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52210293">
            <w:pPr>
              <w:keepNext w:val="0"/>
              <w:keepLines w:val="0"/>
              <w:suppressLineNumbers w:val="0"/>
              <w:autoSpaceDE w:val="0"/>
              <w:autoSpaceDN w:val="0"/>
              <w:snapToGrid w:val="0"/>
              <w:spacing w:before="0" w:beforeAutospacing="0" w:after="0" w:afterAutospacing="0" w:line="360" w:lineRule="auto"/>
              <w:ind w:left="-95" w:leftChars="0" w:right="-129" w:rightChars="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p>
        </w:tc>
        <w:tc>
          <w:tcPr>
            <w:tcW w:w="8874" w:type="dxa"/>
            <w:gridSpan w:val="2"/>
            <w:vAlign w:val="center"/>
          </w:tcPr>
          <w:p w14:paraId="0B9D1F2D">
            <w:pPr>
              <w:pStyle w:val="21"/>
              <w:keepNext w:val="0"/>
              <w:keepLines w:val="0"/>
              <w:suppressLineNumbers w:val="0"/>
              <w:spacing w:before="0" w:beforeAutospacing="0" w:after="0" w:afterAutospacing="0" w:line="360" w:lineRule="auto"/>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代理服务费：</w:t>
            </w:r>
          </w:p>
          <w:p w14:paraId="6BDB5D3F">
            <w:pPr>
              <w:keepNext w:val="0"/>
              <w:keepLines w:val="0"/>
              <w:suppressLineNumbers w:val="0"/>
              <w:spacing w:before="0" w:beforeAutospacing="0" w:after="0" w:afterAutospacing="0" w:line="360" w:lineRule="auto"/>
              <w:ind w:left="0" w:right="420" w:rightChars="200"/>
              <w:rPr>
                <w:rFonts w:hint="default" w:ascii="宋体" w:hAnsi="宋体" w:cs="宋体"/>
                <w:b/>
                <w:color w:val="auto"/>
                <w:sz w:val="24"/>
                <w:szCs w:val="24"/>
                <w:highlight w:val="none"/>
              </w:rPr>
            </w:pPr>
            <w:r>
              <w:rPr>
                <w:rFonts w:hint="eastAsia" w:ascii="宋体" w:hAnsi="宋体" w:cs="宋体"/>
                <w:color w:val="auto"/>
                <w:sz w:val="24"/>
                <w:szCs w:val="24"/>
                <w:highlight w:val="none"/>
              </w:rPr>
              <w:t>1、代理费金额：本项目招标代理费用参照下表中货物类计算标准乘以</w:t>
            </w:r>
            <w:r>
              <w:rPr>
                <w:rFonts w:hint="eastAsia" w:ascii="宋体" w:hAnsi="宋体" w:cs="宋体"/>
                <w:color w:val="auto"/>
                <w:sz w:val="24"/>
                <w:szCs w:val="24"/>
                <w:highlight w:val="none"/>
                <w:lang w:val="en-US" w:eastAsia="zh-CN"/>
              </w:rPr>
              <w:t>39.8</w:t>
            </w:r>
            <w:r>
              <w:rPr>
                <w:rFonts w:hint="eastAsia" w:ascii="宋体" w:hAnsi="宋体" w:cs="宋体"/>
                <w:color w:val="auto"/>
                <w:sz w:val="24"/>
                <w:szCs w:val="24"/>
                <w:highlight w:val="none"/>
              </w:rPr>
              <w:t>%计算（差额定率累进法），按照中标通知书确定的中标金额，向</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收取招标代理服务费</w:t>
            </w:r>
            <w:r>
              <w:rPr>
                <w:rFonts w:hint="eastAsia" w:ascii="宋体" w:hAnsi="宋体" w:cs="宋体"/>
                <w:bCs/>
                <w:color w:val="auto"/>
                <w:sz w:val="24"/>
                <w:szCs w:val="24"/>
                <w:highlight w:val="none"/>
              </w:rPr>
              <w:t>。</w:t>
            </w:r>
          </w:p>
          <w:tbl>
            <w:tblPr>
              <w:tblStyle w:val="47"/>
              <w:tblW w:w="8158"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0"/>
              <w:gridCol w:w="1449"/>
              <w:gridCol w:w="2039"/>
              <w:gridCol w:w="2040"/>
            </w:tblGrid>
            <w:tr w14:paraId="4B40F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2630" w:type="dxa"/>
                </w:tcPr>
                <w:p w14:paraId="68C06EB9">
                  <w:pPr>
                    <w:keepNext w:val="0"/>
                    <w:keepLines w:val="0"/>
                    <w:suppressLineNumbers w:val="0"/>
                    <w:spacing w:before="0" w:beforeAutospacing="0" w:after="0" w:afterAutospacing="0" w:line="360" w:lineRule="auto"/>
                    <w:ind w:left="0" w:right="0" w:firstLine="1320" w:firstLineChars="550"/>
                    <w:jc w:val="left"/>
                    <w:rPr>
                      <w:rFonts w:hint="default" w:ascii="宋体" w:hAnsi="宋体" w:cs="宋体"/>
                      <w:color w:val="auto"/>
                      <w:sz w:val="24"/>
                      <w:szCs w:val="24"/>
                      <w:highlight w:val="none"/>
                    </w:rPr>
                  </w:pPr>
                  <w:r>
                    <w:rPr>
                      <w:rFonts w:hint="default" w:ascii="宋体" w:hAnsi="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234950</wp:posOffset>
                            </wp:positionH>
                            <wp:positionV relativeFrom="paragraph">
                              <wp:posOffset>1270</wp:posOffset>
                            </wp:positionV>
                            <wp:extent cx="1383665" cy="836930"/>
                            <wp:effectExtent l="2540" t="3810" r="4445" b="16510"/>
                            <wp:wrapNone/>
                            <wp:docPr id="7" name="直接连接符 7"/>
                            <wp:cNvGraphicFramePr/>
                            <a:graphic xmlns:a="http://schemas.openxmlformats.org/drawingml/2006/main">
                              <a:graphicData uri="http://schemas.microsoft.com/office/word/2010/wordprocessingShape">
                                <wps:wsp>
                                  <wps:cNvCnPr/>
                                  <wps:spPr>
                                    <a:xfrm flipH="1" flipV="1">
                                      <a:off x="0" y="0"/>
                                      <a:ext cx="1383665" cy="8369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18.5pt;margin-top:0.1pt;height:65.9pt;width:108.95pt;z-index:251664384;mso-width-relative:page;mso-height-relative:page;" filled="f" stroked="t" coordsize="21600,21600" o:gfxdata="UEsDBAoAAAAAAIdO4kAAAAAAAAAAAAAAAAAEAAAAZHJzL1BLAwQUAAAACACHTuJAGyzmS9MAAAAH&#10;AQAADwAAAGRycy9kb3ducmV2LnhtbE2PwU7DMBBE70j8g7VI3KidFJoQ4vRQqR/Qgqoe3XibRNjr&#10;ELtN+XuWExxHM5p5U69v3okrTnEIpCFbKBBIbbADdRo+3rdPJYiYDFnjAqGGb4ywbu7valPZMNMO&#10;r/vUCS6hWBkNfUpjJWVse/QmLsKIxN45TN4kllMn7WRmLvdO5kqtpDcD8UJvRtz02H7uL16DK1X5&#10;ddgU83FneWV7cD0VmdaPD5l6A5Hwlv7C8IvP6NAw0ylcyEbhNCwLvpI05CDYzV+eX0GcOLbMFcim&#10;lv/5mx9QSwMEFAAAAAgAh07iQAJg/0AKAgAACwQAAA4AAABkcnMvZTJvRG9jLnhtbK1Tu44TMRTt&#10;kfgHyz2ZPLTZ3VEmW2xYKBBE4tHf+DFjyS/ZTib5CX4AiQ4qSnr+huUzuPaEaFmaFLiwrn2vj+85&#10;Pl7c7I0mOxGicrahk9GYEmGZ48q2DX3/7u7ZFSUxgeWgnRUNPYhIb5ZPnyx6X4up65zmIhAEsbHu&#10;fUO7lHxdVZF1wkAcOS8sJqULBhIuQ1vxAD2iG11Nx+N51bvAfXBMxIi7qyFJj4jhHEAnpWJi5djW&#10;CJsG1CA0JKQUO+UjXZZupRQsvZEyikR0Q5FpKjNegvEmz9VyAXUbwHeKHVuAc1p4xMmAsnjpCWoF&#10;Ccg2qH+gjGLBRSfTiDlTDUSKIshiMn6kzdsOvChcUOroT6LH/wfLXu/WgSje0EtKLBh88PtP339+&#10;/PLrx2ec7799JZdZpN7HGmtv7TocV9GvQ2a8l8EQqZV/iW6iJfqQo5xDfmRfxD6cxBb7RBhuTmZX&#10;s/n8ghKGOQyvZ+U1qgExn/YhphfCGZKDhmplsxhQw+5VTNgFlv4pydvakr6h1xfTjAnoTImOwNB4&#10;ZBdtW85GpxW/U1rnEzG0m1sdyA6yO8rIXBH3r7J8yQpiN9SV1OCbTgB/bjlJB4+6WfwuNLdgBKdE&#10;C/xdOUJAqBMofU4lXq1tPiCKd488s/iD3DnaOH7AN9v6oNoOdZmUnnMGPVK6P/o5m/DhGuOHf3j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ss5kvTAAAABwEAAA8AAAAAAAAAAQAgAAAAIgAAAGRy&#10;cy9kb3ducmV2LnhtbFBLAQIUABQAAAAIAIdO4kACYP9ACgIAAAsEAAAOAAAAAAAAAAEAIAAAACIB&#10;AABkcnMvZTJvRG9jLnhtbFBLBQYAAAAABgAGAFkBAACeBQ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服务类型</w:t>
                  </w:r>
                </w:p>
                <w:p w14:paraId="36812B8D">
                  <w:pPr>
                    <w:keepNext w:val="0"/>
                    <w:keepLines w:val="0"/>
                    <w:suppressLineNumbers w:val="0"/>
                    <w:spacing w:before="0" w:beforeAutospacing="0" w:after="0" w:afterAutospacing="0" w:line="360" w:lineRule="auto"/>
                    <w:ind w:left="0" w:right="0" w:firstLine="1080" w:firstLineChars="450"/>
                    <w:jc w:val="left"/>
                    <w:rPr>
                      <w:rFonts w:hint="default" w:ascii="宋体" w:hAnsi="宋体" w:cs="宋体"/>
                      <w:color w:val="auto"/>
                      <w:sz w:val="24"/>
                      <w:szCs w:val="24"/>
                      <w:highlight w:val="none"/>
                    </w:rPr>
                  </w:pPr>
                  <w:r>
                    <w:rPr>
                      <w:rFonts w:hint="default" w:ascii="宋体" w:hAnsi="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22860</wp:posOffset>
                            </wp:positionV>
                            <wp:extent cx="1684655" cy="535940"/>
                            <wp:effectExtent l="1270" t="4445" r="9525" b="12065"/>
                            <wp:wrapNone/>
                            <wp:docPr id="9" name="直接连接符 9"/>
                            <wp:cNvGraphicFramePr/>
                            <a:graphic xmlns:a="http://schemas.openxmlformats.org/drawingml/2006/main">
                              <a:graphicData uri="http://schemas.microsoft.com/office/word/2010/wordprocessingShape">
                                <wps:wsp>
                                  <wps:cNvCnPr/>
                                  <wps:spPr>
                                    <a:xfrm flipH="1" flipV="1">
                                      <a:off x="0" y="0"/>
                                      <a:ext cx="1684655" cy="5359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5.2pt;margin-top:1.8pt;height:42.2pt;width:132.65pt;z-index:251665408;mso-width-relative:page;mso-height-relative:page;" filled="f" stroked="t" coordsize="21600,21600" o:gfxdata="UEsDBAoAAAAAAIdO4kAAAAAAAAAAAAAAAAAEAAAAZHJzL1BLAwQUAAAACACHTuJAfH7cWtUAAAAI&#10;AQAADwAAAGRycy9kb3ducmV2LnhtbE2PwU7DMBBE70j8g7VI3Fo7pbQmZNNDpX5AC6p6dGOTRNjr&#10;ELtN+XuWExxHM5p5U21uwYurG1MfCaGYKxCOmmh7ahHe33YzDSJlQ9b4SA7h2yXY1Pd3lSltnGjv&#10;rofcCi6hVBqELuehlDI1nQsmzePgiL2POAaTWY6ttKOZuDx4uVBqJYPpiRc6M7ht55rPwyUgeK30&#10;13G7nk57yyu7o+9oXSA+PhTqFUR2t/wXhl98Roeamc7xQjYJjzAr1JKjCE8rEOwvnpcvIM4IWiuQ&#10;dSX/H6h/AFBLAwQUAAAACACHTuJAd8FxywsCAAALBAAADgAAAGRycy9lMm9Eb2MueG1srVO7jhMx&#10;FO2R+AfLPZkkbKLNKJMtNiwUCCLx6G/8mLHkl2wnk/wEP4BEBxXl9vwNy2dw7QnRsjRb4MK69r0+&#10;vuf4eHl1MJrsRYjK2YZORmNKhGWOK9s29MP7m2eXlMQEloN2VjT0KCK9Wj19sux9Laauc5qLQBDE&#10;xrr3De1S8nVVRdYJA3HkvLCYlC4YSLgMbcUD9IhudDUdj+dV7wL3wTERI+6uhyQ9IYbHADopFRNr&#10;x3ZG2DSgBqEhIaXYKR/pqnQrpWDprZRRJKIbikxTmfESjLd5rlZLqNsAvlPs1AI8poUHnAwoi5ee&#10;odaQgOyC+gfKKBZcdDKNmDPVQKQogiwm4wfavOvAi8IFpY7+LHr8f7DszX4TiOINXVBiweCD332+&#10;/fnp668fX3C++/6NLLJIvY811l7bTTitot+EzPgggyFSK/8K3URL9DFHOYf8yKGIfTyLLQ6JMNyc&#10;zC8v5rMZJQxzs+ezxUV5jWpAzKd9iOmlcIbkoKFa2SwG1LB/HRN2gaV/SvK2tqRHGrNpxgR0pkRH&#10;YGg8sou2LWej04rfKK3ziRja7bUOZA/ZHWVkroj7V1m+ZA2xG+pKavBNJ4C/sJyko0fdLH4Xmlsw&#10;glOiBf6uHCEg1AmUfkwlXq1tPiCKd088s/iD3DnaOn7EN9v5oNoOdZmUnnMGPVK6P/k5m/D+GuP7&#10;f3j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x+3FrVAAAACAEAAA8AAAAAAAAAAQAgAAAAIgAA&#10;AGRycy9kb3ducmV2LnhtbFBLAQIUABQAAAAIAIdO4kB3wXHLCwIAAAsEAAAOAAAAAAAAAAEAIAAA&#10;ACQBAABkcnMvZTJvRG9jLnhtbFBLBQYAAAAABgAGAFkBAAChBQ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费率</w:t>
                  </w:r>
                </w:p>
                <w:p w14:paraId="0040B870">
                  <w:pPr>
                    <w:keepNext w:val="0"/>
                    <w:keepLines w:val="0"/>
                    <w:suppressLineNumbers w:val="0"/>
                    <w:spacing w:before="0" w:beforeAutospacing="0" w:after="0" w:afterAutospacing="0" w:line="360" w:lineRule="auto"/>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中标金额（万元）</w:t>
                  </w:r>
                </w:p>
              </w:tc>
              <w:tc>
                <w:tcPr>
                  <w:tcW w:w="1449" w:type="dxa"/>
                  <w:vAlign w:val="center"/>
                </w:tcPr>
                <w:p w14:paraId="3F7C187F">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货物招标</w:t>
                  </w:r>
                </w:p>
              </w:tc>
              <w:tc>
                <w:tcPr>
                  <w:tcW w:w="2039" w:type="dxa"/>
                  <w:vAlign w:val="center"/>
                </w:tcPr>
                <w:p w14:paraId="2CFD1C3B">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服务招标</w:t>
                  </w:r>
                </w:p>
              </w:tc>
              <w:tc>
                <w:tcPr>
                  <w:tcW w:w="2040" w:type="dxa"/>
                  <w:vAlign w:val="center"/>
                </w:tcPr>
                <w:p w14:paraId="0472222F">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工程招标</w:t>
                  </w:r>
                </w:p>
              </w:tc>
            </w:tr>
            <w:tr w14:paraId="4E751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76F2BA42">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100以下</w:t>
                  </w:r>
                </w:p>
              </w:tc>
              <w:tc>
                <w:tcPr>
                  <w:tcW w:w="1449" w:type="dxa"/>
                </w:tcPr>
                <w:p w14:paraId="3A8CF5E8">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2039" w:type="dxa"/>
                </w:tcPr>
                <w:p w14:paraId="1CDBC134">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2040" w:type="dxa"/>
                </w:tcPr>
                <w:p w14:paraId="684C6D4F">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r>
            <w:tr w14:paraId="34467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7655C72C">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100-500</w:t>
                  </w:r>
                </w:p>
              </w:tc>
              <w:tc>
                <w:tcPr>
                  <w:tcW w:w="1449" w:type="dxa"/>
                </w:tcPr>
                <w:p w14:paraId="00A78DEA">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2039" w:type="dxa"/>
                </w:tcPr>
                <w:p w14:paraId="08253651">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0.8%</w:t>
                  </w:r>
                </w:p>
              </w:tc>
              <w:tc>
                <w:tcPr>
                  <w:tcW w:w="2040" w:type="dxa"/>
                </w:tcPr>
                <w:p w14:paraId="593BFEC7">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0.7%</w:t>
                  </w:r>
                </w:p>
              </w:tc>
            </w:tr>
            <w:tr w14:paraId="40588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22A69051">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500-1000</w:t>
                  </w:r>
                </w:p>
              </w:tc>
              <w:tc>
                <w:tcPr>
                  <w:tcW w:w="1449" w:type="dxa"/>
                </w:tcPr>
                <w:p w14:paraId="0870A3DA">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0.8%</w:t>
                  </w:r>
                </w:p>
              </w:tc>
              <w:tc>
                <w:tcPr>
                  <w:tcW w:w="2039" w:type="dxa"/>
                </w:tcPr>
                <w:p w14:paraId="0B1F1133">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0.45%</w:t>
                  </w:r>
                </w:p>
              </w:tc>
              <w:tc>
                <w:tcPr>
                  <w:tcW w:w="2040" w:type="dxa"/>
                </w:tcPr>
                <w:p w14:paraId="036575CF">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0.55%</w:t>
                  </w:r>
                </w:p>
              </w:tc>
            </w:tr>
          </w:tbl>
          <w:p w14:paraId="0154C9AC">
            <w:pPr>
              <w:pStyle w:val="21"/>
              <w:keepNext w:val="0"/>
              <w:keepLines w:val="0"/>
              <w:suppressLineNumbers w:val="0"/>
              <w:spacing w:before="0" w:beforeAutospacing="0" w:after="0" w:afterAutospacing="0" w:line="360" w:lineRule="auto"/>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2、中标人应在接到代理机构通知之日起5个工作日之内向采购代理机构支付代理服务费。</w:t>
            </w:r>
          </w:p>
          <w:p w14:paraId="4A4246C6">
            <w:pPr>
              <w:pStyle w:val="21"/>
              <w:keepNext w:val="0"/>
              <w:keepLines w:val="0"/>
              <w:suppressLineNumbers w:val="0"/>
              <w:spacing w:before="0" w:beforeAutospacing="0" w:after="0" w:afterAutospacing="0" w:line="360" w:lineRule="auto"/>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3、收费账号：</w:t>
            </w:r>
          </w:p>
          <w:p w14:paraId="40E3CF02">
            <w:pPr>
              <w:pStyle w:val="21"/>
              <w:keepNext w:val="0"/>
              <w:keepLines w:val="0"/>
              <w:suppressLineNumbers w:val="0"/>
              <w:spacing w:before="0" w:beforeAutospacing="0" w:after="0" w:afterAutospacing="0" w:line="360" w:lineRule="auto"/>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开户银行：中国农业银行股份有限公司台州经济开发区支行</w:t>
            </w:r>
          </w:p>
          <w:p w14:paraId="17107DC6">
            <w:pPr>
              <w:pStyle w:val="21"/>
              <w:keepNext w:val="0"/>
              <w:keepLines w:val="0"/>
              <w:suppressLineNumbers w:val="0"/>
              <w:spacing w:before="0" w:beforeAutospacing="0" w:after="0" w:afterAutospacing="0" w:line="360" w:lineRule="auto"/>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户名：中冠工程管理咨询有限公司台州分公司</w:t>
            </w:r>
          </w:p>
          <w:p w14:paraId="17396353">
            <w:pPr>
              <w:pStyle w:val="21"/>
              <w:keepNext w:val="0"/>
              <w:keepLines w:val="0"/>
              <w:suppressLineNumbers w:val="0"/>
              <w:spacing w:before="0" w:beforeAutospacing="0" w:after="0" w:afterAutospacing="0" w:line="360" w:lineRule="auto"/>
              <w:ind w:left="0" w:right="0" w:firstLine="0" w:firstLineChars="0"/>
              <w:jc w:val="left"/>
              <w:rPr>
                <w:rFonts w:hint="default"/>
                <w:color w:val="auto"/>
                <w:sz w:val="24"/>
                <w:szCs w:val="24"/>
                <w:highlight w:val="none"/>
              </w:rPr>
            </w:pPr>
            <w:r>
              <w:rPr>
                <w:rFonts w:hint="eastAsia" w:ascii="宋体" w:hAnsi="宋体" w:cs="宋体"/>
                <w:color w:val="auto"/>
                <w:sz w:val="24"/>
                <w:szCs w:val="24"/>
                <w:highlight w:val="none"/>
              </w:rPr>
              <w:t>账号：19900101040031566</w:t>
            </w:r>
          </w:p>
        </w:tc>
      </w:tr>
      <w:tr w14:paraId="1411EE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3402624A">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p>
        </w:tc>
        <w:tc>
          <w:tcPr>
            <w:tcW w:w="8874" w:type="dxa"/>
            <w:gridSpan w:val="2"/>
            <w:vAlign w:val="center"/>
          </w:tcPr>
          <w:p w14:paraId="6E64D7EB">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带“▲”的条款是实质性条款。</w:t>
            </w:r>
          </w:p>
        </w:tc>
      </w:tr>
      <w:tr w14:paraId="0CD56B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823" w:type="dxa"/>
            <w:vAlign w:val="center"/>
          </w:tcPr>
          <w:p w14:paraId="346A9ABA">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p>
        </w:tc>
        <w:tc>
          <w:tcPr>
            <w:tcW w:w="8874" w:type="dxa"/>
            <w:gridSpan w:val="2"/>
            <w:vAlign w:val="center"/>
          </w:tcPr>
          <w:p w14:paraId="0B3DA04A">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本采购文件解释权属于采购人和采购代理机构。</w:t>
            </w:r>
          </w:p>
        </w:tc>
      </w:tr>
    </w:tbl>
    <w:p w14:paraId="239681E9">
      <w:pPr>
        <w:shd w:val="clear" w:color="auto" w:fill="FFFFFF"/>
        <w:tabs>
          <w:tab w:val="left" w:pos="706"/>
        </w:tabs>
        <w:snapToGrid w:val="0"/>
        <w:spacing w:line="360" w:lineRule="auto"/>
        <w:ind w:left="561" w:firstLine="454"/>
        <w:jc w:val="center"/>
        <w:outlineLvl w:val="1"/>
        <w:rPr>
          <w:rFonts w:cs="宋体" w:asciiTheme="minorEastAsia" w:hAnsiTheme="minorEastAsia" w:eastAsiaTheme="minorEastAsia"/>
          <w:b/>
          <w:bCs/>
          <w:color w:val="auto"/>
          <w:sz w:val="24"/>
          <w:highlight w:val="none"/>
        </w:rPr>
      </w:pPr>
    </w:p>
    <w:bookmarkEnd w:id="21"/>
    <w:bookmarkEnd w:id="22"/>
    <w:bookmarkEnd w:id="23"/>
    <w:bookmarkEnd w:id="24"/>
    <w:bookmarkEnd w:id="25"/>
    <w:bookmarkEnd w:id="26"/>
    <w:p w14:paraId="7BE39765">
      <w:pPr>
        <w:pStyle w:val="26"/>
        <w:pageBreakBefore/>
        <w:snapToGrid w:val="0"/>
        <w:spacing w:before="120" w:after="120" w:line="360" w:lineRule="auto"/>
        <w:jc w:val="center"/>
        <w:outlineLvl w:val="0"/>
        <w:rPr>
          <w:rFonts w:asciiTheme="minorEastAsia" w:hAnsiTheme="minorEastAsia" w:eastAsiaTheme="minorEastAsia"/>
          <w:bCs/>
          <w:color w:val="auto"/>
          <w:sz w:val="30"/>
          <w:szCs w:val="30"/>
          <w:highlight w:val="none"/>
        </w:rPr>
      </w:pPr>
      <w:bookmarkStart w:id="28" w:name="_Toc5157"/>
      <w:bookmarkStart w:id="29" w:name="_Toc11910"/>
      <w:bookmarkStart w:id="30" w:name="_Toc10621"/>
      <w:bookmarkStart w:id="31" w:name="_Toc19894"/>
      <w:bookmarkStart w:id="32" w:name="_Toc28191"/>
      <w:bookmarkStart w:id="33" w:name="_Toc1293"/>
      <w:r>
        <w:rPr>
          <w:rFonts w:hint="eastAsia" w:asciiTheme="minorEastAsia" w:hAnsiTheme="minorEastAsia" w:eastAsiaTheme="minorEastAsia"/>
          <w:b/>
          <w:bCs/>
          <w:color w:val="auto"/>
          <w:sz w:val="32"/>
          <w:szCs w:val="32"/>
          <w:highlight w:val="none"/>
        </w:rPr>
        <w:t>第三部分  投标</w:t>
      </w:r>
      <w:r>
        <w:rPr>
          <w:rFonts w:hint="eastAsia" w:asciiTheme="minorEastAsia" w:hAnsiTheme="minorEastAsia" w:eastAsiaTheme="minorEastAsia"/>
          <w:b/>
          <w:bCs/>
          <w:color w:val="auto"/>
          <w:sz w:val="32"/>
          <w:szCs w:val="32"/>
          <w:highlight w:val="none"/>
          <w:lang w:eastAsia="zh-CN"/>
        </w:rPr>
        <w:t>人</w:t>
      </w:r>
      <w:r>
        <w:rPr>
          <w:rFonts w:hint="eastAsia" w:asciiTheme="minorEastAsia" w:hAnsiTheme="minorEastAsia" w:eastAsiaTheme="minorEastAsia"/>
          <w:b/>
          <w:bCs/>
          <w:color w:val="auto"/>
          <w:sz w:val="32"/>
          <w:szCs w:val="32"/>
          <w:highlight w:val="none"/>
        </w:rPr>
        <w:t>须知</w:t>
      </w:r>
      <w:bookmarkEnd w:id="28"/>
      <w:bookmarkEnd w:id="29"/>
      <w:bookmarkEnd w:id="30"/>
      <w:bookmarkEnd w:id="31"/>
      <w:bookmarkEnd w:id="32"/>
      <w:bookmarkEnd w:id="33"/>
    </w:p>
    <w:p w14:paraId="69B26400">
      <w:pPr>
        <w:pStyle w:val="94"/>
        <w:ind w:firstLine="440"/>
        <w:jc w:val="center"/>
        <w:rPr>
          <w:rFonts w:hint="eastAsia" w:eastAsia="宋体"/>
          <w:b/>
          <w:bCs/>
          <w:color w:val="auto"/>
          <w:sz w:val="24"/>
          <w:szCs w:val="24"/>
          <w:highlight w:val="none"/>
        </w:rPr>
      </w:pPr>
      <w:bookmarkStart w:id="34" w:name="_Toc19405"/>
      <w:bookmarkStart w:id="35" w:name="_Toc15940"/>
      <w:bookmarkStart w:id="36" w:name="_Toc9564"/>
      <w:bookmarkStart w:id="37" w:name="_Toc4213"/>
      <w:bookmarkStart w:id="38" w:name="_Toc4644"/>
      <w:bookmarkStart w:id="39" w:name="_Toc29648"/>
      <w:bookmarkStart w:id="40" w:name="_Toc10854"/>
      <w:r>
        <w:rPr>
          <w:rFonts w:hint="eastAsia"/>
          <w:b/>
          <w:bCs/>
          <w:color w:val="auto"/>
          <w:sz w:val="24"/>
          <w:szCs w:val="24"/>
          <w:highlight w:val="none"/>
        </w:rPr>
        <w:t>一 、说 明</w:t>
      </w:r>
    </w:p>
    <w:p w14:paraId="7BB335B4">
      <w:pPr>
        <w:pStyle w:val="94"/>
        <w:ind w:left="0" w:leftChars="0" w:firstLine="0" w:firstLineChars="0"/>
        <w:rPr>
          <w:rFonts w:hint="eastAsia"/>
          <w:b/>
          <w:bCs/>
          <w:color w:val="auto"/>
          <w:sz w:val="24"/>
          <w:szCs w:val="24"/>
          <w:highlight w:val="none"/>
        </w:rPr>
      </w:pPr>
      <w:r>
        <w:rPr>
          <w:rFonts w:hint="eastAsia"/>
          <w:b/>
          <w:bCs/>
          <w:color w:val="auto"/>
          <w:sz w:val="24"/>
          <w:szCs w:val="24"/>
          <w:highlight w:val="none"/>
        </w:rPr>
        <w:t>1、项目概况</w:t>
      </w:r>
    </w:p>
    <w:p w14:paraId="25203533">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1.1</w:t>
      </w:r>
      <w:r>
        <w:rPr>
          <w:rFonts w:hint="eastAsia" w:ascii="Times New Roman" w:hAnsi="Times New Roman"/>
          <w:color w:val="auto"/>
          <w:sz w:val="24"/>
          <w:szCs w:val="24"/>
          <w:highlight w:val="none"/>
        </w:rPr>
        <w:t>采购人的项目（载明在《投标资料表》中）已经政府采购行政管理部门批准。采购人委托中冠工程管理咨询有限公司代理本次招标采购工作。有关采购人、采购代理机构的名称、联系人、电话、传真等信息载明在《投标资料表》中。</w:t>
      </w:r>
    </w:p>
    <w:p w14:paraId="5FA5B446">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w:t>
      </w:r>
      <w:r>
        <w:rPr>
          <w:rFonts w:hint="eastAsia" w:ascii="Times New Roman" w:hAnsi="Times New Roman"/>
          <w:color w:val="auto"/>
          <w:sz w:val="24"/>
          <w:szCs w:val="24"/>
          <w:highlight w:val="none"/>
        </w:rPr>
        <w:t>经批准的本次采购方式载明在《投标资料表》中。</w:t>
      </w:r>
    </w:p>
    <w:p w14:paraId="7301DDF5">
      <w:pPr>
        <w:pStyle w:val="94"/>
        <w:ind w:firstLine="440"/>
        <w:jc w:val="center"/>
        <w:rPr>
          <w:rFonts w:hint="eastAsia"/>
          <w:b/>
          <w:bCs/>
          <w:color w:val="auto"/>
          <w:sz w:val="24"/>
          <w:szCs w:val="24"/>
          <w:highlight w:val="none"/>
        </w:rPr>
      </w:pPr>
      <w:r>
        <w:rPr>
          <w:rFonts w:hint="eastAsia"/>
          <w:b/>
          <w:bCs/>
          <w:color w:val="auto"/>
          <w:sz w:val="24"/>
          <w:szCs w:val="24"/>
          <w:highlight w:val="none"/>
        </w:rPr>
        <w:t>二、投标人</w:t>
      </w:r>
    </w:p>
    <w:p w14:paraId="29ACFBDD">
      <w:pPr>
        <w:pStyle w:val="6"/>
        <w:tabs>
          <w:tab w:val="left" w:pos="350"/>
        </w:tabs>
        <w:spacing w:before="0" w:after="0"/>
        <w:contextualSpacing/>
        <w:jc w:val="left"/>
        <w:rPr>
          <w:rFonts w:hint="eastAsia" w:ascii="宋体" w:hAnsi="宋体" w:eastAsia="宋体"/>
          <w:color w:val="auto"/>
          <w:kern w:val="2"/>
          <w:sz w:val="24"/>
          <w:szCs w:val="24"/>
          <w:highlight w:val="none"/>
        </w:rPr>
      </w:pPr>
      <w:bookmarkStart w:id="41" w:name="_Toc12594"/>
      <w:r>
        <w:rPr>
          <w:rFonts w:hint="eastAsia" w:ascii="宋体" w:hAnsi="宋体" w:eastAsia="宋体"/>
          <w:color w:val="auto"/>
          <w:kern w:val="2"/>
          <w:sz w:val="24"/>
          <w:szCs w:val="24"/>
          <w:highlight w:val="none"/>
        </w:rPr>
        <w:t>2、合格的投标人</w:t>
      </w:r>
      <w:bookmarkEnd w:id="41"/>
    </w:p>
    <w:p w14:paraId="6C470A80">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2.1</w:t>
      </w:r>
      <w:r>
        <w:rPr>
          <w:rFonts w:hint="eastAsia" w:ascii="Times New Roman" w:hAnsi="Times New Roman"/>
          <w:color w:val="auto"/>
          <w:sz w:val="24"/>
          <w:szCs w:val="24"/>
          <w:highlight w:val="none"/>
        </w:rPr>
        <w:t>投标人应符合《投标资料表》的报名条件。</w:t>
      </w:r>
    </w:p>
    <w:p w14:paraId="7C6AB9B2">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w:t>
      </w:r>
      <w:r>
        <w:rPr>
          <w:rFonts w:hint="eastAsia" w:ascii="Times New Roman" w:hAnsi="Times New Roman"/>
          <w:color w:val="auto"/>
          <w:sz w:val="24"/>
          <w:szCs w:val="24"/>
          <w:highlight w:val="none"/>
        </w:rPr>
        <w:t>参加本次投标活动的投标人应具备以下条件，并遵守国家有关的法律、法令和条例的规定：</w:t>
      </w:r>
    </w:p>
    <w:p w14:paraId="2562E2C4">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）具有良好的商业信誉和健全的财务会计制度；</w:t>
      </w:r>
    </w:p>
    <w:p w14:paraId="5DA251D8">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）具有履行合同要求提供服务所必须的设备、人员和专业技术能力；</w:t>
      </w:r>
    </w:p>
    <w:p w14:paraId="372AA0BD">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）有依法缴纳税收和社会保障资金的良好</w:t>
      </w:r>
      <w:r>
        <w:rPr>
          <w:rFonts w:hint="eastAsia" w:ascii="Times New Roman" w:hAnsi="Times New Roman"/>
          <w:color w:val="auto"/>
          <w:sz w:val="24"/>
          <w:szCs w:val="24"/>
          <w:highlight w:val="none"/>
          <w:lang w:val="en-US" w:eastAsia="zh-CN"/>
        </w:rPr>
        <w:t>记录</w:t>
      </w:r>
      <w:r>
        <w:rPr>
          <w:rFonts w:hint="eastAsia" w:ascii="Times New Roman" w:hAnsi="Times New Roman"/>
          <w:color w:val="auto"/>
          <w:sz w:val="24"/>
          <w:szCs w:val="24"/>
          <w:highlight w:val="none"/>
        </w:rPr>
        <w:t>；</w:t>
      </w:r>
    </w:p>
    <w:p w14:paraId="79654142">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）参加本次投标活动之前三年内经营活动无重大违法</w:t>
      </w:r>
      <w:r>
        <w:rPr>
          <w:rFonts w:hint="eastAsia" w:ascii="Times New Roman" w:hAnsi="Times New Roman"/>
          <w:color w:val="auto"/>
          <w:sz w:val="24"/>
          <w:szCs w:val="24"/>
          <w:highlight w:val="none"/>
          <w:lang w:val="en-US" w:eastAsia="zh-CN"/>
        </w:rPr>
        <w:t>记录</w:t>
      </w:r>
      <w:r>
        <w:rPr>
          <w:rFonts w:hint="eastAsia" w:ascii="Times New Roman" w:hAnsi="Times New Roman"/>
          <w:color w:val="auto"/>
          <w:sz w:val="24"/>
          <w:szCs w:val="24"/>
          <w:highlight w:val="none"/>
        </w:rPr>
        <w:t>；</w:t>
      </w:r>
    </w:p>
    <w:p w14:paraId="3C856F92">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5</w:t>
      </w:r>
      <w:r>
        <w:rPr>
          <w:rFonts w:hint="eastAsia" w:ascii="Times New Roman" w:hAnsi="Times New Roman"/>
          <w:color w:val="auto"/>
          <w:sz w:val="24"/>
          <w:szCs w:val="24"/>
          <w:highlight w:val="none"/>
        </w:rPr>
        <w:t>）满足采购人为获得满意服务供应而提出的其他要求。（见采购文件中资格要求）</w:t>
      </w:r>
    </w:p>
    <w:p w14:paraId="661611C6">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6</w:t>
      </w:r>
      <w:r>
        <w:rPr>
          <w:rFonts w:hint="eastAsia" w:ascii="Times New Roman" w:hAnsi="Times New Roman"/>
          <w:color w:val="auto"/>
          <w:sz w:val="24"/>
          <w:szCs w:val="24"/>
          <w:highlight w:val="none"/>
        </w:rPr>
        <w:t>）单位负责人为同一人或者存在直接控股、管理关系的不同供应商，不得参加同一合同项下的政府采购活动；</w:t>
      </w:r>
    </w:p>
    <w:p w14:paraId="77B4BBAF">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7</w:t>
      </w:r>
      <w:r>
        <w:rPr>
          <w:rFonts w:hint="eastAsia" w:ascii="Times New Roman" w:hAnsi="Times New Roman"/>
          <w:color w:val="auto"/>
          <w:sz w:val="24"/>
          <w:szCs w:val="24"/>
          <w:highlight w:val="none"/>
        </w:rPr>
        <w:t>）除单一来源采购项目外，为采购项目提供整体设计、规范编制或者项目管理、监理、检测等服务的供应商，不得再参加该采购项目的其他采购活动。</w:t>
      </w:r>
    </w:p>
    <w:p w14:paraId="6B9111D9">
      <w:pPr>
        <w:pStyle w:val="6"/>
        <w:tabs>
          <w:tab w:val="left" w:pos="350"/>
        </w:tabs>
        <w:spacing w:before="0" w:after="0"/>
        <w:contextualSpacing/>
        <w:jc w:val="left"/>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rPr>
        <w:t>、投标人代表</w:t>
      </w:r>
    </w:p>
    <w:p w14:paraId="3766939D">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若投标人为中国境内企业或组织必须为该企业或组织的人员，若投标人为自然人必须为中国合法公民。</w:t>
      </w:r>
    </w:p>
    <w:p w14:paraId="7539C985">
      <w:pPr>
        <w:pStyle w:val="6"/>
        <w:tabs>
          <w:tab w:val="left" w:pos="350"/>
        </w:tabs>
        <w:spacing w:before="0" w:after="0"/>
        <w:contextualSpacing/>
        <w:jc w:val="left"/>
        <w:rPr>
          <w:rFonts w:eastAsia="宋体"/>
          <w:color w:val="auto"/>
          <w:sz w:val="24"/>
          <w:szCs w:val="24"/>
          <w:highlight w:val="none"/>
        </w:rPr>
      </w:pPr>
      <w:r>
        <w:rPr>
          <w:rFonts w:eastAsia="宋体"/>
          <w:color w:val="auto"/>
          <w:sz w:val="24"/>
          <w:szCs w:val="24"/>
          <w:highlight w:val="none"/>
        </w:rPr>
        <w:t>4</w:t>
      </w:r>
      <w:r>
        <w:rPr>
          <w:rFonts w:hint="eastAsia" w:eastAsia="宋体"/>
          <w:color w:val="auto"/>
          <w:sz w:val="24"/>
          <w:szCs w:val="24"/>
          <w:highlight w:val="none"/>
        </w:rPr>
        <w:t>、投标费用</w:t>
      </w:r>
    </w:p>
    <w:p w14:paraId="44F4EB34">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不论招标的结果如何，投标人自行承担其参加本次投标有关的全部费用。</w:t>
      </w:r>
    </w:p>
    <w:p w14:paraId="5A540121">
      <w:pPr>
        <w:pStyle w:val="6"/>
        <w:tabs>
          <w:tab w:val="left" w:pos="350"/>
          <w:tab w:val="clear" w:pos="720"/>
        </w:tabs>
        <w:spacing w:before="0" w:after="0" w:line="360" w:lineRule="auto"/>
        <w:contextualSpacing/>
        <w:jc w:val="both"/>
        <w:rPr>
          <w:rFonts w:hint="eastAsia"/>
          <w:b w:val="0"/>
          <w:color w:val="auto"/>
          <w:sz w:val="24"/>
          <w:szCs w:val="24"/>
          <w:highlight w:val="none"/>
        </w:rPr>
      </w:pPr>
      <w:bookmarkStart w:id="42" w:name="_Toc20238"/>
      <w:bookmarkStart w:id="43" w:name="_Toc9092"/>
      <w:r>
        <w:rPr>
          <w:rFonts w:hint="eastAsia"/>
          <w:b w:val="0"/>
          <w:color w:val="auto"/>
          <w:sz w:val="24"/>
          <w:szCs w:val="24"/>
          <w:highlight w:val="none"/>
        </w:rPr>
        <w:t>5、特别</w:t>
      </w:r>
      <w:r>
        <w:rPr>
          <w:b w:val="0"/>
          <w:color w:val="auto"/>
          <w:sz w:val="24"/>
          <w:szCs w:val="24"/>
          <w:highlight w:val="none"/>
        </w:rPr>
        <w:t>说明</w:t>
      </w:r>
      <w:r>
        <w:rPr>
          <w:rFonts w:hint="eastAsia"/>
          <w:b w:val="0"/>
          <w:color w:val="auto"/>
          <w:sz w:val="24"/>
          <w:szCs w:val="24"/>
          <w:highlight w:val="none"/>
        </w:rPr>
        <w:t>（针对</w:t>
      </w:r>
      <w:r>
        <w:rPr>
          <w:b w:val="0"/>
          <w:color w:val="auto"/>
          <w:sz w:val="24"/>
          <w:szCs w:val="24"/>
          <w:highlight w:val="none"/>
        </w:rPr>
        <w:t>货物采购</w:t>
      </w:r>
      <w:r>
        <w:rPr>
          <w:rFonts w:hint="eastAsia"/>
          <w:b w:val="0"/>
          <w:color w:val="auto"/>
          <w:sz w:val="24"/>
          <w:szCs w:val="24"/>
          <w:highlight w:val="none"/>
        </w:rPr>
        <w:t>）：</w:t>
      </w:r>
      <w:bookmarkEnd w:id="42"/>
      <w:bookmarkEnd w:id="43"/>
    </w:p>
    <w:p w14:paraId="12348B98">
      <w:pPr>
        <w:widowControl/>
        <w:spacing w:line="360" w:lineRule="auto"/>
        <w:ind w:firstLine="482" w:firstLineChars="200"/>
        <w:jc w:val="left"/>
        <w:rPr>
          <w:rFonts w:hint="eastAsia" w:cs="宋体"/>
          <w:b/>
          <w:bCs/>
          <w:color w:val="auto"/>
          <w:sz w:val="24"/>
          <w:szCs w:val="24"/>
          <w:highlight w:val="none"/>
        </w:rPr>
      </w:pPr>
      <w:r>
        <w:rPr>
          <w:rFonts w:hint="eastAsia" w:cs="宋体"/>
          <w:b/>
          <w:bCs/>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cs="宋体"/>
          <w:b/>
          <w:bCs/>
          <w:color w:val="auto"/>
          <w:sz w:val="24"/>
          <w:szCs w:val="24"/>
          <w:highlight w:val="none"/>
          <w:lang w:eastAsia="zh-CN"/>
        </w:rPr>
        <w:t>采购文件</w:t>
      </w:r>
      <w:r>
        <w:rPr>
          <w:rFonts w:hint="eastAsia" w:cs="宋体"/>
          <w:b/>
          <w:bCs/>
          <w:color w:val="auto"/>
          <w:sz w:val="24"/>
          <w:szCs w:val="24"/>
          <w:highlight w:val="none"/>
        </w:rPr>
        <w:t>规定的方式确定一个投标人获得中标人推荐资格，</w:t>
      </w:r>
      <w:r>
        <w:rPr>
          <w:rFonts w:hint="eastAsia" w:cs="宋体"/>
          <w:b/>
          <w:bCs/>
          <w:color w:val="auto"/>
          <w:sz w:val="24"/>
          <w:szCs w:val="24"/>
          <w:highlight w:val="none"/>
          <w:lang w:eastAsia="zh-CN"/>
        </w:rPr>
        <w:t>采购</w:t>
      </w:r>
      <w:r>
        <w:rPr>
          <w:rFonts w:hint="eastAsia" w:cs="宋体"/>
          <w:b/>
          <w:bCs/>
          <w:color w:val="auto"/>
          <w:sz w:val="24"/>
          <w:szCs w:val="24"/>
          <w:highlight w:val="none"/>
        </w:rPr>
        <w:t>文件未规定的采取随机抽取方式确定，其他同品牌投标人不作为中标候选人。</w:t>
      </w:r>
    </w:p>
    <w:p w14:paraId="6166D80E">
      <w:pPr>
        <w:widowControl/>
        <w:spacing w:line="360" w:lineRule="auto"/>
        <w:ind w:firstLine="482" w:firstLineChars="200"/>
        <w:jc w:val="left"/>
        <w:rPr>
          <w:rFonts w:hint="eastAsia" w:cs="宋体"/>
          <w:b/>
          <w:bCs/>
          <w:color w:val="auto"/>
          <w:sz w:val="24"/>
          <w:szCs w:val="24"/>
          <w:highlight w:val="none"/>
        </w:rPr>
      </w:pPr>
      <w:r>
        <w:rPr>
          <w:rFonts w:hint="eastAsia"/>
          <w:b/>
          <w:bCs/>
          <w:color w:val="auto"/>
          <w:sz w:val="24"/>
          <w:szCs w:val="24"/>
          <w:highlight w:val="none"/>
        </w:rPr>
        <w:t>本项目核心产品为：</w:t>
      </w:r>
      <w:r>
        <w:rPr>
          <w:rFonts w:hint="eastAsia" w:cs="Times New Roman"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高效液相色谱</w:t>
      </w:r>
      <w:r>
        <w:rPr>
          <w:rFonts w:hint="eastAsia" w:asciiTheme="minorEastAsia" w:hAnsiTheme="minorEastAsia" w:eastAsiaTheme="minorEastAsia"/>
          <w:color w:val="auto"/>
          <w:sz w:val="24"/>
          <w:highlight w:val="none"/>
          <w:u w:val="single"/>
          <w:lang w:val="en-US" w:eastAsia="zh-CN"/>
        </w:rPr>
        <w:t>仪</w:t>
      </w:r>
      <w:r>
        <w:rPr>
          <w:rFonts w:hint="eastAsia" w:asciiTheme="minorEastAsia" w:hAnsiTheme="minorEastAsia" w:eastAsiaTheme="minorEastAsia"/>
          <w:color w:val="auto"/>
          <w:sz w:val="24"/>
          <w:highlight w:val="none"/>
          <w:u w:val="single"/>
        </w:rPr>
        <w:t>、多功能酶标仪</w:t>
      </w:r>
      <w:r>
        <w:rPr>
          <w:rFonts w:hint="eastAsia" w:cs="Times New Roman" w:asciiTheme="minorEastAsia" w:hAnsiTheme="minorEastAsia" w:eastAsiaTheme="minorEastAsia"/>
          <w:color w:val="auto"/>
          <w:sz w:val="24"/>
          <w:highlight w:val="none"/>
          <w:u w:val="single"/>
          <w:lang w:val="en-US" w:eastAsia="zh-CN"/>
        </w:rPr>
        <w:t xml:space="preserve"> </w:t>
      </w:r>
      <w:r>
        <w:rPr>
          <w:rFonts w:hint="eastAsia"/>
          <w:b/>
          <w:bCs/>
          <w:color w:val="auto"/>
          <w:sz w:val="24"/>
          <w:szCs w:val="24"/>
          <w:highlight w:val="none"/>
        </w:rPr>
        <w:t>，多家投标人提供的核心产品品牌相同的，按前款规定处理。</w:t>
      </w:r>
    </w:p>
    <w:p w14:paraId="02EFF559">
      <w:pPr>
        <w:pStyle w:val="94"/>
        <w:ind w:firstLine="440"/>
        <w:jc w:val="center"/>
        <w:rPr>
          <w:rFonts w:hint="eastAsia"/>
          <w:b/>
          <w:bCs/>
          <w:color w:val="auto"/>
          <w:sz w:val="24"/>
          <w:szCs w:val="24"/>
          <w:highlight w:val="none"/>
        </w:rPr>
      </w:pPr>
      <w:r>
        <w:rPr>
          <w:rFonts w:hint="eastAsia"/>
          <w:b/>
          <w:bCs/>
          <w:color w:val="auto"/>
          <w:sz w:val="24"/>
          <w:szCs w:val="24"/>
          <w:highlight w:val="none"/>
        </w:rPr>
        <w:t>三、采购文件</w:t>
      </w:r>
    </w:p>
    <w:p w14:paraId="4AA40770">
      <w:pPr>
        <w:pStyle w:val="94"/>
        <w:ind w:left="0" w:leftChars="0" w:firstLine="0" w:firstLineChars="0"/>
        <w:rPr>
          <w:rFonts w:hint="eastAsia"/>
          <w:b/>
          <w:bCs/>
          <w:color w:val="auto"/>
          <w:sz w:val="24"/>
          <w:szCs w:val="24"/>
          <w:highlight w:val="none"/>
        </w:rPr>
      </w:pPr>
      <w:r>
        <w:rPr>
          <w:rFonts w:hint="eastAsia"/>
          <w:b/>
          <w:bCs/>
          <w:color w:val="auto"/>
          <w:sz w:val="24"/>
          <w:szCs w:val="24"/>
          <w:highlight w:val="none"/>
        </w:rPr>
        <w:t>6、采购文件构成</w:t>
      </w:r>
    </w:p>
    <w:p w14:paraId="11BE1EB2">
      <w:pPr>
        <w:tabs>
          <w:tab w:val="left" w:pos="709"/>
        </w:tabs>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采购文件含有以下部分，文本条款胶装成册。内容如下：</w:t>
      </w:r>
    </w:p>
    <w:p w14:paraId="45AC5653">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第一部分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采购公告</w:t>
      </w:r>
    </w:p>
    <w:p w14:paraId="7F7888D0">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第二部分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投标资料表</w:t>
      </w:r>
    </w:p>
    <w:p w14:paraId="4E258B86">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第三部分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投标人须知</w:t>
      </w:r>
    </w:p>
    <w:p w14:paraId="1166662E">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第四部分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评标办法及标准</w:t>
      </w:r>
    </w:p>
    <w:p w14:paraId="206AA5AA">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第五部分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采购内容及要求</w:t>
      </w:r>
    </w:p>
    <w:p w14:paraId="36623204">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第六部分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拟签订的合同文本</w:t>
      </w:r>
    </w:p>
    <w:p w14:paraId="70259353">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第七部分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格式与表格</w:t>
      </w:r>
    </w:p>
    <w:p w14:paraId="6C91C91E">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投标人应详细阅读采购文件的全部内容和要求，不按采购文件的要求递交投标文件和资料导致的风险由投标人承担。</w:t>
      </w:r>
    </w:p>
    <w:p w14:paraId="2FDD6861">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7</w:t>
      </w:r>
      <w:r>
        <w:rPr>
          <w:rFonts w:hint="eastAsia" w:ascii="Times New Roman" w:hAnsi="Times New Roman"/>
          <w:color w:val="auto"/>
          <w:sz w:val="24"/>
          <w:szCs w:val="24"/>
          <w:highlight w:val="none"/>
        </w:rPr>
        <w:t>、质疑与投诉</w:t>
      </w:r>
    </w:p>
    <w:p w14:paraId="5BFA1B0B">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7.1</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投标人认为采购文件、采购过程和中标、成交结果使自己的权益受到损害的，可以在知道或者应知其权益受到损害之日起七个工作日内，以书面形式向采购人、采购机构提出质疑</w:t>
      </w:r>
      <w:r>
        <w:rPr>
          <w:rFonts w:hint="eastAsia" w:ascii="Times New Roman" w:hAnsi="Times New Roman"/>
          <w:b/>
          <w:color w:val="auto"/>
          <w:sz w:val="24"/>
          <w:szCs w:val="24"/>
          <w:highlight w:val="none"/>
        </w:rPr>
        <w:t>（注：投标人须在法定质疑期内一次性提出针对同一采购程序环节的质疑）</w:t>
      </w:r>
      <w:r>
        <w:rPr>
          <w:rFonts w:hint="eastAsia" w:ascii="Times New Roman" w:hAnsi="Times New Roman"/>
          <w:color w:val="auto"/>
          <w:sz w:val="24"/>
          <w:szCs w:val="24"/>
          <w:highlight w:val="none"/>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14:paraId="24EC4B9D">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7.2</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14:paraId="181D9EFA">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7.3</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采购代理机构发送的答疑文件是采购文件的组成部分，对投标人具有约束力。</w:t>
      </w:r>
    </w:p>
    <w:p w14:paraId="4368A799">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7.4</w:t>
      </w:r>
      <w:r>
        <w:rPr>
          <w:rFonts w:hint="eastAsia" w:ascii="Times New Roman" w:hAnsi="Times New Roman"/>
          <w:color w:val="auto"/>
          <w:sz w:val="24"/>
          <w:szCs w:val="24"/>
          <w:highlight w:val="none"/>
        </w:rPr>
        <w:t>未尽事宜，见《政府采购质疑和投诉办法》（中华人民共和国财政部令第</w:t>
      </w:r>
      <w:r>
        <w:rPr>
          <w:rFonts w:ascii="Times New Roman" w:hAnsi="Times New Roman"/>
          <w:color w:val="auto"/>
          <w:sz w:val="24"/>
          <w:szCs w:val="24"/>
          <w:highlight w:val="none"/>
        </w:rPr>
        <w:t>94</w:t>
      </w:r>
      <w:r>
        <w:rPr>
          <w:rFonts w:hint="eastAsia" w:ascii="Times New Roman" w:hAnsi="Times New Roman"/>
          <w:color w:val="auto"/>
          <w:sz w:val="24"/>
          <w:szCs w:val="24"/>
          <w:highlight w:val="none"/>
        </w:rPr>
        <w:t>号）。</w:t>
      </w:r>
    </w:p>
    <w:p w14:paraId="20F27D10">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8</w:t>
      </w:r>
      <w:r>
        <w:rPr>
          <w:rFonts w:hint="eastAsia" w:ascii="Times New Roman" w:hAnsi="Times New Roman"/>
          <w:color w:val="auto"/>
          <w:sz w:val="24"/>
          <w:szCs w:val="24"/>
          <w:highlight w:val="none"/>
        </w:rPr>
        <w:t>、采购文件的澄清与修改</w:t>
      </w:r>
    </w:p>
    <w:p w14:paraId="11B4988C">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8.1</w:t>
      </w:r>
      <w:r>
        <w:rPr>
          <w:rFonts w:hint="eastAsia" w:ascii="Times New Roman" w:hAnsi="Times New Roman"/>
          <w:color w:val="auto"/>
          <w:sz w:val="24"/>
          <w:szCs w:val="24"/>
          <w:highlight w:val="none"/>
        </w:rPr>
        <w:t>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584CDC25">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澄清或者修改的内容可能影响投标文件编制的，采购人或者采购代理机构应当在投标截止时间至少</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日前，以书面形式通知所有获取采购文件的潜在投标人；不足</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日的，采购人或者采购代理机构应当顺延提交投标文件的截止时间。</w:t>
      </w:r>
    </w:p>
    <w:p w14:paraId="17A65481">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8.2</w:t>
      </w:r>
      <w:r>
        <w:rPr>
          <w:rFonts w:hint="eastAsia" w:ascii="Times New Roman" w:hAnsi="Times New Roman"/>
          <w:color w:val="auto"/>
          <w:sz w:val="24"/>
          <w:szCs w:val="24"/>
          <w:highlight w:val="none"/>
        </w:rPr>
        <w:t>采购代理机构必须以书面形式答复投标人要求澄清的问题，并将不包含问题来源的答复书面通知所有获取采购文件的投标人；除书面答复以外的其他澄清方式及澄清内容均无效。</w:t>
      </w:r>
    </w:p>
    <w:p w14:paraId="6304A344">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8.3</w:t>
      </w:r>
      <w:r>
        <w:rPr>
          <w:rFonts w:hint="eastAsia" w:ascii="Times New Roman" w:hAnsi="Times New Roman"/>
          <w:color w:val="auto"/>
          <w:sz w:val="24"/>
          <w:szCs w:val="24"/>
          <w:highlight w:val="none"/>
        </w:rPr>
        <w:t>采购文件澄清、答复、修改、补充的内容为采购文件的组成部分。当采购文件与采购文件的答复、澄清、修改、补充通知就同一内容的表述不一致时，以最后发出的书面文件为准。</w:t>
      </w:r>
    </w:p>
    <w:p w14:paraId="43F84FB4">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8.4</w:t>
      </w:r>
      <w:r>
        <w:rPr>
          <w:rFonts w:hint="eastAsia" w:ascii="Times New Roman" w:hAnsi="Times New Roman"/>
          <w:color w:val="auto"/>
          <w:sz w:val="24"/>
          <w:szCs w:val="24"/>
          <w:highlight w:val="none"/>
        </w:rPr>
        <w:t>采购文件的澄清、答复、修改或补充都应该通过本代理机构以法定形式发布，采购人非通过本机构，不得擅自澄清、答复、修改或补充采购文件。</w:t>
      </w:r>
    </w:p>
    <w:p w14:paraId="28168ABA">
      <w:pPr>
        <w:tabs>
          <w:tab w:val="left" w:pos="709"/>
        </w:tabs>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9</w:t>
      </w:r>
      <w:r>
        <w:rPr>
          <w:rFonts w:hint="eastAsia" w:ascii="Times New Roman" w:hAnsi="Times New Roman"/>
          <w:color w:val="auto"/>
          <w:sz w:val="24"/>
          <w:szCs w:val="24"/>
          <w:highlight w:val="none"/>
        </w:rPr>
        <w:t>、关于分公司投标</w:t>
      </w:r>
    </w:p>
    <w:p w14:paraId="03D4CF5A">
      <w:pPr>
        <w:tabs>
          <w:tab w:val="left" w:pos="709"/>
        </w:tabs>
        <w:spacing w:line="360" w:lineRule="auto"/>
        <w:ind w:firstLine="482" w:firstLineChars="20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除金融、保险、通讯等特定行业外，法人的分支机构由于不能独立承担民事责任，不能以分支机构的身份参加政府采购，只能法人身份参加。</w:t>
      </w:r>
    </w:p>
    <w:p w14:paraId="162351A4">
      <w:pPr>
        <w:tabs>
          <w:tab w:val="left" w:pos="709"/>
        </w:tabs>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10</w:t>
      </w:r>
      <w:r>
        <w:rPr>
          <w:rFonts w:hint="eastAsia" w:ascii="Times New Roman" w:hAnsi="Times New Roman"/>
          <w:color w:val="auto"/>
          <w:sz w:val="24"/>
          <w:szCs w:val="24"/>
          <w:highlight w:val="none"/>
        </w:rPr>
        <w:t>、关于知识产权</w:t>
      </w:r>
    </w:p>
    <w:p w14:paraId="63FFBEEB">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10.1</w:t>
      </w:r>
      <w:r>
        <w:rPr>
          <w:rFonts w:hint="eastAsia" w:ascii="Times New Roman" w:hAnsi="Times New Roman"/>
          <w:color w:val="auto"/>
          <w:sz w:val="24"/>
          <w:szCs w:val="24"/>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654C1C01">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10.2</w:t>
      </w:r>
      <w:r>
        <w:rPr>
          <w:rFonts w:hint="eastAsia" w:ascii="Times New Roman" w:hAnsi="Times New Roman"/>
          <w:color w:val="auto"/>
          <w:sz w:val="24"/>
          <w:szCs w:val="24"/>
          <w:highlight w:val="none"/>
        </w:rPr>
        <w:t>投标报价应包含所有应向所有权人支付的专利权、商标权或其它知识产权的一切相关费用。</w:t>
      </w:r>
    </w:p>
    <w:p w14:paraId="33DB3C03">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10.3</w:t>
      </w:r>
      <w:r>
        <w:rPr>
          <w:rFonts w:hint="eastAsia" w:ascii="Times New Roman" w:hAnsi="Times New Roman"/>
          <w:color w:val="auto"/>
          <w:sz w:val="24"/>
          <w:szCs w:val="24"/>
          <w:highlight w:val="none"/>
        </w:rPr>
        <w:t>系统软件、通用软件必须是具有在中国境内的合法使用权或版权的正版软件，涉及到第三方提出侵权或知识产权的起诉及支付版税等费用由供应商承担所有责任及费用。</w:t>
      </w:r>
    </w:p>
    <w:p w14:paraId="7C9A1D45">
      <w:pPr>
        <w:pStyle w:val="94"/>
        <w:ind w:firstLine="440"/>
        <w:jc w:val="center"/>
        <w:rPr>
          <w:rFonts w:hint="eastAsia"/>
          <w:b/>
          <w:bCs/>
          <w:color w:val="auto"/>
          <w:sz w:val="24"/>
          <w:szCs w:val="24"/>
          <w:highlight w:val="none"/>
        </w:rPr>
      </w:pPr>
      <w:r>
        <w:rPr>
          <w:rFonts w:hint="eastAsia"/>
          <w:b/>
          <w:bCs/>
          <w:color w:val="auto"/>
          <w:sz w:val="24"/>
          <w:szCs w:val="24"/>
          <w:highlight w:val="none"/>
        </w:rPr>
        <w:t>四、投标文件</w:t>
      </w:r>
    </w:p>
    <w:p w14:paraId="3F61ECA2">
      <w:pPr>
        <w:pStyle w:val="94"/>
        <w:ind w:firstLine="440"/>
        <w:rPr>
          <w:rFonts w:hint="eastAsia"/>
          <w:color w:val="auto"/>
          <w:sz w:val="24"/>
          <w:szCs w:val="24"/>
          <w:highlight w:val="none"/>
        </w:rPr>
      </w:pPr>
      <w:r>
        <w:rPr>
          <w:rFonts w:hint="eastAsia"/>
          <w:color w:val="auto"/>
          <w:sz w:val="24"/>
          <w:szCs w:val="24"/>
          <w:highlight w:val="none"/>
        </w:rPr>
        <w:t>投标人应认真阅读采购文件中所有的事项、格式、条款和技术要求等。如果投标人没有按照采购文件要求和规定编制投标文件及提交全部资料，或者投标人没有对采购文件中各方面作出实质性响应，其风险应由投标人自行承担。</w:t>
      </w:r>
    </w:p>
    <w:p w14:paraId="2ABFD367">
      <w:pPr>
        <w:pStyle w:val="94"/>
        <w:ind w:left="0" w:leftChars="0" w:firstLine="0" w:firstLineChars="0"/>
        <w:rPr>
          <w:rFonts w:hint="eastAsia"/>
          <w:color w:val="auto"/>
          <w:sz w:val="24"/>
          <w:szCs w:val="24"/>
          <w:highlight w:val="none"/>
        </w:rPr>
      </w:pPr>
      <w:r>
        <w:rPr>
          <w:rFonts w:hint="eastAsia"/>
          <w:color w:val="auto"/>
          <w:sz w:val="24"/>
          <w:szCs w:val="24"/>
          <w:highlight w:val="none"/>
        </w:rPr>
        <w:t>11、投标文件的组成</w:t>
      </w:r>
    </w:p>
    <w:p w14:paraId="1C1DD403">
      <w:pPr>
        <w:tabs>
          <w:tab w:val="left" w:pos="709"/>
        </w:tabs>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11.1</w:t>
      </w:r>
      <w:r>
        <w:rPr>
          <w:rFonts w:hint="eastAsia" w:ascii="Times New Roman" w:hAnsi="Times New Roman"/>
          <w:color w:val="auto"/>
          <w:sz w:val="24"/>
          <w:szCs w:val="24"/>
          <w:highlight w:val="none"/>
        </w:rPr>
        <w:t>投标文件分为资格证明文件、报价文件、</w:t>
      </w:r>
      <w:r>
        <w:rPr>
          <w:rFonts w:hint="eastAsia" w:ascii="Times New Roman" w:hAnsi="Times New Roman"/>
          <w:color w:val="auto"/>
          <w:sz w:val="24"/>
          <w:szCs w:val="24"/>
          <w:highlight w:val="none"/>
          <w:lang w:eastAsia="zh-CN"/>
        </w:rPr>
        <w:t>商务技术文件</w:t>
      </w:r>
      <w:r>
        <w:rPr>
          <w:rFonts w:hint="eastAsia" w:ascii="Times New Roman" w:hAnsi="Times New Roman"/>
          <w:color w:val="auto"/>
          <w:sz w:val="24"/>
          <w:szCs w:val="24"/>
          <w:highlight w:val="none"/>
        </w:rPr>
        <w:t>三部分；</w:t>
      </w:r>
    </w:p>
    <w:p w14:paraId="3F5B3668">
      <w:pPr>
        <w:pStyle w:val="94"/>
        <w:ind w:firstLine="440"/>
        <w:rPr>
          <w:rFonts w:cs="仿宋_GB2312"/>
          <w:color w:val="auto"/>
          <w:sz w:val="24"/>
          <w:szCs w:val="24"/>
          <w:highlight w:val="none"/>
          <w:lang w:val="zh-CN"/>
        </w:rPr>
      </w:pPr>
      <w:r>
        <w:rPr>
          <w:rFonts w:hint="eastAsia"/>
          <w:color w:val="auto"/>
          <w:sz w:val="24"/>
          <w:szCs w:val="24"/>
          <w:highlight w:val="none"/>
          <w:lang w:val="zh-CN"/>
        </w:rPr>
        <w:t>【特别提示：如有要求提供各项证书、合同、报告等证明的，请将原件清晰扫描做入投标文件。】</w:t>
      </w:r>
    </w:p>
    <w:p w14:paraId="2942F9EA">
      <w:pPr>
        <w:pStyle w:val="94"/>
        <w:ind w:firstLine="440"/>
        <w:rPr>
          <w:rFonts w:hint="eastAsia"/>
          <w:color w:val="auto"/>
          <w:sz w:val="24"/>
          <w:szCs w:val="24"/>
          <w:highlight w:val="none"/>
        </w:rPr>
      </w:pPr>
      <w:r>
        <w:rPr>
          <w:rFonts w:hint="eastAsia"/>
          <w:b/>
          <w:bCs/>
          <w:color w:val="auto"/>
          <w:sz w:val="24"/>
          <w:szCs w:val="24"/>
          <w:highlight w:val="none"/>
        </w:rPr>
        <w:t>资格证明文件包含但不限于以下文件：</w:t>
      </w:r>
    </w:p>
    <w:p w14:paraId="097A6073">
      <w:pPr>
        <w:tabs>
          <w:tab w:val="left" w:pos="709"/>
        </w:tabs>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）资格条件自查表（格式见附件）；</w:t>
      </w:r>
    </w:p>
    <w:p w14:paraId="36D2D878">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）有效的企业法人营业执照（或事业法人登记证）、其他组织（个体工商户）的营业执照或者民办非企业单位登记证书扫描件；</w:t>
      </w:r>
      <w:r>
        <w:rPr>
          <w:rFonts w:ascii="Times New Roman" w:hAnsi="Times New Roman"/>
          <w:color w:val="auto"/>
          <w:sz w:val="24"/>
          <w:szCs w:val="24"/>
          <w:highlight w:val="none"/>
        </w:rPr>
        <w:t xml:space="preserve"> </w:t>
      </w:r>
    </w:p>
    <w:p w14:paraId="51C75261">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）关于资格的承诺函（格式见附件）；</w:t>
      </w:r>
    </w:p>
    <w:p w14:paraId="0E7398D0">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4</w:t>
      </w:r>
      <w:r>
        <w:rPr>
          <w:rFonts w:hint="eastAsia" w:ascii="Times New Roman" w:hAnsi="Times New Roman"/>
          <w:color w:val="auto"/>
          <w:sz w:val="24"/>
          <w:szCs w:val="24"/>
          <w:highlight w:val="none"/>
        </w:rPr>
        <w:t>）投标人认为需要提交的其他资格证明文件资料。</w:t>
      </w:r>
    </w:p>
    <w:p w14:paraId="03BA2428">
      <w:pPr>
        <w:pStyle w:val="94"/>
        <w:ind w:firstLine="440"/>
        <w:rPr>
          <w:color w:val="auto"/>
          <w:sz w:val="24"/>
          <w:szCs w:val="24"/>
          <w:highlight w:val="none"/>
        </w:rPr>
      </w:pPr>
      <w:r>
        <w:rPr>
          <w:rFonts w:hint="eastAsia"/>
          <w:color w:val="auto"/>
          <w:sz w:val="24"/>
          <w:szCs w:val="24"/>
          <w:highlight w:val="none"/>
        </w:rPr>
        <w:t>注：采购人或采购代理机构在资格审查时，通过“信用中国”网站（www.creditchina.gov.cn）、中国政府采购网（www.ccgp.gov.cn）等渠道查询供应商在投标截止日之前的信用记录并保存。投标人若被列入失信被执行人或重大税收违法失信主体或政府采购严重违法失信行为记录名单的，则否决其投标。若开标当天因不可抗力事件导致无法查询且一时无法恢复的，可在中标通知书发出前对中标人进行查询，如中标人被列入失信被执行人或重大税收违法失信主体或政府采购严重违法失信行为记录名单的，则取消中标资格。</w:t>
      </w:r>
    </w:p>
    <w:p w14:paraId="1194119C">
      <w:pPr>
        <w:pStyle w:val="94"/>
        <w:ind w:firstLine="440"/>
        <w:rPr>
          <w:rFonts w:hint="eastAsia"/>
          <w:b/>
          <w:bCs/>
          <w:color w:val="auto"/>
          <w:sz w:val="24"/>
          <w:szCs w:val="24"/>
          <w:highlight w:val="none"/>
        </w:rPr>
      </w:pPr>
      <w:r>
        <w:rPr>
          <w:rFonts w:hint="eastAsia"/>
          <w:b/>
          <w:bCs/>
          <w:color w:val="auto"/>
          <w:sz w:val="24"/>
          <w:szCs w:val="24"/>
          <w:highlight w:val="none"/>
          <w:lang w:eastAsia="zh-CN"/>
        </w:rPr>
        <w:t>商务技术文件</w:t>
      </w:r>
      <w:r>
        <w:rPr>
          <w:rFonts w:hint="eastAsia"/>
          <w:b/>
          <w:bCs/>
          <w:color w:val="auto"/>
          <w:sz w:val="24"/>
          <w:szCs w:val="24"/>
          <w:highlight w:val="none"/>
        </w:rPr>
        <w:t>包含但不限于以下文件：</w:t>
      </w:r>
    </w:p>
    <w:p w14:paraId="78743AC7">
      <w:pPr>
        <w:pStyle w:val="94"/>
        <w:ind w:firstLine="440"/>
        <w:rPr>
          <w:rFonts w:hint="eastAsia"/>
          <w:color w:val="auto"/>
          <w:sz w:val="24"/>
          <w:szCs w:val="24"/>
          <w:highlight w:val="none"/>
        </w:rPr>
      </w:pPr>
      <w:r>
        <w:rPr>
          <w:rFonts w:hint="eastAsia"/>
          <w:color w:val="auto"/>
          <w:sz w:val="24"/>
          <w:szCs w:val="24"/>
          <w:highlight w:val="none"/>
        </w:rPr>
        <w:t>（1）商务技术自评表(格式见附件)；</w:t>
      </w:r>
    </w:p>
    <w:p w14:paraId="1DFFCB79">
      <w:pPr>
        <w:pStyle w:val="94"/>
        <w:ind w:firstLine="440"/>
        <w:rPr>
          <w:rFonts w:hint="eastAsia"/>
          <w:color w:val="auto"/>
          <w:sz w:val="24"/>
          <w:szCs w:val="24"/>
          <w:highlight w:val="none"/>
        </w:rPr>
      </w:pPr>
      <w:r>
        <w:rPr>
          <w:rFonts w:hint="eastAsia"/>
          <w:color w:val="auto"/>
          <w:sz w:val="24"/>
          <w:szCs w:val="24"/>
          <w:highlight w:val="none"/>
        </w:rPr>
        <w:t xml:space="preserve">（2）供应商基本情况表（格式见附件）； </w:t>
      </w:r>
    </w:p>
    <w:p w14:paraId="792D9913">
      <w:pPr>
        <w:pStyle w:val="94"/>
        <w:ind w:firstLine="440"/>
        <w:rPr>
          <w:rFonts w:hint="eastAsia"/>
          <w:color w:val="auto"/>
          <w:sz w:val="24"/>
          <w:szCs w:val="24"/>
          <w:highlight w:val="none"/>
        </w:rPr>
      </w:pPr>
      <w:r>
        <w:rPr>
          <w:rFonts w:hint="eastAsia"/>
          <w:color w:val="auto"/>
          <w:sz w:val="24"/>
          <w:szCs w:val="24"/>
          <w:highlight w:val="none"/>
        </w:rPr>
        <w:t>（3）授权委托书或法定代表人身份证明（若投标人代表系</w:t>
      </w:r>
      <w:r>
        <w:rPr>
          <w:rFonts w:hint="eastAsia"/>
          <w:color w:val="auto"/>
          <w:sz w:val="24"/>
          <w:szCs w:val="24"/>
          <w:highlight w:val="none"/>
          <w:lang w:eastAsia="zh-CN"/>
        </w:rPr>
        <w:t>法定代表人</w:t>
      </w:r>
      <w:r>
        <w:rPr>
          <w:rFonts w:hint="eastAsia"/>
          <w:color w:val="auto"/>
          <w:sz w:val="24"/>
          <w:szCs w:val="24"/>
          <w:highlight w:val="none"/>
        </w:rPr>
        <w:t>，无需提供授权书，必须提供</w:t>
      </w:r>
      <w:r>
        <w:rPr>
          <w:rFonts w:hint="eastAsia"/>
          <w:color w:val="auto"/>
          <w:sz w:val="24"/>
          <w:szCs w:val="24"/>
          <w:highlight w:val="none"/>
          <w:lang w:eastAsia="zh-CN"/>
        </w:rPr>
        <w:t>法定代表人</w:t>
      </w:r>
      <w:r>
        <w:rPr>
          <w:rFonts w:hint="eastAsia"/>
          <w:color w:val="auto"/>
          <w:sz w:val="24"/>
          <w:szCs w:val="24"/>
          <w:highlight w:val="none"/>
        </w:rPr>
        <w:t>身份证扫描件及</w:t>
      </w:r>
      <w:r>
        <w:rPr>
          <w:rFonts w:hint="eastAsia"/>
          <w:color w:val="auto"/>
          <w:sz w:val="24"/>
          <w:szCs w:val="24"/>
          <w:highlight w:val="none"/>
          <w:lang w:eastAsia="zh-CN"/>
        </w:rPr>
        <w:t>法定代表人</w:t>
      </w:r>
      <w:r>
        <w:rPr>
          <w:rFonts w:hint="eastAsia"/>
          <w:color w:val="auto"/>
          <w:sz w:val="24"/>
          <w:szCs w:val="24"/>
          <w:highlight w:val="none"/>
        </w:rPr>
        <w:t>身份证明书（格式见附件）；</w:t>
      </w:r>
    </w:p>
    <w:p w14:paraId="65566FFA">
      <w:pPr>
        <w:pStyle w:val="94"/>
        <w:ind w:firstLine="440"/>
        <w:rPr>
          <w:rFonts w:hint="eastAsia"/>
          <w:color w:val="auto"/>
          <w:sz w:val="24"/>
          <w:szCs w:val="24"/>
          <w:highlight w:val="none"/>
        </w:rPr>
      </w:pPr>
      <w:r>
        <w:rPr>
          <w:rFonts w:hint="eastAsia"/>
          <w:color w:val="auto"/>
          <w:sz w:val="24"/>
          <w:szCs w:val="24"/>
          <w:highlight w:val="none"/>
        </w:rPr>
        <w:t>（4）证书一览表（格式见附件）；</w:t>
      </w:r>
    </w:p>
    <w:p w14:paraId="4012B03F">
      <w:pPr>
        <w:pStyle w:val="94"/>
        <w:ind w:firstLine="440"/>
        <w:rPr>
          <w:rFonts w:hint="eastAsia"/>
          <w:color w:val="auto"/>
          <w:sz w:val="24"/>
          <w:szCs w:val="24"/>
          <w:highlight w:val="none"/>
        </w:rPr>
      </w:pPr>
      <w:r>
        <w:rPr>
          <w:rFonts w:hint="eastAsia"/>
          <w:color w:val="auto"/>
          <w:sz w:val="24"/>
          <w:szCs w:val="24"/>
          <w:highlight w:val="none"/>
        </w:rPr>
        <w:t>（5）技术</w:t>
      </w:r>
      <w:r>
        <w:rPr>
          <w:rFonts w:hint="eastAsia"/>
          <w:color w:val="auto"/>
          <w:sz w:val="24"/>
          <w:szCs w:val="24"/>
          <w:highlight w:val="none"/>
          <w:lang w:eastAsia="zh-CN"/>
        </w:rPr>
        <w:t>条款</w:t>
      </w:r>
      <w:r>
        <w:rPr>
          <w:rFonts w:hint="eastAsia"/>
          <w:color w:val="auto"/>
          <w:sz w:val="24"/>
          <w:szCs w:val="24"/>
          <w:highlight w:val="none"/>
        </w:rPr>
        <w:t>偏离表（格式见附件）；</w:t>
      </w:r>
    </w:p>
    <w:p w14:paraId="20C617F8">
      <w:pPr>
        <w:pStyle w:val="94"/>
        <w:ind w:firstLine="44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6</w:t>
      </w:r>
      <w:r>
        <w:rPr>
          <w:rFonts w:hint="eastAsia"/>
          <w:color w:val="auto"/>
          <w:sz w:val="24"/>
          <w:szCs w:val="24"/>
          <w:highlight w:val="none"/>
        </w:rPr>
        <w:t>）商务条款偏离表（格式见附件）；</w:t>
      </w:r>
    </w:p>
    <w:p w14:paraId="7C326C6C">
      <w:pPr>
        <w:pStyle w:val="94"/>
        <w:ind w:firstLine="440"/>
        <w:rPr>
          <w:rFonts w:hint="eastAsia" w:eastAsiaTheme="minor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ascii="宋体" w:hAnsi="宋体" w:eastAsia="宋体" w:cs="宋体"/>
          <w:color w:val="auto"/>
          <w:sz w:val="24"/>
          <w:highlight w:val="none"/>
        </w:rPr>
        <w:t>相关项目实施业绩一览表</w:t>
      </w:r>
      <w:r>
        <w:rPr>
          <w:rFonts w:hint="eastAsia"/>
          <w:color w:val="auto"/>
          <w:sz w:val="24"/>
          <w:szCs w:val="24"/>
          <w:highlight w:val="none"/>
        </w:rPr>
        <w:t>（格式见附件）；</w:t>
      </w:r>
    </w:p>
    <w:p w14:paraId="6A9240A9">
      <w:pPr>
        <w:pStyle w:val="94"/>
        <w:ind w:firstLine="44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8</w:t>
      </w:r>
      <w:r>
        <w:rPr>
          <w:rFonts w:hint="eastAsia"/>
          <w:color w:val="auto"/>
          <w:sz w:val="24"/>
          <w:szCs w:val="24"/>
          <w:highlight w:val="none"/>
        </w:rPr>
        <w:t>）</w:t>
      </w:r>
      <w:r>
        <w:rPr>
          <w:rFonts w:hint="eastAsia" w:ascii="宋体" w:hAnsi="宋体" w:eastAsia="宋体" w:cs="宋体"/>
          <w:color w:val="auto"/>
          <w:sz w:val="24"/>
          <w:highlight w:val="none"/>
        </w:rPr>
        <w:t>评分标准或采购文件需要提供的其他技术商务材料</w:t>
      </w:r>
      <w:r>
        <w:rPr>
          <w:rFonts w:hint="eastAsia"/>
          <w:color w:val="auto"/>
          <w:sz w:val="24"/>
          <w:szCs w:val="24"/>
          <w:highlight w:val="none"/>
        </w:rPr>
        <w:t>；</w:t>
      </w:r>
    </w:p>
    <w:p w14:paraId="4DB65D52">
      <w:pPr>
        <w:pStyle w:val="94"/>
        <w:ind w:firstLine="44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9</w:t>
      </w:r>
      <w:r>
        <w:rPr>
          <w:rFonts w:hint="eastAsia"/>
          <w:color w:val="auto"/>
          <w:sz w:val="24"/>
          <w:szCs w:val="24"/>
          <w:highlight w:val="none"/>
        </w:rPr>
        <w:t>）</w:t>
      </w:r>
      <w:r>
        <w:rPr>
          <w:rFonts w:hint="eastAsia"/>
          <w:color w:val="auto"/>
          <w:sz w:val="24"/>
          <w:szCs w:val="24"/>
          <w:highlight w:val="none"/>
          <w:lang w:eastAsia="zh-CN"/>
        </w:rPr>
        <w:t>投标人</w:t>
      </w:r>
      <w:r>
        <w:rPr>
          <w:rFonts w:hint="eastAsia"/>
          <w:color w:val="auto"/>
          <w:sz w:val="24"/>
          <w:szCs w:val="24"/>
          <w:highlight w:val="none"/>
        </w:rPr>
        <w:t>认为有必要提供的其他</w:t>
      </w:r>
      <w:r>
        <w:rPr>
          <w:rFonts w:hint="eastAsia"/>
          <w:color w:val="auto"/>
          <w:sz w:val="24"/>
          <w:szCs w:val="24"/>
          <w:highlight w:val="none"/>
          <w:lang w:eastAsia="zh-CN"/>
        </w:rPr>
        <w:t>商务技术文件</w:t>
      </w:r>
      <w:r>
        <w:rPr>
          <w:rFonts w:hint="eastAsia"/>
          <w:color w:val="auto"/>
          <w:sz w:val="24"/>
          <w:szCs w:val="24"/>
          <w:highlight w:val="none"/>
        </w:rPr>
        <w:t>资料。</w:t>
      </w:r>
    </w:p>
    <w:p w14:paraId="6C8A216C">
      <w:pPr>
        <w:pStyle w:val="94"/>
        <w:ind w:firstLine="440"/>
        <w:rPr>
          <w:rFonts w:hint="eastAsia"/>
          <w:b/>
          <w:bCs/>
          <w:color w:val="auto"/>
          <w:sz w:val="24"/>
          <w:szCs w:val="24"/>
          <w:highlight w:val="none"/>
        </w:rPr>
      </w:pPr>
      <w:r>
        <w:rPr>
          <w:rFonts w:hint="eastAsia"/>
          <w:b/>
          <w:bCs/>
          <w:color w:val="auto"/>
          <w:sz w:val="24"/>
          <w:szCs w:val="24"/>
          <w:highlight w:val="none"/>
        </w:rPr>
        <w:t>报价文件包含但不限于以下文件</w:t>
      </w:r>
    </w:p>
    <w:p w14:paraId="7D738259">
      <w:pPr>
        <w:pStyle w:val="94"/>
        <w:ind w:firstLine="440"/>
        <w:rPr>
          <w:rFonts w:hint="eastAsia"/>
          <w:color w:val="auto"/>
          <w:sz w:val="24"/>
          <w:szCs w:val="24"/>
          <w:highlight w:val="none"/>
        </w:rPr>
      </w:pPr>
      <w:r>
        <w:rPr>
          <w:rFonts w:hint="eastAsia"/>
          <w:color w:val="auto"/>
          <w:sz w:val="24"/>
          <w:szCs w:val="24"/>
          <w:highlight w:val="none"/>
        </w:rPr>
        <w:t>（1）投标函（格式见附件）；</w:t>
      </w:r>
    </w:p>
    <w:p w14:paraId="64A81661">
      <w:pPr>
        <w:pStyle w:val="94"/>
        <w:ind w:firstLine="440"/>
        <w:rPr>
          <w:rFonts w:hint="eastAsia"/>
          <w:color w:val="auto"/>
          <w:sz w:val="24"/>
          <w:szCs w:val="24"/>
          <w:highlight w:val="none"/>
        </w:rPr>
      </w:pPr>
      <w:r>
        <w:rPr>
          <w:rFonts w:hint="eastAsia"/>
          <w:color w:val="auto"/>
          <w:sz w:val="24"/>
          <w:szCs w:val="24"/>
          <w:highlight w:val="none"/>
        </w:rPr>
        <w:t>（2）开标一览表（格式见附件）；</w:t>
      </w:r>
    </w:p>
    <w:p w14:paraId="1B2B6AD6">
      <w:pPr>
        <w:pStyle w:val="94"/>
        <w:ind w:firstLine="440"/>
        <w:rPr>
          <w:rFonts w:hint="eastAsia"/>
          <w:color w:val="auto"/>
          <w:sz w:val="24"/>
          <w:szCs w:val="24"/>
          <w:highlight w:val="none"/>
        </w:rPr>
      </w:pPr>
      <w:r>
        <w:rPr>
          <w:rFonts w:hint="eastAsia"/>
          <w:color w:val="auto"/>
          <w:sz w:val="24"/>
          <w:szCs w:val="24"/>
          <w:highlight w:val="none"/>
        </w:rPr>
        <w:t>（3）</w:t>
      </w:r>
      <w:r>
        <w:rPr>
          <w:rFonts w:hint="eastAsia"/>
          <w:color w:val="auto"/>
          <w:sz w:val="24"/>
          <w:szCs w:val="24"/>
          <w:highlight w:val="none"/>
          <w:lang w:eastAsia="zh-CN"/>
        </w:rPr>
        <w:t>报价</w:t>
      </w:r>
      <w:r>
        <w:rPr>
          <w:rFonts w:hint="eastAsia"/>
          <w:color w:val="auto"/>
          <w:sz w:val="24"/>
          <w:szCs w:val="24"/>
          <w:highlight w:val="none"/>
        </w:rPr>
        <w:t>明细表（格式见附件）；</w:t>
      </w:r>
    </w:p>
    <w:p w14:paraId="05C0A227">
      <w:pPr>
        <w:pStyle w:val="94"/>
        <w:ind w:firstLine="440"/>
        <w:rPr>
          <w:rFonts w:hint="eastAsia"/>
          <w:color w:val="auto"/>
          <w:sz w:val="24"/>
          <w:szCs w:val="24"/>
          <w:highlight w:val="none"/>
        </w:rPr>
      </w:pPr>
      <w:r>
        <w:rPr>
          <w:rFonts w:hint="eastAsia"/>
          <w:color w:val="auto"/>
          <w:sz w:val="24"/>
          <w:szCs w:val="24"/>
          <w:highlight w:val="none"/>
        </w:rPr>
        <w:t>（4）中小企业声明函（</w:t>
      </w:r>
      <w:r>
        <w:rPr>
          <w:rFonts w:hint="eastAsia"/>
          <w:color w:val="auto"/>
          <w:sz w:val="24"/>
          <w:szCs w:val="24"/>
          <w:highlight w:val="none"/>
          <w:lang w:eastAsia="zh-CN"/>
        </w:rPr>
        <w:t>如有，</w:t>
      </w:r>
      <w:r>
        <w:rPr>
          <w:rFonts w:hint="eastAsia"/>
          <w:color w:val="auto"/>
          <w:sz w:val="24"/>
          <w:szCs w:val="24"/>
          <w:highlight w:val="none"/>
        </w:rPr>
        <w:t>格式见附件）；</w:t>
      </w:r>
    </w:p>
    <w:p w14:paraId="277548E5">
      <w:pPr>
        <w:pStyle w:val="94"/>
        <w:ind w:firstLine="440"/>
        <w:rPr>
          <w:rFonts w:hint="eastAsia"/>
          <w:color w:val="auto"/>
          <w:sz w:val="24"/>
          <w:szCs w:val="24"/>
          <w:highlight w:val="none"/>
        </w:rPr>
      </w:pPr>
      <w:r>
        <w:rPr>
          <w:rFonts w:hint="eastAsia"/>
          <w:color w:val="auto"/>
          <w:sz w:val="24"/>
          <w:szCs w:val="24"/>
          <w:highlight w:val="none"/>
        </w:rPr>
        <w:t>（5）残疾人福利单位声明函（非残疾人福利性单位，无需提供本函）；（如有，格式见附件；注：残疾人福利性单位视同小型、微型企业）；</w:t>
      </w:r>
    </w:p>
    <w:p w14:paraId="00D51D09">
      <w:pPr>
        <w:pStyle w:val="94"/>
        <w:ind w:firstLine="440"/>
        <w:rPr>
          <w:rFonts w:hint="eastAsia"/>
          <w:color w:val="auto"/>
          <w:sz w:val="24"/>
          <w:szCs w:val="24"/>
          <w:highlight w:val="none"/>
        </w:rPr>
      </w:pPr>
      <w:r>
        <w:rPr>
          <w:rFonts w:hint="eastAsia"/>
          <w:color w:val="auto"/>
          <w:sz w:val="24"/>
          <w:szCs w:val="24"/>
          <w:highlight w:val="none"/>
        </w:rPr>
        <w:t>（6）投标人认为需提交的其他报价文件资料。</w:t>
      </w:r>
    </w:p>
    <w:p w14:paraId="0B096DB4">
      <w:pPr>
        <w:spacing w:line="360" w:lineRule="auto"/>
        <w:rPr>
          <w:rFonts w:hint="eastAsia" w:ascii="Times New Roman" w:hAnsi="Times New Roman"/>
          <w:b/>
          <w:bCs/>
          <w:color w:val="auto"/>
          <w:sz w:val="24"/>
          <w:szCs w:val="24"/>
          <w:highlight w:val="none"/>
        </w:rPr>
      </w:pPr>
      <w:r>
        <w:rPr>
          <w:rFonts w:ascii="Times New Roman" w:hAnsi="Times New Roman"/>
          <w:b/>
          <w:bCs/>
          <w:color w:val="auto"/>
          <w:sz w:val="24"/>
          <w:szCs w:val="24"/>
          <w:highlight w:val="none"/>
        </w:rPr>
        <w:t>12</w:t>
      </w:r>
      <w:r>
        <w:rPr>
          <w:rFonts w:hint="eastAsia" w:ascii="Times New Roman" w:hAnsi="Times New Roman"/>
          <w:b/>
          <w:bCs/>
          <w:color w:val="auto"/>
          <w:sz w:val="24"/>
          <w:szCs w:val="24"/>
          <w:highlight w:val="none"/>
        </w:rPr>
        <w:t>、投标报价</w:t>
      </w:r>
    </w:p>
    <w:p w14:paraId="03C23C5B">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12.1</w:t>
      </w:r>
      <w:r>
        <w:rPr>
          <w:rFonts w:hint="eastAsia" w:ascii="Times New Roman" w:hAnsi="Times New Roman"/>
          <w:color w:val="auto"/>
          <w:sz w:val="24"/>
          <w:szCs w:val="24"/>
          <w:highlight w:val="none"/>
        </w:rPr>
        <w:t>投标人应全面充分了解本招标项目的全部内容及要求以及服务现场的基本条件，按照《投标资料表》规定与要求报价，并包含服务过程中可能涉及的所有费用。</w:t>
      </w:r>
    </w:p>
    <w:p w14:paraId="4D9217BF">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12.2</w:t>
      </w:r>
      <w:r>
        <w:rPr>
          <w:rFonts w:hint="eastAsia" w:ascii="Times New Roman" w:hAnsi="Times New Roman"/>
          <w:color w:val="auto"/>
          <w:sz w:val="24"/>
          <w:szCs w:val="24"/>
          <w:highlight w:val="none"/>
        </w:rPr>
        <w:t>所有投标报价必须以人民币报价，不接受外币报价。</w:t>
      </w:r>
    </w:p>
    <w:p w14:paraId="78A5C610">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12.3</w:t>
      </w:r>
      <w:r>
        <w:rPr>
          <w:rFonts w:hint="eastAsia" w:ascii="Times New Roman" w:hAnsi="Times New Roman"/>
          <w:color w:val="auto"/>
          <w:sz w:val="24"/>
          <w:szCs w:val="24"/>
          <w:highlight w:val="none"/>
        </w:rPr>
        <w:t>投标报价只有一个，而且一经开标，投标价不得变更。如果出现有两个及以上的报价又未声明以哪一报价方案为主，则投标将被拒绝。投标声明应载明在“开标一览表”中，供开标时唱出。未经唱出的投标声明在评标时不作考虑。</w:t>
      </w:r>
    </w:p>
    <w:p w14:paraId="0AAC3F30">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12.4</w:t>
      </w:r>
      <w:r>
        <w:rPr>
          <w:rFonts w:hint="eastAsia" w:ascii="Times New Roman" w:hAnsi="Times New Roman"/>
          <w:color w:val="auto"/>
          <w:sz w:val="24"/>
          <w:szCs w:val="24"/>
          <w:highlight w:val="none"/>
        </w:rPr>
        <w:t>投标报价中有关单价在中标后及合同执行过程中是固定不变的，投标人不得以任何理由予以变更。任何包含价格调整要求的投标，将被作无效投标处理。</w:t>
      </w:r>
    </w:p>
    <w:p w14:paraId="0D00D328">
      <w:pPr>
        <w:spacing w:line="360" w:lineRule="auto"/>
        <w:rPr>
          <w:rFonts w:ascii="Times New Roman" w:hAnsi="Times New Roman"/>
          <w:b/>
          <w:bCs/>
          <w:color w:val="auto"/>
          <w:sz w:val="24"/>
          <w:szCs w:val="24"/>
          <w:highlight w:val="none"/>
        </w:rPr>
      </w:pPr>
      <w:r>
        <w:rPr>
          <w:rFonts w:ascii="Times New Roman" w:hAnsi="Times New Roman"/>
          <w:b/>
          <w:bCs/>
          <w:color w:val="auto"/>
          <w:sz w:val="24"/>
          <w:szCs w:val="24"/>
          <w:highlight w:val="none"/>
        </w:rPr>
        <w:t>13</w:t>
      </w:r>
      <w:r>
        <w:rPr>
          <w:rFonts w:hint="eastAsia" w:ascii="Times New Roman" w:hAnsi="Times New Roman"/>
          <w:b/>
          <w:bCs/>
          <w:color w:val="auto"/>
          <w:sz w:val="24"/>
          <w:szCs w:val="24"/>
          <w:highlight w:val="none"/>
        </w:rPr>
        <w:t>、投标文件编写</w:t>
      </w:r>
    </w:p>
    <w:p w14:paraId="73B15A47">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13.1</w:t>
      </w:r>
      <w:r>
        <w:rPr>
          <w:rFonts w:hint="eastAsia" w:ascii="Times New Roman" w:hAnsi="Times New Roman"/>
          <w:color w:val="auto"/>
          <w:sz w:val="24"/>
          <w:szCs w:val="24"/>
          <w:highlight w:val="none"/>
        </w:rPr>
        <w:t>投标文件应表述准确、完整、详细，并按统一格式填写。开标一览表系开标仪式上唱标的内容，应按格式完整填写。投标文件因表达不清楚所引起的后果由投标人负责。</w:t>
      </w:r>
    </w:p>
    <w:p w14:paraId="75E15132">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13.2</w:t>
      </w:r>
      <w:r>
        <w:rPr>
          <w:rFonts w:hint="eastAsia" w:ascii="Times New Roman" w:hAnsi="Times New Roman"/>
          <w:color w:val="auto"/>
          <w:sz w:val="24"/>
          <w:szCs w:val="24"/>
          <w:highlight w:val="none"/>
        </w:rPr>
        <w:t>投标语言：中文。除签名、盖章、专用名称等特殊情形外，以中文汉语以外的文字表述的投标文件视同未提供。</w:t>
      </w:r>
    </w:p>
    <w:p w14:paraId="5FF4F1A9">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13.3</w:t>
      </w:r>
      <w:r>
        <w:rPr>
          <w:rFonts w:hint="eastAsia" w:ascii="Times New Roman" w:hAnsi="Times New Roman"/>
          <w:color w:val="auto"/>
          <w:sz w:val="24"/>
          <w:szCs w:val="24"/>
          <w:highlight w:val="none"/>
        </w:rPr>
        <w:t>投标文件中所使用的计量单位，除非本采购文件“招标内容及要求”有特殊要求，应采用国家法定计量单位。</w:t>
      </w:r>
    </w:p>
    <w:p w14:paraId="52E7BC08">
      <w:pPr>
        <w:pStyle w:val="94"/>
        <w:ind w:left="0" w:leftChars="0" w:firstLine="0" w:firstLineChars="0"/>
        <w:rPr>
          <w:rFonts w:cs="宋体"/>
          <w:color w:val="auto"/>
          <w:sz w:val="24"/>
          <w:szCs w:val="24"/>
          <w:highlight w:val="none"/>
        </w:rPr>
      </w:pPr>
      <w:r>
        <w:rPr>
          <w:rFonts w:hint="eastAsia"/>
          <w:color w:val="auto"/>
          <w:sz w:val="24"/>
          <w:szCs w:val="24"/>
          <w:highlight w:val="none"/>
        </w:rPr>
        <w:t>14、投标文件的制作、封装及递交要求</w:t>
      </w:r>
    </w:p>
    <w:p w14:paraId="1F255E5E">
      <w:pPr>
        <w:pStyle w:val="94"/>
        <w:ind w:firstLine="440"/>
        <w:rPr>
          <w:rFonts w:hint="eastAsia" w:cs="Times New Roman"/>
          <w:color w:val="auto"/>
          <w:sz w:val="24"/>
          <w:szCs w:val="24"/>
          <w:highlight w:val="none"/>
        </w:rPr>
      </w:pPr>
      <w:r>
        <w:rPr>
          <w:rFonts w:hint="eastAsia"/>
          <w:color w:val="auto"/>
          <w:sz w:val="24"/>
          <w:szCs w:val="24"/>
          <w:highlight w:val="none"/>
        </w:rPr>
        <w:t>14.1、投标文件的制作要求</w:t>
      </w:r>
    </w:p>
    <w:p w14:paraId="77A1FF5B">
      <w:pPr>
        <w:pStyle w:val="94"/>
        <w:ind w:firstLine="440"/>
        <w:rPr>
          <w:rFonts w:hint="eastAsia"/>
          <w:color w:val="auto"/>
          <w:sz w:val="24"/>
          <w:szCs w:val="24"/>
          <w:highlight w:val="none"/>
        </w:rPr>
      </w:pPr>
      <w:r>
        <w:rPr>
          <w:rFonts w:hint="eastAsia"/>
          <w:color w:val="auto"/>
          <w:sz w:val="24"/>
          <w:szCs w:val="24"/>
          <w:highlight w:val="none"/>
        </w:rPr>
        <w:t>（1）投标人应按照投标文件组成内容及项目采购需求和浙江政府采购云平台要求制作投标文件，不按投标文件组成内容及项目采购需求和浙江政府采购云平台要求制作投标文件的将视情处理（拒收、扣分等），由此产生的责任由投标人自行承担。</w:t>
      </w:r>
    </w:p>
    <w:p w14:paraId="1CCE43A4">
      <w:pPr>
        <w:pStyle w:val="94"/>
        <w:ind w:firstLine="440"/>
        <w:rPr>
          <w:rFonts w:hint="eastAsia"/>
          <w:color w:val="auto"/>
          <w:sz w:val="24"/>
          <w:szCs w:val="24"/>
          <w:highlight w:val="none"/>
        </w:rPr>
      </w:pPr>
      <w:r>
        <w:rPr>
          <w:rFonts w:hint="eastAsia"/>
          <w:color w:val="auto"/>
          <w:sz w:val="24"/>
          <w:szCs w:val="24"/>
          <w:highlight w:val="none"/>
        </w:rPr>
        <w:t>电子投标文件部分：投标人应根据“政采云供应商项目采购-电子招投标操作指南”及本规定的格式和顺序编制电子投标文件并进行关联定位。</w:t>
      </w:r>
    </w:p>
    <w:p w14:paraId="3005AE8A">
      <w:pPr>
        <w:pStyle w:val="94"/>
        <w:ind w:firstLine="440"/>
        <w:rPr>
          <w:rFonts w:hint="eastAsia" w:cs="Times New Roman"/>
          <w:color w:val="auto"/>
          <w:sz w:val="24"/>
          <w:szCs w:val="24"/>
          <w:highlight w:val="none"/>
        </w:rPr>
      </w:pPr>
      <w:r>
        <w:rPr>
          <w:rFonts w:hint="eastAsia"/>
          <w:color w:val="auto"/>
          <w:sz w:val="24"/>
          <w:szCs w:val="24"/>
          <w:highlight w:val="none"/>
        </w:rPr>
        <w:t>备份电子投标文件：通过“政采云”平台电子投标工具制作投标文件所产生的备份文件</w:t>
      </w:r>
    </w:p>
    <w:p w14:paraId="6505B44E">
      <w:pPr>
        <w:pStyle w:val="94"/>
        <w:ind w:firstLine="440"/>
        <w:rPr>
          <w:rFonts w:hint="eastAsia"/>
          <w:color w:val="auto"/>
          <w:sz w:val="24"/>
          <w:szCs w:val="24"/>
          <w:highlight w:val="none"/>
        </w:rPr>
      </w:pPr>
      <w:r>
        <w:rPr>
          <w:rFonts w:hint="eastAsia"/>
          <w:color w:val="auto"/>
          <w:sz w:val="24"/>
          <w:szCs w:val="24"/>
          <w:highlight w:val="none"/>
        </w:rPr>
        <w:t>（2）投标人应对所提供的全部资料的真实性、有效性承担法律责任，电子投标文件中所须加盖公章部分均采用CA签章。</w:t>
      </w:r>
    </w:p>
    <w:p w14:paraId="26E2FBD0">
      <w:pPr>
        <w:pStyle w:val="94"/>
        <w:ind w:firstLine="440"/>
        <w:rPr>
          <w:rFonts w:hint="eastAsia" w:cs="Lucida Sans"/>
          <w:color w:val="auto"/>
          <w:sz w:val="24"/>
          <w:szCs w:val="24"/>
          <w:highlight w:val="none"/>
        </w:rPr>
      </w:pPr>
      <w:r>
        <w:rPr>
          <w:rFonts w:hint="eastAsia"/>
          <w:color w:val="auto"/>
          <w:sz w:val="24"/>
          <w:szCs w:val="24"/>
          <w:highlight w:val="none"/>
        </w:rPr>
        <w:t>（3）投标文件以及投标人与采购代理机构就有关投标事宜的所有来往函电，均应以中文汉语书写。除签字、盖章、专用名称等特殊情形外，以中文汉语以外的文字表述的投标文件视同未提供。</w:t>
      </w:r>
    </w:p>
    <w:p w14:paraId="6CE32E7B">
      <w:pPr>
        <w:pStyle w:val="94"/>
        <w:ind w:firstLine="440"/>
        <w:rPr>
          <w:rFonts w:hint="eastAsia" w:cs="Times New Roman"/>
          <w:color w:val="auto"/>
          <w:sz w:val="24"/>
          <w:szCs w:val="24"/>
          <w:highlight w:val="none"/>
        </w:rPr>
      </w:pPr>
      <w:r>
        <w:rPr>
          <w:rFonts w:hint="eastAsia"/>
          <w:color w:val="auto"/>
          <w:sz w:val="24"/>
          <w:szCs w:val="24"/>
          <w:highlight w:val="none"/>
        </w:rPr>
        <w:t>（4）投标计量单位，已有明确规定的，使用规定的计量单位；没有规定的，应采用中华人民共和国法定计量单位（货币单位：人民币元）。</w:t>
      </w:r>
    </w:p>
    <w:p w14:paraId="627B0F4E">
      <w:pPr>
        <w:pStyle w:val="94"/>
        <w:ind w:firstLine="440"/>
        <w:rPr>
          <w:rFonts w:hint="eastAsia"/>
          <w:color w:val="auto"/>
          <w:sz w:val="24"/>
          <w:szCs w:val="24"/>
          <w:highlight w:val="none"/>
        </w:rPr>
      </w:pPr>
      <w:r>
        <w:rPr>
          <w:rFonts w:hint="eastAsia"/>
          <w:color w:val="auto"/>
          <w:sz w:val="24"/>
          <w:szCs w:val="24"/>
          <w:highlight w:val="none"/>
        </w:rPr>
        <w:t>（5）若投标人不按的要求提供资格审查材料，其风险由投标人自行承担。</w:t>
      </w:r>
    </w:p>
    <w:p w14:paraId="26070F76">
      <w:pPr>
        <w:pStyle w:val="94"/>
        <w:ind w:firstLine="440"/>
        <w:rPr>
          <w:rFonts w:hint="eastAsia"/>
          <w:color w:val="auto"/>
          <w:sz w:val="24"/>
          <w:szCs w:val="24"/>
          <w:highlight w:val="none"/>
        </w:rPr>
      </w:pPr>
      <w:r>
        <w:rPr>
          <w:rFonts w:hint="eastAsia"/>
          <w:color w:val="auto"/>
          <w:sz w:val="24"/>
          <w:szCs w:val="24"/>
          <w:highlight w:val="none"/>
        </w:rPr>
        <w:t>（6）与本次投标无关的内容请不要制作在内，确保投标文件有针对性、简洁明了。</w:t>
      </w:r>
    </w:p>
    <w:p w14:paraId="77E8D976">
      <w:pPr>
        <w:pStyle w:val="94"/>
        <w:ind w:firstLine="440"/>
        <w:rPr>
          <w:rFonts w:hint="eastAsia"/>
          <w:color w:val="auto"/>
          <w:sz w:val="24"/>
          <w:szCs w:val="24"/>
          <w:highlight w:val="none"/>
        </w:rPr>
      </w:pPr>
      <w:r>
        <w:rPr>
          <w:rFonts w:hint="eastAsia"/>
          <w:color w:val="auto"/>
          <w:sz w:val="24"/>
          <w:szCs w:val="24"/>
          <w:highlight w:val="none"/>
        </w:rPr>
        <w:t>14.2、投标文件的编制、递交要求</w:t>
      </w:r>
    </w:p>
    <w:p w14:paraId="3AEB7B87">
      <w:pPr>
        <w:pStyle w:val="94"/>
        <w:ind w:firstLine="440"/>
        <w:rPr>
          <w:rFonts w:hint="eastAsia"/>
          <w:color w:val="auto"/>
          <w:sz w:val="24"/>
          <w:szCs w:val="24"/>
          <w:highlight w:val="none"/>
        </w:rPr>
      </w:pPr>
      <w:r>
        <w:rPr>
          <w:rFonts w:hint="eastAsia"/>
          <w:color w:val="auto"/>
          <w:sz w:val="24"/>
          <w:szCs w:val="24"/>
          <w:highlight w:val="none"/>
        </w:rPr>
        <w:t>投标文件的递交要求</w:t>
      </w:r>
    </w:p>
    <w:p w14:paraId="76EEC707">
      <w:pPr>
        <w:pStyle w:val="94"/>
        <w:ind w:firstLine="440"/>
        <w:rPr>
          <w:rFonts w:hint="eastAsia"/>
          <w:color w:val="auto"/>
          <w:sz w:val="24"/>
          <w:szCs w:val="24"/>
          <w:highlight w:val="none"/>
        </w:rPr>
      </w:pPr>
      <w:r>
        <w:rPr>
          <w:rFonts w:hint="eastAsia"/>
          <w:color w:val="auto"/>
          <w:sz w:val="24"/>
          <w:szCs w:val="24"/>
          <w:highlight w:val="none"/>
        </w:rPr>
        <w:t>（1）投标人须按照采购文件和政采云平台的要求编制并加密投标文件。在投标文件递交截止时间以前完成投标文件的传输递交。</w:t>
      </w:r>
    </w:p>
    <w:p w14:paraId="41564158">
      <w:pPr>
        <w:pStyle w:val="94"/>
        <w:ind w:firstLine="440"/>
        <w:rPr>
          <w:rFonts w:hint="eastAsia"/>
          <w:color w:val="auto"/>
          <w:sz w:val="24"/>
          <w:szCs w:val="24"/>
          <w:highlight w:val="none"/>
        </w:rPr>
      </w:pPr>
      <w:r>
        <w:rPr>
          <w:rFonts w:hint="eastAsia"/>
          <w:color w:val="auto"/>
          <w:sz w:val="24"/>
          <w:szCs w:val="24"/>
          <w:highlight w:val="none"/>
        </w:rPr>
        <w:t>（2）备份电子投标文件必须在规定时间前发送至指定邮箱</w:t>
      </w:r>
      <w:r>
        <w:rPr>
          <w:rFonts w:hint="eastAsia" w:cs="宋体"/>
          <w:color w:val="auto"/>
          <w:sz w:val="24"/>
          <w:szCs w:val="24"/>
          <w:highlight w:val="none"/>
        </w:rPr>
        <w:t>。</w:t>
      </w:r>
      <w:r>
        <w:rPr>
          <w:rFonts w:hint="eastAsia"/>
          <w:color w:val="auto"/>
          <w:sz w:val="24"/>
          <w:szCs w:val="24"/>
          <w:highlight w:val="none"/>
        </w:rPr>
        <w:t>备份电子投标文件在截止时间后提交，采购代理机构将拒绝接收。</w:t>
      </w:r>
    </w:p>
    <w:p w14:paraId="251592BB">
      <w:pPr>
        <w:pStyle w:val="94"/>
        <w:ind w:firstLine="440"/>
        <w:rPr>
          <w:rFonts w:hint="eastAsia"/>
          <w:color w:val="auto"/>
          <w:sz w:val="24"/>
          <w:szCs w:val="24"/>
          <w:highlight w:val="none"/>
        </w:rPr>
      </w:pPr>
      <w:r>
        <w:rPr>
          <w:rFonts w:hint="eastAsia"/>
          <w:color w:val="auto"/>
          <w:sz w:val="24"/>
          <w:szCs w:val="24"/>
          <w:highlight w:val="none"/>
        </w:rPr>
        <w:t>（3）如有特殊情况，采购代理机构延长截止时间和开标时间，采购代理机构和投标人的权利和义务将受到新的截止时间和开标时间的约束。</w:t>
      </w:r>
    </w:p>
    <w:p w14:paraId="47AAC788">
      <w:pPr>
        <w:pStyle w:val="94"/>
        <w:ind w:firstLine="440"/>
        <w:rPr>
          <w:rFonts w:hint="eastAsia"/>
          <w:color w:val="auto"/>
          <w:sz w:val="24"/>
          <w:szCs w:val="24"/>
          <w:highlight w:val="none"/>
        </w:rPr>
      </w:pPr>
      <w:r>
        <w:rPr>
          <w:rFonts w:hint="eastAsia"/>
          <w:color w:val="auto"/>
          <w:sz w:val="24"/>
          <w:szCs w:val="24"/>
          <w:highlight w:val="none"/>
        </w:rPr>
        <w:t>14.3、投标文件的补充、修改和撤回</w:t>
      </w:r>
    </w:p>
    <w:p w14:paraId="7DB57DB3">
      <w:pPr>
        <w:pStyle w:val="94"/>
        <w:ind w:firstLine="440"/>
        <w:rPr>
          <w:rFonts w:hint="eastAsia"/>
          <w:color w:val="auto"/>
          <w:sz w:val="24"/>
          <w:szCs w:val="24"/>
          <w:highlight w:val="none"/>
        </w:rPr>
      </w:pPr>
      <w:r>
        <w:rPr>
          <w:rFonts w:hint="eastAsia" w:cs="宋体"/>
          <w:color w:val="auto"/>
          <w:sz w:val="24"/>
          <w:szCs w:val="24"/>
          <w:highlight w:val="none"/>
        </w:rPr>
        <w:t>（1）</w:t>
      </w:r>
      <w:r>
        <w:rPr>
          <w:rFonts w:hint="eastAsia"/>
          <w:color w:val="auto"/>
          <w:sz w:val="24"/>
          <w:szCs w:val="24"/>
          <w:highlight w:val="none"/>
        </w:rPr>
        <w:t>补充或者修改投标文件的，应当先行撤回原文件，补充、修改后重新传输递交。投标截止时间前未完成传输的，视为撤回投标文件。</w:t>
      </w:r>
    </w:p>
    <w:p w14:paraId="36A43F4D">
      <w:pPr>
        <w:pStyle w:val="94"/>
        <w:ind w:left="0" w:leftChars="0" w:firstLine="0" w:firstLineChars="0"/>
        <w:rPr>
          <w:rFonts w:hint="eastAsia"/>
          <w:color w:val="auto"/>
          <w:sz w:val="24"/>
          <w:szCs w:val="24"/>
          <w:highlight w:val="none"/>
        </w:rPr>
      </w:pPr>
      <w:r>
        <w:rPr>
          <w:rFonts w:hint="eastAsia"/>
          <w:color w:val="auto"/>
          <w:sz w:val="24"/>
          <w:szCs w:val="24"/>
          <w:highlight w:val="none"/>
        </w:rPr>
        <w:t>15、投标文件的有效期</w:t>
      </w:r>
    </w:p>
    <w:p w14:paraId="561D4FCD">
      <w:pPr>
        <w:pStyle w:val="94"/>
        <w:ind w:firstLine="440"/>
        <w:rPr>
          <w:rFonts w:hint="eastAsia"/>
          <w:color w:val="auto"/>
          <w:sz w:val="24"/>
          <w:szCs w:val="24"/>
          <w:highlight w:val="none"/>
        </w:rPr>
      </w:pPr>
      <w:r>
        <w:rPr>
          <w:rFonts w:hint="eastAsia"/>
          <w:color w:val="auto"/>
          <w:sz w:val="24"/>
          <w:szCs w:val="24"/>
          <w:highlight w:val="none"/>
        </w:rPr>
        <w:t>15.1投标文件应在《投标资料表》规定的投标有效期内保持有效。有效期短于规定期限的，将导致投标无效而被拒绝。</w:t>
      </w:r>
    </w:p>
    <w:p w14:paraId="3D8B5BB7">
      <w:pPr>
        <w:pStyle w:val="94"/>
        <w:ind w:firstLine="440"/>
        <w:rPr>
          <w:rFonts w:hint="eastAsia"/>
          <w:color w:val="auto"/>
          <w:sz w:val="24"/>
          <w:szCs w:val="24"/>
          <w:highlight w:val="none"/>
        </w:rPr>
      </w:pPr>
      <w:r>
        <w:rPr>
          <w:rFonts w:hint="eastAsia"/>
          <w:color w:val="auto"/>
          <w:sz w:val="24"/>
          <w:szCs w:val="24"/>
          <w:highlight w:val="none"/>
        </w:rPr>
        <w:t>15.2在特殊情况下，在原投标有效期截止之前，应采购人的要求，采购代理机构可要求投标人延长投标文件的有效期，这种要求的提出和投标人的答复都应以书面（含传真）的形式进行。</w:t>
      </w:r>
    </w:p>
    <w:p w14:paraId="264A5911">
      <w:pPr>
        <w:pStyle w:val="94"/>
        <w:ind w:firstLine="440"/>
        <w:rPr>
          <w:rFonts w:hint="eastAsia"/>
          <w:color w:val="auto"/>
          <w:sz w:val="24"/>
          <w:szCs w:val="24"/>
          <w:highlight w:val="none"/>
        </w:rPr>
      </w:pPr>
      <w:r>
        <w:rPr>
          <w:rFonts w:hint="eastAsia"/>
          <w:color w:val="auto"/>
          <w:sz w:val="24"/>
          <w:szCs w:val="24"/>
          <w:highlight w:val="none"/>
        </w:rPr>
        <w:t>15.3中标人的投标文件自开标之日起至合同履行完毕止均应保持有效。</w:t>
      </w:r>
    </w:p>
    <w:p w14:paraId="0D47B5FF">
      <w:pPr>
        <w:pStyle w:val="94"/>
        <w:ind w:firstLine="440"/>
        <w:jc w:val="center"/>
        <w:rPr>
          <w:rFonts w:hint="eastAsia"/>
          <w:b/>
          <w:bCs/>
          <w:color w:val="auto"/>
          <w:sz w:val="24"/>
          <w:szCs w:val="24"/>
          <w:highlight w:val="none"/>
        </w:rPr>
      </w:pPr>
      <w:r>
        <w:rPr>
          <w:rFonts w:hint="eastAsia"/>
          <w:b/>
          <w:bCs/>
          <w:color w:val="auto"/>
          <w:sz w:val="24"/>
          <w:szCs w:val="24"/>
          <w:highlight w:val="none"/>
          <w:lang w:eastAsia="zh-CN"/>
        </w:rPr>
        <w:t>五</w:t>
      </w:r>
      <w:r>
        <w:rPr>
          <w:rFonts w:hint="eastAsia"/>
          <w:b/>
          <w:bCs/>
          <w:color w:val="auto"/>
          <w:sz w:val="24"/>
          <w:szCs w:val="24"/>
          <w:highlight w:val="none"/>
        </w:rPr>
        <w:t>、开标</w:t>
      </w:r>
    </w:p>
    <w:p w14:paraId="131DC2CB">
      <w:pPr>
        <w:pStyle w:val="94"/>
        <w:ind w:left="0" w:leftChars="0" w:firstLine="0" w:firstLineChars="0"/>
        <w:rPr>
          <w:rFonts w:hint="eastAsia"/>
          <w:color w:val="auto"/>
          <w:sz w:val="24"/>
          <w:szCs w:val="24"/>
          <w:highlight w:val="none"/>
        </w:rPr>
      </w:pPr>
      <w:r>
        <w:rPr>
          <w:rFonts w:hint="eastAsia"/>
          <w:color w:val="auto"/>
          <w:sz w:val="24"/>
          <w:szCs w:val="24"/>
          <w:highlight w:val="none"/>
        </w:rPr>
        <w:t>16、开标准备</w:t>
      </w:r>
    </w:p>
    <w:p w14:paraId="77C6A056">
      <w:pPr>
        <w:pStyle w:val="94"/>
        <w:ind w:firstLine="440"/>
        <w:rPr>
          <w:rFonts w:hint="eastAsia"/>
          <w:color w:val="auto"/>
          <w:sz w:val="24"/>
          <w:szCs w:val="24"/>
          <w:highlight w:val="none"/>
        </w:rPr>
      </w:pPr>
      <w:r>
        <w:rPr>
          <w:rFonts w:hint="eastAsia"/>
          <w:color w:val="auto"/>
          <w:sz w:val="24"/>
          <w:szCs w:val="24"/>
          <w:highlight w:val="none"/>
        </w:rPr>
        <w:t>采购代理机构将在规定的时间和地点进行开标，供应商的法定代表人或其授权代表可参加开标会。供应商的法定代表人或其授权代表未按时签到登记的，视同放弃开标监督权利、认可开标结果，不得事后对开标过程提出任何异议</w:t>
      </w:r>
    </w:p>
    <w:p w14:paraId="1A020518">
      <w:pPr>
        <w:pStyle w:val="94"/>
        <w:ind w:left="0" w:leftChars="0" w:firstLine="0" w:firstLineChars="0"/>
        <w:rPr>
          <w:rFonts w:hint="eastAsia"/>
          <w:color w:val="auto"/>
          <w:sz w:val="24"/>
          <w:szCs w:val="24"/>
          <w:highlight w:val="none"/>
        </w:rPr>
      </w:pPr>
      <w:r>
        <w:rPr>
          <w:rFonts w:hint="eastAsia"/>
          <w:color w:val="auto"/>
          <w:sz w:val="24"/>
          <w:szCs w:val="24"/>
          <w:highlight w:val="none"/>
        </w:rPr>
        <w:t>17、 开标程序：</w:t>
      </w:r>
    </w:p>
    <w:p w14:paraId="5A8A3B50">
      <w:pPr>
        <w:spacing w:line="360" w:lineRule="auto"/>
        <w:ind w:firstLine="480" w:firstLineChars="200"/>
        <w:rPr>
          <w:rFonts w:hint="eastAsia" w:ascii="Times New Roman" w:hAnsi="Times New Roman" w:cs="宋体"/>
          <w:color w:val="auto"/>
          <w:sz w:val="24"/>
          <w:szCs w:val="24"/>
          <w:highlight w:val="none"/>
        </w:rPr>
      </w:pPr>
      <w:r>
        <w:rPr>
          <w:rFonts w:ascii="Times New Roman" w:hAnsi="Times New Roman" w:cs="宋体"/>
          <w:color w:val="auto"/>
          <w:sz w:val="24"/>
          <w:szCs w:val="24"/>
          <w:highlight w:val="none"/>
        </w:rPr>
        <w:t>17.1</w:t>
      </w:r>
      <w:r>
        <w:rPr>
          <w:rFonts w:hint="eastAsia" w:ascii="Times New Roman" w:hAnsi="Times New Roman" w:cs="宋体"/>
          <w:color w:val="auto"/>
          <w:sz w:val="24"/>
          <w:szCs w:val="24"/>
          <w:highlight w:val="none"/>
        </w:rPr>
        <w:t>电子招投标开标程序：</w:t>
      </w:r>
    </w:p>
    <w:p w14:paraId="041264DA">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第一阶段：</w:t>
      </w:r>
    </w:p>
    <w:p w14:paraId="50B3AB2D">
      <w:pPr>
        <w:spacing w:line="360" w:lineRule="auto"/>
        <w:ind w:firstLine="480" w:firstLineChars="200"/>
        <w:rPr>
          <w:rFonts w:asciiTheme="minorEastAsia" w:hAnsiTheme="minorEastAsia"/>
          <w:b/>
          <w:color w:val="auto"/>
          <w:sz w:val="24"/>
          <w:szCs w:val="24"/>
          <w:highlight w:val="none"/>
        </w:rPr>
      </w:pPr>
      <w:r>
        <w:rPr>
          <w:rFonts w:hint="eastAsia" w:ascii="Times New Roman" w:hAnsi="Times New Roman" w:eastAsia="宋体" w:cs="宋体"/>
          <w:color w:val="auto"/>
          <w:sz w:val="24"/>
          <w:szCs w:val="24"/>
          <w:highlight w:val="none"/>
        </w:rPr>
        <w:t>投标截止时间后，供应商登录政府采购云平台，用“项目采购</w:t>
      </w: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rPr>
        <w:t>开标评标”功能对电子投标文件进行在线解密，在线解密电子投标文件时间为开标时间后</w:t>
      </w:r>
      <w:r>
        <w:rPr>
          <w:rFonts w:ascii="Times New Roman" w:hAnsi="Times New Roman" w:eastAsia="宋体" w:cs="宋体"/>
          <w:color w:val="auto"/>
          <w:sz w:val="24"/>
          <w:szCs w:val="24"/>
          <w:highlight w:val="none"/>
        </w:rPr>
        <w:t>30</w:t>
      </w:r>
      <w:r>
        <w:rPr>
          <w:rFonts w:hint="eastAsia" w:ascii="Times New Roman" w:hAnsi="Times New Roman" w:eastAsia="宋体" w:cs="宋体"/>
          <w:color w:val="auto"/>
          <w:sz w:val="24"/>
          <w:szCs w:val="24"/>
          <w:highlight w:val="none"/>
        </w:rPr>
        <w:t>分钟内。</w:t>
      </w:r>
      <w:r>
        <w:rPr>
          <w:rFonts w:hint="eastAsia" w:asciiTheme="minorEastAsia" w:hAnsiTheme="minorEastAsia"/>
          <w:b/>
          <w:color w:val="auto"/>
          <w:sz w:val="24"/>
          <w:szCs w:val="24"/>
          <w:highlight w:val="none"/>
        </w:rPr>
        <w:t>投标文件解密结束，投标供应商通过电子邮件形式将经授权代表签署的《政府采购活动现场确认声明书》（格式见最后一页内容）的扫描件（或图片）发至采购代理机构邮箱：zgtzfgs@163.com。开评标活动结束之前投标供应商拒不发送《政府采购活动现场确认声明书》的，不填写或未按规定发出邮件的，视同默认不存在确认声明书中的相关违规情形。由此产生的一切风险责任由供应商自行承担。</w:t>
      </w:r>
    </w:p>
    <w:p w14:paraId="17BACF17">
      <w:pPr>
        <w:spacing w:line="360" w:lineRule="auto"/>
        <w:ind w:firstLine="480" w:firstLineChars="200"/>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在政府采购云平台开启已解密供应商的“资格文件、商务技术文件”，并做开标记录；</w:t>
      </w:r>
    </w:p>
    <w:p w14:paraId="74A774DA">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第二阶段：</w:t>
      </w:r>
    </w:p>
    <w:p w14:paraId="573AC4AF">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1</w:t>
      </w:r>
      <w:r>
        <w:rPr>
          <w:rFonts w:hint="eastAsia" w:ascii="Times New Roman" w:hAnsi="Times New Roman" w:cs="宋体"/>
          <w:color w:val="auto"/>
          <w:sz w:val="24"/>
          <w:szCs w:val="24"/>
          <w:highlight w:val="none"/>
        </w:rPr>
        <w:t>）公布经第一阶段评审符合采购文件要求的供应商的商务技术得分情况；</w:t>
      </w:r>
    </w:p>
    <w:p w14:paraId="04984039">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2</w:t>
      </w:r>
      <w:r>
        <w:rPr>
          <w:rFonts w:hint="eastAsia" w:ascii="Times New Roman" w:hAnsi="Times New Roman" w:cs="宋体"/>
          <w:color w:val="auto"/>
          <w:sz w:val="24"/>
          <w:szCs w:val="24"/>
          <w:highlight w:val="none"/>
        </w:rPr>
        <w:t>）在政府采购云平台开启除第一阶段无效标外的供应商的“报价文件”，并做开标记录；</w:t>
      </w:r>
    </w:p>
    <w:p w14:paraId="5FE48B98">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3</w:t>
      </w:r>
      <w:r>
        <w:rPr>
          <w:rFonts w:hint="eastAsia" w:ascii="Times New Roman" w:hAnsi="Times New Roman" w:cs="宋体"/>
          <w:color w:val="auto"/>
          <w:sz w:val="24"/>
          <w:szCs w:val="24"/>
          <w:highlight w:val="none"/>
        </w:rPr>
        <w:t>）在政府采购云平台公布评审结果。</w:t>
      </w:r>
    </w:p>
    <w:p w14:paraId="5DCC2B98">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4</w:t>
      </w:r>
      <w:r>
        <w:rPr>
          <w:rFonts w:hint="eastAsia" w:ascii="Times New Roman" w:hAnsi="Times New Roman" w:cs="宋体"/>
          <w:color w:val="auto"/>
          <w:sz w:val="24"/>
          <w:szCs w:val="24"/>
          <w:highlight w:val="none"/>
        </w:rPr>
        <w:t>）开标会议结束。</w:t>
      </w:r>
    </w:p>
    <w:p w14:paraId="7CB15D34">
      <w:pPr>
        <w:spacing w:line="360" w:lineRule="auto"/>
        <w:ind w:firstLine="480" w:firstLineChars="200"/>
        <w:rPr>
          <w:rFonts w:ascii="Times New Roman" w:hAnsi="Times New Roman" w:cs="宋体"/>
          <w:color w:val="auto"/>
          <w:sz w:val="24"/>
          <w:szCs w:val="24"/>
          <w:highlight w:val="none"/>
        </w:rPr>
      </w:pPr>
      <w:r>
        <w:rPr>
          <w:rFonts w:ascii="Times New Roman" w:hAnsi="Times New Roman" w:cs="宋体"/>
          <w:color w:val="auto"/>
          <w:sz w:val="24"/>
          <w:szCs w:val="24"/>
          <w:highlight w:val="none"/>
        </w:rPr>
        <w:t>17.2</w:t>
      </w:r>
      <w:r>
        <w:rPr>
          <w:rFonts w:hint="eastAsia" w:ascii="Times New Roman" w:hAnsi="Times New Roman" w:cs="宋体"/>
          <w:color w:val="auto"/>
          <w:sz w:val="24"/>
          <w:szCs w:val="24"/>
          <w:highlight w:val="none"/>
        </w:rPr>
        <w:t>特别说明：政府采购云平台如对电子化开标及评审程序有调整的，按调整后的程序操作。</w:t>
      </w:r>
    </w:p>
    <w:p w14:paraId="3B517ED0">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本项目原则上采用政采云电子招投标开标程序，但有以下情形之一的，按以下处理：</w:t>
      </w:r>
    </w:p>
    <w:p w14:paraId="407AD332">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1</w:t>
      </w:r>
      <w:r>
        <w:rPr>
          <w:rFonts w:hint="eastAsia" w:ascii="Times New Roman" w:hAnsi="Times New Roman" w:cs="宋体"/>
          <w:color w:val="auto"/>
          <w:sz w:val="24"/>
          <w:szCs w:val="24"/>
          <w:highlight w:val="none"/>
        </w:rPr>
        <w:t>）若有供应商在规定时间内无法解密或解密失败，代理机构将开启该供应商递交的电子备份投标文件，上传至政采云平台项目采购模块，以完成开标，电子投标文件自动失效。</w:t>
      </w:r>
    </w:p>
    <w:p w14:paraId="4304F2A4">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2</w:t>
      </w:r>
      <w:r>
        <w:rPr>
          <w:rFonts w:hint="eastAsia" w:ascii="Times New Roman" w:hAnsi="Times New Roman" w:cs="宋体"/>
          <w:color w:val="auto"/>
          <w:sz w:val="24"/>
          <w:szCs w:val="24"/>
          <w:highlight w:val="none"/>
        </w:rPr>
        <w:t>）采购过程中出现以下情形，导致电子交易平台无法正常运行，或者无法保证电子交易的公平、公正和安全时，采购人（或代理机构）可中止电子交易活动：</w:t>
      </w:r>
    </w:p>
    <w:p w14:paraId="2FDD5060">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①电子交易平台发生故障而无法登录访问的；</w:t>
      </w:r>
    </w:p>
    <w:p w14:paraId="586141B3">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②电子交易平台应用或数据库出现错误，不能进行正常操作的；</w:t>
      </w:r>
    </w:p>
    <w:p w14:paraId="26224D2A">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③电子交易平台发现严重安全漏洞，有潜在泄密危险的；</w:t>
      </w:r>
    </w:p>
    <w:p w14:paraId="0CF715A2">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④病毒发作导致不能进行正常操作的；</w:t>
      </w:r>
    </w:p>
    <w:p w14:paraId="7E05A55D">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⑤其他无法保证电子交易的公平、公正和安全的情况。</w:t>
      </w:r>
    </w:p>
    <w:p w14:paraId="39A5E5DC">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出现前款规定情形，不影响采购公平、公正性的，采购人（或代理机构）可以待上述情形消除后继续组织电子交易活动。</w:t>
      </w:r>
    </w:p>
    <w:p w14:paraId="2C6FF32D">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4</w:t>
      </w:r>
      <w:r>
        <w:rPr>
          <w:rFonts w:hint="eastAsia" w:ascii="Times New Roman" w:hAnsi="Times New Roman" w:cs="宋体"/>
          <w:color w:val="auto"/>
          <w:sz w:val="24"/>
          <w:szCs w:val="24"/>
          <w:highlight w:val="none"/>
        </w:rPr>
        <w:t>）未开启的备份投标文件现场不予以退还。</w:t>
      </w:r>
    </w:p>
    <w:p w14:paraId="5DD0DF69">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六、评标和定标</w:t>
      </w:r>
    </w:p>
    <w:p w14:paraId="3117A5B9">
      <w:pPr>
        <w:pStyle w:val="94"/>
        <w:ind w:left="0" w:leftChars="0" w:firstLine="0" w:firstLineChars="0"/>
        <w:rPr>
          <w:rFonts w:hint="eastAsia"/>
          <w:color w:val="auto"/>
          <w:sz w:val="24"/>
          <w:szCs w:val="24"/>
          <w:highlight w:val="none"/>
        </w:rPr>
      </w:pPr>
      <w:bookmarkStart w:id="44" w:name="_Toc425151748"/>
      <w:bookmarkStart w:id="45" w:name="_Toc430790229"/>
      <w:bookmarkStart w:id="46" w:name="_Toc425780292"/>
      <w:bookmarkStart w:id="47" w:name="_Toc429407708"/>
      <w:r>
        <w:rPr>
          <w:rFonts w:hint="eastAsia"/>
          <w:color w:val="auto"/>
          <w:sz w:val="24"/>
          <w:szCs w:val="24"/>
          <w:highlight w:val="none"/>
        </w:rPr>
        <w:t>18、评标委员会</w:t>
      </w:r>
      <w:bookmarkEnd w:id="44"/>
      <w:bookmarkEnd w:id="45"/>
      <w:bookmarkEnd w:id="46"/>
      <w:bookmarkEnd w:id="47"/>
    </w:p>
    <w:p w14:paraId="733D773B">
      <w:pPr>
        <w:pStyle w:val="94"/>
        <w:ind w:firstLine="440"/>
        <w:rPr>
          <w:rFonts w:hint="eastAsia"/>
          <w:color w:val="auto"/>
          <w:sz w:val="24"/>
          <w:szCs w:val="24"/>
          <w:highlight w:val="none"/>
        </w:rPr>
      </w:pPr>
      <w:r>
        <w:rPr>
          <w:rFonts w:hint="eastAsia" w:asciiTheme="minorEastAsia" w:hAnsiTheme="minorEastAsia"/>
          <w:color w:val="auto"/>
          <w:sz w:val="24"/>
          <w:szCs w:val="24"/>
          <w:highlight w:val="none"/>
        </w:rPr>
        <w:t>18.1</w:t>
      </w:r>
      <w:r>
        <w:rPr>
          <w:rFonts w:hint="eastAsia"/>
          <w:color w:val="auto"/>
          <w:sz w:val="24"/>
          <w:szCs w:val="24"/>
          <w:highlight w:val="none"/>
        </w:rPr>
        <w:t>受采购人的委托，采购代理机构根据《中华人民共和国政府采购法》、《政府采购货物和服务招标投标管理办法》的规定和有关的法律法规组建评标委员会，评标委员会负责评标工作。评标委员会由采购人代表（≤</w:t>
      </w:r>
      <w:r>
        <w:rPr>
          <w:color w:val="auto"/>
          <w:sz w:val="24"/>
          <w:szCs w:val="24"/>
          <w:highlight w:val="none"/>
        </w:rPr>
        <w:t>1</w:t>
      </w:r>
      <w:r>
        <w:rPr>
          <w:rFonts w:hint="eastAsia"/>
          <w:color w:val="auto"/>
          <w:sz w:val="24"/>
          <w:szCs w:val="24"/>
          <w:highlight w:val="none"/>
        </w:rPr>
        <w:t>人）和评审专家（≥</w:t>
      </w:r>
      <w:r>
        <w:rPr>
          <w:color w:val="auto"/>
          <w:sz w:val="24"/>
          <w:szCs w:val="24"/>
          <w:highlight w:val="none"/>
        </w:rPr>
        <w:t>4</w:t>
      </w:r>
      <w:r>
        <w:rPr>
          <w:rFonts w:hint="eastAsia"/>
          <w:color w:val="auto"/>
          <w:sz w:val="24"/>
          <w:szCs w:val="24"/>
          <w:highlight w:val="none"/>
        </w:rPr>
        <w:t>人）组成。评标委员会成员名单在评标结果公告前应当保密。</w:t>
      </w:r>
    </w:p>
    <w:p w14:paraId="18140826">
      <w:pPr>
        <w:pStyle w:val="94"/>
        <w:ind w:firstLine="440"/>
        <w:rPr>
          <w:color w:val="auto"/>
          <w:sz w:val="24"/>
          <w:szCs w:val="24"/>
          <w:highlight w:val="none"/>
        </w:rPr>
      </w:pPr>
      <w:r>
        <w:rPr>
          <w:rFonts w:hint="eastAsia"/>
          <w:color w:val="auto"/>
          <w:sz w:val="24"/>
          <w:szCs w:val="24"/>
          <w:highlight w:val="none"/>
        </w:rPr>
        <w:t>18.2评标委员会将遵循公平、公正、科学、廉洁的原则和规定的程序进行评标，并且只依据投标文件本身对采购文件的响应情况进行评审，不考虑投标人在开标后提交的任何的补充声明、修正方案。</w:t>
      </w:r>
    </w:p>
    <w:p w14:paraId="53895B11">
      <w:pPr>
        <w:pStyle w:val="94"/>
        <w:ind w:firstLine="440"/>
        <w:rPr>
          <w:rFonts w:hint="eastAsia"/>
          <w:color w:val="auto"/>
          <w:sz w:val="24"/>
          <w:szCs w:val="24"/>
          <w:highlight w:val="none"/>
        </w:rPr>
      </w:pPr>
      <w:r>
        <w:rPr>
          <w:rFonts w:hint="eastAsia"/>
          <w:color w:val="auto"/>
          <w:sz w:val="24"/>
          <w:szCs w:val="24"/>
          <w:highlight w:val="none"/>
        </w:rPr>
        <w:t>18.3评委依法独立评审，并对评审意见承担个人责任。对明显畸高、畸低的评分（其个人主观打分偏离所有评审小组成员主观评分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57777D08">
      <w:pPr>
        <w:pStyle w:val="94"/>
        <w:ind w:firstLine="440"/>
        <w:rPr>
          <w:rFonts w:hint="eastAsia"/>
          <w:color w:val="auto"/>
          <w:sz w:val="24"/>
          <w:szCs w:val="24"/>
          <w:highlight w:val="none"/>
        </w:rPr>
      </w:pPr>
      <w:r>
        <w:rPr>
          <w:rFonts w:hint="eastAsia"/>
          <w:color w:val="auto"/>
          <w:sz w:val="24"/>
          <w:szCs w:val="24"/>
          <w:highlight w:val="none"/>
        </w:rPr>
        <w:t>18.4评标委员会将核对投标价格和服务内容，对发现的价格计算错误按下述原则处理：</w:t>
      </w:r>
    </w:p>
    <w:p w14:paraId="1E047E4A">
      <w:pPr>
        <w:pStyle w:val="94"/>
        <w:ind w:firstLine="440"/>
        <w:rPr>
          <w:rFonts w:hint="eastAsia"/>
          <w:color w:val="auto"/>
          <w:sz w:val="24"/>
          <w:szCs w:val="24"/>
          <w:highlight w:val="none"/>
        </w:rPr>
      </w:pPr>
      <w:r>
        <w:rPr>
          <w:rFonts w:hint="eastAsia"/>
          <w:color w:val="auto"/>
          <w:sz w:val="24"/>
          <w:szCs w:val="24"/>
          <w:highlight w:val="none"/>
        </w:rPr>
        <w:t>（1）投标文件中开标一览表内容与投标文件中相应内容不一致的，以开标一览表为准。</w:t>
      </w:r>
    </w:p>
    <w:p w14:paraId="2D6DA351">
      <w:pPr>
        <w:pStyle w:val="94"/>
        <w:ind w:firstLine="440"/>
        <w:rPr>
          <w:rFonts w:hint="eastAsia"/>
          <w:color w:val="auto"/>
          <w:sz w:val="24"/>
          <w:szCs w:val="24"/>
          <w:highlight w:val="none"/>
        </w:rPr>
      </w:pPr>
      <w:r>
        <w:rPr>
          <w:rFonts w:hint="eastAsia"/>
          <w:color w:val="auto"/>
          <w:sz w:val="24"/>
          <w:szCs w:val="24"/>
          <w:highlight w:val="none"/>
        </w:rPr>
        <w:t>（2）投标文件的大写金额和小写金额不一致的，以大写金额为准。</w:t>
      </w:r>
    </w:p>
    <w:p w14:paraId="621F2A5F">
      <w:pPr>
        <w:pStyle w:val="94"/>
        <w:ind w:firstLine="440"/>
        <w:rPr>
          <w:rFonts w:hint="eastAsia"/>
          <w:color w:val="auto"/>
          <w:sz w:val="24"/>
          <w:szCs w:val="24"/>
          <w:highlight w:val="none"/>
        </w:rPr>
      </w:pPr>
      <w:r>
        <w:rPr>
          <w:rFonts w:hint="eastAsia"/>
          <w:color w:val="auto"/>
          <w:sz w:val="24"/>
          <w:szCs w:val="24"/>
          <w:highlight w:val="none"/>
        </w:rPr>
        <w:t>（3）单价金额小数点或者百分比有明显错位的，以开标一览表的总价为准，并修改单价；</w:t>
      </w:r>
    </w:p>
    <w:p w14:paraId="60A97772">
      <w:pPr>
        <w:pStyle w:val="94"/>
        <w:ind w:firstLine="440"/>
        <w:rPr>
          <w:rFonts w:hint="eastAsia"/>
          <w:color w:val="auto"/>
          <w:sz w:val="24"/>
          <w:szCs w:val="24"/>
          <w:highlight w:val="none"/>
        </w:rPr>
      </w:pPr>
      <w:r>
        <w:rPr>
          <w:rFonts w:hint="eastAsia"/>
          <w:color w:val="auto"/>
          <w:sz w:val="24"/>
          <w:szCs w:val="24"/>
          <w:highlight w:val="none"/>
        </w:rPr>
        <w:t>（4）总价金额与按单价汇总金额不一致，以单价金额计算结果为准。</w:t>
      </w:r>
    </w:p>
    <w:p w14:paraId="605830B2">
      <w:pPr>
        <w:pStyle w:val="94"/>
        <w:ind w:firstLine="440"/>
        <w:rPr>
          <w:rFonts w:hint="eastAsia"/>
          <w:color w:val="auto"/>
          <w:sz w:val="24"/>
          <w:szCs w:val="24"/>
          <w:highlight w:val="none"/>
        </w:rPr>
      </w:pPr>
      <w:r>
        <w:rPr>
          <w:rFonts w:hint="eastAsia"/>
          <w:color w:val="auto"/>
          <w:sz w:val="24"/>
          <w:szCs w:val="24"/>
          <w:highlight w:val="none"/>
        </w:rPr>
        <w:t>（5）客户端填写的报价与以pdf格式上传文件中的报价不一致的，应以pdf格式上传文件中的报价为准。</w:t>
      </w:r>
    </w:p>
    <w:p w14:paraId="3251062A">
      <w:pPr>
        <w:spacing w:line="360" w:lineRule="auto"/>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同时出现两种以上不一致的，按照前款规定的顺序修正。修正后的报价经投标人确认后产生约束力，投标人不确认的，其投标无效。</w:t>
      </w:r>
    </w:p>
    <w:p w14:paraId="69664981">
      <w:pPr>
        <w:pStyle w:val="94"/>
        <w:ind w:firstLine="440"/>
        <w:rPr>
          <w:rFonts w:hint="eastAsia"/>
          <w:color w:val="auto"/>
          <w:sz w:val="24"/>
          <w:szCs w:val="24"/>
          <w:highlight w:val="none"/>
        </w:rPr>
      </w:pPr>
      <w:r>
        <w:rPr>
          <w:rFonts w:hint="eastAsia"/>
          <w:color w:val="auto"/>
          <w:sz w:val="24"/>
          <w:szCs w:val="24"/>
          <w:highlight w:val="none"/>
        </w:rPr>
        <w:t>18.5评标委员会根据采购文件的《评标办法》及在《投标资料表》和《采购内容及要求》中所列的具体标准，对投标文件进行评审和比较。</w:t>
      </w:r>
    </w:p>
    <w:p w14:paraId="141EC850">
      <w:pPr>
        <w:pStyle w:val="94"/>
        <w:ind w:left="0" w:leftChars="0" w:firstLine="0" w:firstLineChars="0"/>
        <w:rPr>
          <w:rFonts w:hint="eastAsia"/>
          <w:color w:val="auto"/>
          <w:sz w:val="24"/>
          <w:szCs w:val="24"/>
          <w:highlight w:val="none"/>
        </w:rPr>
      </w:pPr>
      <w:bookmarkStart w:id="48" w:name="_Toc429407709"/>
      <w:bookmarkStart w:id="49" w:name="_Toc430790230"/>
      <w:bookmarkStart w:id="50" w:name="_Toc425151749"/>
      <w:bookmarkStart w:id="51" w:name="_Toc425780293"/>
      <w:r>
        <w:rPr>
          <w:rFonts w:hint="eastAsia"/>
          <w:color w:val="auto"/>
          <w:sz w:val="24"/>
          <w:szCs w:val="24"/>
          <w:highlight w:val="none"/>
        </w:rPr>
        <w:t>19、</w:t>
      </w:r>
      <w:bookmarkEnd w:id="48"/>
      <w:bookmarkEnd w:id="49"/>
      <w:bookmarkEnd w:id="50"/>
      <w:bookmarkEnd w:id="51"/>
      <w:bookmarkStart w:id="52" w:name="_Toc425780294"/>
      <w:bookmarkStart w:id="53" w:name="_Toc425151750"/>
      <w:bookmarkStart w:id="54" w:name="_Toc430790231"/>
      <w:bookmarkStart w:id="55" w:name="_Toc429407710"/>
      <w:r>
        <w:rPr>
          <w:rFonts w:hint="eastAsia"/>
          <w:color w:val="auto"/>
          <w:sz w:val="24"/>
          <w:szCs w:val="24"/>
          <w:highlight w:val="none"/>
        </w:rPr>
        <w:t>澄清问题的形式</w:t>
      </w:r>
    </w:p>
    <w:p w14:paraId="7BF74E7F">
      <w:pPr>
        <w:pStyle w:val="94"/>
        <w:ind w:firstLine="440"/>
        <w:rPr>
          <w:rFonts w:hint="eastAsia"/>
          <w:color w:val="auto"/>
          <w:sz w:val="24"/>
          <w:szCs w:val="24"/>
          <w:highlight w:val="none"/>
        </w:rPr>
      </w:pPr>
      <w:r>
        <w:rPr>
          <w:rFonts w:hint="eastAsia"/>
          <w:color w:val="auto"/>
          <w:sz w:val="24"/>
          <w:szCs w:val="24"/>
          <w:highlight w:val="none"/>
        </w:rPr>
        <w:t>19.1评标委员会在对投标文件的有效性、完整性和响应程度进行审查时，可以要求投标供应商对投标文件中含义不明确、同类问题表述不一致或者有明显文字和计算错误的内容等做出必要的澄清。投标供应商的澄清不得超出投标文件的范围或者改变投标文件的实质性内容。</w:t>
      </w:r>
    </w:p>
    <w:p w14:paraId="598B4922">
      <w:pPr>
        <w:pStyle w:val="94"/>
        <w:ind w:firstLine="440"/>
        <w:rPr>
          <w:rFonts w:hint="eastAsia"/>
          <w:color w:val="auto"/>
          <w:sz w:val="24"/>
          <w:szCs w:val="24"/>
          <w:highlight w:val="none"/>
        </w:rPr>
      </w:pPr>
      <w:r>
        <w:rPr>
          <w:rFonts w:hint="eastAsia"/>
          <w:color w:val="auto"/>
          <w:sz w:val="24"/>
          <w:szCs w:val="24"/>
          <w:highlight w:val="none"/>
        </w:rPr>
        <w:t>19.2政采云具体操作如下：</w:t>
      </w:r>
    </w:p>
    <w:p w14:paraId="4F8185E0">
      <w:pPr>
        <w:pStyle w:val="94"/>
        <w:ind w:firstLine="440"/>
        <w:rPr>
          <w:rFonts w:hint="eastAsia"/>
          <w:color w:val="auto"/>
          <w:sz w:val="24"/>
          <w:szCs w:val="24"/>
          <w:highlight w:val="none"/>
        </w:rPr>
      </w:pPr>
      <w:r>
        <w:rPr>
          <w:rFonts w:hint="eastAsia"/>
          <w:color w:val="auto"/>
          <w:sz w:val="24"/>
          <w:szCs w:val="24"/>
          <w:highlight w:val="none"/>
        </w:rPr>
        <w:t>在评审过程中，如评标委员会对投标文件有疑问，由评标委员会组长将问题汇总后发函，或由采购代理机构代替发起。投标供应商在截止时间前，予以回复。此回复将作为投标文件内容的一部分，具有相应的法律效力。</w:t>
      </w:r>
    </w:p>
    <w:p w14:paraId="36F9CB20">
      <w:pPr>
        <w:pStyle w:val="94"/>
        <w:ind w:firstLine="440"/>
        <w:rPr>
          <w:rFonts w:hint="eastAsia"/>
          <w:color w:val="auto"/>
          <w:sz w:val="24"/>
          <w:szCs w:val="24"/>
          <w:highlight w:val="none"/>
        </w:rPr>
      </w:pPr>
      <w:r>
        <w:rPr>
          <w:rFonts w:hint="eastAsia"/>
          <w:color w:val="auto"/>
          <w:sz w:val="24"/>
          <w:szCs w:val="24"/>
          <w:highlight w:val="none"/>
        </w:rPr>
        <w:t>路径：用户中心—项目采购—询标澄清</w:t>
      </w:r>
    </w:p>
    <w:p w14:paraId="27F261EB">
      <w:pPr>
        <w:pStyle w:val="94"/>
        <w:ind w:firstLine="440"/>
        <w:rPr>
          <w:rFonts w:hint="eastAsia"/>
          <w:color w:val="auto"/>
          <w:sz w:val="24"/>
          <w:szCs w:val="24"/>
          <w:highlight w:val="none"/>
        </w:rPr>
      </w:pPr>
      <w:r>
        <w:rPr>
          <w:rFonts w:hint="eastAsia"/>
          <w:color w:val="auto"/>
          <w:sz w:val="24"/>
          <w:szCs w:val="24"/>
          <w:highlight w:val="none"/>
        </w:rPr>
        <w:t>（1）政采云平台通过待办事项和短信提醒供应商在截止时间前完成澄清。</w:t>
      </w:r>
    </w:p>
    <w:p w14:paraId="18A33F4D">
      <w:pPr>
        <w:pStyle w:val="94"/>
        <w:ind w:firstLine="440"/>
        <w:rPr>
          <w:rFonts w:hint="eastAsia"/>
          <w:color w:val="auto"/>
          <w:sz w:val="24"/>
          <w:szCs w:val="24"/>
          <w:highlight w:val="none"/>
        </w:rPr>
      </w:pPr>
      <w:r>
        <w:rPr>
          <w:rFonts w:hint="eastAsia"/>
          <w:color w:val="auto"/>
          <w:sz w:val="24"/>
          <w:szCs w:val="24"/>
          <w:highlight w:val="none"/>
        </w:rPr>
        <w:t>（2）投标供应商在“询标澄清-待办理”标签页下选择状态为“待澄清”的项目，点击操作栏【澄清】。</w:t>
      </w:r>
    </w:p>
    <w:p w14:paraId="49C03906">
      <w:pPr>
        <w:pStyle w:val="94"/>
        <w:ind w:firstLine="440"/>
        <w:rPr>
          <w:rFonts w:hint="eastAsia"/>
          <w:color w:val="auto"/>
          <w:sz w:val="24"/>
          <w:szCs w:val="24"/>
          <w:highlight w:val="none"/>
        </w:rPr>
      </w:pPr>
      <w:r>
        <w:rPr>
          <w:rFonts w:hint="eastAsia"/>
          <w:color w:val="auto"/>
          <w:sz w:val="24"/>
          <w:szCs w:val="24"/>
          <w:highlight w:val="none"/>
        </w:rPr>
        <w:t>（3）查看函内容，在澄清截止时间前上传澄清文件并对澄清文件进行签章。（注：澄清文件必须以PDF格式上传，文件大小：50M）</w:t>
      </w:r>
    </w:p>
    <w:p w14:paraId="6E588307">
      <w:pPr>
        <w:pStyle w:val="94"/>
        <w:ind w:firstLine="440"/>
        <w:rPr>
          <w:rFonts w:hint="eastAsia"/>
          <w:color w:val="auto"/>
          <w:sz w:val="24"/>
          <w:szCs w:val="24"/>
          <w:highlight w:val="none"/>
        </w:rPr>
      </w:pPr>
      <w:r>
        <w:rPr>
          <w:rFonts w:hint="eastAsia"/>
          <w:color w:val="auto"/>
          <w:sz w:val="24"/>
          <w:szCs w:val="24"/>
          <w:highlight w:val="none"/>
        </w:rPr>
        <w:t>（4）签章完成，文件名称处显示“已签章”，供应商可“撤回签章”修改澄清函和“查看文件”。</w:t>
      </w:r>
    </w:p>
    <w:p w14:paraId="54A79A4E">
      <w:pPr>
        <w:pStyle w:val="94"/>
        <w:ind w:firstLine="440"/>
        <w:rPr>
          <w:rFonts w:hint="eastAsia"/>
          <w:color w:val="auto"/>
          <w:sz w:val="24"/>
          <w:szCs w:val="24"/>
          <w:highlight w:val="none"/>
        </w:rPr>
      </w:pPr>
      <w:r>
        <w:rPr>
          <w:rFonts w:hint="eastAsia"/>
          <w:color w:val="auto"/>
          <w:sz w:val="24"/>
          <w:szCs w:val="24"/>
          <w:highlight w:val="none"/>
        </w:rPr>
        <w:t>（5）确认澄清文件内容后，点击右上角【提交】；（注：投标供应商未对澄清文件签章，提交时，弹框提醒“澄清文件未签章，请进行签章操作”，如遇CA突发情况无法签章，供应商可点击【放弃签章并提交】提交澄清文件；反之则签章后再提交。）</w:t>
      </w:r>
    </w:p>
    <w:p w14:paraId="3CD7786E">
      <w:pPr>
        <w:pStyle w:val="94"/>
        <w:ind w:firstLine="440"/>
        <w:rPr>
          <w:rFonts w:hint="eastAsia"/>
          <w:color w:val="auto"/>
          <w:sz w:val="24"/>
          <w:szCs w:val="24"/>
          <w:highlight w:val="none"/>
        </w:rPr>
      </w:pPr>
      <w:r>
        <w:rPr>
          <w:rFonts w:hint="eastAsia"/>
          <w:color w:val="auto"/>
          <w:sz w:val="24"/>
          <w:szCs w:val="24"/>
          <w:highlight w:val="none"/>
        </w:rPr>
        <w:t>（6）完成状态：供应商澄清文件提交成功后，在“询标澄清-全部”标签页下显示状态为“已澄清”。</w:t>
      </w:r>
    </w:p>
    <w:p w14:paraId="3133E27D">
      <w:pPr>
        <w:pStyle w:val="94"/>
        <w:ind w:firstLine="440"/>
        <w:rPr>
          <w:rFonts w:hint="eastAsia"/>
          <w:color w:val="auto"/>
          <w:sz w:val="24"/>
          <w:szCs w:val="24"/>
          <w:highlight w:val="none"/>
        </w:rPr>
      </w:pPr>
      <w:r>
        <w:rPr>
          <w:rFonts w:hint="eastAsia"/>
          <w:color w:val="auto"/>
          <w:sz w:val="24"/>
          <w:szCs w:val="24"/>
          <w:highlight w:val="none"/>
        </w:rPr>
        <w:t>19.3投标供应商未在截止时间前完成澄清，将被视作自动放弃。</w:t>
      </w:r>
    </w:p>
    <w:p w14:paraId="2E8496AD">
      <w:pPr>
        <w:pStyle w:val="94"/>
        <w:ind w:left="0" w:leftChars="0" w:firstLine="0" w:firstLineChars="0"/>
        <w:rPr>
          <w:rFonts w:hint="eastAsia"/>
          <w:color w:val="auto"/>
          <w:sz w:val="24"/>
          <w:szCs w:val="24"/>
          <w:highlight w:val="none"/>
        </w:rPr>
      </w:pPr>
      <w:r>
        <w:rPr>
          <w:rFonts w:hint="eastAsia"/>
          <w:color w:val="auto"/>
          <w:sz w:val="24"/>
          <w:szCs w:val="24"/>
          <w:highlight w:val="none"/>
        </w:rPr>
        <w:t>20、评标办法</w:t>
      </w:r>
      <w:bookmarkEnd w:id="52"/>
      <w:bookmarkEnd w:id="53"/>
      <w:bookmarkEnd w:id="54"/>
      <w:bookmarkEnd w:id="55"/>
    </w:p>
    <w:p w14:paraId="2F952658">
      <w:pPr>
        <w:pStyle w:val="94"/>
        <w:ind w:firstLine="440"/>
        <w:rPr>
          <w:rFonts w:hint="eastAsia"/>
          <w:color w:val="auto"/>
          <w:sz w:val="24"/>
          <w:szCs w:val="24"/>
          <w:highlight w:val="none"/>
        </w:rPr>
      </w:pPr>
      <w:r>
        <w:rPr>
          <w:rFonts w:hint="eastAsia"/>
          <w:color w:val="auto"/>
          <w:sz w:val="24"/>
          <w:szCs w:val="24"/>
          <w:highlight w:val="none"/>
        </w:rPr>
        <w:t>20.1本项目采用综合评分法。本次招标采购采用的评标方法具体说明载明在采购文件“评标办法”部分中。</w:t>
      </w:r>
    </w:p>
    <w:p w14:paraId="07ECB9FD">
      <w:pPr>
        <w:pStyle w:val="94"/>
        <w:ind w:firstLine="440"/>
        <w:rPr>
          <w:rFonts w:hint="eastAsia"/>
          <w:color w:val="auto"/>
          <w:sz w:val="24"/>
          <w:szCs w:val="24"/>
          <w:highlight w:val="none"/>
        </w:rPr>
      </w:pPr>
      <w:r>
        <w:rPr>
          <w:rFonts w:hint="eastAsia"/>
          <w:color w:val="auto"/>
          <w:sz w:val="24"/>
          <w:szCs w:val="24"/>
          <w:highlight w:val="none"/>
        </w:rPr>
        <w:t>20.2综合评分法：</w:t>
      </w:r>
    </w:p>
    <w:p w14:paraId="1FA7E558">
      <w:pPr>
        <w:pStyle w:val="94"/>
        <w:ind w:firstLine="440"/>
        <w:rPr>
          <w:rFonts w:hint="eastAsia"/>
          <w:color w:val="auto"/>
          <w:sz w:val="24"/>
          <w:szCs w:val="24"/>
          <w:highlight w:val="none"/>
        </w:rPr>
      </w:pPr>
      <w:r>
        <w:rPr>
          <w:rFonts w:hint="eastAsia"/>
          <w:color w:val="auto"/>
          <w:sz w:val="24"/>
          <w:szCs w:val="24"/>
          <w:highlight w:val="none"/>
        </w:rPr>
        <w:t>投标文件满足采购文件全部实质性要求，且按照评审因素的量化指标评审得分最高的投标人为中标候选人的评标方法。</w:t>
      </w:r>
    </w:p>
    <w:p w14:paraId="071630EC">
      <w:pPr>
        <w:pStyle w:val="94"/>
        <w:ind w:left="0" w:leftChars="0" w:firstLine="0" w:firstLineChars="0"/>
        <w:rPr>
          <w:rFonts w:hint="eastAsia"/>
          <w:color w:val="auto"/>
          <w:sz w:val="24"/>
          <w:szCs w:val="24"/>
          <w:highlight w:val="none"/>
        </w:rPr>
      </w:pPr>
      <w:bookmarkStart w:id="56" w:name="_Toc422996749"/>
      <w:bookmarkEnd w:id="56"/>
      <w:bookmarkStart w:id="57" w:name="_Toc422996750"/>
      <w:bookmarkEnd w:id="57"/>
      <w:bookmarkStart w:id="58" w:name="_Toc422996818"/>
      <w:bookmarkEnd w:id="58"/>
      <w:bookmarkStart w:id="59" w:name="_Toc422996819"/>
      <w:bookmarkEnd w:id="59"/>
      <w:bookmarkStart w:id="60" w:name="_Toc430790232"/>
      <w:bookmarkStart w:id="61" w:name="_Toc425780295"/>
      <w:bookmarkStart w:id="62" w:name="_Toc425151751"/>
      <w:bookmarkStart w:id="63" w:name="_Toc429407711"/>
      <w:r>
        <w:rPr>
          <w:rFonts w:hint="eastAsia"/>
          <w:color w:val="auto"/>
          <w:sz w:val="24"/>
          <w:szCs w:val="24"/>
          <w:highlight w:val="none"/>
        </w:rPr>
        <w:t>21、评标程序和原则</w:t>
      </w:r>
      <w:bookmarkEnd w:id="60"/>
      <w:bookmarkEnd w:id="61"/>
      <w:bookmarkEnd w:id="62"/>
      <w:bookmarkEnd w:id="63"/>
    </w:p>
    <w:p w14:paraId="795F79F0">
      <w:pPr>
        <w:pStyle w:val="94"/>
        <w:ind w:firstLine="440"/>
        <w:rPr>
          <w:rFonts w:hint="eastAsia"/>
          <w:b/>
          <w:color w:val="auto"/>
          <w:sz w:val="24"/>
          <w:szCs w:val="24"/>
          <w:highlight w:val="none"/>
        </w:rPr>
      </w:pPr>
      <w:r>
        <w:rPr>
          <w:rFonts w:hint="eastAsia"/>
          <w:color w:val="auto"/>
          <w:sz w:val="24"/>
          <w:szCs w:val="24"/>
          <w:highlight w:val="none"/>
        </w:rPr>
        <w:t>21.1评标程序：遵循初步审查、澄清有关问题、比较与评价、推荐中标候选人的程序依次进行。</w:t>
      </w:r>
    </w:p>
    <w:p w14:paraId="5ED5F2D5">
      <w:pPr>
        <w:pStyle w:val="94"/>
        <w:ind w:firstLine="440"/>
        <w:rPr>
          <w:rFonts w:hint="eastAsia"/>
          <w:color w:val="auto"/>
          <w:sz w:val="24"/>
          <w:szCs w:val="24"/>
          <w:highlight w:val="none"/>
        </w:rPr>
      </w:pPr>
      <w:r>
        <w:rPr>
          <w:rFonts w:hint="eastAsia"/>
          <w:color w:val="auto"/>
          <w:sz w:val="24"/>
          <w:szCs w:val="24"/>
          <w:highlight w:val="none"/>
        </w:rPr>
        <w:t>21.2初步审查：包含资格性审查和符合性审查。初步审查不合格者不进入澄清有关问题及后续的评标程序。</w:t>
      </w:r>
    </w:p>
    <w:p w14:paraId="50D1BEF4">
      <w:pPr>
        <w:pStyle w:val="94"/>
        <w:ind w:firstLine="440"/>
        <w:rPr>
          <w:rFonts w:hint="eastAsia"/>
          <w:color w:val="auto"/>
          <w:sz w:val="24"/>
          <w:szCs w:val="24"/>
          <w:highlight w:val="none"/>
        </w:rPr>
      </w:pPr>
      <w:r>
        <w:rPr>
          <w:rFonts w:hint="eastAsia"/>
          <w:color w:val="auto"/>
          <w:sz w:val="24"/>
          <w:szCs w:val="24"/>
          <w:highlight w:val="none"/>
        </w:rPr>
        <w:t>（1）资格性审查：</w:t>
      </w:r>
    </w:p>
    <w:p w14:paraId="19976DDC">
      <w:pPr>
        <w:pStyle w:val="94"/>
        <w:ind w:firstLine="440"/>
        <w:rPr>
          <w:rFonts w:hint="eastAsia"/>
          <w:color w:val="auto"/>
          <w:sz w:val="24"/>
          <w:szCs w:val="24"/>
          <w:highlight w:val="none"/>
        </w:rPr>
      </w:pPr>
      <w:r>
        <w:rPr>
          <w:rFonts w:hint="eastAsia"/>
          <w:color w:val="auto"/>
          <w:sz w:val="24"/>
          <w:szCs w:val="24"/>
          <w:highlight w:val="none"/>
        </w:rPr>
        <w:t>依据法律法规和采购文件的规定，采购人或采购代理机构对其资格证明文件齐全性和有效性等方面进行审查，以确定投标人是否具备投标资格。</w:t>
      </w:r>
    </w:p>
    <w:p w14:paraId="615E54E1">
      <w:pPr>
        <w:pStyle w:val="94"/>
        <w:ind w:firstLine="440"/>
        <w:rPr>
          <w:rFonts w:hint="eastAsia"/>
          <w:color w:val="auto"/>
          <w:sz w:val="24"/>
          <w:szCs w:val="24"/>
          <w:highlight w:val="none"/>
        </w:rPr>
      </w:pPr>
      <w:r>
        <w:rPr>
          <w:rFonts w:hint="eastAsia"/>
          <w:color w:val="auto"/>
          <w:sz w:val="24"/>
          <w:szCs w:val="24"/>
          <w:highlight w:val="none"/>
        </w:rPr>
        <w:t>（2）符合性检查：</w:t>
      </w:r>
    </w:p>
    <w:p w14:paraId="7AEB3246">
      <w:pPr>
        <w:pStyle w:val="94"/>
        <w:ind w:firstLine="440"/>
        <w:rPr>
          <w:rFonts w:hint="eastAsia"/>
          <w:color w:val="auto"/>
          <w:sz w:val="24"/>
          <w:szCs w:val="24"/>
          <w:highlight w:val="none"/>
        </w:rPr>
      </w:pPr>
      <w:r>
        <w:rPr>
          <w:rFonts w:hint="eastAsia"/>
          <w:color w:val="auto"/>
          <w:sz w:val="24"/>
          <w:szCs w:val="24"/>
          <w:highlight w:val="none"/>
        </w:rPr>
        <w:t>依据采购文件的规定，评标委员会从投标文件的有效性、完整性和对采购文件的响应程度进行审查，以确定是否对采购文件的要求作出实质性响应。</w:t>
      </w:r>
    </w:p>
    <w:p w14:paraId="2BF48EE8">
      <w:pPr>
        <w:pStyle w:val="94"/>
        <w:ind w:firstLine="440"/>
        <w:rPr>
          <w:rFonts w:hint="eastAsia"/>
          <w:color w:val="auto"/>
          <w:sz w:val="24"/>
          <w:szCs w:val="24"/>
          <w:highlight w:val="none"/>
        </w:rPr>
      </w:pPr>
      <w:r>
        <w:rPr>
          <w:rFonts w:hint="eastAsia"/>
          <w:color w:val="auto"/>
          <w:sz w:val="24"/>
          <w:szCs w:val="24"/>
          <w:highlight w:val="none"/>
        </w:rPr>
        <w:t>21.3澄清有关问题：按第16条规定进行。</w:t>
      </w:r>
    </w:p>
    <w:p w14:paraId="601B2E46">
      <w:pPr>
        <w:pStyle w:val="94"/>
        <w:ind w:firstLine="440"/>
        <w:rPr>
          <w:rFonts w:hint="eastAsia"/>
          <w:color w:val="auto"/>
          <w:sz w:val="24"/>
          <w:szCs w:val="24"/>
          <w:highlight w:val="none"/>
        </w:rPr>
      </w:pPr>
      <w:r>
        <w:rPr>
          <w:rFonts w:hint="eastAsia"/>
          <w:color w:val="auto"/>
          <w:sz w:val="24"/>
          <w:szCs w:val="24"/>
          <w:highlight w:val="none"/>
        </w:rPr>
        <w:t>21.4比较与评价：</w:t>
      </w:r>
    </w:p>
    <w:p w14:paraId="0DCB2506">
      <w:pPr>
        <w:pStyle w:val="94"/>
        <w:ind w:firstLine="440"/>
        <w:rPr>
          <w:rFonts w:hint="eastAsia"/>
          <w:color w:val="auto"/>
          <w:sz w:val="24"/>
          <w:szCs w:val="24"/>
          <w:highlight w:val="none"/>
        </w:rPr>
      </w:pPr>
      <w:r>
        <w:rPr>
          <w:rFonts w:hint="eastAsia"/>
          <w:color w:val="auto"/>
          <w:sz w:val="24"/>
          <w:szCs w:val="24"/>
          <w:highlight w:val="none"/>
        </w:rPr>
        <w:t>（1）技术商务评价：按照采购文件的要求和《评标标准》对照投标文件的响应进行技术商务评价，评定其偏差程度，并计算其相应的技术商务评分分值。</w:t>
      </w:r>
    </w:p>
    <w:p w14:paraId="455818BE">
      <w:pPr>
        <w:pStyle w:val="94"/>
        <w:ind w:firstLine="440"/>
        <w:rPr>
          <w:rFonts w:hint="eastAsia"/>
          <w:color w:val="auto"/>
          <w:sz w:val="24"/>
          <w:szCs w:val="24"/>
          <w:highlight w:val="none"/>
        </w:rPr>
      </w:pPr>
      <w:r>
        <w:rPr>
          <w:rFonts w:hint="eastAsia"/>
          <w:color w:val="auto"/>
          <w:sz w:val="24"/>
          <w:szCs w:val="24"/>
          <w:highlight w:val="none"/>
        </w:rPr>
        <w:t>（2）综合评价：对经过技术商务评价的投标，按《评标标准》规定的评价办法进行综合评价，并按以下原则进行评审计算：</w:t>
      </w:r>
    </w:p>
    <w:p w14:paraId="5FBA0863">
      <w:pPr>
        <w:pStyle w:val="94"/>
        <w:ind w:firstLine="440"/>
        <w:rPr>
          <w:rFonts w:hint="eastAsia"/>
          <w:color w:val="auto"/>
          <w:sz w:val="24"/>
          <w:szCs w:val="24"/>
          <w:highlight w:val="none"/>
        </w:rPr>
      </w:pPr>
      <w:r>
        <w:rPr>
          <w:rFonts w:hint="eastAsia"/>
          <w:color w:val="auto"/>
          <w:sz w:val="24"/>
          <w:szCs w:val="24"/>
          <w:highlight w:val="none"/>
        </w:rPr>
        <w:t>综合评分法的最终得分计算：综合得分=报价得分+技术商务评审得分</w:t>
      </w:r>
    </w:p>
    <w:p w14:paraId="7EE0B639">
      <w:pPr>
        <w:pStyle w:val="94"/>
        <w:ind w:firstLine="440"/>
        <w:rPr>
          <w:rFonts w:hint="eastAsia"/>
          <w:color w:val="auto"/>
          <w:sz w:val="24"/>
          <w:szCs w:val="24"/>
          <w:highlight w:val="none"/>
        </w:rPr>
      </w:pPr>
      <w:r>
        <w:rPr>
          <w:rFonts w:hint="eastAsia"/>
          <w:color w:val="auto"/>
          <w:sz w:val="24"/>
          <w:szCs w:val="24"/>
          <w:highlight w:val="none"/>
        </w:rPr>
        <w:t>综合评价结束，按照上述第17条规定，列出进入最终评审各投标人排序次序。</w:t>
      </w:r>
    </w:p>
    <w:p w14:paraId="0DBB9701">
      <w:pPr>
        <w:pStyle w:val="94"/>
        <w:ind w:firstLine="440"/>
        <w:rPr>
          <w:rFonts w:hint="eastAsia"/>
          <w:color w:val="auto"/>
          <w:sz w:val="24"/>
          <w:szCs w:val="24"/>
          <w:highlight w:val="none"/>
        </w:rPr>
      </w:pPr>
      <w:r>
        <w:rPr>
          <w:rFonts w:hint="eastAsia"/>
          <w:color w:val="auto"/>
          <w:sz w:val="24"/>
          <w:szCs w:val="24"/>
          <w:highlight w:val="none"/>
        </w:rPr>
        <w:t>21.5推荐中标候选人：按22条规定推荐中标候选人。</w:t>
      </w:r>
    </w:p>
    <w:p w14:paraId="709CC339">
      <w:pPr>
        <w:pStyle w:val="94"/>
        <w:ind w:left="0" w:leftChars="0" w:firstLine="0" w:firstLineChars="0"/>
        <w:rPr>
          <w:rFonts w:hint="eastAsia"/>
          <w:color w:val="auto"/>
          <w:sz w:val="24"/>
          <w:szCs w:val="24"/>
          <w:highlight w:val="none"/>
        </w:rPr>
      </w:pPr>
      <w:bookmarkStart w:id="64" w:name="_Toc425780296"/>
      <w:bookmarkStart w:id="65" w:name="_Toc425151752"/>
      <w:bookmarkStart w:id="66" w:name="_Toc429407712"/>
      <w:bookmarkStart w:id="67" w:name="_Toc430790233"/>
      <w:r>
        <w:rPr>
          <w:rFonts w:hint="eastAsia"/>
          <w:color w:val="auto"/>
          <w:sz w:val="24"/>
          <w:szCs w:val="24"/>
          <w:highlight w:val="none"/>
        </w:rPr>
        <w:t>22、推荐中标候选人</w:t>
      </w:r>
      <w:bookmarkEnd w:id="64"/>
      <w:bookmarkEnd w:id="65"/>
      <w:bookmarkEnd w:id="66"/>
      <w:bookmarkEnd w:id="67"/>
    </w:p>
    <w:p w14:paraId="48FA54F2">
      <w:pPr>
        <w:pStyle w:val="94"/>
        <w:ind w:firstLine="440"/>
        <w:rPr>
          <w:rFonts w:hint="eastAsia"/>
          <w:color w:val="auto"/>
          <w:sz w:val="24"/>
          <w:szCs w:val="24"/>
          <w:highlight w:val="none"/>
        </w:rPr>
      </w:pPr>
      <w:bookmarkStart w:id="68" w:name="_Toc425151753"/>
      <w:bookmarkStart w:id="69" w:name="_Toc430790234"/>
      <w:bookmarkStart w:id="70" w:name="_Toc429407713"/>
      <w:bookmarkStart w:id="71" w:name="_Toc425780297"/>
      <w:r>
        <w:rPr>
          <w:rFonts w:hint="eastAsia"/>
          <w:color w:val="auto"/>
          <w:sz w:val="24"/>
          <w:szCs w:val="24"/>
          <w:highlight w:val="none"/>
        </w:rPr>
        <w:t>评标委员会根据各投标人的综合得分由高到低排定顺序，推荐本项目的中标候选人，</w:t>
      </w:r>
      <w:r>
        <w:rPr>
          <w:rFonts w:hint="eastAsia"/>
          <w:b/>
          <w:bCs/>
          <w:color w:val="auto"/>
          <w:sz w:val="24"/>
          <w:szCs w:val="24"/>
          <w:highlight w:val="none"/>
        </w:rPr>
        <w:t>推荐两名中标候选人。</w:t>
      </w:r>
    </w:p>
    <w:p w14:paraId="4699AFD7">
      <w:pPr>
        <w:pStyle w:val="94"/>
        <w:ind w:left="0" w:leftChars="0" w:firstLine="0" w:firstLineChars="0"/>
        <w:rPr>
          <w:rFonts w:hint="eastAsia"/>
          <w:color w:val="auto"/>
          <w:sz w:val="24"/>
          <w:szCs w:val="24"/>
          <w:highlight w:val="none"/>
        </w:rPr>
      </w:pPr>
      <w:r>
        <w:rPr>
          <w:rFonts w:hint="eastAsia"/>
          <w:color w:val="auto"/>
          <w:sz w:val="24"/>
          <w:szCs w:val="24"/>
          <w:highlight w:val="none"/>
        </w:rPr>
        <w:t>23、</w:t>
      </w:r>
      <w:bookmarkEnd w:id="68"/>
      <w:bookmarkEnd w:id="69"/>
      <w:bookmarkEnd w:id="70"/>
      <w:bookmarkEnd w:id="71"/>
      <w:r>
        <w:rPr>
          <w:rFonts w:hint="eastAsia"/>
          <w:color w:val="auto"/>
          <w:sz w:val="24"/>
          <w:szCs w:val="24"/>
          <w:highlight w:val="none"/>
        </w:rPr>
        <w:t>采购方式转换</w:t>
      </w:r>
    </w:p>
    <w:p w14:paraId="10FBA27A">
      <w:pPr>
        <w:pStyle w:val="94"/>
        <w:ind w:firstLine="440"/>
        <w:rPr>
          <w:rFonts w:hint="eastAsia"/>
          <w:color w:val="auto"/>
          <w:sz w:val="24"/>
          <w:szCs w:val="24"/>
          <w:highlight w:val="none"/>
        </w:rPr>
      </w:pPr>
      <w:r>
        <w:rPr>
          <w:rFonts w:hint="eastAsia"/>
          <w:color w:val="auto"/>
          <w:sz w:val="24"/>
          <w:szCs w:val="24"/>
          <w:highlight w:val="none"/>
        </w:rPr>
        <w:t>公开招标数额标准以上的采购项目，投标截止后投标人不足3家或者通过资格审查或符合性审查的投标人不足3家的，除采购任务取消情形外，按照以下方式处理： </w:t>
      </w:r>
    </w:p>
    <w:p w14:paraId="2094CDDB">
      <w:pPr>
        <w:pStyle w:val="94"/>
        <w:ind w:firstLine="440"/>
        <w:rPr>
          <w:rFonts w:hint="eastAsia"/>
          <w:color w:val="auto"/>
          <w:sz w:val="24"/>
          <w:szCs w:val="24"/>
          <w:highlight w:val="none"/>
        </w:rPr>
      </w:pPr>
      <w:r>
        <w:rPr>
          <w:rFonts w:hint="eastAsia"/>
          <w:color w:val="auto"/>
          <w:sz w:val="24"/>
          <w:szCs w:val="24"/>
          <w:highlight w:val="none"/>
        </w:rPr>
        <w:t>23.1采购文件存在不合理条款或者招标程序不符合规定的，采购人、采购代理机构改正后依法重新招标； </w:t>
      </w:r>
    </w:p>
    <w:p w14:paraId="07AA127E">
      <w:pPr>
        <w:pStyle w:val="94"/>
        <w:ind w:firstLine="440"/>
        <w:rPr>
          <w:rFonts w:hint="eastAsia"/>
          <w:color w:val="auto"/>
          <w:sz w:val="24"/>
          <w:szCs w:val="24"/>
          <w:highlight w:val="none"/>
        </w:rPr>
      </w:pPr>
      <w:r>
        <w:rPr>
          <w:rFonts w:hint="eastAsia"/>
          <w:color w:val="auto"/>
          <w:sz w:val="24"/>
          <w:szCs w:val="24"/>
          <w:highlight w:val="none"/>
        </w:rPr>
        <w:t>23.2采购文件没有不合理条款、招标程序符合规定，需要采用其他采购方式采购的，采购人依法报财政部门批准。 </w:t>
      </w:r>
    </w:p>
    <w:p w14:paraId="22942DA3">
      <w:pPr>
        <w:pStyle w:val="94"/>
        <w:ind w:left="0" w:leftChars="0" w:firstLine="0" w:firstLineChars="0"/>
        <w:rPr>
          <w:rFonts w:hint="eastAsia"/>
          <w:color w:val="auto"/>
          <w:sz w:val="24"/>
          <w:szCs w:val="24"/>
          <w:highlight w:val="none"/>
        </w:rPr>
      </w:pPr>
      <w:bookmarkStart w:id="72" w:name="_Toc425780298"/>
      <w:bookmarkStart w:id="73" w:name="_Toc425151754"/>
      <w:bookmarkStart w:id="74" w:name="_Toc429407714"/>
      <w:bookmarkStart w:id="75" w:name="_Toc430790235"/>
      <w:r>
        <w:rPr>
          <w:rFonts w:hint="eastAsia"/>
          <w:color w:val="auto"/>
          <w:sz w:val="24"/>
          <w:szCs w:val="24"/>
          <w:highlight w:val="none"/>
        </w:rPr>
        <w:t>24、</w:t>
      </w:r>
      <w:bookmarkEnd w:id="72"/>
      <w:bookmarkEnd w:id="73"/>
      <w:bookmarkEnd w:id="74"/>
      <w:bookmarkEnd w:id="75"/>
      <w:r>
        <w:rPr>
          <w:rFonts w:hint="eastAsia"/>
          <w:color w:val="auto"/>
          <w:sz w:val="24"/>
          <w:szCs w:val="24"/>
          <w:highlight w:val="none"/>
        </w:rPr>
        <w:t>评标过程的监控与保密</w:t>
      </w:r>
    </w:p>
    <w:p w14:paraId="29A79318">
      <w:pPr>
        <w:pStyle w:val="94"/>
        <w:ind w:firstLine="440"/>
        <w:rPr>
          <w:rFonts w:hint="eastAsia"/>
          <w:color w:val="auto"/>
          <w:sz w:val="24"/>
          <w:szCs w:val="24"/>
          <w:highlight w:val="none"/>
        </w:rPr>
      </w:pPr>
      <w:r>
        <w:rPr>
          <w:rFonts w:hint="eastAsia"/>
          <w:color w:val="auto"/>
          <w:sz w:val="24"/>
          <w:szCs w:val="24"/>
          <w:highlight w:val="none"/>
        </w:rPr>
        <w:t>24.1本项目评标过程实行全程录音、录像监控，投标人在评标过程中所进行的试图影响评标结果的不公正活动，可能导致其投标被拒绝。</w:t>
      </w:r>
    </w:p>
    <w:p w14:paraId="1CC2C122">
      <w:pPr>
        <w:pStyle w:val="94"/>
        <w:ind w:firstLine="440"/>
        <w:rPr>
          <w:rFonts w:hint="eastAsia"/>
          <w:color w:val="auto"/>
          <w:sz w:val="24"/>
          <w:szCs w:val="24"/>
          <w:highlight w:val="none"/>
        </w:rPr>
      </w:pPr>
      <w:r>
        <w:rPr>
          <w:rFonts w:hint="eastAsia"/>
          <w:color w:val="auto"/>
          <w:sz w:val="24"/>
          <w:szCs w:val="24"/>
          <w:highlight w:val="none"/>
        </w:rPr>
        <w:t>24.2开标后到中标通知书发出之前，所有涉及评标委员会名单以及对投标文件的澄清、评价、比较等情况，评标委员会成员、采购人和采购代理机构的有关人员均不得向投标人或其他无关人员透露。</w:t>
      </w:r>
    </w:p>
    <w:p w14:paraId="7677FEC7">
      <w:pPr>
        <w:pStyle w:val="94"/>
        <w:ind w:left="0" w:leftChars="0" w:firstLine="0" w:firstLineChars="0"/>
        <w:rPr>
          <w:rFonts w:hint="eastAsia"/>
          <w:color w:val="auto"/>
          <w:sz w:val="24"/>
          <w:szCs w:val="24"/>
          <w:highlight w:val="none"/>
        </w:rPr>
      </w:pPr>
      <w:r>
        <w:rPr>
          <w:rFonts w:hint="eastAsia"/>
          <w:color w:val="auto"/>
          <w:sz w:val="24"/>
          <w:szCs w:val="24"/>
          <w:highlight w:val="none"/>
        </w:rPr>
        <w:t>25、确定中标人、评标结果公示与质疑</w:t>
      </w:r>
    </w:p>
    <w:p w14:paraId="747618CB">
      <w:pPr>
        <w:pStyle w:val="94"/>
        <w:ind w:firstLine="440"/>
        <w:rPr>
          <w:rFonts w:hint="eastAsia"/>
          <w:color w:val="auto"/>
          <w:sz w:val="24"/>
          <w:szCs w:val="24"/>
          <w:highlight w:val="none"/>
        </w:rPr>
      </w:pPr>
      <w:r>
        <w:rPr>
          <w:rFonts w:hint="eastAsia"/>
          <w:color w:val="auto"/>
          <w:sz w:val="24"/>
          <w:szCs w:val="24"/>
          <w:highlight w:val="none"/>
        </w:rPr>
        <w:t>25.1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71A2115D">
      <w:pPr>
        <w:pStyle w:val="94"/>
        <w:ind w:firstLine="440"/>
        <w:rPr>
          <w:rFonts w:hint="eastAsia"/>
          <w:color w:val="auto"/>
          <w:sz w:val="24"/>
          <w:szCs w:val="24"/>
          <w:highlight w:val="none"/>
        </w:rPr>
      </w:pPr>
      <w:r>
        <w:rPr>
          <w:rFonts w:hint="eastAsia"/>
          <w:color w:val="auto"/>
          <w:sz w:val="24"/>
          <w:szCs w:val="24"/>
          <w:highlight w:val="none"/>
        </w:rPr>
        <w:t>25.2代理机构自中标人确定之日起2个工作日内，在发布采购公告的网站上对中标结果进行公示，中标结果公告期限为1个工作日。如果中标人自动放弃中标资格或因质疑或是投诉被取消中标资格的，可视情况报经财政部门同意后，按本次评标供应商得分排序结果依次替补或重新组织。</w:t>
      </w:r>
    </w:p>
    <w:p w14:paraId="71811318">
      <w:pPr>
        <w:pStyle w:val="94"/>
        <w:ind w:firstLine="440"/>
        <w:rPr>
          <w:rFonts w:hint="eastAsia"/>
          <w:color w:val="auto"/>
          <w:sz w:val="24"/>
          <w:szCs w:val="24"/>
          <w:highlight w:val="none"/>
        </w:rPr>
      </w:pPr>
      <w:r>
        <w:rPr>
          <w:rFonts w:hint="eastAsia"/>
          <w:color w:val="auto"/>
          <w:sz w:val="24"/>
          <w:szCs w:val="24"/>
          <w:highlight w:val="none"/>
        </w:rPr>
        <w:t>25.3投标人若对评标结果有异议，可在中标公告期限届满之日起七个工作日内向采购人提出书面质疑，质疑书应该有质疑人名称、地址、公章、法定代表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14:paraId="7FC678B9">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七、无效投标认定</w:t>
      </w:r>
    </w:p>
    <w:p w14:paraId="7C125EE5">
      <w:pPr>
        <w:pStyle w:val="94"/>
        <w:ind w:left="0" w:leftChars="0" w:firstLine="0" w:firstLineChars="0"/>
        <w:rPr>
          <w:rFonts w:hint="eastAsia"/>
          <w:color w:val="auto"/>
          <w:sz w:val="24"/>
          <w:szCs w:val="24"/>
          <w:highlight w:val="none"/>
        </w:rPr>
      </w:pPr>
      <w:r>
        <w:rPr>
          <w:rFonts w:hint="eastAsia"/>
          <w:color w:val="auto"/>
          <w:sz w:val="24"/>
          <w:szCs w:val="24"/>
          <w:highlight w:val="none"/>
        </w:rPr>
        <w:t>26、实质上没有响应采购文件要求的投标将被视为无效投标。</w:t>
      </w:r>
    </w:p>
    <w:p w14:paraId="67CF639C">
      <w:pPr>
        <w:pStyle w:val="94"/>
        <w:ind w:firstLine="440"/>
        <w:rPr>
          <w:rFonts w:hint="eastAsia"/>
          <w:color w:val="auto"/>
          <w:sz w:val="24"/>
          <w:szCs w:val="24"/>
          <w:highlight w:val="none"/>
        </w:rPr>
      </w:pPr>
      <w:r>
        <w:rPr>
          <w:rFonts w:hint="eastAsia"/>
          <w:color w:val="auto"/>
          <w:sz w:val="24"/>
          <w:szCs w:val="24"/>
          <w:highlight w:val="none"/>
        </w:rPr>
        <w:t>26.1在资格审查时，不具备采购文件中规定的资格要求的，或者资格证明文件不全的，投标文件将被视为无效。</w:t>
      </w:r>
    </w:p>
    <w:p w14:paraId="1A2D5195">
      <w:pPr>
        <w:pStyle w:val="94"/>
        <w:ind w:firstLine="440"/>
        <w:rPr>
          <w:rFonts w:hint="eastAsia"/>
          <w:color w:val="auto"/>
          <w:sz w:val="24"/>
          <w:szCs w:val="24"/>
          <w:highlight w:val="none"/>
        </w:rPr>
      </w:pPr>
      <w:r>
        <w:rPr>
          <w:rFonts w:hint="eastAsia"/>
          <w:color w:val="auto"/>
          <w:sz w:val="24"/>
          <w:szCs w:val="24"/>
          <w:highlight w:val="none"/>
        </w:rPr>
        <w:t>26.2在符合性审查（</w:t>
      </w:r>
      <w:r>
        <w:rPr>
          <w:rFonts w:hint="eastAsia"/>
          <w:color w:val="auto"/>
          <w:sz w:val="24"/>
          <w:szCs w:val="24"/>
          <w:highlight w:val="none"/>
          <w:lang w:eastAsia="zh-CN"/>
        </w:rPr>
        <w:t>商务技术文件</w:t>
      </w:r>
      <w:r>
        <w:rPr>
          <w:rFonts w:hint="eastAsia"/>
          <w:color w:val="auto"/>
          <w:sz w:val="24"/>
          <w:szCs w:val="24"/>
          <w:highlight w:val="none"/>
        </w:rPr>
        <w:t>）时，如发现下列情形之一的，投标文件将被视为无效：</w:t>
      </w:r>
    </w:p>
    <w:p w14:paraId="579F88E9">
      <w:pPr>
        <w:pStyle w:val="94"/>
        <w:ind w:firstLine="440"/>
        <w:rPr>
          <w:rFonts w:hint="eastAsia"/>
          <w:color w:val="auto"/>
          <w:sz w:val="24"/>
          <w:szCs w:val="24"/>
          <w:highlight w:val="none"/>
        </w:rPr>
      </w:pPr>
      <w:r>
        <w:rPr>
          <w:rFonts w:hint="eastAsia"/>
          <w:color w:val="auto"/>
          <w:sz w:val="24"/>
          <w:szCs w:val="24"/>
          <w:highlight w:val="none"/>
        </w:rPr>
        <w:t>（1）投标文件未按采购文件要求签署、签章的（不影响投标文件法律效力的除外）；</w:t>
      </w:r>
    </w:p>
    <w:p w14:paraId="1E542CEF">
      <w:pPr>
        <w:pStyle w:val="94"/>
        <w:ind w:firstLine="440"/>
        <w:rPr>
          <w:rFonts w:hint="eastAsia"/>
          <w:color w:val="auto"/>
          <w:sz w:val="24"/>
          <w:szCs w:val="24"/>
          <w:highlight w:val="none"/>
        </w:rPr>
      </w:pPr>
      <w:r>
        <w:rPr>
          <w:rFonts w:hint="eastAsia"/>
          <w:color w:val="auto"/>
          <w:sz w:val="24"/>
          <w:szCs w:val="24"/>
          <w:highlight w:val="none"/>
        </w:rPr>
        <w:t>（2）投标有效期不满足采购文件要求的；</w:t>
      </w:r>
    </w:p>
    <w:p w14:paraId="1E4CA1F2">
      <w:pPr>
        <w:pStyle w:val="94"/>
        <w:ind w:firstLine="440"/>
        <w:rPr>
          <w:rFonts w:hint="eastAsia"/>
          <w:color w:val="auto"/>
          <w:sz w:val="24"/>
          <w:szCs w:val="24"/>
          <w:highlight w:val="none"/>
        </w:rPr>
      </w:pPr>
      <w:r>
        <w:rPr>
          <w:rFonts w:hint="eastAsia"/>
          <w:color w:val="auto"/>
          <w:sz w:val="24"/>
          <w:szCs w:val="24"/>
          <w:highlight w:val="none"/>
        </w:rPr>
        <w:t>（3）明显不符合采购文件要求的，或者与采购文件中标注“▲”的条款发生实质性偏离的；</w:t>
      </w:r>
    </w:p>
    <w:p w14:paraId="7CED8193">
      <w:pPr>
        <w:pStyle w:val="94"/>
        <w:ind w:firstLine="440"/>
        <w:rPr>
          <w:rFonts w:hint="eastAsia"/>
          <w:color w:val="auto"/>
          <w:sz w:val="24"/>
          <w:szCs w:val="24"/>
          <w:highlight w:val="none"/>
        </w:rPr>
      </w:pPr>
      <w:r>
        <w:rPr>
          <w:rFonts w:hint="eastAsia"/>
          <w:color w:val="auto"/>
          <w:sz w:val="24"/>
          <w:szCs w:val="24"/>
          <w:highlight w:val="none"/>
        </w:rPr>
        <w:t>（4）投标文件中含有采购人不能接受的附加条件的；</w:t>
      </w:r>
    </w:p>
    <w:p w14:paraId="3E90DB3D">
      <w:pPr>
        <w:pStyle w:val="94"/>
        <w:ind w:firstLine="440"/>
        <w:rPr>
          <w:rFonts w:hint="eastAsia"/>
          <w:color w:val="auto"/>
          <w:sz w:val="24"/>
          <w:szCs w:val="24"/>
          <w:highlight w:val="none"/>
        </w:rPr>
      </w:pPr>
      <w:r>
        <w:rPr>
          <w:rFonts w:hint="eastAsia"/>
          <w:color w:val="auto"/>
          <w:sz w:val="24"/>
          <w:szCs w:val="24"/>
          <w:highlight w:val="none"/>
        </w:rPr>
        <w:t>（5）投标声明书无法定代表人签名，或委托人未提供法定代表人授权委托书、填写项目不齐全的；</w:t>
      </w:r>
    </w:p>
    <w:p w14:paraId="5637904C">
      <w:pPr>
        <w:pStyle w:val="94"/>
        <w:ind w:firstLine="440"/>
        <w:rPr>
          <w:rFonts w:hint="eastAsia"/>
          <w:color w:val="auto"/>
          <w:sz w:val="24"/>
          <w:szCs w:val="24"/>
          <w:highlight w:val="none"/>
        </w:rPr>
      </w:pPr>
      <w:r>
        <w:rPr>
          <w:rFonts w:hint="eastAsia"/>
          <w:color w:val="auto"/>
          <w:sz w:val="24"/>
          <w:szCs w:val="24"/>
          <w:highlight w:val="none"/>
        </w:rPr>
        <w:t>（6）投标文件格式不规范、提供资料不齐全或者内容虚假的；</w:t>
      </w:r>
    </w:p>
    <w:p w14:paraId="2CA784FC">
      <w:pPr>
        <w:pStyle w:val="94"/>
        <w:ind w:firstLine="440"/>
        <w:rPr>
          <w:rFonts w:hint="eastAsia" w:cs="Times New Roman"/>
          <w:color w:val="auto"/>
          <w:sz w:val="24"/>
          <w:szCs w:val="24"/>
          <w:highlight w:val="none"/>
        </w:rPr>
      </w:pPr>
      <w:r>
        <w:rPr>
          <w:rFonts w:hint="eastAsia"/>
          <w:color w:val="auto"/>
          <w:sz w:val="24"/>
          <w:szCs w:val="24"/>
          <w:highlight w:val="none"/>
        </w:rPr>
        <w:t>（7）投标文件的实质性内容未使用中文表述、表述不明确、前后矛盾或者使用计量单位不符合采购文要求的（经评标委员会认定并允许其更正的笔误除外）；</w:t>
      </w:r>
    </w:p>
    <w:p w14:paraId="201356F8">
      <w:pPr>
        <w:pStyle w:val="94"/>
        <w:ind w:firstLine="440"/>
        <w:rPr>
          <w:rFonts w:hint="eastAsia"/>
          <w:color w:val="auto"/>
          <w:sz w:val="24"/>
          <w:szCs w:val="24"/>
          <w:highlight w:val="none"/>
        </w:rPr>
      </w:pPr>
      <w:r>
        <w:rPr>
          <w:rFonts w:hint="eastAsia"/>
          <w:color w:val="auto"/>
          <w:sz w:val="24"/>
          <w:szCs w:val="24"/>
          <w:highlight w:val="none"/>
        </w:rPr>
        <w:t xml:space="preserve">（8）投标文件的关键内容字迹模糊、无法辨认的，或者投标文件中经修正的内容字迹模糊难以辨认或者修改处未按规定签署、盖章的； </w:t>
      </w:r>
    </w:p>
    <w:p w14:paraId="2C43BF15">
      <w:pPr>
        <w:pStyle w:val="94"/>
        <w:ind w:firstLine="440"/>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w:t>
      </w:r>
      <w:r>
        <w:rPr>
          <w:rFonts w:hint="eastAsia" w:asciiTheme="minorEastAsia" w:hAnsiTheme="minorEastAsia"/>
          <w:b/>
          <w:bCs/>
          <w:color w:val="auto"/>
          <w:sz w:val="24"/>
          <w:szCs w:val="24"/>
          <w:highlight w:val="none"/>
          <w:lang w:val="en-US" w:eastAsia="zh-CN"/>
        </w:rPr>
        <w:t>9</w:t>
      </w:r>
      <w:r>
        <w:rPr>
          <w:rFonts w:hint="eastAsia" w:asciiTheme="minorEastAsia" w:hAnsiTheme="minorEastAsia"/>
          <w:b/>
          <w:bCs/>
          <w:color w:val="auto"/>
          <w:sz w:val="24"/>
          <w:szCs w:val="24"/>
          <w:highlight w:val="none"/>
          <w:lang w:eastAsia="zh-CN"/>
        </w:rPr>
        <w:t>）参与同一个采购包（标段）的供应商存在下列情形之一且无法合理解释的，其投标（响应）文件无效：</w:t>
      </w:r>
    </w:p>
    <w:p w14:paraId="00B52ACD">
      <w:pPr>
        <w:pStyle w:val="94"/>
        <w:spacing w:line="460" w:lineRule="exact"/>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①不同供应商的电子投标（响应）文件上传计算机的网卡MAC地址或硬盘序列号等硬件信息相同的；</w:t>
      </w:r>
    </w:p>
    <w:p w14:paraId="1A5A99A2">
      <w:pPr>
        <w:pStyle w:val="94"/>
        <w:spacing w:line="460" w:lineRule="exact"/>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②上传的电子投标（响应）文件若出现使用本项目其他投标（响应）供应商的数字证书加密的，或者加盖本项目其他投标（响应）供应商的电子印章的；</w:t>
      </w:r>
    </w:p>
    <w:p w14:paraId="6032BC25">
      <w:pPr>
        <w:pStyle w:val="94"/>
        <w:spacing w:line="460" w:lineRule="exact"/>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③不同供应商的投标（响应）文件的内容存在3处（含）以上错误一致的；</w:t>
      </w:r>
    </w:p>
    <w:p w14:paraId="3821920C">
      <w:pPr>
        <w:pStyle w:val="94"/>
        <w:ind w:firstLine="440"/>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④不同供应商联系人为同一人或不同联系人的联系电话一致的。</w:t>
      </w:r>
    </w:p>
    <w:p w14:paraId="7ABBA611">
      <w:pPr>
        <w:pStyle w:val="94"/>
        <w:ind w:firstLine="44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color w:val="auto"/>
          <w:sz w:val="24"/>
          <w:szCs w:val="24"/>
          <w:highlight w:val="none"/>
          <w:lang w:val="en-US" w:eastAsia="zh-CN"/>
        </w:rPr>
        <w:t>0</w:t>
      </w:r>
      <w:r>
        <w:rPr>
          <w:rFonts w:hint="eastAsia" w:ascii="宋体" w:hAnsi="宋体"/>
          <w:color w:val="auto"/>
          <w:sz w:val="24"/>
          <w:szCs w:val="24"/>
          <w:highlight w:val="none"/>
          <w:lang w:eastAsia="zh-CN"/>
        </w:rPr>
        <w:t>）</w:t>
      </w:r>
      <w:r>
        <w:rPr>
          <w:rFonts w:hint="eastAsia" w:cs="宋体"/>
          <w:color w:val="auto"/>
          <w:kern w:val="0"/>
          <w:sz w:val="24"/>
          <w:highlight w:val="none"/>
          <w:lang w:val="zh-CN"/>
        </w:rPr>
        <w:t>技术性能得分</w:t>
      </w:r>
      <w:r>
        <w:rPr>
          <w:rFonts w:hint="eastAsia" w:ascii="宋体" w:hAnsi="宋体" w:eastAsia="宋体" w:cs="宋体"/>
          <w:color w:val="auto"/>
          <w:sz w:val="24"/>
          <w:szCs w:val="24"/>
          <w:highlight w:val="none"/>
          <w:lang w:eastAsia="zh-CN"/>
        </w:rPr>
        <w:t>扣至零分及以下的投标将被视为无效投标</w:t>
      </w:r>
      <w:r>
        <w:rPr>
          <w:rFonts w:hint="eastAsia" w:cs="宋体"/>
          <w:color w:val="auto"/>
          <w:kern w:val="0"/>
          <w:sz w:val="24"/>
          <w:highlight w:val="none"/>
          <w:lang w:val="zh-CN"/>
        </w:rPr>
        <w:t>；</w:t>
      </w:r>
    </w:p>
    <w:p w14:paraId="210E6FF0">
      <w:pPr>
        <w:pStyle w:val="94"/>
        <w:ind w:firstLine="44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法律、法规和采购文件规定的其他无效情形。</w:t>
      </w:r>
    </w:p>
    <w:p w14:paraId="41E8FDE3">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26.3</w:t>
      </w:r>
      <w:r>
        <w:rPr>
          <w:rFonts w:hint="eastAsia" w:ascii="Times New Roman" w:hAnsi="Times New Roman"/>
          <w:color w:val="auto"/>
          <w:sz w:val="24"/>
          <w:szCs w:val="24"/>
          <w:highlight w:val="none"/>
        </w:rPr>
        <w:t>在符合性审查（报价文件）时，如发现下列情形之一的，投标文件将被视为无效：</w:t>
      </w:r>
    </w:p>
    <w:p w14:paraId="2260D40B">
      <w:pPr>
        <w:pStyle w:val="21"/>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1</w:t>
      </w:r>
      <w:r>
        <w:rPr>
          <w:rFonts w:hint="eastAsia" w:ascii="Times New Roman" w:hAnsi="Times New Roman" w:eastAsia="宋体"/>
          <w:color w:val="auto"/>
          <w:sz w:val="24"/>
          <w:szCs w:val="24"/>
          <w:highlight w:val="none"/>
        </w:rPr>
        <w:t>）未提交投标函或投标函内容不符合采购文件要求的；</w:t>
      </w:r>
    </w:p>
    <w:p w14:paraId="77B37705">
      <w:pPr>
        <w:pStyle w:val="21"/>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2</w:t>
      </w:r>
      <w:r>
        <w:rPr>
          <w:rFonts w:hint="eastAsia" w:ascii="Times New Roman" w:hAnsi="Times New Roman" w:eastAsia="宋体"/>
          <w:color w:val="auto"/>
          <w:sz w:val="24"/>
          <w:szCs w:val="24"/>
          <w:highlight w:val="none"/>
        </w:rPr>
        <w:t>）投标文件未按采购文件要求签署、签章的（不影响投标文件法律效力的除外）；</w:t>
      </w:r>
    </w:p>
    <w:p w14:paraId="3AE9F088">
      <w:pPr>
        <w:pStyle w:val="21"/>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3</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报价超过采购文件中规定的预算金额或者最高限价的</w:t>
      </w:r>
      <w:r>
        <w:rPr>
          <w:rFonts w:hint="eastAsia" w:ascii="Times New Roman" w:hAnsi="Times New Roman" w:eastAsia="宋体"/>
          <w:color w:val="auto"/>
          <w:sz w:val="24"/>
          <w:szCs w:val="24"/>
          <w:highlight w:val="none"/>
        </w:rPr>
        <w:t>；</w:t>
      </w:r>
    </w:p>
    <w:p w14:paraId="3BBD52AB">
      <w:pPr>
        <w:pStyle w:val="21"/>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4</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未采用采购文件要求的报价形式报价的</w:t>
      </w:r>
      <w:r>
        <w:rPr>
          <w:rFonts w:hint="eastAsia" w:ascii="Times New Roman" w:hAnsi="Times New Roman" w:eastAsia="宋体"/>
          <w:color w:val="auto"/>
          <w:sz w:val="24"/>
          <w:szCs w:val="24"/>
          <w:highlight w:val="none"/>
        </w:rPr>
        <w:t>；</w:t>
      </w:r>
    </w:p>
    <w:p w14:paraId="69194BFA">
      <w:pPr>
        <w:pStyle w:val="21"/>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5</w:t>
      </w:r>
      <w:r>
        <w:rPr>
          <w:rFonts w:hint="eastAsia" w:ascii="Times New Roman" w:hAnsi="Times New Roman" w:eastAsia="宋体"/>
          <w:color w:val="auto"/>
          <w:sz w:val="24"/>
          <w:szCs w:val="24"/>
          <w:highlight w:val="none"/>
        </w:rPr>
        <w:t>）投标报价具有选择性的；</w:t>
      </w:r>
    </w:p>
    <w:p w14:paraId="0A849834">
      <w:pPr>
        <w:pStyle w:val="21"/>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6</w:t>
      </w:r>
      <w:r>
        <w:rPr>
          <w:rFonts w:hint="eastAsia" w:ascii="Times New Roman" w:hAnsi="Times New Roman" w:eastAsia="宋体"/>
          <w:color w:val="auto"/>
          <w:sz w:val="24"/>
          <w:szCs w:val="24"/>
          <w:highlight w:val="none"/>
        </w:rPr>
        <w:t>）投标人的报价明显低于其他通过符合性审查投标人的报价，评标委员会认为有可能影响产品质量或者不能诚信履约要求其在合理的时间内提供书面说明，必要时提交相关证明材料，投标人不能证明其报价合理性的；</w:t>
      </w:r>
    </w:p>
    <w:p w14:paraId="1BCFC953">
      <w:pPr>
        <w:pStyle w:val="21"/>
        <w:spacing w:line="360" w:lineRule="auto"/>
        <w:ind w:firstLine="650" w:firstLineChars="271"/>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7</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采购文件规定的其他无效情形。</w:t>
      </w:r>
    </w:p>
    <w:p w14:paraId="0D6B451B">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26.4</w:t>
      </w:r>
      <w:r>
        <w:rPr>
          <w:rFonts w:hint="eastAsia" w:ascii="Times New Roman" w:hAnsi="Times New Roman"/>
          <w:color w:val="auto"/>
          <w:sz w:val="24"/>
          <w:szCs w:val="24"/>
          <w:highlight w:val="none"/>
        </w:rPr>
        <w:t>被拒绝的投标文件为无效。</w:t>
      </w:r>
    </w:p>
    <w:p w14:paraId="6746C904">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八、授予合同</w:t>
      </w:r>
    </w:p>
    <w:p w14:paraId="219A7EBD">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Theme="minorEastAsia" w:hAnsiTheme="minorEastAsia"/>
          <w:b/>
          <w:color w:val="auto"/>
          <w:sz w:val="24"/>
          <w:szCs w:val="24"/>
          <w:highlight w:val="none"/>
        </w:rPr>
        <w:t>7</w:t>
      </w:r>
      <w:r>
        <w:rPr>
          <w:rFonts w:hint="eastAsia" w:ascii="宋体" w:hAnsi="宋体"/>
          <w:b/>
          <w:color w:val="auto"/>
          <w:sz w:val="24"/>
          <w:szCs w:val="24"/>
          <w:highlight w:val="none"/>
        </w:rPr>
        <w:t>、授予合同</w:t>
      </w:r>
    </w:p>
    <w:p w14:paraId="3EFCDBC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采购人在授予合同时不能对中标单价或其他实质性条款和条件作任何改变。</w:t>
      </w:r>
    </w:p>
    <w:p w14:paraId="0588F15D">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Theme="minorEastAsia" w:hAnsiTheme="minorEastAsia"/>
          <w:b/>
          <w:color w:val="auto"/>
          <w:sz w:val="24"/>
          <w:szCs w:val="24"/>
          <w:highlight w:val="none"/>
        </w:rPr>
        <w:t>8</w:t>
      </w:r>
      <w:r>
        <w:rPr>
          <w:rFonts w:hint="eastAsia" w:ascii="宋体" w:hAnsi="宋体"/>
          <w:b/>
          <w:color w:val="auto"/>
          <w:sz w:val="24"/>
          <w:szCs w:val="24"/>
          <w:highlight w:val="none"/>
        </w:rPr>
        <w:t>、中标通知</w:t>
      </w:r>
    </w:p>
    <w:p w14:paraId="71A01E8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.1采购代理机构自中标人确定之日起2个工作日内，在指定的媒体上公告中标结果，采购文件随中标结果同时公告。中标公告期限为1个工作日。</w:t>
      </w:r>
    </w:p>
    <w:p w14:paraId="26BF0AA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.2在发布中标公告的同时本采购代理机构向中标人发出中标通知书，向其他投标人发出招标结果通知书，中标通知书对采购人和中标人具有同等法律效力。</w:t>
      </w:r>
    </w:p>
    <w:p w14:paraId="0A08E07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.3中标人按下述第30条规定与采购人签订合同，中标通知书是合同的组成部分。</w:t>
      </w:r>
    </w:p>
    <w:p w14:paraId="119824BA">
      <w:pPr>
        <w:spacing w:line="360" w:lineRule="auto"/>
        <w:rPr>
          <w:rFonts w:hint="eastAsia" w:ascii="宋体" w:hAnsi="宋体"/>
          <w:b/>
          <w:color w:val="auto"/>
          <w:sz w:val="24"/>
          <w:szCs w:val="24"/>
          <w:highlight w:val="none"/>
        </w:rPr>
      </w:pPr>
      <w:r>
        <w:rPr>
          <w:rFonts w:hint="eastAsia" w:asciiTheme="minorEastAsia" w:hAnsiTheme="minorEastAsia"/>
          <w:b/>
          <w:color w:val="auto"/>
          <w:sz w:val="24"/>
          <w:szCs w:val="24"/>
          <w:highlight w:val="none"/>
        </w:rPr>
        <w:t>29</w:t>
      </w:r>
      <w:r>
        <w:rPr>
          <w:rFonts w:hint="eastAsia" w:ascii="宋体" w:hAnsi="宋体"/>
          <w:b/>
          <w:color w:val="auto"/>
          <w:sz w:val="24"/>
          <w:szCs w:val="24"/>
          <w:highlight w:val="none"/>
        </w:rPr>
        <w:t>、签订合同</w:t>
      </w:r>
    </w:p>
    <w:p w14:paraId="14C5B1D7">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29</w:t>
      </w:r>
      <w:r>
        <w:rPr>
          <w:rFonts w:hint="eastAsia" w:ascii="宋体" w:hAnsi="宋体"/>
          <w:color w:val="auto"/>
          <w:sz w:val="24"/>
          <w:szCs w:val="24"/>
          <w:highlight w:val="none"/>
        </w:rPr>
        <w:t>.1中标人在本采购代理机构发出中标通知书的30日内，应与采购人按照采购文件和中标人的投标文件的约定内容签订书面合同。否则，采购人可撤销其中标资格并按本须知规定另选中标人或重新招标。</w:t>
      </w:r>
    </w:p>
    <w:p w14:paraId="7F443668">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29</w:t>
      </w:r>
      <w:r>
        <w:rPr>
          <w:rFonts w:hint="eastAsia" w:ascii="宋体" w:hAnsi="宋体"/>
          <w:color w:val="auto"/>
          <w:sz w:val="24"/>
          <w:szCs w:val="24"/>
          <w:highlight w:val="none"/>
        </w:rPr>
        <w:t>.2采购文件、中标人的投标文件及在评标过程中提交的澄清文件均应作为合同附件。</w:t>
      </w:r>
    </w:p>
    <w:p w14:paraId="76E8218C">
      <w:pPr>
        <w:spacing w:line="360" w:lineRule="auto"/>
        <w:rPr>
          <w:rFonts w:hint="eastAsia" w:ascii="宋体" w:hAnsi="宋体"/>
          <w:b/>
          <w:color w:val="auto"/>
          <w:sz w:val="24"/>
          <w:szCs w:val="24"/>
          <w:highlight w:val="none"/>
        </w:rPr>
      </w:pPr>
      <w:r>
        <w:rPr>
          <w:rFonts w:hint="eastAsia" w:asciiTheme="minorEastAsia" w:hAnsiTheme="minorEastAsia"/>
          <w:b/>
          <w:color w:val="auto"/>
          <w:sz w:val="24"/>
          <w:szCs w:val="24"/>
          <w:highlight w:val="none"/>
        </w:rPr>
        <w:t>30</w:t>
      </w:r>
      <w:r>
        <w:rPr>
          <w:rFonts w:hint="eastAsia" w:ascii="宋体" w:hAnsi="宋体"/>
          <w:b/>
          <w:color w:val="auto"/>
          <w:sz w:val="24"/>
          <w:szCs w:val="24"/>
          <w:highlight w:val="none"/>
        </w:rPr>
        <w:t>、履约保证金（如有）</w:t>
      </w:r>
    </w:p>
    <w:p w14:paraId="425BFC1C">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30</w:t>
      </w:r>
      <w:r>
        <w:rPr>
          <w:rFonts w:hint="eastAsia" w:ascii="宋体" w:hAnsi="宋体"/>
          <w:color w:val="auto"/>
          <w:sz w:val="24"/>
          <w:szCs w:val="24"/>
          <w:highlight w:val="none"/>
        </w:rPr>
        <w:t>.1签订合同后，中标人应根据采购文件确定的履约保证金的金额交纳履约保证金。</w:t>
      </w:r>
    </w:p>
    <w:p w14:paraId="5DE38893">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30</w:t>
      </w:r>
      <w:r>
        <w:rPr>
          <w:rFonts w:hint="eastAsia" w:ascii="宋体" w:hAnsi="宋体"/>
          <w:color w:val="auto"/>
          <w:sz w:val="24"/>
          <w:szCs w:val="24"/>
          <w:highlight w:val="none"/>
        </w:rPr>
        <w:t>.2签订合同后，如中标人不按双方合同约定履约，则没收其全部履约保证金，履约保证金不足以赔偿损失的，按实际损失赔偿。</w:t>
      </w:r>
    </w:p>
    <w:p w14:paraId="7CFB5766">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九、履约验收</w:t>
      </w:r>
    </w:p>
    <w:p w14:paraId="5154E8C1">
      <w:pPr>
        <w:pStyle w:val="94"/>
        <w:ind w:firstLine="440"/>
        <w:rPr>
          <w:rFonts w:hint="eastAsia"/>
          <w:color w:val="auto"/>
          <w:sz w:val="24"/>
          <w:szCs w:val="24"/>
          <w:highlight w:val="none"/>
        </w:rPr>
      </w:pPr>
      <w:r>
        <w:rPr>
          <w:rFonts w:hint="eastAsia"/>
          <w:color w:val="auto"/>
          <w:sz w:val="24"/>
          <w:szCs w:val="24"/>
          <w:highlight w:val="none"/>
        </w:rPr>
        <w:t>31、采购人负责对中标人的履约行为进行验收。验收标准为本项目的采购文件以及中标人的投标文件，要求验收必须符合相关政策法规和地方标准。政府向社会公众提供的公共服务项目，验收时应当邀请服务对象参与并出具意见，验收结果应当向社会公告。</w:t>
      </w:r>
    </w:p>
    <w:p w14:paraId="417201F7">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十、代理服务费</w:t>
      </w:r>
    </w:p>
    <w:p w14:paraId="4DC23001">
      <w:pPr>
        <w:spacing w:line="360" w:lineRule="auto"/>
        <w:rPr>
          <w:rFonts w:hint="eastAsia"/>
          <w:b/>
          <w:color w:val="auto"/>
          <w:sz w:val="24"/>
          <w:szCs w:val="24"/>
          <w:highlight w:val="none"/>
        </w:rPr>
      </w:pPr>
      <w:r>
        <w:rPr>
          <w:rFonts w:hint="eastAsia" w:asciiTheme="minorEastAsia" w:hAnsiTheme="minorEastAsia"/>
          <w:b/>
          <w:color w:val="auto"/>
          <w:sz w:val="24"/>
          <w:szCs w:val="24"/>
          <w:highlight w:val="none"/>
        </w:rPr>
        <w:t>32、</w:t>
      </w:r>
      <w:r>
        <w:rPr>
          <w:rFonts w:hint="eastAsia"/>
          <w:b/>
          <w:color w:val="auto"/>
          <w:sz w:val="24"/>
          <w:szCs w:val="24"/>
          <w:highlight w:val="none"/>
        </w:rPr>
        <w:t>代理服务费</w:t>
      </w:r>
    </w:p>
    <w:p w14:paraId="2DB876F3">
      <w:pPr>
        <w:spacing w:line="360" w:lineRule="auto"/>
        <w:ind w:firstLine="480" w:firstLineChars="200"/>
        <w:jc w:val="left"/>
        <w:rPr>
          <w:color w:val="auto"/>
          <w:sz w:val="24"/>
          <w:szCs w:val="24"/>
          <w:highlight w:val="none"/>
        </w:rPr>
      </w:pPr>
      <w:r>
        <w:rPr>
          <w:rFonts w:hint="eastAsia"/>
          <w:color w:val="auto"/>
          <w:sz w:val="24"/>
          <w:szCs w:val="24"/>
          <w:highlight w:val="none"/>
        </w:rPr>
        <w:t>中标人应向本采购代理机构支付代理服务费。代理服务费的收费依据及相关规定载明在采购文件《投标资料表》中。</w:t>
      </w:r>
    </w:p>
    <w:p w14:paraId="18B800ED">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十一、政府采购活动中有关中小企业的相关规定</w:t>
      </w:r>
    </w:p>
    <w:p w14:paraId="660843DC">
      <w:pPr>
        <w:pStyle w:val="94"/>
        <w:ind w:firstLine="440"/>
        <w:rPr>
          <w:rFonts w:hint="eastAsia"/>
          <w:color w:val="auto"/>
          <w:sz w:val="24"/>
          <w:szCs w:val="24"/>
          <w:highlight w:val="none"/>
        </w:rPr>
      </w:pPr>
      <w:r>
        <w:rPr>
          <w:rFonts w:hint="eastAsia"/>
          <w:color w:val="auto"/>
          <w:sz w:val="24"/>
          <w:szCs w:val="24"/>
          <w:highlight w:val="none"/>
        </w:rPr>
        <w:t>（采购进口产品的项目不适用）</w:t>
      </w:r>
    </w:p>
    <w:p w14:paraId="66203EDD">
      <w:pPr>
        <w:pStyle w:val="94"/>
        <w:ind w:left="0" w:leftChars="0" w:firstLine="0" w:firstLineChars="0"/>
        <w:rPr>
          <w:rFonts w:hint="eastAsia"/>
          <w:b/>
          <w:bCs/>
          <w:color w:val="auto"/>
          <w:sz w:val="24"/>
          <w:szCs w:val="24"/>
          <w:highlight w:val="none"/>
        </w:rPr>
      </w:pPr>
      <w:r>
        <w:rPr>
          <w:rFonts w:hint="eastAsia"/>
          <w:b/>
          <w:bCs/>
          <w:color w:val="auto"/>
          <w:sz w:val="24"/>
          <w:szCs w:val="24"/>
          <w:highlight w:val="none"/>
        </w:rPr>
        <w:t>33、本项目</w:t>
      </w:r>
      <w:r>
        <w:rPr>
          <w:rFonts w:hint="eastAsia"/>
          <w:b/>
          <w:bCs/>
          <w:color w:val="auto"/>
          <w:sz w:val="24"/>
          <w:szCs w:val="24"/>
          <w:highlight w:val="none"/>
          <w:u w:val="single"/>
        </w:rPr>
        <w:t>非</w:t>
      </w:r>
      <w:r>
        <w:rPr>
          <w:rFonts w:hint="eastAsia"/>
          <w:b/>
          <w:bCs/>
          <w:color w:val="auto"/>
          <w:sz w:val="24"/>
          <w:szCs w:val="24"/>
          <w:highlight w:val="none"/>
        </w:rPr>
        <w:t>专门面向中小企业采购。</w:t>
      </w:r>
    </w:p>
    <w:p w14:paraId="7E188C5B">
      <w:pPr>
        <w:pStyle w:val="94"/>
        <w:ind w:left="0" w:leftChars="0" w:firstLine="0" w:firstLineChars="0"/>
        <w:rPr>
          <w:rFonts w:hint="eastAsia"/>
          <w:b/>
          <w:bCs/>
          <w:color w:val="auto"/>
          <w:sz w:val="24"/>
          <w:szCs w:val="24"/>
          <w:highlight w:val="none"/>
          <w:u w:val="single"/>
        </w:rPr>
      </w:pPr>
      <w:r>
        <w:rPr>
          <w:rFonts w:hint="eastAsia"/>
          <w:b/>
          <w:bCs/>
          <w:color w:val="auto"/>
          <w:sz w:val="24"/>
          <w:szCs w:val="24"/>
          <w:highlight w:val="none"/>
        </w:rPr>
        <w:t>34、本项目对应的中小企业划型标准所属行业：</w:t>
      </w:r>
      <w:r>
        <w:rPr>
          <w:rFonts w:hint="eastAsia"/>
          <w:b/>
          <w:bCs/>
          <w:color w:val="auto"/>
          <w:sz w:val="24"/>
          <w:szCs w:val="24"/>
          <w:highlight w:val="none"/>
          <w:u w:val="single"/>
          <w:lang w:eastAsia="zh-CN"/>
        </w:rPr>
        <w:t>工业，详见前附页</w:t>
      </w:r>
      <w:r>
        <w:rPr>
          <w:rFonts w:hint="eastAsia"/>
          <w:b/>
          <w:bCs/>
          <w:color w:val="auto"/>
          <w:sz w:val="24"/>
          <w:szCs w:val="24"/>
          <w:highlight w:val="none"/>
          <w:u w:val="single"/>
        </w:rPr>
        <w:t>。</w:t>
      </w:r>
    </w:p>
    <w:p w14:paraId="7E4FCB39">
      <w:pPr>
        <w:spacing w:line="360" w:lineRule="auto"/>
        <w:rPr>
          <w:rFonts w:hint="eastAsia" w:ascii="Times New Roman" w:hAnsi="Times New Roman"/>
          <w:color w:val="auto"/>
          <w:sz w:val="24"/>
          <w:szCs w:val="24"/>
          <w:highlight w:val="none"/>
        </w:rPr>
      </w:pPr>
      <w:r>
        <w:rPr>
          <w:rFonts w:hint="eastAsia" w:asciiTheme="minorEastAsia" w:hAnsiTheme="minorEastAsia"/>
          <w:color w:val="auto"/>
          <w:sz w:val="24"/>
          <w:szCs w:val="24"/>
          <w:highlight w:val="none"/>
        </w:rPr>
        <w:t>35、</w:t>
      </w:r>
      <w:r>
        <w:rPr>
          <w:rFonts w:hint="eastAsia" w:ascii="Times New Roman" w:hAnsi="Times New Roman"/>
          <w:color w:val="auto"/>
          <w:sz w:val="24"/>
          <w:szCs w:val="24"/>
          <w:highlight w:val="none"/>
        </w:rPr>
        <w:t>小微企业是指中华人民共和国境内依法设立，依据国务院批准的中小企业划分标准确定的小型企业和微型企业，但与大企业的负责人为同一人，或者与大企业存在直接控股、管理关系的除外。</w:t>
      </w:r>
    </w:p>
    <w:p w14:paraId="563438C0">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符合中小企业划分标准的个体工商户，在政府采购活动中视同中小企业。</w:t>
      </w:r>
    </w:p>
    <w:p w14:paraId="2C53A099">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国务院批准的中小企业划分标准：具体见工信部联企业</w:t>
      </w:r>
      <w:r>
        <w:rPr>
          <w:rFonts w:ascii="Times New Roman" w:hAnsi="Times New Roman"/>
          <w:color w:val="auto"/>
          <w:sz w:val="24"/>
          <w:szCs w:val="24"/>
          <w:highlight w:val="none"/>
        </w:rPr>
        <w:t>[2011]300</w:t>
      </w:r>
      <w:r>
        <w:rPr>
          <w:rFonts w:hint="eastAsia" w:ascii="Times New Roman" w:hAnsi="Times New Roman"/>
          <w:color w:val="auto"/>
          <w:sz w:val="24"/>
          <w:szCs w:val="24"/>
          <w:highlight w:val="none"/>
        </w:rPr>
        <w:t>号。</w:t>
      </w:r>
    </w:p>
    <w:p w14:paraId="1F44CA80">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36</w:t>
      </w:r>
      <w:r>
        <w:rPr>
          <w:rFonts w:hint="eastAsia" w:ascii="Times New Roman" w:hAnsi="Times New Roman"/>
          <w:color w:val="auto"/>
          <w:sz w:val="24"/>
          <w:szCs w:val="24"/>
          <w:highlight w:val="none"/>
        </w:rPr>
        <w:t>、在政府采购活动中，供应商提供的货物、工程或者服务符合下列情形的，可享受小型、微型企业（以下简称小微企业）的价格扣除：</w:t>
      </w:r>
    </w:p>
    <w:p w14:paraId="2D195DD4">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）在货物采购项目中，货物由小微企业制造，即货物由小微企业生产且使用该小微企业商号或者注册商标；</w:t>
      </w:r>
    </w:p>
    <w:p w14:paraId="413152E0">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）在工程采购项目中，工程由小微企业承建，即工程施工单位为小微企业；</w:t>
      </w:r>
    </w:p>
    <w:p w14:paraId="1C453272">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）在服务采购项目中，服务由小微企业承接，即提供服务的人员为小微企业依照《中华人民共和国劳动合同法》订立劳动合同的从业人员。</w:t>
      </w:r>
    </w:p>
    <w:p w14:paraId="25ACF570">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以联合体形式参加政府采购活动，联合体各方均为中小企业的，联合体视同中小企业。</w:t>
      </w:r>
    </w:p>
    <w:p w14:paraId="7750A21A">
      <w:pPr>
        <w:spacing w:line="360" w:lineRule="auto"/>
        <w:rPr>
          <w:rFonts w:ascii="Times New Roman" w:hAnsi="Times New Roman"/>
          <w:bCs/>
          <w:color w:val="auto"/>
          <w:sz w:val="24"/>
          <w:szCs w:val="24"/>
          <w:highlight w:val="none"/>
        </w:rPr>
      </w:pPr>
      <w:r>
        <w:rPr>
          <w:rFonts w:ascii="Times New Roman" w:hAnsi="Times New Roman"/>
          <w:color w:val="auto"/>
          <w:sz w:val="24"/>
          <w:szCs w:val="24"/>
          <w:highlight w:val="none"/>
        </w:rPr>
        <w:t>37</w:t>
      </w:r>
      <w:r>
        <w:rPr>
          <w:rFonts w:hint="eastAsia" w:ascii="Times New Roman" w:hAnsi="Times New Roman"/>
          <w:color w:val="auto"/>
          <w:sz w:val="24"/>
          <w:szCs w:val="24"/>
          <w:highlight w:val="none"/>
        </w:rPr>
        <w:t>、</w:t>
      </w:r>
      <w:r>
        <w:rPr>
          <w:rFonts w:hint="eastAsia" w:ascii="Times New Roman" w:hAnsi="Times New Roman"/>
          <w:bCs/>
          <w:color w:val="auto"/>
          <w:sz w:val="24"/>
          <w:szCs w:val="24"/>
          <w:highlight w:val="none"/>
        </w:rPr>
        <w:t>在货物采购项目中，供应商提供的货物既有中小企业制造货物，也有大型企业制造货物的，不享受小微企业价格扣除。</w:t>
      </w:r>
    </w:p>
    <w:p w14:paraId="6B67A62B">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38</w:t>
      </w:r>
      <w:r>
        <w:rPr>
          <w:rFonts w:hint="eastAsia" w:ascii="Times New Roman" w:hAnsi="Times New Roman"/>
          <w:color w:val="auto"/>
          <w:sz w:val="24"/>
          <w:szCs w:val="24"/>
          <w:highlight w:val="none"/>
        </w:rPr>
        <w:t>、小微企业应按照</w:t>
      </w:r>
      <w:r>
        <w:rPr>
          <w:rFonts w:hint="eastAsia" w:ascii="Times New Roman" w:hAnsi="Times New Roman"/>
          <w:color w:val="auto"/>
          <w:sz w:val="24"/>
          <w:szCs w:val="24"/>
          <w:highlight w:val="none"/>
          <w:lang w:eastAsia="zh-CN"/>
        </w:rPr>
        <w:t>采购文件</w:t>
      </w:r>
      <w:r>
        <w:rPr>
          <w:rFonts w:hint="eastAsia" w:ascii="Times New Roman" w:hAnsi="Times New Roman"/>
          <w:color w:val="auto"/>
          <w:sz w:val="24"/>
          <w:szCs w:val="24"/>
          <w:highlight w:val="none"/>
        </w:rPr>
        <w:t>格式要求提供《中小企业声明函》。本项目对符合《政府采购促进中小企业发展管理办法》（财库﹝</w:t>
      </w:r>
      <w:r>
        <w:rPr>
          <w:rFonts w:ascii="Times New Roman" w:hAnsi="Times New Roman"/>
          <w:color w:val="auto"/>
          <w:sz w:val="24"/>
          <w:szCs w:val="24"/>
          <w:highlight w:val="none"/>
        </w:rPr>
        <w:t>2020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46</w:t>
      </w:r>
      <w:r>
        <w:rPr>
          <w:rFonts w:hint="eastAsia" w:ascii="Times New Roman" w:hAnsi="Times New Roman"/>
          <w:color w:val="auto"/>
          <w:sz w:val="24"/>
          <w:szCs w:val="24"/>
          <w:highlight w:val="none"/>
        </w:rPr>
        <w:t>号）规定的小微企业报价给予</w:t>
      </w:r>
      <w:r>
        <w:rPr>
          <w:rFonts w:ascii="Times New Roman" w:hAnsi="Times New Roman"/>
          <w:color w:val="auto"/>
          <w:sz w:val="24"/>
          <w:szCs w:val="24"/>
          <w:highlight w:val="none"/>
        </w:rPr>
        <w:t>10%</w:t>
      </w:r>
      <w:r>
        <w:rPr>
          <w:rFonts w:hint="eastAsia" w:ascii="Times New Roman" w:hAnsi="Times New Roman"/>
          <w:color w:val="auto"/>
          <w:sz w:val="24"/>
          <w:szCs w:val="24"/>
          <w:highlight w:val="none"/>
        </w:rPr>
        <w:t>（工程项目为</w:t>
      </w:r>
      <w:r>
        <w:rPr>
          <w:rFonts w:ascii="Times New Roman" w:hAnsi="Times New Roman"/>
          <w:color w:val="auto"/>
          <w:sz w:val="24"/>
          <w:szCs w:val="24"/>
          <w:highlight w:val="none"/>
        </w:rPr>
        <w:t xml:space="preserve"> 5%</w:t>
      </w:r>
      <w:r>
        <w:rPr>
          <w:rFonts w:hint="eastAsia" w:ascii="Times New Roman" w:hAnsi="Times New Roman"/>
          <w:color w:val="auto"/>
          <w:sz w:val="24"/>
          <w:szCs w:val="24"/>
          <w:highlight w:val="none"/>
        </w:rPr>
        <w:t>）的扣除，用扣除后的价格参加评审。</w:t>
      </w:r>
    </w:p>
    <w:p w14:paraId="025EC107">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39</w:t>
      </w:r>
      <w:r>
        <w:rPr>
          <w:rFonts w:hint="eastAsia" w:ascii="Times New Roman" w:hAnsi="Times New Roman"/>
          <w:color w:val="auto"/>
          <w:sz w:val="24"/>
          <w:szCs w:val="24"/>
          <w:highlight w:val="none"/>
        </w:rPr>
        <w:t>、根据《财政部司法部关于政府采购支持监狱企业发展有关问题的通知》（财库〔</w:t>
      </w:r>
      <w:r>
        <w:rPr>
          <w:rFonts w:ascii="Times New Roman" w:hAnsi="Times New Roman"/>
          <w:color w:val="auto"/>
          <w:sz w:val="24"/>
          <w:szCs w:val="24"/>
          <w:highlight w:val="none"/>
        </w:rPr>
        <w:t>2014</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68</w:t>
      </w:r>
      <w:r>
        <w:rPr>
          <w:rFonts w:hint="eastAsia" w:ascii="Times New Roman" w:hAnsi="Times New Roman"/>
          <w:color w:val="auto"/>
          <w:sz w:val="24"/>
          <w:szCs w:val="24"/>
          <w:highlight w:val="none"/>
        </w:rPr>
        <w:t>号）规定，监狱企业视同小型、微型企业。监狱企业参加政府采购活动时，应当提供由省级以上监狱管理局、戒毒管理局（含新疆生产建设兵团）出具的属于监狱企业的证明文件。</w:t>
      </w:r>
    </w:p>
    <w:p w14:paraId="081FD155">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40</w:t>
      </w:r>
      <w:r>
        <w:rPr>
          <w:rFonts w:hint="eastAsia" w:ascii="Times New Roman" w:hAnsi="Times New Roman"/>
          <w:color w:val="auto"/>
          <w:sz w:val="24"/>
          <w:szCs w:val="24"/>
          <w:highlight w:val="none"/>
        </w:rPr>
        <w:t>、根据《关于促进残疾人就业政府采购政策的通知》（财库</w:t>
      </w:r>
      <w:r>
        <w:rPr>
          <w:rFonts w:ascii="Times New Roman" w:hAnsi="Times New Roman"/>
          <w:color w:val="auto"/>
          <w:sz w:val="24"/>
          <w:szCs w:val="24"/>
          <w:highlight w:val="none"/>
        </w:rPr>
        <w:t>[2017]141</w:t>
      </w:r>
      <w:r>
        <w:rPr>
          <w:rFonts w:hint="eastAsia" w:ascii="Times New Roman" w:hAnsi="Times New Roman"/>
          <w:color w:val="auto"/>
          <w:sz w:val="24"/>
          <w:szCs w:val="24"/>
          <w:highlight w:val="none"/>
        </w:rPr>
        <w:t>号）规定，在政府采购活动中，残疾人福利性单位视同小型、微型企业。残疾人福利性单位参加政府采购活动时，提供《残疾人福利性单位声明函》。</w:t>
      </w:r>
    </w:p>
    <w:p w14:paraId="47AE6EAA">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41</w:t>
      </w:r>
      <w:r>
        <w:rPr>
          <w:rFonts w:hint="eastAsia" w:ascii="Times New Roman" w:hAnsi="Times New Roman"/>
          <w:color w:val="auto"/>
          <w:sz w:val="24"/>
          <w:szCs w:val="24"/>
          <w:highlight w:val="none"/>
        </w:rPr>
        <w:t>、按规定享受扶持政策获得政府采购合同的，小微企业不得将合同分包给大中型企业，中型企业不得将合同分包给大型企业。</w:t>
      </w:r>
    </w:p>
    <w:p w14:paraId="09D856DA">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42</w:t>
      </w:r>
      <w:r>
        <w:rPr>
          <w:rFonts w:hint="eastAsia" w:ascii="Times New Roman" w:hAnsi="Times New Roman"/>
          <w:color w:val="auto"/>
          <w:sz w:val="24"/>
          <w:szCs w:val="24"/>
          <w:highlight w:val="none"/>
        </w:rPr>
        <w:t>、供应商按照《政府采购促进中小企业发展管理办法》（财库﹝</w:t>
      </w:r>
      <w:r>
        <w:rPr>
          <w:rFonts w:ascii="Times New Roman" w:hAnsi="Times New Roman"/>
          <w:color w:val="auto"/>
          <w:sz w:val="24"/>
          <w:szCs w:val="24"/>
          <w:highlight w:val="none"/>
        </w:rPr>
        <w:t>2020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46</w:t>
      </w:r>
      <w:r>
        <w:rPr>
          <w:rFonts w:hint="eastAsia" w:ascii="Times New Roman" w:hAnsi="Times New Roman"/>
          <w:color w:val="auto"/>
          <w:sz w:val="24"/>
          <w:szCs w:val="24"/>
          <w:highlight w:val="none"/>
        </w:rPr>
        <w:t>号）规定提供声明函内容不实的，属于提供虚假材料谋取中标、成交，依照《中华人民共和国政府采购法》等国家有关规定追究相应责任。</w:t>
      </w:r>
    </w:p>
    <w:p w14:paraId="1590A4FE">
      <w:pPr>
        <w:pageBreakBefore/>
        <w:spacing w:line="360" w:lineRule="auto"/>
        <w:jc w:val="center"/>
        <w:outlineLvl w:val="0"/>
        <w:rPr>
          <w:rFonts w:asciiTheme="minorEastAsia" w:hAnsiTheme="minorEastAsia" w:eastAsiaTheme="minorEastAsia"/>
          <w:b/>
          <w:color w:val="auto"/>
          <w:sz w:val="36"/>
          <w:szCs w:val="36"/>
          <w:highlight w:val="none"/>
        </w:rPr>
      </w:pPr>
      <w:bookmarkStart w:id="76" w:name="_Toc3645"/>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Style w:val="55"/>
          <w:rFonts w:hint="eastAsia" w:asciiTheme="minorEastAsia" w:hAnsiTheme="minorEastAsia" w:eastAsiaTheme="minorEastAsia"/>
          <w:b/>
          <w:color w:val="auto"/>
          <w:sz w:val="32"/>
          <w:szCs w:val="32"/>
          <w:highlight w:val="none"/>
          <w:u w:val="none"/>
        </w:rPr>
        <w:t>第四部分 评标办法及评分标准</w:t>
      </w:r>
      <w:bookmarkEnd w:id="34"/>
      <w:r>
        <w:rPr>
          <w:rFonts w:asciiTheme="minorEastAsia" w:hAnsiTheme="minorEastAsia" w:eastAsiaTheme="minorEastAsia"/>
          <w:color w:val="auto"/>
          <w:highlight w:val="none"/>
        </w:rPr>
        <w:fldChar w:fldCharType="end"/>
      </w:r>
      <w:bookmarkEnd w:id="35"/>
      <w:bookmarkEnd w:id="36"/>
      <w:bookmarkEnd w:id="37"/>
      <w:bookmarkEnd w:id="38"/>
      <w:bookmarkEnd w:id="39"/>
      <w:bookmarkEnd w:id="40"/>
      <w:bookmarkEnd w:id="76"/>
    </w:p>
    <w:p w14:paraId="59FAE9F9">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一、</w:t>
      </w:r>
      <w:r>
        <w:rPr>
          <w:rFonts w:eastAsia="宋体" w:cs="Times New Roman" w:asciiTheme="minorEastAsia" w:hAnsiTheme="minorEastAsia"/>
          <w:color w:val="auto"/>
          <w:kern w:val="0"/>
          <w:sz w:val="24"/>
          <w:szCs w:val="24"/>
          <w:highlight w:val="none"/>
        </w:rPr>
        <w:t>本评标标准是对</w:t>
      </w:r>
      <w:r>
        <w:rPr>
          <w:rFonts w:hint="eastAsia" w:eastAsia="宋体" w:cs="Times New Roman" w:asciiTheme="minorEastAsia" w:hAnsiTheme="minorEastAsia"/>
          <w:color w:val="auto"/>
          <w:kern w:val="0"/>
          <w:sz w:val="24"/>
          <w:szCs w:val="24"/>
          <w:highlight w:val="none"/>
        </w:rPr>
        <w:t>《投标人须知》中</w:t>
      </w:r>
      <w:r>
        <w:rPr>
          <w:rFonts w:eastAsia="宋体" w:cs="Times New Roman" w:asciiTheme="minorEastAsia" w:hAnsiTheme="minorEastAsia"/>
          <w:color w:val="auto"/>
          <w:kern w:val="0"/>
          <w:sz w:val="24"/>
          <w:szCs w:val="24"/>
          <w:highlight w:val="none"/>
        </w:rPr>
        <w:t>的</w:t>
      </w:r>
      <w:r>
        <w:rPr>
          <w:rFonts w:hint="eastAsia" w:eastAsia="宋体" w:cs="Times New Roman" w:asciiTheme="minorEastAsia" w:hAnsiTheme="minorEastAsia"/>
          <w:color w:val="auto"/>
          <w:kern w:val="0"/>
          <w:sz w:val="24"/>
          <w:szCs w:val="24"/>
          <w:highlight w:val="none"/>
        </w:rPr>
        <w:t>“六、</w:t>
      </w:r>
      <w:r>
        <w:rPr>
          <w:rFonts w:eastAsia="宋体" w:cs="Times New Roman" w:asciiTheme="minorEastAsia" w:hAnsiTheme="minorEastAsia"/>
          <w:color w:val="auto"/>
          <w:kern w:val="0"/>
          <w:sz w:val="24"/>
          <w:szCs w:val="24"/>
          <w:highlight w:val="none"/>
        </w:rPr>
        <w:t>评标和定标</w:t>
      </w:r>
      <w:r>
        <w:rPr>
          <w:rFonts w:hint="eastAsia" w:eastAsia="宋体" w:cs="Times New Roman" w:asciiTheme="minorEastAsia" w:hAnsiTheme="minorEastAsia"/>
          <w:color w:val="auto"/>
          <w:kern w:val="0"/>
          <w:sz w:val="24"/>
          <w:szCs w:val="24"/>
          <w:highlight w:val="none"/>
        </w:rPr>
        <w:t>”</w:t>
      </w:r>
      <w:r>
        <w:rPr>
          <w:rFonts w:eastAsia="宋体" w:cs="Times New Roman" w:asciiTheme="minorEastAsia" w:hAnsiTheme="minorEastAsia"/>
          <w:color w:val="auto"/>
          <w:kern w:val="0"/>
          <w:sz w:val="24"/>
          <w:szCs w:val="24"/>
          <w:highlight w:val="none"/>
        </w:rPr>
        <w:t>的具体补充，如有不一致，以本办法为准。</w:t>
      </w:r>
    </w:p>
    <w:p w14:paraId="09EED9A4">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二、</w:t>
      </w:r>
      <w:r>
        <w:rPr>
          <w:rFonts w:eastAsia="宋体" w:cs="Times New Roman" w:asciiTheme="minorEastAsia" w:hAnsiTheme="minorEastAsia"/>
          <w:color w:val="auto"/>
          <w:kern w:val="0"/>
          <w:sz w:val="24"/>
          <w:szCs w:val="24"/>
          <w:highlight w:val="none"/>
        </w:rPr>
        <w:t>评标委员会按照</w:t>
      </w:r>
      <w:r>
        <w:rPr>
          <w:rFonts w:hint="eastAsia" w:eastAsia="宋体" w:cs="Times New Roman" w:asciiTheme="minorEastAsia" w:hAnsiTheme="minorEastAsia"/>
          <w:color w:val="auto"/>
          <w:kern w:val="0"/>
          <w:sz w:val="24"/>
          <w:szCs w:val="24"/>
          <w:highlight w:val="none"/>
        </w:rPr>
        <w:t>投“标文件须知</w:t>
      </w:r>
      <w:r>
        <w:rPr>
          <w:rFonts w:eastAsia="宋体" w:cs="Times New Roman" w:asciiTheme="minorEastAsia" w:hAnsiTheme="minorEastAsia"/>
          <w:color w:val="auto"/>
          <w:kern w:val="0"/>
          <w:sz w:val="24"/>
          <w:szCs w:val="24"/>
          <w:highlight w:val="none"/>
        </w:rPr>
        <w:t>中”中关于评标委员会、评标办法、评标程序和原则、推荐中标人、定标等规定和本标准开展评标工作。</w:t>
      </w:r>
    </w:p>
    <w:p w14:paraId="2B201670">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9098076">
      <w:pPr>
        <w:spacing w:line="360" w:lineRule="auto"/>
        <w:rPr>
          <w:rFonts w:hint="eastAsia" w:eastAsia="宋体" w:cs="Times New Roman" w:asciiTheme="minorEastAsia" w:hAnsiTheme="minorEastAsia"/>
          <w:color w:val="auto"/>
          <w:kern w:val="0"/>
          <w:sz w:val="24"/>
          <w:szCs w:val="24"/>
          <w:highlight w:val="none"/>
        </w:rPr>
      </w:pPr>
      <w:bookmarkStart w:id="77" w:name="_Toc30471"/>
      <w:bookmarkStart w:id="78" w:name="_Toc263083252"/>
      <w:bookmarkStart w:id="79" w:name="_Toc250837975"/>
      <w:r>
        <w:rPr>
          <w:rFonts w:hint="eastAsia" w:eastAsia="宋体" w:cs="Times New Roman" w:asciiTheme="minorEastAsia" w:hAnsiTheme="minorEastAsia"/>
          <w:color w:val="auto"/>
          <w:kern w:val="0"/>
          <w:sz w:val="24"/>
          <w:szCs w:val="24"/>
          <w:highlight w:val="none"/>
        </w:rPr>
        <w:t>三、</w:t>
      </w:r>
      <w:r>
        <w:rPr>
          <w:rFonts w:eastAsia="宋体" w:cs="Times New Roman" w:asciiTheme="minorEastAsia" w:hAnsiTheme="minorEastAsia"/>
          <w:color w:val="auto"/>
          <w:kern w:val="0"/>
          <w:sz w:val="24"/>
          <w:szCs w:val="24"/>
          <w:highlight w:val="none"/>
        </w:rPr>
        <w:t>评标办法</w:t>
      </w:r>
      <w:bookmarkEnd w:id="77"/>
      <w:bookmarkEnd w:id="78"/>
    </w:p>
    <w:p w14:paraId="4C91E411">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本次采购招标项目选用：综合评分法</w:t>
      </w:r>
      <w:bookmarkEnd w:id="79"/>
      <w:bookmarkStart w:id="80" w:name="_Toc263083253"/>
      <w:bookmarkStart w:id="81" w:name="_Toc250837976"/>
      <w:bookmarkStart w:id="82" w:name="_Toc5897"/>
      <w:r>
        <w:rPr>
          <w:rFonts w:hint="eastAsia" w:eastAsia="宋体" w:cs="Times New Roman" w:asciiTheme="minorEastAsia" w:hAnsiTheme="minorEastAsia"/>
          <w:color w:val="auto"/>
          <w:kern w:val="0"/>
          <w:sz w:val="24"/>
          <w:szCs w:val="24"/>
          <w:highlight w:val="none"/>
        </w:rPr>
        <w:t>。</w:t>
      </w:r>
    </w:p>
    <w:p w14:paraId="13E738AB">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四、</w:t>
      </w:r>
      <w:r>
        <w:rPr>
          <w:rFonts w:eastAsia="宋体" w:cs="Times New Roman" w:asciiTheme="minorEastAsia" w:hAnsiTheme="minorEastAsia"/>
          <w:color w:val="auto"/>
          <w:kern w:val="0"/>
          <w:sz w:val="24"/>
          <w:szCs w:val="24"/>
          <w:highlight w:val="none"/>
        </w:rPr>
        <w:t>评标细则</w:t>
      </w:r>
      <w:bookmarkEnd w:id="80"/>
      <w:bookmarkEnd w:id="81"/>
      <w:bookmarkEnd w:id="82"/>
    </w:p>
    <w:p w14:paraId="2875BF74">
      <w:pPr>
        <w:spacing w:line="360" w:lineRule="auto"/>
        <w:ind w:firstLine="480" w:firstLineChars="200"/>
        <w:rPr>
          <w:rFonts w:hint="eastAsia" w:eastAsia="宋体" w:cs="Times New Roman" w:asciiTheme="minorEastAsia" w:hAnsiTheme="minorEastAsia"/>
          <w:color w:val="auto"/>
          <w:kern w:val="0"/>
          <w:sz w:val="24"/>
          <w:szCs w:val="24"/>
          <w:highlight w:val="none"/>
        </w:rPr>
      </w:pPr>
      <w:bookmarkStart w:id="83" w:name="_Toc246663002"/>
      <w:bookmarkStart w:id="84" w:name="_Toc15854"/>
      <w:bookmarkStart w:id="85" w:name="_Toc263083254"/>
      <w:bookmarkStart w:id="86" w:name="_Toc202897570"/>
      <w:bookmarkStart w:id="87" w:name="_Toc471938831"/>
      <w:bookmarkStart w:id="88" w:name="_Toc243312838"/>
      <w:bookmarkStart w:id="89" w:name="_Toc208222299"/>
      <w:bookmarkStart w:id="90" w:name="_Toc203406683"/>
      <w:bookmarkStart w:id="91" w:name="_Toc250837977"/>
      <w:r>
        <w:rPr>
          <w:rFonts w:eastAsia="宋体" w:cs="Times New Roman" w:asciiTheme="minorEastAsia" w:hAnsiTheme="minorEastAsia"/>
          <w:color w:val="auto"/>
          <w:kern w:val="0"/>
          <w:sz w:val="24"/>
          <w:szCs w:val="24"/>
          <w:highlight w:val="none"/>
        </w:rPr>
        <w:t>1、对初步审查（含资格审查、符合性审查）合格者进行评分。</w:t>
      </w:r>
    </w:p>
    <w:p w14:paraId="483E9BFB">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2、每位评委根据《评分标准》独立逐栏打分，每栏分值不得超出规定的分值范围。</w:t>
      </w:r>
    </w:p>
    <w:p w14:paraId="24F2DA08">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3、价格评审基准价格与价格评审：按照“评分标准”中评审得分公式计算，以四舍五入方法整合到小数点后二位。</w:t>
      </w:r>
    </w:p>
    <w:p w14:paraId="13A32353">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4、最终得分：各评委技术商务分的算术平均值+投标价格分=最终得分，以四舍五入法整合到小数点后二位。</w:t>
      </w:r>
    </w:p>
    <w:p w14:paraId="0DB6F839">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5、评价排序：按评审后</w:t>
      </w:r>
      <w:r>
        <w:rPr>
          <w:rFonts w:hint="eastAsia" w:cs="Times New Roman" w:asciiTheme="minorEastAsia" w:hAnsiTheme="minorEastAsia"/>
          <w:color w:val="auto"/>
          <w:kern w:val="0"/>
          <w:sz w:val="24"/>
          <w:szCs w:val="24"/>
          <w:highlight w:val="none"/>
          <w:lang w:val="en-US" w:eastAsia="zh-CN"/>
        </w:rPr>
        <w:t>最终</w:t>
      </w:r>
      <w:r>
        <w:rPr>
          <w:rFonts w:eastAsia="宋体" w:cs="Times New Roman" w:asciiTheme="minorEastAsia" w:hAnsiTheme="minorEastAsia"/>
          <w:color w:val="auto"/>
          <w:kern w:val="0"/>
          <w:sz w:val="24"/>
          <w:szCs w:val="24"/>
          <w:highlight w:val="none"/>
        </w:rPr>
        <w:t>得分由高到低顺序排列。</w:t>
      </w:r>
      <w:r>
        <w:rPr>
          <w:rFonts w:hint="eastAsia" w:cs="Times New Roman" w:asciiTheme="minorEastAsia" w:hAnsiTheme="minorEastAsia"/>
          <w:color w:val="auto"/>
          <w:kern w:val="0"/>
          <w:sz w:val="24"/>
          <w:szCs w:val="24"/>
          <w:highlight w:val="none"/>
          <w:lang w:val="en-US" w:eastAsia="zh-CN"/>
        </w:rPr>
        <w:t>最终</w:t>
      </w:r>
      <w:r>
        <w:rPr>
          <w:rFonts w:eastAsia="宋体" w:cs="Times New Roman" w:asciiTheme="minorEastAsia" w:hAnsiTheme="minorEastAsia"/>
          <w:color w:val="auto"/>
          <w:kern w:val="0"/>
          <w:sz w:val="24"/>
          <w:szCs w:val="24"/>
          <w:highlight w:val="none"/>
        </w:rPr>
        <w:t>得分相同的，按投标报价由低到高顺序排列。</w:t>
      </w:r>
      <w:r>
        <w:rPr>
          <w:rFonts w:hint="eastAsia" w:cs="Times New Roman" w:asciiTheme="minorEastAsia" w:hAnsiTheme="minorEastAsia"/>
          <w:color w:val="auto"/>
          <w:kern w:val="0"/>
          <w:sz w:val="24"/>
          <w:szCs w:val="24"/>
          <w:highlight w:val="none"/>
          <w:lang w:val="en-US" w:eastAsia="zh-CN"/>
        </w:rPr>
        <w:t>最终</w:t>
      </w:r>
      <w:r>
        <w:rPr>
          <w:rFonts w:eastAsia="宋体" w:cs="Times New Roman" w:asciiTheme="minorEastAsia" w:hAnsiTheme="minorEastAsia"/>
          <w:color w:val="auto"/>
          <w:kern w:val="0"/>
          <w:sz w:val="24"/>
          <w:szCs w:val="24"/>
          <w:highlight w:val="none"/>
        </w:rPr>
        <w:t>得分且投标报价相同的并列</w:t>
      </w:r>
      <w:bookmarkEnd w:id="83"/>
      <w:bookmarkEnd w:id="84"/>
      <w:bookmarkEnd w:id="85"/>
      <w:bookmarkEnd w:id="86"/>
      <w:bookmarkEnd w:id="87"/>
      <w:bookmarkEnd w:id="88"/>
      <w:bookmarkEnd w:id="89"/>
      <w:bookmarkEnd w:id="90"/>
      <w:bookmarkEnd w:id="91"/>
      <w:r>
        <w:rPr>
          <w:rFonts w:hint="eastAsia" w:eastAsia="宋体" w:cs="Times New Roman" w:asciiTheme="minorEastAsia" w:hAnsiTheme="minorEastAsia"/>
          <w:color w:val="auto"/>
          <w:kern w:val="0"/>
          <w:sz w:val="24"/>
          <w:szCs w:val="24"/>
          <w:highlight w:val="none"/>
        </w:rPr>
        <w:t>，抽签决定中标候选人。</w:t>
      </w:r>
    </w:p>
    <w:p w14:paraId="29296FDC">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6、其他说明</w:t>
      </w:r>
    </w:p>
    <w:p w14:paraId="35B50332">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（1）</w:t>
      </w:r>
      <w:r>
        <w:rPr>
          <w:rFonts w:eastAsia="宋体" w:cs="Times New Roman" w:asciiTheme="minorEastAsia" w:hAnsiTheme="minorEastAsia"/>
          <w:color w:val="auto"/>
          <w:kern w:val="0"/>
          <w:sz w:val="24"/>
          <w:szCs w:val="24"/>
          <w:highlight w:val="none"/>
        </w:rPr>
        <w:t>有效投标：通过初步审查且投标报价符合评审范围。</w:t>
      </w:r>
    </w:p>
    <w:p w14:paraId="7C485872">
      <w:pPr>
        <w:spacing w:line="360" w:lineRule="auto"/>
        <w:ind w:firstLine="482" w:firstLineChars="200"/>
        <w:rPr>
          <w:rFonts w:hint="eastAsia" w:eastAsia="宋体" w:cs="Times New Roman" w:asciiTheme="minorEastAsia" w:hAnsiTheme="minorEastAsia"/>
          <w:b/>
          <w:color w:val="auto"/>
          <w:kern w:val="0"/>
          <w:sz w:val="24"/>
          <w:szCs w:val="24"/>
          <w:highlight w:val="none"/>
        </w:rPr>
      </w:pPr>
      <w:r>
        <w:rPr>
          <w:rFonts w:hint="eastAsia" w:eastAsia="宋体" w:cs="Times New Roman" w:asciiTheme="minorEastAsia" w:hAnsiTheme="minorEastAsia"/>
          <w:b/>
          <w:color w:val="auto"/>
          <w:kern w:val="0"/>
          <w:sz w:val="24"/>
          <w:szCs w:val="24"/>
          <w:highlight w:val="none"/>
        </w:rPr>
        <w:t>（2）本次采购为非专门面向中小企业，本次评标将对中小企业声明函满足采购文件要求的小型和微型企业产品的价格（包括监狱企业）给予10%的扣除，用扣除后的价格参与评审。</w:t>
      </w:r>
    </w:p>
    <w:p w14:paraId="7E7611F5">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（3）</w:t>
      </w:r>
      <w:r>
        <w:rPr>
          <w:rFonts w:eastAsia="宋体" w:cs="Times New Roman" w:asciiTheme="minorEastAsia" w:hAnsiTheme="minorEastAsia"/>
          <w:color w:val="auto"/>
          <w:kern w:val="0"/>
          <w:sz w:val="24"/>
          <w:szCs w:val="24"/>
          <w:highlight w:val="none"/>
        </w:rPr>
        <w:t>如果中标人自动放弃中标资格或因质疑或是投诉被取消中标资格的，可视情况报经财政部门同意后根据评审结果按顺序由排在后面的候选供应商递补，以此类推。</w:t>
      </w:r>
    </w:p>
    <w:p w14:paraId="235A915D">
      <w:pPr>
        <w:snapToGrid w:val="0"/>
        <w:spacing w:afterLines="50"/>
        <w:ind w:firstLine="562"/>
        <w:jc w:val="center"/>
        <w:rPr>
          <w:b/>
          <w:color w:val="auto"/>
          <w:sz w:val="28"/>
          <w:szCs w:val="28"/>
          <w:highlight w:val="none"/>
        </w:rPr>
      </w:pPr>
      <w:r>
        <w:rPr>
          <w:b/>
          <w:color w:val="auto"/>
          <w:sz w:val="28"/>
          <w:szCs w:val="28"/>
          <w:highlight w:val="none"/>
        </w:rPr>
        <w:t>评分标准</w:t>
      </w:r>
    </w:p>
    <w:tbl>
      <w:tblPr>
        <w:tblStyle w:val="4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58"/>
        <w:gridCol w:w="5921"/>
        <w:gridCol w:w="699"/>
      </w:tblGrid>
      <w:tr w14:paraId="18D5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41" w:type="dxa"/>
            <w:shd w:val="clear" w:color="auto" w:fill="DCD8C2" w:themeFill="background2" w:themeFillShade="E5"/>
            <w:vAlign w:val="center"/>
          </w:tcPr>
          <w:p w14:paraId="57C72749">
            <w:pPr>
              <w:keepNext w:val="0"/>
              <w:keepLines w:val="0"/>
              <w:suppressLineNumbers w:val="0"/>
              <w:adjustRightInd w:val="0"/>
              <w:spacing w:before="0" w:beforeAutospacing="0" w:after="100" w:afterAutospacing="1" w:line="44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58" w:type="dxa"/>
            <w:shd w:val="clear" w:color="auto" w:fill="DCD8C2" w:themeFill="background2" w:themeFillShade="E5"/>
            <w:vAlign w:val="center"/>
          </w:tcPr>
          <w:p w14:paraId="1FFFA790">
            <w:pPr>
              <w:keepNext w:val="0"/>
              <w:keepLines w:val="0"/>
              <w:suppressLineNumbers w:val="0"/>
              <w:adjustRightInd w:val="0"/>
              <w:spacing w:before="0" w:beforeAutospacing="0" w:after="100" w:afterAutospacing="1" w:line="44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5921" w:type="dxa"/>
            <w:shd w:val="clear" w:color="auto" w:fill="DCD8C2" w:themeFill="background2" w:themeFillShade="E5"/>
            <w:vAlign w:val="center"/>
          </w:tcPr>
          <w:p w14:paraId="40E36E41">
            <w:pPr>
              <w:keepNext w:val="0"/>
              <w:keepLines w:val="0"/>
              <w:suppressLineNumbers w:val="0"/>
              <w:adjustRightInd w:val="0"/>
              <w:spacing w:before="0" w:beforeAutospacing="0" w:after="100" w:afterAutospacing="1" w:line="44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c>
          <w:tcPr>
            <w:tcW w:w="699" w:type="dxa"/>
            <w:shd w:val="clear" w:color="auto" w:fill="DCD8C2" w:themeFill="background2" w:themeFillShade="E5"/>
            <w:vAlign w:val="center"/>
          </w:tcPr>
          <w:p w14:paraId="0904EECF">
            <w:pPr>
              <w:keepNext w:val="0"/>
              <w:keepLines w:val="0"/>
              <w:suppressLineNumbers w:val="0"/>
              <w:adjustRightInd w:val="0"/>
              <w:spacing w:before="0" w:beforeAutospacing="0" w:after="100" w:afterAutospacing="1" w:line="44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0A00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641" w:type="dxa"/>
            <w:vAlign w:val="center"/>
          </w:tcPr>
          <w:p w14:paraId="2F3DFF6E">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1</w:t>
            </w:r>
          </w:p>
        </w:tc>
        <w:tc>
          <w:tcPr>
            <w:tcW w:w="1258" w:type="dxa"/>
            <w:vAlign w:val="center"/>
          </w:tcPr>
          <w:p w14:paraId="51607075">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技术性能（4</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p>
        </w:tc>
        <w:tc>
          <w:tcPr>
            <w:tcW w:w="5921" w:type="dxa"/>
            <w:vAlign w:val="center"/>
          </w:tcPr>
          <w:p w14:paraId="29361A8A">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专家结合投标产品各项技术参数与采购文件要求的偏离情况综合打分，每</w:t>
            </w:r>
            <w:r>
              <w:rPr>
                <w:rFonts w:hint="eastAsia" w:ascii="宋体" w:hAnsi="宋体" w:eastAsia="宋体" w:cs="宋体"/>
                <w:color w:val="auto"/>
                <w:kern w:val="0"/>
                <w:sz w:val="24"/>
                <w:szCs w:val="24"/>
                <w:highlight w:val="none"/>
                <w:lang w:val="en-US" w:eastAsia="zh-CN"/>
              </w:rPr>
              <w:t>1条带★号的技术参数不满足招标需求的扣2分，每1条一般参数不满足招标需求的扣1分，</w:t>
            </w:r>
            <w:r>
              <w:rPr>
                <w:rFonts w:hint="eastAsia" w:ascii="宋体" w:hAnsi="宋体" w:cs="宋体"/>
                <w:color w:val="auto"/>
                <w:kern w:val="0"/>
                <w:sz w:val="24"/>
                <w:highlight w:val="none"/>
                <w:lang w:val="en-US" w:eastAsia="zh-CN"/>
              </w:rPr>
              <w:t>,</w:t>
            </w:r>
            <w:r>
              <w:rPr>
                <w:rFonts w:hint="eastAsia" w:ascii="宋体" w:hAnsi="宋体" w:eastAsia="宋体" w:cs="宋体"/>
                <w:color w:val="auto"/>
                <w:sz w:val="24"/>
                <w:szCs w:val="24"/>
                <w:highlight w:val="none"/>
                <w:lang w:eastAsia="zh-CN"/>
              </w:rPr>
              <w:t>扣至零分及以下的做无效标认定</w:t>
            </w:r>
            <w:r>
              <w:rPr>
                <w:rFonts w:hint="eastAsia" w:ascii="宋体" w:hAnsi="宋体" w:eastAsia="宋体" w:cs="宋体"/>
                <w:color w:val="auto"/>
                <w:kern w:val="0"/>
                <w:sz w:val="24"/>
                <w:szCs w:val="24"/>
                <w:highlight w:val="none"/>
                <w:lang w:val="en-US" w:eastAsia="zh-CN"/>
              </w:rPr>
              <w:t>。</w:t>
            </w:r>
          </w:p>
          <w:p w14:paraId="55AC489D">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zh-CN"/>
              </w:rPr>
              <w:t>注：标“★”的参数需要在投标文件中提供检测报告或产品彩页或官网截图或软件截图</w:t>
            </w:r>
            <w:r>
              <w:rPr>
                <w:rFonts w:hint="eastAsia" w:ascii="宋体" w:hAnsi="宋体" w:cs="宋体"/>
                <w:b/>
                <w:bCs/>
                <w:color w:val="auto"/>
                <w:kern w:val="0"/>
                <w:sz w:val="24"/>
                <w:szCs w:val="24"/>
                <w:highlight w:val="none"/>
                <w:lang w:val="en-US" w:eastAsia="zh-CN"/>
              </w:rPr>
              <w:t>等</w:t>
            </w:r>
            <w:r>
              <w:rPr>
                <w:rFonts w:hint="eastAsia" w:ascii="宋体" w:hAnsi="宋体" w:eastAsia="宋体" w:cs="宋体"/>
                <w:b/>
                <w:bCs/>
                <w:color w:val="auto"/>
                <w:kern w:val="0"/>
                <w:sz w:val="24"/>
                <w:szCs w:val="24"/>
                <w:highlight w:val="none"/>
                <w:lang w:val="zh-CN"/>
              </w:rPr>
              <w:t>证明</w:t>
            </w:r>
            <w:r>
              <w:rPr>
                <w:rFonts w:hint="eastAsia" w:ascii="宋体" w:hAnsi="宋体" w:cs="宋体"/>
                <w:b/>
                <w:bCs/>
                <w:color w:val="auto"/>
                <w:kern w:val="0"/>
                <w:sz w:val="24"/>
                <w:szCs w:val="24"/>
                <w:highlight w:val="none"/>
                <w:lang w:val="en-US" w:eastAsia="zh-CN"/>
              </w:rPr>
              <w:t>材料</w:t>
            </w:r>
            <w:r>
              <w:rPr>
                <w:rFonts w:hint="eastAsia" w:ascii="宋体" w:hAnsi="宋体" w:eastAsia="宋体" w:cs="宋体"/>
                <w:b/>
                <w:bCs/>
                <w:color w:val="auto"/>
                <w:kern w:val="0"/>
                <w:sz w:val="24"/>
                <w:szCs w:val="24"/>
                <w:highlight w:val="none"/>
                <w:lang w:val="zh-CN"/>
              </w:rPr>
              <w:t>，未提供将视为负偏离</w:t>
            </w:r>
            <w:r>
              <w:rPr>
                <w:rFonts w:hint="eastAsia" w:ascii="宋体" w:hAnsi="宋体" w:cs="宋体"/>
                <w:b/>
                <w:bCs/>
                <w:color w:val="auto"/>
                <w:kern w:val="0"/>
                <w:sz w:val="24"/>
                <w:szCs w:val="24"/>
                <w:highlight w:val="none"/>
                <w:lang w:val="zh-CN"/>
              </w:rPr>
              <w:t>；</w:t>
            </w:r>
            <w:r>
              <w:rPr>
                <w:rFonts w:hint="eastAsia" w:ascii="宋体" w:hAnsi="宋体" w:cs="宋体"/>
                <w:b/>
                <w:bCs/>
                <w:color w:val="auto"/>
                <w:kern w:val="0"/>
                <w:sz w:val="24"/>
                <w:szCs w:val="24"/>
                <w:highlight w:val="none"/>
                <w:lang w:val="en-US" w:eastAsia="zh-CN"/>
              </w:rPr>
              <w:t>技术需求</w:t>
            </w:r>
            <w:r>
              <w:rPr>
                <w:rFonts w:hint="eastAsia" w:ascii="宋体" w:hAnsi="宋体" w:eastAsia="宋体" w:cs="宋体"/>
                <w:b/>
                <w:bCs/>
                <w:color w:val="auto"/>
                <w:kern w:val="0"/>
                <w:sz w:val="24"/>
                <w:szCs w:val="24"/>
                <w:highlight w:val="none"/>
                <w:lang w:val="zh-CN"/>
              </w:rPr>
              <w:t>参数中明确需提供</w:t>
            </w:r>
            <w:r>
              <w:rPr>
                <w:rFonts w:hint="eastAsia" w:ascii="宋体" w:hAnsi="宋体" w:eastAsia="宋体" w:cs="宋体"/>
                <w:b/>
                <w:bCs/>
                <w:color w:val="auto"/>
                <w:kern w:val="0"/>
                <w:sz w:val="24"/>
                <w:szCs w:val="24"/>
                <w:highlight w:val="none"/>
              </w:rPr>
              <w:t>检测报告或产品彩页或官网截图或软件截图</w:t>
            </w:r>
            <w:r>
              <w:rPr>
                <w:rFonts w:hint="eastAsia" w:ascii="宋体" w:hAnsi="宋体" w:eastAsia="宋体" w:cs="宋体"/>
                <w:b/>
                <w:bCs/>
                <w:color w:val="auto"/>
                <w:kern w:val="0"/>
                <w:sz w:val="24"/>
                <w:szCs w:val="24"/>
                <w:highlight w:val="none"/>
                <w:lang w:val="zh-CN"/>
              </w:rPr>
              <w:t>作为证明材料的，未提供将视为负偏离。</w:t>
            </w:r>
          </w:p>
        </w:tc>
        <w:tc>
          <w:tcPr>
            <w:tcW w:w="699" w:type="dxa"/>
            <w:vAlign w:val="center"/>
          </w:tcPr>
          <w:p w14:paraId="0E058CB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分</w:t>
            </w:r>
          </w:p>
        </w:tc>
      </w:tr>
      <w:tr w14:paraId="0DA3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641" w:type="dxa"/>
            <w:vAlign w:val="center"/>
          </w:tcPr>
          <w:p w14:paraId="5323117F">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2</w:t>
            </w:r>
          </w:p>
        </w:tc>
        <w:tc>
          <w:tcPr>
            <w:tcW w:w="1258" w:type="dxa"/>
            <w:vAlign w:val="center"/>
          </w:tcPr>
          <w:p w14:paraId="3B179555">
            <w:pPr>
              <w:keepNext w:val="0"/>
              <w:keepLines w:val="0"/>
              <w:suppressLineNumbers w:val="0"/>
              <w:spacing w:before="0" w:beforeAutospacing="0" w:after="0" w:afterAutospacing="0" w:line="36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供货及验收方案</w:t>
            </w:r>
          </w:p>
          <w:p w14:paraId="7ACA91E5">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p>
        </w:tc>
        <w:tc>
          <w:tcPr>
            <w:tcW w:w="5921" w:type="dxa"/>
            <w:vAlign w:val="center"/>
          </w:tcPr>
          <w:p w14:paraId="381DF3D4">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根据投标人针对本次采购货物供货、验收方案进行评分：</w:t>
            </w:r>
          </w:p>
          <w:p w14:paraId="73147BDA">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（1）供货方案内容齐全，包含了招标需求中的全部内容，对具体的验收方案作出了详细、明确的阐述，且项目方案贴合本项目实际情况的得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3509A6AC">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（2）供货方案内容较齐全，包含了招标需求中的大部分内容，对具体的验收方案作出了详细、明确的阐述，但方案没有针对本项目实际情况的得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3AD91F8E">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（3）供货方案内容不够齐全，缺少内容，验收方案阐述不明确的得1分；</w:t>
            </w:r>
          </w:p>
          <w:p w14:paraId="0CA40D16">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（4）未提及此项的不得分。</w:t>
            </w:r>
          </w:p>
        </w:tc>
        <w:tc>
          <w:tcPr>
            <w:tcW w:w="699" w:type="dxa"/>
            <w:vAlign w:val="center"/>
          </w:tcPr>
          <w:p w14:paraId="2607FC5E">
            <w:pPr>
              <w:keepNext w:val="0"/>
              <w:keepLines w:val="0"/>
              <w:suppressLineNumbers w:val="0"/>
              <w:adjustRightInd w:val="0"/>
              <w:spacing w:before="0" w:beforeAutospacing="0" w:after="100" w:afterAutospacing="1" w:line="360" w:lineRule="exact"/>
              <w:ind w:left="0" w:right="0"/>
              <w:jc w:val="center"/>
              <w:rPr>
                <w:rFonts w:hint="eastAsia" w:ascii="宋体" w:hAnsi="宋体" w:eastAsia="宋体" w:cs="宋体"/>
                <w:color w:val="auto"/>
                <w:sz w:val="24"/>
                <w:szCs w:val="24"/>
                <w:highlight w:val="none"/>
              </w:rPr>
            </w:pPr>
            <w:r>
              <w:rPr>
                <w:rFonts w:hint="eastAsia" w:ascii="宋体" w:hAnsi="宋体" w:cs="宋体"/>
                <w:color w:val="0000FF"/>
                <w:sz w:val="24"/>
                <w:szCs w:val="24"/>
                <w:highlight w:val="none"/>
                <w:lang w:val="en-US" w:eastAsia="zh-CN"/>
              </w:rPr>
              <w:t>5</w:t>
            </w:r>
            <w:r>
              <w:rPr>
                <w:rFonts w:hint="eastAsia" w:ascii="宋体" w:hAnsi="宋体" w:eastAsia="宋体" w:cs="宋体"/>
                <w:color w:val="0000FF"/>
                <w:sz w:val="24"/>
                <w:szCs w:val="24"/>
                <w:highlight w:val="none"/>
              </w:rPr>
              <w:t>分</w:t>
            </w:r>
          </w:p>
        </w:tc>
      </w:tr>
      <w:tr w14:paraId="5DA0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41" w:type="dxa"/>
            <w:vAlign w:val="center"/>
          </w:tcPr>
          <w:p w14:paraId="24617437">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3</w:t>
            </w:r>
          </w:p>
        </w:tc>
        <w:tc>
          <w:tcPr>
            <w:tcW w:w="1258" w:type="dxa"/>
            <w:vAlign w:val="center"/>
          </w:tcPr>
          <w:p w14:paraId="0185D57A">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安装调试方案</w:t>
            </w:r>
          </w:p>
          <w:p w14:paraId="224E1A96">
            <w:pPr>
              <w:keepNext w:val="0"/>
              <w:keepLines w:val="0"/>
              <w:suppressLineNumbers w:val="0"/>
              <w:spacing w:before="0" w:beforeAutospacing="0" w:after="0" w:afterAutospacing="0" w:line="360" w:lineRule="exact"/>
              <w:ind w:left="0" w:right="0"/>
              <w:jc w:val="center"/>
              <w:rPr>
                <w:rFonts w:hint="eastAsia" w:ascii="宋体" w:hAnsi="宋体" w:cs="宋体" w:eastAsiaTheme="minorEastAsia"/>
                <w:b/>
                <w:color w:val="auto"/>
                <w:kern w:val="0"/>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3分</w:t>
            </w:r>
            <w:r>
              <w:rPr>
                <w:rFonts w:hint="eastAsia" w:asciiTheme="minorEastAsia" w:hAnsiTheme="minorEastAsia" w:eastAsiaTheme="minorEastAsia" w:cstheme="minorEastAsia"/>
                <w:b/>
                <w:bCs/>
                <w:color w:val="auto"/>
                <w:sz w:val="24"/>
                <w:szCs w:val="24"/>
                <w:highlight w:val="none"/>
                <w:lang w:eastAsia="zh-CN"/>
              </w:rPr>
              <w:t>）</w:t>
            </w:r>
          </w:p>
        </w:tc>
        <w:tc>
          <w:tcPr>
            <w:tcW w:w="5921" w:type="dxa"/>
            <w:vAlign w:val="center"/>
          </w:tcPr>
          <w:p w14:paraId="35EED3DC">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根据投标人提供的</w:t>
            </w:r>
            <w:r>
              <w:rPr>
                <w:rFonts w:hint="eastAsia" w:asciiTheme="minorEastAsia" w:hAnsiTheme="minorEastAsia" w:eastAsiaTheme="minorEastAsia" w:cstheme="minorEastAsia"/>
                <w:bCs/>
                <w:color w:val="auto"/>
                <w:kern w:val="0"/>
                <w:sz w:val="24"/>
                <w:szCs w:val="24"/>
                <w:highlight w:val="none"/>
              </w:rPr>
              <w:t>安装调试方案，内容包含但不限于以下要点：安装方法、安装人员配置、调试方法、开箱调试方式。评委根据内容进行评议：</w:t>
            </w:r>
          </w:p>
          <w:p w14:paraId="2E19BE3E">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安装调试方案</w:t>
            </w:r>
            <w:r>
              <w:rPr>
                <w:rFonts w:hint="eastAsia" w:asciiTheme="minorEastAsia" w:hAnsiTheme="minorEastAsia" w:eastAsiaTheme="minorEastAsia" w:cstheme="minorEastAsia"/>
                <w:bCs/>
                <w:color w:val="auto"/>
                <w:sz w:val="24"/>
                <w:szCs w:val="24"/>
                <w:highlight w:val="none"/>
                <w:lang w:val="en-US" w:eastAsia="zh-CN"/>
              </w:rPr>
              <w:t>完整，</w:t>
            </w:r>
            <w:r>
              <w:rPr>
                <w:rFonts w:hint="eastAsia" w:asciiTheme="minorEastAsia" w:hAnsiTheme="minorEastAsia" w:eastAsiaTheme="minorEastAsia" w:cstheme="minorEastAsia"/>
                <w:bCs/>
                <w:color w:val="auto"/>
                <w:sz w:val="24"/>
                <w:szCs w:val="24"/>
                <w:highlight w:val="none"/>
              </w:rPr>
              <w:t>安装方法得当、安装人员配置贴合实际需求、调试方法科学明确、开箱调试方式科学，能确保产品正常安装并通过验收的得</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分；</w:t>
            </w:r>
          </w:p>
          <w:p w14:paraId="36AFF0BA">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安装调试方案中涉及安装方法、安装人员配置、调试方法、开箱调试方式，但内容笼统细节不完善的得</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分；</w:t>
            </w:r>
          </w:p>
          <w:p w14:paraId="1B4AC478">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安装调试方案不完整，实际操作有无法保证产品正常安装风险的得</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分；</w:t>
            </w:r>
          </w:p>
          <w:p w14:paraId="3B29995D">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lang w:val="en-US" w:eastAsia="zh-CN" w:bidi="ar"/>
              </w:rPr>
              <w:t>4</w:t>
            </w: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rPr>
              <w:t>未提供相应内容</w:t>
            </w:r>
            <w:r>
              <w:rPr>
                <w:rFonts w:hint="eastAsia" w:asciiTheme="minorEastAsia" w:hAnsiTheme="minorEastAsia" w:eastAsiaTheme="minorEastAsia" w:cstheme="minorEastAsia"/>
                <w:bCs/>
                <w:color w:val="auto"/>
                <w:sz w:val="24"/>
                <w:szCs w:val="24"/>
                <w:highlight w:val="none"/>
                <w:lang w:eastAsia="zh-CN"/>
              </w:rPr>
              <w:t>或提供的内容完全不符合本项目实际需求</w:t>
            </w:r>
            <w:r>
              <w:rPr>
                <w:rFonts w:hint="eastAsia" w:asciiTheme="minorEastAsia" w:hAnsiTheme="minorEastAsia" w:eastAsiaTheme="minorEastAsia" w:cstheme="minorEastAsia"/>
                <w:bCs/>
                <w:color w:val="auto"/>
                <w:sz w:val="24"/>
                <w:szCs w:val="24"/>
                <w:highlight w:val="none"/>
              </w:rPr>
              <w:t>的不得分。</w:t>
            </w:r>
          </w:p>
        </w:tc>
        <w:tc>
          <w:tcPr>
            <w:tcW w:w="699" w:type="dxa"/>
            <w:vAlign w:val="center"/>
          </w:tcPr>
          <w:p w14:paraId="4BD8751B">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FF"/>
                <w:sz w:val="24"/>
                <w:szCs w:val="24"/>
                <w:highlight w:val="none"/>
              </w:rPr>
              <w:t>3分</w:t>
            </w:r>
          </w:p>
        </w:tc>
      </w:tr>
      <w:tr w14:paraId="7362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41" w:type="dxa"/>
            <w:vAlign w:val="center"/>
          </w:tcPr>
          <w:p w14:paraId="6DC4AA34">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4</w:t>
            </w:r>
          </w:p>
        </w:tc>
        <w:tc>
          <w:tcPr>
            <w:tcW w:w="1258" w:type="dxa"/>
            <w:vAlign w:val="center"/>
          </w:tcPr>
          <w:p w14:paraId="634F012B">
            <w:pPr>
              <w:keepNext w:val="0"/>
              <w:keepLines w:val="0"/>
              <w:suppressLineNumbers w:val="0"/>
              <w:spacing w:before="0" w:beforeAutospacing="0" w:after="0" w:afterAutospacing="0" w:line="36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同类产品           销售业绩</w:t>
            </w:r>
          </w:p>
          <w:p w14:paraId="67CD7445">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tc>
        <w:tc>
          <w:tcPr>
            <w:tcW w:w="5921" w:type="dxa"/>
            <w:vAlign w:val="center"/>
          </w:tcPr>
          <w:p w14:paraId="756C0E9A">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月1日以来同类项目的“合同+</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评价（至少良好）”或“合同+验收报告”，每提供一份有效证明材料得1分，最高得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36289F21">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需提供相关证明材料原件扫描件并加盖电子公章，不提供不得分。</w:t>
            </w:r>
          </w:p>
        </w:tc>
        <w:tc>
          <w:tcPr>
            <w:tcW w:w="699" w:type="dxa"/>
            <w:vAlign w:val="center"/>
          </w:tcPr>
          <w:p w14:paraId="33AADB77">
            <w:pPr>
              <w:keepNext w:val="0"/>
              <w:keepLines w:val="0"/>
              <w:suppressLineNumbers w:val="0"/>
              <w:adjustRightInd w:val="0"/>
              <w:spacing w:before="0" w:beforeAutospacing="0" w:after="100" w:afterAutospacing="1" w:line="36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42F8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restart"/>
            <w:vAlign w:val="center"/>
          </w:tcPr>
          <w:p w14:paraId="2E6FD993">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5</w:t>
            </w:r>
          </w:p>
        </w:tc>
        <w:tc>
          <w:tcPr>
            <w:tcW w:w="1258" w:type="dxa"/>
            <w:vMerge w:val="restart"/>
            <w:vAlign w:val="center"/>
          </w:tcPr>
          <w:p w14:paraId="3F57615C">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售后服务方案</w:t>
            </w:r>
          </w:p>
          <w:p w14:paraId="492C2051">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ascii="宋体" w:hAnsi="宋体" w:eastAsia="宋体" w:cs="宋体"/>
                <w:b/>
                <w:bCs/>
                <w:color w:val="auto"/>
                <w:sz w:val="24"/>
                <w:szCs w:val="24"/>
                <w:highlight w:val="none"/>
              </w:rPr>
              <w:t>分）</w:t>
            </w:r>
          </w:p>
        </w:tc>
        <w:tc>
          <w:tcPr>
            <w:tcW w:w="5921" w:type="dxa"/>
            <w:vAlign w:val="center"/>
          </w:tcPr>
          <w:p w14:paraId="1DD6154F">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质保期</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规定的质保期每增加一年得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699" w:type="dxa"/>
            <w:vAlign w:val="center"/>
          </w:tcPr>
          <w:p w14:paraId="45B216A0">
            <w:pPr>
              <w:keepNext w:val="0"/>
              <w:keepLines w:val="0"/>
              <w:suppressLineNumbers w:val="0"/>
              <w:adjustRightInd w:val="0"/>
              <w:spacing w:before="0" w:beforeAutospacing="0" w:after="100" w:afterAutospacing="1" w:line="360" w:lineRule="exact"/>
              <w:ind w:left="0" w:right="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2CA8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continue"/>
            <w:vAlign w:val="center"/>
          </w:tcPr>
          <w:p w14:paraId="3A31B86D">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szCs w:val="24"/>
                <w:highlight w:val="none"/>
                <w:lang w:val="en-US" w:eastAsia="zh-CN"/>
              </w:rPr>
            </w:pPr>
          </w:p>
        </w:tc>
        <w:tc>
          <w:tcPr>
            <w:tcW w:w="1258" w:type="dxa"/>
            <w:vMerge w:val="continue"/>
            <w:vAlign w:val="center"/>
          </w:tcPr>
          <w:p w14:paraId="7BDBBF64">
            <w:pPr>
              <w:keepNext w:val="0"/>
              <w:keepLines w:val="0"/>
              <w:suppressLineNumbers w:val="0"/>
              <w:spacing w:before="0" w:beforeAutospacing="0" w:after="0" w:afterAutospacing="0" w:line="360" w:lineRule="exact"/>
              <w:ind w:left="0" w:right="0"/>
              <w:jc w:val="left"/>
              <w:rPr>
                <w:rFonts w:hint="eastAsia" w:ascii="宋体" w:hAnsi="宋体" w:eastAsia="宋体" w:cs="宋体"/>
                <w:b/>
                <w:bCs/>
                <w:color w:val="auto"/>
                <w:sz w:val="24"/>
                <w:szCs w:val="24"/>
                <w:highlight w:val="none"/>
              </w:rPr>
            </w:pPr>
          </w:p>
        </w:tc>
        <w:tc>
          <w:tcPr>
            <w:tcW w:w="5921" w:type="dxa"/>
            <w:vAlign w:val="center"/>
          </w:tcPr>
          <w:p w14:paraId="3BB770C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根据投标人提供的售后服务方案、应急方案进行评分：</w:t>
            </w:r>
          </w:p>
          <w:p w14:paraId="155A67D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 承诺提供7×24 小时售后服务，包括邮件、电话、远程维护等方式；</w:t>
            </w:r>
          </w:p>
          <w:p w14:paraId="12EC6F8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 承诺设备在使用过程中遇到的问题/故障等问题，在解决问题过程中双方无条件配合支持，直到问题解决；</w:t>
            </w:r>
          </w:p>
          <w:p w14:paraId="28E5C9E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③包含针对本项目提供的应急方案；</w:t>
            </w:r>
          </w:p>
          <w:p w14:paraId="004CE47C">
            <w:pPr>
              <w:keepNext w:val="0"/>
              <w:keepLines w:val="0"/>
              <w:suppressLineNumbers w:val="0"/>
              <w:spacing w:before="0" w:beforeAutospacing="0" w:after="0" w:afterAutospacing="0" w:line="360" w:lineRule="auto"/>
              <w:ind w:left="0" w:right="0"/>
              <w:rPr>
                <w:rFonts w:hint="eastAsia"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w:t>
            </w:r>
            <w:r>
              <w:rPr>
                <w:rFonts w:hint="eastAsia" w:ascii="宋体" w:hAnsi="宋体" w:eastAsia="宋体" w:cs="宋体"/>
                <w:color w:val="auto"/>
                <w:sz w:val="24"/>
                <w:szCs w:val="24"/>
                <w:highlight w:val="none"/>
              </w:rPr>
              <w:t>针对本项目有售后服务网点的</w:t>
            </w:r>
            <w:r>
              <w:rPr>
                <w:rFonts w:hint="eastAsia" w:ascii="宋体" w:hAnsi="宋体" w:cs="宋体"/>
                <w:color w:val="auto"/>
                <w:sz w:val="24"/>
                <w:szCs w:val="24"/>
                <w:highlight w:val="none"/>
                <w:lang w:eastAsia="zh-CN"/>
              </w:rPr>
              <w:t>（售后服务网点须提供营业执照及该网点图片，未提供或缺项不得分）；</w:t>
            </w:r>
          </w:p>
          <w:p w14:paraId="39712DFC">
            <w:pPr>
              <w:keepNext w:val="0"/>
              <w:keepLines w:val="0"/>
              <w:suppressLineNumbers w:val="0"/>
              <w:adjustRightInd w:val="0"/>
              <w:spacing w:before="0" w:beforeAutospacing="0" w:after="100" w:afterAutospacing="1" w:line="360" w:lineRule="exact"/>
              <w:ind w:left="0" w:right="0"/>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注：每项满足基本要求的得0.5分，结合项目实际能够提出更合理科学方案的得1分，未提供或不满足不得分，最高得4分。</w:t>
            </w:r>
          </w:p>
        </w:tc>
        <w:tc>
          <w:tcPr>
            <w:tcW w:w="699" w:type="dxa"/>
            <w:vAlign w:val="center"/>
          </w:tcPr>
          <w:p w14:paraId="71F995E7">
            <w:pPr>
              <w:keepNext w:val="0"/>
              <w:keepLines w:val="0"/>
              <w:suppressLineNumbers w:val="0"/>
              <w:adjustRightInd w:val="0"/>
              <w:spacing w:before="0" w:beforeAutospacing="0" w:after="100" w:afterAutospacing="1"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0000FF"/>
                <w:sz w:val="24"/>
                <w:szCs w:val="24"/>
                <w:highlight w:val="none"/>
              </w:rPr>
              <w:t>4分</w:t>
            </w:r>
          </w:p>
        </w:tc>
      </w:tr>
      <w:tr w14:paraId="18F3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continue"/>
            <w:vAlign w:val="center"/>
          </w:tcPr>
          <w:p w14:paraId="26BB3084">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szCs w:val="24"/>
                <w:highlight w:val="none"/>
                <w:lang w:val="en-US" w:eastAsia="zh-CN"/>
              </w:rPr>
            </w:pPr>
          </w:p>
        </w:tc>
        <w:tc>
          <w:tcPr>
            <w:tcW w:w="1258" w:type="dxa"/>
            <w:vMerge w:val="continue"/>
            <w:vAlign w:val="center"/>
          </w:tcPr>
          <w:p w14:paraId="2A16F336">
            <w:pPr>
              <w:keepNext w:val="0"/>
              <w:keepLines w:val="0"/>
              <w:suppressLineNumbers w:val="0"/>
              <w:spacing w:before="0" w:beforeAutospacing="0" w:after="0" w:afterAutospacing="0" w:line="360" w:lineRule="exact"/>
              <w:ind w:left="0" w:right="0"/>
              <w:jc w:val="left"/>
              <w:rPr>
                <w:rFonts w:hint="eastAsia" w:ascii="宋体" w:hAnsi="宋体" w:eastAsia="宋体" w:cs="宋体"/>
                <w:b/>
                <w:bCs/>
                <w:color w:val="auto"/>
                <w:sz w:val="24"/>
                <w:szCs w:val="24"/>
                <w:highlight w:val="none"/>
              </w:rPr>
            </w:pPr>
          </w:p>
        </w:tc>
        <w:tc>
          <w:tcPr>
            <w:tcW w:w="5921" w:type="dxa"/>
            <w:vAlign w:val="center"/>
          </w:tcPr>
          <w:p w14:paraId="491CF6A8">
            <w:pPr>
              <w:keepNext w:val="0"/>
              <w:keepLines w:val="0"/>
              <w:pageBreakBefore w:val="0"/>
              <w:suppressLineNumbers w:val="0"/>
              <w:tabs>
                <w:tab w:val="left" w:pos="4469"/>
              </w:tabs>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bidi="ar"/>
              </w:rPr>
              <w:t>服务响应时间</w:t>
            </w:r>
            <w:r>
              <w:rPr>
                <w:rFonts w:hint="eastAsia" w:asciiTheme="minorEastAsia" w:hAnsiTheme="minorEastAsia" w:eastAsiaTheme="minorEastAsia" w:cstheme="minorEastAsia"/>
                <w:bCs/>
                <w:color w:val="auto"/>
                <w:sz w:val="24"/>
                <w:szCs w:val="24"/>
                <w:highlight w:val="none"/>
                <w:lang w:val="en-US" w:eastAsia="zh-CN" w:bidi="ar"/>
              </w:rPr>
              <w:t>承诺</w:t>
            </w:r>
            <w:r>
              <w:rPr>
                <w:rFonts w:hint="eastAsia" w:asciiTheme="minorEastAsia" w:hAnsiTheme="minorEastAsia" w:eastAsiaTheme="minorEastAsia" w:cstheme="minorEastAsia"/>
                <w:bCs/>
                <w:color w:val="auto"/>
                <w:sz w:val="24"/>
                <w:szCs w:val="24"/>
                <w:highlight w:val="none"/>
                <w:lang w:val="en-US" w:eastAsia="zh-CN"/>
              </w:rPr>
              <w:t>：</w:t>
            </w:r>
          </w:p>
          <w:p w14:paraId="4FA186A1">
            <w:pPr>
              <w:keepNext w:val="0"/>
              <w:keepLines w:val="0"/>
              <w:pageBreakBefore w:val="0"/>
              <w:suppressLineNumbers w:val="0"/>
              <w:tabs>
                <w:tab w:val="left" w:pos="4469"/>
              </w:tabs>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w:t>
            </w:r>
            <w:r>
              <w:rPr>
                <w:rFonts w:hint="eastAsia" w:ascii="宋体" w:hAnsi="宋体" w:eastAsia="宋体" w:cs="宋体"/>
                <w:color w:val="auto"/>
                <w:sz w:val="24"/>
                <w:szCs w:val="24"/>
                <w:highlight w:val="none"/>
              </w:rPr>
              <w:t>出现一般性故障，接到维修通知后，在半小时内电话响应，在</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小时内到达现场，在</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小时内修复</w:t>
            </w:r>
            <w:r>
              <w:rPr>
                <w:rFonts w:hint="eastAsia" w:ascii="宋体" w:hAnsi="宋体" w:cs="宋体"/>
                <w:color w:val="auto"/>
                <w:sz w:val="24"/>
                <w:szCs w:val="24"/>
                <w:highlight w:val="none"/>
                <w:lang w:eastAsia="zh-CN"/>
              </w:rPr>
              <w:t>的得</w:t>
            </w:r>
            <w:r>
              <w:rPr>
                <w:rFonts w:hint="eastAsia" w:ascii="宋体" w:hAnsi="宋体" w:cs="宋体"/>
                <w:color w:val="auto"/>
                <w:sz w:val="24"/>
                <w:szCs w:val="24"/>
                <w:highlight w:val="none"/>
                <w:lang w:val="en-US" w:eastAsia="zh-CN"/>
              </w:rPr>
              <w:t>2分</w:t>
            </w:r>
            <w:r>
              <w:rPr>
                <w:rFonts w:hint="eastAsia" w:asciiTheme="minorEastAsia" w:hAnsiTheme="minorEastAsia" w:eastAsiaTheme="minorEastAsia" w:cstheme="minorEastAsia"/>
                <w:bCs/>
                <w:color w:val="auto"/>
                <w:sz w:val="24"/>
                <w:szCs w:val="24"/>
                <w:highlight w:val="none"/>
                <w:lang w:eastAsia="zh-CN" w:bidi="ar"/>
              </w:rPr>
              <w:t>；</w:t>
            </w:r>
          </w:p>
          <w:p w14:paraId="0E7CCBB3">
            <w:pPr>
              <w:keepNext w:val="0"/>
              <w:keepLines w:val="0"/>
              <w:pageBreakBefore w:val="0"/>
              <w:suppressLineNumbers w:val="0"/>
              <w:tabs>
                <w:tab w:val="left" w:pos="4469"/>
              </w:tabs>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w:t>
            </w:r>
            <w:r>
              <w:rPr>
                <w:rFonts w:hint="eastAsia" w:ascii="宋体" w:hAnsi="宋体" w:eastAsia="宋体" w:cs="宋体"/>
                <w:color w:val="auto"/>
                <w:sz w:val="24"/>
                <w:szCs w:val="24"/>
                <w:highlight w:val="none"/>
              </w:rPr>
              <w:t>出现一般性故障，接到维修通知后，在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小时内电话响应，在12小时内到达现场，在6小时内修复</w:t>
            </w:r>
            <w:r>
              <w:rPr>
                <w:rFonts w:hint="eastAsia" w:ascii="宋体" w:hAnsi="宋体" w:cs="宋体"/>
                <w:color w:val="auto"/>
                <w:sz w:val="24"/>
                <w:szCs w:val="24"/>
                <w:highlight w:val="none"/>
                <w:lang w:eastAsia="zh-CN"/>
              </w:rPr>
              <w:t>的得</w:t>
            </w:r>
            <w:r>
              <w:rPr>
                <w:rFonts w:hint="eastAsia" w:ascii="宋体" w:hAnsi="宋体" w:cs="宋体"/>
                <w:color w:val="auto"/>
                <w:sz w:val="24"/>
                <w:szCs w:val="24"/>
                <w:highlight w:val="none"/>
                <w:lang w:val="en-US" w:eastAsia="zh-CN"/>
              </w:rPr>
              <w:t>1分</w:t>
            </w:r>
            <w:r>
              <w:rPr>
                <w:rFonts w:hint="eastAsia" w:asciiTheme="minorEastAsia" w:hAnsiTheme="minorEastAsia" w:eastAsiaTheme="minorEastAsia" w:cstheme="minorEastAsia"/>
                <w:bCs/>
                <w:color w:val="auto"/>
                <w:sz w:val="24"/>
                <w:szCs w:val="24"/>
                <w:highlight w:val="none"/>
                <w:lang w:eastAsia="zh-CN" w:bidi="ar"/>
              </w:rPr>
              <w:t>；</w:t>
            </w:r>
          </w:p>
          <w:p w14:paraId="2E36A99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注：需提供承诺函（格式见附件），否则不得分。</w:t>
            </w:r>
          </w:p>
        </w:tc>
        <w:tc>
          <w:tcPr>
            <w:tcW w:w="699" w:type="dxa"/>
            <w:vAlign w:val="center"/>
          </w:tcPr>
          <w:p w14:paraId="7893B306">
            <w:pPr>
              <w:keepNext w:val="0"/>
              <w:keepLines w:val="0"/>
              <w:suppressLineNumbers w:val="0"/>
              <w:adjustRightInd w:val="0"/>
              <w:spacing w:before="0" w:beforeAutospacing="0" w:after="100" w:afterAutospacing="1" w:line="36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4BF4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continue"/>
            <w:vAlign w:val="center"/>
          </w:tcPr>
          <w:p w14:paraId="1D63DE72">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p>
        </w:tc>
        <w:tc>
          <w:tcPr>
            <w:tcW w:w="1258" w:type="dxa"/>
            <w:vMerge w:val="continue"/>
            <w:vAlign w:val="center"/>
          </w:tcPr>
          <w:p w14:paraId="5A1A7B8E">
            <w:pPr>
              <w:keepNext w:val="0"/>
              <w:keepLines w:val="0"/>
              <w:suppressLineNumbers w:val="0"/>
              <w:spacing w:before="0" w:beforeAutospacing="0" w:after="0" w:afterAutospacing="0" w:line="360" w:lineRule="exact"/>
              <w:ind w:left="0" w:right="0"/>
              <w:jc w:val="left"/>
              <w:rPr>
                <w:rFonts w:hint="eastAsia" w:ascii="宋体" w:hAnsi="宋体" w:eastAsia="宋体" w:cs="宋体"/>
                <w:b/>
                <w:color w:val="auto"/>
                <w:kern w:val="0"/>
                <w:sz w:val="24"/>
                <w:szCs w:val="24"/>
                <w:highlight w:val="none"/>
              </w:rPr>
            </w:pPr>
          </w:p>
        </w:tc>
        <w:tc>
          <w:tcPr>
            <w:tcW w:w="5921" w:type="dxa"/>
            <w:vAlign w:val="center"/>
          </w:tcPr>
          <w:p w14:paraId="2B1D66FF">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w:t>
            </w:r>
          </w:p>
          <w:p w14:paraId="1E1F20B3">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提供合理明确的</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处理方案的得</w:t>
            </w:r>
            <w:r>
              <w:rPr>
                <w:rFonts w:hint="eastAsia" w:asciiTheme="minorEastAsia" w:hAnsiTheme="minorEastAsia" w:eastAsiaTheme="minorEastAsia" w:cstheme="minorEastAsia"/>
                <w:bCs/>
                <w:color w:val="auto"/>
                <w:sz w:val="24"/>
                <w:szCs w:val="24"/>
                <w:highlight w:val="none"/>
                <w:lang w:val="en-US" w:eastAsia="zh-CN" w:bidi="ar"/>
              </w:rPr>
              <w:t>3</w:t>
            </w:r>
            <w:r>
              <w:rPr>
                <w:rFonts w:hint="eastAsia" w:asciiTheme="minorEastAsia" w:hAnsiTheme="minorEastAsia" w:eastAsiaTheme="minorEastAsia" w:cstheme="minorEastAsia"/>
                <w:bCs/>
                <w:color w:val="auto"/>
                <w:sz w:val="24"/>
                <w:szCs w:val="24"/>
                <w:highlight w:val="none"/>
                <w:lang w:bidi="ar"/>
              </w:rPr>
              <w:t>分；</w:t>
            </w:r>
          </w:p>
          <w:p w14:paraId="7F0855D2">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w:t>
            </w:r>
            <w:r>
              <w:rPr>
                <w:rFonts w:hint="eastAsia" w:asciiTheme="minorEastAsia" w:hAnsiTheme="minorEastAsia" w:eastAsiaTheme="minorEastAsia" w:cstheme="minorEastAsia"/>
                <w:bCs/>
                <w:color w:val="auto"/>
                <w:sz w:val="24"/>
                <w:szCs w:val="24"/>
                <w:highlight w:val="none"/>
                <w:lang w:val="en-US" w:eastAsia="zh-CN" w:bidi="ar"/>
              </w:rPr>
              <w:t>基本</w:t>
            </w:r>
            <w:r>
              <w:rPr>
                <w:rFonts w:hint="eastAsia" w:asciiTheme="minorEastAsia" w:hAnsiTheme="minorEastAsia" w:eastAsiaTheme="minorEastAsia" w:cstheme="minorEastAsia"/>
                <w:bCs/>
                <w:color w:val="auto"/>
                <w:sz w:val="24"/>
                <w:szCs w:val="24"/>
                <w:highlight w:val="none"/>
                <w:lang w:bidi="ar"/>
              </w:rPr>
              <w:t>合理明确的得</w:t>
            </w:r>
            <w:r>
              <w:rPr>
                <w:rFonts w:hint="eastAsia" w:asciiTheme="minorEastAsia" w:hAnsiTheme="minorEastAsia" w:eastAsiaTheme="minorEastAsia" w:cstheme="minorEastAsia"/>
                <w:bCs/>
                <w:color w:val="auto"/>
                <w:sz w:val="24"/>
                <w:szCs w:val="24"/>
                <w:highlight w:val="none"/>
                <w:lang w:val="en-US" w:eastAsia="zh-CN" w:bidi="ar"/>
              </w:rPr>
              <w:t>2</w:t>
            </w:r>
            <w:r>
              <w:rPr>
                <w:rFonts w:hint="eastAsia" w:asciiTheme="minorEastAsia" w:hAnsiTheme="minorEastAsia" w:eastAsiaTheme="minorEastAsia" w:cstheme="minorEastAsia"/>
                <w:bCs/>
                <w:color w:val="auto"/>
                <w:sz w:val="24"/>
                <w:szCs w:val="24"/>
                <w:highlight w:val="none"/>
                <w:lang w:bidi="ar"/>
              </w:rPr>
              <w:t>分</w:t>
            </w:r>
            <w:r>
              <w:rPr>
                <w:rFonts w:hint="eastAsia" w:asciiTheme="minorEastAsia" w:hAnsiTheme="minorEastAsia" w:eastAsiaTheme="minorEastAsia" w:cstheme="minorEastAsia"/>
                <w:bCs/>
                <w:color w:val="auto"/>
                <w:sz w:val="24"/>
                <w:szCs w:val="24"/>
                <w:highlight w:val="none"/>
                <w:lang w:eastAsia="zh-CN" w:bidi="ar"/>
              </w:rPr>
              <w:t>；</w:t>
            </w:r>
          </w:p>
          <w:p w14:paraId="7A64DEC1">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提供的</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处理方案不够合理明确的得</w:t>
            </w:r>
            <w:r>
              <w:rPr>
                <w:rFonts w:hint="eastAsia" w:asciiTheme="minorEastAsia" w:hAnsiTheme="minorEastAsia" w:eastAsiaTheme="minorEastAsia" w:cstheme="minorEastAsia"/>
                <w:bCs/>
                <w:color w:val="auto"/>
                <w:sz w:val="24"/>
                <w:szCs w:val="24"/>
                <w:highlight w:val="none"/>
                <w:lang w:val="en-US" w:eastAsia="zh-CN" w:bidi="ar"/>
              </w:rPr>
              <w:t>1</w:t>
            </w:r>
            <w:r>
              <w:rPr>
                <w:rFonts w:hint="eastAsia" w:asciiTheme="minorEastAsia" w:hAnsiTheme="minorEastAsia" w:eastAsiaTheme="minorEastAsia" w:cstheme="minorEastAsia"/>
                <w:bCs/>
                <w:color w:val="auto"/>
                <w:sz w:val="24"/>
                <w:szCs w:val="24"/>
                <w:highlight w:val="none"/>
                <w:lang w:bidi="ar"/>
              </w:rPr>
              <w:t>分</w:t>
            </w:r>
            <w:r>
              <w:rPr>
                <w:rFonts w:hint="eastAsia" w:asciiTheme="minorEastAsia" w:hAnsiTheme="minorEastAsia" w:eastAsiaTheme="minorEastAsia" w:cstheme="minorEastAsia"/>
                <w:bCs/>
                <w:color w:val="auto"/>
                <w:sz w:val="24"/>
                <w:szCs w:val="24"/>
                <w:highlight w:val="none"/>
                <w:lang w:eastAsia="zh-CN" w:bidi="ar"/>
              </w:rPr>
              <w:t>；</w:t>
            </w:r>
          </w:p>
          <w:p w14:paraId="62231B9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lang w:val="en-US" w:eastAsia="zh-CN" w:bidi="ar"/>
              </w:rPr>
              <w:t>4</w:t>
            </w: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rPr>
              <w:t>未提供</w:t>
            </w:r>
            <w:r>
              <w:rPr>
                <w:rFonts w:hint="eastAsia" w:asciiTheme="minorEastAsia" w:hAnsiTheme="minorEastAsia" w:eastAsiaTheme="minorEastAsia" w:cstheme="minorEastAsia"/>
                <w:bCs/>
                <w:color w:val="auto"/>
                <w:sz w:val="24"/>
                <w:szCs w:val="24"/>
                <w:highlight w:val="none"/>
                <w:lang w:eastAsia="zh-CN"/>
              </w:rPr>
              <w:t>或提供的内容完全不符合本项目实际需求</w:t>
            </w:r>
            <w:r>
              <w:rPr>
                <w:rFonts w:hint="eastAsia" w:asciiTheme="minorEastAsia" w:hAnsiTheme="minorEastAsia" w:eastAsiaTheme="minorEastAsia" w:cstheme="minorEastAsia"/>
                <w:bCs/>
                <w:color w:val="auto"/>
                <w:sz w:val="24"/>
                <w:szCs w:val="24"/>
                <w:highlight w:val="none"/>
              </w:rPr>
              <w:t>的不得分。</w:t>
            </w:r>
          </w:p>
        </w:tc>
        <w:tc>
          <w:tcPr>
            <w:tcW w:w="699" w:type="dxa"/>
            <w:vAlign w:val="center"/>
          </w:tcPr>
          <w:p w14:paraId="6A77C493">
            <w:pPr>
              <w:keepNext w:val="0"/>
              <w:keepLines w:val="0"/>
              <w:suppressLineNumbers w:val="0"/>
              <w:adjustRightInd w:val="0"/>
              <w:spacing w:before="0" w:beforeAutospacing="0" w:after="100" w:afterAutospacing="1" w:line="360" w:lineRule="exact"/>
              <w:ind w:left="0" w:right="0"/>
              <w:jc w:val="center"/>
              <w:rPr>
                <w:rFonts w:hint="default" w:ascii="宋体" w:hAnsi="宋体" w:eastAsia="宋体" w:cs="宋体"/>
                <w:color w:val="auto"/>
                <w:sz w:val="24"/>
                <w:szCs w:val="24"/>
                <w:highlight w:val="none"/>
                <w:lang w:val="en-US"/>
              </w:rPr>
            </w:pPr>
            <w:r>
              <w:rPr>
                <w:rFonts w:hint="eastAsia" w:asciiTheme="minorEastAsia" w:hAnsiTheme="minorEastAsia" w:eastAsiaTheme="minorEastAsia" w:cstheme="minorEastAsia"/>
                <w:b/>
                <w:bCs/>
                <w:color w:val="0000FF"/>
                <w:sz w:val="24"/>
                <w:szCs w:val="24"/>
                <w:highlight w:val="none"/>
                <w:lang w:val="en-US" w:eastAsia="zh-CN"/>
              </w:rPr>
              <w:t>3分</w:t>
            </w:r>
          </w:p>
        </w:tc>
      </w:tr>
      <w:tr w14:paraId="6F6D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continue"/>
            <w:vAlign w:val="center"/>
          </w:tcPr>
          <w:p w14:paraId="32A61A61">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p>
        </w:tc>
        <w:tc>
          <w:tcPr>
            <w:tcW w:w="1258" w:type="dxa"/>
            <w:vMerge w:val="continue"/>
            <w:vAlign w:val="center"/>
          </w:tcPr>
          <w:p w14:paraId="7C720969">
            <w:pPr>
              <w:keepNext w:val="0"/>
              <w:keepLines w:val="0"/>
              <w:suppressLineNumbers w:val="0"/>
              <w:spacing w:before="0" w:beforeAutospacing="0" w:after="0" w:afterAutospacing="0" w:line="360" w:lineRule="exact"/>
              <w:ind w:left="0" w:right="0"/>
              <w:jc w:val="left"/>
              <w:rPr>
                <w:rFonts w:hint="eastAsia" w:ascii="宋体" w:hAnsi="宋体" w:eastAsia="宋体" w:cs="宋体"/>
                <w:b/>
                <w:color w:val="auto"/>
                <w:kern w:val="0"/>
                <w:sz w:val="24"/>
                <w:szCs w:val="24"/>
                <w:highlight w:val="none"/>
              </w:rPr>
            </w:pPr>
          </w:p>
        </w:tc>
        <w:tc>
          <w:tcPr>
            <w:tcW w:w="5921" w:type="dxa"/>
            <w:vAlign w:val="center"/>
          </w:tcPr>
          <w:p w14:paraId="0988EA87">
            <w:pPr>
              <w:keepNext w:val="0"/>
              <w:keepLines w:val="0"/>
              <w:widowControl/>
              <w:suppressLineNumbers w:val="0"/>
              <w:spacing w:before="0" w:beforeAutospacing="0" w:after="0" w:afterAutospacing="0" w:line="360" w:lineRule="exact"/>
              <w:ind w:left="0" w:right="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根据</w:t>
            </w:r>
            <w:r>
              <w:rPr>
                <w:rFonts w:hint="eastAsia" w:ascii="宋体" w:hAnsi="宋体" w:eastAsia="宋体" w:cs="宋体"/>
                <w:b w:val="0"/>
                <w:bCs w:val="0"/>
                <w:color w:val="auto"/>
                <w:kern w:val="0"/>
                <w:sz w:val="24"/>
                <w:szCs w:val="24"/>
                <w:highlight w:val="none"/>
              </w:rPr>
              <w:t>投标人提供的可行合理的培训方案及培训计划：含培训方式、培训参加人员、培训内容、日程、课程安排等</w:t>
            </w:r>
            <w:r>
              <w:rPr>
                <w:rFonts w:hint="eastAsia" w:ascii="宋体" w:hAnsi="宋体" w:eastAsia="宋体" w:cs="宋体"/>
                <w:b w:val="0"/>
                <w:bCs w:val="0"/>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rPr>
              <w:t>评委根据内容进行评议：</w:t>
            </w:r>
          </w:p>
          <w:p w14:paraId="21EF54AE">
            <w:pPr>
              <w:keepNext w:val="0"/>
              <w:keepLines w:val="0"/>
              <w:suppressLineNumbers w:val="0"/>
              <w:adjustRightInd w:val="0"/>
              <w:spacing w:before="0" w:beforeAutospacing="0" w:after="100" w:afterAutospacing="1" w:line="360" w:lineRule="exact"/>
              <w:ind w:left="0" w:right="0"/>
              <w:contextualSpacing/>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（1）培训方案措施明确、培训人员安排非常周到、培训内容非常丰富、课程安排非常合理的得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480A95D8">
            <w:pPr>
              <w:keepNext w:val="0"/>
              <w:keepLines w:val="0"/>
              <w:suppressLineNumbers w:val="0"/>
              <w:adjustRightInd w:val="0"/>
              <w:spacing w:before="0" w:beforeAutospacing="0" w:after="100" w:afterAutospacing="1" w:line="360" w:lineRule="exact"/>
              <w:ind w:left="0" w:right="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（2）培训方案措施</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明确、培训人员安排</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周到、培训内容</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丰富、课程安排</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1DCB2477">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color w:val="auto"/>
                <w:sz w:val="24"/>
                <w:szCs w:val="24"/>
                <w:highlight w:val="none"/>
                <w:lang w:val="en-US" w:eastAsia="zh-CN" w:bidi="ar"/>
              </w:rPr>
            </w:pPr>
            <w:r>
              <w:rPr>
                <w:rFonts w:hint="eastAsia" w:ascii="宋体" w:hAnsi="宋体" w:eastAsia="宋体" w:cs="宋体"/>
                <w:color w:val="auto"/>
                <w:sz w:val="24"/>
                <w:szCs w:val="24"/>
                <w:highlight w:val="none"/>
              </w:rPr>
              <w:t>（3）未提及此项的不得分。</w:t>
            </w:r>
          </w:p>
        </w:tc>
        <w:tc>
          <w:tcPr>
            <w:tcW w:w="699" w:type="dxa"/>
            <w:vAlign w:val="center"/>
          </w:tcPr>
          <w:p w14:paraId="23FDF571">
            <w:pPr>
              <w:keepNext w:val="0"/>
              <w:keepLines w:val="0"/>
              <w:suppressLineNumbers w:val="0"/>
              <w:adjustRightInd w:val="0"/>
              <w:spacing w:before="0" w:beforeAutospacing="0" w:after="100" w:afterAutospacing="1" w:line="360" w:lineRule="exact"/>
              <w:ind w:left="0" w:right="0"/>
              <w:jc w:val="center"/>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0000FF"/>
                <w:sz w:val="24"/>
                <w:szCs w:val="24"/>
                <w:highlight w:val="none"/>
                <w:lang w:val="en-US" w:eastAsia="zh-CN"/>
              </w:rPr>
              <w:t>2分</w:t>
            </w:r>
          </w:p>
        </w:tc>
      </w:tr>
      <w:tr w14:paraId="55EE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641" w:type="dxa"/>
            <w:vAlign w:val="center"/>
          </w:tcPr>
          <w:p w14:paraId="6092AA19">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6</w:t>
            </w:r>
          </w:p>
        </w:tc>
        <w:tc>
          <w:tcPr>
            <w:tcW w:w="1258" w:type="dxa"/>
            <w:vAlign w:val="center"/>
          </w:tcPr>
          <w:p w14:paraId="4EA77BE0">
            <w:pPr>
              <w:keepNext w:val="0"/>
              <w:keepLines w:val="0"/>
              <w:suppressLineNumbers w:val="0"/>
              <w:spacing w:before="0" w:beforeAutospacing="0" w:after="0" w:afterAutospacing="0" w:line="360" w:lineRule="exact"/>
              <w:ind w:left="0" w:right="0"/>
              <w:rPr>
                <w:rFonts w:hint="eastAsia" w:ascii="宋体" w:hAnsi="宋体" w:eastAsia="宋体" w:cs="宋体"/>
                <w:b/>
                <w:color w:val="auto"/>
                <w:kern w:val="0"/>
                <w:sz w:val="24"/>
                <w:szCs w:val="24"/>
                <w:highlight w:val="none"/>
              </w:rPr>
            </w:pPr>
          </w:p>
          <w:p w14:paraId="0AE9ACBB">
            <w:pPr>
              <w:keepNext w:val="0"/>
              <w:keepLines w:val="0"/>
              <w:suppressLineNumbers w:val="0"/>
              <w:spacing w:before="0" w:beforeAutospacing="0" w:after="0" w:afterAutospacing="0" w:line="360" w:lineRule="exact"/>
              <w:ind w:left="0" w:right="0"/>
              <w:rPr>
                <w:rFonts w:hint="eastAsia" w:ascii="宋体" w:hAnsi="宋体" w:eastAsia="宋体" w:cs="宋体"/>
                <w:b/>
                <w:color w:val="auto"/>
                <w:kern w:val="0"/>
                <w:sz w:val="24"/>
                <w:szCs w:val="24"/>
                <w:highlight w:val="none"/>
              </w:rPr>
            </w:pPr>
          </w:p>
          <w:p w14:paraId="1041F25D">
            <w:pPr>
              <w:keepNext w:val="0"/>
              <w:keepLines w:val="0"/>
              <w:suppressLineNumbers w:val="0"/>
              <w:spacing w:before="0" w:beforeAutospacing="0" w:after="0" w:afterAutospacing="0" w:line="36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维保方案</w:t>
            </w:r>
          </w:p>
          <w:p w14:paraId="7D568EB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（3分）</w:t>
            </w:r>
          </w:p>
          <w:p w14:paraId="1F5CAB83">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p>
          <w:p w14:paraId="57E94A4B">
            <w:pPr>
              <w:keepNext w:val="0"/>
              <w:keepLines w:val="0"/>
              <w:suppressLineNumbers w:val="0"/>
              <w:spacing w:before="0" w:beforeAutospacing="0" w:after="0" w:afterAutospacing="0" w:line="360" w:lineRule="exact"/>
              <w:ind w:left="0" w:right="0"/>
              <w:rPr>
                <w:rFonts w:hint="eastAsia" w:ascii="宋体" w:hAnsi="宋体" w:eastAsia="宋体" w:cs="宋体"/>
                <w:b/>
                <w:color w:val="auto"/>
                <w:kern w:val="0"/>
                <w:sz w:val="24"/>
                <w:szCs w:val="24"/>
                <w:highlight w:val="none"/>
              </w:rPr>
            </w:pPr>
          </w:p>
        </w:tc>
        <w:tc>
          <w:tcPr>
            <w:tcW w:w="5921" w:type="dxa"/>
            <w:vAlign w:val="center"/>
          </w:tcPr>
          <w:p w14:paraId="34F61787">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根据投标人针对本次采购货物的</w:t>
            </w:r>
            <w:r>
              <w:rPr>
                <w:rFonts w:hint="eastAsia" w:ascii="宋体" w:hAnsi="宋体" w:eastAsia="宋体" w:cs="宋体"/>
                <w:color w:val="auto"/>
                <w:sz w:val="24"/>
                <w:szCs w:val="24"/>
                <w:highlight w:val="none"/>
              </w:rPr>
              <w:t>维保方案</w:t>
            </w:r>
            <w:r>
              <w:rPr>
                <w:rFonts w:hint="eastAsia" w:ascii="宋体" w:hAnsi="宋体" w:eastAsia="宋体" w:cs="宋体"/>
                <w:color w:val="auto"/>
                <w:kern w:val="0"/>
                <w:sz w:val="24"/>
                <w:szCs w:val="24"/>
                <w:highlight w:val="none"/>
              </w:rPr>
              <w:t>进行评分：</w:t>
            </w:r>
          </w:p>
          <w:p w14:paraId="39FBC42F">
            <w:pPr>
              <w:pStyle w:val="16"/>
              <w:keepNext w:val="0"/>
              <w:keepLines w:val="0"/>
              <w:numPr>
                <w:ilvl w:val="0"/>
                <w:numId w:val="0"/>
              </w:numPr>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维保方案条款措施明确，满足招标需求的为一档得3分；</w:t>
            </w:r>
          </w:p>
          <w:p w14:paraId="33F7E53E">
            <w:pPr>
              <w:pStyle w:val="16"/>
              <w:keepNext w:val="0"/>
              <w:keepLines w:val="0"/>
              <w:numPr>
                <w:ilvl w:val="0"/>
                <w:numId w:val="0"/>
              </w:numPr>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维保方案条款措施比较明确，基本满足招标需求的为一档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6F4026A">
            <w:pPr>
              <w:pStyle w:val="16"/>
              <w:keepNext w:val="0"/>
              <w:keepLines w:val="0"/>
              <w:numPr>
                <w:ilvl w:val="0"/>
                <w:numId w:val="0"/>
              </w:numPr>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维保方案条款措施不够明确，少部分满足招标需求的为一档得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                                                  （4）维保方案条款措施满足不了招标需求的不得分。</w:t>
            </w:r>
          </w:p>
        </w:tc>
        <w:tc>
          <w:tcPr>
            <w:tcW w:w="699" w:type="dxa"/>
            <w:vAlign w:val="center"/>
          </w:tcPr>
          <w:p w14:paraId="78EEDCEE">
            <w:pPr>
              <w:keepNext w:val="0"/>
              <w:keepLines w:val="0"/>
              <w:suppressLineNumbers w:val="0"/>
              <w:adjustRightInd w:val="0"/>
              <w:spacing w:before="0" w:beforeAutospacing="0" w:after="100" w:afterAutospacing="1"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0000FF"/>
                <w:sz w:val="24"/>
                <w:szCs w:val="24"/>
                <w:highlight w:val="none"/>
              </w:rPr>
              <w:t>3分</w:t>
            </w:r>
          </w:p>
        </w:tc>
      </w:tr>
      <w:tr w14:paraId="3745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641" w:type="dxa"/>
            <w:vAlign w:val="center"/>
          </w:tcPr>
          <w:p w14:paraId="5C7A5BC0">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highlight w:val="none"/>
                <w:lang w:val="en-US" w:eastAsia="zh-CN"/>
              </w:rPr>
              <w:t>7</w:t>
            </w:r>
          </w:p>
        </w:tc>
        <w:tc>
          <w:tcPr>
            <w:tcW w:w="1258" w:type="dxa"/>
            <w:vAlign w:val="center"/>
          </w:tcPr>
          <w:p w14:paraId="64923EE5">
            <w:pPr>
              <w:keepNext w:val="0"/>
              <w:keepLines w:val="0"/>
              <w:suppressLineNumbers w:val="0"/>
              <w:spacing w:before="0" w:beforeAutospacing="0" w:after="0" w:afterAutospacing="0" w:line="360" w:lineRule="exact"/>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相关培训</w:t>
            </w:r>
          </w:p>
          <w:p w14:paraId="565E3B99">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b/>
                <w:color w:val="auto"/>
                <w:kern w:val="0"/>
                <w:sz w:val="24"/>
                <w:szCs w:val="24"/>
                <w:highlight w:val="none"/>
                <w:lang w:val="en-US" w:eastAsia="zh-CN" w:bidi="ar-SA"/>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分）</w:t>
            </w:r>
          </w:p>
        </w:tc>
        <w:tc>
          <w:tcPr>
            <w:tcW w:w="5921" w:type="dxa"/>
            <w:vAlign w:val="center"/>
          </w:tcPr>
          <w:p w14:paraId="091F9CFD">
            <w:pPr>
              <w:keepNext w:val="0"/>
              <w:keepLines w:val="0"/>
              <w:widowControl/>
              <w:suppressLineNumbers w:val="0"/>
              <w:spacing w:before="0" w:beforeAutospacing="0" w:after="0" w:afterAutospacing="0" w:line="360" w:lineRule="exact"/>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投标人提供的可行合理的培训方案及培训计划：含培训方式、培训参加人员、培训内容、日程、课程安排等：</w:t>
            </w:r>
          </w:p>
          <w:p w14:paraId="7D93D319">
            <w:pPr>
              <w:keepNext w:val="0"/>
              <w:keepLines w:val="0"/>
              <w:suppressLineNumbers w:val="0"/>
              <w:adjustRightInd w:val="0"/>
              <w:spacing w:before="0" w:beforeAutospacing="0" w:after="100" w:afterAutospacing="1" w:line="360" w:lineRule="exact"/>
              <w:ind w:left="0" w:right="0"/>
              <w:contextualSpacing/>
              <w:jc w:val="left"/>
              <w:rPr>
                <w:rFonts w:hint="eastAsia" w:ascii="宋体" w:hAnsi="宋体" w:cs="宋体"/>
                <w:color w:val="auto"/>
                <w:sz w:val="24"/>
                <w:highlight w:val="none"/>
              </w:rPr>
            </w:pPr>
            <w:r>
              <w:rPr>
                <w:rFonts w:hint="eastAsia" w:ascii="宋体" w:hAnsi="宋体" w:cs="宋体"/>
                <w:color w:val="auto"/>
                <w:sz w:val="24"/>
                <w:highlight w:val="none"/>
              </w:rPr>
              <w:t>（1）培训方案措施明确、培训人员安排非常周到、培训内容非常丰富、课程安排非常合理的得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406505C1">
            <w:pPr>
              <w:keepNext w:val="0"/>
              <w:keepLines w:val="0"/>
              <w:suppressLineNumbers w:val="0"/>
              <w:adjustRightInd w:val="0"/>
              <w:spacing w:before="0" w:beforeAutospacing="0" w:after="100" w:afterAutospacing="1" w:line="360" w:lineRule="exact"/>
              <w:ind w:left="0" w:right="0"/>
              <w:contextualSpacing/>
              <w:jc w:val="left"/>
              <w:rPr>
                <w:rFonts w:hint="eastAsia" w:ascii="宋体" w:hAnsi="宋体" w:cs="宋体"/>
                <w:color w:val="auto"/>
                <w:sz w:val="24"/>
                <w:highlight w:val="none"/>
              </w:rPr>
            </w:pPr>
            <w:r>
              <w:rPr>
                <w:rFonts w:hint="eastAsia" w:ascii="宋体" w:hAnsi="宋体" w:cs="宋体"/>
                <w:color w:val="auto"/>
                <w:sz w:val="24"/>
                <w:highlight w:val="none"/>
              </w:rPr>
              <w:t>（2）培训方案措施比较明确、培训人员安排比较周到、培训内容比较丰富、课程安排比较合理的得</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分；</w:t>
            </w:r>
          </w:p>
          <w:p w14:paraId="74B130C5">
            <w:pPr>
              <w:keepNext w:val="0"/>
              <w:keepLines w:val="0"/>
              <w:suppressLineNumbers w:val="0"/>
              <w:adjustRightInd w:val="0"/>
              <w:spacing w:before="0" w:beforeAutospacing="0" w:after="100" w:afterAutospacing="1" w:line="360" w:lineRule="exact"/>
              <w:ind w:left="0" w:leftChars="0" w:right="0" w:rightChars="0"/>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（3）培训方案措施不够明确、培训人员安排不够周到、培训内容不够丰富、课程安排不够合理的得</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                             （4）未提及此项的不得分。</w:t>
            </w:r>
          </w:p>
        </w:tc>
        <w:tc>
          <w:tcPr>
            <w:tcW w:w="699" w:type="dxa"/>
            <w:vAlign w:val="center"/>
          </w:tcPr>
          <w:p w14:paraId="69F212A6">
            <w:pPr>
              <w:keepNext w:val="0"/>
              <w:keepLines w:val="0"/>
              <w:suppressLineNumbers w:val="0"/>
              <w:adjustRightInd w:val="0"/>
              <w:spacing w:before="0" w:beforeAutospacing="0" w:after="100" w:afterAutospacing="1"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0000FF"/>
                <w:sz w:val="24"/>
                <w:highlight w:val="none"/>
                <w:lang w:val="en-US" w:eastAsia="zh-CN"/>
              </w:rPr>
              <w:t>2</w:t>
            </w:r>
            <w:r>
              <w:rPr>
                <w:rFonts w:hint="eastAsia" w:ascii="宋体" w:hAnsi="宋体" w:cs="宋体"/>
                <w:color w:val="0000FF"/>
                <w:sz w:val="24"/>
                <w:highlight w:val="none"/>
              </w:rPr>
              <w:t>分</w:t>
            </w:r>
          </w:p>
        </w:tc>
      </w:tr>
      <w:tr w14:paraId="5B55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9" w:type="dxa"/>
            <w:gridSpan w:val="2"/>
            <w:vAlign w:val="center"/>
          </w:tcPr>
          <w:p w14:paraId="1A85C987">
            <w:pPr>
              <w:keepNext w:val="0"/>
              <w:keepLines w:val="0"/>
              <w:suppressLineNumbers w:val="0"/>
              <w:autoSpaceDE w:val="0"/>
              <w:autoSpaceDN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价格</w:t>
            </w:r>
          </w:p>
          <w:p w14:paraId="2E9CF7BD">
            <w:pPr>
              <w:keepNext w:val="0"/>
              <w:keepLines w:val="0"/>
              <w:suppressLineNumbers w:val="0"/>
              <w:autoSpaceDE w:val="0"/>
              <w:autoSpaceDN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30分</w:t>
            </w:r>
          </w:p>
        </w:tc>
        <w:tc>
          <w:tcPr>
            <w:tcW w:w="5921" w:type="dxa"/>
            <w:vAlign w:val="center"/>
          </w:tcPr>
          <w:p w14:paraId="0E6C90AC">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以有效报价的最低价为基准价，其价格分为30分。其它投标人的价格分按照下列公式计算：</w:t>
            </w:r>
          </w:p>
          <w:p w14:paraId="3742C8F8">
            <w:pPr>
              <w:keepNext w:val="0"/>
              <w:keepLines w:val="0"/>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投标报价得分=（评标基准价/投标报价）×30（小数点后保留2位小数）</w:t>
            </w:r>
            <w:r>
              <w:rPr>
                <w:rFonts w:hint="eastAsia" w:ascii="宋体" w:hAnsi="宋体" w:cs="宋体"/>
                <w:b/>
                <w:bCs/>
                <w:color w:val="auto"/>
                <w:kern w:val="0"/>
                <w:sz w:val="24"/>
                <w:szCs w:val="24"/>
                <w:highlight w:val="none"/>
                <w:lang w:val="zh-CN"/>
              </w:rPr>
              <w:t>（注（如有）：对于符合小型和微型企业政策价格优惠的投标价格给予10%的扣除，用扣除后的价格参与评审）</w:t>
            </w:r>
          </w:p>
        </w:tc>
        <w:tc>
          <w:tcPr>
            <w:tcW w:w="699" w:type="dxa"/>
            <w:vAlign w:val="center"/>
          </w:tcPr>
          <w:p w14:paraId="3AB45BE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r>
    </w:tbl>
    <w:p w14:paraId="27444A30">
      <w:pPr>
        <w:autoSpaceDE w:val="0"/>
        <w:autoSpaceDN w:val="0"/>
        <w:adjustRightInd w:val="0"/>
        <w:spacing w:line="400" w:lineRule="exact"/>
        <w:rPr>
          <w:rFonts w:hint="eastAsia"/>
          <w:b/>
          <w:color w:val="auto"/>
          <w:sz w:val="24"/>
          <w:szCs w:val="24"/>
          <w:highlight w:val="none"/>
        </w:rPr>
      </w:pPr>
    </w:p>
    <w:p w14:paraId="2296AD52">
      <w:pPr>
        <w:autoSpaceDE w:val="0"/>
        <w:autoSpaceDN w:val="0"/>
        <w:adjustRightInd w:val="0"/>
        <w:spacing w:line="400" w:lineRule="exact"/>
        <w:rPr>
          <w:b/>
          <w:color w:val="auto"/>
          <w:sz w:val="24"/>
          <w:szCs w:val="24"/>
          <w:highlight w:val="none"/>
        </w:rPr>
      </w:pPr>
      <w:r>
        <w:rPr>
          <w:rFonts w:hint="eastAsia"/>
          <w:b/>
          <w:color w:val="auto"/>
          <w:sz w:val="24"/>
          <w:szCs w:val="24"/>
          <w:highlight w:val="none"/>
        </w:rPr>
        <w:t>(注：以上需提供的合同、证书、报告等各项证明需将原件扫描上传至投标文件，并加盖电子印章。)</w:t>
      </w:r>
    </w:p>
    <w:p w14:paraId="79900049">
      <w:pPr>
        <w:rPr>
          <w:b/>
          <w:color w:val="auto"/>
          <w:sz w:val="24"/>
          <w:szCs w:val="24"/>
          <w:highlight w:val="none"/>
        </w:rPr>
      </w:pPr>
      <w:r>
        <w:rPr>
          <w:b/>
          <w:color w:val="auto"/>
          <w:sz w:val="24"/>
          <w:szCs w:val="24"/>
          <w:highlight w:val="none"/>
        </w:rPr>
        <w:br w:type="page"/>
      </w:r>
    </w:p>
    <w:p w14:paraId="05905DDD">
      <w:pPr>
        <w:pageBreakBefore/>
        <w:spacing w:line="480" w:lineRule="auto"/>
        <w:jc w:val="center"/>
        <w:outlineLvl w:val="0"/>
        <w:rPr>
          <w:rFonts w:asciiTheme="minorEastAsia" w:hAnsiTheme="minorEastAsia" w:eastAsiaTheme="minorEastAsia"/>
          <w:b/>
          <w:color w:val="auto"/>
          <w:sz w:val="32"/>
          <w:szCs w:val="32"/>
          <w:highlight w:val="none"/>
        </w:rPr>
      </w:pPr>
      <w:bookmarkStart w:id="92" w:name="_Toc10462"/>
      <w:bookmarkStart w:id="93" w:name="_Toc6847"/>
      <w:bookmarkStart w:id="94" w:name="_Toc6241"/>
      <w:bookmarkStart w:id="95" w:name="_Toc15735"/>
      <w:bookmarkStart w:id="96" w:name="_Toc15145"/>
      <w:bookmarkStart w:id="97" w:name="_Toc16946"/>
      <w:bookmarkStart w:id="98" w:name="OLE_LINK7"/>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Fonts w:hint="eastAsia" w:asciiTheme="minorEastAsia" w:hAnsiTheme="minorEastAsia" w:eastAsiaTheme="minorEastAsia"/>
          <w:b/>
          <w:color w:val="auto"/>
          <w:sz w:val="32"/>
          <w:szCs w:val="32"/>
          <w:highlight w:val="none"/>
        </w:rPr>
        <w:t>第五部分</w:t>
      </w:r>
      <w:r>
        <w:rPr>
          <w:rFonts w:asciiTheme="minorEastAsia" w:hAnsiTheme="minorEastAsia" w:eastAsiaTheme="minorEastAsia"/>
          <w:b/>
          <w:color w:val="auto"/>
          <w:sz w:val="32"/>
          <w:szCs w:val="32"/>
          <w:highlight w:val="none"/>
        </w:rPr>
        <w:fldChar w:fldCharType="end"/>
      </w:r>
      <w:r>
        <w:rPr>
          <w:rFonts w:hint="eastAsia" w:asciiTheme="minorEastAsia" w:hAnsiTheme="minorEastAsia" w:eastAsiaTheme="minorEastAsia"/>
          <w:b/>
          <w:color w:val="auto"/>
          <w:sz w:val="32"/>
          <w:szCs w:val="32"/>
          <w:highlight w:val="none"/>
        </w:rPr>
        <w:t xml:space="preserve">  采购内容及要求</w:t>
      </w:r>
      <w:bookmarkEnd w:id="92"/>
      <w:bookmarkEnd w:id="93"/>
      <w:bookmarkEnd w:id="94"/>
      <w:bookmarkEnd w:id="95"/>
      <w:bookmarkEnd w:id="96"/>
      <w:bookmarkEnd w:id="97"/>
    </w:p>
    <w:bookmarkEnd w:id="98"/>
    <w:p w14:paraId="0CCAE66E">
      <w:pPr>
        <w:tabs>
          <w:tab w:val="left" w:pos="8280"/>
        </w:tabs>
        <w:autoSpaceDE w:val="0"/>
        <w:autoSpaceDN w:val="0"/>
        <w:adjustRightInd w:val="0"/>
        <w:spacing w:line="440" w:lineRule="exact"/>
        <w:ind w:right="25"/>
        <w:rPr>
          <w:rFonts w:hint="eastAsia" w:asciiTheme="minorEastAsia" w:hAnsiTheme="minorEastAsia" w:eastAsiaTheme="minorEastAsia"/>
          <w:color w:val="auto"/>
          <w:sz w:val="24"/>
          <w:highlight w:val="none"/>
        </w:rPr>
      </w:pPr>
      <w:bookmarkStart w:id="99" w:name="_Toc18152"/>
      <w:r>
        <w:rPr>
          <w:rFonts w:hint="eastAsia" w:asciiTheme="minorEastAsia" w:hAnsiTheme="minorEastAsia" w:eastAsiaTheme="minorEastAsia"/>
          <w:b/>
          <w:color w:val="auto"/>
          <w:sz w:val="24"/>
          <w:highlight w:val="none"/>
        </w:rPr>
        <w:t>一、招标项目一览表</w:t>
      </w:r>
    </w:p>
    <w:p w14:paraId="5EF6C228">
      <w:pPr>
        <w:tabs>
          <w:tab w:val="left" w:pos="8280"/>
        </w:tabs>
        <w:autoSpaceDE w:val="0"/>
        <w:autoSpaceDN w:val="0"/>
        <w:adjustRightInd w:val="0"/>
        <w:spacing w:line="440" w:lineRule="exact"/>
        <w:ind w:right="25" w:firstLine="2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1.本次招标共</w:t>
      </w:r>
      <w:r>
        <w:rPr>
          <w:rFonts w:hint="eastAsia"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rPr>
        <w:t>个标段，具体内容如下表：</w:t>
      </w:r>
    </w:p>
    <w:tbl>
      <w:tblPr>
        <w:tblStyle w:val="4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723"/>
        <w:gridCol w:w="1316"/>
        <w:gridCol w:w="803"/>
        <w:gridCol w:w="786"/>
        <w:gridCol w:w="1218"/>
        <w:gridCol w:w="1484"/>
      </w:tblGrid>
      <w:tr w14:paraId="798D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00" w:type="pct"/>
            <w:shd w:val="clear" w:color="auto" w:fill="EEECE1" w:themeFill="background2"/>
            <w:vAlign w:val="center"/>
          </w:tcPr>
          <w:p w14:paraId="3B835B36">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标项</w:t>
            </w:r>
          </w:p>
        </w:tc>
        <w:tc>
          <w:tcPr>
            <w:tcW w:w="1503" w:type="pct"/>
            <w:shd w:val="clear" w:color="auto" w:fill="EEECE1" w:themeFill="background2"/>
            <w:vAlign w:val="center"/>
          </w:tcPr>
          <w:p w14:paraId="394F08ED">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120" w:firstLineChars="50"/>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项目名称</w:t>
            </w:r>
          </w:p>
        </w:tc>
        <w:tc>
          <w:tcPr>
            <w:tcW w:w="726" w:type="pct"/>
            <w:shd w:val="clear" w:color="auto" w:fill="EEECE1" w:themeFill="background2"/>
            <w:vAlign w:val="center"/>
          </w:tcPr>
          <w:p w14:paraId="28162B90">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规格型号</w:t>
            </w:r>
          </w:p>
        </w:tc>
        <w:tc>
          <w:tcPr>
            <w:tcW w:w="443" w:type="pct"/>
            <w:shd w:val="clear" w:color="auto" w:fill="EEECE1" w:themeFill="background2"/>
            <w:vAlign w:val="center"/>
          </w:tcPr>
          <w:p w14:paraId="75920761">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434" w:type="pct"/>
            <w:shd w:val="clear" w:color="auto" w:fill="EEECE1" w:themeFill="background2"/>
            <w:vAlign w:val="center"/>
          </w:tcPr>
          <w:p w14:paraId="7E320CCB">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672" w:type="pct"/>
            <w:shd w:val="clear" w:color="auto" w:fill="EEECE1" w:themeFill="background2"/>
            <w:vAlign w:val="center"/>
          </w:tcPr>
          <w:p w14:paraId="6121D1FD">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预算</w:t>
            </w:r>
          </w:p>
          <w:p w14:paraId="6981B5B1">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（万元）</w:t>
            </w:r>
          </w:p>
        </w:tc>
        <w:tc>
          <w:tcPr>
            <w:tcW w:w="819" w:type="pct"/>
            <w:shd w:val="clear" w:color="auto" w:fill="EEECE1" w:themeFill="background2"/>
            <w:vAlign w:val="center"/>
          </w:tcPr>
          <w:p w14:paraId="30243EE3">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交货地点</w:t>
            </w:r>
          </w:p>
        </w:tc>
      </w:tr>
      <w:tr w14:paraId="0101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00" w:type="pct"/>
            <w:vAlign w:val="center"/>
          </w:tcPr>
          <w:p w14:paraId="3FB85CB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1503" w:type="pct"/>
            <w:vAlign w:val="center"/>
          </w:tcPr>
          <w:p w14:paraId="1ECA61F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台州学院药学院酶催化实验室仪器设备采购项目</w:t>
            </w:r>
          </w:p>
        </w:tc>
        <w:tc>
          <w:tcPr>
            <w:tcW w:w="726" w:type="pct"/>
            <w:vAlign w:val="center"/>
          </w:tcPr>
          <w:p w14:paraId="551C965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详见技术需求</w:t>
            </w:r>
          </w:p>
        </w:tc>
        <w:tc>
          <w:tcPr>
            <w:tcW w:w="443" w:type="pct"/>
            <w:vAlign w:val="center"/>
          </w:tcPr>
          <w:p w14:paraId="44BFA8F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434" w:type="pct"/>
            <w:vAlign w:val="center"/>
          </w:tcPr>
          <w:p w14:paraId="07C2227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宋体" w:hAnsi="宋体" w:eastAsia="宋体" w:cs="宋体"/>
                <w:color w:val="auto"/>
                <w:sz w:val="24"/>
                <w:szCs w:val="24"/>
                <w:highlight w:val="none"/>
              </w:rPr>
              <w:t>批</w:t>
            </w:r>
          </w:p>
        </w:tc>
        <w:tc>
          <w:tcPr>
            <w:tcW w:w="672" w:type="pct"/>
            <w:vAlign w:val="center"/>
          </w:tcPr>
          <w:p w14:paraId="3DB1DA92">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52.8</w:t>
            </w:r>
          </w:p>
        </w:tc>
        <w:tc>
          <w:tcPr>
            <w:tcW w:w="819" w:type="pct"/>
            <w:vAlign w:val="center"/>
          </w:tcPr>
          <w:p w14:paraId="6B1ADF9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台州学院椒江校区</w:t>
            </w:r>
          </w:p>
        </w:tc>
      </w:tr>
    </w:tbl>
    <w:p w14:paraId="7FACBC63">
      <w:pPr>
        <w:tabs>
          <w:tab w:val="left" w:pos="8280"/>
        </w:tabs>
        <w:autoSpaceDE w:val="0"/>
        <w:autoSpaceDN w:val="0"/>
        <w:adjustRightInd w:val="0"/>
        <w:spacing w:line="440" w:lineRule="exact"/>
        <w:ind w:right="25" w:firstLine="240" w:firstLineChars="100"/>
        <w:rPr>
          <w:rFonts w:hint="eastAsia" w:asciiTheme="minorEastAsia" w:hAnsiTheme="minorEastAsia" w:eastAsiaTheme="minorEastAsia"/>
          <w:bCs/>
          <w:color w:val="auto"/>
          <w:sz w:val="24"/>
          <w:highlight w:val="none"/>
        </w:rPr>
      </w:pPr>
    </w:p>
    <w:p w14:paraId="310A6FF6">
      <w:pPr>
        <w:tabs>
          <w:tab w:val="left" w:pos="8280"/>
        </w:tabs>
        <w:autoSpaceDE w:val="0"/>
        <w:autoSpaceDN w:val="0"/>
        <w:adjustRightInd w:val="0"/>
        <w:spacing w:line="440" w:lineRule="exact"/>
        <w:ind w:right="25" w:firstLine="240" w:firstLineChars="1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2.采购清单</w:t>
      </w:r>
    </w:p>
    <w:p w14:paraId="4EE273C2">
      <w:pPr>
        <w:widowControl/>
        <w:jc w:val="left"/>
        <w:rPr>
          <w:rFonts w:hint="eastAsia" w:ascii="宋体" w:hAnsi="宋体" w:cs="宋体"/>
          <w:b/>
          <w:bCs/>
          <w:color w:val="auto"/>
          <w:sz w:val="24"/>
          <w:szCs w:val="24"/>
          <w:highlight w:val="none"/>
          <w:lang w:eastAsia="zh-CN"/>
        </w:rPr>
      </w:pPr>
    </w:p>
    <w:tbl>
      <w:tblPr>
        <w:tblStyle w:val="47"/>
        <w:tblpPr w:leftFromText="180" w:rightFromText="180" w:vertAnchor="text" w:horzAnchor="page" w:tblpX="1571" w:tblpY="70"/>
        <w:tblOverlap w:val="never"/>
        <w:tblW w:w="4997" w:type="pct"/>
        <w:jc w:val="center"/>
        <w:tblLayout w:type="autofit"/>
        <w:tblCellMar>
          <w:top w:w="0" w:type="dxa"/>
          <w:left w:w="108" w:type="dxa"/>
          <w:bottom w:w="0" w:type="dxa"/>
          <w:right w:w="108" w:type="dxa"/>
        </w:tblCellMar>
      </w:tblPr>
      <w:tblGrid>
        <w:gridCol w:w="1017"/>
        <w:gridCol w:w="2745"/>
        <w:gridCol w:w="2220"/>
        <w:gridCol w:w="944"/>
        <w:gridCol w:w="973"/>
        <w:gridCol w:w="1156"/>
      </w:tblGrid>
      <w:tr w14:paraId="3162549B">
        <w:tblPrEx>
          <w:tblCellMar>
            <w:top w:w="0" w:type="dxa"/>
            <w:left w:w="108" w:type="dxa"/>
            <w:bottom w:w="0" w:type="dxa"/>
            <w:right w:w="108" w:type="dxa"/>
          </w:tblCellMar>
        </w:tblPrEx>
        <w:trPr>
          <w:trHeight w:val="428" w:hRule="atLeast"/>
          <w:jc w:val="center"/>
        </w:trPr>
        <w:tc>
          <w:tcPr>
            <w:tcW w:w="561" w:type="pct"/>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40078F60">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1515" w:type="pct"/>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7F0451CA">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设备名称</w:t>
            </w:r>
          </w:p>
        </w:tc>
        <w:tc>
          <w:tcPr>
            <w:tcW w:w="1225" w:type="pct"/>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0F9F614D">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规格型号</w:t>
            </w:r>
          </w:p>
        </w:tc>
        <w:tc>
          <w:tcPr>
            <w:tcW w:w="521" w:type="pct"/>
            <w:tcBorders>
              <w:top w:val="single" w:color="000000" w:sz="4" w:space="0"/>
              <w:left w:val="nil"/>
              <w:right w:val="single" w:color="000000" w:sz="4" w:space="0"/>
            </w:tcBorders>
            <w:shd w:val="clear" w:color="auto" w:fill="EEECE1" w:themeFill="background2"/>
            <w:vAlign w:val="center"/>
          </w:tcPr>
          <w:p w14:paraId="7DF77315">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537" w:type="pct"/>
            <w:tcBorders>
              <w:top w:val="single" w:color="000000" w:sz="4" w:space="0"/>
              <w:left w:val="nil"/>
              <w:right w:val="single" w:color="000000" w:sz="4" w:space="0"/>
            </w:tcBorders>
            <w:shd w:val="clear" w:color="auto" w:fill="EEECE1" w:themeFill="background2"/>
            <w:vAlign w:val="center"/>
          </w:tcPr>
          <w:p w14:paraId="21D70B05">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638" w:type="pct"/>
            <w:tcBorders>
              <w:top w:val="single" w:color="000000" w:sz="4" w:space="0"/>
              <w:left w:val="nil"/>
              <w:right w:val="single" w:color="000000" w:sz="4" w:space="0"/>
            </w:tcBorders>
            <w:shd w:val="clear" w:color="auto" w:fill="EEECE1" w:themeFill="background2"/>
            <w:vAlign w:val="center"/>
          </w:tcPr>
          <w:p w14:paraId="52528B1F">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备注</w:t>
            </w:r>
          </w:p>
        </w:tc>
      </w:tr>
      <w:tr w14:paraId="70A42CB9">
        <w:tblPrEx>
          <w:tblCellMar>
            <w:top w:w="0" w:type="dxa"/>
            <w:left w:w="108" w:type="dxa"/>
            <w:bottom w:w="0" w:type="dxa"/>
            <w:right w:w="108" w:type="dxa"/>
          </w:tblCellMar>
        </w:tblPrEx>
        <w:trPr>
          <w:trHeight w:val="422" w:hRule="atLeast"/>
          <w:jc w:val="center"/>
        </w:trPr>
        <w:tc>
          <w:tcPr>
            <w:tcW w:w="561" w:type="pct"/>
            <w:tcBorders>
              <w:top w:val="single" w:color="000000" w:sz="4" w:space="0"/>
              <w:left w:val="single" w:color="000000" w:sz="4" w:space="0"/>
              <w:bottom w:val="single" w:color="000000" w:sz="4" w:space="0"/>
              <w:right w:val="single" w:color="000000" w:sz="4" w:space="0"/>
            </w:tcBorders>
            <w:vAlign w:val="center"/>
          </w:tcPr>
          <w:p w14:paraId="00C247E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1515" w:type="pct"/>
            <w:tcBorders>
              <w:top w:val="single" w:color="000000" w:sz="4" w:space="0"/>
              <w:left w:val="single" w:color="000000" w:sz="4" w:space="0"/>
              <w:bottom w:val="single" w:color="000000" w:sz="4" w:space="0"/>
              <w:right w:val="single" w:color="000000" w:sz="4" w:space="0"/>
            </w:tcBorders>
            <w:vAlign w:val="center"/>
          </w:tcPr>
          <w:p w14:paraId="5E285FD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高效液相色谱仪</w:t>
            </w:r>
          </w:p>
        </w:tc>
        <w:tc>
          <w:tcPr>
            <w:tcW w:w="1225" w:type="pct"/>
            <w:tcBorders>
              <w:top w:val="single" w:color="000000" w:sz="4" w:space="0"/>
              <w:left w:val="single" w:color="000000" w:sz="4" w:space="0"/>
              <w:bottom w:val="single" w:color="000000" w:sz="4" w:space="0"/>
              <w:right w:val="single" w:color="000000" w:sz="4" w:space="0"/>
            </w:tcBorders>
            <w:vAlign w:val="center"/>
          </w:tcPr>
          <w:p w14:paraId="5A90F61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详见技术需求</w:t>
            </w:r>
          </w:p>
        </w:tc>
        <w:tc>
          <w:tcPr>
            <w:tcW w:w="521" w:type="pct"/>
            <w:tcBorders>
              <w:top w:val="single" w:color="auto" w:sz="4" w:space="0"/>
              <w:left w:val="nil"/>
              <w:bottom w:val="single" w:color="auto" w:sz="4" w:space="0"/>
              <w:right w:val="single" w:color="000000" w:sz="4" w:space="0"/>
            </w:tcBorders>
            <w:vAlign w:val="center"/>
          </w:tcPr>
          <w:p w14:paraId="12E4F8A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p>
        </w:tc>
        <w:tc>
          <w:tcPr>
            <w:tcW w:w="537" w:type="pct"/>
            <w:tcBorders>
              <w:top w:val="single" w:color="auto" w:sz="4" w:space="0"/>
              <w:left w:val="nil"/>
              <w:bottom w:val="single" w:color="auto" w:sz="4" w:space="0"/>
              <w:right w:val="single" w:color="000000" w:sz="4" w:space="0"/>
            </w:tcBorders>
            <w:vAlign w:val="center"/>
          </w:tcPr>
          <w:p w14:paraId="1F81AF6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638" w:type="pct"/>
            <w:tcBorders>
              <w:top w:val="single" w:color="auto" w:sz="4" w:space="0"/>
              <w:left w:val="nil"/>
              <w:bottom w:val="single" w:color="auto" w:sz="4" w:space="0"/>
              <w:right w:val="single" w:color="000000" w:sz="4" w:space="0"/>
            </w:tcBorders>
            <w:vAlign w:val="center"/>
          </w:tcPr>
          <w:p w14:paraId="7ED7859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p>
        </w:tc>
      </w:tr>
      <w:tr w14:paraId="1AB3A585">
        <w:tblPrEx>
          <w:tblCellMar>
            <w:top w:w="0" w:type="dxa"/>
            <w:left w:w="108" w:type="dxa"/>
            <w:bottom w:w="0" w:type="dxa"/>
            <w:right w:w="108" w:type="dxa"/>
          </w:tblCellMar>
        </w:tblPrEx>
        <w:trPr>
          <w:trHeight w:val="394" w:hRule="atLeast"/>
          <w:jc w:val="center"/>
        </w:trPr>
        <w:tc>
          <w:tcPr>
            <w:tcW w:w="561" w:type="pct"/>
            <w:tcBorders>
              <w:top w:val="single" w:color="000000" w:sz="4" w:space="0"/>
              <w:left w:val="single" w:color="000000" w:sz="4" w:space="0"/>
              <w:bottom w:val="single" w:color="000000" w:sz="4" w:space="0"/>
              <w:right w:val="single" w:color="000000" w:sz="4" w:space="0"/>
            </w:tcBorders>
            <w:vAlign w:val="center"/>
          </w:tcPr>
          <w:p w14:paraId="0B08B81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1515" w:type="pct"/>
            <w:tcBorders>
              <w:top w:val="single" w:color="000000" w:sz="4" w:space="0"/>
              <w:left w:val="single" w:color="000000" w:sz="4" w:space="0"/>
              <w:bottom w:val="single" w:color="000000" w:sz="4" w:space="0"/>
              <w:right w:val="single" w:color="000000" w:sz="4" w:space="0"/>
            </w:tcBorders>
            <w:vAlign w:val="center"/>
          </w:tcPr>
          <w:p w14:paraId="7722591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多功能酶标仪</w:t>
            </w:r>
          </w:p>
        </w:tc>
        <w:tc>
          <w:tcPr>
            <w:tcW w:w="1225" w:type="pct"/>
            <w:tcBorders>
              <w:top w:val="single" w:color="000000" w:sz="4" w:space="0"/>
              <w:left w:val="single" w:color="000000" w:sz="4" w:space="0"/>
              <w:bottom w:val="single" w:color="000000" w:sz="4" w:space="0"/>
              <w:right w:val="single" w:color="auto" w:sz="4" w:space="0"/>
            </w:tcBorders>
            <w:vAlign w:val="center"/>
          </w:tcPr>
          <w:p w14:paraId="0DDB9AA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详见技术需求</w:t>
            </w:r>
          </w:p>
        </w:tc>
        <w:tc>
          <w:tcPr>
            <w:tcW w:w="521" w:type="pct"/>
            <w:tcBorders>
              <w:top w:val="single" w:color="auto" w:sz="4" w:space="0"/>
              <w:left w:val="single" w:color="auto" w:sz="4" w:space="0"/>
              <w:bottom w:val="single" w:color="auto" w:sz="4" w:space="0"/>
              <w:right w:val="single" w:color="auto" w:sz="4" w:space="0"/>
            </w:tcBorders>
            <w:vAlign w:val="center"/>
          </w:tcPr>
          <w:p w14:paraId="1E46AA7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p>
        </w:tc>
        <w:tc>
          <w:tcPr>
            <w:tcW w:w="537" w:type="pct"/>
            <w:tcBorders>
              <w:top w:val="single" w:color="auto" w:sz="4" w:space="0"/>
              <w:left w:val="single" w:color="auto" w:sz="4" w:space="0"/>
              <w:bottom w:val="single" w:color="auto" w:sz="4" w:space="0"/>
              <w:right w:val="single" w:color="auto" w:sz="4" w:space="0"/>
            </w:tcBorders>
            <w:vAlign w:val="center"/>
          </w:tcPr>
          <w:p w14:paraId="0BBAF61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638" w:type="pct"/>
            <w:tcBorders>
              <w:top w:val="single" w:color="auto" w:sz="4" w:space="0"/>
              <w:left w:val="single" w:color="auto" w:sz="4" w:space="0"/>
              <w:bottom w:val="single" w:color="auto" w:sz="4" w:space="0"/>
              <w:right w:val="single" w:color="auto" w:sz="4" w:space="0"/>
            </w:tcBorders>
            <w:vAlign w:val="center"/>
          </w:tcPr>
          <w:p w14:paraId="75573F5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p>
        </w:tc>
      </w:tr>
      <w:tr w14:paraId="6672D67F">
        <w:tblPrEx>
          <w:tblCellMar>
            <w:top w:w="0" w:type="dxa"/>
            <w:left w:w="108" w:type="dxa"/>
            <w:bottom w:w="0" w:type="dxa"/>
            <w:right w:w="108" w:type="dxa"/>
          </w:tblCellMar>
        </w:tblPrEx>
        <w:trPr>
          <w:trHeight w:val="422" w:hRule="atLeast"/>
          <w:jc w:val="center"/>
        </w:trPr>
        <w:tc>
          <w:tcPr>
            <w:tcW w:w="561" w:type="pct"/>
            <w:tcBorders>
              <w:top w:val="single" w:color="000000" w:sz="4" w:space="0"/>
              <w:left w:val="single" w:color="000000" w:sz="4" w:space="0"/>
              <w:bottom w:val="single" w:color="000000" w:sz="4" w:space="0"/>
              <w:right w:val="single" w:color="000000" w:sz="4" w:space="0"/>
            </w:tcBorders>
            <w:vAlign w:val="center"/>
          </w:tcPr>
          <w:p w14:paraId="436579C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c>
          <w:tcPr>
            <w:tcW w:w="1515" w:type="pct"/>
            <w:tcBorders>
              <w:top w:val="single" w:color="000000" w:sz="4" w:space="0"/>
              <w:left w:val="single" w:color="000000" w:sz="4" w:space="0"/>
              <w:bottom w:val="single" w:color="000000" w:sz="4" w:space="0"/>
              <w:right w:val="single" w:color="000000" w:sz="4" w:space="0"/>
            </w:tcBorders>
            <w:vAlign w:val="center"/>
          </w:tcPr>
          <w:p w14:paraId="580117A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超微量紫外分光光度计</w:t>
            </w:r>
          </w:p>
        </w:tc>
        <w:tc>
          <w:tcPr>
            <w:tcW w:w="1225" w:type="pct"/>
            <w:tcBorders>
              <w:top w:val="single" w:color="000000" w:sz="4" w:space="0"/>
              <w:left w:val="single" w:color="000000" w:sz="4" w:space="0"/>
              <w:bottom w:val="single" w:color="000000" w:sz="4" w:space="0"/>
              <w:right w:val="single" w:color="auto" w:sz="4" w:space="0"/>
            </w:tcBorders>
            <w:vAlign w:val="center"/>
          </w:tcPr>
          <w:p w14:paraId="72C312A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详见技术需求</w:t>
            </w:r>
          </w:p>
        </w:tc>
        <w:tc>
          <w:tcPr>
            <w:tcW w:w="521" w:type="pct"/>
            <w:tcBorders>
              <w:top w:val="single" w:color="auto" w:sz="4" w:space="0"/>
              <w:left w:val="single" w:color="auto" w:sz="4" w:space="0"/>
              <w:bottom w:val="single" w:color="auto" w:sz="4" w:space="0"/>
              <w:right w:val="single" w:color="auto" w:sz="4" w:space="0"/>
            </w:tcBorders>
            <w:vAlign w:val="center"/>
          </w:tcPr>
          <w:p w14:paraId="6E7DF42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1</w:t>
            </w:r>
          </w:p>
        </w:tc>
        <w:tc>
          <w:tcPr>
            <w:tcW w:w="537" w:type="pct"/>
            <w:tcBorders>
              <w:top w:val="single" w:color="auto" w:sz="4" w:space="0"/>
              <w:left w:val="single" w:color="auto" w:sz="4" w:space="0"/>
              <w:bottom w:val="single" w:color="auto" w:sz="4" w:space="0"/>
              <w:right w:val="single" w:color="auto" w:sz="4" w:space="0"/>
            </w:tcBorders>
            <w:vAlign w:val="center"/>
          </w:tcPr>
          <w:p w14:paraId="31533BD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台</w:t>
            </w:r>
          </w:p>
        </w:tc>
        <w:tc>
          <w:tcPr>
            <w:tcW w:w="638" w:type="pct"/>
            <w:tcBorders>
              <w:top w:val="single" w:color="auto" w:sz="4" w:space="0"/>
              <w:left w:val="single" w:color="auto" w:sz="4" w:space="0"/>
              <w:bottom w:val="single" w:color="auto" w:sz="4" w:space="0"/>
              <w:right w:val="single" w:color="auto" w:sz="4" w:space="0"/>
            </w:tcBorders>
            <w:vAlign w:val="center"/>
          </w:tcPr>
          <w:p w14:paraId="321B692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p>
        </w:tc>
      </w:tr>
    </w:tbl>
    <w:p w14:paraId="2A51C526">
      <w:pPr>
        <w:widowControl/>
        <w:jc w:val="left"/>
        <w:rPr>
          <w:rFonts w:hint="eastAsia" w:ascii="宋体" w:hAnsi="宋体" w:cs="宋体"/>
          <w:b/>
          <w:bCs/>
          <w:color w:val="auto"/>
          <w:sz w:val="24"/>
          <w:szCs w:val="24"/>
          <w:highlight w:val="none"/>
          <w:lang w:eastAsia="zh-CN"/>
        </w:rPr>
      </w:pPr>
    </w:p>
    <w:p w14:paraId="6AA663F9">
      <w:pPr>
        <w:widowControl/>
        <w:jc w:val="left"/>
        <w:rPr>
          <w:rFonts w:hint="eastAsia" w:ascii="宋体" w:hAnsi="宋体" w:cs="宋体"/>
          <w:b/>
          <w:bCs/>
          <w:color w:val="auto"/>
          <w:sz w:val="24"/>
          <w:szCs w:val="24"/>
          <w:highlight w:val="none"/>
          <w:lang w:eastAsia="zh-CN"/>
        </w:rPr>
      </w:pPr>
    </w:p>
    <w:p w14:paraId="0187CBF5">
      <w:pPr>
        <w:widowControl/>
        <w:numPr>
          <w:ilvl w:val="0"/>
          <w:numId w:val="6"/>
        </w:numPr>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技术需求参数</w:t>
      </w:r>
    </w:p>
    <w:p w14:paraId="54E41E3B">
      <w:pPr>
        <w:pStyle w:val="2"/>
        <w:numPr>
          <w:ilvl w:val="0"/>
          <w:numId w:val="0"/>
        </w:numPr>
        <w:rPr>
          <w:rFonts w:hint="eastAsia"/>
          <w:color w:val="auto"/>
          <w:highlight w:val="none"/>
        </w:rPr>
      </w:pPr>
    </w:p>
    <w:tbl>
      <w:tblPr>
        <w:tblStyle w:val="4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758"/>
        <w:gridCol w:w="6287"/>
      </w:tblGrid>
      <w:tr w14:paraId="7421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shd w:val="clear" w:color="auto" w:fill="EEECE1" w:themeFill="background2"/>
            <w:vAlign w:val="center"/>
          </w:tcPr>
          <w:p w14:paraId="11C5446C">
            <w:pPr>
              <w:keepNext w:val="0"/>
              <w:keepLines w:val="0"/>
              <w:suppressLineNumbers w:val="0"/>
              <w:snapToGrid w:val="0"/>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758" w:type="dxa"/>
            <w:shd w:val="clear" w:color="auto" w:fill="EEECE1" w:themeFill="background2"/>
            <w:vAlign w:val="center"/>
          </w:tcPr>
          <w:p w14:paraId="31152718">
            <w:pPr>
              <w:keepNext w:val="0"/>
              <w:keepLines w:val="0"/>
              <w:suppressLineNumbers w:val="0"/>
              <w:snapToGrid w:val="0"/>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设备名称</w:t>
            </w:r>
          </w:p>
        </w:tc>
        <w:tc>
          <w:tcPr>
            <w:tcW w:w="6287" w:type="dxa"/>
            <w:shd w:val="clear" w:color="auto" w:fill="EEECE1" w:themeFill="background2"/>
            <w:vAlign w:val="center"/>
          </w:tcPr>
          <w:p w14:paraId="241BBEB8">
            <w:pPr>
              <w:keepNext w:val="0"/>
              <w:keepLines w:val="0"/>
              <w:suppressLineNumbers w:val="0"/>
              <w:snapToGrid w:val="0"/>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技术参数</w:t>
            </w:r>
          </w:p>
        </w:tc>
      </w:tr>
      <w:tr w14:paraId="313D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8" w:hRule="atLeast"/>
        </w:trPr>
        <w:tc>
          <w:tcPr>
            <w:tcW w:w="477" w:type="dxa"/>
            <w:vAlign w:val="center"/>
          </w:tcPr>
          <w:p w14:paraId="521B33CA">
            <w:pPr>
              <w:keepNext w:val="0"/>
              <w:keepLines w:val="0"/>
              <w:suppressLineNumbers w:val="0"/>
              <w:snapToGrid w:val="0"/>
              <w:spacing w:before="0" w:beforeAutospacing="0" w:after="0" w:afterAutospacing="0" w:line="24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758" w:type="dxa"/>
            <w:tcBorders>
              <w:top w:val="single" w:color="000000" w:sz="4" w:space="0"/>
              <w:left w:val="single" w:color="000000" w:sz="4" w:space="0"/>
              <w:bottom w:val="single" w:color="000000" w:sz="4" w:space="0"/>
              <w:right w:val="single" w:color="000000" w:sz="4" w:space="0"/>
            </w:tcBorders>
            <w:vAlign w:val="center"/>
          </w:tcPr>
          <w:p w14:paraId="48613AA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高效液相色谱仪</w:t>
            </w:r>
          </w:p>
        </w:tc>
        <w:tc>
          <w:tcPr>
            <w:tcW w:w="6287" w:type="dxa"/>
          </w:tcPr>
          <w:p w14:paraId="5CED462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1.操作环境</w:t>
            </w:r>
          </w:p>
          <w:p w14:paraId="69313505">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1.1工作电压：220V ±10%，单相；</w:t>
            </w:r>
          </w:p>
          <w:p w14:paraId="59DFEF6D">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1.2工作温度：4-35℃；</w:t>
            </w:r>
          </w:p>
          <w:p w14:paraId="35DA63C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1.3相对湿度：小于80%；</w:t>
            </w:r>
          </w:p>
          <w:p w14:paraId="24C8FF2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bookmarkStart w:id="100" w:name="OLE_LINK11"/>
            <w:r>
              <w:rPr>
                <w:rFonts w:hint="eastAsia" w:asciiTheme="minorEastAsia" w:hAnsiTheme="minorEastAsia" w:eastAsiaTheme="minorEastAsia" w:cstheme="minorEastAsia"/>
                <w:color w:val="auto"/>
                <w:sz w:val="24"/>
                <w:highlight w:val="none"/>
              </w:rPr>
              <w:t>液相色谱部分</w:t>
            </w:r>
            <w:bookmarkEnd w:id="100"/>
          </w:p>
          <w:p w14:paraId="338C6F0A">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2.1在线脱气机</w:t>
            </w:r>
          </w:p>
          <w:p w14:paraId="7176F2DE">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2.1.1真空脱气流路数：≥5路；</w:t>
            </w:r>
          </w:p>
          <w:p w14:paraId="55C6948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2.1.2最大操作流速：每个流路10 mL/min；</w:t>
            </w:r>
          </w:p>
          <w:p w14:paraId="471C09D2">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2.1.3内部容量：每个流路400ul；</w:t>
            </w:r>
          </w:p>
          <w:p w14:paraId="50A4661F">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2.2泵系统：</w:t>
            </w:r>
          </w:p>
          <w:p w14:paraId="20B33D73">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 泵型：微体积（柱塞体积</w:t>
            </w:r>
            <w:bookmarkStart w:id="101" w:name="OLE_LINK12"/>
            <w:r>
              <w:rPr>
                <w:rFonts w:hint="eastAsia" w:asciiTheme="minorEastAsia" w:hAnsiTheme="minorEastAsia" w:eastAsiaTheme="minorEastAsia" w:cstheme="minorEastAsia"/>
                <w:color w:val="auto"/>
                <w:sz w:val="24"/>
                <w:highlight w:val="none"/>
              </w:rPr>
              <w:t>≤10µL</w:t>
            </w:r>
            <w:bookmarkEnd w:id="101"/>
            <w:r>
              <w:rPr>
                <w:rFonts w:hint="eastAsia" w:asciiTheme="minorEastAsia" w:hAnsiTheme="minorEastAsia" w:eastAsiaTheme="minorEastAsia" w:cstheme="minorEastAsia"/>
                <w:color w:val="auto"/>
                <w:sz w:val="24"/>
                <w:highlight w:val="none"/>
              </w:rPr>
              <w:t>）双柱塞往复并联泵；</w:t>
            </w:r>
          </w:p>
          <w:p w14:paraId="4250FBD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 传动机制：皮带传动；</w:t>
            </w:r>
          </w:p>
          <w:p w14:paraId="602A2E7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2.2.3流速范围：0.0001-10.0000 ml/min；</w:t>
            </w:r>
          </w:p>
          <w:p w14:paraId="7ADC0DD1">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★2.2.3流速精确度：≤0.062％；</w:t>
            </w:r>
          </w:p>
          <w:p w14:paraId="78236A2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2.2.4流速准确度：≤1%；</w:t>
            </w:r>
          </w:p>
          <w:p w14:paraId="1564389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2.2.5工作压力：最大耐压66Mpa；</w:t>
            </w:r>
          </w:p>
          <w:p w14:paraId="388BFAC2">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2.2.6溶剂压缩性补偿：可自动, 连续进行；</w:t>
            </w:r>
          </w:p>
          <w:p w14:paraId="7A95A00F">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2.2.7梯度组成范围：0.0-100.0%, 0.1%步进；</w:t>
            </w:r>
          </w:p>
          <w:p w14:paraId="4F1E5552">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2.2.8梯度混合精度：0.1%RSD；</w:t>
            </w:r>
          </w:p>
          <w:p w14:paraId="007F9B7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2.2.9安全机制：高压、低压报警、漏液报警等；</w:t>
            </w:r>
          </w:p>
          <w:p w14:paraId="53A6A72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2.2.10时间程序：流量、压力、事件、LOOP（程序反复）、</w:t>
            </w:r>
            <w:bookmarkStart w:id="102" w:name="OLE_LINK16"/>
            <w:r>
              <w:rPr>
                <w:rFonts w:hint="eastAsia" w:asciiTheme="minorEastAsia" w:hAnsiTheme="minorEastAsia" w:eastAsiaTheme="minorEastAsia" w:cstheme="minorEastAsia"/>
                <w:color w:val="auto"/>
                <w:sz w:val="24"/>
                <w:highlight w:val="none"/>
              </w:rPr>
              <w:t>文件、合计≥320段；</w:t>
            </w:r>
            <w:bookmarkEnd w:id="102"/>
          </w:p>
          <w:p w14:paraId="15571B9F">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2.2.11 物理双泵头：便于维护，自动清洁柱塞机构</w:t>
            </w:r>
          </w:p>
          <w:p w14:paraId="6BE0F16F">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12 输液模式：恒定流速输液、恒定压力输液（可通过工作站实现切换）；</w:t>
            </w:r>
          </w:p>
          <w:p w14:paraId="706ACF4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★2.2.13 独立控制面板：可脱离工作站独立操作；</w:t>
            </w:r>
          </w:p>
          <w:p w14:paraId="6751FE53">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★2.2.14混合器控温：可实现流动相快速混合；</w:t>
            </w:r>
          </w:p>
          <w:p w14:paraId="77FD4FB2">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2.2.15混合器体积可调：500µL、900µL、1700µL和2600µL；</w:t>
            </w:r>
          </w:p>
          <w:p w14:paraId="5FB06BBC">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（以上两条需要在配置要求中明确注明“混合器”）</w:t>
            </w:r>
          </w:p>
          <w:p w14:paraId="19EE841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2.2.16 无阻尼器设计：无需阻尼器即可实现系统压力稳定，减小延迟体积；</w:t>
            </w:r>
          </w:p>
          <w:p w14:paraId="6602A8F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2.2.17 梯度模式：二元高压梯度系统，要求独立两台输液泵，而非二元一体泵，以降低故障率且便于维护。</w:t>
            </w:r>
          </w:p>
          <w:p w14:paraId="73664D77">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2.3自动进样器：</w:t>
            </w:r>
          </w:p>
          <w:p w14:paraId="17476113">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2.3.1进样方式：全量进样, 环路进样；</w:t>
            </w:r>
          </w:p>
          <w:p w14:paraId="37A1078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2.3.2进样量设定范围: 0.1µL ~ 100µL(标准值)，可以增加至2000uL；</w:t>
            </w:r>
          </w:p>
          <w:p w14:paraId="01D7EBB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2.3.3样品瓶数目：≥120个 (1.5mL样品瓶)；</w:t>
            </w:r>
          </w:p>
          <w:p w14:paraId="3219FBA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2.3.4进样精度: &lt;0.2%RSD；</w:t>
            </w:r>
          </w:p>
          <w:p w14:paraId="75EF8770">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2.3.5进样量准确度: 1%以下；</w:t>
            </w:r>
          </w:p>
          <w:p w14:paraId="6DF0A34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★2.3.6交叉污染: ≦ 0.0025%；  </w:t>
            </w:r>
          </w:p>
          <w:p w14:paraId="797E3C8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2.3.7进样速度：完成10mL进样时间≤5秒；</w:t>
            </w:r>
          </w:p>
          <w:p w14:paraId="60ECC5E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2.3.8进样针清洗：在进样前后可以任意设定；具备内壁/外壁清洗功能；清洗液有在线自动脱气；</w:t>
            </w:r>
          </w:p>
          <w:p w14:paraId="4C31F8E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2.3.9进样线性： &gt;0.9999；</w:t>
            </w:r>
          </w:p>
          <w:p w14:paraId="2E27D8B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2.3.10使用pH范围： pH1 ~ pH14；</w:t>
            </w:r>
          </w:p>
          <w:p w14:paraId="0D0F2F4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2.3.11 独立控制面板：可脱离工作站独立操作；</w:t>
            </w:r>
          </w:p>
          <w:p w14:paraId="4146A9A9">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★2.3.12 自动purging：无需打开purge阀，可自动冲洗系统；</w:t>
            </w:r>
          </w:p>
          <w:p w14:paraId="604AA209">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2.4柱温箱</w:t>
            </w:r>
          </w:p>
          <w:p w14:paraId="33780A2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2.4.1容量：可放置≥5根4.6x 300mm的色谱和两个手动进样器、梯度混合器、柱切换阀等；</w:t>
            </w:r>
          </w:p>
          <w:p w14:paraId="0C69DDE2">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2.4.2温度控制范围: (室温+10~80℃）；</w:t>
            </w:r>
          </w:p>
          <w:p w14:paraId="7EC986F5">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2.4.3控温方式：强制空气循环式；</w:t>
            </w:r>
          </w:p>
          <w:p w14:paraId="477EE20C">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2.4.4温度稳定性：±0.1℃ （典型值0.04℃）；</w:t>
            </w:r>
          </w:p>
          <w:p w14:paraId="729AA2D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2.4.5安全措施：a.为防止过热，可设定使用最高温度保护；b.内装温度保险丝；c.内装可燃溶剂漏夜传感器 </w:t>
            </w:r>
          </w:p>
          <w:p w14:paraId="3C054A2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2.4.6控制方式：软件控制、面板控制；</w:t>
            </w:r>
          </w:p>
          <w:p w14:paraId="4782B48F">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★2.4.7 色谱柱切换阀：FCV-14AH，用于自动切换多根色谱柱，安装于柱温箱内部；</w:t>
            </w:r>
          </w:p>
          <w:p w14:paraId="351F2CD0">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2.4.8 独立控制面板 ：可脱离工作站独立操作；</w:t>
            </w:r>
          </w:p>
          <w:p w14:paraId="50BF356A">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2.5高灵敏度紫外检测器</w:t>
            </w:r>
          </w:p>
          <w:p w14:paraId="34FC74D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 光源：氘灯加汞灯；</w:t>
            </w:r>
          </w:p>
          <w:p w14:paraId="02F5E9C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2.5.2波长范围：190－800nm；</w:t>
            </w:r>
          </w:p>
          <w:p w14:paraId="522B223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2.5.3波长准确度：≤1nm；</w:t>
            </w:r>
          </w:p>
          <w:p w14:paraId="0A836ED3">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2.5.4波长精密度：≤0.1nm；</w:t>
            </w:r>
          </w:p>
          <w:p w14:paraId="4D08C36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2.5.5噪音：±0.25×10－5；</w:t>
            </w:r>
          </w:p>
          <w:p w14:paraId="5F80A0E0">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★2.5.6飘移：≤1×10－4AU/h；</w:t>
            </w:r>
          </w:p>
          <w:p w14:paraId="1701C7B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★2.5.7线性: ＞2.4AU；</w:t>
            </w:r>
          </w:p>
          <w:p w14:paraId="0EE9BA41">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2.5.7检测池体积：10uL （可更换）；</w:t>
            </w:r>
          </w:p>
          <w:p w14:paraId="2013D768">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2.5.8 UV截止功能：内置UV截止滤光片(开/关可选)；</w:t>
            </w:r>
          </w:p>
          <w:p w14:paraId="1F50155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2.5.9 web控制：可进行参数设置，日志管理，消耗品管理；</w:t>
            </w:r>
          </w:p>
          <w:p w14:paraId="463E3C4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2.5.10 实现共流出化合物的基线分离：可通过i-PDeA 智能峰解卷积功能实现；</w:t>
            </w:r>
          </w:p>
          <w:p w14:paraId="388276C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2.5.11 该设备需具备通过i-DReC实现智能动态范围扩展的功能；</w:t>
            </w:r>
          </w:p>
          <w:p w14:paraId="6103A6F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★2.5.12 The maxplot功能：实现共流出化合物最大吸收波长的确认；</w:t>
            </w:r>
          </w:p>
          <w:p w14:paraId="3DE33B9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★2.5.13流通池温控：9~50℃、1℃步进；</w:t>
            </w:r>
          </w:p>
          <w:p w14:paraId="417B6E7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2.5.14流通池ID/光源ID功能：识别流通池与光源的ID，录入数据文件与系统检查报告；</w:t>
            </w:r>
          </w:p>
          <w:p w14:paraId="5F3AC18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2.5.15停泵扫描：可停泵作UV光谱图扫描；</w:t>
            </w:r>
          </w:p>
          <w:p w14:paraId="62757F0C">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2.5.16波长时间程序：产品应可设定波长（包括双波长）、自动调零、范围、标志指示、响应波长扫描、事件、极性、打开/关闭灯，循环、池温度以及停止；</w:t>
            </w:r>
          </w:p>
          <w:p w14:paraId="4FD2F72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2.6系统控制器</w:t>
            </w:r>
          </w:p>
          <w:p w14:paraId="16C97FC5">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2.6.1控制单元数：≥4个单元；</w:t>
            </w:r>
          </w:p>
          <w:p w14:paraId="6FBFB20C">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2.6.2数据缓存：约24小时/每次分析（≤500ms采样速率）；</w:t>
            </w:r>
          </w:p>
          <w:p w14:paraId="24B52E7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2.6.3Web控制功能：可实现以太网远程控制功能；</w:t>
            </w:r>
          </w:p>
          <w:p w14:paraId="71458BD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3.配置需求：</w:t>
            </w:r>
          </w:p>
          <w:p w14:paraId="0C90C816">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液相泵2台，UV检测器1台，柱温箱一台，自动进样器一台，色谱柱C18一根；</w:t>
            </w:r>
          </w:p>
        </w:tc>
      </w:tr>
      <w:tr w14:paraId="5DD9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6070B15F">
            <w:pPr>
              <w:keepNext w:val="0"/>
              <w:keepLines w:val="0"/>
              <w:suppressLineNumbers w:val="0"/>
              <w:snapToGrid w:val="0"/>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758" w:type="dxa"/>
            <w:tcBorders>
              <w:top w:val="single" w:color="000000" w:sz="4" w:space="0"/>
              <w:left w:val="single" w:color="000000" w:sz="4" w:space="0"/>
              <w:bottom w:val="single" w:color="000000" w:sz="4" w:space="0"/>
              <w:right w:val="single" w:color="000000" w:sz="4" w:space="0"/>
            </w:tcBorders>
            <w:vAlign w:val="center"/>
          </w:tcPr>
          <w:p w14:paraId="04A12FB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多功能酶标仪</w:t>
            </w:r>
          </w:p>
        </w:tc>
        <w:tc>
          <w:tcPr>
            <w:tcW w:w="6287" w:type="dxa"/>
          </w:tcPr>
          <w:p w14:paraId="3DF20DD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1.检测类型：6-384孔微孔板，24孔或64孔超微量检测板（2μl或4μl）；</w:t>
            </w:r>
          </w:p>
          <w:p w14:paraId="5688057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2.应用范围：基于四光栅技术：吸收光、荧光强度、化学发光和荧光共振能量转移；</w:t>
            </w:r>
          </w:p>
          <w:p w14:paraId="018E1B0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3.光源：高能氙闪灯光；</w:t>
            </w:r>
          </w:p>
          <w:p w14:paraId="7908A7FD">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★4.温度控制：室温+5℃-66℃；</w:t>
            </w:r>
          </w:p>
          <w:p w14:paraId="14898BC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5.温度均一性：±0.75℃；</w:t>
            </w:r>
          </w:p>
          <w:p w14:paraId="2819547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6.温度准确度：±1℃@37℃；</w:t>
            </w:r>
          </w:p>
          <w:p w14:paraId="4E16FCB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7.震荡方式：线性、圆周、双圆周（强度和速度可调）；</w:t>
            </w:r>
          </w:p>
          <w:p w14:paraId="72292FC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★8.检测器：-5℃制冷PMT；</w:t>
            </w:r>
          </w:p>
          <w:p w14:paraId="7B7A6B3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9.检测模式：终点法（所有模式），动力学（所有模式），全波长扫描（所有模式），区域扫描（可达20*20密度/孔）；</w:t>
            </w:r>
          </w:p>
          <w:p w14:paraId="1E58746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★10.电脑连接方式：网线（可直接接入局域网）</w:t>
            </w:r>
          </w:p>
          <w:p w14:paraId="436B1C4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允许一台工作站控制多台仪器，同时数据可以存入网络中的任何终端电脑，进行数据共享和分析；</w:t>
            </w:r>
          </w:p>
          <w:p w14:paraId="5755616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11.吸收光：</w:t>
            </w:r>
          </w:p>
          <w:p w14:paraId="71CF20C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波长范围：230nm-1000nm，1nm可调；</w:t>
            </w:r>
          </w:p>
          <w:p w14:paraId="36A7EEF1">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波长带宽：4.0nm；</w:t>
            </w:r>
          </w:p>
          <w:p w14:paraId="6538DA53">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波长准确度： ±2.0nm；</w:t>
            </w:r>
          </w:p>
          <w:p w14:paraId="4B66E5E3">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波长重复性：±1nm；</w:t>
            </w:r>
          </w:p>
          <w:p w14:paraId="40958A85">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光度量范围：0-4.0(OD)；</w:t>
            </w:r>
          </w:p>
          <w:p w14:paraId="3F9C060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11.6 分光检测分辨率：≤0.001OD；</w:t>
            </w:r>
          </w:p>
          <w:p w14:paraId="22756EE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★11.7 测定准确度：＜±0.010OD±1.0%，0-3.0OD；</w:t>
            </w:r>
          </w:p>
          <w:p w14:paraId="0D244E65">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★11.8 测定精确度：＜±0.003OD±1.0%，0-3.0OD；</w:t>
            </w:r>
          </w:p>
          <w:p w14:paraId="25FED55E">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11.9 杂散光： ＜0.05%@230nm；</w:t>
            </w:r>
          </w:p>
          <w:p w14:paraId="334928E0">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★11.10 光程校正技术：产品需配备PathCheck光径传感器技术，可以将实测的光密度值校正为1cm光径下的吸光度值，使对微孔板的测读达到分光光度计的精度，校正结果不随温度变化而变化；</w:t>
            </w:r>
          </w:p>
          <w:p w14:paraId="40CE4E3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12.荧光强度：</w:t>
            </w:r>
          </w:p>
          <w:p w14:paraId="240BB7F8">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 荧光检测支持：微孔板顶部及底部检测；</w:t>
            </w:r>
          </w:p>
          <w:p w14:paraId="406A3A7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 波长范围：250nm-850nm，1nm可调；</w:t>
            </w:r>
          </w:p>
          <w:p w14:paraId="7FD88106">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 带宽：(EX)15nm；( EM)25nm；</w:t>
            </w:r>
          </w:p>
          <w:p w14:paraId="75DDE0F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 动态学范围：＞6个数量级；</w:t>
            </w:r>
          </w:p>
          <w:p w14:paraId="05EAEFC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12.5 灵敏度(优化)：＜1pM荧光素，96孔板顶读；&lt; 2pM荧光素，96孔板底读；＜ 1pM荧光素， 384孔板顶读；＜ 2.5pM荧光素，384孔板底读；</w:t>
            </w:r>
          </w:p>
          <w:p w14:paraId="7FD3B29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13.化学发光：</w:t>
            </w:r>
          </w:p>
          <w:p w14:paraId="506E8FB0">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 化学发光检测支持：微孔板顶部检测；</w:t>
            </w:r>
          </w:p>
          <w:p w14:paraId="56E0E15F">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★13.2 波长范围：300nm—850nm，1nm可调；</w:t>
            </w:r>
          </w:p>
          <w:p w14:paraId="622792B6">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★13.3 动态学范围：＞7个数量级；</w:t>
            </w:r>
          </w:p>
          <w:p w14:paraId="303AA53A">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★13.4 灵敏度（辉光）：＜ 2pM ATP 96孔板，＜ 4pM ATP 384孔板；  </w:t>
            </w:r>
          </w:p>
          <w:p w14:paraId="54F0C426">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 灵敏度（闪光）： ＜20amol ATP（Promega ENLITEN ATP Assay System）；</w:t>
            </w:r>
          </w:p>
          <w:p w14:paraId="709CD6BD">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13.6 孔间干扰：＜0.1%，白色96孔板；＜0.2%，白色384孔板；</w:t>
            </w:r>
          </w:p>
          <w:p w14:paraId="5AB1C05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14.检测时间：</w:t>
            </w:r>
          </w:p>
          <w:p w14:paraId="3ED730C8">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96孔板：吸收光：28秒（优化）；荧光强度：21秒（优化）；化学发光：21秒（优化）；                 </w:t>
            </w:r>
          </w:p>
          <w:p w14:paraId="0E4E458A">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384孔板：吸收光：1分25秒；荧光强度：53秒；化学发光：1分01秒；</w:t>
            </w:r>
          </w:p>
          <w:p w14:paraId="18113A0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15.机器臂兼容性：兼容；</w:t>
            </w:r>
          </w:p>
          <w:p w14:paraId="79173B0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★16.需配备近场芯片感应通讯和身份识别功能（NFC），配备用户身份识别卡；</w:t>
            </w:r>
          </w:p>
          <w:p w14:paraId="5775DA2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17.仪器主机USB插口应支持数据输出；</w:t>
            </w:r>
          </w:p>
          <w:p w14:paraId="153EF92D">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★18.仪器主机面板应具有嵌入式大屏幕触摸屏：无需连接电脑，直接使用在线触屏进行程序、参数设置、读板、存储数据（至USB或网络路径）、数据展示和浏览；同时机器内置培训视频可在线可调用观看；</w:t>
            </w:r>
          </w:p>
          <w:p w14:paraId="5A7DDAC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19.注射器模块：</w:t>
            </w:r>
          </w:p>
          <w:p w14:paraId="7AC53117">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 注射器通道：内置双通道，1 µL增量；</w:t>
            </w:r>
          </w:p>
          <w:p w14:paraId="2C17B5AA">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 支持的模式：ABS, FI和Lumi；</w:t>
            </w:r>
          </w:p>
          <w:p w14:paraId="589EBDCD">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19.3 分液准确性：±5%@100 µL；</w:t>
            </w:r>
          </w:p>
          <w:p w14:paraId="0B67C687">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19.4 分液精确性：＜2% cv@100 µL；</w:t>
            </w:r>
          </w:p>
          <w:p w14:paraId="5AD746AB">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19.5 死体积：管路体积： 250 µL；回流死体积：&lt; 10 µL； </w:t>
            </w:r>
          </w:p>
          <w:p w14:paraId="2114852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20.软件：产品需配备SoftMax Pro数据分析软件可自动进行数据的运算及存储；可完成图表曲线制作，并可完成坐标轴的自由定义和转换，≥21种曲线拟合方式；完成自编公式和程序的存储及运行；仪器的各种功能均可通过计算机控制完成；软件符合GLP/GMP规范要求，数据不得修改（SoftMax Pro验证包、IQ/OQ/PQ验证手册可选），兼容Windows 10专业版或企业版系统。数据导入支持：Excel或XML格式的外部数据导入功能（可选），支持模板分组导入功能、支持多种模式（ABS\FI）检测导入到同一程序；支持多种数据导出格式：Excel、TXT、XML和PDF。</w:t>
            </w:r>
          </w:p>
        </w:tc>
      </w:tr>
      <w:tr w14:paraId="1E75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2B99EB1A">
            <w:pPr>
              <w:keepNext w:val="0"/>
              <w:keepLines w:val="0"/>
              <w:suppressLineNumbers w:val="0"/>
              <w:snapToGrid w:val="0"/>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758" w:type="dxa"/>
            <w:tcBorders>
              <w:top w:val="single" w:color="000000" w:sz="4" w:space="0"/>
              <w:left w:val="single" w:color="000000" w:sz="4" w:space="0"/>
              <w:bottom w:val="single" w:color="000000" w:sz="4" w:space="0"/>
              <w:right w:val="single" w:color="000000" w:sz="4" w:space="0"/>
            </w:tcBorders>
            <w:vAlign w:val="center"/>
          </w:tcPr>
          <w:p w14:paraId="6CC50BC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超微量紫外分光光度计</w:t>
            </w:r>
          </w:p>
        </w:tc>
        <w:tc>
          <w:tcPr>
            <w:tcW w:w="6287" w:type="dxa"/>
          </w:tcPr>
          <w:p w14:paraId="332F351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设备用途：</w:t>
            </w:r>
          </w:p>
          <w:p w14:paraId="5A3534BB">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1.1蛋白质、核酸样品浓度测量；</w:t>
            </w:r>
          </w:p>
          <w:p w14:paraId="644799C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1.2细菌细胞密度测量；</w:t>
            </w:r>
          </w:p>
          <w:p w14:paraId="1A2B9240">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1.3化合物的定量和定性分析；</w:t>
            </w:r>
          </w:p>
          <w:p w14:paraId="4B35DA35">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 动力学分析；</w:t>
            </w:r>
          </w:p>
          <w:p w14:paraId="6CA5C61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 全波长和固定波长扫描；</w:t>
            </w:r>
          </w:p>
          <w:p w14:paraId="71CF307D">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工作条件：</w:t>
            </w:r>
          </w:p>
          <w:p w14:paraId="36FFA343">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2.1电源：90-250 V, 50/60 Hz,90W；</w:t>
            </w:r>
          </w:p>
          <w:p w14:paraId="5F95B3A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环境温度：15-35℃；</w:t>
            </w:r>
          </w:p>
          <w:p w14:paraId="505641C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环境湿度：＜85%；</w:t>
            </w:r>
          </w:p>
          <w:p w14:paraId="2065722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技术指标：</w:t>
            </w:r>
          </w:p>
          <w:p w14:paraId="794AF693">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3.1可进行微量样品吸光度、浓度、纯度测量，配有微量样品台；</w:t>
            </w:r>
          </w:p>
          <w:p w14:paraId="5F6A1C26">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微量样品台：</w:t>
            </w:r>
          </w:p>
          <w:p w14:paraId="780547B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★3.2.1 最小样品量： 0.3μL；</w:t>
            </w:r>
          </w:p>
          <w:p w14:paraId="2C9292B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光度范围：0.1-150 A ；</w:t>
            </w:r>
          </w:p>
          <w:p w14:paraId="3A88A3F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 检测范围：dsDNA：5-7500ng/μL，BSA：0.15-217mg/ml。</w:t>
            </w:r>
          </w:p>
          <w:p w14:paraId="4B151B6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 光学规格：</w:t>
            </w:r>
          </w:p>
          <w:p w14:paraId="233A4B10">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 波长扫描范围:200-650nm；</w:t>
            </w:r>
          </w:p>
          <w:p w14:paraId="7EBF940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★3.3.2 光程数量≤2个，0.67mm和0.07mm双固定光程电磁弹射切换，终身无需校正，光程切换器所有部分均不暴露在空气中；</w:t>
            </w:r>
          </w:p>
          <w:p w14:paraId="6C5ADB8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★3.3.3开机无需预热，测量时间：完成200nm-650nm全波长测量时间≤4秒；</w:t>
            </w:r>
          </w:p>
          <w:p w14:paraId="36197FF8">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 吸光度准确性：＜2 %读数（0.7A，280nm）；</w:t>
            </w:r>
          </w:p>
          <w:p w14:paraId="70C76F9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★3.3.5光学检测系统：不低于4000像素CMOS阵列检测器；</w:t>
            </w:r>
          </w:p>
          <w:p w14:paraId="66A0957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w:t>
            </w:r>
            <w:bookmarkStart w:id="103" w:name="OLE_LINK9"/>
            <w:r>
              <w:rPr>
                <w:rFonts w:hint="eastAsia" w:asciiTheme="minorEastAsia" w:hAnsiTheme="minorEastAsia" w:eastAsiaTheme="minorEastAsia" w:cstheme="minorEastAsia"/>
                <w:color w:val="auto"/>
                <w:sz w:val="24"/>
                <w:highlight w:val="none"/>
              </w:rPr>
              <w:t>光源</w:t>
            </w:r>
            <w:bookmarkEnd w:id="103"/>
            <w:r>
              <w:rPr>
                <w:rFonts w:hint="eastAsia" w:asciiTheme="minorEastAsia" w:hAnsiTheme="minorEastAsia" w:eastAsiaTheme="minorEastAsia" w:cstheme="minorEastAsia"/>
                <w:color w:val="auto"/>
                <w:sz w:val="24"/>
                <w:highlight w:val="none"/>
              </w:rPr>
              <w:t>：脉冲氙灯，闪烁不低于109次，提供10年</w:t>
            </w:r>
            <w:r>
              <w:rPr>
                <w:rFonts w:hint="eastAsia" w:asciiTheme="minorEastAsia" w:hAnsiTheme="minorEastAsia" w:eastAsiaTheme="minorEastAsia" w:cstheme="minorEastAsia"/>
                <w:color w:val="auto"/>
                <w:sz w:val="24"/>
                <w:highlight w:val="none"/>
                <w:lang w:val="en-US" w:eastAsia="zh-CN"/>
              </w:rPr>
              <w:t>原厂</w:t>
            </w:r>
            <w:r>
              <w:rPr>
                <w:rFonts w:hint="eastAsia" w:asciiTheme="minorEastAsia" w:hAnsiTheme="minorEastAsia" w:eastAsiaTheme="minorEastAsia" w:cstheme="minorEastAsia"/>
                <w:color w:val="auto"/>
                <w:sz w:val="24"/>
                <w:highlight w:val="none"/>
              </w:rPr>
              <w:t>质保（中标后合同签订前需提供制造商的售后服务承诺）；</w:t>
            </w:r>
          </w:p>
          <w:p w14:paraId="755888C0">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 系统性能</w:t>
            </w:r>
          </w:p>
          <w:p w14:paraId="2049BA5F">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3.4.1开机时自动检测系统状态； </w:t>
            </w:r>
          </w:p>
          <w:p w14:paraId="72B57715">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 测光方式：Abs、T%、浓度，全波长扫描，比率，多波长扫描，动力学、△ABS x因子/分钟；</w:t>
            </w:r>
          </w:p>
          <w:p w14:paraId="6C3F13A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3.4.3 内置式方法：核酸、荧光染料，基因芯片 蛋白质（可自建标准曲线）和细胞OD600；</w:t>
            </w:r>
          </w:p>
          <w:p w14:paraId="2E3A47C9">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3.4.4操作系统：基于Linux的NPOS系统（非安卓系统），7寸彩色平板电脑，不低于2.4 GHz处理器；</w:t>
            </w:r>
          </w:p>
          <w:p w14:paraId="1FE50779">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3.4.5 仪器可与智能手机、平板电脑、笔记本电脑、台式电脑进行无线和有线连接，控制仪器并进行测量样品操作，兼容安卓、Windows或苹果系统；</w:t>
            </w:r>
          </w:p>
          <w:p w14:paraId="053BC919">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3.4.6 数据和方法存储：自带平板电脑，内置32GB存储空间，可直接存储测量结果数据与自定义方法；</w:t>
            </w:r>
          </w:p>
          <w:p w14:paraId="705286C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3.4.7数据输出端口：具有WLAN、HDMI、Ethernet和3个USB接口，可实现与鼠标、键盘、台式电脑、网线等多种设备连接使用。数据输出格式IDS、EXCEL或PDF，可选择单独或同时输出多种格式；</w:t>
            </w:r>
          </w:p>
          <w:p w14:paraId="3788A535">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3.4.8 显示器规格：1024×600 像素，兼容橡胶手套的触摸屏；</w:t>
            </w:r>
          </w:p>
          <w:p w14:paraId="451E9B6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★3.4.9采用样品压缩法原理，检测过程中无需形成样品液柱，封闭式检测环境，样品不暴露在空气中，无样品挥发影响；</w:t>
            </w:r>
          </w:p>
          <w:p w14:paraId="418DB711">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3.4.10可识别的污染物数量：10种，包括但不限于：Tris、苯酚、EDTA、Trizol、硫氰酸胍、RIPA、NDSB、细屑颗粒等。可进行气泡和样品台污染的识别；</w:t>
            </w:r>
          </w:p>
          <w:p w14:paraId="5C3016A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3.4.11 带有自动检测功能，放下样品盖可自动检测样品，无需点击测量按钮；</w:t>
            </w:r>
          </w:p>
          <w:p w14:paraId="6246CB8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 配置清单</w:t>
            </w:r>
          </w:p>
          <w:p w14:paraId="15C5353F">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 超微量分光光度计主机；</w:t>
            </w:r>
          </w:p>
          <w:p w14:paraId="5AE48B8A">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 数据线；</w:t>
            </w:r>
          </w:p>
          <w:p w14:paraId="486D5316">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 电源适配器；</w:t>
            </w:r>
          </w:p>
          <w:p w14:paraId="57995352">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 数据U盘（内含说明书）；</w:t>
            </w:r>
          </w:p>
          <w:p w14:paraId="49B76F5B">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 电脑端操作软件；</w:t>
            </w:r>
          </w:p>
          <w:p w14:paraId="01369782">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 防尘罩；</w:t>
            </w:r>
          </w:p>
          <w:p w14:paraId="0BCE56A4">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4.6 官方测试报告；</w:t>
            </w:r>
          </w:p>
        </w:tc>
      </w:tr>
    </w:tbl>
    <w:p w14:paraId="0210A0DA">
      <w:pPr>
        <w:spacing w:line="400" w:lineRule="exact"/>
        <w:outlineLvl w:val="1"/>
        <w:rPr>
          <w:rFonts w:hint="eastAsia" w:ascii="宋体" w:hAnsi="宋体" w:eastAsia="宋体" w:cs="宋体"/>
          <w:color w:val="auto"/>
          <w:kern w:val="0"/>
          <w:sz w:val="24"/>
          <w:szCs w:val="24"/>
          <w:highlight w:val="none"/>
        </w:rPr>
      </w:pPr>
    </w:p>
    <w:p w14:paraId="195A75B8">
      <w:pPr>
        <w:spacing w:line="400" w:lineRule="exact"/>
        <w:outlineLvl w:val="1"/>
        <w:rPr>
          <w:rFonts w:hint="eastAsia" w:ascii="宋体" w:hAnsi="宋体" w:eastAsia="宋体" w:cs="宋体"/>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宋体" w:hAnsi="宋体" w:cs="宋体"/>
          <w:b/>
          <w:color w:val="auto"/>
          <w:sz w:val="24"/>
          <w:szCs w:val="24"/>
          <w:highlight w:val="none"/>
          <w:lang w:eastAsia="zh-CN"/>
        </w:rPr>
        <w:t>三</w:t>
      </w:r>
      <w:r>
        <w:rPr>
          <w:rFonts w:hint="eastAsia" w:ascii="宋体" w:hAnsi="宋体" w:eastAsia="宋体" w:cs="宋体"/>
          <w:b/>
          <w:color w:val="auto"/>
          <w:sz w:val="24"/>
          <w:szCs w:val="24"/>
          <w:highlight w:val="none"/>
        </w:rPr>
        <w:t>、商务需求</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7616"/>
      </w:tblGrid>
      <w:tr w14:paraId="2665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97" w:type="pct"/>
            <w:tcBorders>
              <w:top w:val="single" w:color="auto" w:sz="4" w:space="0"/>
              <w:left w:val="single" w:color="auto" w:sz="4" w:space="0"/>
              <w:bottom w:val="single" w:color="auto" w:sz="4" w:space="0"/>
              <w:right w:val="single" w:color="auto" w:sz="4" w:space="0"/>
            </w:tcBorders>
            <w:vAlign w:val="center"/>
          </w:tcPr>
          <w:p w14:paraId="3E62C599">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付款条件</w:t>
            </w:r>
          </w:p>
        </w:tc>
        <w:tc>
          <w:tcPr>
            <w:tcW w:w="4203" w:type="pct"/>
            <w:tcBorders>
              <w:top w:val="single" w:color="auto" w:sz="4" w:space="0"/>
              <w:left w:val="single" w:color="auto" w:sz="4" w:space="0"/>
              <w:bottom w:val="single" w:color="auto" w:sz="4" w:space="0"/>
              <w:right w:val="single" w:color="auto" w:sz="4" w:space="0"/>
            </w:tcBorders>
            <w:vAlign w:val="center"/>
          </w:tcPr>
          <w:p w14:paraId="6E43496F">
            <w:pPr>
              <w:keepNext w:val="0"/>
              <w:keepLines w:val="0"/>
              <w:widowControl w:val="0"/>
              <w:suppressLineNumbers w:val="0"/>
              <w:snapToGrid w:val="0"/>
              <w:spacing w:before="120" w:beforeAutospacing="0" w:after="120" w:afterAutospacing="0" w:line="240" w:lineRule="auto"/>
              <w:ind w:left="0" w:right="0"/>
              <w:jc w:val="both"/>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在收到发票后7个工作日内（如遇休息日或节假日，付款日期顺延）一次性付清剩余款项。</w:t>
            </w:r>
          </w:p>
        </w:tc>
      </w:tr>
      <w:tr w14:paraId="5047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0E8DFBB1">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质保期</w:t>
            </w:r>
            <w:r>
              <w:rPr>
                <w:rFonts w:hint="eastAsia" w:asciiTheme="minorEastAsia" w:hAnsiTheme="minorEastAsia" w:eastAsiaTheme="minorEastAsia" w:cstheme="minorEastAsia"/>
                <w:color w:val="auto"/>
                <w:sz w:val="24"/>
                <w:szCs w:val="24"/>
                <w:highlight w:val="none"/>
                <w:lang w:eastAsia="zh-CN"/>
              </w:rPr>
              <w:t>及履约</w:t>
            </w:r>
            <w:r>
              <w:rPr>
                <w:rFonts w:hint="eastAsia" w:asciiTheme="minorEastAsia" w:hAnsiTheme="minorEastAsia" w:eastAsiaTheme="minorEastAsia" w:cstheme="minorEastAsia"/>
                <w:color w:val="auto"/>
                <w:sz w:val="24"/>
                <w:szCs w:val="24"/>
                <w:highlight w:val="none"/>
              </w:rPr>
              <w:t>保金</w:t>
            </w:r>
          </w:p>
        </w:tc>
        <w:tc>
          <w:tcPr>
            <w:tcW w:w="7616" w:type="dxa"/>
            <w:tcBorders>
              <w:top w:val="single" w:color="auto" w:sz="4" w:space="0"/>
              <w:left w:val="single" w:color="auto" w:sz="4" w:space="0"/>
              <w:bottom w:val="single" w:color="auto" w:sz="4" w:space="0"/>
              <w:right w:val="single" w:color="auto" w:sz="4" w:space="0"/>
            </w:tcBorders>
            <w:vAlign w:val="center"/>
          </w:tcPr>
          <w:p w14:paraId="11745EEF">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（1）质保期：整机设备</w:t>
            </w:r>
            <w:r>
              <w:rPr>
                <w:rFonts w:hint="default"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1 </w:t>
            </w:r>
            <w:r>
              <w:rPr>
                <w:rFonts w:hint="default" w:asciiTheme="minorEastAsia" w:hAnsiTheme="minorEastAsia" w:eastAsiaTheme="minorEastAsia" w:cstheme="minorEastAsia"/>
                <w:color w:val="auto"/>
                <w:kern w:val="2"/>
                <w:sz w:val="24"/>
                <w:szCs w:val="24"/>
                <w:highlight w:val="none"/>
                <w:u w:val="single"/>
                <w:lang w:val="en-US" w:eastAsia="zh-CN" w:bidi="ar-SA"/>
              </w:rPr>
              <w:t xml:space="preserve"> </w:t>
            </w:r>
            <w:r>
              <w:rPr>
                <w:rFonts w:hint="default" w:asciiTheme="minorEastAsia" w:hAnsiTheme="minorEastAsia" w:eastAsiaTheme="minorEastAsia" w:cstheme="minorEastAsia"/>
                <w:color w:val="auto"/>
                <w:kern w:val="2"/>
                <w:sz w:val="24"/>
                <w:szCs w:val="24"/>
                <w:highlight w:val="none"/>
                <w:lang w:val="en-US" w:eastAsia="zh-CN" w:bidi="ar-SA"/>
              </w:rPr>
              <w:t>年</w:t>
            </w:r>
            <w:r>
              <w:rPr>
                <w:rFonts w:hint="eastAsia" w:asciiTheme="minorEastAsia" w:hAnsiTheme="minorEastAsia" w:eastAsiaTheme="minorEastAsia" w:cstheme="minorEastAsia"/>
                <w:color w:val="auto"/>
                <w:kern w:val="2"/>
                <w:sz w:val="24"/>
                <w:szCs w:val="24"/>
                <w:highlight w:val="none"/>
                <w:lang w:val="en-US" w:eastAsia="zh-CN" w:bidi="ar-SA"/>
              </w:rPr>
              <w:t>及以上；超微量紫外分光光度计的光源原厂质保10 年</w:t>
            </w:r>
            <w:r>
              <w:rPr>
                <w:rFonts w:hint="default" w:asciiTheme="minorEastAsia" w:hAnsiTheme="minorEastAsia" w:eastAsiaTheme="minorEastAsia" w:cstheme="minorEastAsia"/>
                <w:color w:val="auto"/>
                <w:kern w:val="2"/>
                <w:sz w:val="24"/>
                <w:szCs w:val="24"/>
                <w:highlight w:val="none"/>
                <w:lang w:val="en-US" w:eastAsia="zh-CN" w:bidi="ar-SA"/>
              </w:rPr>
              <w:t>；</w:t>
            </w:r>
          </w:p>
          <w:p w14:paraId="7F11B058">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（2）履约保证金：本项目不收履约保证金</w:t>
            </w:r>
          </w:p>
        </w:tc>
      </w:tr>
      <w:tr w14:paraId="1995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62C07C2E">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售后技术服务要求</w:t>
            </w:r>
          </w:p>
        </w:tc>
        <w:tc>
          <w:tcPr>
            <w:tcW w:w="7616" w:type="dxa"/>
            <w:tcBorders>
              <w:top w:val="single" w:color="auto" w:sz="4" w:space="0"/>
              <w:left w:val="single" w:color="auto" w:sz="4" w:space="0"/>
              <w:bottom w:val="single" w:color="auto" w:sz="4" w:space="0"/>
              <w:right w:val="single" w:color="auto" w:sz="4" w:space="0"/>
            </w:tcBorders>
            <w:vAlign w:val="center"/>
          </w:tcPr>
          <w:p w14:paraId="734C0675">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）合同生效后，仪器制造商（或代理商）对安装仪器的实验室工作条件应提出具体要求，并在安装前予以确认。</w:t>
            </w:r>
          </w:p>
          <w:p w14:paraId="082958A5">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）提供的产品须为原装正品，相关的配套附件质量优良，数量齐全，并在标书中注明可选配件的价格。</w:t>
            </w:r>
          </w:p>
          <w:p w14:paraId="6CA7DEF8">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）仪器到达用户指定交货地点后，根据用户的时间安排，仪器制造商（或代理商）在接到用户通知后30天内进行安装调试，直至通过验收。</w:t>
            </w:r>
          </w:p>
          <w:p w14:paraId="5DB10EE4">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）仪器安装调试合格后，仪器制造商（或代理商）负责对用户技术人员（至少2人）进行免费现场培训，培训内容包括仪器的性能、原理、操作、保养和维护等，培训日程视实际情况另定。</w:t>
            </w:r>
          </w:p>
          <w:p w14:paraId="455C6C5D">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）质保期过后，仪器制造商（或代理商）对仪器提供终身维修服务，能提供广泛、即时、优惠的技术服务，并提供质量上乘、价格合理的各种配件。</w:t>
            </w:r>
          </w:p>
          <w:p w14:paraId="05BE9F39">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）保证供应仪器质保期后3年内所需的备品、备件；须给出详细清单（品名、货号、生产厂家、数量、价格等）。</w:t>
            </w:r>
          </w:p>
          <w:p w14:paraId="5524666A">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14:paraId="5A51A463">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）仪器制造商（或代理商）终身免费提供应用咨询及技术帮助，质保期内，易损件和外购件根据原厂家质保期和国家质保标准保修，属人为因素酌情收取材料费。质保期外实行有偿服务。</w:t>
            </w:r>
          </w:p>
        </w:tc>
      </w:tr>
      <w:tr w14:paraId="052F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7" w:type="pct"/>
            <w:tcBorders>
              <w:top w:val="single" w:color="auto" w:sz="4" w:space="0"/>
              <w:left w:val="single" w:color="auto" w:sz="4" w:space="0"/>
              <w:bottom w:val="single" w:color="auto" w:sz="4" w:space="0"/>
              <w:right w:val="single" w:color="auto" w:sz="4" w:space="0"/>
            </w:tcBorders>
            <w:vAlign w:val="center"/>
          </w:tcPr>
          <w:p w14:paraId="0B2F11C8">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交货时间</w:t>
            </w:r>
          </w:p>
          <w:p w14:paraId="27C9E892">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及地点</w:t>
            </w:r>
          </w:p>
        </w:tc>
        <w:tc>
          <w:tcPr>
            <w:tcW w:w="4203" w:type="pct"/>
            <w:tcBorders>
              <w:top w:val="single" w:color="auto" w:sz="4" w:space="0"/>
              <w:left w:val="single" w:color="auto" w:sz="4" w:space="0"/>
              <w:bottom w:val="single" w:color="auto" w:sz="4" w:space="0"/>
              <w:right w:val="single" w:color="auto" w:sz="4" w:space="0"/>
            </w:tcBorders>
          </w:tcPr>
          <w:p w14:paraId="07EBE463">
            <w:pPr>
              <w:keepNext w:val="0"/>
              <w:keepLines w:val="0"/>
              <w:widowControl w:val="0"/>
              <w:suppressLineNumbers w:val="0"/>
              <w:snapToGrid w:val="0"/>
              <w:spacing w:before="120" w:beforeAutospacing="0" w:after="120" w:afterAutospacing="0" w:line="240" w:lineRule="auto"/>
              <w:ind w:left="0" w:right="0"/>
              <w:jc w:val="both"/>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交货期：自合同签订之日起90日历天内完成交货。</w:t>
            </w:r>
          </w:p>
          <w:p w14:paraId="7FA5580B">
            <w:pPr>
              <w:keepNext w:val="0"/>
              <w:keepLines w:val="0"/>
              <w:widowControl w:val="0"/>
              <w:suppressLineNumbers w:val="0"/>
              <w:snapToGrid w:val="0"/>
              <w:spacing w:before="120" w:beforeAutospacing="0" w:after="120" w:afterAutospacing="0" w:line="240" w:lineRule="auto"/>
              <w:ind w:left="0" w:right="0"/>
              <w:jc w:val="both"/>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地点：台州学院椒江校区      </w:t>
            </w:r>
          </w:p>
        </w:tc>
      </w:tr>
    </w:tbl>
    <w:p w14:paraId="0D288F9F">
      <w:pPr>
        <w:autoSpaceDE w:val="0"/>
        <w:autoSpaceDN w:val="0"/>
        <w:adjustRightInd w:val="0"/>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四</w:t>
      </w:r>
      <w:r>
        <w:rPr>
          <w:rFonts w:hint="eastAsia" w:ascii="宋体" w:hAnsi="宋体" w:eastAsia="宋体" w:cs="宋体"/>
          <w:b/>
          <w:color w:val="auto"/>
          <w:sz w:val="24"/>
          <w:szCs w:val="24"/>
          <w:highlight w:val="none"/>
        </w:rPr>
        <w:t>、相关说明</w:t>
      </w:r>
    </w:p>
    <w:p w14:paraId="2CECC247">
      <w:pP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bCs w:val="0"/>
          <w:color w:val="auto"/>
          <w:sz w:val="24"/>
          <w:szCs w:val="24"/>
          <w:highlight w:val="none"/>
        </w:rPr>
        <w:t>现场勘察</w:t>
      </w:r>
      <w:r>
        <w:rPr>
          <w:rFonts w:hint="eastAsia" w:ascii="宋体" w:hAnsi="宋体" w:eastAsia="宋体" w:cs="宋体"/>
          <w:b w:val="0"/>
          <w:bCs/>
          <w:color w:val="auto"/>
          <w:sz w:val="24"/>
          <w:szCs w:val="24"/>
          <w:highlight w:val="none"/>
        </w:rPr>
        <w:t>：无</w:t>
      </w:r>
    </w:p>
    <w:p w14:paraId="7916E67B">
      <w:pP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2、▲所有设备（含进口和非进口）均采用人民币报价。本项目的成交报价应包含货款、标准附件、备品备件、专用工具、包装、运输、装卸、保险、税金、货到就位以及安装、调试、培训、保修、</w:t>
      </w:r>
      <w:r>
        <w:rPr>
          <w:rFonts w:hint="eastAsia" w:ascii="宋体" w:hAnsi="宋体" w:eastAsia="宋体" w:cs="宋体"/>
          <w:b/>
          <w:bCs w:val="0"/>
          <w:color w:val="auto"/>
          <w:sz w:val="24"/>
          <w:szCs w:val="24"/>
          <w:highlight w:val="none"/>
        </w:rPr>
        <w:t>进口设备的外贸代理费</w:t>
      </w:r>
      <w:r>
        <w:rPr>
          <w:rFonts w:hint="eastAsia" w:ascii="宋体" w:hAnsi="宋体" w:eastAsia="宋体" w:cs="宋体"/>
          <w:b w:val="0"/>
          <w:bCs/>
          <w:color w:val="auto"/>
          <w:sz w:val="24"/>
          <w:szCs w:val="24"/>
          <w:highlight w:val="none"/>
        </w:rPr>
        <w:t>等一切税金和费用。</w:t>
      </w:r>
    </w:p>
    <w:p w14:paraId="349B5AC3">
      <w:pP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3、可免税进口设备的进口代理由中标人在具有台州学院202</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进口代理商资格的公司中自行指定，采购方协助办理免税手续。在办理进口仪器设备过程中的所发生的外贸代理费由中标人负责，如代理费（含银行费）、报关、清关、海关监管费、仓储等费用。进口设备如遇无法办理免税手续则采购人有权终止合同。</w:t>
      </w:r>
    </w:p>
    <w:p w14:paraId="5EA22E1A">
      <w:pP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4、台州学院202</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年进口代理商资格的公司为：</w:t>
      </w:r>
    </w:p>
    <w:p w14:paraId="1AAA29BA">
      <w:pPr>
        <w:autoSpaceDE w:val="0"/>
        <w:autoSpaceDN w:val="0"/>
        <w:adjustRightInd w:val="0"/>
        <w:snapToGrid w:val="0"/>
        <w:spacing w:line="360" w:lineRule="auto"/>
        <w:ind w:firstLine="480" w:firstLineChars="200"/>
        <w:rPr>
          <w:rFonts w:hint="eastAsia" w:cs="Arial" w:asciiTheme="minorEastAsia" w:hAnsiTheme="minorEastAsia" w:eastAsiaTheme="minorEastAsia"/>
          <w:b w:val="0"/>
          <w:bCs/>
          <w:color w:val="auto"/>
          <w:sz w:val="24"/>
          <w:highlight w:val="none"/>
          <w:lang w:eastAsia="zh-CN"/>
        </w:rPr>
      </w:pPr>
      <w:r>
        <w:rPr>
          <w:rFonts w:hint="eastAsia" w:ascii="宋体" w:hAnsi="宋体" w:eastAsia="宋体" w:cs="宋体"/>
          <w:b w:val="0"/>
          <w:bCs/>
          <w:color w:val="auto"/>
          <w:sz w:val="24"/>
          <w:szCs w:val="24"/>
          <w:highlight w:val="none"/>
        </w:rPr>
        <w:t>（1）浙江省科学器材进出口有限责任公司（外贸代理费为0.12元/美元）</w:t>
      </w:r>
      <w:r>
        <w:rPr>
          <w:rFonts w:hint="eastAsia" w:asciiTheme="minorEastAsia" w:hAnsiTheme="minorEastAsia" w:eastAsiaTheme="minorEastAsia"/>
          <w:b w:val="0"/>
          <w:bCs/>
          <w:color w:val="auto"/>
          <w:sz w:val="24"/>
          <w:szCs w:val="24"/>
          <w:highlight w:val="none"/>
        </w:rPr>
        <w:t>。</w:t>
      </w:r>
    </w:p>
    <w:p w14:paraId="40529009">
      <w:pPr>
        <w:pageBreakBefore/>
        <w:snapToGrid w:val="0"/>
        <w:spacing w:line="360" w:lineRule="auto"/>
        <w:jc w:val="center"/>
        <w:outlineLvl w:val="0"/>
        <w:rPr>
          <w:rFonts w:hint="eastAsia" w:ascii="方正楷体_GBK" w:hAnsi="黑体" w:eastAsia="方正楷体_GBK" w:cs="宋体"/>
          <w:color w:val="auto"/>
          <w:kern w:val="0"/>
          <w:sz w:val="36"/>
          <w:szCs w:val="36"/>
          <w:highlight w:val="none"/>
          <w:lang w:bidi="ar"/>
        </w:rPr>
      </w:pPr>
      <w:bookmarkStart w:id="104" w:name="_Toc1509"/>
      <w:r>
        <w:rPr>
          <w:rFonts w:hint="eastAsia" w:asciiTheme="minorEastAsia" w:hAnsiTheme="minorEastAsia" w:eastAsiaTheme="minorEastAsia"/>
          <w:b/>
          <w:color w:val="auto"/>
          <w:sz w:val="32"/>
          <w:szCs w:val="32"/>
          <w:highlight w:val="none"/>
        </w:rPr>
        <w:t>第六部分 拟签订的合同文本</w:t>
      </w:r>
      <w:bookmarkEnd w:id="99"/>
      <w:bookmarkEnd w:id="104"/>
      <w:bookmarkStart w:id="105" w:name="_Toc31348"/>
    </w:p>
    <w:p w14:paraId="177C1839">
      <w:pPr>
        <w:widowControl/>
        <w:spacing w:before="312" w:beforeLines="100" w:line="800" w:lineRule="exact"/>
        <w:jc w:val="center"/>
        <w:rPr>
          <w:rFonts w:hint="eastAsia" w:ascii="方正小标宋简体" w:hAnsi="黑体" w:eastAsia="方正小标宋简体" w:cs="宋体"/>
          <w:color w:val="auto"/>
          <w:kern w:val="0"/>
          <w:sz w:val="44"/>
          <w:szCs w:val="44"/>
          <w:highlight w:val="none"/>
          <w:lang w:bidi="ar"/>
        </w:rPr>
      </w:pPr>
    </w:p>
    <w:p w14:paraId="1C537DC8">
      <w:pPr>
        <w:widowControl/>
        <w:spacing w:before="312" w:beforeLines="100" w:line="800" w:lineRule="exact"/>
        <w:jc w:val="center"/>
        <w:rPr>
          <w:rFonts w:hint="eastAsia" w:ascii="方正小标宋简体" w:hAnsi="黑体" w:eastAsia="方正小标宋简体" w:cs="宋体"/>
          <w:color w:val="auto"/>
          <w:kern w:val="0"/>
          <w:sz w:val="44"/>
          <w:szCs w:val="44"/>
          <w:highlight w:val="none"/>
          <w:lang w:bidi="ar"/>
        </w:rPr>
      </w:pPr>
      <w:r>
        <w:rPr>
          <w:rFonts w:hint="eastAsia" w:ascii="方正小标宋简体" w:hAnsi="黑体" w:eastAsia="方正小标宋简体" w:cs="宋体"/>
          <w:color w:val="auto"/>
          <w:kern w:val="0"/>
          <w:sz w:val="44"/>
          <w:szCs w:val="44"/>
          <w:highlight w:val="none"/>
          <w:lang w:bidi="ar"/>
        </w:rPr>
        <w:t>台州学院</w:t>
      </w:r>
    </w:p>
    <w:p w14:paraId="6D49B9B4">
      <w:pPr>
        <w:widowControl/>
        <w:spacing w:line="800" w:lineRule="exact"/>
        <w:jc w:val="center"/>
        <w:rPr>
          <w:rFonts w:hint="eastAsia" w:ascii="方正小标宋简体" w:hAnsi="宋体" w:eastAsia="方正小标宋简体" w:cs="宋体"/>
          <w:color w:val="auto"/>
          <w:kern w:val="0"/>
          <w:sz w:val="44"/>
          <w:szCs w:val="44"/>
          <w:highlight w:val="none"/>
          <w:lang w:bidi="ar"/>
        </w:rPr>
      </w:pPr>
      <w:r>
        <w:rPr>
          <w:rFonts w:hint="eastAsia" w:ascii="方正小标宋简体" w:hAnsi="黑体" w:eastAsia="方正小标宋简体" w:cs="宋体"/>
          <w:color w:val="auto"/>
          <w:kern w:val="0"/>
          <w:sz w:val="44"/>
          <w:szCs w:val="44"/>
          <w:highlight w:val="none"/>
          <w:lang w:bidi="ar"/>
        </w:rPr>
        <w:t>**********项目</w:t>
      </w:r>
    </w:p>
    <w:p w14:paraId="6928C0A2">
      <w:pPr>
        <w:spacing w:line="360" w:lineRule="auto"/>
        <w:rPr>
          <w:rFonts w:hint="eastAsia" w:ascii="仿宋" w:hAnsi="仿宋" w:eastAsia="仿宋"/>
          <w:b/>
          <w:color w:val="auto"/>
          <w:kern w:val="0"/>
          <w:sz w:val="30"/>
          <w:szCs w:val="30"/>
          <w:highlight w:val="none"/>
        </w:rPr>
      </w:pPr>
    </w:p>
    <w:p w14:paraId="1D2A864A">
      <w:pPr>
        <w:spacing w:line="360" w:lineRule="auto"/>
        <w:rPr>
          <w:rFonts w:hint="eastAsia" w:ascii="仿宋" w:hAnsi="仿宋" w:eastAsia="仿宋"/>
          <w:b/>
          <w:color w:val="auto"/>
          <w:kern w:val="0"/>
          <w:sz w:val="30"/>
          <w:szCs w:val="30"/>
          <w:highlight w:val="none"/>
        </w:rPr>
      </w:pPr>
    </w:p>
    <w:p w14:paraId="439F6EC7">
      <w:pPr>
        <w:spacing w:line="360" w:lineRule="auto"/>
        <w:rPr>
          <w:rFonts w:hint="eastAsia" w:ascii="仿宋" w:hAnsi="仿宋" w:eastAsia="仿宋"/>
          <w:b/>
          <w:color w:val="auto"/>
          <w:kern w:val="0"/>
          <w:sz w:val="30"/>
          <w:szCs w:val="30"/>
          <w:highlight w:val="none"/>
        </w:rPr>
      </w:pPr>
    </w:p>
    <w:p w14:paraId="44C783A4">
      <w:pPr>
        <w:widowControl/>
        <w:jc w:val="center"/>
        <w:rPr>
          <w:rFonts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strike w:val="0"/>
          <w:dstrike w:val="0"/>
          <w:color w:val="auto"/>
          <w:kern w:val="0"/>
          <w:sz w:val="72"/>
          <w:szCs w:val="72"/>
          <w:highlight w:val="none"/>
          <w:lang w:bidi="ar"/>
        </w:rPr>
        <w:t>进口货物</w:t>
      </w:r>
      <w:r>
        <w:rPr>
          <w:rFonts w:hint="eastAsia" w:ascii="方正小标宋简体" w:hAnsi="黑体" w:eastAsia="方正小标宋简体" w:cs="宋体"/>
          <w:strike w:val="0"/>
          <w:dstrike w:val="0"/>
          <w:color w:val="auto"/>
          <w:kern w:val="0"/>
          <w:sz w:val="72"/>
          <w:szCs w:val="72"/>
          <w:highlight w:val="none"/>
          <w:lang w:val="en-US" w:eastAsia="zh-CN" w:bidi="ar"/>
        </w:rPr>
        <w:t>买卖</w:t>
      </w:r>
      <w:r>
        <w:rPr>
          <w:rFonts w:hint="eastAsia" w:ascii="方正小标宋简体" w:hAnsi="黑体" w:eastAsia="方正小标宋简体" w:cs="宋体"/>
          <w:color w:val="auto"/>
          <w:kern w:val="0"/>
          <w:sz w:val="72"/>
          <w:szCs w:val="72"/>
          <w:highlight w:val="none"/>
          <w:lang w:bidi="ar"/>
        </w:rPr>
        <w:t>合同</w:t>
      </w:r>
    </w:p>
    <w:p w14:paraId="7139291E">
      <w:pPr>
        <w:widowControl/>
        <w:jc w:val="center"/>
        <w:rPr>
          <w:rFonts w:hint="eastAsia"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color w:val="auto"/>
          <w:kern w:val="0"/>
          <w:sz w:val="72"/>
          <w:szCs w:val="72"/>
          <w:highlight w:val="none"/>
          <w:lang w:bidi="ar"/>
        </w:rPr>
        <w:t>（A）</w:t>
      </w:r>
    </w:p>
    <w:p w14:paraId="254ED932">
      <w:pPr>
        <w:spacing w:line="360" w:lineRule="auto"/>
        <w:rPr>
          <w:rFonts w:hint="eastAsia" w:ascii="仿宋" w:hAnsi="仿宋" w:eastAsia="仿宋"/>
          <w:b/>
          <w:color w:val="auto"/>
          <w:kern w:val="0"/>
          <w:sz w:val="30"/>
          <w:szCs w:val="30"/>
          <w:highlight w:val="none"/>
        </w:rPr>
      </w:pPr>
    </w:p>
    <w:p w14:paraId="1078D26C">
      <w:pPr>
        <w:spacing w:line="360" w:lineRule="auto"/>
        <w:rPr>
          <w:rFonts w:hint="eastAsia" w:ascii="仿宋" w:hAnsi="仿宋" w:eastAsia="仿宋"/>
          <w:b/>
          <w:color w:val="auto"/>
          <w:kern w:val="0"/>
          <w:sz w:val="30"/>
          <w:szCs w:val="30"/>
          <w:highlight w:val="none"/>
        </w:rPr>
      </w:pPr>
    </w:p>
    <w:p w14:paraId="0583362B">
      <w:pPr>
        <w:spacing w:line="360" w:lineRule="auto"/>
        <w:rPr>
          <w:rFonts w:hint="eastAsia" w:ascii="仿宋" w:hAnsi="仿宋" w:eastAsia="仿宋"/>
          <w:b/>
          <w:color w:val="auto"/>
          <w:kern w:val="0"/>
          <w:sz w:val="30"/>
          <w:szCs w:val="30"/>
          <w:highlight w:val="none"/>
        </w:rPr>
      </w:pPr>
    </w:p>
    <w:p w14:paraId="2120E129">
      <w:pPr>
        <w:spacing w:line="360" w:lineRule="auto"/>
        <w:rPr>
          <w:rFonts w:hint="eastAsia" w:ascii="仿宋" w:hAnsi="仿宋" w:eastAsia="仿宋"/>
          <w:b/>
          <w:color w:val="auto"/>
          <w:kern w:val="0"/>
          <w:sz w:val="30"/>
          <w:szCs w:val="30"/>
          <w:highlight w:val="none"/>
        </w:rPr>
      </w:pPr>
    </w:p>
    <w:p w14:paraId="2B5B3CF8">
      <w:pPr>
        <w:widowControl/>
        <w:spacing w:line="700" w:lineRule="exact"/>
        <w:ind w:firstLine="720" w:firstLineChars="200"/>
        <w:jc w:val="left"/>
        <w:rPr>
          <w:rFonts w:hint="eastAsia" w:ascii="方正小标宋简体" w:hAnsi="仿宋" w:eastAsia="方正小标宋简体"/>
          <w:color w:val="auto"/>
          <w:sz w:val="36"/>
          <w:szCs w:val="36"/>
          <w:highlight w:val="none"/>
        </w:rPr>
      </w:pPr>
      <w:r>
        <w:rPr>
          <w:rFonts w:hint="eastAsia" w:ascii="方正小标宋简体" w:hAnsi="仿宋" w:eastAsia="方正小标宋简体" w:cs="宋体"/>
          <w:color w:val="auto"/>
          <w:kern w:val="0"/>
          <w:sz w:val="36"/>
          <w:szCs w:val="36"/>
          <w:highlight w:val="none"/>
          <w:lang w:bidi="ar"/>
        </w:rPr>
        <w:t>甲方（采购人）：</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u w:val="single"/>
          <w:lang w:bidi="ar"/>
        </w:rPr>
        <w:t xml:space="preserve">台州学院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lang w:bidi="ar"/>
        </w:rPr>
        <w:t xml:space="preserve"> </w:t>
      </w:r>
    </w:p>
    <w:p w14:paraId="429A493C">
      <w:pPr>
        <w:widowControl/>
        <w:spacing w:line="700" w:lineRule="exact"/>
        <w:ind w:firstLine="720" w:firstLineChars="200"/>
        <w:jc w:val="left"/>
        <w:rPr>
          <w:rFonts w:hint="eastAsia" w:ascii="方正小标宋简体" w:hAnsi="仿宋" w:eastAsia="方正小标宋简体" w:cs="宋体"/>
          <w:color w:val="auto"/>
          <w:kern w:val="0"/>
          <w:sz w:val="36"/>
          <w:szCs w:val="36"/>
          <w:highlight w:val="none"/>
          <w:u w:val="single"/>
          <w:lang w:bidi="ar"/>
        </w:rPr>
      </w:pPr>
      <w:r>
        <w:rPr>
          <w:rFonts w:hint="eastAsia" w:ascii="方正小标宋简体" w:hAnsi="仿宋" w:eastAsia="方正小标宋简体" w:cs="宋体"/>
          <w:color w:val="auto"/>
          <w:kern w:val="0"/>
          <w:sz w:val="36"/>
          <w:szCs w:val="36"/>
          <w:highlight w:val="none"/>
          <w:lang w:bidi="ar"/>
        </w:rPr>
        <w:t>乙方（中标供应商）：</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p>
    <w:p w14:paraId="4428E14E">
      <w:pPr>
        <w:widowControl/>
        <w:spacing w:line="700" w:lineRule="exact"/>
        <w:ind w:firstLine="720" w:firstLineChars="200"/>
        <w:jc w:val="left"/>
        <w:rPr>
          <w:rFonts w:hint="eastAsia" w:ascii="方正小标宋简体" w:hAnsi="仿宋" w:eastAsia="方正小标宋简体" w:cs="宋体"/>
          <w:color w:val="auto"/>
          <w:kern w:val="0"/>
          <w:sz w:val="36"/>
          <w:szCs w:val="36"/>
          <w:highlight w:val="none"/>
          <w:u w:val="single"/>
          <w:lang w:bidi="ar"/>
        </w:rPr>
      </w:pPr>
    </w:p>
    <w:p w14:paraId="08710830">
      <w:pPr>
        <w:widowControl/>
        <w:spacing w:line="700" w:lineRule="exact"/>
        <w:jc w:val="center"/>
        <w:rPr>
          <w:rFonts w:ascii="方正小标宋简体" w:hAnsi="仿宋" w:eastAsia="方正小标宋简体"/>
          <w:color w:val="auto"/>
          <w:kern w:val="0"/>
          <w:sz w:val="36"/>
          <w:szCs w:val="36"/>
          <w:highlight w:val="none"/>
        </w:rPr>
        <w:sectPr>
          <w:footerReference r:id="rId6" w:type="first"/>
          <w:footerReference r:id="rId5" w:type="default"/>
          <w:pgSz w:w="11906" w:h="16838"/>
          <w:pgMar w:top="1701" w:right="1474" w:bottom="1474" w:left="1588" w:header="851" w:footer="992" w:gutter="0"/>
          <w:pgNumType w:fmt="decimal" w:start="3"/>
          <w:cols w:space="720" w:num="1"/>
          <w:docGrid w:type="lines" w:linePitch="312" w:charSpace="0"/>
        </w:sectPr>
      </w:pPr>
      <w:r>
        <w:rPr>
          <w:rFonts w:hint="eastAsia" w:ascii="方正小标宋简体" w:hAnsi="黑体" w:eastAsia="方正小标宋简体" w:cs="宋体"/>
          <w:color w:val="auto"/>
          <w:kern w:val="0"/>
          <w:sz w:val="36"/>
          <w:szCs w:val="36"/>
          <w:highlight w:val="none"/>
          <w:lang w:bidi="ar"/>
        </w:rPr>
        <w:t>****</w:t>
      </w:r>
      <w:r>
        <w:rPr>
          <w:rFonts w:hint="eastAsia" w:ascii="方正小标宋简体" w:hAnsi="仿宋" w:eastAsia="方正小标宋简体"/>
          <w:color w:val="auto"/>
          <w:kern w:val="0"/>
          <w:sz w:val="36"/>
          <w:szCs w:val="36"/>
          <w:highlight w:val="none"/>
        </w:rPr>
        <w:t>年</w:t>
      </w:r>
      <w:r>
        <w:rPr>
          <w:rFonts w:hint="eastAsia" w:ascii="方正小标宋简体" w:hAnsi="黑体" w:eastAsia="方正小标宋简体" w:cs="宋体"/>
          <w:color w:val="auto"/>
          <w:kern w:val="0"/>
          <w:sz w:val="36"/>
          <w:szCs w:val="36"/>
          <w:highlight w:val="none"/>
          <w:lang w:bidi="ar"/>
        </w:rPr>
        <w:t>**</w:t>
      </w:r>
      <w:r>
        <w:rPr>
          <w:rFonts w:hint="eastAsia" w:ascii="方正小标宋简体" w:hAnsi="仿宋" w:eastAsia="方正小标宋简体"/>
          <w:color w:val="auto"/>
          <w:kern w:val="0"/>
          <w:sz w:val="36"/>
          <w:szCs w:val="36"/>
          <w:highlight w:val="none"/>
        </w:rPr>
        <w:t>月</w:t>
      </w:r>
    </w:p>
    <w:p w14:paraId="19C0D1F4">
      <w:pPr>
        <w:keepNext w:val="0"/>
        <w:keepLines w:val="0"/>
        <w:pageBreakBefore w:val="0"/>
        <w:widowControl/>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项目名称：************</w:t>
      </w:r>
    </w:p>
    <w:p w14:paraId="618D9D94">
      <w:pPr>
        <w:pStyle w:val="26"/>
        <w:keepNext w:val="0"/>
        <w:keepLines w:val="0"/>
        <w:pageBreakBefore w:val="0"/>
        <w:kinsoku/>
        <w:overflowPunct/>
        <w:topLinePunct w:val="0"/>
        <w:autoSpaceDE/>
        <w:autoSpaceDN/>
        <w:bidi w:val="0"/>
        <w:adjustRightInd/>
        <w:spacing w:line="336" w:lineRule="auto"/>
        <w:jc w:val="lef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项目编号：************（A）</w:t>
      </w:r>
    </w:p>
    <w:p w14:paraId="4ED08246">
      <w:pPr>
        <w:pStyle w:val="26"/>
        <w:keepNext w:val="0"/>
        <w:keepLines w:val="0"/>
        <w:pageBreakBefore w:val="0"/>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甲方：（采购单位）台州学院</w:t>
      </w:r>
    </w:p>
    <w:p w14:paraId="6084D57F">
      <w:pPr>
        <w:pStyle w:val="26"/>
        <w:keepNext w:val="0"/>
        <w:keepLines w:val="0"/>
        <w:pageBreakBefore w:val="0"/>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所在地：浙江台州</w:t>
      </w:r>
    </w:p>
    <w:p w14:paraId="01102F74">
      <w:pPr>
        <w:pStyle w:val="26"/>
        <w:keepNext w:val="0"/>
        <w:keepLines w:val="0"/>
        <w:pageBreakBefore w:val="0"/>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乙方：（中标供应商）************</w:t>
      </w:r>
    </w:p>
    <w:p w14:paraId="6CE02BEE">
      <w:pPr>
        <w:pStyle w:val="26"/>
        <w:keepNext w:val="0"/>
        <w:keepLines w:val="0"/>
        <w:pageBreakBefore w:val="0"/>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 xml:space="preserve">所在地：************ </w:t>
      </w:r>
    </w:p>
    <w:p w14:paraId="3F80F3BF">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甲、乙双方根据台州学院关于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项目公开招标的结果，签署本合同。</w:t>
      </w:r>
    </w:p>
    <w:p w14:paraId="752FD564">
      <w:pPr>
        <w:pStyle w:val="44"/>
        <w:keepNext w:val="0"/>
        <w:keepLines w:val="0"/>
        <w:pageBreakBefore w:val="0"/>
        <w:numPr>
          <w:ilvl w:val="0"/>
          <w:numId w:val="0"/>
        </w:numPr>
        <w:kinsoku/>
        <w:overflowPunct/>
        <w:topLinePunct w:val="0"/>
        <w:autoSpaceDE/>
        <w:autoSpaceDN/>
        <w:bidi w:val="0"/>
        <w:adjustRightInd/>
        <w:spacing w:before="0" w:after="0" w:line="336" w:lineRule="auto"/>
        <w:ind w:leftChars="200"/>
        <w:jc w:val="left"/>
        <w:textAlignment w:val="auto"/>
        <w:rPr>
          <w:rFonts w:hint="eastAsia" w:asciiTheme="minorEastAsia" w:hAnsiTheme="minorEastAsia" w:eastAsiaTheme="minorEastAsia" w:cstheme="minorEastAsia"/>
          <w:strike/>
          <w:color w:val="auto"/>
          <w:kern w:val="0"/>
          <w:sz w:val="24"/>
          <w:szCs w:val="24"/>
          <w:highlight w:val="none"/>
        </w:rPr>
      </w:pPr>
      <w:r>
        <w:rPr>
          <w:rStyle w:val="321"/>
          <w:rFonts w:hint="eastAsia" w:asciiTheme="minorEastAsia" w:hAnsiTheme="minorEastAsia" w:eastAsiaTheme="minorEastAsia" w:cstheme="minorEastAsia"/>
          <w:b w:val="0"/>
          <w:bCs w:val="0"/>
          <w:color w:val="auto"/>
          <w:sz w:val="24"/>
          <w:szCs w:val="24"/>
          <w:highlight w:val="none"/>
        </w:rPr>
        <w:t>一、货物内容及合同价格</w:t>
      </w:r>
    </w:p>
    <w:tbl>
      <w:tblPr>
        <w:tblStyle w:val="47"/>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443"/>
        <w:gridCol w:w="1559"/>
        <w:gridCol w:w="1534"/>
        <w:gridCol w:w="876"/>
        <w:gridCol w:w="1250"/>
        <w:gridCol w:w="1196"/>
      </w:tblGrid>
      <w:tr w14:paraId="0353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01" w:type="dxa"/>
            <w:noWrap w:val="0"/>
            <w:vAlign w:val="center"/>
          </w:tcPr>
          <w:p w14:paraId="4BFEF22E">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1443" w:type="dxa"/>
            <w:noWrap w:val="0"/>
            <w:vAlign w:val="center"/>
          </w:tcPr>
          <w:p w14:paraId="08009F2A">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货物名称</w:t>
            </w:r>
          </w:p>
        </w:tc>
        <w:tc>
          <w:tcPr>
            <w:tcW w:w="1559" w:type="dxa"/>
            <w:noWrap w:val="0"/>
            <w:vAlign w:val="center"/>
          </w:tcPr>
          <w:p w14:paraId="2866FCA0">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制造商名称（全称）</w:t>
            </w:r>
          </w:p>
        </w:tc>
        <w:tc>
          <w:tcPr>
            <w:tcW w:w="1534" w:type="dxa"/>
            <w:noWrap w:val="0"/>
            <w:vAlign w:val="center"/>
          </w:tcPr>
          <w:p w14:paraId="08667BBA">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品牌、型号</w:t>
            </w:r>
          </w:p>
        </w:tc>
        <w:tc>
          <w:tcPr>
            <w:tcW w:w="876" w:type="dxa"/>
            <w:noWrap w:val="0"/>
            <w:vAlign w:val="center"/>
          </w:tcPr>
          <w:p w14:paraId="27B2FFFB">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数量</w:t>
            </w:r>
          </w:p>
        </w:tc>
        <w:tc>
          <w:tcPr>
            <w:tcW w:w="1250" w:type="dxa"/>
            <w:noWrap w:val="0"/>
            <w:vAlign w:val="center"/>
          </w:tcPr>
          <w:p w14:paraId="427278BB">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单价（元）</w:t>
            </w:r>
          </w:p>
        </w:tc>
        <w:tc>
          <w:tcPr>
            <w:tcW w:w="1196" w:type="dxa"/>
            <w:noWrap w:val="0"/>
            <w:vAlign w:val="center"/>
          </w:tcPr>
          <w:p w14:paraId="0735F4FD">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总价（元）</w:t>
            </w:r>
          </w:p>
        </w:tc>
      </w:tr>
      <w:tr w14:paraId="58AC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001" w:type="dxa"/>
            <w:noWrap w:val="0"/>
            <w:vAlign w:val="center"/>
          </w:tcPr>
          <w:p w14:paraId="2C67D902">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443" w:type="dxa"/>
            <w:noWrap w:val="0"/>
            <w:vAlign w:val="center"/>
          </w:tcPr>
          <w:p w14:paraId="27C2CD92">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559" w:type="dxa"/>
            <w:noWrap w:val="0"/>
            <w:vAlign w:val="center"/>
          </w:tcPr>
          <w:p w14:paraId="50F4369A">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534" w:type="dxa"/>
            <w:noWrap w:val="0"/>
            <w:vAlign w:val="center"/>
          </w:tcPr>
          <w:p w14:paraId="467ADC57">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876" w:type="dxa"/>
            <w:noWrap w:val="0"/>
            <w:vAlign w:val="center"/>
          </w:tcPr>
          <w:p w14:paraId="10E87924">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250" w:type="dxa"/>
            <w:noWrap w:val="0"/>
            <w:vAlign w:val="center"/>
          </w:tcPr>
          <w:p w14:paraId="594A89DD">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196" w:type="dxa"/>
            <w:tcBorders>
              <w:bottom w:val="single" w:color="auto" w:sz="4" w:space="0"/>
            </w:tcBorders>
            <w:noWrap w:val="0"/>
            <w:vAlign w:val="center"/>
          </w:tcPr>
          <w:p w14:paraId="14DDB1B3">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r>
      <w:tr w14:paraId="32C7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001" w:type="dxa"/>
            <w:noWrap w:val="0"/>
            <w:vAlign w:val="center"/>
          </w:tcPr>
          <w:p w14:paraId="1CA48E24">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443" w:type="dxa"/>
            <w:noWrap w:val="0"/>
            <w:vAlign w:val="center"/>
          </w:tcPr>
          <w:p w14:paraId="6761C2CC">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559" w:type="dxa"/>
            <w:noWrap w:val="0"/>
            <w:vAlign w:val="center"/>
          </w:tcPr>
          <w:p w14:paraId="3EA2D003">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534" w:type="dxa"/>
            <w:noWrap w:val="0"/>
            <w:vAlign w:val="center"/>
          </w:tcPr>
          <w:p w14:paraId="786C2E1C">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876" w:type="dxa"/>
            <w:noWrap w:val="0"/>
            <w:vAlign w:val="center"/>
          </w:tcPr>
          <w:p w14:paraId="763E7AE6">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250" w:type="dxa"/>
            <w:noWrap w:val="0"/>
            <w:vAlign w:val="center"/>
          </w:tcPr>
          <w:p w14:paraId="7E2001E6">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196" w:type="dxa"/>
            <w:tcBorders>
              <w:bottom w:val="single" w:color="auto" w:sz="4" w:space="0"/>
            </w:tcBorders>
            <w:noWrap w:val="0"/>
            <w:vAlign w:val="center"/>
          </w:tcPr>
          <w:p w14:paraId="5F6D06CB">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r>
      <w:tr w14:paraId="2F9A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663" w:type="dxa"/>
            <w:gridSpan w:val="6"/>
            <w:noWrap w:val="0"/>
            <w:vAlign w:val="center"/>
          </w:tcPr>
          <w:p w14:paraId="797A9618">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firstLine="240" w:firstLineChars="1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合计：</w:t>
            </w:r>
          </w:p>
        </w:tc>
        <w:tc>
          <w:tcPr>
            <w:tcW w:w="1196" w:type="dxa"/>
            <w:noWrap w:val="0"/>
            <w:vAlign w:val="center"/>
          </w:tcPr>
          <w:p w14:paraId="1A321103">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r>
      <w:tr w14:paraId="769C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8859" w:type="dxa"/>
            <w:gridSpan w:val="7"/>
            <w:noWrap w:val="0"/>
            <w:vAlign w:val="center"/>
          </w:tcPr>
          <w:p w14:paraId="3A6C09DC">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firstLine="240" w:firstLineChars="1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合同总价（人民币大写）：</w:t>
            </w:r>
          </w:p>
        </w:tc>
      </w:tr>
    </w:tbl>
    <w:p w14:paraId="507F8E2D">
      <w:pPr>
        <w:keepNext w:val="0"/>
        <w:keepLines w:val="0"/>
        <w:pageBreakBefore w:val="0"/>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注：1.以上货物内容不清楚的详见招标文件或附件清单。</w:t>
      </w:r>
    </w:p>
    <w:p w14:paraId="4CF5E1C5">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2.以上合同总价包含货物送达</w:t>
      </w:r>
      <w:r>
        <w:rPr>
          <w:rFonts w:hint="eastAsia" w:asciiTheme="minorEastAsia" w:hAnsiTheme="minorEastAsia" w:eastAsiaTheme="minorEastAsia" w:cstheme="minorEastAsia"/>
          <w:color w:val="auto"/>
          <w:sz w:val="24"/>
          <w:szCs w:val="24"/>
          <w:highlight w:val="none"/>
          <w:lang w:val="en-US" w:eastAsia="zh-CN"/>
        </w:rPr>
        <w:t>甲方或甲方指定地点</w:t>
      </w:r>
      <w:r>
        <w:rPr>
          <w:rFonts w:hint="eastAsia" w:asciiTheme="minorEastAsia" w:hAnsiTheme="minorEastAsia" w:eastAsiaTheme="minorEastAsia" w:cstheme="minorEastAsia"/>
          <w:color w:val="auto"/>
          <w:sz w:val="24"/>
          <w:szCs w:val="24"/>
          <w:highlight w:val="none"/>
        </w:rPr>
        <w:t>并能正常使用所需的一切费用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包括但不限于货物本身价格、运输费、装车费、安装和调试费、保险费等。甲方不再支付上述价款外的其他任何费用</w:t>
      </w:r>
      <w:r>
        <w:rPr>
          <w:rFonts w:hint="eastAsia" w:asciiTheme="minorEastAsia" w:hAnsiTheme="minorEastAsia" w:eastAsiaTheme="minorEastAsia" w:cstheme="minorEastAsia"/>
          <w:color w:val="auto"/>
          <w:sz w:val="24"/>
          <w:szCs w:val="24"/>
          <w:highlight w:val="none"/>
        </w:rPr>
        <w:t>。</w:t>
      </w:r>
    </w:p>
    <w:p w14:paraId="24A40012">
      <w:pPr>
        <w:pStyle w:val="21"/>
        <w:keepNext w:val="0"/>
        <w:keepLines w:val="0"/>
        <w:pageBreakBefore w:val="0"/>
        <w:tabs>
          <w:tab w:val="left" w:pos="180"/>
        </w:tabs>
        <w:kinsoku/>
        <w:overflowPunct/>
        <w:topLinePunct w:val="0"/>
        <w:autoSpaceDE/>
        <w:autoSpaceDN/>
        <w:bidi w:val="0"/>
        <w:adjustRightInd/>
        <w:spacing w:after="0" w:line="336"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3.开标当天中国银行美元现汇卖出价为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甲方招标确定的</w:t>
      </w:r>
      <w:r>
        <w:rPr>
          <w:rFonts w:hint="eastAsia" w:asciiTheme="minorEastAsia" w:hAnsiTheme="minorEastAsia" w:eastAsiaTheme="minorEastAsia" w:cstheme="minorEastAsia"/>
          <w:color w:val="auto"/>
          <w:sz w:val="24"/>
          <w:szCs w:val="24"/>
          <w:highlight w:val="none"/>
        </w:rPr>
        <w:t>进口代理商为</w:t>
      </w:r>
      <w:r>
        <w:rPr>
          <w:rFonts w:hint="eastAsia" w:asciiTheme="minorEastAsia" w:hAnsiTheme="minorEastAsia" w:eastAsiaTheme="minorEastAsia" w:cstheme="minorEastAsia"/>
          <w:color w:val="auto"/>
          <w:sz w:val="24"/>
          <w:szCs w:val="24"/>
          <w:highlight w:val="none"/>
          <w:u w:val="single"/>
        </w:rPr>
        <w:t>浙江省科学器材进出口有限责任公司</w:t>
      </w:r>
      <w:r>
        <w:rPr>
          <w:rFonts w:hint="eastAsia" w:asciiTheme="minorEastAsia" w:hAnsiTheme="minorEastAsia" w:eastAsiaTheme="minorEastAsia" w:cstheme="minorEastAsia"/>
          <w:color w:val="auto"/>
          <w:sz w:val="24"/>
          <w:szCs w:val="24"/>
          <w:highlight w:val="none"/>
        </w:rPr>
        <w:t>（外贸代理费为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元/美元）（详见进口代理合同）。</w:t>
      </w:r>
    </w:p>
    <w:p w14:paraId="503B93B0">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二、技术资料</w:t>
      </w:r>
    </w:p>
    <w:p w14:paraId="7B5F5C2F">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乙方应按招标文件规定的时间向甲方提供使用货物的有关技术资料。</w:t>
      </w:r>
    </w:p>
    <w:p w14:paraId="4EB0A5F6">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rPr>
        <w:t>范围</w:t>
      </w:r>
      <w:bookmarkStart w:id="106" w:name="OLE_LINK3"/>
      <w:r>
        <w:rPr>
          <w:rFonts w:hint="eastAsia" w:asciiTheme="minorEastAsia" w:hAnsiTheme="minorEastAsia" w:eastAsiaTheme="minorEastAsia" w:cstheme="minorEastAsia"/>
          <w:color w:val="auto"/>
          <w:sz w:val="24"/>
          <w:szCs w:val="24"/>
          <w:highlight w:val="none"/>
          <w:lang w:eastAsia="zh-CN"/>
        </w:rPr>
        <w:t>，</w:t>
      </w:r>
      <w:bookmarkStart w:id="107" w:name="OLE_LINK2"/>
      <w:r>
        <w:rPr>
          <w:rFonts w:hint="eastAsia" w:asciiTheme="minorEastAsia" w:hAnsiTheme="minorEastAsia" w:eastAsiaTheme="minorEastAsia" w:cstheme="minorEastAsia"/>
          <w:color w:val="auto"/>
          <w:sz w:val="24"/>
          <w:szCs w:val="24"/>
          <w:highlight w:val="none"/>
          <w:lang w:val="en-US" w:eastAsia="zh-CN"/>
        </w:rPr>
        <w:t>否则由乙方承担全部责任。</w:t>
      </w:r>
    </w:p>
    <w:bookmarkEnd w:id="106"/>
    <w:bookmarkEnd w:id="107"/>
    <w:p w14:paraId="456F1788">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三、知识产权</w:t>
      </w:r>
    </w:p>
    <w:p w14:paraId="664B6AF7">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乙方应保证所提供的货物或其任何一部分均不会侵犯任何第三方的知识产权。如果任何第三方向甲方提起侵权索赔，乙方应负责与之进行交涉，造成甲方损失的后果均由乙方承担。</w:t>
      </w:r>
    </w:p>
    <w:p w14:paraId="5FF6CA68">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四、产权担保</w:t>
      </w:r>
    </w:p>
    <w:p w14:paraId="25C0D111">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乙方保证所交付的货物的所有权完全属于乙方且无任何抵押、查封等权利瑕疵，否则由乙方承担全部责任。</w:t>
      </w:r>
    </w:p>
    <w:p w14:paraId="4992F64F">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五、转包或分包</w:t>
      </w:r>
    </w:p>
    <w:p w14:paraId="7C3B66D0">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1.本合同范围的货物，应由乙方直接供应，不得转让他人供应；</w:t>
      </w:r>
    </w:p>
    <w:p w14:paraId="6BDB895C">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2.除非得到甲方的书面同意，乙方不得将本合同范围的货物全部或部分分包给他人供应；</w:t>
      </w:r>
    </w:p>
    <w:p w14:paraId="789738B8">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3.如有转让和未经甲方同意的分包行为，甲方有权解除合同，并</w:t>
      </w:r>
      <w:r>
        <w:rPr>
          <w:rFonts w:hint="eastAsia" w:asciiTheme="minorEastAsia" w:hAnsiTheme="minorEastAsia" w:eastAsiaTheme="minorEastAsia" w:cstheme="minorEastAsia"/>
          <w:color w:val="auto"/>
          <w:kern w:val="0"/>
          <w:sz w:val="24"/>
          <w:szCs w:val="24"/>
          <w:highlight w:val="none"/>
          <w:lang w:val="en-US" w:eastAsia="zh-CN"/>
        </w:rPr>
        <w:t>按本合同第十三条的约定</w:t>
      </w:r>
      <w:r>
        <w:rPr>
          <w:rFonts w:hint="eastAsia" w:asciiTheme="minorEastAsia" w:hAnsiTheme="minorEastAsia" w:eastAsiaTheme="minorEastAsia" w:cstheme="minorEastAsia"/>
          <w:color w:val="auto"/>
          <w:kern w:val="0"/>
          <w:sz w:val="24"/>
          <w:szCs w:val="24"/>
          <w:highlight w:val="none"/>
        </w:rPr>
        <w:t>追究乙方的违约责任。</w:t>
      </w:r>
    </w:p>
    <w:p w14:paraId="343DE231">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六、质保期</w:t>
      </w:r>
    </w:p>
    <w:p w14:paraId="23C243AC">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质保期为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sz w:val="24"/>
          <w:szCs w:val="24"/>
          <w:highlight w:val="none"/>
        </w:rPr>
        <w:t>（从甲方对产品的最终验收合格之日开始起算）。</w:t>
      </w:r>
    </w:p>
    <w:p w14:paraId="6F03481B">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七、交货时间、交货方式及交货地点</w:t>
      </w:r>
    </w:p>
    <w:p w14:paraId="1AB3AF11">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1.交货时间：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交货；</w:t>
      </w:r>
    </w:p>
    <w:p w14:paraId="77B580F1">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2.交货方式：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，运费、装卸费</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由乙方负责；</w:t>
      </w:r>
    </w:p>
    <w:p w14:paraId="466026C0">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3.交货地点：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619248B">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八、货款支付</w:t>
      </w:r>
    </w:p>
    <w:p w14:paraId="24474439">
      <w:pPr>
        <w:pStyle w:val="26"/>
        <w:keepNext w:val="0"/>
        <w:keepLines w:val="0"/>
        <w:pageBreakBefore w:val="0"/>
        <w:kinsoku/>
        <w:wordWrap w:val="0"/>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1.付款方式。本合同涉及的进口设备货款，由甲方按照</w:t>
      </w:r>
      <w:r>
        <w:rPr>
          <w:rFonts w:hint="eastAsia" w:asciiTheme="minorEastAsia" w:hAnsiTheme="minorEastAsia" w:eastAsiaTheme="minorEastAsia" w:cstheme="minorEastAsia"/>
          <w:color w:val="auto"/>
          <w:kern w:val="0"/>
          <w:sz w:val="24"/>
          <w:szCs w:val="24"/>
          <w:highlight w:val="none"/>
          <w:u w:val="single"/>
        </w:rPr>
        <w:t xml:space="preserve"> 项目编码的内容 </w:t>
      </w:r>
      <w:r>
        <w:rPr>
          <w:rFonts w:hint="eastAsia" w:asciiTheme="minorEastAsia" w:hAnsiTheme="minorEastAsia" w:eastAsiaTheme="minorEastAsia" w:cstheme="minorEastAsia"/>
          <w:color w:val="auto"/>
          <w:kern w:val="0"/>
          <w:sz w:val="24"/>
          <w:szCs w:val="24"/>
          <w:highlight w:val="none"/>
        </w:rPr>
        <w:t>（B）第八条第1款约定的付款方式、付款时间支付给甲乙双方共同约定的</w:t>
      </w:r>
      <w:r>
        <w:rPr>
          <w:rFonts w:hint="eastAsia" w:asciiTheme="minorEastAsia" w:hAnsiTheme="minorEastAsia" w:eastAsiaTheme="minorEastAsia" w:cstheme="minorEastAsia"/>
          <w:color w:val="auto"/>
          <w:sz w:val="24"/>
          <w:szCs w:val="24"/>
          <w:highlight w:val="none"/>
          <w:u w:val="single"/>
        </w:rPr>
        <w:t>浙江省科学器材进出口有限责任公司</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kern w:val="0"/>
          <w:sz w:val="24"/>
          <w:szCs w:val="24"/>
          <w:highlight w:val="none"/>
        </w:rPr>
        <w:t>即</w:t>
      </w:r>
      <w:r>
        <w:rPr>
          <w:rFonts w:hint="eastAsia" w:asciiTheme="minorEastAsia" w:hAnsiTheme="minorEastAsia" w:eastAsiaTheme="minorEastAsia" w:cstheme="minorEastAsia"/>
          <w:color w:val="auto"/>
          <w:kern w:val="0"/>
          <w:sz w:val="24"/>
          <w:szCs w:val="24"/>
          <w:highlight w:val="none"/>
          <w:u w:val="single"/>
        </w:rPr>
        <w:t xml:space="preserve"> </w:t>
      </w:r>
      <w:bookmarkStart w:id="108" w:name="_Hlk136272182"/>
      <w:r>
        <w:rPr>
          <w:rFonts w:hint="eastAsia" w:asciiTheme="minorEastAsia" w:hAnsiTheme="minorEastAsia" w:eastAsiaTheme="minorEastAsia" w:cstheme="minorEastAsia"/>
          <w:color w:val="auto"/>
          <w:kern w:val="0"/>
          <w:sz w:val="24"/>
          <w:szCs w:val="24"/>
          <w:highlight w:val="none"/>
          <w:u w:val="single"/>
        </w:rPr>
        <w:t xml:space="preserve">项目编码的内容 </w:t>
      </w:r>
      <w:bookmarkEnd w:id="108"/>
      <w:bookmarkStart w:id="109" w:name="OLE_LINK6"/>
      <w:r>
        <w:rPr>
          <w:rFonts w:hint="eastAsia" w:asciiTheme="minorEastAsia" w:hAnsiTheme="minorEastAsia" w:eastAsiaTheme="minorEastAsia" w:cstheme="minorEastAsia"/>
          <w:color w:val="auto"/>
          <w:kern w:val="0"/>
          <w:sz w:val="24"/>
          <w:szCs w:val="24"/>
          <w:highlight w:val="none"/>
        </w:rPr>
        <w:t>（B）</w:t>
      </w:r>
      <w:bookmarkEnd w:id="109"/>
      <w:r>
        <w:rPr>
          <w:rFonts w:hint="eastAsia" w:asciiTheme="minorEastAsia" w:hAnsiTheme="minorEastAsia" w:eastAsiaTheme="minorEastAsia" w:cstheme="minorEastAsia"/>
          <w:color w:val="auto"/>
          <w:kern w:val="0"/>
          <w:sz w:val="24"/>
          <w:szCs w:val="24"/>
          <w:highlight w:val="none"/>
        </w:rPr>
        <w:t>委托进口合同中的丙方。先开票后付款，否则甲方有权拒绝付款，不视为违约。</w:t>
      </w:r>
    </w:p>
    <w:p w14:paraId="69E6B7C5">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2.当采购数量与实际使用数量不一致时，乙方应根据实际使用量供货，合同的最终结算金额按实际使用量乘以成交单价进行计算。</w:t>
      </w:r>
    </w:p>
    <w:p w14:paraId="1B0AA1D9">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3.若因进口货物无法办理免税手续的，甲方可以解除</w:t>
      </w:r>
      <w:r>
        <w:rPr>
          <w:rFonts w:hint="eastAsia" w:asciiTheme="minorEastAsia" w:hAnsiTheme="minorEastAsia" w:eastAsiaTheme="minorEastAsia" w:cstheme="minorEastAsia"/>
          <w:color w:val="auto"/>
          <w:kern w:val="0"/>
          <w:sz w:val="24"/>
          <w:szCs w:val="24"/>
          <w:highlight w:val="none"/>
          <w:lang w:val="en-US" w:eastAsia="zh-CN"/>
        </w:rPr>
        <w:t>本合同及委托进口合同（B）</w:t>
      </w:r>
      <w:r>
        <w:rPr>
          <w:rFonts w:hint="eastAsia" w:asciiTheme="minorEastAsia" w:hAnsiTheme="minorEastAsia" w:eastAsiaTheme="minorEastAsia" w:cstheme="minorEastAsia"/>
          <w:color w:val="auto"/>
          <w:kern w:val="0"/>
          <w:sz w:val="24"/>
          <w:szCs w:val="24"/>
          <w:highlight w:val="none"/>
        </w:rPr>
        <w:t>，并应当及时通知乙方,因此造成的损失由乙方承担。</w:t>
      </w:r>
    </w:p>
    <w:p w14:paraId="7CACCA59">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九、税费</w:t>
      </w:r>
    </w:p>
    <w:p w14:paraId="6DF56F80">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本合同执行中相关的一切税费均由乙方负担。</w:t>
      </w:r>
    </w:p>
    <w:p w14:paraId="1E6B7763">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十、质量保证及售后服务</w:t>
      </w:r>
    </w:p>
    <w:p w14:paraId="47E70FB1">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1.乙方应按招标文件规定的货物性能、技术要求、质量标准向甲方提供未经使用的全新原装正品</w:t>
      </w:r>
      <w:bookmarkStart w:id="110" w:name="OLE_LINK8"/>
      <w:r>
        <w:rPr>
          <w:rFonts w:hint="eastAsia" w:asciiTheme="minorEastAsia" w:hAnsiTheme="minorEastAsia" w:eastAsiaTheme="minorEastAsia" w:cstheme="minorEastAsia"/>
          <w:color w:val="auto"/>
          <w:kern w:val="0"/>
          <w:sz w:val="24"/>
          <w:szCs w:val="24"/>
          <w:highlight w:val="none"/>
        </w:rPr>
        <w:t>，相关的配套附件质量优良，数量齐全。</w:t>
      </w:r>
      <w:bookmarkEnd w:id="110"/>
    </w:p>
    <w:p w14:paraId="78D0968C">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2.乙方提供的货物在质保期内非因人为原因发生故障，乙方应负责免费更换。对达不到技术要求者，根据实际情况，经双方协商，可按以下办法处理：</w:t>
      </w:r>
    </w:p>
    <w:p w14:paraId="64F6DA08">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⑴更换：由乙方承担所发生的全部费用。</w:t>
      </w:r>
    </w:p>
    <w:p w14:paraId="2EE042E6">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⑵贬值处理：由甲乙双方合议定价。</w:t>
      </w:r>
    </w:p>
    <w:p w14:paraId="680564A3">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⑶退货处理：乙方应退还甲方支付的合同款，同时应承担该货物的直接费用（运输、保险、检验、货款利息及银行手续费等）。</w:t>
      </w:r>
    </w:p>
    <w:p w14:paraId="6E86F3E1">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上述三种方式如协商不成，甲方有权直接自行选择上述三项处理方式任一项进行处理，乙方不得异议。</w:t>
      </w:r>
    </w:p>
    <w:p w14:paraId="6F25AD2D">
      <w:pPr>
        <w:pStyle w:val="26"/>
        <w:keepNext w:val="0"/>
        <w:keepLines w:val="0"/>
        <w:pageBreakBefore w:val="0"/>
        <w:kinsoku/>
        <w:wordWrap w:val="0"/>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3.质保期内如在使用过程中发生质量问题，乙方在接到甲方通知后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小时内给与答复，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到达甲方现场处理。否则，应按每次2000元支付甲方违约金，同时甲方可以将该质量问题交第三方解决，所需费用由乙方承担。同一质量问题，如修理超过3次，乙方应予更换商品。否则，甲方因此支出的全部费用由乙方承担。质保期外，乙方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小时内作出响应，</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个工作日到达甲方现场维修，一般故障应在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小时内修复，重大故障应在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w:t>
      </w:r>
    </w:p>
    <w:p w14:paraId="5C398FEE">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在质保期内，乙方应对货物出现的质量及安全问题负责处理解决并承担一切费用及责任。质保期过后，乙方对货物提供终身维修服务，能提供广泛、即时、优惠的技术服务，并提供质量上乘、价格合理的各种配件。乙方保证提供仪器质保期满之后3年内所需的备品、备件并给出详细清单（品名、货号、生产厂家、数量、价格等）。</w:t>
      </w:r>
    </w:p>
    <w:p w14:paraId="01BDB90B">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5.乙方终身免费提供应用咨询及技术帮助，质保期内，易损件和外购件根据原厂家质保期和国家质保标准保修，因人为因素出现的故障酌情收取材料费</w:t>
      </w:r>
      <w:bookmarkStart w:id="111" w:name="OLE_LINK1"/>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免收人工费</w:t>
      </w:r>
      <w:bookmarkEnd w:id="111"/>
      <w:r>
        <w:rPr>
          <w:rFonts w:hint="eastAsia" w:asciiTheme="minorEastAsia" w:hAnsiTheme="minorEastAsia" w:eastAsiaTheme="minorEastAsia" w:cstheme="minorEastAsia"/>
          <w:color w:val="auto"/>
          <w:kern w:val="0"/>
          <w:sz w:val="24"/>
          <w:szCs w:val="24"/>
          <w:highlight w:val="none"/>
        </w:rPr>
        <w:t xml:space="preserve">；质保期外实行有偿服务。 </w:t>
      </w:r>
    </w:p>
    <w:p w14:paraId="56E1C0FB">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十一、调试和验收</w:t>
      </w:r>
    </w:p>
    <w:p w14:paraId="21F12AF2">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1.甲方对乙方提交的货物依据招标文件上的技术规格要求和国家有关质量标准进行现场初步验收，外观、说明书符合招标文件技术要求的，给予签收，初步验收不</w:t>
      </w:r>
      <w:bookmarkStart w:id="112" w:name="OLE_LINK5"/>
      <w:r>
        <w:rPr>
          <w:rFonts w:hint="eastAsia" w:asciiTheme="minorEastAsia" w:hAnsiTheme="minorEastAsia" w:eastAsiaTheme="minorEastAsia" w:cstheme="minorEastAsia"/>
          <w:color w:val="auto"/>
          <w:kern w:val="0"/>
          <w:sz w:val="24"/>
          <w:szCs w:val="24"/>
          <w:highlight w:val="none"/>
          <w:lang w:val="en-US" w:eastAsia="zh-CN"/>
        </w:rPr>
        <w:t>符合约定</w:t>
      </w:r>
      <w:bookmarkEnd w:id="112"/>
      <w:r>
        <w:rPr>
          <w:rFonts w:hint="eastAsia" w:asciiTheme="minorEastAsia" w:hAnsiTheme="minorEastAsia" w:eastAsiaTheme="minorEastAsia" w:cstheme="minorEastAsia"/>
          <w:color w:val="auto"/>
          <w:kern w:val="0"/>
          <w:sz w:val="24"/>
          <w:szCs w:val="24"/>
          <w:highlight w:val="none"/>
        </w:rPr>
        <w:t>的不予签收。</w:t>
      </w:r>
    </w:p>
    <w:p w14:paraId="54E79021">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2.乙方交货前应对产品做出全面检查和对验收文件进行整理，并列出清单，作为甲方收货验收和使用的技术条件依据，检验的结果应随货物交甲方。</w:t>
      </w:r>
    </w:p>
    <w:p w14:paraId="7DC52834">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3.乙方对安装货物的实验室工作条件应提出具体要求，并在安装前予以确认。</w:t>
      </w:r>
    </w:p>
    <w:p w14:paraId="021DC143">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4.货物到达甲方指定交货地点后，根据甲方的时间安排，乙方在接到甲方通知后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天内进行安装调试，直至通过验收。货物安装调试合格后，乙方负责对甲方技术人员（至少2人）进行免费现场培训，培训内容包括仪器的性能、原理、操作、保养和维护等，培训日程视实际情况另定。</w:t>
      </w:r>
    </w:p>
    <w:p w14:paraId="5AC0B319">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5.对技术复杂的货物，甲方可请国家认可的专业检测机构参与初步验收及最终验收，并由其出具质量检测报告。</w:t>
      </w:r>
    </w:p>
    <w:p w14:paraId="73451679">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6.验收时乙方必须在现场，验收完毕后作出验收结果报告；验收费用由乙方负责。如乙方拒不到场，视为其同意甲方之验收结果并不得异议。</w:t>
      </w:r>
    </w:p>
    <w:p w14:paraId="546BE04D">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7.因乙方人员在合同履行过程中造成甲方或其自身人身或财产损害，由乙方承担全部责任。</w:t>
      </w:r>
    </w:p>
    <w:p w14:paraId="007A1E57">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十二、货物包装、发运及运输</w:t>
      </w:r>
    </w:p>
    <w:p w14:paraId="020BC693">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1.乙方应在货物发运前对其进行满足运输距离、防潮、防震、防锈和防破损装卸等要求包装，以保证货物安全运达甲方指定地点。</w:t>
      </w:r>
    </w:p>
    <w:p w14:paraId="5FD0F71D">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2.使用说明书、质量检验证明书、随配附件和工具以及清单一并附于货物内。</w:t>
      </w:r>
    </w:p>
    <w:p w14:paraId="6AF2AA37">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3.乙方在货物发运手续办理完毕后24小时内或货到甲方48小时前通知甲方，以准备接货。</w:t>
      </w:r>
    </w:p>
    <w:p w14:paraId="76E74FD7">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4.货物在交付甲方前发生的风险均由乙方负责。</w:t>
      </w:r>
    </w:p>
    <w:p w14:paraId="7BDC2784">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5.货物在约定的交付期限内由乙方送达甲方指定的地点，乙方同时需通知甲方货物已送达，并与甲方工作人员办理交接手续，否则视为未交付。</w:t>
      </w:r>
    </w:p>
    <w:p w14:paraId="14BAB0E3">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十三、违约责任</w:t>
      </w:r>
    </w:p>
    <w:p w14:paraId="5EAF6A71">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1.甲方无正当理由拒收货物的，甲方向乙方偿付拒收货款总值的百分之五违约金。</w:t>
      </w:r>
    </w:p>
    <w:p w14:paraId="74EE2127">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2.甲方无故逾期验收和办理货款支付手续的,甲方应按逾期付款总额每日万分之五向乙方支付违约金。</w:t>
      </w:r>
    </w:p>
    <w:p w14:paraId="0EA62740">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逾期交付货物的，乙方应按逾期交货总额每日千分之六向甲方支付违约金，甲方可直接从待付货款中扣除。乙方逾期超过约定日期10日不能交货的或有其他违约行为的，甲方有权解除合同，预付款返还甲方，并且乙方应向甲方支付合同总价20%的违约金，如造成甲方损失超过违约金的，超出部分由乙方继续承担赔偿责任。</w:t>
      </w:r>
    </w:p>
    <w:p w14:paraId="6ADEEEB7">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14:paraId="350D3285">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5.若乙方违反本合同约定而导致甲方所支付的费用由乙方承担（包括但不限于律师费、差旅费、鉴定费等）。</w:t>
      </w:r>
    </w:p>
    <w:p w14:paraId="208FA2E3">
      <w:pPr>
        <w:pStyle w:val="44"/>
        <w:keepNext w:val="0"/>
        <w:keepLines w:val="0"/>
        <w:pageBreakBefore w:val="0"/>
        <w:widowControl w:val="0"/>
        <w:numPr>
          <w:ilvl w:val="0"/>
          <w:numId w:val="0"/>
        </w:numPr>
        <w:kinsoku/>
        <w:wordWrap/>
        <w:overflowPunct/>
        <w:topLinePunct w:val="0"/>
        <w:autoSpaceDE/>
        <w:autoSpaceDN/>
        <w:bidi w:val="0"/>
        <w:adjustRightInd/>
        <w:snapToGri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十四、不可抗力事件处理</w:t>
      </w:r>
    </w:p>
    <w:p w14:paraId="7297C687">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1.在合同有效期内，任何一方因不可抗力事件导致不能履行合同，则合同履行期可延长，其延长期与不可抗力影响期相同。</w:t>
      </w:r>
    </w:p>
    <w:p w14:paraId="452A8EE6">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2.不可抗力事件发生后，应立即通知对方，并寄送有关权威机构出具的证明。</w:t>
      </w:r>
    </w:p>
    <w:p w14:paraId="2657B19C">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3.不可抗力事件延续60天以上，双方应通过友好协商，确定是否继续履行合同。</w:t>
      </w:r>
    </w:p>
    <w:p w14:paraId="73C02D8A">
      <w:pPr>
        <w:pStyle w:val="44"/>
        <w:keepNext w:val="0"/>
        <w:keepLines w:val="0"/>
        <w:pageBreakBefore w:val="0"/>
        <w:widowControl w:val="0"/>
        <w:numPr>
          <w:ilvl w:val="0"/>
          <w:numId w:val="0"/>
        </w:numPr>
        <w:kinsoku/>
        <w:wordWrap/>
        <w:overflowPunct/>
        <w:topLinePunct w:val="0"/>
        <w:autoSpaceDE/>
        <w:autoSpaceDN/>
        <w:bidi w:val="0"/>
        <w:adjustRightInd/>
        <w:snapToGri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十五、诉讼</w:t>
      </w:r>
    </w:p>
    <w:p w14:paraId="50B24F18">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双方在执行合同中所发生的一切争议，应通过协商解决。如协商不成，依法向甲方所在地人民法院提起诉讼。</w:t>
      </w:r>
    </w:p>
    <w:p w14:paraId="680A3F93">
      <w:pPr>
        <w:pStyle w:val="44"/>
        <w:keepNext w:val="0"/>
        <w:keepLines w:val="0"/>
        <w:pageBreakBefore w:val="0"/>
        <w:widowControl w:val="0"/>
        <w:numPr>
          <w:ilvl w:val="0"/>
          <w:numId w:val="0"/>
        </w:numPr>
        <w:kinsoku/>
        <w:wordWrap/>
        <w:overflowPunct/>
        <w:topLinePunct w:val="0"/>
        <w:autoSpaceDE/>
        <w:autoSpaceDN/>
        <w:bidi w:val="0"/>
        <w:adjustRightInd/>
        <w:snapToGri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十六、合同生效及其它</w:t>
      </w:r>
    </w:p>
    <w:p w14:paraId="65677E00">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1.合同经双方法定代表人或授权代表签字并加盖单位公章后生效。</w:t>
      </w:r>
    </w:p>
    <w:p w14:paraId="6E530168">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2.本合同未尽事宜，遵照《民法典》及有关规定执行。</w:t>
      </w:r>
    </w:p>
    <w:p w14:paraId="20E47F1D">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3.本合同一式柒份，甲方执伍份、乙方执贰份。本项目未尽事宜以招标文件、投标文件及澄清文件等为准。</w:t>
      </w:r>
    </w:p>
    <w:p w14:paraId="4976CB71">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p>
    <w:p w14:paraId="4BCFF699">
      <w:pPr>
        <w:keepNext w:val="0"/>
        <w:keepLines w:val="0"/>
        <w:pageBreakBefore w:val="0"/>
        <w:widowControl w:val="0"/>
        <w:kinsoku/>
        <w:wordWrap/>
        <w:overflowPunct/>
        <w:topLinePunct w:val="0"/>
        <w:autoSpaceDE/>
        <w:autoSpaceDN/>
        <w:bidi w:val="0"/>
        <w:adjustRightInd/>
        <w:snapToGrid/>
        <w:spacing w:line="336" w:lineRule="auto"/>
        <w:ind w:left="5880" w:hanging="5880" w:hangingChars="24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甲方（公章）台州学院                  乙方（公章）</w:t>
      </w:r>
    </w:p>
    <w:p w14:paraId="6504AD56">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                          法定代表人：</w:t>
      </w:r>
    </w:p>
    <w:p w14:paraId="33C20A9D">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                          委托代理人：</w:t>
      </w:r>
    </w:p>
    <w:p w14:paraId="10E43630">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联系电话：0576-88660896               联系电话：</w:t>
      </w:r>
    </w:p>
    <w:p w14:paraId="18B92F74">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开户银行：建行台州市分行              开户银行： </w:t>
      </w:r>
    </w:p>
    <w:p w14:paraId="504BC3A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r>
        <w:rPr>
          <w:rFonts w:hint="eastAsia" w:asciiTheme="minorEastAsia" w:hAnsiTheme="minorEastAsia" w:eastAsiaTheme="minorEastAsia" w:cstheme="minorEastAsia"/>
          <w:color w:val="auto"/>
          <w:kern w:val="0"/>
          <w:sz w:val="24"/>
          <w:szCs w:val="24"/>
          <w:highlight w:val="none"/>
        </w:rPr>
        <w:t>33050166350000000852</w:t>
      </w:r>
      <w:r>
        <w:rPr>
          <w:rFonts w:hint="eastAsia" w:asciiTheme="minorEastAsia" w:hAnsiTheme="minorEastAsia" w:eastAsiaTheme="minorEastAsia" w:cstheme="minorEastAsia"/>
          <w:color w:val="auto"/>
          <w:sz w:val="24"/>
          <w:szCs w:val="24"/>
          <w:highlight w:val="none"/>
        </w:rPr>
        <w:t xml:space="preserve">            账号：</w:t>
      </w:r>
    </w:p>
    <w:p w14:paraId="41B7F84D">
      <w:pPr>
        <w:keepNext w:val="0"/>
        <w:keepLines w:val="0"/>
        <w:pageBreakBefore w:val="0"/>
        <w:widowControl w:val="0"/>
        <w:kinsoku/>
        <w:wordWrap/>
        <w:overflowPunct/>
        <w:topLinePunct w:val="0"/>
        <w:autoSpaceDE/>
        <w:autoSpaceDN/>
        <w:bidi w:val="0"/>
        <w:adjustRightInd/>
        <w:snapToGrid/>
        <w:spacing w:line="336" w:lineRule="auto"/>
        <w:ind w:left="4560" w:hanging="4560" w:hangingChars="19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地址：台州市椒江区市府大道1139号     地址：</w:t>
      </w:r>
    </w:p>
    <w:p w14:paraId="440774BA">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008602EA">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34368F34">
      <w:pPr>
        <w:keepNext w:val="0"/>
        <w:keepLines w:val="0"/>
        <w:pageBreakBefore w:val="0"/>
        <w:widowControl w:val="0"/>
        <w:kinsoku/>
        <w:wordWrap/>
        <w:overflowPunct/>
        <w:topLinePunct w:val="0"/>
        <w:autoSpaceDE/>
        <w:autoSpaceDN/>
        <w:bidi w:val="0"/>
        <w:adjustRightInd/>
        <w:snapToGrid/>
        <w:spacing w:line="336" w:lineRule="auto"/>
        <w:ind w:firstLine="3120" w:firstLineChars="1300"/>
        <w:textAlignment w:val="auto"/>
        <w:rPr>
          <w:b/>
          <w:bCs/>
          <w:color w:val="auto"/>
          <w:szCs w:val="21"/>
          <w:highlight w:val="none"/>
        </w:rPr>
      </w:pPr>
      <w:r>
        <w:rPr>
          <w:rFonts w:hint="eastAsia" w:asciiTheme="minorEastAsia" w:hAnsiTheme="minorEastAsia" w:eastAsiaTheme="minorEastAsia" w:cstheme="minorEastAsia"/>
          <w:color w:val="auto"/>
          <w:sz w:val="24"/>
          <w:szCs w:val="24"/>
          <w:highlight w:val="none"/>
        </w:rPr>
        <w:t>签订时间：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    月    日</w:t>
      </w:r>
    </w:p>
    <w:p w14:paraId="2FD6E58E">
      <w:pPr>
        <w:widowControl/>
        <w:spacing w:line="360" w:lineRule="auto"/>
        <w:ind w:firstLine="640" w:firstLineChars="200"/>
        <w:rPr>
          <w:rFonts w:hint="eastAsia" w:ascii="仿宋_GB2312" w:hAnsi="仿宋" w:eastAsia="仿宋_GB2312"/>
          <w:color w:val="auto"/>
          <w:sz w:val="32"/>
          <w:szCs w:val="32"/>
          <w:highlight w:val="none"/>
        </w:rPr>
      </w:pPr>
    </w:p>
    <w:p w14:paraId="609155A9">
      <w:pPr>
        <w:ind w:firstLine="480" w:firstLineChars="200"/>
        <w:jc w:val="right"/>
        <w:rPr>
          <w:rFonts w:hint="eastAsia" w:asciiTheme="minorEastAsia" w:hAnsiTheme="minorEastAsia" w:eastAsiaTheme="minorEastAsia" w:cstheme="minorEastAsia"/>
          <w:color w:val="auto"/>
          <w:kern w:val="0"/>
          <w:sz w:val="24"/>
          <w:szCs w:val="24"/>
          <w:highlight w:val="none"/>
        </w:rPr>
      </w:pPr>
    </w:p>
    <w:p w14:paraId="6A77FE96">
      <w:pPr>
        <w:widowControl/>
        <w:spacing w:before="312" w:beforeLines="100" w:line="800" w:lineRule="exact"/>
        <w:jc w:val="right"/>
        <w:rPr>
          <w:rFonts w:hint="eastAsia" w:ascii="方正楷体_GBK" w:hAnsi="黑体" w:eastAsia="方正楷体_GBK" w:cs="宋体"/>
          <w:color w:val="auto"/>
          <w:kern w:val="0"/>
          <w:sz w:val="36"/>
          <w:szCs w:val="36"/>
          <w:highlight w:val="none"/>
          <w:lang w:bidi="ar"/>
        </w:rPr>
      </w:pPr>
    </w:p>
    <w:p w14:paraId="2CFB024D">
      <w:pPr>
        <w:widowControl/>
        <w:spacing w:before="381" w:beforeLines="100" w:line="800" w:lineRule="exact"/>
        <w:jc w:val="right"/>
        <w:rPr>
          <w:rFonts w:hint="eastAsia" w:ascii="方正楷体_GBK" w:hAnsi="黑体" w:eastAsia="方正楷体_GBK" w:cs="宋体"/>
          <w:strike/>
          <w:dstrike w:val="0"/>
          <w:color w:val="auto"/>
          <w:kern w:val="0"/>
          <w:sz w:val="36"/>
          <w:szCs w:val="36"/>
          <w:highlight w:val="none"/>
          <w:lang w:bidi="ar"/>
        </w:rPr>
      </w:pPr>
    </w:p>
    <w:p w14:paraId="7BD00EBC">
      <w:pPr>
        <w:widowControl/>
        <w:spacing w:before="381" w:beforeLines="100" w:line="800" w:lineRule="exact"/>
        <w:jc w:val="center"/>
        <w:rPr>
          <w:rFonts w:hint="eastAsia" w:ascii="方正小标宋简体" w:hAnsi="方正小标宋简体" w:eastAsia="方正小标宋简体" w:cs="方正小标宋简体"/>
          <w:b w:val="0"/>
          <w:bCs w:val="0"/>
          <w:color w:val="auto"/>
          <w:kern w:val="0"/>
          <w:sz w:val="44"/>
          <w:szCs w:val="44"/>
          <w:highlight w:val="none"/>
          <w:lang w:bidi="ar"/>
        </w:rPr>
      </w:pPr>
      <w:r>
        <w:rPr>
          <w:rFonts w:hint="eastAsia" w:ascii="方正小标宋简体" w:hAnsi="方正小标宋简体" w:eastAsia="方正小标宋简体" w:cs="方正小标宋简体"/>
          <w:b w:val="0"/>
          <w:bCs w:val="0"/>
          <w:color w:val="auto"/>
          <w:kern w:val="0"/>
          <w:sz w:val="44"/>
          <w:szCs w:val="44"/>
          <w:highlight w:val="none"/>
          <w:lang w:bidi="ar"/>
        </w:rPr>
        <w:t>台州学院</w:t>
      </w:r>
    </w:p>
    <w:p w14:paraId="31C288FC">
      <w:pPr>
        <w:widowControl/>
        <w:spacing w:line="800" w:lineRule="exact"/>
        <w:jc w:val="center"/>
        <w:rPr>
          <w:rFonts w:hint="eastAsia"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lang w:bidi="ar"/>
        </w:rPr>
        <w:t>**********项目</w:t>
      </w:r>
    </w:p>
    <w:p w14:paraId="4FCFC20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
          <w:color w:val="auto"/>
          <w:kern w:val="0"/>
          <w:sz w:val="30"/>
          <w:szCs w:val="30"/>
          <w:highlight w:val="none"/>
        </w:rPr>
      </w:pPr>
    </w:p>
    <w:p w14:paraId="26BEA3F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
          <w:color w:val="auto"/>
          <w:kern w:val="0"/>
          <w:sz w:val="30"/>
          <w:szCs w:val="30"/>
          <w:highlight w:val="none"/>
        </w:rPr>
      </w:pPr>
    </w:p>
    <w:p w14:paraId="5704606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
          <w:color w:val="auto"/>
          <w:kern w:val="0"/>
          <w:sz w:val="30"/>
          <w:szCs w:val="30"/>
          <w:highlight w:val="none"/>
        </w:rPr>
      </w:pPr>
    </w:p>
    <w:p w14:paraId="236AF4ED">
      <w:pPr>
        <w:widowControl/>
        <w:jc w:val="center"/>
        <w:rPr>
          <w:rFonts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strike w:val="0"/>
          <w:dstrike w:val="0"/>
          <w:color w:val="auto"/>
          <w:kern w:val="0"/>
          <w:sz w:val="72"/>
          <w:szCs w:val="72"/>
          <w:highlight w:val="none"/>
          <w:lang w:bidi="ar"/>
        </w:rPr>
        <w:t>委托进口</w:t>
      </w:r>
      <w:r>
        <w:rPr>
          <w:rFonts w:hint="eastAsia" w:ascii="方正小标宋简体" w:hAnsi="黑体" w:eastAsia="方正小标宋简体" w:cs="宋体"/>
          <w:color w:val="auto"/>
          <w:kern w:val="0"/>
          <w:sz w:val="72"/>
          <w:szCs w:val="72"/>
          <w:highlight w:val="none"/>
          <w:lang w:bidi="ar"/>
        </w:rPr>
        <w:t>合同</w:t>
      </w:r>
    </w:p>
    <w:p w14:paraId="0E7150F6">
      <w:pPr>
        <w:widowControl/>
        <w:jc w:val="center"/>
        <w:rPr>
          <w:rFonts w:hint="eastAsia"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color w:val="auto"/>
          <w:kern w:val="0"/>
          <w:sz w:val="72"/>
          <w:szCs w:val="72"/>
          <w:highlight w:val="none"/>
          <w:lang w:bidi="ar"/>
        </w:rPr>
        <w:t>（B）</w:t>
      </w:r>
    </w:p>
    <w:p w14:paraId="630EA6CF">
      <w:pPr>
        <w:spacing w:line="360" w:lineRule="auto"/>
        <w:rPr>
          <w:rFonts w:hint="eastAsia" w:ascii="仿宋" w:hAnsi="仿宋" w:eastAsia="仿宋"/>
          <w:b/>
          <w:color w:val="auto"/>
          <w:kern w:val="0"/>
          <w:sz w:val="30"/>
          <w:szCs w:val="30"/>
          <w:highlight w:val="none"/>
        </w:rPr>
      </w:pPr>
    </w:p>
    <w:p w14:paraId="7ADAC904">
      <w:pPr>
        <w:spacing w:line="360" w:lineRule="auto"/>
        <w:rPr>
          <w:rFonts w:hint="eastAsia" w:ascii="仿宋" w:hAnsi="仿宋" w:eastAsia="仿宋"/>
          <w:b/>
          <w:color w:val="auto"/>
          <w:kern w:val="0"/>
          <w:sz w:val="30"/>
          <w:szCs w:val="30"/>
          <w:highlight w:val="none"/>
        </w:rPr>
      </w:pPr>
    </w:p>
    <w:p w14:paraId="6EB4575B">
      <w:pPr>
        <w:spacing w:line="360" w:lineRule="auto"/>
        <w:rPr>
          <w:rFonts w:hint="eastAsia" w:ascii="仿宋" w:hAnsi="仿宋" w:eastAsia="仿宋"/>
          <w:b/>
          <w:color w:val="auto"/>
          <w:kern w:val="0"/>
          <w:sz w:val="30"/>
          <w:szCs w:val="30"/>
          <w:highlight w:val="none"/>
        </w:rPr>
      </w:pPr>
    </w:p>
    <w:p w14:paraId="37029A17">
      <w:pPr>
        <w:widowControl/>
        <w:spacing w:line="700" w:lineRule="exact"/>
        <w:ind w:firstLine="360" w:firstLineChars="100"/>
        <w:jc w:val="left"/>
        <w:rPr>
          <w:rFonts w:hint="eastAsia" w:ascii="方正小标宋简体" w:hAnsi="仿宋" w:eastAsia="方正小标宋简体"/>
          <w:color w:val="auto"/>
          <w:sz w:val="36"/>
          <w:szCs w:val="36"/>
          <w:highlight w:val="none"/>
        </w:rPr>
      </w:pPr>
      <w:r>
        <w:rPr>
          <w:rFonts w:hint="eastAsia" w:ascii="方正小标宋简体" w:hAnsi="仿宋" w:eastAsia="方正小标宋简体" w:cs="宋体"/>
          <w:color w:val="auto"/>
          <w:kern w:val="0"/>
          <w:sz w:val="36"/>
          <w:szCs w:val="36"/>
          <w:highlight w:val="none"/>
          <w:lang w:bidi="ar"/>
        </w:rPr>
        <w:t>甲方（采购人）：</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u w:val="single"/>
          <w:lang w:bidi="ar"/>
        </w:rPr>
        <w:t xml:space="preserve">台州学院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lang w:bidi="ar"/>
        </w:rPr>
        <w:t xml:space="preserve"> </w:t>
      </w:r>
    </w:p>
    <w:p w14:paraId="52B023EC">
      <w:pPr>
        <w:widowControl/>
        <w:spacing w:line="700" w:lineRule="exact"/>
        <w:ind w:firstLine="360" w:firstLineChars="100"/>
        <w:jc w:val="left"/>
        <w:rPr>
          <w:rFonts w:hint="eastAsia" w:ascii="方正小标宋简体" w:hAnsi="仿宋" w:eastAsia="方正小标宋简体" w:cs="宋体"/>
          <w:color w:val="auto"/>
          <w:kern w:val="0"/>
          <w:sz w:val="36"/>
          <w:szCs w:val="36"/>
          <w:highlight w:val="none"/>
          <w:u w:val="single"/>
          <w:lang w:bidi="ar"/>
        </w:rPr>
      </w:pPr>
      <w:r>
        <w:rPr>
          <w:rFonts w:hint="eastAsia" w:ascii="方正小标宋简体" w:hAnsi="仿宋" w:eastAsia="方正小标宋简体" w:cs="宋体"/>
          <w:color w:val="auto"/>
          <w:kern w:val="0"/>
          <w:sz w:val="36"/>
          <w:szCs w:val="36"/>
          <w:highlight w:val="none"/>
          <w:lang w:bidi="ar"/>
        </w:rPr>
        <w:t>乙方（中标供应商）：</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p>
    <w:p w14:paraId="195097D0">
      <w:pPr>
        <w:widowControl/>
        <w:spacing w:line="700" w:lineRule="exact"/>
        <w:ind w:firstLine="360" w:firstLineChars="100"/>
        <w:jc w:val="left"/>
        <w:rPr>
          <w:rFonts w:ascii="方正小标宋简体" w:hAnsi="仿宋" w:eastAsia="方正小标宋简体" w:cs="宋体"/>
          <w:color w:val="auto"/>
          <w:kern w:val="0"/>
          <w:sz w:val="30"/>
          <w:szCs w:val="30"/>
          <w:highlight w:val="none"/>
          <w:u w:val="single"/>
          <w:lang w:bidi="ar"/>
        </w:rPr>
      </w:pPr>
      <w:r>
        <w:rPr>
          <w:rFonts w:hint="eastAsia" w:ascii="方正小标宋简体" w:hAnsi="仿宋" w:eastAsia="方正小标宋简体" w:cs="宋体"/>
          <w:color w:val="auto"/>
          <w:kern w:val="0"/>
          <w:sz w:val="36"/>
          <w:szCs w:val="36"/>
          <w:highlight w:val="none"/>
          <w:lang w:bidi="ar"/>
        </w:rPr>
        <w:t>丙方（进口代理机构）：</w:t>
      </w:r>
      <w:r>
        <w:rPr>
          <w:rFonts w:hint="eastAsia" w:ascii="方正小标宋简体" w:hAnsi="仿宋" w:eastAsia="方正小标宋简体" w:cs="宋体"/>
          <w:color w:val="auto"/>
          <w:spacing w:val="-20"/>
          <w:kern w:val="0"/>
          <w:sz w:val="30"/>
          <w:szCs w:val="30"/>
          <w:highlight w:val="none"/>
          <w:u w:val="single"/>
          <w:lang w:bidi="ar"/>
        </w:rPr>
        <w:t>浙江省科学器材进出口有限责任公司</w:t>
      </w:r>
      <w:r>
        <w:rPr>
          <w:rFonts w:ascii="方正小标宋简体" w:hAnsi="仿宋" w:eastAsia="方正小标宋简体" w:cs="宋体"/>
          <w:color w:val="auto"/>
          <w:kern w:val="0"/>
          <w:sz w:val="30"/>
          <w:szCs w:val="30"/>
          <w:highlight w:val="none"/>
          <w:u w:val="single"/>
          <w:lang w:bidi="ar"/>
        </w:rPr>
        <w:t xml:space="preserve"> </w:t>
      </w:r>
    </w:p>
    <w:p w14:paraId="545C56E6">
      <w:pPr>
        <w:widowControl/>
        <w:spacing w:line="700" w:lineRule="exact"/>
        <w:ind w:firstLine="720" w:firstLineChars="200"/>
        <w:jc w:val="center"/>
        <w:rPr>
          <w:rFonts w:hint="eastAsia" w:ascii="方正小标宋简体" w:hAnsi="仿宋" w:eastAsia="方正小标宋简体"/>
          <w:color w:val="auto"/>
          <w:kern w:val="0"/>
          <w:sz w:val="36"/>
          <w:szCs w:val="36"/>
          <w:highlight w:val="none"/>
        </w:rPr>
      </w:pPr>
    </w:p>
    <w:p w14:paraId="1BEB3F8A">
      <w:pPr>
        <w:widowControl/>
        <w:spacing w:line="700" w:lineRule="exact"/>
        <w:jc w:val="center"/>
        <w:rPr>
          <w:rFonts w:ascii="方正小标宋简体" w:hAnsi="仿宋" w:eastAsia="方正小标宋简体"/>
          <w:color w:val="auto"/>
          <w:kern w:val="0"/>
          <w:sz w:val="36"/>
          <w:szCs w:val="36"/>
          <w:highlight w:val="none"/>
        </w:rPr>
        <w:sectPr>
          <w:footerReference r:id="rId10" w:type="first"/>
          <w:headerReference r:id="rId7" w:type="default"/>
          <w:footerReference r:id="rId9" w:type="default"/>
          <w:headerReference r:id="rId8" w:type="even"/>
          <w:pgSz w:w="11906" w:h="16838"/>
          <w:pgMar w:top="1701" w:right="1474" w:bottom="1474" w:left="1588" w:header="851" w:footer="992" w:gutter="0"/>
          <w:pgNumType w:fmt="decimal"/>
          <w:cols w:space="720" w:num="1"/>
          <w:titlePg/>
          <w:docGrid w:type="lines" w:linePitch="381" w:charSpace="0"/>
        </w:sectPr>
      </w:pPr>
      <w:r>
        <w:rPr>
          <w:rFonts w:hint="eastAsia" w:ascii="方正小标宋简体" w:hAnsi="黑体" w:eastAsia="方正小标宋简体" w:cs="宋体"/>
          <w:color w:val="auto"/>
          <w:kern w:val="0"/>
          <w:sz w:val="36"/>
          <w:szCs w:val="36"/>
          <w:highlight w:val="none"/>
          <w:lang w:bidi="ar"/>
        </w:rPr>
        <w:t>****</w:t>
      </w:r>
      <w:r>
        <w:rPr>
          <w:rFonts w:hint="eastAsia" w:ascii="方正小标宋简体" w:hAnsi="仿宋" w:eastAsia="方正小标宋简体"/>
          <w:color w:val="auto"/>
          <w:kern w:val="0"/>
          <w:sz w:val="36"/>
          <w:szCs w:val="36"/>
          <w:highlight w:val="none"/>
        </w:rPr>
        <w:t>年</w:t>
      </w:r>
      <w:r>
        <w:rPr>
          <w:rFonts w:hint="eastAsia" w:ascii="方正小标宋简体" w:hAnsi="黑体" w:eastAsia="方正小标宋简体" w:cs="宋体"/>
          <w:color w:val="auto"/>
          <w:kern w:val="0"/>
          <w:sz w:val="36"/>
          <w:szCs w:val="36"/>
          <w:highlight w:val="none"/>
          <w:lang w:bidi="ar"/>
        </w:rPr>
        <w:t>**</w:t>
      </w:r>
      <w:r>
        <w:rPr>
          <w:rFonts w:hint="eastAsia" w:ascii="方正小标宋简体" w:hAnsi="仿宋" w:eastAsia="方正小标宋简体"/>
          <w:color w:val="auto"/>
          <w:kern w:val="0"/>
          <w:sz w:val="36"/>
          <w:szCs w:val="36"/>
          <w:highlight w:val="none"/>
        </w:rPr>
        <w:t>月</w:t>
      </w:r>
    </w:p>
    <w:p w14:paraId="2E6CD9F0">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项目名称:</w:t>
      </w:r>
      <w:r>
        <w:rPr>
          <w:rFonts w:hint="eastAsia" w:asciiTheme="minorEastAsia" w:hAnsiTheme="minorEastAsia" w:eastAsiaTheme="minorEastAsia" w:cstheme="minorEastAsia"/>
          <w:bCs/>
          <w:color w:val="auto"/>
          <w:kern w:val="0"/>
          <w:sz w:val="24"/>
          <w:szCs w:val="24"/>
          <w:highlight w:val="none"/>
        </w:rPr>
        <w:t xml:space="preserve"> ************</w:t>
      </w:r>
    </w:p>
    <w:p w14:paraId="2E9932D4">
      <w:pPr>
        <w:tabs>
          <w:tab w:val="left" w:pos="6096"/>
        </w:tabs>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项目编号：</w:t>
      </w:r>
      <w:r>
        <w:rPr>
          <w:rFonts w:hint="eastAsia" w:asciiTheme="minorEastAsia" w:hAnsiTheme="minorEastAsia" w:eastAsiaTheme="minorEastAsia" w:cstheme="minorEastAsia"/>
          <w:bCs/>
          <w:color w:val="auto"/>
          <w:kern w:val="0"/>
          <w:sz w:val="24"/>
          <w:szCs w:val="24"/>
          <w:highlight w:val="none"/>
        </w:rPr>
        <w:t>************</w:t>
      </w:r>
      <w:r>
        <w:rPr>
          <w:rFonts w:hint="eastAsia" w:asciiTheme="minorEastAsia" w:hAnsiTheme="minorEastAsia" w:eastAsiaTheme="minorEastAsia" w:cstheme="minorEastAsia"/>
          <w:bCs/>
          <w:color w:val="auto"/>
          <w:sz w:val="24"/>
          <w:szCs w:val="24"/>
          <w:highlight w:val="none"/>
        </w:rPr>
        <w:t>（B）</w:t>
      </w:r>
    </w:p>
    <w:p w14:paraId="08D3313F">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甲方（采购人）：台州学院</w:t>
      </w:r>
    </w:p>
    <w:p w14:paraId="0C04A6DD">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乙方（中标供应商）：</w:t>
      </w:r>
      <w:r>
        <w:rPr>
          <w:rFonts w:hint="eastAsia" w:asciiTheme="minorEastAsia" w:hAnsiTheme="minorEastAsia" w:eastAsiaTheme="minorEastAsia" w:cstheme="minorEastAsia"/>
          <w:bCs/>
          <w:color w:val="auto"/>
          <w:kern w:val="0"/>
          <w:sz w:val="24"/>
          <w:szCs w:val="24"/>
          <w:highlight w:val="none"/>
        </w:rPr>
        <w:t>************</w:t>
      </w:r>
    </w:p>
    <w:p w14:paraId="4FBA4815">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丙方（进口代理机构）：浙江省科学器材进出口有限责任公司</w:t>
      </w:r>
    </w:p>
    <w:p w14:paraId="21519001">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甲、乙双方根据公开招标采购的结果，甲方委托丙方代理进口本合同乙方提供的进口货物，经甲、乙、丙三方协商签署本合同。</w:t>
      </w:r>
    </w:p>
    <w:p w14:paraId="4208A884">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一、采购商品清单及合同价格</w:t>
      </w:r>
    </w:p>
    <w:tbl>
      <w:tblPr>
        <w:tblStyle w:val="4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701"/>
        <w:gridCol w:w="1843"/>
        <w:gridCol w:w="806"/>
        <w:gridCol w:w="1278"/>
        <w:gridCol w:w="1460"/>
        <w:gridCol w:w="1417"/>
      </w:tblGrid>
      <w:tr w14:paraId="60F2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612" w:type="dxa"/>
            <w:noWrap w:val="0"/>
            <w:vAlign w:val="center"/>
          </w:tcPr>
          <w:p w14:paraId="2F70DEEC">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序号</w:t>
            </w:r>
          </w:p>
        </w:tc>
        <w:tc>
          <w:tcPr>
            <w:tcW w:w="1701" w:type="dxa"/>
            <w:noWrap w:val="0"/>
            <w:vAlign w:val="center"/>
          </w:tcPr>
          <w:p w14:paraId="4AE996F5">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进口货物名称</w:t>
            </w:r>
          </w:p>
        </w:tc>
        <w:tc>
          <w:tcPr>
            <w:tcW w:w="1843" w:type="dxa"/>
            <w:noWrap w:val="0"/>
            <w:vAlign w:val="center"/>
          </w:tcPr>
          <w:p w14:paraId="50C61A17">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品牌、型号及产地</w:t>
            </w:r>
          </w:p>
        </w:tc>
        <w:tc>
          <w:tcPr>
            <w:tcW w:w="806" w:type="dxa"/>
            <w:noWrap w:val="0"/>
            <w:vAlign w:val="center"/>
          </w:tcPr>
          <w:p w14:paraId="21A8B8AD">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数量</w:t>
            </w:r>
          </w:p>
        </w:tc>
        <w:tc>
          <w:tcPr>
            <w:tcW w:w="1278" w:type="dxa"/>
            <w:noWrap w:val="0"/>
            <w:vAlign w:val="center"/>
          </w:tcPr>
          <w:p w14:paraId="6B616C84">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中标价</w:t>
            </w:r>
          </w:p>
          <w:p w14:paraId="3EAF6481">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（美元）</w:t>
            </w:r>
          </w:p>
        </w:tc>
        <w:tc>
          <w:tcPr>
            <w:tcW w:w="1460" w:type="dxa"/>
            <w:noWrap w:val="0"/>
            <w:vAlign w:val="center"/>
          </w:tcPr>
          <w:p w14:paraId="03B68BBD">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总价</w:t>
            </w:r>
          </w:p>
          <w:p w14:paraId="77488CBD">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（人民币）</w:t>
            </w:r>
          </w:p>
        </w:tc>
        <w:tc>
          <w:tcPr>
            <w:tcW w:w="1417" w:type="dxa"/>
            <w:noWrap w:val="0"/>
            <w:vAlign w:val="center"/>
          </w:tcPr>
          <w:p w14:paraId="7D37A07B">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外贸合同号</w:t>
            </w:r>
          </w:p>
        </w:tc>
      </w:tr>
      <w:tr w14:paraId="27CA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612" w:type="dxa"/>
            <w:shd w:val="clear" w:color="auto" w:fill="auto"/>
            <w:noWrap w:val="0"/>
            <w:vAlign w:val="center"/>
          </w:tcPr>
          <w:p w14:paraId="45E04FC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701" w:type="dxa"/>
            <w:shd w:val="clear" w:color="auto" w:fill="auto"/>
            <w:noWrap w:val="0"/>
            <w:vAlign w:val="center"/>
          </w:tcPr>
          <w:p w14:paraId="428EC72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843" w:type="dxa"/>
            <w:shd w:val="clear" w:color="auto" w:fill="auto"/>
            <w:noWrap w:val="0"/>
            <w:vAlign w:val="center"/>
          </w:tcPr>
          <w:p w14:paraId="54DCB39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806" w:type="dxa"/>
            <w:shd w:val="clear" w:color="auto" w:fill="auto"/>
            <w:noWrap w:val="0"/>
            <w:vAlign w:val="center"/>
          </w:tcPr>
          <w:p w14:paraId="3F00B28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278" w:type="dxa"/>
            <w:shd w:val="clear" w:color="auto" w:fill="FFFFFF"/>
            <w:noWrap w:val="0"/>
            <w:vAlign w:val="center"/>
          </w:tcPr>
          <w:p w14:paraId="47C6765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460" w:type="dxa"/>
            <w:noWrap w:val="0"/>
            <w:vAlign w:val="center"/>
          </w:tcPr>
          <w:p w14:paraId="34875421">
            <w:pPr>
              <w:keepNext w:val="0"/>
              <w:keepLines w:val="0"/>
              <w:suppressLineNumbers w:val="0"/>
              <w:tabs>
                <w:tab w:val="left" w:pos="180"/>
              </w:tabs>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c>
          <w:tcPr>
            <w:tcW w:w="1417" w:type="dxa"/>
            <w:noWrap w:val="0"/>
            <w:vAlign w:val="center"/>
          </w:tcPr>
          <w:p w14:paraId="123DEAB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r>
      <w:tr w14:paraId="1DED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612" w:type="dxa"/>
            <w:shd w:val="clear" w:color="auto" w:fill="auto"/>
            <w:noWrap w:val="0"/>
            <w:vAlign w:val="center"/>
          </w:tcPr>
          <w:p w14:paraId="518CBD1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701" w:type="dxa"/>
            <w:shd w:val="clear" w:color="auto" w:fill="auto"/>
            <w:noWrap w:val="0"/>
            <w:vAlign w:val="center"/>
          </w:tcPr>
          <w:p w14:paraId="33B16D8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843" w:type="dxa"/>
            <w:shd w:val="clear" w:color="auto" w:fill="auto"/>
            <w:noWrap w:val="0"/>
            <w:vAlign w:val="center"/>
          </w:tcPr>
          <w:p w14:paraId="7FE72E4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806" w:type="dxa"/>
            <w:shd w:val="clear" w:color="auto" w:fill="auto"/>
            <w:noWrap w:val="0"/>
            <w:vAlign w:val="center"/>
          </w:tcPr>
          <w:p w14:paraId="30142D8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278" w:type="dxa"/>
            <w:shd w:val="clear" w:color="auto" w:fill="FFFFFF"/>
            <w:noWrap w:val="0"/>
            <w:vAlign w:val="center"/>
          </w:tcPr>
          <w:p w14:paraId="4908454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460" w:type="dxa"/>
            <w:noWrap w:val="0"/>
            <w:vAlign w:val="center"/>
          </w:tcPr>
          <w:p w14:paraId="619AE054">
            <w:pPr>
              <w:keepNext w:val="0"/>
              <w:keepLines w:val="0"/>
              <w:suppressLineNumbers w:val="0"/>
              <w:tabs>
                <w:tab w:val="left" w:pos="180"/>
              </w:tabs>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c>
          <w:tcPr>
            <w:tcW w:w="1417" w:type="dxa"/>
            <w:noWrap w:val="0"/>
            <w:vAlign w:val="center"/>
          </w:tcPr>
          <w:p w14:paraId="65EBD70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r>
      <w:tr w14:paraId="19AD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313" w:type="dxa"/>
            <w:gridSpan w:val="2"/>
            <w:noWrap w:val="0"/>
            <w:vAlign w:val="center"/>
          </w:tcPr>
          <w:p w14:paraId="4C10A3D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合同总价</w:t>
            </w:r>
          </w:p>
        </w:tc>
        <w:tc>
          <w:tcPr>
            <w:tcW w:w="6804" w:type="dxa"/>
            <w:gridSpan w:val="5"/>
            <w:noWrap w:val="0"/>
            <w:vAlign w:val="center"/>
          </w:tcPr>
          <w:p w14:paraId="1B1FBD8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美金：******USD</w:t>
            </w:r>
          </w:p>
          <w:p w14:paraId="7645C0C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人民币大写：******，******RMB</w:t>
            </w:r>
          </w:p>
        </w:tc>
      </w:tr>
    </w:tbl>
    <w:p w14:paraId="6C338655">
      <w:pPr>
        <w:spacing w:line="360"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注：1.合同价，以招标当日外汇牌价，加外贸代理费</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个点进行计算。当日美元外汇牌价为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，乙方以</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进行结算。如进口货物无法办理减免税手续，增值税和关税由甲方承担。</w:t>
      </w:r>
    </w:p>
    <w:p w14:paraId="6546E316">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2.合同履行过程中的汇率风险由乙方承担，由丙方与乙方结算。</w:t>
      </w:r>
    </w:p>
    <w:p w14:paraId="4102E833">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二、质量保证及售后服务</w:t>
      </w:r>
    </w:p>
    <w:p w14:paraId="02CA4EA7">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乙方应按照招投标文件规定的性能、技术要求、质量标准向甲方提供未经使用、符合国家法律规定和技术标准的原厂最新生产的全新原装合格产品；进口商品是获得国家商检局颁布安全许可证的出厂原装合格产品。如发生所供商品与合同不符，甲方有权拒收或随时退货，乙方应全额退还甲方所付款项，并按合同价款金额的20%支付违约金，由此产生的其他一切责任和后果也由乙方承担。</w:t>
      </w:r>
    </w:p>
    <w:p w14:paraId="62E7CF74">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2.乙方提供的货物在质保期内因货物本身的质量问题发生故障，乙方应负责免费更换。对达不到技术要求者，根据实际情况，经双方协商，可按以下办法处理：</w:t>
      </w:r>
    </w:p>
    <w:p w14:paraId="2CF96CF3">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⑴更换：由乙方承担所发生的全部费用。</w:t>
      </w:r>
    </w:p>
    <w:p w14:paraId="2F783FAF">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⑵贬值处理：由甲乙双方合议定价。</w:t>
      </w:r>
    </w:p>
    <w:p w14:paraId="7E8AFC7A">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⑶退货处理：乙方应退还甲方支付的合同款，同时应承担该货物的直接费用（运输、保险、检验、货款利息及银行手续费等）。</w:t>
      </w:r>
    </w:p>
    <w:p w14:paraId="2CA32381">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上述三种方式如协商不成，甲方有权直接自行选择上述三项处理方式任一项进行处理，乙方不得异议。</w:t>
      </w:r>
    </w:p>
    <w:p w14:paraId="263560B2">
      <w:pPr>
        <w:pStyle w:val="26"/>
        <w:wordWrap w:val="0"/>
        <w:spacing w:line="360" w:lineRule="auto"/>
        <w:ind w:left="105" w:leftChars="5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3.质保期内如在使用过程中发生质量问题，乙方在接到甲方通知后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小时内给与答复，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到达甲方现场处理。否则，应按每次2000元支付甲方违约金，同时甲方可以将该质量问题交第三方解决，所需费用由乙方承担。同一质量问题，如修理超过3次，乙方应予更换商品。否则，甲方因此支出的全部费用由乙方承担。质保期外，乙方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小时内作出响应，</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个工作日到达甲方现场处理，一般故障应在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小时内修复，重大故障应在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小时内修复。</w:t>
      </w:r>
    </w:p>
    <w:p w14:paraId="15D96737">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质保期内，乙方应对货物出现的质量及安全问题负责处理解决并承担一切费用及责任。质保期过后，乙方对货物提供终身维修服务，能提供广泛、即时、优惠的技术服务，并提供质量上乘、价格合理的各种配件。乙方保证供应仪器质保期后3年内所需的备品、备件并且给出详细清单（品名、货号、生产厂家、数量、价格等）。</w:t>
      </w:r>
    </w:p>
    <w:p w14:paraId="52E5186B">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5.乙方终身免费提供应用咨询及技术帮助，质保期内，易损件和外购件根据原厂家质保期和国家质保标准保修，因人为因素出现的故障酌情收取材料费，免收人工费；质保期外实行有偿服务。</w:t>
      </w:r>
    </w:p>
    <w:p w14:paraId="58C8DBE4">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三、技术资料</w:t>
      </w:r>
    </w:p>
    <w:p w14:paraId="74590701">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1.乙方应按招投标文件规定的时间向甲方提供合同货物的有关技术资料和必备的附件，进口产品还需提供全套英文对照的技术资料。</w:t>
      </w:r>
    </w:p>
    <w:p w14:paraId="65EB8B74">
      <w:pPr>
        <w:pStyle w:val="26"/>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pacing w:val="-6"/>
          <w:sz w:val="24"/>
          <w:szCs w:val="24"/>
          <w:highlight w:val="none"/>
        </w:rPr>
        <w:t>范围</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否则由乙方承担全部责任。</w:t>
      </w:r>
    </w:p>
    <w:p w14:paraId="414F215D">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四、知识产权</w:t>
      </w:r>
    </w:p>
    <w:p w14:paraId="36DC2BD0">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乙方应保证所提供的货物或其任何一部分均不会侵犯任何第三方的知识产权。如果任何第三方向甲方提起侵权索赔，乙方应负责与之进行交涉，造成甲方损失均由乙方承担。</w:t>
      </w:r>
    </w:p>
    <w:p w14:paraId="3D51FDA1">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pacing w:val="-6"/>
          <w:sz w:val="24"/>
          <w:szCs w:val="24"/>
          <w:highlight w:val="none"/>
        </w:rPr>
      </w:pPr>
      <w:r>
        <w:rPr>
          <w:rFonts w:hint="eastAsia" w:asciiTheme="minorEastAsia" w:hAnsiTheme="minorEastAsia" w:eastAsiaTheme="minorEastAsia" w:cstheme="minorEastAsia"/>
          <w:b w:val="0"/>
          <w:bCs w:val="0"/>
          <w:color w:val="auto"/>
          <w:sz w:val="24"/>
          <w:szCs w:val="24"/>
          <w:highlight w:val="none"/>
        </w:rPr>
        <w:t>五、质保期</w:t>
      </w:r>
      <w:r>
        <w:rPr>
          <w:rFonts w:hint="eastAsia" w:asciiTheme="minorEastAsia" w:hAnsiTheme="minorEastAsia" w:eastAsiaTheme="minorEastAsia" w:cstheme="minorEastAsia"/>
          <w:b w:val="0"/>
          <w:bCs w:val="0"/>
          <w:color w:val="auto"/>
          <w:spacing w:val="-6"/>
          <w:sz w:val="24"/>
          <w:szCs w:val="24"/>
          <w:highlight w:val="none"/>
        </w:rPr>
        <w:t xml:space="preserve"> </w:t>
      </w:r>
    </w:p>
    <w:p w14:paraId="41375C4D">
      <w:pPr>
        <w:pStyle w:val="26"/>
        <w:spacing w:line="360" w:lineRule="auto"/>
        <w:ind w:firstLine="480" w:firstLineChars="200"/>
        <w:rPr>
          <w:rFonts w:hint="eastAsia" w:asciiTheme="minorEastAsia" w:hAnsiTheme="minorEastAsia" w:eastAsiaTheme="minorEastAsia" w:cstheme="minorEastAsia"/>
          <w:b/>
          <w:bCs/>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质保期为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年（从甲方对产品的最终验收合格之日开始起算）。</w:t>
      </w:r>
    </w:p>
    <w:p w14:paraId="5B852C50">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六、交货时间和地点</w:t>
      </w:r>
    </w:p>
    <w:p w14:paraId="79B5791E">
      <w:pPr>
        <w:pStyle w:val="26"/>
        <w:spacing w:line="360" w:lineRule="auto"/>
        <w:ind w:firstLine="480"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乙方应在</w:t>
      </w:r>
      <w:r>
        <w:rPr>
          <w:rFonts w:hint="eastAsia" w:asciiTheme="minorEastAsia" w:hAnsiTheme="minorEastAsia" w:eastAsiaTheme="minorEastAsia" w:cstheme="minorEastAsia"/>
          <w:color w:val="auto"/>
          <w:spacing w:val="-6"/>
          <w:kern w:val="2"/>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将所供商品按时、安全运至甲方指定地点，运费、装卸费</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由乙方负责。</w:t>
      </w:r>
    </w:p>
    <w:p w14:paraId="4E1BCC69">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七、调试和验收</w:t>
      </w:r>
    </w:p>
    <w:p w14:paraId="718DF461">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1.甲方对乙方提交的货物依据招标文件上的技术规格要求和国家有关质量标准进行现场初步验收，外观、说明书符合招标文件技术要求的，给予签收，初步验收不</w:t>
      </w:r>
      <w:r>
        <w:rPr>
          <w:rFonts w:hint="eastAsia" w:asciiTheme="minorEastAsia" w:hAnsiTheme="minorEastAsia" w:eastAsiaTheme="minorEastAsia" w:cstheme="minorEastAsia"/>
          <w:color w:val="auto"/>
          <w:kern w:val="0"/>
          <w:sz w:val="24"/>
          <w:szCs w:val="24"/>
          <w:highlight w:val="none"/>
          <w:lang w:val="en-US" w:eastAsia="zh-CN"/>
        </w:rPr>
        <w:t>符合约定</w:t>
      </w:r>
      <w:r>
        <w:rPr>
          <w:rFonts w:hint="eastAsia" w:asciiTheme="minorEastAsia" w:hAnsiTheme="minorEastAsia" w:eastAsiaTheme="minorEastAsia" w:cstheme="minorEastAsia"/>
          <w:color w:val="auto"/>
          <w:sz w:val="24"/>
          <w:szCs w:val="24"/>
          <w:highlight w:val="none"/>
        </w:rPr>
        <w:t>的不予签收。</w:t>
      </w:r>
    </w:p>
    <w:p w14:paraId="73F2EF98">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2.乙方交货前应对产品做出全面检查和对验收文件进行整理，并列出清单，作为甲方收货验收和使用的技术条件依据，检验的结果应随货物交甲方。</w:t>
      </w:r>
    </w:p>
    <w:p w14:paraId="7D66A013">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3.乙方对安装货物的实验室工作条件应提出具体要求，并在安装前予以确认。</w:t>
      </w:r>
    </w:p>
    <w:p w14:paraId="22E11397">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4.货物到达甲方指定交货地点后，根据甲方的时间安排，乙方在接到甲方通知后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天内进行安装调试，直至通过验收。货物安装调试合格后，乙方负责对甲方技术人员（至少2人）进行免费现场培训，培训内容包括仪器的性能、原理、操作、保养和维护等，培训日程视实际情况另定。</w:t>
      </w:r>
    </w:p>
    <w:p w14:paraId="1FA6386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5.对技术复杂的货物，甲方可请国家认可的专业检测机构参与初步验收及最终验收，并由其出具质量检测报告。</w:t>
      </w:r>
    </w:p>
    <w:p w14:paraId="27D0667D">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6.验收时乙方必须在现场，验收完毕后作出验收结果报告；验收费用由乙方负责。如乙方拒不到场，视为其同意甲方之验收结果并不得异议。</w:t>
      </w:r>
    </w:p>
    <w:p w14:paraId="2B7E158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7.因乙方人员在合同履行过程中造成甲方或其自身人身或财产损害，由乙方承担全部责任。</w:t>
      </w:r>
    </w:p>
    <w:p w14:paraId="0476ADFF">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八、货款支付</w:t>
      </w:r>
    </w:p>
    <w:p w14:paraId="3FF8CA0D">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1.合同签订后，甲方向丙方支付50%的合同款项作为预付款，货物验收合格后，在丙方票证齐全，符合甲方付款流程的前提下，甲方向丙方一次性付清剩余款项，即甲乙双方签订的</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项目编号的内容</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（A）</w:t>
      </w:r>
      <w:r>
        <w:rPr>
          <w:rFonts w:hint="eastAsia" w:asciiTheme="minorEastAsia" w:hAnsiTheme="minorEastAsia" w:eastAsiaTheme="minorEastAsia" w:cstheme="minorEastAsia"/>
          <w:color w:val="auto"/>
          <w:spacing w:val="-6"/>
          <w:sz w:val="24"/>
          <w:szCs w:val="24"/>
          <w:highlight w:val="none"/>
          <w:lang w:val="en-US" w:eastAsia="zh-CN"/>
        </w:rPr>
        <w:t>进口货物</w:t>
      </w:r>
      <w:r>
        <w:rPr>
          <w:rFonts w:hint="eastAsia" w:asciiTheme="minorEastAsia" w:hAnsiTheme="minorEastAsia" w:eastAsiaTheme="minorEastAsia" w:cstheme="minorEastAsia"/>
          <w:color w:val="auto"/>
          <w:spacing w:val="-6"/>
          <w:sz w:val="24"/>
          <w:szCs w:val="24"/>
          <w:highlight w:val="none"/>
        </w:rPr>
        <w:t>买卖合同中进口货物的货款，否则甲方有权拒绝付款。丙方于收到款项后3个工作日内向乙方指定的外商公司同比例支付。本合同执行中相关的一切税费均由乙方负担。</w:t>
      </w:r>
    </w:p>
    <w:p w14:paraId="5E5906A8">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九、其他条款约定</w:t>
      </w:r>
    </w:p>
    <w:p w14:paraId="5888D0F2">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1.甲方、乙方协助丙方做好有关进口审批及到货前办理好进口免税手续。</w:t>
      </w:r>
    </w:p>
    <w:p w14:paraId="4FB8AA09">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2.乙方负责根据本次采购结果向丙方提供已确认的进口货物的品名、型号规格、配置配件、技术要求、价格、制造厂商或生产国别、售后服务等相关书面资料，以便丙方及时对外签订进口合同。</w:t>
      </w:r>
    </w:p>
    <w:p w14:paraId="022BA2BC">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3.丙方负责对外签订合同、协助商谈运输方式、到货地点，办理法定商检、对外承付货款、办理进口报关、到货后通知乙方安装调试并送货上门等事宜。</w:t>
      </w:r>
    </w:p>
    <w:p w14:paraId="5F167EBD">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4.丙方应根据进口合同积极实施对外履约，并及时向甲方和乙方书面通报进口合同的执行情况，特别是货物备妥期、装运期、预计抵达情况，以便甲方及时了解供货进度，乙方及时做好接货准备。</w:t>
      </w:r>
    </w:p>
    <w:p w14:paraId="032FA3CC">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5.对需办理《机电产品进口许可证》的设备，丙方应协助甲方办理网上申报等有关事宜，并及时领取进口批件。</w:t>
      </w:r>
    </w:p>
    <w:p w14:paraId="25311475">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6.进口设备到货后，丙方应向甲方提供一套完整的进口单证。如进口产品发生质量、数量与进口合同不符，应协助甲方和乙方做好商检，并及时启动索赔程序，负责向有关责任人交涉及索赔，乙方和丙方应共同对进口产品的数量、质量等负责。</w:t>
      </w:r>
    </w:p>
    <w:p w14:paraId="7AC89CFF">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7.如由于丙方工作失误，造成进口货物不能及时清关而产生的海关滞报金，超期仓储费等额外费用由丙方自行承担。</w:t>
      </w:r>
    </w:p>
    <w:p w14:paraId="79E69EB8">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8.丙方应协助甲方完成海关等政府主管部门履行年检、抽检及其他相关工作并提供相关检查资料。</w:t>
      </w:r>
    </w:p>
    <w:p w14:paraId="18341E34">
      <w:pPr>
        <w:spacing w:line="360" w:lineRule="auto"/>
        <w:ind w:firstLine="456"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pacing w:val="-6"/>
          <w:sz w:val="24"/>
          <w:szCs w:val="24"/>
          <w:highlight w:val="none"/>
        </w:rPr>
        <w:t>9.</w:t>
      </w:r>
      <w:r>
        <w:rPr>
          <w:rFonts w:hint="eastAsia" w:asciiTheme="minorEastAsia" w:hAnsiTheme="minorEastAsia" w:eastAsiaTheme="minorEastAsia" w:cstheme="minorEastAsia"/>
          <w:color w:val="auto"/>
          <w:sz w:val="24"/>
          <w:szCs w:val="24"/>
          <w:highlight w:val="none"/>
        </w:rPr>
        <w:t>本合同与甲乙双方签订的</w:t>
      </w:r>
      <w:bookmarkStart w:id="113" w:name="_Hlk136279888"/>
      <w:r>
        <w:rPr>
          <w:rFonts w:hint="eastAsia" w:asciiTheme="minorEastAsia" w:hAnsiTheme="minorEastAsia" w:eastAsiaTheme="minorEastAsia" w:cstheme="minorEastAsia"/>
          <w:color w:val="auto"/>
          <w:sz w:val="24"/>
          <w:szCs w:val="24"/>
          <w:highlight w:val="none"/>
          <w:u w:val="single"/>
        </w:rPr>
        <w:t xml:space="preserve"> 项目编号的内容 </w:t>
      </w:r>
      <w:bookmarkEnd w:id="113"/>
      <w:r>
        <w:rPr>
          <w:rFonts w:hint="eastAsia" w:asciiTheme="minorEastAsia" w:hAnsiTheme="minorEastAsia" w:eastAsiaTheme="minorEastAsia" w:cstheme="minorEastAsia"/>
          <w:color w:val="auto"/>
          <w:sz w:val="24"/>
          <w:szCs w:val="24"/>
          <w:highlight w:val="none"/>
        </w:rPr>
        <w:t>（A）《</w:t>
      </w:r>
      <w:r>
        <w:rPr>
          <w:rFonts w:hint="eastAsia" w:asciiTheme="minorEastAsia" w:hAnsiTheme="minorEastAsia" w:eastAsiaTheme="minorEastAsia" w:cstheme="minorEastAsia"/>
          <w:color w:val="auto"/>
          <w:sz w:val="24"/>
          <w:szCs w:val="24"/>
          <w:highlight w:val="none"/>
          <w:lang w:val="en-US" w:eastAsia="zh-CN"/>
        </w:rPr>
        <w:t>进口货物买卖</w:t>
      </w:r>
      <w:r>
        <w:rPr>
          <w:rFonts w:hint="eastAsia" w:asciiTheme="minorEastAsia" w:hAnsiTheme="minorEastAsia" w:eastAsiaTheme="minorEastAsia" w:cstheme="minorEastAsia"/>
          <w:color w:val="auto"/>
          <w:sz w:val="24"/>
          <w:szCs w:val="24"/>
          <w:highlight w:val="none"/>
        </w:rPr>
        <w:t>合同》相关联，系同一标的物、同一货款。</w:t>
      </w:r>
    </w:p>
    <w:p w14:paraId="4CDC6C3C">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十、违约责任</w:t>
      </w:r>
    </w:p>
    <w:p w14:paraId="3FB44A4E">
      <w:pPr>
        <w:pStyle w:val="26"/>
        <w:spacing w:line="360" w:lineRule="auto"/>
        <w:ind w:firstLine="456" w:firstLineChars="200"/>
        <w:rPr>
          <w:rFonts w:hint="eastAsia" w:asciiTheme="minorEastAsia" w:hAnsiTheme="minorEastAsia" w:eastAsiaTheme="minorEastAsia" w:cstheme="minorEastAsia"/>
          <w:color w:val="auto"/>
          <w:spacing w:val="-6"/>
          <w:kern w:val="2"/>
          <w:sz w:val="24"/>
          <w:szCs w:val="24"/>
          <w:highlight w:val="none"/>
        </w:rPr>
      </w:pPr>
      <w:r>
        <w:rPr>
          <w:rFonts w:hint="eastAsia" w:asciiTheme="minorEastAsia" w:hAnsiTheme="minorEastAsia" w:eastAsiaTheme="minorEastAsia" w:cstheme="minorEastAsia"/>
          <w:color w:val="auto"/>
          <w:spacing w:val="-6"/>
          <w:kern w:val="2"/>
          <w:sz w:val="24"/>
          <w:szCs w:val="24"/>
          <w:highlight w:val="none"/>
        </w:rPr>
        <w:t>1.甲方无正当理由拒收货物的，甲方向乙方偿付拒收货款总值的百分之五违约金。</w:t>
      </w:r>
    </w:p>
    <w:p w14:paraId="7E37D46A">
      <w:pPr>
        <w:pStyle w:val="26"/>
        <w:spacing w:line="360" w:lineRule="auto"/>
        <w:ind w:firstLine="456" w:firstLineChars="200"/>
        <w:rPr>
          <w:rFonts w:hint="eastAsia" w:asciiTheme="minorEastAsia" w:hAnsiTheme="minorEastAsia" w:eastAsiaTheme="minorEastAsia" w:cstheme="minorEastAsia"/>
          <w:color w:val="auto"/>
          <w:spacing w:val="-6"/>
          <w:kern w:val="2"/>
          <w:sz w:val="24"/>
          <w:szCs w:val="24"/>
          <w:highlight w:val="none"/>
        </w:rPr>
      </w:pPr>
      <w:r>
        <w:rPr>
          <w:rFonts w:hint="eastAsia" w:asciiTheme="minorEastAsia" w:hAnsiTheme="minorEastAsia" w:eastAsiaTheme="minorEastAsia" w:cstheme="minorEastAsia"/>
          <w:color w:val="auto"/>
          <w:spacing w:val="-6"/>
          <w:kern w:val="2"/>
          <w:sz w:val="24"/>
          <w:szCs w:val="24"/>
          <w:highlight w:val="none"/>
        </w:rPr>
        <w:t>2.甲方无故逾期验收和办理货款支付手续的,甲方应按逾期付款总额每日万分之五向乙方支付违约金。</w:t>
      </w:r>
    </w:p>
    <w:p w14:paraId="2DB6CEC2">
      <w:pPr>
        <w:pStyle w:val="26"/>
        <w:spacing w:line="360" w:lineRule="auto"/>
        <w:ind w:firstLine="456" w:firstLineChars="200"/>
        <w:rPr>
          <w:rFonts w:hint="eastAsia" w:asciiTheme="minorEastAsia" w:hAnsiTheme="minorEastAsia" w:eastAsiaTheme="minorEastAsia" w:cstheme="minorEastAsia"/>
          <w:color w:val="auto"/>
          <w:spacing w:val="-6"/>
          <w:kern w:val="2"/>
          <w:sz w:val="24"/>
          <w:szCs w:val="24"/>
          <w:highlight w:val="none"/>
        </w:rPr>
      </w:pPr>
      <w:r>
        <w:rPr>
          <w:rFonts w:hint="eastAsia" w:asciiTheme="minorEastAsia" w:hAnsiTheme="minorEastAsia" w:eastAsiaTheme="minorEastAsia" w:cstheme="minorEastAsia"/>
          <w:color w:val="auto"/>
          <w:spacing w:val="-6"/>
          <w:kern w:val="2"/>
          <w:sz w:val="24"/>
          <w:szCs w:val="24"/>
          <w:highlight w:val="none"/>
        </w:rPr>
        <w:t>3.乙方逾期交付货物的，乙方应按逾期交货总额每日千分之六向甲方支付违约金，甲方可直接从待付货款中扣除。乙方逾期超过约定日期10日不能交货的或有其他违约行为的，甲方有权解除合同，预付款返还甲方，并且乙方应向甲方支付合同总值20%的违约金，如造成甲方损失超过违约金的，超出部分由乙方继续承担赔偿责任。</w:t>
      </w:r>
    </w:p>
    <w:p w14:paraId="1FEF091E">
      <w:pPr>
        <w:pStyle w:val="26"/>
        <w:spacing w:line="360" w:lineRule="auto"/>
        <w:ind w:firstLine="456"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kern w:val="2"/>
          <w:sz w:val="24"/>
          <w:szCs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w:t>
      </w:r>
      <w:r>
        <w:rPr>
          <w:rFonts w:hint="eastAsia" w:asciiTheme="minorEastAsia" w:hAnsiTheme="minorEastAsia" w:eastAsiaTheme="minorEastAsia" w:cstheme="minorEastAsia"/>
          <w:color w:val="auto"/>
          <w:sz w:val="24"/>
          <w:szCs w:val="24"/>
          <w:highlight w:val="none"/>
        </w:rPr>
        <w:t>如造成甲方的损失超过违约金的，乙方理应继续承担赔偿责任。</w:t>
      </w:r>
    </w:p>
    <w:p w14:paraId="61897D82">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5.丙方如违反本合同约定，应支付甲方合同总价20%的违约金，如造成甲方损失超过违约金的，由乙方、丙方继续赔偿。</w:t>
      </w:r>
    </w:p>
    <w:p w14:paraId="12FF55FB">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十一、不可抗力</w:t>
      </w:r>
    </w:p>
    <w:p w14:paraId="5DBFA73A">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1.在合同有效期内，任何一方因不可抗力事件导致不能履行合同，则合同履行期可延长，其延长期与不可抗力影响期相同。</w:t>
      </w:r>
    </w:p>
    <w:p w14:paraId="68503C2E">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2.不可抗力事件发生后，应立即通知对方，并寄送有关权威机构出具的证明。</w:t>
      </w:r>
    </w:p>
    <w:p w14:paraId="6540B57B">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3.不可抗力事件延续60天以上，双方应通过友好协商，确定是否继续履行合同。</w:t>
      </w:r>
    </w:p>
    <w:p w14:paraId="429A9F73">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十二、争议解决</w:t>
      </w:r>
    </w:p>
    <w:p w14:paraId="3C97A0EF">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本合同未尽事宜由三方协商解决，并签订必要的书面协议。如协商不成，向甲方所在地人民法院提起诉讼。</w:t>
      </w:r>
    </w:p>
    <w:p w14:paraId="0D4AF0AD">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十三、合同生效</w:t>
      </w:r>
    </w:p>
    <w:p w14:paraId="701B5D4B">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1.合同经甲、乙、丙三方签订后生效。</w:t>
      </w:r>
    </w:p>
    <w:p w14:paraId="04C52029">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2.合同执行中涉及采购资金和采购内容修改或补充的，须经三方认定，并签书面补充协议，作为主合同不可分割的一部分。</w:t>
      </w:r>
    </w:p>
    <w:p w14:paraId="3F5F6FE7">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3.本合同未尽事宜，遵照《民法典》及有关规定执行。</w:t>
      </w:r>
    </w:p>
    <w:p w14:paraId="48E7EA0F">
      <w:pPr>
        <w:spacing w:line="360" w:lineRule="auto"/>
        <w:ind w:firstLine="456" w:firstLineChars="200"/>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4.本合同一式柒份，甲方执伍份，乙方、丙方各执壹份。本项目未尽事宜以招标文件、投标文件及澄清文件等为准。</w:t>
      </w:r>
    </w:p>
    <w:p w14:paraId="0A2F5FF8">
      <w:pPr>
        <w:spacing w:line="360" w:lineRule="auto"/>
        <w:ind w:firstLine="458" w:firstLineChars="200"/>
        <w:rPr>
          <w:rFonts w:hint="eastAsia" w:asciiTheme="minorEastAsia" w:hAnsiTheme="minorEastAsia" w:eastAsiaTheme="minorEastAsia" w:cstheme="minorEastAsia"/>
          <w:b/>
          <w:color w:val="auto"/>
          <w:spacing w:val="-6"/>
          <w:sz w:val="24"/>
          <w:szCs w:val="24"/>
          <w:highlight w:val="none"/>
        </w:rPr>
      </w:pPr>
    </w:p>
    <w:p w14:paraId="0E04AEAE">
      <w:pPr>
        <w:spacing w:line="360" w:lineRule="auto"/>
        <w:ind w:firstLine="458" w:firstLineChars="200"/>
        <w:rPr>
          <w:rFonts w:hint="eastAsia" w:asciiTheme="minorEastAsia" w:hAnsiTheme="minorEastAsia" w:eastAsiaTheme="minorEastAsia" w:cstheme="minorEastAsia"/>
          <w:b/>
          <w:color w:val="auto"/>
          <w:spacing w:val="-6"/>
          <w:sz w:val="24"/>
          <w:szCs w:val="24"/>
          <w:highlight w:val="none"/>
        </w:rPr>
      </w:pPr>
    </w:p>
    <w:tbl>
      <w:tblPr>
        <w:tblStyle w:val="4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4781"/>
      </w:tblGrid>
      <w:tr w14:paraId="1918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433" w:type="dxa"/>
            <w:tcBorders>
              <w:top w:val="single" w:color="auto" w:sz="4" w:space="0"/>
              <w:left w:val="single" w:color="auto" w:sz="4" w:space="0"/>
              <w:bottom w:val="single" w:color="auto" w:sz="4" w:space="0"/>
              <w:right w:val="single" w:color="auto" w:sz="4" w:space="0"/>
            </w:tcBorders>
            <w:noWrap w:val="0"/>
            <w:vAlign w:val="center"/>
          </w:tcPr>
          <w:p w14:paraId="76A9C6B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甲方（公章）台州学院</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5B26ECD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乙方（公章）</w:t>
            </w:r>
          </w:p>
        </w:tc>
      </w:tr>
      <w:tr w14:paraId="7586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433" w:type="dxa"/>
            <w:tcBorders>
              <w:top w:val="single" w:color="auto" w:sz="4" w:space="0"/>
              <w:left w:val="single" w:color="auto" w:sz="4" w:space="0"/>
              <w:bottom w:val="single" w:color="auto" w:sz="4" w:space="0"/>
              <w:right w:val="single" w:color="auto" w:sz="4" w:space="0"/>
            </w:tcBorders>
            <w:noWrap w:val="0"/>
            <w:vAlign w:val="center"/>
          </w:tcPr>
          <w:p w14:paraId="683E487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p>
          <w:p w14:paraId="4A74BD7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47E862E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p>
          <w:p w14:paraId="34F065F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w:t>
            </w:r>
          </w:p>
        </w:tc>
      </w:tr>
      <w:tr w14:paraId="74FB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3" w:type="dxa"/>
            <w:tcBorders>
              <w:top w:val="single" w:color="auto" w:sz="4" w:space="0"/>
              <w:left w:val="single" w:color="auto" w:sz="4" w:space="0"/>
              <w:bottom w:val="single" w:color="auto" w:sz="4" w:space="0"/>
              <w:right w:val="single" w:color="auto" w:sz="4" w:space="0"/>
            </w:tcBorders>
            <w:noWrap w:val="0"/>
            <w:vAlign w:val="center"/>
          </w:tcPr>
          <w:p w14:paraId="48D33B2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联系电话：0576-88660896</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63F9D35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r>
      <w:tr w14:paraId="415D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3" w:type="dxa"/>
            <w:tcBorders>
              <w:top w:val="single" w:color="auto" w:sz="4" w:space="0"/>
              <w:left w:val="single" w:color="auto" w:sz="4" w:space="0"/>
              <w:bottom w:val="single" w:color="auto" w:sz="4" w:space="0"/>
              <w:right w:val="single" w:color="auto" w:sz="4" w:space="0"/>
            </w:tcBorders>
            <w:noWrap w:val="0"/>
            <w:vAlign w:val="center"/>
          </w:tcPr>
          <w:p w14:paraId="21EDE45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开户银行：建行台州市分行</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66C0638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tc>
      </w:tr>
      <w:tr w14:paraId="607E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433" w:type="dxa"/>
            <w:tcBorders>
              <w:top w:val="single" w:color="auto" w:sz="4" w:space="0"/>
              <w:left w:val="single" w:color="auto" w:sz="4" w:space="0"/>
              <w:bottom w:val="single" w:color="auto" w:sz="4" w:space="0"/>
              <w:right w:val="single" w:color="auto" w:sz="4" w:space="0"/>
            </w:tcBorders>
            <w:noWrap w:val="0"/>
            <w:vAlign w:val="center"/>
          </w:tcPr>
          <w:p w14:paraId="604BEA7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账号：33050166350000000852</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5115F12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tc>
      </w:tr>
      <w:tr w14:paraId="777C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3" w:type="dxa"/>
            <w:tcBorders>
              <w:top w:val="single" w:color="auto" w:sz="4" w:space="0"/>
              <w:left w:val="single" w:color="auto" w:sz="4" w:space="0"/>
              <w:bottom w:val="single" w:color="auto" w:sz="4" w:space="0"/>
              <w:right w:val="single" w:color="auto" w:sz="4" w:space="0"/>
            </w:tcBorders>
            <w:noWrap w:val="0"/>
            <w:vAlign w:val="center"/>
          </w:tcPr>
          <w:p w14:paraId="0CBADEE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地址：台州市椒江区市府大道1139号</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1D2E176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tc>
      </w:tr>
      <w:tr w14:paraId="73FD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tcBorders>
            <w:noWrap w:val="0"/>
            <w:vAlign w:val="top"/>
          </w:tcPr>
          <w:p w14:paraId="27BBB5C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p>
        </w:tc>
      </w:tr>
      <w:tr w14:paraId="41AA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right w:val="single" w:color="auto" w:sz="4" w:space="0"/>
            </w:tcBorders>
            <w:noWrap w:val="0"/>
            <w:vAlign w:val="top"/>
          </w:tcPr>
          <w:p w14:paraId="1949772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丙方（公章）浙江省科学器材进出口有限责任公司</w:t>
            </w:r>
          </w:p>
        </w:tc>
      </w:tr>
      <w:tr w14:paraId="2484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right w:val="single" w:color="auto" w:sz="4" w:space="0"/>
            </w:tcBorders>
            <w:noWrap w:val="0"/>
            <w:vAlign w:val="center"/>
          </w:tcPr>
          <w:p w14:paraId="5C9A731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p>
          <w:p w14:paraId="610E013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w:t>
            </w:r>
          </w:p>
        </w:tc>
      </w:tr>
      <w:tr w14:paraId="6164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214" w:type="dxa"/>
            <w:gridSpan w:val="2"/>
            <w:tcBorders>
              <w:top w:val="single" w:color="auto" w:sz="4" w:space="0"/>
              <w:left w:val="single" w:color="auto" w:sz="4" w:space="0"/>
              <w:bottom w:val="single" w:color="auto" w:sz="4" w:space="0"/>
              <w:right w:val="single" w:color="auto" w:sz="4" w:space="0"/>
            </w:tcBorders>
            <w:noWrap w:val="0"/>
            <w:vAlign w:val="top"/>
          </w:tcPr>
          <w:p w14:paraId="0174735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联系电话：0571-87967082</w:t>
            </w:r>
          </w:p>
        </w:tc>
      </w:tr>
      <w:tr w14:paraId="72C4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tcBorders>
            <w:noWrap w:val="0"/>
            <w:vAlign w:val="top"/>
          </w:tcPr>
          <w:p w14:paraId="3EA5DE4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开户银行：工行保俶支行</w:t>
            </w:r>
          </w:p>
        </w:tc>
      </w:tr>
      <w:tr w14:paraId="5FBC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tcBorders>
            <w:noWrap w:val="0"/>
            <w:vAlign w:val="top"/>
          </w:tcPr>
          <w:p w14:paraId="1619333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账号：1202022709006500176</w:t>
            </w:r>
          </w:p>
        </w:tc>
      </w:tr>
      <w:tr w14:paraId="091F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right w:val="single" w:color="auto" w:sz="4" w:space="0"/>
            </w:tcBorders>
            <w:noWrap w:val="0"/>
            <w:vAlign w:val="top"/>
          </w:tcPr>
          <w:p w14:paraId="433315E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地址：杭州市天目山路97号</w:t>
            </w:r>
          </w:p>
        </w:tc>
      </w:tr>
    </w:tbl>
    <w:p w14:paraId="0B6E613B">
      <w:pPr>
        <w:spacing w:line="360" w:lineRule="auto"/>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签订时间：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    月    日</w:t>
      </w:r>
    </w:p>
    <w:p w14:paraId="6CAB67D4">
      <w:pPr>
        <w:spacing w:line="360" w:lineRule="auto"/>
        <w:ind w:firstLine="480" w:firstLineChars="200"/>
        <w:rPr>
          <w:rFonts w:ascii="宋体" w:hAnsi="宋体" w:eastAsia="宋体" w:cs="宋体"/>
          <w:b/>
          <w:bCs/>
          <w:color w:val="auto"/>
          <w:sz w:val="32"/>
          <w:szCs w:val="32"/>
          <w:highlight w:val="none"/>
        </w:rPr>
      </w:pPr>
      <w:r>
        <w:rPr>
          <w:rFonts w:hint="eastAsia" w:asciiTheme="minorEastAsia" w:hAnsiTheme="minorEastAsia" w:eastAsiaTheme="minorEastAsia" w:cstheme="minorEastAsia"/>
          <w:color w:val="auto"/>
          <w:sz w:val="24"/>
          <w:szCs w:val="24"/>
          <w:highlight w:val="none"/>
        </w:rPr>
        <w:t xml:space="preserve">                       </w:t>
      </w:r>
      <w:bookmarkStart w:id="114" w:name="_Toc13438"/>
      <w:r>
        <w:rPr>
          <w:rFonts w:hint="eastAsia" w:ascii="宋体" w:hAnsi="宋体" w:eastAsia="宋体" w:cs="宋体"/>
          <w:b/>
          <w:color w:val="auto"/>
          <w:sz w:val="32"/>
          <w:szCs w:val="32"/>
          <w:highlight w:val="none"/>
        </w:rPr>
        <w:t xml:space="preserve">第七部分   </w:t>
      </w:r>
      <w:r>
        <w:rPr>
          <w:rFonts w:hint="eastAsia" w:ascii="宋体" w:hAnsi="宋体" w:eastAsia="宋体" w:cs="宋体"/>
          <w:b/>
          <w:bCs/>
          <w:color w:val="auto"/>
          <w:sz w:val="32"/>
          <w:szCs w:val="32"/>
          <w:highlight w:val="none"/>
        </w:rPr>
        <w:t>格式与表格</w:t>
      </w:r>
      <w:bookmarkEnd w:id="105"/>
      <w:bookmarkEnd w:id="114"/>
    </w:p>
    <w:p w14:paraId="01D315E3">
      <w:pPr>
        <w:widowControl w:val="0"/>
        <w:spacing w:after="120"/>
        <w:jc w:val="both"/>
        <w:rPr>
          <w:rFonts w:ascii="宋体" w:hAnsi="宋体" w:eastAsia="宋体" w:cs="宋体"/>
          <w:color w:val="auto"/>
          <w:kern w:val="2"/>
          <w:sz w:val="21"/>
          <w:szCs w:val="24"/>
          <w:highlight w:val="none"/>
          <w:lang w:val="en-US" w:eastAsia="zh-CN" w:bidi="ar-SA"/>
        </w:rPr>
      </w:pPr>
    </w:p>
    <w:p w14:paraId="02A547DD">
      <w:pPr>
        <w:shd w:val="clear" w:color="auto" w:fill="FFFFFF"/>
        <w:snapToGrid w:val="0"/>
        <w:spacing w:line="360" w:lineRule="auto"/>
        <w:jc w:val="center"/>
        <w:rPr>
          <w:rFonts w:ascii="宋体" w:hAnsi="宋体" w:eastAsia="宋体" w:cs="宋体"/>
          <w:b/>
          <w:bCs/>
          <w:color w:val="auto"/>
          <w:szCs w:val="21"/>
          <w:highlight w:val="none"/>
        </w:rPr>
      </w:pPr>
      <w:bookmarkStart w:id="115" w:name="_Toc2172"/>
      <w:bookmarkStart w:id="116" w:name="_Toc22871"/>
      <w:r>
        <w:rPr>
          <w:rFonts w:hint="eastAsia" w:ascii="宋体" w:hAnsi="宋体" w:eastAsia="宋体" w:cs="宋体"/>
          <w:color w:val="auto"/>
          <w:sz w:val="52"/>
          <w:szCs w:val="52"/>
          <w:highlight w:val="none"/>
        </w:rPr>
        <w:t>项目名称</w:t>
      </w:r>
      <w:bookmarkEnd w:id="115"/>
      <w:bookmarkEnd w:id="116"/>
    </w:p>
    <w:p w14:paraId="064A2839">
      <w:pPr>
        <w:spacing w:line="360" w:lineRule="auto"/>
        <w:ind w:firstLine="3596" w:firstLineChars="995"/>
        <w:jc w:val="left"/>
        <w:rPr>
          <w:rFonts w:ascii="宋体" w:hAnsi="宋体" w:eastAsia="宋体" w:cs="宋体"/>
          <w:color w:val="auto"/>
          <w:sz w:val="30"/>
          <w:szCs w:val="30"/>
          <w:highlight w:val="none"/>
        </w:rPr>
      </w:pPr>
      <w:r>
        <w:rPr>
          <w:rFonts w:hint="eastAsia" w:ascii="宋体" w:hAnsi="宋体" w:eastAsia="宋体" w:cs="宋体"/>
          <w:b/>
          <w:color w:val="auto"/>
          <w:sz w:val="36"/>
          <w:szCs w:val="36"/>
          <w:highlight w:val="none"/>
        </w:rPr>
        <w:t>项目编号：</w:t>
      </w:r>
    </w:p>
    <w:p w14:paraId="6812D467">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w:t>
      </w:r>
    </w:p>
    <w:p w14:paraId="1B6AD4B3">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标</w:t>
      </w:r>
    </w:p>
    <w:p w14:paraId="71629668">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文</w:t>
      </w:r>
    </w:p>
    <w:p w14:paraId="1415239F">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件</w:t>
      </w:r>
    </w:p>
    <w:p w14:paraId="6F3F5B46">
      <w:pPr>
        <w:spacing w:line="360" w:lineRule="auto"/>
        <w:jc w:val="center"/>
        <w:rPr>
          <w:rFonts w:ascii="宋体" w:hAnsi="宋体" w:eastAsia="宋体" w:cs="宋体"/>
          <w:color w:val="auto"/>
          <w:sz w:val="28"/>
          <w:szCs w:val="28"/>
          <w:highlight w:val="none"/>
        </w:rPr>
      </w:pPr>
    </w:p>
    <w:p w14:paraId="1E1C501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（资格证明文件）</w:t>
      </w:r>
    </w:p>
    <w:p w14:paraId="70613256">
      <w:pPr>
        <w:spacing w:line="360" w:lineRule="auto"/>
        <w:jc w:val="center"/>
        <w:rPr>
          <w:rFonts w:ascii="宋体" w:hAnsi="宋体" w:eastAsia="宋体" w:cs="宋体"/>
          <w:color w:val="auto"/>
          <w:sz w:val="32"/>
          <w:szCs w:val="32"/>
          <w:highlight w:val="none"/>
        </w:rPr>
      </w:pPr>
    </w:p>
    <w:p w14:paraId="7C060551">
      <w:pPr>
        <w:spacing w:line="360" w:lineRule="auto"/>
        <w:jc w:val="center"/>
        <w:rPr>
          <w:rFonts w:ascii="宋体" w:hAnsi="宋体" w:eastAsia="宋体" w:cs="宋体"/>
          <w:color w:val="auto"/>
          <w:sz w:val="32"/>
          <w:szCs w:val="32"/>
          <w:highlight w:val="none"/>
        </w:rPr>
      </w:pPr>
    </w:p>
    <w:p w14:paraId="3B46A6EF">
      <w:pPr>
        <w:widowControl w:val="0"/>
        <w:ind w:left="0" w:leftChars="0" w:firstLine="1260" w:firstLineChars="350"/>
        <w:jc w:val="both"/>
        <w:rPr>
          <w:rFonts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投标人名称（公章）：</w:t>
      </w:r>
    </w:p>
    <w:p w14:paraId="78B65185">
      <w:pPr>
        <w:widowControl w:val="0"/>
        <w:ind w:left="0" w:leftChars="0" w:firstLine="1260" w:firstLineChars="350"/>
        <w:jc w:val="both"/>
        <w:rPr>
          <w:rFonts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投标人地址：</w:t>
      </w:r>
    </w:p>
    <w:p w14:paraId="4BE143BE">
      <w:pPr>
        <w:widowControl w:val="0"/>
        <w:ind w:left="0" w:leftChars="0" w:firstLine="1440" w:firstLineChars="400"/>
        <w:jc w:val="both"/>
        <w:rPr>
          <w:rFonts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36"/>
          <w:szCs w:val="36"/>
          <w:highlight w:val="none"/>
          <w:lang w:val="en-US" w:eastAsia="zh-CN" w:bidi="ar-SA"/>
        </w:rPr>
        <w:t>时    间：</w:t>
      </w:r>
    </w:p>
    <w:p w14:paraId="3FA4807F">
      <w:pPr>
        <w:rPr>
          <w:rFonts w:ascii="宋体" w:hAnsi="宋体" w:eastAsia="宋体" w:cs="宋体"/>
          <w:color w:val="auto"/>
          <w:highlight w:val="none"/>
        </w:rPr>
      </w:pPr>
    </w:p>
    <w:p w14:paraId="4499593B">
      <w:pPr>
        <w:widowControl w:val="0"/>
        <w:spacing w:after="120"/>
        <w:jc w:val="both"/>
        <w:rPr>
          <w:rFonts w:ascii="宋体" w:hAnsi="宋体" w:eastAsia="宋体" w:cs="宋体"/>
          <w:color w:val="auto"/>
          <w:kern w:val="2"/>
          <w:sz w:val="21"/>
          <w:szCs w:val="24"/>
          <w:highlight w:val="none"/>
          <w:lang w:val="en-US" w:eastAsia="zh-CN" w:bidi="ar-SA"/>
        </w:rPr>
      </w:pPr>
    </w:p>
    <w:p w14:paraId="2ABBADB3">
      <w:pPr>
        <w:spacing w:line="360" w:lineRule="auto"/>
        <w:jc w:val="center"/>
        <w:rPr>
          <w:rFonts w:ascii="宋体" w:hAnsi="宋体" w:eastAsia="宋体" w:cs="宋体"/>
          <w:b/>
          <w:color w:val="auto"/>
          <w:sz w:val="44"/>
          <w:szCs w:val="44"/>
          <w:highlight w:val="none"/>
        </w:rPr>
      </w:pPr>
    </w:p>
    <w:p w14:paraId="67AA5857">
      <w:pPr>
        <w:widowControl w:val="0"/>
        <w:spacing w:line="480" w:lineRule="atLeast"/>
        <w:ind w:firstLine="570"/>
        <w:jc w:val="both"/>
        <w:rPr>
          <w:rFonts w:ascii="宋体" w:hAnsi="宋体" w:eastAsia="宋体" w:cs="宋体"/>
          <w:color w:val="auto"/>
          <w:kern w:val="2"/>
          <w:sz w:val="28"/>
          <w:szCs w:val="28"/>
          <w:highlight w:val="none"/>
          <w:lang w:val="en-US" w:eastAsia="zh-CN" w:bidi="ar-SA"/>
        </w:rPr>
      </w:pPr>
    </w:p>
    <w:p w14:paraId="14055074">
      <w:pPr>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7A7A266A">
      <w:pPr>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目录</w:t>
      </w:r>
    </w:p>
    <w:p w14:paraId="559528AB">
      <w:pPr>
        <w:pStyle w:val="94"/>
        <w:spacing w:line="600" w:lineRule="auto"/>
        <w:ind w:firstLine="440"/>
        <w:jc w:val="left"/>
        <w:rPr>
          <w:rFonts w:hint="eastAsia"/>
          <w:color w:val="auto"/>
          <w:sz w:val="24"/>
          <w:szCs w:val="24"/>
          <w:highlight w:val="none"/>
        </w:rPr>
      </w:pPr>
      <w:r>
        <w:rPr>
          <w:rFonts w:hint="eastAsia"/>
          <w:color w:val="auto"/>
          <w:sz w:val="24"/>
          <w:szCs w:val="24"/>
          <w:highlight w:val="none"/>
        </w:rPr>
        <w:t>1、资格条件自查表………………………………………………………………（页码）</w:t>
      </w:r>
    </w:p>
    <w:p w14:paraId="56461717">
      <w:pPr>
        <w:pStyle w:val="94"/>
        <w:spacing w:line="600" w:lineRule="auto"/>
        <w:ind w:firstLine="440"/>
        <w:jc w:val="left"/>
        <w:rPr>
          <w:rFonts w:hint="eastAsia"/>
          <w:color w:val="auto"/>
          <w:sz w:val="24"/>
          <w:szCs w:val="24"/>
          <w:highlight w:val="none"/>
        </w:rPr>
      </w:pPr>
      <w:r>
        <w:rPr>
          <w:rFonts w:hint="eastAsia"/>
          <w:color w:val="auto"/>
          <w:sz w:val="24"/>
          <w:szCs w:val="24"/>
          <w:highlight w:val="none"/>
        </w:rPr>
        <w:t>2、有效的企业法人营业执照（或事业法人登记证）、其他组织（个体工商户）的营业执照或者民办非企业单位登记证书扫描件…………………………………………（页码）</w:t>
      </w:r>
    </w:p>
    <w:p w14:paraId="59F0A791">
      <w:pPr>
        <w:pStyle w:val="94"/>
        <w:spacing w:line="600" w:lineRule="auto"/>
        <w:ind w:firstLine="440"/>
        <w:jc w:val="left"/>
        <w:rPr>
          <w:rFonts w:hint="eastAsia"/>
          <w:color w:val="auto"/>
          <w:sz w:val="24"/>
          <w:szCs w:val="24"/>
          <w:highlight w:val="none"/>
        </w:rPr>
      </w:pPr>
      <w:r>
        <w:rPr>
          <w:rFonts w:hint="eastAsia"/>
          <w:color w:val="auto"/>
          <w:sz w:val="24"/>
          <w:szCs w:val="24"/>
          <w:highlight w:val="none"/>
        </w:rPr>
        <w:t>3、关于资格的承诺函………………………………………………………………（页码）</w:t>
      </w:r>
    </w:p>
    <w:p w14:paraId="7EE5CE95">
      <w:pPr>
        <w:pStyle w:val="94"/>
        <w:spacing w:line="600" w:lineRule="auto"/>
        <w:ind w:firstLine="440"/>
        <w:jc w:val="left"/>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、投标人认为需要提交的其他资格证明文件资料………………………………（页码）</w:t>
      </w:r>
    </w:p>
    <w:p w14:paraId="51332097">
      <w:pPr>
        <w:pStyle w:val="94"/>
        <w:spacing w:line="600" w:lineRule="auto"/>
        <w:ind w:firstLine="440"/>
        <w:jc w:val="left"/>
        <w:rPr>
          <w:rFonts w:hint="eastAsia"/>
          <w:color w:val="auto"/>
          <w:sz w:val="24"/>
          <w:szCs w:val="24"/>
          <w:highlight w:val="none"/>
        </w:rPr>
      </w:pPr>
      <w:r>
        <w:rPr>
          <w:rFonts w:hint="eastAsia"/>
          <w:color w:val="auto"/>
          <w:sz w:val="24"/>
          <w:szCs w:val="24"/>
          <w:highlight w:val="none"/>
        </w:rPr>
        <w:t>.....( 目录自行扩展)</w:t>
      </w:r>
    </w:p>
    <w:p w14:paraId="18553615">
      <w:pPr>
        <w:rPr>
          <w:rFonts w:ascii="宋体" w:hAnsi="宋体" w:eastAsia="宋体" w:cs="宋体"/>
          <w:color w:val="auto"/>
          <w:highlight w:val="none"/>
        </w:rPr>
      </w:pPr>
    </w:p>
    <w:p w14:paraId="7F87F939">
      <w:pPr>
        <w:spacing w:after="100" w:afterAutospacing="1"/>
        <w:jc w:val="center"/>
        <w:rPr>
          <w:rFonts w:ascii="宋体" w:hAnsi="宋体" w:cs="宋体"/>
          <w:b/>
          <w:color w:val="auto"/>
          <w:sz w:val="32"/>
          <w:szCs w:val="32"/>
          <w:highlight w:val="none"/>
        </w:rPr>
        <w:sectPr>
          <w:headerReference r:id="rId11" w:type="default"/>
          <w:footerReference r:id="rId12"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AEF1768">
      <w:pPr>
        <w:spacing w:after="100" w:afterAutospacing="1"/>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一、资格条件自查表</w:t>
      </w:r>
    </w:p>
    <w:tbl>
      <w:tblPr>
        <w:tblStyle w:val="47"/>
        <w:tblW w:w="90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9"/>
        <w:gridCol w:w="5036"/>
        <w:gridCol w:w="1167"/>
        <w:gridCol w:w="2134"/>
      </w:tblGrid>
      <w:tr w14:paraId="0AF78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49" w:type="dxa"/>
            <w:vAlign w:val="center"/>
          </w:tcPr>
          <w:p w14:paraId="4161EF2F">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rPr>
              <w:t>评审内容</w:t>
            </w:r>
          </w:p>
        </w:tc>
        <w:tc>
          <w:tcPr>
            <w:tcW w:w="5036" w:type="dxa"/>
            <w:vAlign w:val="center"/>
          </w:tcPr>
          <w:p w14:paraId="6521C865">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lang w:eastAsia="zh-CN"/>
              </w:rPr>
              <w:t>采购文件</w:t>
            </w:r>
            <w:r>
              <w:rPr>
                <w:rStyle w:val="50"/>
                <w:rFonts w:hint="eastAsia" w:ascii="Times New Roman" w:hAnsi="Times New Roman" w:cs="宋体"/>
                <w:color w:val="auto"/>
                <w:sz w:val="24"/>
                <w:szCs w:val="24"/>
                <w:highlight w:val="none"/>
              </w:rPr>
              <w:t>要求</w:t>
            </w:r>
          </w:p>
        </w:tc>
        <w:tc>
          <w:tcPr>
            <w:tcW w:w="1167" w:type="dxa"/>
            <w:vAlign w:val="center"/>
          </w:tcPr>
          <w:p w14:paraId="5C11C13A">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rPr>
              <w:t>自查结论</w:t>
            </w:r>
          </w:p>
        </w:tc>
        <w:tc>
          <w:tcPr>
            <w:tcW w:w="2134" w:type="dxa"/>
            <w:vAlign w:val="center"/>
          </w:tcPr>
          <w:p w14:paraId="302EB58C">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rPr>
              <w:t>证明资料页码</w:t>
            </w:r>
          </w:p>
        </w:tc>
      </w:tr>
      <w:tr w14:paraId="24591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restart"/>
            <w:vAlign w:val="center"/>
          </w:tcPr>
          <w:p w14:paraId="5653AFEA">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资</w:t>
            </w:r>
          </w:p>
          <w:p w14:paraId="6390900D">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格</w:t>
            </w:r>
          </w:p>
          <w:p w14:paraId="3BF34014">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性</w:t>
            </w:r>
          </w:p>
          <w:p w14:paraId="7DEE14AE">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审</w:t>
            </w:r>
          </w:p>
          <w:p w14:paraId="319C5A1D">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查</w:t>
            </w:r>
          </w:p>
        </w:tc>
        <w:tc>
          <w:tcPr>
            <w:tcW w:w="5036" w:type="dxa"/>
            <w:vAlign w:val="center"/>
          </w:tcPr>
          <w:p w14:paraId="5639CA99">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szCs w:val="24"/>
                <w:highlight w:val="none"/>
              </w:rPr>
            </w:pPr>
            <w:r>
              <w:rPr>
                <w:rFonts w:hint="eastAsia" w:ascii="Times New Roman" w:hAnsi="Times New Roman" w:cs="宋体"/>
                <w:color w:val="auto"/>
                <w:sz w:val="24"/>
                <w:szCs w:val="24"/>
                <w:highlight w:val="none"/>
              </w:rPr>
              <w:t>一、投标人具备《中华人民共和国政府采购法》第二十二条所规定的条件：</w:t>
            </w:r>
          </w:p>
        </w:tc>
        <w:tc>
          <w:tcPr>
            <w:tcW w:w="1167" w:type="dxa"/>
            <w:vMerge w:val="restart"/>
            <w:vAlign w:val="center"/>
          </w:tcPr>
          <w:p w14:paraId="021E350A">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5BE571DC">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szCs w:val="24"/>
                <w:highlight w:val="none"/>
              </w:rPr>
            </w:pPr>
            <w:r>
              <w:rPr>
                <w:rFonts w:hint="eastAsia" w:ascii="Times New Roman" w:hAnsi="Times New Roman" w:cs="宋体"/>
                <w:color w:val="auto"/>
                <w:sz w:val="24"/>
                <w:szCs w:val="24"/>
                <w:highlight w:val="none"/>
              </w:rPr>
              <w:t>□不通过</w:t>
            </w:r>
          </w:p>
        </w:tc>
        <w:tc>
          <w:tcPr>
            <w:tcW w:w="2134" w:type="dxa"/>
            <w:vAlign w:val="center"/>
          </w:tcPr>
          <w:p w14:paraId="0C4DEBBB">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Fonts w:hint="eastAsia" w:ascii="Times New Roman" w:hAnsi="Times New Roman" w:cs="宋体"/>
                <w:color w:val="auto"/>
                <w:sz w:val="24"/>
                <w:szCs w:val="24"/>
                <w:highlight w:val="none"/>
              </w:rPr>
              <w:t>/</w:t>
            </w:r>
          </w:p>
        </w:tc>
      </w:tr>
      <w:tr w14:paraId="43635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07F3725D">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szCs w:val="24"/>
                <w:highlight w:val="none"/>
              </w:rPr>
            </w:pPr>
          </w:p>
        </w:tc>
        <w:tc>
          <w:tcPr>
            <w:tcW w:w="5036" w:type="dxa"/>
            <w:vAlign w:val="center"/>
          </w:tcPr>
          <w:p w14:paraId="21771CEC">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olor w:val="auto"/>
                <w:sz w:val="24"/>
                <w:szCs w:val="24"/>
                <w:highlight w:val="none"/>
              </w:rPr>
            </w:pPr>
            <w:r>
              <w:rPr>
                <w:rFonts w:hint="eastAsia" w:ascii="Times New Roman" w:hAnsi="Times New Roman"/>
                <w:color w:val="auto"/>
                <w:sz w:val="24"/>
                <w:szCs w:val="24"/>
                <w:highlight w:val="none"/>
              </w:rPr>
              <w:t>1.关于资格的承诺函（格式见附件）</w:t>
            </w:r>
          </w:p>
        </w:tc>
        <w:tc>
          <w:tcPr>
            <w:tcW w:w="1167" w:type="dxa"/>
            <w:vMerge w:val="continue"/>
          </w:tcPr>
          <w:p w14:paraId="719D59FB">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szCs w:val="24"/>
                <w:highlight w:val="none"/>
              </w:rPr>
            </w:pPr>
          </w:p>
        </w:tc>
        <w:tc>
          <w:tcPr>
            <w:tcW w:w="2134" w:type="dxa"/>
            <w:vAlign w:val="center"/>
          </w:tcPr>
          <w:p w14:paraId="3C91E0A1">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Fonts w:hint="eastAsia" w:ascii="Times New Roman" w:hAnsi="Times New Roman" w:cs="宋体"/>
                <w:color w:val="auto"/>
                <w:sz w:val="24"/>
                <w:szCs w:val="24"/>
                <w:highlight w:val="none"/>
              </w:rPr>
              <w:t>第（ ）页-（  ）页</w:t>
            </w:r>
          </w:p>
        </w:tc>
      </w:tr>
      <w:tr w14:paraId="60DEE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5411AB42">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5036" w:type="dxa"/>
            <w:vAlign w:val="center"/>
          </w:tcPr>
          <w:p w14:paraId="44E3E342">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bCs/>
                <w:color w:val="auto"/>
                <w:sz w:val="24"/>
                <w:szCs w:val="24"/>
                <w:highlight w:val="none"/>
              </w:rPr>
              <w:t>2.有效的企业法人营业执照（或事业法人登记证）、其他组织（个体工商户）的营业执照或者民办非企业单位登记证书复印件</w:t>
            </w:r>
            <w:r>
              <w:rPr>
                <w:rFonts w:hint="eastAsia" w:ascii="Times New Roman" w:hAnsi="Times New Roman" w:cs="宋体"/>
                <w:color w:val="auto"/>
                <w:sz w:val="24"/>
                <w:szCs w:val="24"/>
                <w:highlight w:val="none"/>
              </w:rPr>
              <w:t>。</w:t>
            </w:r>
          </w:p>
          <w:p w14:paraId="75924479">
            <w:pPr>
              <w:keepNext w:val="0"/>
              <w:keepLines w:val="0"/>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（投标人如果有名称变更的，应提供由行政主管部门出具的变更证明文件。）</w:t>
            </w:r>
          </w:p>
        </w:tc>
        <w:tc>
          <w:tcPr>
            <w:tcW w:w="1167" w:type="dxa"/>
            <w:vMerge w:val="continue"/>
          </w:tcPr>
          <w:p w14:paraId="0759CC93">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2134" w:type="dxa"/>
            <w:vAlign w:val="center"/>
          </w:tcPr>
          <w:p w14:paraId="1B09C533">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第（ ）页-（  ）页</w:t>
            </w:r>
          </w:p>
        </w:tc>
      </w:tr>
      <w:tr w14:paraId="62209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6227C256">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5036" w:type="dxa"/>
            <w:vAlign w:val="center"/>
          </w:tcPr>
          <w:p w14:paraId="2A574625">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cs="宋体"/>
                <w:bCs/>
                <w:color w:val="auto"/>
                <w:sz w:val="24"/>
                <w:szCs w:val="24"/>
                <w:highlight w:val="none"/>
              </w:rPr>
              <w:t>二、</w:t>
            </w:r>
            <w:r>
              <w:rPr>
                <w:rFonts w:hint="eastAsia" w:ascii="Times New Roman" w:hAnsi="Times New Roman" w:cs="宋体"/>
                <w:color w:val="auto"/>
                <w:sz w:val="24"/>
                <w:szCs w:val="24"/>
                <w:highlight w:val="none"/>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67" w:type="dxa"/>
            <w:vAlign w:val="center"/>
          </w:tcPr>
          <w:p w14:paraId="712AB84E">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0EED7164">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□不通过</w:t>
            </w:r>
          </w:p>
        </w:tc>
        <w:tc>
          <w:tcPr>
            <w:tcW w:w="2134" w:type="dxa"/>
            <w:vAlign w:val="center"/>
          </w:tcPr>
          <w:p w14:paraId="4623AFEB">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Cs/>
                <w:color w:val="auto"/>
                <w:sz w:val="24"/>
                <w:szCs w:val="24"/>
                <w:highlight w:val="none"/>
                <w:u w:val="single"/>
              </w:rPr>
            </w:pPr>
            <w:r>
              <w:rPr>
                <w:rFonts w:hint="eastAsia" w:ascii="Times New Roman" w:hAnsi="Times New Roman" w:cs="宋体"/>
                <w:bCs/>
                <w:color w:val="auto"/>
                <w:sz w:val="24"/>
                <w:szCs w:val="24"/>
                <w:highlight w:val="none"/>
              </w:rPr>
              <w:t xml:space="preserve">信用记录 </w:t>
            </w:r>
            <w:r>
              <w:rPr>
                <w:rFonts w:hint="eastAsia" w:ascii="Times New Roman" w:hAnsi="Times New Roman" w:cs="宋体"/>
                <w:bCs/>
                <w:color w:val="auto"/>
                <w:sz w:val="24"/>
                <w:szCs w:val="24"/>
                <w:highlight w:val="none"/>
                <w:u w:val="single"/>
              </w:rPr>
              <w:t>是/否</w:t>
            </w:r>
            <w:r>
              <w:rPr>
                <w:rFonts w:hint="eastAsia" w:ascii="Times New Roman" w:hAnsi="Times New Roman" w:cs="宋体"/>
                <w:bCs/>
                <w:color w:val="auto"/>
                <w:sz w:val="24"/>
                <w:szCs w:val="24"/>
                <w:highlight w:val="none"/>
              </w:rPr>
              <w:t xml:space="preserve"> 已失效，如失效，证明材料详见</w:t>
            </w:r>
            <w:r>
              <w:rPr>
                <w:rFonts w:hint="eastAsia" w:ascii="Times New Roman" w:hAnsi="Times New Roman" w:cs="宋体"/>
                <w:color w:val="auto"/>
                <w:sz w:val="24"/>
                <w:szCs w:val="24"/>
                <w:highlight w:val="none"/>
              </w:rPr>
              <w:t>第（ ）页-（  ）页</w:t>
            </w:r>
          </w:p>
        </w:tc>
      </w:tr>
      <w:tr w14:paraId="311D3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6905ECC0">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5036" w:type="dxa"/>
            <w:vAlign w:val="center"/>
          </w:tcPr>
          <w:p w14:paraId="2358737E">
            <w:pPr>
              <w:keepNext w:val="0"/>
              <w:keepLines w:val="0"/>
              <w:widowControl/>
              <w:suppressLineNumbers w:val="0"/>
              <w:adjustRightInd w:val="0"/>
              <w:spacing w:before="0" w:beforeAutospacing="0" w:after="0" w:afterAutospacing="0" w:line="40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eastAsia="宋体" w:cs="宋体"/>
                <w:color w:val="auto"/>
                <w:sz w:val="24"/>
                <w:szCs w:val="24"/>
                <w:highlight w:val="none"/>
                <w:lang w:eastAsia="zh-CN"/>
              </w:rPr>
              <w:t>三</w:t>
            </w:r>
            <w:r>
              <w:rPr>
                <w:rFonts w:hint="eastAsia" w:ascii="Times New Roman" w:hAnsi="Times New Roman" w:eastAsia="宋体" w:cs="宋体"/>
                <w:color w:val="auto"/>
                <w:sz w:val="24"/>
                <w:szCs w:val="24"/>
                <w:highlight w:val="none"/>
              </w:rPr>
              <w:t>、本项目</w:t>
            </w:r>
            <w:r>
              <w:rPr>
                <w:rFonts w:hint="eastAsia" w:ascii="Times New Roman" w:hAnsi="Times New Roman" w:eastAsia="宋体" w:cs="宋体"/>
                <w:color w:val="auto"/>
                <w:sz w:val="24"/>
                <w:szCs w:val="24"/>
                <w:highlight w:val="none"/>
                <w:lang w:eastAsia="zh-CN"/>
              </w:rPr>
              <w:t>不</w:t>
            </w:r>
            <w:r>
              <w:rPr>
                <w:rFonts w:hint="eastAsia" w:ascii="Times New Roman" w:hAnsi="Times New Roman" w:eastAsia="宋体" w:cs="宋体"/>
                <w:color w:val="auto"/>
                <w:sz w:val="24"/>
                <w:szCs w:val="24"/>
                <w:highlight w:val="none"/>
              </w:rPr>
              <w:t>接受联合体投标。</w:t>
            </w:r>
          </w:p>
        </w:tc>
        <w:tc>
          <w:tcPr>
            <w:tcW w:w="1167" w:type="dxa"/>
            <w:vAlign w:val="center"/>
          </w:tcPr>
          <w:p w14:paraId="13537847">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0439E48F">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□不通过</w:t>
            </w:r>
          </w:p>
        </w:tc>
        <w:tc>
          <w:tcPr>
            <w:tcW w:w="2134" w:type="dxa"/>
            <w:vAlign w:val="center"/>
          </w:tcPr>
          <w:p w14:paraId="3C01EE3B">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p>
        </w:tc>
      </w:tr>
      <w:tr w14:paraId="66751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487B02F4">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5036" w:type="dxa"/>
            <w:vAlign w:val="center"/>
          </w:tcPr>
          <w:p w14:paraId="322D1B44">
            <w:pPr>
              <w:keepNext w:val="0"/>
              <w:keepLines w:val="0"/>
              <w:widowControl/>
              <w:suppressLineNumbers w:val="0"/>
              <w:adjustRightInd w:val="0"/>
              <w:spacing w:before="0" w:beforeAutospacing="0" w:after="0" w:afterAutospacing="0" w:line="40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eastAsia="宋体" w:cs="宋体"/>
                <w:color w:val="auto"/>
                <w:sz w:val="24"/>
                <w:szCs w:val="24"/>
                <w:highlight w:val="none"/>
                <w:lang w:eastAsia="zh-CN"/>
              </w:rPr>
              <w:t>四</w:t>
            </w:r>
            <w:r>
              <w:rPr>
                <w:rFonts w:hint="eastAsia" w:ascii="Times New Roman" w:hAnsi="Times New Roman" w:eastAsia="宋体" w:cs="宋体"/>
                <w:color w:val="auto"/>
                <w:sz w:val="24"/>
                <w:szCs w:val="24"/>
                <w:highlight w:val="none"/>
              </w:rPr>
              <w:t>、本项目不接受分包。</w:t>
            </w:r>
          </w:p>
        </w:tc>
        <w:tc>
          <w:tcPr>
            <w:tcW w:w="1167" w:type="dxa"/>
            <w:vAlign w:val="center"/>
          </w:tcPr>
          <w:p w14:paraId="077BC444">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32251FE6">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□不通过</w:t>
            </w:r>
          </w:p>
        </w:tc>
        <w:tc>
          <w:tcPr>
            <w:tcW w:w="2134" w:type="dxa"/>
            <w:vAlign w:val="center"/>
          </w:tcPr>
          <w:p w14:paraId="55458110">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p>
        </w:tc>
      </w:tr>
    </w:tbl>
    <w:p w14:paraId="033690ED">
      <w:pPr>
        <w:pStyle w:val="21"/>
        <w:tabs>
          <w:tab w:val="left" w:pos="4185"/>
        </w:tabs>
        <w:spacing w:line="600" w:lineRule="auto"/>
        <w:ind w:leftChars="2300" w:firstLine="0"/>
        <w:contextualSpacing/>
        <w:jc w:val="left"/>
        <w:rPr>
          <w:rFonts w:hint="eastAsia" w:ascii="Times New Roman" w:hAnsi="Times New Roman" w:eastAsia="宋体"/>
          <w:color w:val="auto"/>
          <w:sz w:val="21"/>
          <w:szCs w:val="21"/>
          <w:highlight w:val="none"/>
        </w:rPr>
      </w:pPr>
    </w:p>
    <w:p w14:paraId="3568E962">
      <w:pPr>
        <w:pStyle w:val="21"/>
        <w:tabs>
          <w:tab w:val="left" w:pos="4185"/>
        </w:tabs>
        <w:spacing w:line="720" w:lineRule="auto"/>
        <w:ind w:leftChars="2300" w:firstLine="0"/>
        <w:contextualSpacing/>
        <w:jc w:val="left"/>
        <w:rPr>
          <w:rFonts w:ascii="Times New Roman" w:hAnsi="Times New Roman" w:eastAsia="宋体"/>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投标人名称</w:t>
      </w:r>
      <w:r>
        <w:rPr>
          <w:rFonts w:hint="eastAsia" w:ascii="Times New Roman" w:hAnsi="Times New Roman" w:eastAsia="宋体"/>
          <w:color w:val="auto"/>
          <w:sz w:val="24"/>
          <w:szCs w:val="24"/>
          <w:highlight w:val="none"/>
        </w:rPr>
        <w:t>（盖章）：</w:t>
      </w:r>
    </w:p>
    <w:p w14:paraId="14CE3543">
      <w:pPr>
        <w:pStyle w:val="21"/>
        <w:tabs>
          <w:tab w:val="left" w:pos="4185"/>
        </w:tabs>
        <w:spacing w:line="720" w:lineRule="auto"/>
        <w:ind w:leftChars="2300" w:firstLine="0"/>
        <w:contextualSpacing/>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eastAsia="zh-CN"/>
        </w:rPr>
        <w:t>法定代表人</w:t>
      </w:r>
      <w:r>
        <w:rPr>
          <w:rFonts w:hint="eastAsia" w:ascii="Times New Roman" w:hAnsi="Times New Roman" w:eastAsia="宋体"/>
          <w:color w:val="auto"/>
          <w:sz w:val="24"/>
          <w:szCs w:val="24"/>
          <w:highlight w:val="none"/>
        </w:rPr>
        <w:t>或授权代表人（签字或盖章）：</w:t>
      </w:r>
    </w:p>
    <w:p w14:paraId="45DE0AF4">
      <w:pPr>
        <w:pStyle w:val="21"/>
        <w:spacing w:line="720" w:lineRule="auto"/>
        <w:ind w:leftChars="2300" w:firstLine="0"/>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日期：     年  月  日</w:t>
      </w:r>
    </w:p>
    <w:p w14:paraId="725714A5">
      <w:pPr>
        <w:spacing w:after="100" w:afterAutospacing="1"/>
        <w:jc w:val="center"/>
        <w:rPr>
          <w:rFonts w:hint="eastAsia" w:asciiTheme="minorEastAsia" w:hAnsiTheme="minorEastAsia"/>
          <w:b/>
          <w:color w:val="auto"/>
          <w:sz w:val="32"/>
          <w:szCs w:val="32"/>
          <w:highlight w:val="none"/>
        </w:rPr>
      </w:pPr>
      <w:r>
        <w:rPr>
          <w:rFonts w:ascii="Times New Roman" w:hAnsi="Times New Roman" w:eastAsia="宋体"/>
          <w:b/>
          <w:color w:val="auto"/>
          <w:sz w:val="18"/>
          <w:szCs w:val="18"/>
          <w:highlight w:val="none"/>
        </w:rPr>
        <w:br w:type="page"/>
      </w:r>
      <w:r>
        <w:rPr>
          <w:rFonts w:hint="eastAsia" w:asciiTheme="minorEastAsia" w:hAnsiTheme="minorEastAsia"/>
          <w:b/>
          <w:color w:val="auto"/>
          <w:sz w:val="32"/>
          <w:szCs w:val="32"/>
          <w:highlight w:val="none"/>
        </w:rPr>
        <w:t>二、有效的企业法人营业执照（或事业法人登记证）、其他组织（个体工商户）的营业执照或者民办非企业单位登记证书扫描件</w:t>
      </w:r>
    </w:p>
    <w:p w14:paraId="11BFEE43">
      <w:pPr>
        <w:spacing w:line="500" w:lineRule="exact"/>
        <w:jc w:val="left"/>
        <w:rPr>
          <w:rFonts w:hint="eastAsia" w:asciiTheme="minorEastAsia" w:hAnsiTheme="minorEastAsia"/>
          <w:b/>
          <w:color w:val="auto"/>
          <w:szCs w:val="21"/>
          <w:highlight w:val="none"/>
          <w:u w:val="single"/>
        </w:rPr>
      </w:pPr>
    </w:p>
    <w:p w14:paraId="0B243E9C">
      <w:pPr>
        <w:spacing w:line="500" w:lineRule="exact"/>
        <w:jc w:val="left"/>
        <w:rPr>
          <w:rFonts w:hint="eastAsia" w:asciiTheme="minorEastAsia" w:hAnsiTheme="minorEastAsia"/>
          <w:b/>
          <w:color w:val="auto"/>
          <w:szCs w:val="21"/>
          <w:highlight w:val="none"/>
          <w:u w:val="single"/>
        </w:rPr>
      </w:pPr>
    </w:p>
    <w:p w14:paraId="088297FA">
      <w:pPr>
        <w:spacing w:line="500" w:lineRule="exact"/>
        <w:jc w:val="left"/>
        <w:rPr>
          <w:rFonts w:hint="eastAsia" w:asciiTheme="minorEastAsia" w:hAnsiTheme="minorEastAsia"/>
          <w:b/>
          <w:color w:val="auto"/>
          <w:szCs w:val="21"/>
          <w:highlight w:val="none"/>
          <w:u w:val="single"/>
        </w:rPr>
      </w:pPr>
    </w:p>
    <w:p w14:paraId="150D193B">
      <w:pPr>
        <w:spacing w:line="500" w:lineRule="exact"/>
        <w:jc w:val="left"/>
        <w:rPr>
          <w:rFonts w:hint="eastAsia" w:asciiTheme="minorEastAsia" w:hAnsiTheme="minorEastAsia"/>
          <w:b/>
          <w:color w:val="auto"/>
          <w:szCs w:val="21"/>
          <w:highlight w:val="none"/>
          <w:u w:val="single"/>
        </w:rPr>
      </w:pPr>
    </w:p>
    <w:p w14:paraId="328DA3E2">
      <w:pPr>
        <w:spacing w:line="500" w:lineRule="exact"/>
        <w:jc w:val="left"/>
        <w:rPr>
          <w:rFonts w:hint="eastAsia" w:asciiTheme="minorEastAsia" w:hAnsiTheme="minorEastAsia"/>
          <w:b/>
          <w:color w:val="auto"/>
          <w:szCs w:val="21"/>
          <w:highlight w:val="none"/>
          <w:u w:val="single"/>
        </w:rPr>
      </w:pPr>
    </w:p>
    <w:p w14:paraId="7ED4D875">
      <w:pPr>
        <w:spacing w:line="500" w:lineRule="exact"/>
        <w:jc w:val="left"/>
        <w:rPr>
          <w:rFonts w:hint="eastAsia" w:asciiTheme="minorEastAsia" w:hAnsiTheme="minorEastAsia"/>
          <w:b/>
          <w:color w:val="auto"/>
          <w:szCs w:val="21"/>
          <w:highlight w:val="none"/>
          <w:u w:val="single"/>
        </w:rPr>
      </w:pPr>
    </w:p>
    <w:p w14:paraId="46810C05">
      <w:pPr>
        <w:spacing w:line="500" w:lineRule="exact"/>
        <w:jc w:val="left"/>
        <w:rPr>
          <w:rFonts w:hint="eastAsia" w:asciiTheme="minorEastAsia" w:hAnsiTheme="minorEastAsia"/>
          <w:b/>
          <w:color w:val="auto"/>
          <w:szCs w:val="21"/>
          <w:highlight w:val="none"/>
          <w:u w:val="single"/>
        </w:rPr>
      </w:pPr>
    </w:p>
    <w:p w14:paraId="5FB6FE0C">
      <w:pPr>
        <w:spacing w:line="500" w:lineRule="exact"/>
        <w:jc w:val="left"/>
        <w:rPr>
          <w:rFonts w:hint="eastAsia" w:asciiTheme="minorEastAsia" w:hAnsiTheme="minorEastAsia"/>
          <w:b/>
          <w:color w:val="auto"/>
          <w:szCs w:val="21"/>
          <w:highlight w:val="none"/>
          <w:u w:val="single"/>
        </w:rPr>
      </w:pPr>
    </w:p>
    <w:p w14:paraId="0A3CF139">
      <w:pPr>
        <w:spacing w:line="500" w:lineRule="exact"/>
        <w:jc w:val="left"/>
        <w:rPr>
          <w:rFonts w:hint="eastAsia" w:asciiTheme="minorEastAsia" w:hAnsiTheme="minorEastAsia"/>
          <w:b/>
          <w:color w:val="auto"/>
          <w:szCs w:val="21"/>
          <w:highlight w:val="none"/>
          <w:u w:val="single"/>
        </w:rPr>
      </w:pPr>
    </w:p>
    <w:p w14:paraId="5EFEC988">
      <w:pPr>
        <w:spacing w:line="500" w:lineRule="exact"/>
        <w:jc w:val="left"/>
        <w:rPr>
          <w:rFonts w:hint="eastAsia" w:asciiTheme="minorEastAsia" w:hAnsiTheme="minorEastAsia"/>
          <w:b/>
          <w:color w:val="auto"/>
          <w:szCs w:val="21"/>
          <w:highlight w:val="none"/>
          <w:u w:val="single"/>
        </w:rPr>
      </w:pPr>
    </w:p>
    <w:p w14:paraId="6F865E97">
      <w:pPr>
        <w:spacing w:line="500" w:lineRule="exact"/>
        <w:jc w:val="left"/>
        <w:rPr>
          <w:rFonts w:hint="eastAsia" w:asciiTheme="minorEastAsia" w:hAnsiTheme="minorEastAsia"/>
          <w:b/>
          <w:color w:val="auto"/>
          <w:szCs w:val="21"/>
          <w:highlight w:val="none"/>
          <w:u w:val="single"/>
        </w:rPr>
      </w:pPr>
    </w:p>
    <w:p w14:paraId="10E7AE2F">
      <w:pPr>
        <w:spacing w:line="500" w:lineRule="exact"/>
        <w:jc w:val="left"/>
        <w:rPr>
          <w:rFonts w:hint="eastAsia" w:asciiTheme="minorEastAsia" w:hAnsiTheme="minorEastAsia"/>
          <w:b/>
          <w:color w:val="auto"/>
          <w:szCs w:val="21"/>
          <w:highlight w:val="none"/>
          <w:u w:val="single"/>
        </w:rPr>
      </w:pPr>
    </w:p>
    <w:p w14:paraId="23120722">
      <w:pPr>
        <w:spacing w:line="500" w:lineRule="exact"/>
        <w:jc w:val="left"/>
        <w:rPr>
          <w:rFonts w:hint="eastAsia" w:asciiTheme="minorEastAsia" w:hAnsiTheme="minorEastAsia"/>
          <w:b/>
          <w:color w:val="auto"/>
          <w:szCs w:val="21"/>
          <w:highlight w:val="none"/>
          <w:u w:val="single"/>
        </w:rPr>
      </w:pPr>
    </w:p>
    <w:p w14:paraId="05A876D3">
      <w:pPr>
        <w:spacing w:line="500" w:lineRule="exact"/>
        <w:jc w:val="left"/>
        <w:rPr>
          <w:rFonts w:hint="eastAsia" w:asciiTheme="minorEastAsia" w:hAnsiTheme="minorEastAsia"/>
          <w:b/>
          <w:color w:val="auto"/>
          <w:szCs w:val="21"/>
          <w:highlight w:val="none"/>
          <w:u w:val="single"/>
        </w:rPr>
      </w:pPr>
    </w:p>
    <w:p w14:paraId="2AE33D78">
      <w:pPr>
        <w:spacing w:line="500" w:lineRule="exact"/>
        <w:jc w:val="left"/>
        <w:rPr>
          <w:rFonts w:hint="eastAsia" w:asciiTheme="minorEastAsia" w:hAnsiTheme="minorEastAsia"/>
          <w:b/>
          <w:color w:val="auto"/>
          <w:szCs w:val="21"/>
          <w:highlight w:val="none"/>
          <w:u w:val="single"/>
        </w:rPr>
      </w:pPr>
    </w:p>
    <w:p w14:paraId="6AB9DCA3">
      <w:pPr>
        <w:spacing w:line="500" w:lineRule="exact"/>
        <w:jc w:val="left"/>
        <w:rPr>
          <w:rFonts w:hint="eastAsia" w:asciiTheme="minorEastAsia" w:hAnsiTheme="minorEastAsia"/>
          <w:b/>
          <w:color w:val="auto"/>
          <w:szCs w:val="21"/>
          <w:highlight w:val="none"/>
          <w:u w:val="single"/>
        </w:rPr>
      </w:pPr>
    </w:p>
    <w:p w14:paraId="77525452">
      <w:pPr>
        <w:spacing w:line="500" w:lineRule="exact"/>
        <w:jc w:val="left"/>
        <w:rPr>
          <w:rFonts w:hint="eastAsia" w:asciiTheme="minorEastAsia" w:hAnsiTheme="minorEastAsia"/>
          <w:b/>
          <w:color w:val="auto"/>
          <w:szCs w:val="21"/>
          <w:highlight w:val="none"/>
          <w:u w:val="single"/>
        </w:rPr>
      </w:pPr>
    </w:p>
    <w:p w14:paraId="2C79B857">
      <w:pPr>
        <w:spacing w:after="100" w:afterAutospacing="1"/>
        <w:jc w:val="center"/>
        <w:rPr>
          <w:rFonts w:hint="eastAsia" w:asciiTheme="minorEastAsia" w:hAnsiTheme="minorEastAsia"/>
          <w:b/>
          <w:color w:val="auto"/>
          <w:sz w:val="32"/>
          <w:szCs w:val="32"/>
          <w:highlight w:val="none"/>
        </w:rPr>
      </w:pPr>
    </w:p>
    <w:p w14:paraId="54A1A078">
      <w:pPr>
        <w:spacing w:after="100" w:afterAutospacing="1"/>
        <w:jc w:val="center"/>
        <w:rPr>
          <w:rFonts w:hint="eastAsia" w:asciiTheme="minorEastAsia" w:hAnsiTheme="minorEastAsia"/>
          <w:b/>
          <w:color w:val="auto"/>
          <w:sz w:val="32"/>
          <w:szCs w:val="32"/>
          <w:highlight w:val="none"/>
        </w:rPr>
      </w:pPr>
    </w:p>
    <w:p w14:paraId="579604A4">
      <w:pPr>
        <w:spacing w:after="100" w:afterAutospacing="1"/>
        <w:jc w:val="center"/>
        <w:rPr>
          <w:rFonts w:hint="eastAsia" w:asciiTheme="minorEastAsia" w:hAnsiTheme="minorEastAsia"/>
          <w:b/>
          <w:color w:val="auto"/>
          <w:sz w:val="32"/>
          <w:szCs w:val="32"/>
          <w:highlight w:val="none"/>
        </w:rPr>
      </w:pPr>
    </w:p>
    <w:p w14:paraId="313CFABE">
      <w:pPr>
        <w:spacing w:after="100" w:afterAutospacing="1"/>
        <w:jc w:val="center"/>
        <w:rPr>
          <w:rFonts w:hint="eastAsia" w:asciiTheme="minorEastAsia" w:hAnsiTheme="minorEastAsia"/>
          <w:b/>
          <w:color w:val="auto"/>
          <w:sz w:val="32"/>
          <w:szCs w:val="32"/>
          <w:highlight w:val="none"/>
        </w:rPr>
      </w:pPr>
    </w:p>
    <w:p w14:paraId="0B6C2BD6">
      <w:pPr>
        <w:spacing w:after="100" w:afterAutospacing="1"/>
        <w:jc w:val="center"/>
        <w:rPr>
          <w:rFonts w:hint="eastAsia" w:asciiTheme="minorEastAsia" w:hAnsiTheme="minorEastAsia"/>
          <w:b/>
          <w:color w:val="auto"/>
          <w:sz w:val="32"/>
          <w:szCs w:val="32"/>
          <w:highlight w:val="none"/>
        </w:rPr>
      </w:pPr>
    </w:p>
    <w:p w14:paraId="4FDA57EE">
      <w:pPr>
        <w:spacing w:after="100" w:afterAutospacing="1"/>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三、关于资格的承诺函</w:t>
      </w:r>
    </w:p>
    <w:p w14:paraId="066C1F3B">
      <w:pPr>
        <w:spacing w:line="480" w:lineRule="auto"/>
        <w:contextualSpacing/>
        <w:rPr>
          <w:rFonts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致：中冠工程管理咨询有限公司</w:t>
      </w:r>
    </w:p>
    <w:p w14:paraId="7CF6BEC5">
      <w:pPr>
        <w:snapToGrid w:val="0"/>
        <w:spacing w:before="156" w:beforeLines="50" w:line="480" w:lineRule="auto"/>
        <w:ind w:firstLine="484" w:firstLineChars="202"/>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关于</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kern w:val="28"/>
          <w:sz w:val="24"/>
          <w:szCs w:val="24"/>
          <w:highlight w:val="none"/>
          <w:u w:val="single"/>
        </w:rPr>
        <w:t xml:space="preserve">                    </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sz w:val="24"/>
          <w:szCs w:val="24"/>
          <w:highlight w:val="none"/>
        </w:rPr>
        <w:t>项目（项目编号：</w:t>
      </w:r>
      <w:r>
        <w:rPr>
          <w:rFonts w:hint="eastAsia" w:ascii="Times New Roman" w:hAnsi="Times New Roman" w:cs="宋体"/>
          <w:color w:val="auto"/>
          <w:sz w:val="24"/>
          <w:szCs w:val="24"/>
          <w:highlight w:val="none"/>
          <w:u w:val="single"/>
        </w:rPr>
        <w:t>　　　</w:t>
      </w:r>
      <w:r>
        <w:rPr>
          <w:rFonts w:hint="eastAsia" w:ascii="Times New Roman" w:hAnsi="Times New Roman" w:cs="宋体"/>
          <w:color w:val="auto"/>
          <w:sz w:val="24"/>
          <w:szCs w:val="24"/>
          <w:highlight w:val="none"/>
        </w:rPr>
        <w:t>），我方愿意参加投标，并声明：</w:t>
      </w:r>
    </w:p>
    <w:p w14:paraId="21018F71">
      <w:pPr>
        <w:snapToGrid w:val="0"/>
        <w:spacing w:line="480" w:lineRule="auto"/>
        <w:ind w:firstLine="480" w:firstLineChars="200"/>
        <w:rPr>
          <w:rFonts w:ascii="Times New Roman" w:hAnsi="Times New Roman" w:cs="宋体"/>
          <w:bCs/>
          <w:color w:val="auto"/>
          <w:sz w:val="24"/>
          <w:szCs w:val="24"/>
          <w:highlight w:val="none"/>
        </w:rPr>
      </w:pPr>
      <w:r>
        <w:rPr>
          <w:rFonts w:hint="eastAsia" w:ascii="Times New Roman" w:hAnsi="Times New Roman" w:cs="宋体"/>
          <w:bCs/>
          <w:color w:val="auto"/>
          <w:sz w:val="24"/>
          <w:szCs w:val="24"/>
          <w:highlight w:val="none"/>
        </w:rPr>
        <w:t>1、我方具备《中华人民共和国政府采购法》第二十二条规定资格条件：</w:t>
      </w:r>
    </w:p>
    <w:p w14:paraId="53E8AFE6">
      <w:pPr>
        <w:snapToGrid w:val="0"/>
        <w:spacing w:line="480" w:lineRule="auto"/>
        <w:ind w:firstLine="480" w:firstLineChars="200"/>
        <w:rPr>
          <w:rFonts w:ascii="Times New Roman" w:hAnsi="Times New Roman" w:cs="宋体"/>
          <w:bCs/>
          <w:color w:val="auto"/>
          <w:sz w:val="24"/>
          <w:szCs w:val="24"/>
          <w:highlight w:val="none"/>
        </w:rPr>
      </w:pPr>
      <w:r>
        <w:rPr>
          <w:rFonts w:hint="eastAsia" w:ascii="Times New Roman" w:hAnsi="Times New Roman" w:cs="宋体"/>
          <w:bCs/>
          <w:color w:val="auto"/>
          <w:sz w:val="24"/>
          <w:szCs w:val="24"/>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20B10032">
      <w:pPr>
        <w:snapToGrid w:val="0"/>
        <w:spacing w:line="48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2、我方的单位负责人与所参投的本采购项目的其他投标人的单位负责人不为同一人且与其他投标人之间不存在直接控股、管理关系。</w:t>
      </w:r>
    </w:p>
    <w:p w14:paraId="41613862">
      <w:pPr>
        <w:snapToGrid w:val="0"/>
        <w:spacing w:line="48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3、我方不是本采购项目提供整体设计、规范编制或者项目管理、监理、检测等服务的供应商。</w:t>
      </w:r>
    </w:p>
    <w:p w14:paraId="49BCE69C">
      <w:pPr>
        <w:snapToGrid w:val="0"/>
        <w:spacing w:line="480" w:lineRule="auto"/>
        <w:ind w:firstLine="480" w:firstLineChars="200"/>
        <w:rPr>
          <w:rFonts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4、我方</w:t>
      </w:r>
      <w:r>
        <w:rPr>
          <w:rFonts w:hint="eastAsia" w:ascii="Times New Roman" w:hAnsi="Times New Roman" w:cs="宋体"/>
          <w:bCs/>
          <w:color w:val="auto"/>
          <w:sz w:val="24"/>
          <w:szCs w:val="24"/>
          <w:highlight w:val="none"/>
        </w:rPr>
        <w:t>未被“信用中国”（www.creditchina.gov.cn)、中国政府采购网（www.ccgp.gov.cn）列入失信被执行人、重大税收违法失信主体、政府采购严重违法失信行为记录名单。</w:t>
      </w:r>
    </w:p>
    <w:p w14:paraId="6EE7D4CC">
      <w:pPr>
        <w:snapToGrid w:val="0"/>
        <w:spacing w:line="480" w:lineRule="auto"/>
        <w:ind w:firstLine="480" w:firstLineChars="200"/>
        <w:rPr>
          <w:rFonts w:ascii="Times New Roman" w:hAnsi="Times New Roman" w:cs="宋体"/>
          <w:color w:val="auto"/>
          <w:sz w:val="24"/>
          <w:szCs w:val="24"/>
          <w:highlight w:val="none"/>
        </w:rPr>
      </w:pPr>
      <w:r>
        <w:rPr>
          <w:rFonts w:hint="eastAsia" w:ascii="Times New Roman" w:hAnsi="Times New Roman" w:cs="宋体"/>
          <w:bCs/>
          <w:color w:val="auto"/>
          <w:sz w:val="24"/>
          <w:szCs w:val="24"/>
          <w:highlight w:val="none"/>
        </w:rPr>
        <w:t>我方对上述声明的真实性负责。</w:t>
      </w:r>
      <w:r>
        <w:rPr>
          <w:rFonts w:hint="eastAsia" w:ascii="Times New Roman" w:hAnsi="Times New Roman" w:cs="宋体"/>
          <w:color w:val="auto"/>
          <w:sz w:val="24"/>
          <w:szCs w:val="24"/>
          <w:highlight w:val="none"/>
        </w:rPr>
        <w:t>本次招标采购活动中，如有违法、违规、弄虚作假行为，所造成的损失、不良后果及法律责任，一律由我方承担。</w:t>
      </w:r>
    </w:p>
    <w:p w14:paraId="4EDB860D">
      <w:pPr>
        <w:spacing w:line="360" w:lineRule="auto"/>
        <w:rPr>
          <w:rFonts w:ascii="Times New Roman" w:hAnsi="Times New Roman" w:cs="宋体"/>
          <w:b/>
          <w:color w:val="auto"/>
          <w:sz w:val="24"/>
          <w:szCs w:val="24"/>
          <w:highlight w:val="none"/>
        </w:rPr>
      </w:pPr>
    </w:p>
    <w:p w14:paraId="56B288F2">
      <w:pPr>
        <w:spacing w:line="360" w:lineRule="auto"/>
        <w:ind w:firstLine="420"/>
        <w:rPr>
          <w:rFonts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特此声明！</w:t>
      </w:r>
    </w:p>
    <w:p w14:paraId="1A3C9F28">
      <w:pPr>
        <w:spacing w:line="360" w:lineRule="auto"/>
        <w:outlineLvl w:val="1"/>
        <w:rPr>
          <w:rFonts w:ascii="Times New Roman" w:hAnsi="Times New Roman" w:cs="宋体"/>
          <w:b/>
          <w:color w:val="auto"/>
          <w:sz w:val="24"/>
          <w:szCs w:val="24"/>
          <w:highlight w:val="none"/>
        </w:rPr>
      </w:pPr>
    </w:p>
    <w:p w14:paraId="22B282F2">
      <w:pPr>
        <w:spacing w:line="360" w:lineRule="auto"/>
        <w:contextualSpacing/>
        <w:outlineLvl w:val="1"/>
        <w:rPr>
          <w:rFonts w:ascii="Times New Roman" w:hAnsi="Times New Roman"/>
          <w:color w:val="auto"/>
          <w:sz w:val="24"/>
          <w:szCs w:val="24"/>
          <w:highlight w:val="none"/>
        </w:rPr>
      </w:pPr>
    </w:p>
    <w:p w14:paraId="35564758">
      <w:pPr>
        <w:spacing w:line="600" w:lineRule="auto"/>
        <w:ind w:left="4620" w:leftChars="2200"/>
        <w:contextualSpacing/>
        <w:outlineLvl w:val="1"/>
        <w:rPr>
          <w:rFonts w:ascii="Times New Roman" w:hAnsi="Times New Roman"/>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投标人名称</w:t>
      </w:r>
      <w:r>
        <w:rPr>
          <w:rFonts w:hint="eastAsia" w:ascii="Times New Roman" w:hAnsi="Times New Roman"/>
          <w:color w:val="auto"/>
          <w:sz w:val="24"/>
          <w:szCs w:val="24"/>
          <w:highlight w:val="none"/>
        </w:rPr>
        <w:t>（盖章）：</w:t>
      </w:r>
    </w:p>
    <w:p w14:paraId="49FBD51B">
      <w:pPr>
        <w:spacing w:line="600" w:lineRule="auto"/>
        <w:ind w:left="4620" w:leftChars="2200"/>
        <w:contextualSpacing/>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lang w:eastAsia="zh-CN"/>
        </w:rPr>
        <w:t>法定代表人</w:t>
      </w:r>
      <w:r>
        <w:rPr>
          <w:rFonts w:hint="eastAsia" w:ascii="Times New Roman" w:hAnsi="Times New Roman"/>
          <w:color w:val="auto"/>
          <w:sz w:val="24"/>
          <w:szCs w:val="24"/>
          <w:highlight w:val="none"/>
        </w:rPr>
        <w:t>或授权代表人（签字或盖章）：</w:t>
      </w:r>
    </w:p>
    <w:p w14:paraId="5D2B5A5A">
      <w:pPr>
        <w:spacing w:line="600" w:lineRule="auto"/>
        <w:ind w:left="4620" w:leftChars="2200"/>
        <w:contextualSpacing/>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p>
    <w:p w14:paraId="63361DF6">
      <w:pPr>
        <w:spacing w:line="500" w:lineRule="exact"/>
        <w:jc w:val="left"/>
        <w:rPr>
          <w:rFonts w:hint="eastAsia" w:asciiTheme="minorEastAsia" w:hAnsiTheme="minorEastAsia"/>
          <w:b/>
          <w:color w:val="auto"/>
          <w:szCs w:val="21"/>
          <w:highlight w:val="none"/>
          <w:u w:val="single"/>
        </w:rPr>
      </w:pPr>
      <w:r>
        <w:rPr>
          <w:rFonts w:ascii="Times New Roman" w:hAnsi="Times New Roman" w:eastAsia="宋体"/>
          <w:color w:val="auto"/>
          <w:sz w:val="24"/>
          <w:szCs w:val="24"/>
          <w:highlight w:val="none"/>
        </w:rPr>
        <w:br w:type="page"/>
      </w:r>
    </w:p>
    <w:p w14:paraId="13FF7D11">
      <w:pPr>
        <w:pageBreakBefore/>
        <w:spacing w:line="360" w:lineRule="auto"/>
        <w:ind w:right="-108"/>
        <w:jc w:val="center"/>
        <w:outlineLvl w:val="0"/>
        <w:rPr>
          <w:rFonts w:ascii="宋体" w:hAnsi="宋体" w:eastAsia="宋体" w:cs="宋体"/>
          <w:color w:val="auto"/>
          <w:spacing w:val="40"/>
          <w:sz w:val="52"/>
          <w:szCs w:val="52"/>
          <w:highlight w:val="none"/>
        </w:rPr>
      </w:pPr>
      <w:bookmarkStart w:id="117" w:name="_Toc24755"/>
      <w:bookmarkStart w:id="118" w:name="_Toc29941"/>
      <w:bookmarkStart w:id="119" w:name="_Toc22836"/>
      <w:bookmarkStart w:id="120" w:name="_Toc30629"/>
      <w:bookmarkStart w:id="121" w:name="_Toc12630"/>
      <w:bookmarkStart w:id="122" w:name="_Toc17190"/>
      <w:bookmarkStart w:id="123" w:name="_Toc4606"/>
      <w:bookmarkStart w:id="124" w:name="_Toc11790"/>
      <w:bookmarkStart w:id="125" w:name="_Toc5348"/>
      <w:bookmarkStart w:id="126" w:name="_Toc24215"/>
      <w:r>
        <w:rPr>
          <w:rFonts w:hint="eastAsia" w:ascii="宋体" w:hAnsi="宋体" w:eastAsia="宋体" w:cs="宋体"/>
          <w:color w:val="auto"/>
          <w:spacing w:val="40"/>
          <w:sz w:val="52"/>
          <w:szCs w:val="52"/>
          <w:highlight w:val="none"/>
        </w:rPr>
        <w:t>项目名称</w:t>
      </w:r>
      <w:bookmarkEnd w:id="117"/>
      <w:bookmarkEnd w:id="118"/>
      <w:bookmarkEnd w:id="119"/>
      <w:bookmarkEnd w:id="120"/>
      <w:bookmarkEnd w:id="121"/>
      <w:bookmarkEnd w:id="122"/>
      <w:bookmarkEnd w:id="123"/>
      <w:bookmarkEnd w:id="124"/>
      <w:bookmarkEnd w:id="125"/>
      <w:bookmarkEnd w:id="126"/>
    </w:p>
    <w:p w14:paraId="1498D2D9">
      <w:pPr>
        <w:spacing w:beforeLines="100" w:line="360" w:lineRule="auto"/>
        <w:ind w:right="-108"/>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项目编号：   </w:t>
      </w:r>
    </w:p>
    <w:p w14:paraId="16D7E56D">
      <w:pPr>
        <w:spacing w:beforeLines="100" w:line="360" w:lineRule="auto"/>
        <w:ind w:right="-108"/>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51DFD368">
      <w:pPr>
        <w:autoSpaceDE w:val="0"/>
        <w:autoSpaceDN w:val="0"/>
        <w:adjustRightInd w:val="0"/>
        <w:spacing w:line="360" w:lineRule="auto"/>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33551F90">
      <w:pPr>
        <w:autoSpaceDE w:val="0"/>
        <w:autoSpaceDN w:val="0"/>
        <w:adjustRightInd w:val="0"/>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31A983CD">
      <w:pPr>
        <w:spacing w:after="100" w:afterAutospacing="1" w:line="360" w:lineRule="auto"/>
        <w:ind w:right="-108"/>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6F06ECC9">
      <w:pPr>
        <w:spacing w:after="100" w:afterAutospacing="1" w:line="360" w:lineRule="auto"/>
        <w:ind w:right="-108"/>
        <w:jc w:val="center"/>
        <w:rPr>
          <w:rFonts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188FA0A7">
      <w:pPr>
        <w:spacing w:line="480" w:lineRule="auto"/>
        <w:ind w:right="532" w:firstLine="720" w:firstLineChars="200"/>
        <w:rPr>
          <w:rFonts w:ascii="宋体" w:hAnsi="宋体" w:eastAsia="宋体" w:cs="宋体"/>
          <w:color w:val="auto"/>
          <w:sz w:val="36"/>
          <w:szCs w:val="36"/>
          <w:highlight w:val="none"/>
        </w:rPr>
      </w:pPr>
    </w:p>
    <w:p w14:paraId="2A8C6A6C">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投标人名称（公章）：</w:t>
      </w:r>
    </w:p>
    <w:p w14:paraId="35BCD639">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投标人地址：</w:t>
      </w:r>
    </w:p>
    <w:p w14:paraId="62EFFBA3">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20D4419D">
      <w:pPr>
        <w:rPr>
          <w:rFonts w:ascii="宋体" w:hAnsi="宋体" w:eastAsia="宋体" w:cs="宋体"/>
          <w:color w:val="auto"/>
          <w:highlight w:val="none"/>
        </w:rPr>
      </w:pPr>
    </w:p>
    <w:p w14:paraId="423ED1D1">
      <w:pPr>
        <w:widowControl w:val="0"/>
        <w:spacing w:after="120"/>
        <w:jc w:val="both"/>
        <w:rPr>
          <w:rFonts w:ascii="宋体" w:hAnsi="宋体" w:eastAsia="宋体" w:cs="宋体"/>
          <w:color w:val="auto"/>
          <w:kern w:val="2"/>
          <w:sz w:val="21"/>
          <w:szCs w:val="24"/>
          <w:highlight w:val="none"/>
          <w:lang w:val="en-US" w:eastAsia="zh-CN" w:bidi="ar-SA"/>
        </w:rPr>
      </w:pPr>
    </w:p>
    <w:p w14:paraId="01757116">
      <w:pPr>
        <w:widowControl w:val="0"/>
        <w:ind w:left="2940" w:leftChars="1400"/>
        <w:jc w:val="both"/>
        <w:rPr>
          <w:rFonts w:ascii="宋体" w:hAnsi="宋体" w:eastAsia="宋体" w:cs="宋体"/>
          <w:color w:val="auto"/>
          <w:kern w:val="2"/>
          <w:sz w:val="21"/>
          <w:szCs w:val="24"/>
          <w:highlight w:val="none"/>
          <w:lang w:val="en-US" w:eastAsia="zh-CN" w:bidi="ar-SA"/>
        </w:rPr>
      </w:pPr>
    </w:p>
    <w:p w14:paraId="13F0591C">
      <w:pPr>
        <w:rPr>
          <w:rFonts w:ascii="宋体" w:hAnsi="宋体" w:eastAsia="宋体" w:cs="宋体"/>
          <w:b/>
          <w:color w:val="auto"/>
          <w:sz w:val="44"/>
          <w:szCs w:val="44"/>
          <w:highlight w:val="none"/>
        </w:rPr>
      </w:pPr>
    </w:p>
    <w:p w14:paraId="207BB31E">
      <w:pPr>
        <w:jc w:val="center"/>
        <w:rPr>
          <w:rFonts w:ascii="宋体" w:hAnsi="宋体" w:cs="宋体"/>
          <w:b/>
          <w:color w:val="auto"/>
          <w:sz w:val="44"/>
          <w:szCs w:val="44"/>
          <w:highlight w:val="none"/>
        </w:rPr>
        <w:sectPr>
          <w:footerReference r:id="rId13"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9F74360">
      <w:pPr>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商务技术文件</w:t>
      </w:r>
    </w:p>
    <w:p w14:paraId="52DEBFF5">
      <w:pPr>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2ECF5F8A">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1、商务技术自评表…………………………………………………………………………（页码）</w:t>
      </w:r>
    </w:p>
    <w:p w14:paraId="2FEAD4A0">
      <w:pPr>
        <w:spacing w:line="48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供应商基本情况表…………………………………………………………………………（页码）</w:t>
      </w:r>
    </w:p>
    <w:p w14:paraId="18DE964D">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授权委托书或法定代表人身份证明………………………………………………………（页码）</w:t>
      </w:r>
    </w:p>
    <w:p w14:paraId="13D223CF">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、证书一览表………………………………………………………………………………（页码）</w:t>
      </w:r>
    </w:p>
    <w:p w14:paraId="24A33B37">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、技术</w:t>
      </w:r>
      <w:r>
        <w:rPr>
          <w:rFonts w:hint="eastAsia"/>
          <w:color w:val="auto"/>
          <w:sz w:val="24"/>
          <w:szCs w:val="24"/>
          <w:highlight w:val="none"/>
          <w:lang w:eastAsia="zh-CN"/>
        </w:rPr>
        <w:t>条款</w:t>
      </w:r>
      <w:r>
        <w:rPr>
          <w:rFonts w:hint="eastAsia" w:ascii="宋体" w:hAnsi="宋体" w:eastAsia="宋体" w:cs="宋体"/>
          <w:color w:val="auto"/>
          <w:sz w:val="24"/>
          <w:highlight w:val="none"/>
        </w:rPr>
        <w:t>偏离表…………………………………………………………………………（页码）</w:t>
      </w:r>
    </w:p>
    <w:p w14:paraId="79F9B98D">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、商务</w:t>
      </w:r>
      <w:r>
        <w:rPr>
          <w:rFonts w:hint="eastAsia"/>
          <w:color w:val="auto"/>
          <w:sz w:val="24"/>
          <w:szCs w:val="24"/>
          <w:highlight w:val="none"/>
          <w:lang w:eastAsia="zh-CN"/>
        </w:rPr>
        <w:t>条款</w:t>
      </w:r>
      <w:r>
        <w:rPr>
          <w:rFonts w:hint="eastAsia" w:ascii="宋体" w:hAnsi="宋体" w:eastAsia="宋体" w:cs="宋体"/>
          <w:color w:val="auto"/>
          <w:sz w:val="24"/>
          <w:highlight w:val="none"/>
        </w:rPr>
        <w:t>偏离表……………………………………………………………………………（页码）</w:t>
      </w:r>
    </w:p>
    <w:p w14:paraId="470C1988">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、相关项目实施业绩一览表………………………………………………………………（页码）</w:t>
      </w:r>
    </w:p>
    <w:p w14:paraId="2B51AD89">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、评分标准或采购文件需要提供的其他技术商务材料…………………………………（页码）</w:t>
      </w:r>
    </w:p>
    <w:p w14:paraId="205A9D31">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认为有必要提供的其他</w:t>
      </w:r>
      <w:r>
        <w:rPr>
          <w:rFonts w:hint="eastAsia" w:ascii="宋体" w:hAnsi="宋体" w:cs="宋体"/>
          <w:color w:val="auto"/>
          <w:sz w:val="24"/>
          <w:highlight w:val="none"/>
          <w:lang w:eastAsia="zh-CN"/>
        </w:rPr>
        <w:t>商务技术文件</w:t>
      </w:r>
      <w:r>
        <w:rPr>
          <w:rFonts w:hint="eastAsia" w:ascii="宋体" w:hAnsi="宋体" w:eastAsia="宋体" w:cs="宋体"/>
          <w:color w:val="auto"/>
          <w:sz w:val="24"/>
          <w:highlight w:val="none"/>
        </w:rPr>
        <w:t>资料……………………………………（页码）</w:t>
      </w:r>
    </w:p>
    <w:p w14:paraId="04BBA738">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目录自行扩展)</w:t>
      </w:r>
    </w:p>
    <w:p w14:paraId="37062849">
      <w:pPr>
        <w:widowControl w:val="0"/>
        <w:spacing w:line="480" w:lineRule="atLeast"/>
        <w:ind w:firstLine="570"/>
        <w:jc w:val="both"/>
        <w:rPr>
          <w:rFonts w:ascii="宋体" w:hAnsi="宋体" w:eastAsia="宋体" w:cs="宋体"/>
          <w:color w:val="auto"/>
          <w:kern w:val="2"/>
          <w:sz w:val="28"/>
          <w:szCs w:val="28"/>
          <w:highlight w:val="none"/>
          <w:lang w:val="en-US" w:eastAsia="zh-CN" w:bidi="ar-SA"/>
        </w:rPr>
      </w:pPr>
    </w:p>
    <w:p w14:paraId="6B90F4FF">
      <w:pPr>
        <w:ind w:left="0" w:leftChars="0" w:firstLine="0" w:firstLineChars="0"/>
        <w:rPr>
          <w:rFonts w:ascii="宋体" w:hAnsi="宋体" w:cs="宋体"/>
          <w:color w:val="auto"/>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580C9D0">
      <w:pPr>
        <w:widowControl w:val="0"/>
        <w:ind w:left="2100" w:leftChars="1000"/>
        <w:jc w:val="both"/>
        <w:rPr>
          <w:rFonts w:ascii="宋体" w:hAnsi="宋体" w:eastAsia="宋体" w:cs="宋体"/>
          <w:color w:val="auto"/>
          <w:kern w:val="2"/>
          <w:sz w:val="21"/>
          <w:szCs w:val="24"/>
          <w:highlight w:val="none"/>
          <w:lang w:val="en-US" w:eastAsia="zh-CN" w:bidi="ar-SA"/>
        </w:rPr>
      </w:pPr>
    </w:p>
    <w:p w14:paraId="190D34E3">
      <w:pPr>
        <w:pStyle w:val="111"/>
        <w:numPr>
          <w:ilvl w:val="0"/>
          <w:numId w:val="7"/>
        </w:numPr>
        <w:spacing w:afterLines="50" w:line="360" w:lineRule="auto"/>
        <w:ind w:firstLineChars="0"/>
        <w:jc w:val="center"/>
        <w:outlineLvl w:val="0"/>
        <w:rPr>
          <w:rFonts w:ascii="宋体" w:hAnsi="宋体" w:eastAsia="宋体" w:cs="宋体"/>
          <w:b/>
          <w:color w:val="auto"/>
          <w:kern w:val="2"/>
          <w:sz w:val="32"/>
          <w:szCs w:val="32"/>
          <w:highlight w:val="none"/>
        </w:rPr>
      </w:pPr>
      <w:bookmarkStart w:id="127" w:name="_Toc20566"/>
      <w:bookmarkStart w:id="128" w:name="_Toc27040"/>
      <w:bookmarkStart w:id="129" w:name="_Toc25635"/>
      <w:bookmarkStart w:id="130" w:name="_Toc1427"/>
      <w:bookmarkStart w:id="131" w:name="_Toc4248"/>
      <w:bookmarkStart w:id="132" w:name="_Toc28471"/>
      <w:bookmarkStart w:id="133" w:name="_Toc10956"/>
      <w:bookmarkStart w:id="134" w:name="_Toc13033"/>
      <w:bookmarkStart w:id="135" w:name="_Toc16737"/>
      <w:bookmarkStart w:id="136" w:name="_Toc26107"/>
      <w:r>
        <w:rPr>
          <w:rFonts w:hint="eastAsia" w:ascii="宋体" w:hAnsi="宋体" w:eastAsia="宋体" w:cs="宋体"/>
          <w:b/>
          <w:color w:val="auto"/>
          <w:kern w:val="2"/>
          <w:sz w:val="32"/>
          <w:szCs w:val="32"/>
          <w:highlight w:val="none"/>
        </w:rPr>
        <w:t>商务技术自评表</w:t>
      </w:r>
      <w:bookmarkEnd w:id="127"/>
      <w:bookmarkEnd w:id="128"/>
      <w:bookmarkEnd w:id="129"/>
      <w:bookmarkEnd w:id="130"/>
      <w:bookmarkEnd w:id="131"/>
      <w:bookmarkEnd w:id="132"/>
      <w:bookmarkEnd w:id="133"/>
      <w:bookmarkEnd w:id="134"/>
      <w:bookmarkEnd w:id="135"/>
      <w:bookmarkEnd w:id="136"/>
    </w:p>
    <w:tbl>
      <w:tblPr>
        <w:tblStyle w:val="47"/>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4"/>
        <w:gridCol w:w="5567"/>
        <w:gridCol w:w="709"/>
        <w:gridCol w:w="709"/>
        <w:gridCol w:w="1145"/>
      </w:tblGrid>
      <w:tr w14:paraId="28FC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FC46AB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评审项目</w:t>
            </w:r>
          </w:p>
        </w:tc>
        <w:tc>
          <w:tcPr>
            <w:tcW w:w="5567" w:type="dxa"/>
            <w:tcBorders>
              <w:top w:val="single" w:color="auto" w:sz="2" w:space="0"/>
              <w:left w:val="single" w:color="auto" w:sz="4" w:space="0"/>
              <w:bottom w:val="single" w:color="auto" w:sz="2" w:space="0"/>
              <w:right w:val="single" w:color="auto" w:sz="2" w:space="0"/>
            </w:tcBorders>
            <w:vAlign w:val="center"/>
          </w:tcPr>
          <w:p w14:paraId="312A3E2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评审细则</w:t>
            </w:r>
          </w:p>
        </w:tc>
        <w:tc>
          <w:tcPr>
            <w:tcW w:w="709" w:type="dxa"/>
            <w:tcBorders>
              <w:top w:val="single" w:color="auto" w:sz="2" w:space="0"/>
              <w:left w:val="single" w:color="auto" w:sz="4" w:space="0"/>
              <w:bottom w:val="single" w:color="auto" w:sz="2" w:space="0"/>
              <w:right w:val="single" w:color="auto" w:sz="2" w:space="0"/>
            </w:tcBorders>
            <w:vAlign w:val="center"/>
          </w:tcPr>
          <w:p w14:paraId="227664D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分值</w:t>
            </w:r>
          </w:p>
        </w:tc>
        <w:tc>
          <w:tcPr>
            <w:tcW w:w="709" w:type="dxa"/>
            <w:tcBorders>
              <w:top w:val="single" w:color="auto" w:sz="2" w:space="0"/>
              <w:left w:val="single" w:color="auto" w:sz="4" w:space="0"/>
              <w:bottom w:val="single" w:color="auto" w:sz="2" w:space="0"/>
              <w:right w:val="single" w:color="auto" w:sz="2" w:space="0"/>
            </w:tcBorders>
            <w:vAlign w:val="center"/>
          </w:tcPr>
          <w:p w14:paraId="7E29FB3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自评分</w:t>
            </w:r>
          </w:p>
        </w:tc>
        <w:tc>
          <w:tcPr>
            <w:tcW w:w="1145" w:type="dxa"/>
            <w:tcBorders>
              <w:top w:val="single" w:color="auto" w:sz="2" w:space="0"/>
              <w:left w:val="single" w:color="auto" w:sz="4" w:space="0"/>
              <w:bottom w:val="single" w:color="auto" w:sz="2" w:space="0"/>
              <w:right w:val="single" w:color="auto" w:sz="2" w:space="0"/>
            </w:tcBorders>
            <w:vAlign w:val="center"/>
          </w:tcPr>
          <w:p w14:paraId="650E832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投标文件对应页码</w:t>
            </w:r>
          </w:p>
        </w:tc>
      </w:tr>
      <w:tr w14:paraId="72CF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21D841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EDDB0C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3C90D9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521C89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7E8842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415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1821B0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9476022">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A2D934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F8CE6B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41EEA2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4F1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FD81AD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FBDE41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24F334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0C5CF5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5906F3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49C9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DCAD2D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B6ED4B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68963D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309110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59EED4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459F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78A78F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D49DE9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43E8F0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DF3901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9F2AA9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53C6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7A0D71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072A412">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8903EE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21F14F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39ACB5C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47E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81A672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87D62D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BF6B43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104009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6F84A7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0662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7D81EC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A8017F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02B77E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96DC5A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296761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C6A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B0611C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9474F7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DC2157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396FFB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AC733B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465F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03035A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4507FA2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051A06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8FB8D5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86A7A0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7220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3171A4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08C4471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496079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3FFB11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16DF4F3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bl>
    <w:p w14:paraId="09BA2819">
      <w:pPr>
        <w:spacing w:afterLines="50" w:line="360" w:lineRule="auto"/>
        <w:jc w:val="center"/>
        <w:outlineLvl w:val="0"/>
        <w:rPr>
          <w:rFonts w:ascii="宋体" w:hAnsi="宋体" w:cs="宋体"/>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93EBF0E">
      <w:pPr>
        <w:widowControl/>
        <w:kinsoku/>
        <w:overflowPunct/>
        <w:topLinePunct w:val="0"/>
        <w:bidi w:val="0"/>
        <w:adjustRightInd/>
        <w:spacing w:beforeAutospacing="0" w:afterAutospacing="0" w:line="440" w:lineRule="exact"/>
        <w:jc w:val="center"/>
        <w:rPr>
          <w:rFonts w:hint="eastAsia" w:ascii="宋体" w:hAnsi="宋体" w:eastAsia="宋体" w:cs="宋体"/>
          <w:b/>
          <w:color w:val="auto"/>
          <w:kern w:val="2"/>
          <w:sz w:val="32"/>
          <w:szCs w:val="32"/>
          <w:highlight w:val="none"/>
          <w:lang w:val="en-US" w:eastAsia="zh-CN" w:bidi="ar-SA"/>
        </w:rPr>
      </w:pPr>
      <w:bookmarkStart w:id="137" w:name="_Toc5952"/>
      <w:bookmarkStart w:id="138" w:name="_Toc2650"/>
      <w:bookmarkStart w:id="139" w:name="_Toc10969"/>
      <w:bookmarkStart w:id="140" w:name="_Toc25271"/>
      <w:bookmarkStart w:id="141" w:name="_Toc23521"/>
      <w:bookmarkStart w:id="142" w:name="_Toc29896"/>
      <w:bookmarkStart w:id="143" w:name="_Toc8155"/>
      <w:bookmarkStart w:id="144" w:name="_Toc15162"/>
    </w:p>
    <w:p w14:paraId="2DC365BD">
      <w:pPr>
        <w:spacing w:afterLines="50" w:line="360" w:lineRule="auto"/>
        <w:jc w:val="center"/>
        <w:outlineLvl w:val="0"/>
        <w:rPr>
          <w:rFonts w:ascii="宋体" w:hAnsi="宋体" w:eastAsia="宋体" w:cs="宋体"/>
          <w:b/>
          <w:color w:val="auto"/>
          <w:sz w:val="32"/>
          <w:szCs w:val="32"/>
          <w:highlight w:val="none"/>
        </w:rPr>
      </w:pPr>
      <w:bookmarkStart w:id="145" w:name="_Toc14611"/>
      <w:bookmarkStart w:id="146" w:name="_Toc15842"/>
      <w:r>
        <w:rPr>
          <w:rFonts w:hint="eastAsia" w:ascii="宋体" w:hAnsi="宋体" w:cs="宋体"/>
          <w:b/>
          <w:color w:val="auto"/>
          <w:sz w:val="32"/>
          <w:szCs w:val="32"/>
          <w:highlight w:val="none"/>
          <w:lang w:val="en-US" w:eastAsia="zh-CN"/>
        </w:rPr>
        <w:t>二</w:t>
      </w:r>
      <w:r>
        <w:rPr>
          <w:rFonts w:hint="eastAsia" w:ascii="宋体" w:hAnsi="宋体" w:eastAsia="宋体" w:cs="宋体"/>
          <w:b/>
          <w:color w:val="auto"/>
          <w:sz w:val="32"/>
          <w:szCs w:val="32"/>
          <w:highlight w:val="none"/>
        </w:rPr>
        <w:t>、供应商基本情况表</w:t>
      </w:r>
      <w:bookmarkEnd w:id="145"/>
      <w:bookmarkEnd w:id="146"/>
    </w:p>
    <w:tbl>
      <w:tblPr>
        <w:tblStyle w:val="47"/>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453"/>
      </w:tblGrid>
      <w:tr w14:paraId="6ED5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C20AB1A">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2739" w:type="dxa"/>
            <w:gridSpan w:val="3"/>
            <w:vAlign w:val="center"/>
          </w:tcPr>
          <w:p w14:paraId="2FF8EB0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04118B28">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p>
        </w:tc>
        <w:tc>
          <w:tcPr>
            <w:tcW w:w="2453" w:type="dxa"/>
            <w:vAlign w:val="center"/>
          </w:tcPr>
          <w:p w14:paraId="4A0AEBAD">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03C1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20E530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739" w:type="dxa"/>
            <w:gridSpan w:val="3"/>
            <w:vAlign w:val="center"/>
          </w:tcPr>
          <w:p w14:paraId="7A057A06">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620044E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注册登记号</w:t>
            </w:r>
          </w:p>
        </w:tc>
        <w:tc>
          <w:tcPr>
            <w:tcW w:w="2453" w:type="dxa"/>
            <w:vAlign w:val="center"/>
          </w:tcPr>
          <w:p w14:paraId="6EE5318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4F4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A69955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经营地址</w:t>
            </w:r>
          </w:p>
        </w:tc>
        <w:tc>
          <w:tcPr>
            <w:tcW w:w="2739" w:type="dxa"/>
            <w:gridSpan w:val="3"/>
            <w:vAlign w:val="center"/>
          </w:tcPr>
          <w:p w14:paraId="6697DAE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37F7EBF2">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税务登记证号</w:t>
            </w:r>
          </w:p>
        </w:tc>
        <w:tc>
          <w:tcPr>
            <w:tcW w:w="2453" w:type="dxa"/>
            <w:vAlign w:val="center"/>
          </w:tcPr>
          <w:p w14:paraId="7A82904B">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31C8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6888D04">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2739" w:type="dxa"/>
            <w:gridSpan w:val="3"/>
            <w:vAlign w:val="center"/>
          </w:tcPr>
          <w:p w14:paraId="060F9547">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701EC360">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2453" w:type="dxa"/>
            <w:vAlign w:val="center"/>
          </w:tcPr>
          <w:p w14:paraId="7A68D89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7D2E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03BD972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2739" w:type="dxa"/>
            <w:gridSpan w:val="3"/>
            <w:vAlign w:val="center"/>
          </w:tcPr>
          <w:p w14:paraId="7AED1EB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37CCA88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营业期限</w:t>
            </w:r>
          </w:p>
        </w:tc>
        <w:tc>
          <w:tcPr>
            <w:tcW w:w="2453" w:type="dxa"/>
            <w:vAlign w:val="center"/>
          </w:tcPr>
          <w:p w14:paraId="6962A3AB">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年 月</w:t>
            </w:r>
          </w:p>
        </w:tc>
      </w:tr>
      <w:tr w14:paraId="3A3A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D6FE037">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资质情况</w:t>
            </w:r>
          </w:p>
        </w:tc>
        <w:tc>
          <w:tcPr>
            <w:tcW w:w="7539" w:type="dxa"/>
            <w:gridSpan w:val="5"/>
            <w:vAlign w:val="center"/>
          </w:tcPr>
          <w:p w14:paraId="213D895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2E56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23B5031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员工数量</w:t>
            </w:r>
          </w:p>
        </w:tc>
        <w:tc>
          <w:tcPr>
            <w:tcW w:w="7539" w:type="dxa"/>
            <w:gridSpan w:val="5"/>
            <w:vAlign w:val="center"/>
          </w:tcPr>
          <w:p w14:paraId="70B49B6D">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共人，其中，高级职称人，中级职称人</w:t>
            </w:r>
          </w:p>
        </w:tc>
      </w:tr>
      <w:tr w14:paraId="7274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479CDA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739" w:type="dxa"/>
            <w:gridSpan w:val="3"/>
            <w:vAlign w:val="center"/>
          </w:tcPr>
          <w:p w14:paraId="2A77982F">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3B2918E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453" w:type="dxa"/>
            <w:vAlign w:val="center"/>
          </w:tcPr>
          <w:p w14:paraId="44E4B73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1E27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76C76A98">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主要业绩</w:t>
            </w:r>
          </w:p>
        </w:tc>
        <w:tc>
          <w:tcPr>
            <w:tcW w:w="7539" w:type="dxa"/>
            <w:gridSpan w:val="5"/>
            <w:vAlign w:val="center"/>
          </w:tcPr>
          <w:p w14:paraId="701E3438">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p>
          <w:p w14:paraId="4BF093E2">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p>
        </w:tc>
      </w:tr>
      <w:tr w14:paraId="51C9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vAlign w:val="center"/>
          </w:tcPr>
          <w:p w14:paraId="77536716">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法 定 代 表 人 基 本 情 况</w:t>
            </w:r>
          </w:p>
        </w:tc>
      </w:tr>
      <w:tr w14:paraId="04CA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2B7551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2739" w:type="dxa"/>
            <w:gridSpan w:val="3"/>
            <w:vAlign w:val="center"/>
          </w:tcPr>
          <w:p w14:paraId="5EE3EA7A">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59FB363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453" w:type="dxa"/>
            <w:vAlign w:val="center"/>
          </w:tcPr>
          <w:p w14:paraId="52720E5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7917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659BFD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915" w:type="dxa"/>
            <w:vAlign w:val="center"/>
          </w:tcPr>
          <w:p w14:paraId="6839C4D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1062" w:type="dxa"/>
            <w:vAlign w:val="center"/>
          </w:tcPr>
          <w:p w14:paraId="26AEF21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762" w:type="dxa"/>
            <w:vAlign w:val="center"/>
          </w:tcPr>
          <w:p w14:paraId="67A6C130">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51BAA93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学    历</w:t>
            </w:r>
          </w:p>
        </w:tc>
        <w:tc>
          <w:tcPr>
            <w:tcW w:w="2453" w:type="dxa"/>
            <w:vAlign w:val="center"/>
          </w:tcPr>
          <w:p w14:paraId="391C4F3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6407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tcPr>
          <w:p w14:paraId="68AA9C82">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2DE2491A">
      <w:pPr>
        <w:spacing w:beforeLines="50" w:line="360" w:lineRule="auto"/>
        <w:ind w:right="-227" w:rightChars="-108"/>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兹证明上述声明是真实、正确的，并提供了全部能提供的资料和数据，我们同意遵照贵方要求出示有关证明文件。</w:t>
      </w:r>
    </w:p>
    <w:p w14:paraId="0FF0E8CF">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投标人名称（盖公章）：</w:t>
      </w:r>
    </w:p>
    <w:p w14:paraId="2A04AB18">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法定代表人或授权委托代理人（签字或盖章）：</w:t>
      </w:r>
    </w:p>
    <w:p w14:paraId="319B3D7F">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年    月   日</w:t>
      </w:r>
    </w:p>
    <w:p w14:paraId="4935D5B1">
      <w:pPr>
        <w:widowControl/>
        <w:kinsoku/>
        <w:overflowPunct/>
        <w:topLinePunct w:val="0"/>
        <w:bidi w:val="0"/>
        <w:adjustRightInd/>
        <w:spacing w:beforeAutospacing="0" w:afterAutospacing="0" w:line="440" w:lineRule="exact"/>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三、授权委托书或法定代表人身份证明</w:t>
      </w:r>
    </w:p>
    <w:p w14:paraId="364CEA07">
      <w:pPr>
        <w:kinsoku/>
        <w:overflowPunct/>
        <w:topLinePunct w:val="0"/>
        <w:bidi w:val="0"/>
        <w:spacing w:beforeAutospacing="0" w:afterAutospacing="0" w:line="440" w:lineRule="exact"/>
        <w:jc w:val="center"/>
        <w:rPr>
          <w:rFonts w:hint="eastAsia" w:ascii="仿宋" w:hAnsi="仿宋" w:eastAsia="仿宋" w:cs="仿宋"/>
          <w:b/>
          <w:color w:val="auto"/>
          <w:sz w:val="24"/>
          <w:szCs w:val="24"/>
          <w:highlight w:val="none"/>
        </w:rPr>
      </w:pPr>
    </w:p>
    <w:p w14:paraId="0D65AA48">
      <w:pPr>
        <w:kinsoku/>
        <w:overflowPunct/>
        <w:topLinePunct w:val="0"/>
        <w:bidi w:val="0"/>
        <w:snapToGrid w:val="0"/>
        <w:spacing w:beforeAutospacing="0" w:afterAutospacing="0" w:line="440" w:lineRule="exact"/>
        <w:ind w:firstLine="643" w:firstLineChars="200"/>
        <w:jc w:val="center"/>
        <w:rPr>
          <w:rFonts w:hint="eastAsia" w:ascii="宋体" w:hAnsi="宋体" w:eastAsia="宋体" w:cs="宋体"/>
          <w:color w:val="auto"/>
          <w:sz w:val="24"/>
          <w:szCs w:val="24"/>
          <w:highlight w:val="none"/>
        </w:rPr>
      </w:pPr>
      <w:r>
        <w:rPr>
          <w:rFonts w:hint="eastAsia" w:ascii="宋体" w:hAnsi="宋体" w:eastAsia="宋体" w:cs="宋体"/>
          <w:b/>
          <w:color w:val="auto"/>
          <w:kern w:val="2"/>
          <w:sz w:val="32"/>
          <w:szCs w:val="32"/>
          <w:highlight w:val="none"/>
          <w:lang w:val="en-US" w:eastAsia="zh-CN" w:bidi="ar-SA"/>
        </w:rPr>
        <w:t>授权委托书(格式)</w:t>
      </w:r>
    </w:p>
    <w:p w14:paraId="5524D869">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32F59387">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(填写姓名)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（填写投标人单位全称）</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（填写单位全称）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（填写姓名）</w:t>
      </w:r>
      <w:r>
        <w:rPr>
          <w:rFonts w:hint="eastAsia" w:ascii="宋体" w:hAnsi="宋体" w:eastAsia="宋体" w:cs="宋体"/>
          <w:color w:val="auto"/>
          <w:sz w:val="24"/>
          <w:szCs w:val="24"/>
          <w:highlight w:val="none"/>
        </w:rPr>
        <w:t>为我公司授权代表，</w:t>
      </w:r>
      <w:r>
        <w:rPr>
          <w:rFonts w:hint="eastAsia" w:ascii="宋体" w:hAnsi="宋体" w:eastAsia="宋体" w:cs="宋体"/>
          <w:color w:val="auto"/>
          <w:sz w:val="24"/>
          <w:szCs w:val="24"/>
          <w:highlight w:val="none"/>
          <w:u w:val="single"/>
        </w:rPr>
        <w:t>（填写身份证号码：                       ）</w:t>
      </w:r>
      <w:r>
        <w:rPr>
          <w:rFonts w:hint="eastAsia" w:ascii="宋体" w:hAnsi="宋体" w:eastAsia="宋体" w:cs="宋体"/>
          <w:color w:val="auto"/>
          <w:sz w:val="24"/>
          <w:szCs w:val="24"/>
          <w:highlight w:val="none"/>
        </w:rPr>
        <w:t>。以本公司的名义参加</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代理机构</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(项目编号)(项目名称)           </w:t>
      </w:r>
      <w:r>
        <w:rPr>
          <w:rFonts w:hint="eastAsia" w:ascii="宋体" w:hAnsi="宋体" w:eastAsia="宋体" w:cs="宋体"/>
          <w:color w:val="auto"/>
          <w:sz w:val="24"/>
          <w:szCs w:val="24"/>
          <w:highlight w:val="none"/>
        </w:rPr>
        <w:t>投标活动。授权代表在开标、评标、合同谈判过程中所签署的一切文件和处理与之有关的一切事务，我均予以承认。</w:t>
      </w:r>
    </w:p>
    <w:p w14:paraId="131C2947">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在撤销授权的书面通知以前，本授权书一直有效。全权代表在授权书有效期内签署的所有文件不因授权的撤销而失效。</w:t>
      </w:r>
    </w:p>
    <w:p w14:paraId="0BB94368">
      <w:pPr>
        <w:keepNext w:val="0"/>
        <w:keepLines w:val="0"/>
        <w:pageBreakBefore w:val="0"/>
        <w:widowControl w:val="0"/>
        <w:kinsoku/>
        <w:wordWrap/>
        <w:overflowPunct/>
        <w:topLinePunct w:val="0"/>
        <w:autoSpaceDE/>
        <w:autoSpaceDN/>
        <w:bidi w:val="0"/>
        <w:adjustRightInd/>
        <w:spacing w:beforeAutospacing="0" w:afterAutospacing="0"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7A36EE50">
      <w:pPr>
        <w:kinsoku/>
        <w:overflowPunct/>
        <w:topLinePunct w:val="0"/>
        <w:bidi w:val="0"/>
        <w:snapToGrid w:val="0"/>
        <w:spacing w:beforeAutospacing="0" w:afterAutospacing="0" w:line="440" w:lineRule="exact"/>
        <w:jc w:val="left"/>
        <w:rPr>
          <w:rFonts w:hint="eastAsia" w:ascii="宋体" w:hAnsi="宋体" w:eastAsia="宋体" w:cs="宋体"/>
          <w:color w:val="auto"/>
          <w:sz w:val="24"/>
          <w:szCs w:val="24"/>
          <w:highlight w:val="none"/>
        </w:rPr>
      </w:pPr>
    </w:p>
    <w:p w14:paraId="3DD0DE01">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              性别：               年龄：</w:t>
      </w:r>
    </w:p>
    <w:p w14:paraId="1E801E5D">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6A502B75">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                      部门：               职务：</w:t>
      </w:r>
    </w:p>
    <w:p w14:paraId="7F3050A1">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06E0DB6F">
      <w:pPr>
        <w:widowControl/>
        <w:kinsoku/>
        <w:overflowPunct/>
        <w:topLinePunct w:val="0"/>
        <w:bidi w:val="0"/>
        <w:snapToGrid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办公地址：                  联系电话：           传真：</w:t>
      </w:r>
    </w:p>
    <w:p w14:paraId="5EECAE3F">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4E864154">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55DFFB4B">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（电子签章）：</w:t>
      </w:r>
    </w:p>
    <w:p w14:paraId="73076028">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11AD432D">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15F29F82">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59DF2949">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6C5CECE9">
      <w:pPr>
        <w:kinsoku/>
        <w:overflowPunct/>
        <w:topLinePunct w:val="0"/>
        <w:bidi w:val="0"/>
        <w:spacing w:beforeAutospacing="0" w:afterAutospacing="0" w:line="440" w:lineRule="exact"/>
        <w:jc w:val="left"/>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附：</w:t>
      </w:r>
      <w:r>
        <w:rPr>
          <w:rFonts w:hint="eastAsia" w:ascii="宋体" w:hAnsi="宋体" w:eastAsia="宋体" w:cs="宋体"/>
          <w:b/>
          <w:color w:val="auto"/>
          <w:sz w:val="30"/>
          <w:szCs w:val="30"/>
          <w:highlight w:val="none"/>
        </w:rPr>
        <w:t>法定代表人及其授权代表身份证</w:t>
      </w:r>
      <w:r>
        <w:rPr>
          <w:rFonts w:hint="eastAsia" w:ascii="宋体" w:hAnsi="宋体" w:eastAsia="宋体" w:cs="宋体"/>
          <w:b/>
          <w:color w:val="auto"/>
          <w:sz w:val="30"/>
          <w:szCs w:val="30"/>
          <w:highlight w:val="none"/>
          <w:lang w:eastAsia="zh-CN"/>
        </w:rPr>
        <w:t>扫描</w:t>
      </w:r>
      <w:r>
        <w:rPr>
          <w:rFonts w:hint="eastAsia" w:ascii="宋体" w:hAnsi="宋体" w:eastAsia="宋体" w:cs="宋体"/>
          <w:b/>
          <w:color w:val="auto"/>
          <w:sz w:val="30"/>
          <w:szCs w:val="30"/>
          <w:highlight w:val="none"/>
        </w:rPr>
        <w:t>件（正反面）</w:t>
      </w:r>
    </w:p>
    <w:p w14:paraId="1870102B">
      <w:pPr>
        <w:kinsoku/>
        <w:overflowPunct/>
        <w:topLinePunct w:val="0"/>
        <w:bidi w:val="0"/>
        <w:spacing w:beforeAutospacing="0" w:afterAutospacing="0" w:line="440" w:lineRule="exact"/>
        <w:jc w:val="left"/>
        <w:rPr>
          <w:rFonts w:hint="eastAsia" w:ascii="仿宋" w:hAnsi="仿宋" w:eastAsia="仿宋" w:cs="仿宋"/>
          <w:b/>
          <w:color w:val="auto"/>
          <w:sz w:val="30"/>
          <w:szCs w:val="30"/>
          <w:highlight w:val="none"/>
        </w:rPr>
      </w:pPr>
    </w:p>
    <w:p w14:paraId="642D59EF">
      <w:pPr>
        <w:kinsoku/>
        <w:overflowPunct/>
        <w:topLinePunct w:val="0"/>
        <w:bidi w:val="0"/>
        <w:spacing w:beforeAutospacing="0" w:afterAutospacing="0" w:line="440" w:lineRule="exact"/>
        <w:jc w:val="center"/>
        <w:rPr>
          <w:rFonts w:hint="eastAsia" w:ascii="宋体" w:hAnsi="宋体" w:eastAsia="宋体" w:cs="宋体"/>
          <w:color w:val="auto"/>
          <w:sz w:val="24"/>
          <w:szCs w:val="24"/>
          <w:highlight w:val="none"/>
        </w:rPr>
      </w:pPr>
    </w:p>
    <w:p w14:paraId="60C781A7">
      <w:pPr>
        <w:kinsoku/>
        <w:overflowPunct/>
        <w:topLinePunct w:val="0"/>
        <w:bidi w:val="0"/>
        <w:spacing w:beforeAutospacing="0" w:afterAutospacing="0" w:line="440" w:lineRule="exact"/>
        <w:jc w:val="righ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rPr>
        <w:t>日期：    年   月   日</w:t>
      </w:r>
    </w:p>
    <w:p w14:paraId="4BBB7028">
      <w:pPr>
        <w:keepNext w:val="0"/>
        <w:keepLines w:val="0"/>
        <w:pageBreakBefore/>
        <w:widowControl w:val="0"/>
        <w:kinsoku/>
        <w:wordWrap/>
        <w:overflowPunct/>
        <w:topLinePunct w:val="0"/>
        <w:autoSpaceDE/>
        <w:autoSpaceDN/>
        <w:bidi w:val="0"/>
        <w:adjustRightInd/>
        <w:snapToGrid/>
        <w:spacing w:after="120"/>
        <w:jc w:val="center"/>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法定代表人身份证明(格式)</w:t>
      </w:r>
    </w:p>
    <w:p w14:paraId="58663F59">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4ADAF20B">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2956CB5C">
      <w:pPr>
        <w:kinsoku/>
        <w:overflowPunct/>
        <w:topLinePunct w:val="0"/>
        <w:bidi w:val="0"/>
        <w:spacing w:beforeAutospacing="0" w:afterAutospacing="0" w:line="720" w:lineRule="auto"/>
        <w:ind w:right="281" w:rightChars="13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14:paraId="4C41DB18">
      <w:pPr>
        <w:kinsoku/>
        <w:overflowPunct/>
        <w:topLinePunct w:val="0"/>
        <w:bidi w:val="0"/>
        <w:spacing w:beforeAutospacing="0" w:afterAutospacing="0" w:line="720" w:lineRule="auto"/>
        <w:ind w:right="281" w:rightChars="13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85D3F57">
      <w:pPr>
        <w:kinsoku/>
        <w:overflowPunct/>
        <w:topLinePunct w:val="0"/>
        <w:bidi w:val="0"/>
        <w:spacing w:beforeAutospacing="0" w:afterAutospacing="0" w:line="720" w:lineRule="auto"/>
        <w:ind w:right="281" w:rightChars="1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06309B0C">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（填写投标人名称）</w:t>
      </w:r>
      <w:r>
        <w:rPr>
          <w:rFonts w:hint="eastAsia" w:ascii="宋体" w:hAnsi="宋体" w:eastAsia="宋体" w:cs="宋体"/>
          <w:color w:val="auto"/>
          <w:sz w:val="24"/>
          <w:szCs w:val="24"/>
          <w:highlight w:val="none"/>
        </w:rPr>
        <w:t>的法定代表人。</w:t>
      </w:r>
    </w:p>
    <w:p w14:paraId="46C212E1">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010E13C">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p>
    <w:p w14:paraId="1453D17D">
      <w:pPr>
        <w:kinsoku/>
        <w:overflowPunct/>
        <w:topLinePunct w:val="0"/>
        <w:bidi w:val="0"/>
        <w:spacing w:beforeAutospacing="0" w:afterAutospacing="0" w:line="440" w:lineRule="exact"/>
        <w:jc w:val="righ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 xml:space="preserve">（电子签章）：                             </w:t>
      </w:r>
    </w:p>
    <w:p w14:paraId="4D435F11">
      <w:pPr>
        <w:kinsoku/>
        <w:overflowPunct/>
        <w:topLinePunct w:val="0"/>
        <w:bidi w:val="0"/>
        <w:spacing w:beforeAutospacing="0" w:afterAutospacing="0" w:line="440" w:lineRule="exact"/>
        <w:ind w:right="480"/>
        <w:rPr>
          <w:rFonts w:hint="eastAsia" w:ascii="宋体" w:hAnsi="宋体" w:eastAsia="宋体" w:cs="宋体"/>
          <w:color w:val="auto"/>
          <w:sz w:val="24"/>
          <w:szCs w:val="24"/>
          <w:highlight w:val="none"/>
        </w:rPr>
      </w:pPr>
    </w:p>
    <w:p w14:paraId="20D73CCE">
      <w:pPr>
        <w:kinsoku/>
        <w:overflowPunct/>
        <w:topLinePunct w:val="0"/>
        <w:bidi w:val="0"/>
        <w:spacing w:beforeAutospacing="0" w:afterAutospacing="0" w:line="440" w:lineRule="exact"/>
        <w:ind w:right="7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rPr>
        <w:t>年   月   日</w:t>
      </w:r>
    </w:p>
    <w:p w14:paraId="17445172">
      <w:pPr>
        <w:rPr>
          <w:rFonts w:hint="eastAsia" w:ascii="宋体" w:hAnsi="宋体" w:eastAsia="宋体" w:cs="宋体"/>
          <w:b/>
          <w:color w:val="auto"/>
          <w:sz w:val="32"/>
          <w:szCs w:val="32"/>
          <w:highlight w:val="none"/>
        </w:rPr>
      </w:pPr>
      <w:r>
        <w:rPr>
          <w:rFonts w:hint="eastAsia" w:ascii="宋体" w:hAnsi="宋体" w:cs="宋体"/>
          <w:b/>
          <w:color w:val="auto"/>
          <w:sz w:val="30"/>
          <w:szCs w:val="30"/>
          <w:highlight w:val="none"/>
          <w:lang w:eastAsia="zh-CN"/>
        </w:rPr>
        <w:t>附：</w:t>
      </w:r>
      <w:r>
        <w:rPr>
          <w:rFonts w:hint="eastAsia" w:ascii="宋体" w:hAnsi="宋体" w:eastAsia="宋体" w:cs="宋体"/>
          <w:b/>
          <w:color w:val="auto"/>
          <w:sz w:val="30"/>
          <w:szCs w:val="30"/>
          <w:highlight w:val="none"/>
        </w:rPr>
        <w:t>法定代表人身份证</w:t>
      </w:r>
      <w:r>
        <w:rPr>
          <w:rFonts w:hint="eastAsia" w:ascii="宋体" w:hAnsi="宋体" w:eastAsia="宋体" w:cs="宋体"/>
          <w:b/>
          <w:color w:val="auto"/>
          <w:sz w:val="30"/>
          <w:szCs w:val="30"/>
          <w:highlight w:val="none"/>
          <w:lang w:eastAsia="zh-CN"/>
        </w:rPr>
        <w:t>扫描</w:t>
      </w:r>
      <w:r>
        <w:rPr>
          <w:rFonts w:hint="eastAsia" w:ascii="宋体" w:hAnsi="宋体" w:eastAsia="宋体" w:cs="宋体"/>
          <w:b/>
          <w:color w:val="auto"/>
          <w:sz w:val="30"/>
          <w:szCs w:val="30"/>
          <w:highlight w:val="none"/>
        </w:rPr>
        <w:t>件（正反面）</w:t>
      </w:r>
    </w:p>
    <w:p w14:paraId="5CAFDAC5">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bookmarkEnd w:id="137"/>
    <w:bookmarkEnd w:id="138"/>
    <w:bookmarkEnd w:id="139"/>
    <w:bookmarkEnd w:id="140"/>
    <w:bookmarkEnd w:id="141"/>
    <w:bookmarkEnd w:id="142"/>
    <w:bookmarkEnd w:id="143"/>
    <w:bookmarkEnd w:id="144"/>
    <w:p w14:paraId="2CDA039A">
      <w:pPr>
        <w:widowControl w:val="0"/>
        <w:spacing w:line="360" w:lineRule="auto"/>
        <w:jc w:val="center"/>
        <w:rPr>
          <w:rFonts w:ascii="宋体" w:hAnsi="宋体" w:eastAsia="宋体" w:cs="宋体"/>
          <w:b/>
          <w:color w:val="auto"/>
          <w:kern w:val="2"/>
          <w:sz w:val="32"/>
          <w:szCs w:val="32"/>
          <w:highlight w:val="none"/>
          <w:lang w:val="en-US" w:eastAsia="zh-CN" w:bidi="ar-SA"/>
        </w:rPr>
      </w:pPr>
      <w:bookmarkStart w:id="147" w:name="_Toc14297"/>
      <w:bookmarkStart w:id="148" w:name="_Toc5320"/>
      <w:bookmarkStart w:id="149" w:name="_Toc20172"/>
      <w:bookmarkStart w:id="150" w:name="_Toc11379"/>
      <w:bookmarkStart w:id="151" w:name="_Toc4427"/>
      <w:bookmarkStart w:id="152" w:name="_Toc5966"/>
      <w:r>
        <w:rPr>
          <w:rFonts w:hint="eastAsia" w:ascii="宋体" w:hAnsi="宋体" w:cs="宋体"/>
          <w:b/>
          <w:color w:val="auto"/>
          <w:kern w:val="2"/>
          <w:sz w:val="32"/>
          <w:szCs w:val="32"/>
          <w:highlight w:val="none"/>
          <w:lang w:val="en-US" w:eastAsia="zh-CN" w:bidi="ar-SA"/>
        </w:rPr>
        <w:t>四</w:t>
      </w:r>
      <w:r>
        <w:rPr>
          <w:rFonts w:hint="eastAsia" w:ascii="宋体" w:hAnsi="宋体" w:eastAsia="宋体" w:cs="宋体"/>
          <w:b/>
          <w:color w:val="auto"/>
          <w:kern w:val="2"/>
          <w:sz w:val="32"/>
          <w:szCs w:val="32"/>
          <w:highlight w:val="none"/>
          <w:lang w:val="en-US" w:eastAsia="zh-CN" w:bidi="ar-SA"/>
        </w:rPr>
        <w:t>、证书一览表</w:t>
      </w:r>
    </w:p>
    <w:tbl>
      <w:tblPr>
        <w:tblStyle w:val="47"/>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55457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bottom w:val="single" w:color="auto" w:sz="4" w:space="0"/>
            </w:tcBorders>
            <w:vAlign w:val="center"/>
          </w:tcPr>
          <w:p w14:paraId="44FF90A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证书名称</w:t>
            </w:r>
          </w:p>
        </w:tc>
        <w:tc>
          <w:tcPr>
            <w:tcW w:w="2258" w:type="dxa"/>
            <w:tcBorders>
              <w:top w:val="single" w:color="auto" w:sz="4" w:space="0"/>
              <w:bottom w:val="single" w:color="auto" w:sz="4" w:space="0"/>
            </w:tcBorders>
            <w:vAlign w:val="center"/>
          </w:tcPr>
          <w:p w14:paraId="7771D23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发证单位</w:t>
            </w:r>
          </w:p>
        </w:tc>
        <w:tc>
          <w:tcPr>
            <w:tcW w:w="2260" w:type="dxa"/>
            <w:tcBorders>
              <w:top w:val="single" w:color="auto" w:sz="4" w:space="0"/>
              <w:bottom w:val="single" w:color="auto" w:sz="4" w:space="0"/>
            </w:tcBorders>
            <w:vAlign w:val="center"/>
          </w:tcPr>
          <w:p w14:paraId="2FF8406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证书等级</w:t>
            </w:r>
          </w:p>
        </w:tc>
        <w:tc>
          <w:tcPr>
            <w:tcW w:w="2047" w:type="dxa"/>
            <w:tcBorders>
              <w:top w:val="single" w:color="auto" w:sz="4" w:space="0"/>
              <w:bottom w:val="single" w:color="auto" w:sz="4" w:space="0"/>
              <w:right w:val="single" w:color="auto" w:sz="4" w:space="0"/>
            </w:tcBorders>
            <w:vAlign w:val="center"/>
          </w:tcPr>
          <w:p w14:paraId="6E06B39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证书有效期</w:t>
            </w:r>
          </w:p>
        </w:tc>
      </w:tr>
      <w:tr w14:paraId="4703BD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tcBorders>
            <w:vAlign w:val="center"/>
          </w:tcPr>
          <w:p w14:paraId="2CE79D4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tcBorders>
              <w:top w:val="single" w:color="auto" w:sz="4" w:space="0"/>
            </w:tcBorders>
            <w:vAlign w:val="center"/>
          </w:tcPr>
          <w:p w14:paraId="1C433EB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tcBorders>
              <w:top w:val="single" w:color="auto" w:sz="4" w:space="0"/>
            </w:tcBorders>
            <w:vAlign w:val="center"/>
          </w:tcPr>
          <w:p w14:paraId="793F470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top w:val="single" w:color="auto" w:sz="4" w:space="0"/>
              <w:right w:val="single" w:color="auto" w:sz="4" w:space="0"/>
            </w:tcBorders>
            <w:vAlign w:val="center"/>
          </w:tcPr>
          <w:p w14:paraId="4AAFDF8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5F0DB0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73646BE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17F3C2A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10B5172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793F2C8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74C801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417CEE2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7CD9C21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23E5CC9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145905A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199420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7FBA0EA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70AF10A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11F8FC0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6B6B295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4BA747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42839FF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59932C9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0BA6FDB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6F08C6C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719C84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7BA2336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2C1BBAC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72726D0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2A0871D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6A7CE8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bottom w:val="single" w:color="auto" w:sz="4" w:space="0"/>
            </w:tcBorders>
            <w:vAlign w:val="center"/>
          </w:tcPr>
          <w:p w14:paraId="17E512D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tcBorders>
              <w:bottom w:val="single" w:color="auto" w:sz="4" w:space="0"/>
            </w:tcBorders>
            <w:vAlign w:val="center"/>
          </w:tcPr>
          <w:p w14:paraId="54D7BFA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tcBorders>
              <w:bottom w:val="single" w:color="auto" w:sz="4" w:space="0"/>
            </w:tcBorders>
            <w:vAlign w:val="center"/>
          </w:tcPr>
          <w:p w14:paraId="304F1E5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bottom w:val="single" w:color="auto" w:sz="4" w:space="0"/>
              <w:right w:val="single" w:color="auto" w:sz="4" w:space="0"/>
            </w:tcBorders>
            <w:vAlign w:val="center"/>
          </w:tcPr>
          <w:p w14:paraId="4AACBB1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bl>
    <w:p w14:paraId="79D41FCD">
      <w:pPr>
        <w:widowControl w:val="0"/>
        <w:tabs>
          <w:tab w:val="left" w:pos="1050"/>
        </w:tabs>
        <w:spacing w:line="360" w:lineRule="auto"/>
        <w:jc w:val="both"/>
        <w:rPr>
          <w:rFonts w:ascii="宋体" w:hAnsi="宋体" w:eastAsia="宋体" w:cs="宋体"/>
          <w:color w:val="auto"/>
          <w:kern w:val="2"/>
          <w:sz w:val="24"/>
          <w:szCs w:val="24"/>
          <w:highlight w:val="none"/>
          <w:lang w:val="en-US" w:eastAsia="zh-CN" w:bidi="ar-SA"/>
        </w:rPr>
      </w:pPr>
    </w:p>
    <w:p w14:paraId="5CF54B94">
      <w:pPr>
        <w:widowControl w:val="0"/>
        <w:tabs>
          <w:tab w:val="left" w:pos="1050"/>
        </w:tabs>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要求：</w:t>
      </w:r>
    </w:p>
    <w:p w14:paraId="1B7138CA">
      <w:pPr>
        <w:widowControl w:val="0"/>
        <w:tabs>
          <w:tab w:val="left" w:pos="1050"/>
        </w:tabs>
        <w:spacing w:line="360" w:lineRule="auto"/>
        <w:ind w:firstLine="484" w:firstLineChars="202"/>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1.根据评分标准要求填写投标供应商获得的资质、认证或企业信誉证书等；</w:t>
      </w:r>
    </w:p>
    <w:p w14:paraId="73D8BCBA">
      <w:pPr>
        <w:widowControl w:val="0"/>
        <w:tabs>
          <w:tab w:val="left" w:pos="1050"/>
        </w:tabs>
        <w:spacing w:line="360" w:lineRule="auto"/>
        <w:ind w:firstLine="484" w:firstLineChars="202"/>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2.附所列证书扫描件或影印件或其他证明材料。</w:t>
      </w:r>
    </w:p>
    <w:p w14:paraId="369EDB29">
      <w:pPr>
        <w:spacing w:line="360" w:lineRule="auto"/>
        <w:jc w:val="left"/>
        <w:rPr>
          <w:rFonts w:ascii="宋体" w:hAnsi="宋体" w:eastAsia="宋体" w:cs="宋体"/>
          <w:color w:val="auto"/>
          <w:sz w:val="24"/>
          <w:szCs w:val="24"/>
          <w:highlight w:val="none"/>
        </w:rPr>
      </w:pPr>
    </w:p>
    <w:p w14:paraId="45904613">
      <w:pPr>
        <w:spacing w:line="360" w:lineRule="auto"/>
        <w:jc w:val="left"/>
        <w:rPr>
          <w:rFonts w:ascii="宋体" w:hAnsi="宋体" w:eastAsia="宋体" w:cs="宋体"/>
          <w:color w:val="auto"/>
          <w:sz w:val="24"/>
          <w:szCs w:val="24"/>
          <w:highlight w:val="none"/>
        </w:rPr>
      </w:pPr>
    </w:p>
    <w:p w14:paraId="7FE11329">
      <w:pPr>
        <w:tabs>
          <w:tab w:val="left" w:pos="312"/>
        </w:tabs>
        <w:spacing w:line="48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61CDC7D3">
      <w:pPr>
        <w:spacing w:line="480" w:lineRule="auto"/>
        <w:ind w:firstLine="424" w:firstLineChars="177"/>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513B46BE">
      <w:pPr>
        <w:spacing w:line="480" w:lineRule="auto"/>
        <w:ind w:firstLine="435"/>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3C8672C">
      <w:pPr>
        <w:spacing w:after="100" w:afterAutospacing="1" w:line="360" w:lineRule="auto"/>
        <w:jc w:val="center"/>
        <w:outlineLvl w:val="0"/>
        <w:rPr>
          <w:rFonts w:ascii="宋体" w:hAnsi="宋体" w:eastAsia="宋体" w:cs="宋体"/>
          <w:b/>
          <w:color w:val="auto"/>
          <w:sz w:val="32"/>
          <w:szCs w:val="32"/>
          <w:highlight w:val="none"/>
        </w:rPr>
      </w:pPr>
    </w:p>
    <w:p w14:paraId="083163DE">
      <w:pPr>
        <w:pageBreakBefore/>
        <w:spacing w:after="100" w:afterAutospacing="1" w:line="360" w:lineRule="auto"/>
        <w:jc w:val="center"/>
        <w:outlineLvl w:val="0"/>
        <w:rPr>
          <w:rFonts w:ascii="宋体" w:hAnsi="宋体" w:eastAsia="宋体" w:cs="宋体"/>
          <w:b/>
          <w:color w:val="auto"/>
          <w:sz w:val="32"/>
          <w:szCs w:val="32"/>
          <w:highlight w:val="none"/>
        </w:rPr>
      </w:pPr>
      <w:bookmarkStart w:id="153" w:name="_Toc1403"/>
      <w:bookmarkStart w:id="154" w:name="_Toc29674"/>
      <w:bookmarkStart w:id="155" w:name="_Toc30960"/>
      <w:bookmarkStart w:id="156" w:name="_Toc27903"/>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、技术</w:t>
      </w:r>
      <w:r>
        <w:rPr>
          <w:rFonts w:hint="eastAsia" w:ascii="宋体" w:hAnsi="宋体" w:cs="宋体"/>
          <w:b/>
          <w:color w:val="auto"/>
          <w:sz w:val="32"/>
          <w:szCs w:val="32"/>
          <w:highlight w:val="none"/>
          <w:lang w:eastAsia="zh-CN"/>
        </w:rPr>
        <w:t>条款</w:t>
      </w:r>
      <w:r>
        <w:rPr>
          <w:rFonts w:hint="eastAsia" w:ascii="宋体" w:hAnsi="宋体" w:eastAsia="宋体" w:cs="宋体"/>
          <w:b/>
          <w:color w:val="auto"/>
          <w:sz w:val="32"/>
          <w:szCs w:val="32"/>
          <w:highlight w:val="none"/>
        </w:rPr>
        <w:t>偏离表</w:t>
      </w:r>
      <w:bookmarkEnd w:id="147"/>
      <w:bookmarkEnd w:id="148"/>
      <w:bookmarkEnd w:id="149"/>
      <w:bookmarkEnd w:id="150"/>
      <w:bookmarkEnd w:id="151"/>
      <w:bookmarkEnd w:id="152"/>
      <w:bookmarkEnd w:id="153"/>
      <w:bookmarkEnd w:id="154"/>
      <w:bookmarkEnd w:id="155"/>
      <w:bookmarkEnd w:id="156"/>
    </w:p>
    <w:p w14:paraId="6C01B709">
      <w:pPr>
        <w:spacing w:after="100" w:afterAutospacing="1" w:line="360" w:lineRule="auto"/>
        <w:outlineLvl w:val="0"/>
        <w:rPr>
          <w:rFonts w:ascii="宋体" w:hAnsi="宋体" w:eastAsia="宋体" w:cs="宋体"/>
          <w:color w:val="auto"/>
          <w:sz w:val="24"/>
          <w:szCs w:val="24"/>
          <w:highlight w:val="none"/>
        </w:rPr>
      </w:pPr>
      <w:bookmarkStart w:id="157" w:name="_Toc24291"/>
      <w:bookmarkStart w:id="158" w:name="_Toc2748"/>
      <w:bookmarkStart w:id="159" w:name="_Toc9730"/>
      <w:bookmarkStart w:id="160" w:name="_Toc26286"/>
      <w:r>
        <w:rPr>
          <w:rFonts w:hint="eastAsia" w:ascii="宋体" w:hAnsi="宋体" w:eastAsia="宋体" w:cs="宋体"/>
          <w:color w:val="auto"/>
          <w:sz w:val="24"/>
          <w:szCs w:val="24"/>
          <w:highlight w:val="none"/>
        </w:rPr>
        <w:t>项目编号：                                                 项目名称：</w:t>
      </w:r>
      <w:bookmarkEnd w:id="157"/>
      <w:bookmarkEnd w:id="158"/>
      <w:bookmarkEnd w:id="159"/>
      <w:bookmarkEnd w:id="160"/>
    </w:p>
    <w:tbl>
      <w:tblPr>
        <w:tblStyle w:val="47"/>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3768"/>
        <w:gridCol w:w="3768"/>
        <w:gridCol w:w="995"/>
      </w:tblGrid>
      <w:tr w14:paraId="3741BC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1DE027B2">
            <w:pPr>
              <w:keepNext w:val="0"/>
              <w:keepLines w:val="0"/>
              <w:widowControl w:val="0"/>
              <w:suppressLineNumbers w:val="0"/>
              <w:spacing w:before="0" w:beforeAutospacing="0" w:after="0" w:afterAutospacing="0" w:line="340" w:lineRule="exact"/>
              <w:ind w:left="0" w:right="0" w:firstLine="120" w:firstLineChars="50"/>
              <w:contextualSpacing/>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3768" w:type="dxa"/>
            <w:tcBorders>
              <w:top w:val="single" w:color="auto" w:sz="4" w:space="0"/>
              <w:bottom w:val="single" w:color="auto" w:sz="4" w:space="0"/>
            </w:tcBorders>
            <w:tcMar>
              <w:left w:w="0" w:type="dxa"/>
              <w:right w:w="0" w:type="dxa"/>
            </w:tcMar>
            <w:vAlign w:val="center"/>
          </w:tcPr>
          <w:p w14:paraId="58EFC66E">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《采购文件》中的技术要求</w:t>
            </w:r>
          </w:p>
        </w:tc>
        <w:tc>
          <w:tcPr>
            <w:tcW w:w="3768" w:type="dxa"/>
            <w:tcBorders>
              <w:top w:val="single" w:color="auto" w:sz="4" w:space="0"/>
              <w:bottom w:val="single" w:color="auto" w:sz="4" w:space="0"/>
            </w:tcBorders>
            <w:tcMar>
              <w:left w:w="0" w:type="dxa"/>
              <w:right w:w="0" w:type="dxa"/>
            </w:tcMar>
            <w:vAlign w:val="center"/>
          </w:tcPr>
          <w:p w14:paraId="4A9DFEE0">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《投标文件》技术条款响应</w:t>
            </w:r>
          </w:p>
        </w:tc>
        <w:tc>
          <w:tcPr>
            <w:tcW w:w="995" w:type="dxa"/>
            <w:tcBorders>
              <w:top w:val="single" w:color="auto" w:sz="4" w:space="0"/>
              <w:bottom w:val="single" w:color="auto" w:sz="4" w:space="0"/>
            </w:tcBorders>
            <w:tcMar>
              <w:left w:w="0" w:type="dxa"/>
              <w:right w:w="0" w:type="dxa"/>
            </w:tcMar>
            <w:vAlign w:val="center"/>
          </w:tcPr>
          <w:p w14:paraId="0A004F72">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tc>
      </w:tr>
      <w:tr w14:paraId="616820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1E31F3E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68" w:type="dxa"/>
            <w:tcBorders>
              <w:top w:val="single" w:color="auto" w:sz="4" w:space="0"/>
            </w:tcBorders>
            <w:tcMar>
              <w:left w:w="0" w:type="dxa"/>
              <w:right w:w="0" w:type="dxa"/>
            </w:tcMar>
            <w:vAlign w:val="center"/>
          </w:tcPr>
          <w:p w14:paraId="192BA4F0">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Borders>
              <w:top w:val="single" w:color="auto" w:sz="4" w:space="0"/>
            </w:tcBorders>
            <w:tcMar>
              <w:left w:w="0" w:type="dxa"/>
              <w:right w:w="0" w:type="dxa"/>
            </w:tcMar>
            <w:vAlign w:val="center"/>
          </w:tcPr>
          <w:p w14:paraId="3BD0618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Borders>
              <w:top w:val="single" w:color="auto" w:sz="4" w:space="0"/>
            </w:tcBorders>
            <w:tcMar>
              <w:left w:w="0" w:type="dxa"/>
              <w:right w:w="0" w:type="dxa"/>
            </w:tcMar>
            <w:vAlign w:val="center"/>
          </w:tcPr>
          <w:p w14:paraId="424F4CF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3DC85B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8BD423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768" w:type="dxa"/>
            <w:tcMar>
              <w:left w:w="0" w:type="dxa"/>
              <w:right w:w="0" w:type="dxa"/>
            </w:tcMar>
            <w:vAlign w:val="center"/>
          </w:tcPr>
          <w:p w14:paraId="0CDEEC7D">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63E0958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03F5747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1B341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3333AD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768" w:type="dxa"/>
            <w:tcMar>
              <w:left w:w="0" w:type="dxa"/>
              <w:right w:w="0" w:type="dxa"/>
            </w:tcMar>
            <w:vAlign w:val="center"/>
          </w:tcPr>
          <w:p w14:paraId="71E9820E">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1FF7306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1C8FE5BD">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147548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FCF3C6E">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768" w:type="dxa"/>
            <w:tcMar>
              <w:left w:w="0" w:type="dxa"/>
              <w:right w:w="0" w:type="dxa"/>
            </w:tcMar>
            <w:vAlign w:val="center"/>
          </w:tcPr>
          <w:p w14:paraId="033F8B0B">
            <w:pPr>
              <w:keepNext w:val="0"/>
              <w:keepLines w:val="0"/>
              <w:suppressLineNumbers w:val="0"/>
              <w:tabs>
                <w:tab w:val="left" w:pos="851"/>
              </w:tabs>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02BE96C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3727CC8A">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12B2E2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28E0B1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768" w:type="dxa"/>
            <w:tcMar>
              <w:left w:w="0" w:type="dxa"/>
              <w:right w:w="0" w:type="dxa"/>
            </w:tcMar>
            <w:vAlign w:val="center"/>
          </w:tcPr>
          <w:p w14:paraId="452454DB">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336337C4">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5B251B05">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026332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FDDA0DC">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768" w:type="dxa"/>
            <w:tcMar>
              <w:left w:w="0" w:type="dxa"/>
              <w:right w:w="0" w:type="dxa"/>
            </w:tcMar>
            <w:vAlign w:val="center"/>
          </w:tcPr>
          <w:p w14:paraId="1180B8D8">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68" w:type="dxa"/>
            <w:tcMar>
              <w:left w:w="0" w:type="dxa"/>
              <w:right w:w="0" w:type="dxa"/>
            </w:tcMar>
            <w:vAlign w:val="center"/>
          </w:tcPr>
          <w:p w14:paraId="59537AA1">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7DC6DC9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219166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64501D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768" w:type="dxa"/>
            <w:tcMar>
              <w:left w:w="0" w:type="dxa"/>
              <w:right w:w="0" w:type="dxa"/>
            </w:tcMar>
            <w:vAlign w:val="center"/>
          </w:tcPr>
          <w:p w14:paraId="392396D3">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33A6A4F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1424A6EA">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411F7F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75E85AE">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768" w:type="dxa"/>
            <w:tcMar>
              <w:left w:w="0" w:type="dxa"/>
              <w:right w:w="0" w:type="dxa"/>
            </w:tcMar>
            <w:vAlign w:val="center"/>
          </w:tcPr>
          <w:p w14:paraId="31A8EF9B">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5FCEDB4D">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6BA1FAD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6F907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462D53C">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768" w:type="dxa"/>
            <w:tcMar>
              <w:left w:w="0" w:type="dxa"/>
              <w:right w:w="0" w:type="dxa"/>
            </w:tcMar>
            <w:vAlign w:val="center"/>
          </w:tcPr>
          <w:p w14:paraId="57629103">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2C58EE2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42E4C73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534F0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450E3A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768" w:type="dxa"/>
            <w:tcMar>
              <w:left w:w="0" w:type="dxa"/>
              <w:right w:w="0" w:type="dxa"/>
            </w:tcMar>
            <w:vAlign w:val="center"/>
          </w:tcPr>
          <w:p w14:paraId="2DA84FE2">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5455B16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46C11F4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10FC31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69A97D9">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68" w:type="dxa"/>
            <w:tcMar>
              <w:left w:w="0" w:type="dxa"/>
              <w:right w:w="0" w:type="dxa"/>
            </w:tcMar>
            <w:vAlign w:val="center"/>
          </w:tcPr>
          <w:p w14:paraId="222CE303">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1CE8ED0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2D9E79B6">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bl>
    <w:p w14:paraId="4DE7565B">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14:paraId="0C4769CC">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1、列明采购文件的技术要求与投标文件对应响应，并说明偏离状况（正偏离或负偏离）；</w:t>
      </w:r>
    </w:p>
    <w:p w14:paraId="2BA11EEF">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2、无偏离应在本表“说明”处醒目地注明“无条款偏离”的字样。</w:t>
      </w:r>
    </w:p>
    <w:p w14:paraId="40274574">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3、本表格供参考，投标人可根据项目实际情况自拟（增减）表格。</w:t>
      </w:r>
    </w:p>
    <w:p w14:paraId="0CD6AF6A">
      <w:pPr>
        <w:tabs>
          <w:tab w:val="left" w:pos="312"/>
        </w:tabs>
        <w:spacing w:line="48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197C9A94">
      <w:pPr>
        <w:spacing w:line="480" w:lineRule="auto"/>
        <w:ind w:firstLine="424" w:firstLineChars="177"/>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6F1C6C5D">
      <w:pPr>
        <w:spacing w:line="480" w:lineRule="auto"/>
        <w:ind w:firstLine="435"/>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6CAB3A88">
      <w:pPr>
        <w:pageBreakBefore/>
        <w:spacing w:after="100" w:afterAutospacing="1" w:line="240" w:lineRule="auto"/>
        <w:jc w:val="center"/>
        <w:outlineLvl w:val="0"/>
        <w:rPr>
          <w:rFonts w:ascii="宋体" w:hAnsi="宋体" w:eastAsia="宋体" w:cs="宋体"/>
          <w:b/>
          <w:color w:val="auto"/>
          <w:sz w:val="32"/>
          <w:szCs w:val="32"/>
          <w:highlight w:val="none"/>
        </w:rPr>
      </w:pPr>
      <w:bookmarkStart w:id="161" w:name="_Toc18229"/>
      <w:bookmarkStart w:id="162" w:name="_Toc9606"/>
      <w:bookmarkStart w:id="163" w:name="_Toc1146"/>
      <w:bookmarkStart w:id="164" w:name="_Toc7232"/>
      <w:bookmarkStart w:id="165" w:name="_Toc27833"/>
      <w:bookmarkStart w:id="166" w:name="_Toc4688"/>
      <w:bookmarkStart w:id="167" w:name="_Toc9701"/>
      <w:bookmarkStart w:id="168" w:name="_Toc22735"/>
      <w:bookmarkStart w:id="169" w:name="_Toc3100"/>
      <w:bookmarkStart w:id="170" w:name="_Toc14058"/>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、商务</w:t>
      </w:r>
      <w:r>
        <w:rPr>
          <w:rFonts w:hint="eastAsia" w:ascii="宋体" w:hAnsi="宋体" w:cs="宋体"/>
          <w:b/>
          <w:color w:val="auto"/>
          <w:sz w:val="32"/>
          <w:szCs w:val="32"/>
          <w:highlight w:val="none"/>
          <w:lang w:eastAsia="zh-CN"/>
        </w:rPr>
        <w:t>条款</w:t>
      </w:r>
      <w:r>
        <w:rPr>
          <w:rFonts w:hint="eastAsia" w:ascii="宋体" w:hAnsi="宋体" w:eastAsia="宋体" w:cs="宋体"/>
          <w:b/>
          <w:color w:val="auto"/>
          <w:sz w:val="32"/>
          <w:szCs w:val="32"/>
          <w:highlight w:val="none"/>
        </w:rPr>
        <w:t>偏离表</w:t>
      </w:r>
      <w:bookmarkEnd w:id="161"/>
      <w:bookmarkEnd w:id="162"/>
      <w:bookmarkEnd w:id="163"/>
      <w:bookmarkEnd w:id="164"/>
      <w:bookmarkEnd w:id="165"/>
      <w:bookmarkEnd w:id="166"/>
      <w:bookmarkEnd w:id="167"/>
      <w:bookmarkEnd w:id="168"/>
      <w:bookmarkEnd w:id="169"/>
      <w:bookmarkEnd w:id="170"/>
    </w:p>
    <w:p w14:paraId="53D4124B">
      <w:pPr>
        <w:widowControl w:val="0"/>
        <w:tabs>
          <w:tab w:val="right" w:pos="8847"/>
        </w:tabs>
        <w:spacing w:line="240" w:lineRule="auto"/>
        <w:ind w:left="479" w:leftChars="228" w:firstLine="0"/>
        <w:jc w:val="left"/>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项目编号：                                         项目名称：</w:t>
      </w:r>
    </w:p>
    <w:tbl>
      <w:tblPr>
        <w:tblStyle w:val="47"/>
        <w:tblW w:w="940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4804"/>
        <w:gridCol w:w="2880"/>
        <w:gridCol w:w="1007"/>
      </w:tblGrid>
      <w:tr w14:paraId="6EBF38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5E112B19">
            <w:pPr>
              <w:keepNext w:val="0"/>
              <w:keepLines w:val="0"/>
              <w:widowControl w:val="0"/>
              <w:suppressLineNumbers w:val="0"/>
              <w:spacing w:before="0" w:beforeAutospacing="0" w:after="0" w:afterAutospacing="0" w:line="340" w:lineRule="exact"/>
              <w:ind w:left="0" w:right="0" w:firstLine="120" w:firstLineChars="50"/>
              <w:contextualSpacing/>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4804" w:type="dxa"/>
            <w:tcBorders>
              <w:top w:val="single" w:color="auto" w:sz="4" w:space="0"/>
              <w:bottom w:val="single" w:color="auto" w:sz="4" w:space="0"/>
            </w:tcBorders>
            <w:tcMar>
              <w:left w:w="0" w:type="dxa"/>
              <w:right w:w="0" w:type="dxa"/>
            </w:tcMar>
            <w:vAlign w:val="center"/>
          </w:tcPr>
          <w:p w14:paraId="4CDFF550">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《采购文件》商务条款要求</w:t>
            </w:r>
          </w:p>
        </w:tc>
        <w:tc>
          <w:tcPr>
            <w:tcW w:w="2880" w:type="dxa"/>
            <w:tcBorders>
              <w:top w:val="single" w:color="auto" w:sz="4" w:space="0"/>
              <w:bottom w:val="single" w:color="auto" w:sz="4" w:space="0"/>
            </w:tcBorders>
            <w:tcMar>
              <w:left w:w="0" w:type="dxa"/>
              <w:right w:w="0" w:type="dxa"/>
            </w:tcMar>
            <w:vAlign w:val="center"/>
          </w:tcPr>
          <w:p w14:paraId="09537D3D">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《投标文件》商务条款响应</w:t>
            </w:r>
          </w:p>
        </w:tc>
        <w:tc>
          <w:tcPr>
            <w:tcW w:w="1007" w:type="dxa"/>
            <w:tcBorders>
              <w:top w:val="single" w:color="auto" w:sz="4" w:space="0"/>
              <w:bottom w:val="single" w:color="auto" w:sz="4" w:space="0"/>
            </w:tcBorders>
            <w:tcMar>
              <w:left w:w="0" w:type="dxa"/>
              <w:right w:w="0" w:type="dxa"/>
            </w:tcMar>
            <w:vAlign w:val="center"/>
          </w:tcPr>
          <w:p w14:paraId="0883FA48">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tc>
      </w:tr>
      <w:tr w14:paraId="0C37F0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18A884AF">
            <w:pPr>
              <w:keepNext w:val="0"/>
              <w:keepLines w:val="0"/>
              <w:suppressLineNumbers w:val="0"/>
              <w:spacing w:before="0" w:beforeAutospacing="0" w:after="0" w:afterAutospacing="0" w:line="340" w:lineRule="exact"/>
              <w:ind w:left="0" w:leftChars="0" w:right="0" w:rightChars="0"/>
              <w:contextualSpacing/>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p>
        </w:tc>
        <w:tc>
          <w:tcPr>
            <w:tcW w:w="4804" w:type="dxa"/>
            <w:tcBorders>
              <w:top w:val="single" w:color="auto" w:sz="4" w:space="0"/>
            </w:tcBorders>
            <w:tcMar>
              <w:left w:w="57" w:type="dxa"/>
              <w:right w:w="57" w:type="dxa"/>
            </w:tcMar>
            <w:vAlign w:val="center"/>
          </w:tcPr>
          <w:p w14:paraId="45A36D09">
            <w:pPr>
              <w:keepNext w:val="0"/>
              <w:keepLines w:val="0"/>
              <w:widowControl w:val="0"/>
              <w:suppressLineNumbers w:val="0"/>
              <w:snapToGrid w:val="0"/>
              <w:spacing w:before="120" w:beforeAutospacing="0" w:after="120" w:afterAutospacing="0" w:line="240" w:lineRule="auto"/>
              <w:ind w:left="0" w:leftChars="0" w:right="0" w:rightChars="0"/>
              <w:jc w:val="both"/>
              <w:outlineLvl w:val="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在收到发票后7个工作日内（如遇休息日或节假日，付款日期顺延）一次性付清剩余款项。</w:t>
            </w:r>
          </w:p>
        </w:tc>
        <w:tc>
          <w:tcPr>
            <w:tcW w:w="2880" w:type="dxa"/>
            <w:tcBorders>
              <w:top w:val="single" w:color="auto" w:sz="4" w:space="0"/>
            </w:tcBorders>
            <w:tcMar>
              <w:left w:w="0" w:type="dxa"/>
              <w:right w:w="0" w:type="dxa"/>
            </w:tcMar>
            <w:vAlign w:val="center"/>
          </w:tcPr>
          <w:p w14:paraId="05480B56">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Borders>
              <w:top w:val="single" w:color="auto" w:sz="4" w:space="0"/>
            </w:tcBorders>
            <w:tcMar>
              <w:left w:w="0" w:type="dxa"/>
              <w:right w:w="0" w:type="dxa"/>
            </w:tcMar>
            <w:vAlign w:val="center"/>
          </w:tcPr>
          <w:p w14:paraId="35A2C32E">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75C16E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67E1A7D">
            <w:pPr>
              <w:keepNext w:val="0"/>
              <w:keepLines w:val="0"/>
              <w:suppressLineNumbers w:val="0"/>
              <w:spacing w:before="0" w:beforeAutospacing="0" w:after="0" w:afterAutospacing="0" w:line="340" w:lineRule="exact"/>
              <w:ind w:left="0" w:leftChars="0" w:right="0" w:rightChars="0"/>
              <w:contextualSpacing/>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p>
        </w:tc>
        <w:tc>
          <w:tcPr>
            <w:tcW w:w="4804" w:type="dxa"/>
            <w:tcMar>
              <w:left w:w="57" w:type="dxa"/>
              <w:right w:w="57" w:type="dxa"/>
            </w:tcMar>
            <w:vAlign w:val="center"/>
          </w:tcPr>
          <w:p w14:paraId="4A0111BF">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FF0000"/>
                <w:kern w:val="2"/>
                <w:sz w:val="24"/>
                <w:szCs w:val="24"/>
                <w:highlight w:val="none"/>
                <w:lang w:val="en-US" w:eastAsia="zh-CN" w:bidi="ar-SA"/>
              </w:rPr>
            </w:pPr>
            <w:r>
              <w:rPr>
                <w:rFonts w:hint="eastAsia" w:asciiTheme="minorEastAsia" w:hAnsiTheme="minorEastAsia" w:eastAsiaTheme="minorEastAsia" w:cstheme="minorEastAsia"/>
                <w:color w:val="FF0000"/>
                <w:kern w:val="2"/>
                <w:sz w:val="24"/>
                <w:szCs w:val="24"/>
                <w:highlight w:val="none"/>
                <w:lang w:val="en-US" w:eastAsia="zh-CN" w:bidi="ar-SA"/>
              </w:rPr>
              <w:t>（1）质保期：整机设备</w:t>
            </w:r>
            <w:r>
              <w:rPr>
                <w:rFonts w:hint="default" w:asciiTheme="minorEastAsia" w:hAnsiTheme="minorEastAsia" w:eastAsiaTheme="minorEastAsia" w:cstheme="minorEastAsia"/>
                <w:color w:val="FF0000"/>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FF0000"/>
                <w:kern w:val="2"/>
                <w:sz w:val="24"/>
                <w:szCs w:val="24"/>
                <w:highlight w:val="none"/>
                <w:u w:val="single"/>
                <w:lang w:val="en-US" w:eastAsia="zh-CN" w:bidi="ar-SA"/>
              </w:rPr>
              <w:t xml:space="preserve">1 </w:t>
            </w:r>
            <w:r>
              <w:rPr>
                <w:rFonts w:hint="default" w:asciiTheme="minorEastAsia" w:hAnsiTheme="minorEastAsia" w:eastAsiaTheme="minorEastAsia" w:cstheme="minorEastAsia"/>
                <w:color w:val="FF0000"/>
                <w:kern w:val="2"/>
                <w:sz w:val="24"/>
                <w:szCs w:val="24"/>
                <w:highlight w:val="none"/>
                <w:u w:val="single"/>
                <w:lang w:val="en-US" w:eastAsia="zh-CN" w:bidi="ar-SA"/>
              </w:rPr>
              <w:t xml:space="preserve"> </w:t>
            </w:r>
            <w:r>
              <w:rPr>
                <w:rFonts w:hint="default" w:asciiTheme="minorEastAsia" w:hAnsiTheme="minorEastAsia" w:eastAsiaTheme="minorEastAsia" w:cstheme="minorEastAsia"/>
                <w:color w:val="FF0000"/>
                <w:kern w:val="2"/>
                <w:sz w:val="24"/>
                <w:szCs w:val="24"/>
                <w:highlight w:val="none"/>
                <w:lang w:val="en-US" w:eastAsia="zh-CN" w:bidi="ar-SA"/>
              </w:rPr>
              <w:t>年</w:t>
            </w:r>
            <w:r>
              <w:rPr>
                <w:rFonts w:hint="eastAsia" w:asciiTheme="minorEastAsia" w:hAnsiTheme="minorEastAsia" w:eastAsiaTheme="minorEastAsia" w:cstheme="minorEastAsia"/>
                <w:color w:val="FF0000"/>
                <w:kern w:val="2"/>
                <w:sz w:val="24"/>
                <w:szCs w:val="24"/>
                <w:highlight w:val="none"/>
                <w:lang w:val="en-US" w:eastAsia="zh-CN" w:bidi="ar-SA"/>
              </w:rPr>
              <w:t>及以上；超微量紫外分光光度计的光源原厂质保10 年</w:t>
            </w:r>
            <w:r>
              <w:rPr>
                <w:rFonts w:hint="default" w:asciiTheme="minorEastAsia" w:hAnsiTheme="minorEastAsia" w:eastAsiaTheme="minorEastAsia" w:cstheme="minorEastAsia"/>
                <w:color w:val="FF0000"/>
                <w:kern w:val="2"/>
                <w:sz w:val="24"/>
                <w:szCs w:val="24"/>
                <w:highlight w:val="none"/>
                <w:lang w:val="en-US" w:eastAsia="zh-CN" w:bidi="ar-SA"/>
              </w:rPr>
              <w:t>；</w:t>
            </w:r>
          </w:p>
          <w:p w14:paraId="3D65435F">
            <w:pPr>
              <w:pStyle w:val="26"/>
              <w:keepNext w:val="0"/>
              <w:keepLines w:val="0"/>
              <w:suppressLineNumbers w:val="0"/>
              <w:snapToGrid w:val="0"/>
              <w:spacing w:before="120" w:beforeAutospacing="0" w:after="120" w:afterAutospacing="0" w:line="240" w:lineRule="auto"/>
              <w:ind w:left="0" w:leftChars="0" w:right="0" w:rightChars="0"/>
              <w:outlineLvl w:val="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（2）履约保证金：本项目不收履约保证金</w:t>
            </w:r>
          </w:p>
        </w:tc>
        <w:tc>
          <w:tcPr>
            <w:tcW w:w="2880" w:type="dxa"/>
            <w:tcMar>
              <w:left w:w="0" w:type="dxa"/>
              <w:right w:w="0" w:type="dxa"/>
            </w:tcMar>
            <w:vAlign w:val="center"/>
          </w:tcPr>
          <w:p w14:paraId="026E84D8">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Mar>
              <w:left w:w="0" w:type="dxa"/>
              <w:right w:w="0" w:type="dxa"/>
            </w:tcMar>
            <w:vAlign w:val="center"/>
          </w:tcPr>
          <w:p w14:paraId="16D8E04D">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2DF180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91" w:hRule="atLeast"/>
          <w:jc w:val="center"/>
        </w:trPr>
        <w:tc>
          <w:tcPr>
            <w:tcW w:w="711" w:type="dxa"/>
            <w:tcMar>
              <w:left w:w="0" w:type="dxa"/>
              <w:right w:w="0" w:type="dxa"/>
            </w:tcMar>
            <w:vAlign w:val="center"/>
          </w:tcPr>
          <w:p w14:paraId="6FDF1DF2">
            <w:pPr>
              <w:keepNext w:val="0"/>
              <w:keepLines w:val="0"/>
              <w:suppressLineNumbers w:val="0"/>
              <w:spacing w:before="0" w:beforeAutospacing="0" w:after="0" w:afterAutospacing="0" w:line="340" w:lineRule="exact"/>
              <w:ind w:left="0" w:leftChars="0" w:right="0" w:rightChars="0"/>
              <w:contextualSpacing/>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4804" w:type="dxa"/>
            <w:tcMar>
              <w:left w:w="57" w:type="dxa"/>
              <w:right w:w="57" w:type="dxa"/>
            </w:tcMar>
            <w:vAlign w:val="center"/>
          </w:tcPr>
          <w:p w14:paraId="2DF846F6">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）合同生效后，仪器制造商（或代理商）对安装仪器的实验室工作条件应提出具体要求，并在安装前予以确认。</w:t>
            </w:r>
          </w:p>
          <w:p w14:paraId="2406495E">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）提供的产品须为原装正品，相关的配套附件质量优良，数量齐全，并在标书中注明可选配件的价格。</w:t>
            </w:r>
          </w:p>
          <w:p w14:paraId="73DA3D79">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）仪器到达用户指定交货地点后，根据用户的时间安排，仪器制造商（或代理商）在接到用户通知后30天内进行安装调试，直至通过验收。</w:t>
            </w:r>
          </w:p>
          <w:p w14:paraId="1288FE54">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）仪器安装调试合格后，仪器制造商（或代理商）负责对用户技术人员（至少2人）进行免费现场培训，培训内容包括仪器的性能、原理、操作、保养和维护等，培训日程视实际情况另定。</w:t>
            </w:r>
          </w:p>
          <w:p w14:paraId="186DBE9D">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）质保期过后，仪器制造商（或代理商）对仪器提供终身维修服务，能提供广泛、即时、优惠的技术服务，并提供质量上乘、价格合理的各种配件。</w:t>
            </w:r>
          </w:p>
          <w:p w14:paraId="082D56EC">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）保证供应仪器质保期后3年内所需的备品、备件；须给出详细清单（品名、货号、生产厂家、数量、价格等）。</w:t>
            </w:r>
          </w:p>
          <w:p w14:paraId="483443A1">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14:paraId="09BBE40D">
            <w:pPr>
              <w:pStyle w:val="26"/>
              <w:keepNext w:val="0"/>
              <w:keepLines w:val="0"/>
              <w:suppressLineNumbers w:val="0"/>
              <w:snapToGrid w:val="0"/>
              <w:spacing w:before="120" w:beforeAutospacing="0" w:after="120" w:afterAutospacing="0" w:line="240" w:lineRule="auto"/>
              <w:ind w:left="0" w:leftChars="0" w:right="0" w:rightChars="0"/>
              <w:outlineLvl w:val="0"/>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）仪器制造商（或代理商）终身免费提供应用咨询及技术帮助，质保期内，易损件和外购件根据原厂家质保期和国家质保标准保修，属人为因素酌情收取材料费。质保期外实行有偿服务。</w:t>
            </w:r>
          </w:p>
        </w:tc>
        <w:tc>
          <w:tcPr>
            <w:tcW w:w="2880" w:type="dxa"/>
            <w:tcMar>
              <w:left w:w="0" w:type="dxa"/>
              <w:right w:w="0" w:type="dxa"/>
            </w:tcMar>
            <w:vAlign w:val="center"/>
          </w:tcPr>
          <w:p w14:paraId="2B356459">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Mar>
              <w:left w:w="0" w:type="dxa"/>
              <w:right w:w="0" w:type="dxa"/>
            </w:tcMar>
            <w:vAlign w:val="center"/>
          </w:tcPr>
          <w:p w14:paraId="5B03A6D4">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42A068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05" w:hRule="atLeast"/>
          <w:jc w:val="center"/>
        </w:trPr>
        <w:tc>
          <w:tcPr>
            <w:tcW w:w="711" w:type="dxa"/>
            <w:tcMar>
              <w:left w:w="0" w:type="dxa"/>
              <w:right w:w="0" w:type="dxa"/>
            </w:tcMar>
            <w:vAlign w:val="center"/>
          </w:tcPr>
          <w:p w14:paraId="20193673">
            <w:pPr>
              <w:keepNext w:val="0"/>
              <w:keepLines w:val="0"/>
              <w:suppressLineNumbers w:val="0"/>
              <w:spacing w:before="0" w:beforeAutospacing="0" w:after="0" w:afterAutospacing="0" w:line="340" w:lineRule="exact"/>
              <w:ind w:left="0" w:leftChars="0" w:right="0" w:rightChars="0"/>
              <w:contextualSpacing/>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p>
        </w:tc>
        <w:tc>
          <w:tcPr>
            <w:tcW w:w="4804" w:type="dxa"/>
            <w:tcMar>
              <w:left w:w="57" w:type="dxa"/>
              <w:right w:w="57" w:type="dxa"/>
            </w:tcMar>
            <w:vAlign w:val="top"/>
          </w:tcPr>
          <w:p w14:paraId="04243E4B">
            <w:pPr>
              <w:keepNext w:val="0"/>
              <w:keepLines w:val="0"/>
              <w:widowControl w:val="0"/>
              <w:suppressLineNumbers w:val="0"/>
              <w:snapToGrid w:val="0"/>
              <w:spacing w:before="120" w:beforeAutospacing="0" w:after="120" w:afterAutospacing="0" w:line="240" w:lineRule="auto"/>
              <w:ind w:left="0" w:right="0"/>
              <w:jc w:val="both"/>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交货期：自合同签订之日起90日历天内完成交货。</w:t>
            </w:r>
          </w:p>
          <w:p w14:paraId="5900AF03">
            <w:pPr>
              <w:keepNext w:val="0"/>
              <w:keepLines w:val="0"/>
              <w:widowControl w:val="0"/>
              <w:suppressLineNumbers w:val="0"/>
              <w:snapToGrid w:val="0"/>
              <w:spacing w:before="120" w:beforeAutospacing="0" w:after="120" w:afterAutospacing="0" w:line="240" w:lineRule="auto"/>
              <w:ind w:left="0" w:leftChars="0" w:right="0" w:rightChars="0"/>
              <w:jc w:val="both"/>
              <w:outlineLvl w:val="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 xml:space="preserve">地点：台州学院椒江校区      </w:t>
            </w:r>
          </w:p>
        </w:tc>
        <w:tc>
          <w:tcPr>
            <w:tcW w:w="2880" w:type="dxa"/>
            <w:tcMar>
              <w:left w:w="0" w:type="dxa"/>
              <w:right w:w="0" w:type="dxa"/>
            </w:tcMar>
            <w:vAlign w:val="center"/>
          </w:tcPr>
          <w:p w14:paraId="567C4B5D">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Mar>
              <w:left w:w="0" w:type="dxa"/>
              <w:right w:w="0" w:type="dxa"/>
            </w:tcMar>
            <w:vAlign w:val="center"/>
          </w:tcPr>
          <w:p w14:paraId="738ABD53">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bl>
    <w:p w14:paraId="375E5FEA">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14:paraId="3D91C79B">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1、列明采购文件的商务要求与投标文件对应响应，并说明偏离状况（正偏离或负偏离）；</w:t>
      </w:r>
    </w:p>
    <w:p w14:paraId="674A1698">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2、无偏离应在本表“说明”处醒目地注明“无条款偏离”的字样。</w:t>
      </w:r>
    </w:p>
    <w:p w14:paraId="5D817CB4">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3、本表格供参考，投标人可根据项目实际情况自拟（增减）表格。</w:t>
      </w:r>
    </w:p>
    <w:p w14:paraId="4AF4D133">
      <w:pPr>
        <w:tabs>
          <w:tab w:val="left" w:pos="312"/>
        </w:tabs>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08B7A8E1">
      <w:pPr>
        <w:spacing w:line="480" w:lineRule="auto"/>
        <w:ind w:firstLine="424" w:firstLineChars="17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604F7281">
      <w:pPr>
        <w:spacing w:line="480" w:lineRule="auto"/>
        <w:ind w:firstLine="43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E52E97B">
      <w:pPr>
        <w:pageBreakBefore/>
        <w:spacing w:line="360" w:lineRule="auto"/>
        <w:jc w:val="center"/>
        <w:outlineLvl w:val="0"/>
        <w:rPr>
          <w:rFonts w:ascii="宋体" w:hAnsi="宋体" w:eastAsia="宋体" w:cs="宋体"/>
          <w:color w:val="auto"/>
          <w:sz w:val="32"/>
          <w:szCs w:val="32"/>
          <w:highlight w:val="none"/>
        </w:rPr>
      </w:pPr>
      <w:bookmarkStart w:id="171" w:name="_Toc31566"/>
      <w:bookmarkStart w:id="172" w:name="_Toc7667"/>
      <w:bookmarkStart w:id="173" w:name="_Toc20733"/>
      <w:bookmarkStart w:id="174" w:name="_Toc19019"/>
      <w:bookmarkStart w:id="175" w:name="_Toc5515"/>
      <w:bookmarkStart w:id="176" w:name="_Toc15797"/>
      <w:bookmarkStart w:id="177" w:name="_Toc2665"/>
      <w:bookmarkStart w:id="178" w:name="_Toc27320"/>
      <w:bookmarkStart w:id="179" w:name="_Toc19473"/>
      <w:bookmarkStart w:id="180" w:name="_Toc21753"/>
      <w:r>
        <w:rPr>
          <w:rFonts w:hint="eastAsia" w:ascii="宋体" w:hAnsi="宋体" w:cs="宋体"/>
          <w:b/>
          <w:color w:val="auto"/>
          <w:sz w:val="32"/>
          <w:szCs w:val="32"/>
          <w:highlight w:val="none"/>
          <w:lang w:val="en-US" w:eastAsia="zh-CN"/>
        </w:rPr>
        <w:t>七</w:t>
      </w:r>
      <w:r>
        <w:rPr>
          <w:rFonts w:hint="eastAsia" w:ascii="宋体" w:hAnsi="宋体" w:eastAsia="宋体" w:cs="宋体"/>
          <w:b/>
          <w:color w:val="auto"/>
          <w:sz w:val="32"/>
          <w:szCs w:val="32"/>
          <w:highlight w:val="none"/>
        </w:rPr>
        <w:t>、相关项目实施业绩一览表</w:t>
      </w:r>
      <w:bookmarkEnd w:id="171"/>
      <w:bookmarkEnd w:id="172"/>
      <w:bookmarkEnd w:id="173"/>
      <w:bookmarkEnd w:id="174"/>
      <w:bookmarkEnd w:id="175"/>
      <w:bookmarkEnd w:id="176"/>
      <w:bookmarkEnd w:id="177"/>
      <w:bookmarkEnd w:id="178"/>
      <w:bookmarkEnd w:id="179"/>
      <w:bookmarkEnd w:id="180"/>
    </w:p>
    <w:tbl>
      <w:tblPr>
        <w:tblStyle w:val="47"/>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2306"/>
        <w:gridCol w:w="1774"/>
        <w:gridCol w:w="1242"/>
        <w:gridCol w:w="1643"/>
      </w:tblGrid>
      <w:tr w14:paraId="3D55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14:paraId="7A22F115">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83" w:type="dxa"/>
            <w:vAlign w:val="center"/>
          </w:tcPr>
          <w:p w14:paraId="0F9A5B1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306" w:type="dxa"/>
            <w:vAlign w:val="center"/>
          </w:tcPr>
          <w:p w14:paraId="01A8485F">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1774" w:type="dxa"/>
            <w:vAlign w:val="center"/>
          </w:tcPr>
          <w:p w14:paraId="4B784842">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1242" w:type="dxa"/>
            <w:vAlign w:val="center"/>
          </w:tcPr>
          <w:p w14:paraId="17E033D9">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w:t>
            </w:r>
          </w:p>
          <w:p w14:paraId="2DA555F7">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1643" w:type="dxa"/>
            <w:vAlign w:val="center"/>
          </w:tcPr>
          <w:p w14:paraId="3C0278BB">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联系人/电话</w:t>
            </w:r>
          </w:p>
        </w:tc>
      </w:tr>
      <w:tr w14:paraId="1A53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62949D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83" w:type="dxa"/>
            <w:vAlign w:val="center"/>
          </w:tcPr>
          <w:p w14:paraId="2CE806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0DB98C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0E7731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63BDB1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4B9003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5D1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30525D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83" w:type="dxa"/>
            <w:vAlign w:val="center"/>
          </w:tcPr>
          <w:p w14:paraId="7910BD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617CFA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43EBC2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0EA2B2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050CA0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721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07AC3E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3" w:type="dxa"/>
            <w:vAlign w:val="center"/>
          </w:tcPr>
          <w:p w14:paraId="2A8A63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599F13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55DD38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7C3B4A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7D1AFD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C7F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5E1A6B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83" w:type="dxa"/>
            <w:vAlign w:val="center"/>
          </w:tcPr>
          <w:p w14:paraId="7F9483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0DC9CD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33AE01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52C687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0BF297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7B9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7E73BE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83" w:type="dxa"/>
            <w:vAlign w:val="center"/>
          </w:tcPr>
          <w:p w14:paraId="63E277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552780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427B4A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481DC2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588173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205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11C810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83" w:type="dxa"/>
            <w:vAlign w:val="center"/>
          </w:tcPr>
          <w:p w14:paraId="60760E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61544B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5D313B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6F05CC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44DFD1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35CFACD2">
      <w:pPr>
        <w:spacing w:before="77" w:line="360" w:lineRule="auto"/>
        <w:ind w:right="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注：需按评分标准要求附项目证明材料。</w:t>
      </w:r>
    </w:p>
    <w:p w14:paraId="3254CA92">
      <w:pPr>
        <w:spacing w:line="360" w:lineRule="auto"/>
        <w:ind w:firstLine="4440" w:firstLineChars="1850"/>
        <w:rPr>
          <w:rFonts w:hint="eastAsia" w:ascii="宋体" w:hAnsi="宋体" w:eastAsia="宋体" w:cs="宋体"/>
          <w:color w:val="auto"/>
          <w:sz w:val="24"/>
          <w:szCs w:val="24"/>
          <w:highlight w:val="none"/>
        </w:rPr>
      </w:pPr>
    </w:p>
    <w:p w14:paraId="0C5369DF">
      <w:pPr>
        <w:tabs>
          <w:tab w:val="left" w:pos="312"/>
        </w:tabs>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0725CFBC">
      <w:pPr>
        <w:spacing w:line="480" w:lineRule="auto"/>
        <w:ind w:firstLine="424" w:firstLineChars="17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21FF7A46">
      <w:pPr>
        <w:spacing w:line="480" w:lineRule="auto"/>
        <w:ind w:firstLine="43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27EF899">
      <w:pPr>
        <w:widowControl w:val="0"/>
        <w:ind w:left="2940" w:leftChars="1400"/>
        <w:jc w:val="both"/>
        <w:rPr>
          <w:rFonts w:ascii="宋体" w:hAnsi="宋体" w:eastAsia="宋体" w:cs="宋体"/>
          <w:color w:val="auto"/>
          <w:kern w:val="2"/>
          <w:sz w:val="24"/>
          <w:szCs w:val="24"/>
          <w:highlight w:val="none"/>
          <w:lang w:val="en-US" w:eastAsia="zh-CN" w:bidi="ar-SA"/>
        </w:rPr>
      </w:pPr>
    </w:p>
    <w:p w14:paraId="266AECB4">
      <w:pPr>
        <w:rPr>
          <w:rFonts w:ascii="宋体" w:hAnsi="宋体" w:eastAsia="宋体" w:cs="宋体"/>
          <w:color w:val="auto"/>
          <w:highlight w:val="none"/>
        </w:rPr>
      </w:pPr>
    </w:p>
    <w:p w14:paraId="7A35B23A">
      <w:pPr>
        <w:widowControl w:val="0"/>
        <w:spacing w:after="120"/>
        <w:jc w:val="both"/>
        <w:rPr>
          <w:rFonts w:ascii="宋体" w:hAnsi="宋体" w:eastAsia="宋体" w:cs="宋体"/>
          <w:color w:val="auto"/>
          <w:kern w:val="2"/>
          <w:sz w:val="21"/>
          <w:szCs w:val="24"/>
          <w:highlight w:val="none"/>
          <w:lang w:val="en-US" w:eastAsia="zh-CN" w:bidi="ar-SA"/>
        </w:rPr>
      </w:pPr>
    </w:p>
    <w:p w14:paraId="5B55119F">
      <w:pPr>
        <w:widowControl w:val="0"/>
        <w:ind w:left="2940" w:leftChars="1400"/>
        <w:jc w:val="both"/>
        <w:rPr>
          <w:rFonts w:ascii="宋体" w:hAnsi="宋体" w:eastAsia="宋体" w:cs="宋体"/>
          <w:color w:val="auto"/>
          <w:kern w:val="2"/>
          <w:sz w:val="21"/>
          <w:szCs w:val="24"/>
          <w:highlight w:val="none"/>
          <w:lang w:val="en-US" w:eastAsia="zh-CN" w:bidi="ar-SA"/>
        </w:rPr>
      </w:pPr>
    </w:p>
    <w:p w14:paraId="3DB6244D">
      <w:pPr>
        <w:rPr>
          <w:rFonts w:ascii="宋体" w:hAnsi="宋体" w:eastAsia="宋体" w:cs="宋体"/>
          <w:color w:val="auto"/>
          <w:highlight w:val="none"/>
        </w:rPr>
      </w:pPr>
    </w:p>
    <w:p w14:paraId="1654C27B">
      <w:pPr>
        <w:widowControl/>
        <w:snapToGrid w:val="0"/>
        <w:spacing w:after="156" w:line="480" w:lineRule="exact"/>
        <w:ind w:firstLine="422" w:firstLineChars="200"/>
        <w:jc w:val="left"/>
        <w:rPr>
          <w:rFonts w:hint="default" w:ascii="宋体" w:hAnsi="宋体" w:eastAsia="宋体" w:cs="宋体"/>
          <w:b/>
          <w:color w:val="auto"/>
          <w:kern w:val="2"/>
          <w:sz w:val="21"/>
          <w:szCs w:val="24"/>
          <w:highlight w:val="none"/>
          <w:lang w:val="en-US" w:eastAsia="zh-CN" w:bidi="ar-SA"/>
        </w:rPr>
      </w:pPr>
    </w:p>
    <w:p w14:paraId="710CE522">
      <w:pPr>
        <w:widowControl/>
        <w:snapToGrid w:val="0"/>
        <w:spacing w:after="156" w:line="480" w:lineRule="exact"/>
        <w:ind w:firstLine="422" w:firstLineChars="200"/>
        <w:jc w:val="left"/>
        <w:rPr>
          <w:rFonts w:hint="default" w:ascii="宋体" w:hAnsi="宋体" w:eastAsia="宋体" w:cs="宋体"/>
          <w:b/>
          <w:color w:val="auto"/>
          <w:kern w:val="2"/>
          <w:sz w:val="21"/>
          <w:szCs w:val="24"/>
          <w:highlight w:val="none"/>
          <w:lang w:val="en-US" w:eastAsia="zh-CN" w:bidi="ar-SA"/>
        </w:rPr>
      </w:pPr>
    </w:p>
    <w:p w14:paraId="4FE5B316">
      <w:pPr>
        <w:pageBreakBefore/>
        <w:spacing w:line="360" w:lineRule="auto"/>
        <w:ind w:right="-108"/>
        <w:jc w:val="center"/>
        <w:outlineLvl w:val="0"/>
        <w:rPr>
          <w:rFonts w:ascii="宋体" w:hAnsi="宋体" w:eastAsia="宋体" w:cs="宋体"/>
          <w:color w:val="auto"/>
          <w:spacing w:val="40"/>
          <w:sz w:val="52"/>
          <w:szCs w:val="52"/>
          <w:highlight w:val="none"/>
        </w:rPr>
      </w:pPr>
      <w:bookmarkStart w:id="181" w:name="_Toc28397"/>
      <w:bookmarkStart w:id="182" w:name="_Toc25688"/>
      <w:bookmarkStart w:id="183" w:name="_Toc28068"/>
      <w:bookmarkStart w:id="184" w:name="_Toc16232"/>
      <w:bookmarkStart w:id="185" w:name="_Toc6284"/>
      <w:bookmarkStart w:id="186" w:name="_Toc6727"/>
      <w:bookmarkStart w:id="187" w:name="_Toc7488"/>
      <w:bookmarkStart w:id="188" w:name="_Toc17529"/>
      <w:bookmarkStart w:id="189" w:name="_Toc18892"/>
      <w:bookmarkStart w:id="190" w:name="_Toc2003"/>
      <w:r>
        <w:rPr>
          <w:rFonts w:hint="eastAsia" w:ascii="宋体" w:hAnsi="宋体" w:eastAsia="宋体" w:cs="宋体"/>
          <w:color w:val="auto"/>
          <w:spacing w:val="40"/>
          <w:sz w:val="52"/>
          <w:szCs w:val="52"/>
          <w:highlight w:val="none"/>
        </w:rPr>
        <w:t>项目名称</w:t>
      </w:r>
      <w:bookmarkEnd w:id="181"/>
      <w:bookmarkEnd w:id="182"/>
      <w:bookmarkEnd w:id="183"/>
      <w:bookmarkEnd w:id="184"/>
      <w:bookmarkEnd w:id="185"/>
      <w:bookmarkEnd w:id="186"/>
      <w:bookmarkEnd w:id="187"/>
      <w:bookmarkEnd w:id="188"/>
      <w:bookmarkEnd w:id="189"/>
      <w:bookmarkEnd w:id="190"/>
    </w:p>
    <w:p w14:paraId="16890CFC">
      <w:pPr>
        <w:spacing w:beforeLines="100" w:line="360" w:lineRule="auto"/>
        <w:ind w:right="-108"/>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项目编号：    </w:t>
      </w:r>
    </w:p>
    <w:p w14:paraId="30732571">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2FCB82B0">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5F2C06E">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05132A92">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2A2F4C45">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（报价文件）</w:t>
      </w:r>
    </w:p>
    <w:p w14:paraId="082CA470">
      <w:pPr>
        <w:spacing w:line="360" w:lineRule="auto"/>
        <w:ind w:right="532"/>
        <w:rPr>
          <w:rFonts w:ascii="宋体" w:hAnsi="宋体" w:eastAsia="宋体" w:cs="宋体"/>
          <w:color w:val="auto"/>
          <w:sz w:val="36"/>
          <w:szCs w:val="36"/>
          <w:highlight w:val="none"/>
        </w:rPr>
      </w:pPr>
    </w:p>
    <w:p w14:paraId="6F6D1E39">
      <w:pPr>
        <w:spacing w:line="36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投标人名称（公章）：</w:t>
      </w:r>
    </w:p>
    <w:p w14:paraId="0282268C">
      <w:pPr>
        <w:spacing w:line="360" w:lineRule="auto"/>
        <w:ind w:right="-108"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投标人地址：</w:t>
      </w:r>
    </w:p>
    <w:p w14:paraId="64729B75">
      <w:pPr>
        <w:spacing w:line="360" w:lineRule="auto"/>
        <w:ind w:right="-108"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5B28ADD6">
      <w:pPr>
        <w:widowControl w:val="0"/>
        <w:spacing w:after="120"/>
        <w:jc w:val="both"/>
        <w:rPr>
          <w:rFonts w:ascii="宋体" w:hAnsi="宋体" w:eastAsia="宋体" w:cs="宋体"/>
          <w:color w:val="auto"/>
          <w:kern w:val="2"/>
          <w:sz w:val="21"/>
          <w:szCs w:val="24"/>
          <w:highlight w:val="none"/>
          <w:lang w:val="en-US" w:eastAsia="zh-CN" w:bidi="ar-SA"/>
        </w:rPr>
      </w:pPr>
    </w:p>
    <w:p w14:paraId="6D1EF466">
      <w:pPr>
        <w:widowControl w:val="0"/>
        <w:ind w:left="2940" w:leftChars="1400"/>
        <w:jc w:val="both"/>
        <w:rPr>
          <w:rFonts w:ascii="宋体" w:hAnsi="宋体" w:eastAsia="宋体" w:cs="宋体"/>
          <w:color w:val="auto"/>
          <w:kern w:val="2"/>
          <w:sz w:val="21"/>
          <w:szCs w:val="24"/>
          <w:highlight w:val="none"/>
          <w:lang w:val="en-US" w:eastAsia="zh-CN" w:bidi="ar-SA"/>
        </w:rPr>
      </w:pPr>
    </w:p>
    <w:p w14:paraId="792968B0">
      <w:pPr>
        <w:rPr>
          <w:rFonts w:ascii="宋体" w:hAnsi="宋体" w:eastAsia="宋体" w:cs="宋体"/>
          <w:color w:val="auto"/>
          <w:highlight w:val="none"/>
        </w:rPr>
      </w:pPr>
    </w:p>
    <w:p w14:paraId="35FA9D61">
      <w:pPr>
        <w:widowControl w:val="0"/>
        <w:spacing w:after="120"/>
        <w:jc w:val="both"/>
        <w:rPr>
          <w:rFonts w:ascii="宋体" w:hAnsi="宋体" w:eastAsia="宋体" w:cs="宋体"/>
          <w:color w:val="auto"/>
          <w:kern w:val="2"/>
          <w:sz w:val="21"/>
          <w:szCs w:val="24"/>
          <w:highlight w:val="none"/>
          <w:lang w:val="en-US" w:eastAsia="zh-CN" w:bidi="ar-SA"/>
        </w:rPr>
      </w:pPr>
    </w:p>
    <w:p w14:paraId="756B5E8C">
      <w:pPr>
        <w:shd w:val="clear" w:color="auto" w:fill="FFFFFF"/>
        <w:snapToGrid w:val="0"/>
        <w:spacing w:line="360" w:lineRule="auto"/>
        <w:jc w:val="center"/>
        <w:outlineLvl w:val="1"/>
        <w:rPr>
          <w:rFonts w:ascii="宋体" w:hAnsi="宋体" w:eastAsia="宋体" w:cs="宋体"/>
          <w:b/>
          <w:bCs/>
          <w:color w:val="auto"/>
          <w:kern w:val="0"/>
          <w:sz w:val="32"/>
          <w:szCs w:val="32"/>
          <w:highlight w:val="none"/>
        </w:rPr>
      </w:pPr>
    </w:p>
    <w:p w14:paraId="3E9B234F">
      <w:pPr>
        <w:spacing w:line="360" w:lineRule="auto"/>
        <w:jc w:val="center"/>
        <w:rPr>
          <w:rFonts w:ascii="宋体" w:hAnsi="宋体" w:cs="宋体"/>
          <w:b/>
          <w:color w:val="auto"/>
          <w:sz w:val="44"/>
          <w:szCs w:val="44"/>
          <w:highlight w:val="none"/>
        </w:rPr>
        <w:sectPr>
          <w:footerReference r:id="rId14"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A7D91AA">
      <w:pPr>
        <w:pageBreakBefore/>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报价文件</w:t>
      </w:r>
    </w:p>
    <w:p w14:paraId="530FCC29">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5FC6513F">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1</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投标函</w:t>
      </w:r>
      <w:r>
        <w:rPr>
          <w:rFonts w:asciiTheme="minorEastAsia" w:hAnsiTheme="minorEastAsia"/>
          <w:color w:val="auto"/>
          <w:sz w:val="24"/>
          <w:szCs w:val="24"/>
          <w:highlight w:val="none"/>
        </w:rPr>
        <w:t>………………………………………………………………………………（页码）</w:t>
      </w:r>
    </w:p>
    <w:p w14:paraId="5627D7A5">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2、</w:t>
      </w:r>
      <w:r>
        <w:rPr>
          <w:rFonts w:asciiTheme="minorEastAsia" w:hAnsiTheme="minorEastAsia"/>
          <w:color w:val="auto"/>
          <w:sz w:val="24"/>
          <w:szCs w:val="24"/>
          <w:highlight w:val="none"/>
        </w:rPr>
        <w:t>开标一览表…………………………………………………………………………（页码）</w:t>
      </w:r>
    </w:p>
    <w:p w14:paraId="5188B526">
      <w:pPr>
        <w:spacing w:line="720" w:lineRule="auto"/>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3、</w:t>
      </w:r>
      <w:r>
        <w:rPr>
          <w:rFonts w:hint="eastAsia" w:cs="宋体" w:asciiTheme="minorEastAsia" w:hAnsiTheme="minorEastAsia"/>
          <w:color w:val="auto"/>
          <w:sz w:val="24"/>
          <w:szCs w:val="24"/>
          <w:highlight w:val="none"/>
          <w:lang w:eastAsia="zh-CN"/>
        </w:rPr>
        <w:t>报价</w:t>
      </w:r>
      <w:r>
        <w:rPr>
          <w:rFonts w:hint="eastAsia" w:cs="宋体" w:asciiTheme="minorEastAsia" w:hAnsiTheme="minorEastAsia"/>
          <w:color w:val="auto"/>
          <w:sz w:val="24"/>
          <w:szCs w:val="24"/>
          <w:highlight w:val="none"/>
        </w:rPr>
        <w:t>明细表</w:t>
      </w:r>
      <w:r>
        <w:rPr>
          <w:rFonts w:asciiTheme="minorEastAsia" w:hAnsiTheme="minorEastAsia"/>
          <w:color w:val="auto"/>
          <w:sz w:val="24"/>
          <w:szCs w:val="24"/>
          <w:highlight w:val="none"/>
        </w:rPr>
        <w:t>…………………………………………………………………………（页码）</w:t>
      </w:r>
    </w:p>
    <w:p w14:paraId="049A5557">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4、中小企业声明函</w:t>
      </w:r>
      <w:r>
        <w:rPr>
          <w:rFonts w:asciiTheme="minorEastAsia" w:hAnsiTheme="minorEastAsia"/>
          <w:color w:val="auto"/>
          <w:sz w:val="24"/>
          <w:szCs w:val="24"/>
          <w:highlight w:val="none"/>
        </w:rPr>
        <w:t>……………………………………………………………………（页码）</w:t>
      </w:r>
    </w:p>
    <w:p w14:paraId="2FC8989D">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5、残疾人福利单位声明函（非残疾人福利性单位，无需提供本函）</w:t>
      </w:r>
      <w:r>
        <w:rPr>
          <w:rFonts w:asciiTheme="minorEastAsia" w:hAnsiTheme="minorEastAsia"/>
          <w:color w:val="auto"/>
          <w:sz w:val="24"/>
          <w:szCs w:val="24"/>
          <w:highlight w:val="none"/>
        </w:rPr>
        <w:t>……………（页码）</w:t>
      </w:r>
    </w:p>
    <w:p w14:paraId="3D9386BE">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6、投标人认为需提交的其他报价文件资料</w:t>
      </w:r>
      <w:r>
        <w:rPr>
          <w:rFonts w:asciiTheme="minorEastAsia" w:hAnsiTheme="minorEastAsia"/>
          <w:color w:val="auto"/>
          <w:sz w:val="24"/>
          <w:szCs w:val="24"/>
          <w:highlight w:val="none"/>
        </w:rPr>
        <w:t>…………………………………………（页码）</w:t>
      </w:r>
    </w:p>
    <w:p w14:paraId="5B7FDF45">
      <w:pPr>
        <w:widowControl w:val="0"/>
        <w:spacing w:line="480" w:lineRule="auto"/>
        <w:ind w:left="0" w:leftChars="0" w:firstLine="0" w:firstLineChars="0"/>
        <w:jc w:val="left"/>
        <w:rPr>
          <w:rFonts w:ascii="宋体" w:hAnsi="宋体" w:eastAsia="宋体" w:cs="宋体"/>
          <w:color w:val="auto"/>
          <w:kern w:val="2"/>
          <w:sz w:val="24"/>
          <w:szCs w:val="24"/>
          <w:highlight w:val="none"/>
          <w:lang w:val="en-US" w:eastAsia="zh-CN" w:bidi="ar-SA"/>
        </w:rPr>
      </w:pPr>
    </w:p>
    <w:p w14:paraId="5C850EDC">
      <w:pPr>
        <w:widowControl w:val="0"/>
        <w:ind w:left="2940" w:leftChars="1400"/>
        <w:jc w:val="both"/>
        <w:rPr>
          <w:rFonts w:ascii="宋体" w:hAnsi="宋体" w:eastAsia="宋体" w:cs="宋体"/>
          <w:color w:val="auto"/>
          <w:kern w:val="2"/>
          <w:sz w:val="21"/>
          <w:szCs w:val="24"/>
          <w:highlight w:val="none"/>
          <w:lang w:val="en-US" w:eastAsia="zh-CN" w:bidi="ar-SA"/>
        </w:rPr>
      </w:pPr>
    </w:p>
    <w:p w14:paraId="73524711">
      <w:pPr>
        <w:rPr>
          <w:rFonts w:ascii="宋体" w:hAnsi="宋体" w:eastAsia="宋体" w:cs="宋体"/>
          <w:color w:val="auto"/>
          <w:highlight w:val="none"/>
        </w:rPr>
      </w:pPr>
    </w:p>
    <w:p w14:paraId="5994EA55">
      <w:pPr>
        <w:widowControl w:val="0"/>
        <w:spacing w:after="120"/>
        <w:jc w:val="both"/>
        <w:rPr>
          <w:rFonts w:ascii="宋体" w:hAnsi="宋体" w:eastAsia="宋体" w:cs="宋体"/>
          <w:color w:val="auto"/>
          <w:kern w:val="2"/>
          <w:sz w:val="21"/>
          <w:szCs w:val="24"/>
          <w:highlight w:val="none"/>
          <w:lang w:val="en-US" w:eastAsia="zh-CN" w:bidi="ar-SA"/>
        </w:rPr>
      </w:pPr>
    </w:p>
    <w:p w14:paraId="5E3E6F5D">
      <w:pPr>
        <w:widowControl w:val="0"/>
        <w:ind w:left="2940" w:leftChars="1400"/>
        <w:jc w:val="both"/>
        <w:rPr>
          <w:rFonts w:ascii="宋体" w:hAnsi="宋体" w:eastAsia="宋体" w:cs="宋体"/>
          <w:color w:val="auto"/>
          <w:kern w:val="2"/>
          <w:sz w:val="21"/>
          <w:szCs w:val="24"/>
          <w:highlight w:val="none"/>
          <w:lang w:val="en-US" w:eastAsia="zh-CN" w:bidi="ar-SA"/>
        </w:rPr>
      </w:pPr>
    </w:p>
    <w:p w14:paraId="29ACC344">
      <w:pPr>
        <w:rPr>
          <w:rFonts w:ascii="宋体" w:hAnsi="宋体" w:eastAsia="宋体" w:cs="宋体"/>
          <w:color w:val="auto"/>
          <w:highlight w:val="none"/>
        </w:rPr>
      </w:pPr>
    </w:p>
    <w:p w14:paraId="18F896CB">
      <w:pPr>
        <w:widowControl w:val="0"/>
        <w:spacing w:after="120"/>
        <w:jc w:val="both"/>
        <w:rPr>
          <w:rFonts w:ascii="宋体" w:hAnsi="宋体" w:eastAsia="宋体" w:cs="宋体"/>
          <w:color w:val="auto"/>
          <w:kern w:val="2"/>
          <w:sz w:val="21"/>
          <w:szCs w:val="24"/>
          <w:highlight w:val="none"/>
          <w:lang w:val="en-US" w:eastAsia="zh-CN" w:bidi="ar-SA"/>
        </w:rPr>
      </w:pPr>
    </w:p>
    <w:p w14:paraId="3C9B3EFA">
      <w:pPr>
        <w:widowControl w:val="0"/>
        <w:ind w:left="2940" w:leftChars="1400"/>
        <w:jc w:val="both"/>
        <w:rPr>
          <w:rFonts w:ascii="宋体" w:hAnsi="宋体" w:eastAsia="宋体" w:cs="宋体"/>
          <w:color w:val="auto"/>
          <w:kern w:val="2"/>
          <w:sz w:val="21"/>
          <w:szCs w:val="24"/>
          <w:highlight w:val="none"/>
          <w:lang w:val="en-US" w:eastAsia="zh-CN" w:bidi="ar-SA"/>
        </w:rPr>
      </w:pPr>
    </w:p>
    <w:p w14:paraId="658E928B">
      <w:pPr>
        <w:rPr>
          <w:rFonts w:ascii="宋体" w:hAnsi="宋体" w:eastAsia="宋体" w:cs="宋体"/>
          <w:color w:val="auto"/>
          <w:highlight w:val="none"/>
        </w:rPr>
      </w:pPr>
    </w:p>
    <w:p w14:paraId="7A5DDC19">
      <w:pPr>
        <w:widowControl w:val="0"/>
        <w:spacing w:after="120"/>
        <w:jc w:val="both"/>
        <w:rPr>
          <w:rFonts w:ascii="宋体" w:hAnsi="宋体" w:eastAsia="宋体" w:cs="宋体"/>
          <w:color w:val="auto"/>
          <w:kern w:val="2"/>
          <w:sz w:val="21"/>
          <w:szCs w:val="24"/>
          <w:highlight w:val="none"/>
          <w:lang w:val="en-US" w:eastAsia="zh-CN" w:bidi="ar-SA"/>
        </w:rPr>
      </w:pPr>
    </w:p>
    <w:p w14:paraId="1982645E">
      <w:pPr>
        <w:widowControl w:val="0"/>
        <w:ind w:left="2940" w:leftChars="1400"/>
        <w:jc w:val="both"/>
        <w:rPr>
          <w:rFonts w:ascii="宋体" w:hAnsi="宋体" w:eastAsia="宋体" w:cs="宋体"/>
          <w:color w:val="auto"/>
          <w:kern w:val="2"/>
          <w:sz w:val="21"/>
          <w:szCs w:val="24"/>
          <w:highlight w:val="none"/>
          <w:lang w:val="en-US" w:eastAsia="zh-CN" w:bidi="ar-SA"/>
        </w:rPr>
      </w:pPr>
    </w:p>
    <w:p w14:paraId="765251E6">
      <w:pPr>
        <w:rPr>
          <w:rFonts w:ascii="宋体" w:hAnsi="宋体" w:eastAsia="宋体" w:cs="宋体"/>
          <w:color w:val="auto"/>
          <w:highlight w:val="none"/>
        </w:rPr>
      </w:pPr>
    </w:p>
    <w:p w14:paraId="1FA2D1AB">
      <w:pPr>
        <w:spacing w:line="360" w:lineRule="auto"/>
        <w:jc w:val="both"/>
        <w:rPr>
          <w:rFonts w:ascii="宋体" w:hAnsi="宋体" w:cs="宋体"/>
          <w:b/>
          <w:bCs/>
          <w:color w:val="auto"/>
          <w:kern w:val="0"/>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6683212">
      <w:pPr>
        <w:pageBreakBefore/>
        <w:spacing w:line="360" w:lineRule="auto"/>
        <w:jc w:val="center"/>
        <w:rPr>
          <w:rFonts w:hint="eastAsia" w:asciiTheme="minorEastAsia" w:hAnsiTheme="minorEastAsia"/>
          <w:b/>
          <w:color w:val="auto"/>
          <w:sz w:val="32"/>
          <w:szCs w:val="32"/>
          <w:highlight w:val="none"/>
        </w:rPr>
      </w:pPr>
      <w:r>
        <w:rPr>
          <w:rFonts w:hint="eastAsia" w:cs="宋体" w:asciiTheme="minorEastAsia" w:hAnsiTheme="minorEastAsia"/>
          <w:b/>
          <w:bCs/>
          <w:color w:val="auto"/>
          <w:kern w:val="0"/>
          <w:sz w:val="32"/>
          <w:szCs w:val="32"/>
          <w:highlight w:val="none"/>
        </w:rPr>
        <w:t>一、投标函</w:t>
      </w:r>
    </w:p>
    <w:p w14:paraId="7655CA28">
      <w:pPr>
        <w:pStyle w:val="21"/>
        <w:spacing w:line="500" w:lineRule="exact"/>
        <w:ind w:left="-284" w:firstLine="0"/>
        <w:rPr>
          <w:rFonts w:hint="eastAsia"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致：  （</w:t>
      </w:r>
      <w:r>
        <w:rPr>
          <w:rFonts w:hint="eastAsia" w:asciiTheme="minorEastAsia" w:hAnsiTheme="minorEastAsia" w:eastAsiaTheme="minorEastAsia"/>
          <w:color w:val="auto"/>
          <w:sz w:val="24"/>
          <w:szCs w:val="24"/>
          <w:highlight w:val="none"/>
          <w:u w:val="single"/>
        </w:rPr>
        <w:t>采购人</w:t>
      </w:r>
      <w:r>
        <w:rPr>
          <w:rFonts w:asciiTheme="minorEastAsia" w:hAnsiTheme="minorEastAsia" w:eastAsiaTheme="minorEastAsia"/>
          <w:color w:val="auto"/>
          <w:sz w:val="24"/>
          <w:szCs w:val="24"/>
          <w:highlight w:val="none"/>
          <w:u w:val="single"/>
        </w:rPr>
        <w:t xml:space="preserve">）  </w:t>
      </w:r>
    </w:p>
    <w:p w14:paraId="543956C4">
      <w:pPr>
        <w:pStyle w:val="21"/>
        <w:spacing w:line="500" w:lineRule="exact"/>
        <w:ind w:firstLine="49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投标人全称</w:t>
      </w:r>
      <w:r>
        <w:rPr>
          <w:rFonts w:asciiTheme="minorEastAsia" w:hAnsiTheme="minorEastAsia" w:eastAsiaTheme="minorEastAsia"/>
          <w:color w:val="auto"/>
          <w:sz w:val="24"/>
          <w:szCs w:val="24"/>
          <w:highlight w:val="none"/>
          <w:u w:val="single"/>
        </w:rPr>
        <w:t>）       授权   （</w:t>
      </w:r>
      <w:r>
        <w:rPr>
          <w:rFonts w:hint="eastAsia" w:asciiTheme="minorEastAsia" w:hAnsiTheme="minorEastAsia" w:eastAsiaTheme="minorEastAsia"/>
          <w:color w:val="auto"/>
          <w:sz w:val="24"/>
          <w:szCs w:val="24"/>
          <w:highlight w:val="none"/>
          <w:u w:val="single"/>
        </w:rPr>
        <w:t>被授权人</w:t>
      </w:r>
      <w:r>
        <w:rPr>
          <w:rFonts w:asciiTheme="minorEastAsia" w:hAnsiTheme="minorEastAsia" w:eastAsiaTheme="minorEastAsia"/>
          <w:color w:val="auto"/>
          <w:sz w:val="24"/>
          <w:szCs w:val="24"/>
          <w:highlight w:val="none"/>
          <w:u w:val="single"/>
        </w:rPr>
        <w:t xml:space="preserve">姓名、职务）  </w:t>
      </w:r>
      <w:r>
        <w:rPr>
          <w:rFonts w:asciiTheme="minorEastAsia" w:hAnsiTheme="minorEastAsia" w:eastAsiaTheme="minorEastAsia"/>
          <w:color w:val="auto"/>
          <w:sz w:val="24"/>
          <w:szCs w:val="24"/>
          <w:highlight w:val="none"/>
        </w:rPr>
        <w:t xml:space="preserve"> 为本公司合法代理人，参加贵方组织的</w:t>
      </w:r>
      <w:r>
        <w:rPr>
          <w:rFonts w:asciiTheme="minorEastAsia" w:hAnsiTheme="minorEastAsia" w:eastAsiaTheme="minorEastAsia"/>
          <w:color w:val="auto"/>
          <w:sz w:val="24"/>
          <w:szCs w:val="24"/>
          <w:highlight w:val="none"/>
          <w:u w:val="single"/>
        </w:rPr>
        <w:t xml:space="preserve">   （项目编号、项目名称） </w:t>
      </w:r>
      <w:r>
        <w:rPr>
          <w:rFonts w:asciiTheme="minorEastAsia" w:hAnsiTheme="minorEastAsia" w:eastAsiaTheme="minorEastAsia"/>
          <w:color w:val="auto"/>
          <w:sz w:val="24"/>
          <w:szCs w:val="24"/>
          <w:highlight w:val="none"/>
        </w:rPr>
        <w:t xml:space="preserve"> 招投标活动，代表本公司处理招投标活动中的一切事宜。在此：</w:t>
      </w:r>
    </w:p>
    <w:p w14:paraId="36C28F52">
      <w:pPr>
        <w:pStyle w:val="21"/>
        <w:tabs>
          <w:tab w:val="left" w:pos="426"/>
        </w:tabs>
        <w:spacing w:line="500" w:lineRule="exact"/>
        <w:ind w:firstLine="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1、提供采购文件中“投标须知”规定的全部投标文件资料</w:t>
      </w:r>
      <w:r>
        <w:rPr>
          <w:rFonts w:hint="eastAsia" w:asciiTheme="minorEastAsia" w:hAnsiTheme="minorEastAsia" w:eastAsiaTheme="minorEastAsia"/>
          <w:color w:val="auto"/>
          <w:sz w:val="24"/>
          <w:szCs w:val="24"/>
          <w:highlight w:val="none"/>
        </w:rPr>
        <w:t>。</w:t>
      </w:r>
    </w:p>
    <w:p w14:paraId="610108C4">
      <w:pPr>
        <w:pStyle w:val="21"/>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、据此函，签字代表宣布并承诺如下：</w:t>
      </w:r>
    </w:p>
    <w:p w14:paraId="7FBA2815">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14:paraId="23A0A883">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（2）本投标自开标之日起</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 xml:space="preserve"> 天</w:t>
      </w:r>
      <w:r>
        <w:rPr>
          <w:rFonts w:asciiTheme="minorEastAsia" w:hAnsiTheme="minorEastAsia" w:eastAsiaTheme="minorEastAsia"/>
          <w:color w:val="auto"/>
          <w:sz w:val="24"/>
          <w:szCs w:val="24"/>
          <w:highlight w:val="none"/>
        </w:rPr>
        <w:t>内有效。</w:t>
      </w:r>
    </w:p>
    <w:p w14:paraId="656D7F3B">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（3）保证遵守采购文件有关条款规定。</w:t>
      </w:r>
    </w:p>
    <w:p w14:paraId="34B6EBE0">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（4）保证在中标后忠实地执行与采购人所签署的合同，并承担合同规定的责任义务。保证在中标后按照采购文件的规定支付招标代理服务费。</w:t>
      </w:r>
    </w:p>
    <w:p w14:paraId="6883CA5D">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（5）承诺应贵方要求提供任何与该项目投标有关的数据、情况和技术资料。</w:t>
      </w:r>
    </w:p>
    <w:p w14:paraId="22F73165">
      <w:pPr>
        <w:pStyle w:val="21"/>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、我们郑重声明：</w:t>
      </w:r>
    </w:p>
    <w:p w14:paraId="002EC0D8">
      <w:pPr>
        <w:pStyle w:val="21"/>
        <w:tabs>
          <w:tab w:val="left" w:pos="426"/>
        </w:tabs>
        <w:spacing w:line="500" w:lineRule="exact"/>
        <w:ind w:firstLine="480" w:firstLineChars="2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1CA8C715">
      <w:pPr>
        <w:pStyle w:val="21"/>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、与本投标有关的一切往来通讯请寄：</w:t>
      </w:r>
    </w:p>
    <w:p w14:paraId="11EA3558">
      <w:pPr>
        <w:pStyle w:val="21"/>
        <w:spacing w:line="500" w:lineRule="exact"/>
        <w:ind w:left="480" w:firstLine="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地址：</w:t>
      </w:r>
    </w:p>
    <w:p w14:paraId="610D221F">
      <w:pPr>
        <w:pStyle w:val="21"/>
        <w:spacing w:line="500" w:lineRule="exact"/>
        <w:ind w:left="480" w:firstLine="0"/>
        <w:rPr>
          <w:rFonts w:hint="eastAsia"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邮编：</w:t>
      </w:r>
      <w:r>
        <w:rPr>
          <w:rFonts w:hint="eastAsia" w:asciiTheme="minorEastAsia" w:hAnsiTheme="minorEastAsia" w:eastAsiaTheme="minorEastAsia"/>
          <w:color w:val="auto"/>
          <w:sz w:val="24"/>
          <w:szCs w:val="24"/>
          <w:highlight w:val="none"/>
          <w:lang w:val="en-US" w:eastAsia="zh-CN"/>
        </w:rPr>
        <w:t xml:space="preserve">                   </w:t>
      </w:r>
      <w:r>
        <w:rPr>
          <w:rFonts w:asciiTheme="minorEastAsia" w:hAnsiTheme="minorEastAsia" w:eastAsiaTheme="minorEastAsia"/>
          <w:color w:val="auto"/>
          <w:sz w:val="24"/>
          <w:szCs w:val="24"/>
          <w:highlight w:val="none"/>
        </w:rPr>
        <w:t>电话：</w:t>
      </w:r>
      <w:r>
        <w:rPr>
          <w:rFonts w:hint="eastAsia" w:asciiTheme="minorEastAsia" w:hAnsiTheme="minorEastAsia" w:eastAsiaTheme="minorEastAsia"/>
          <w:color w:val="auto"/>
          <w:sz w:val="24"/>
          <w:szCs w:val="24"/>
          <w:highlight w:val="none"/>
          <w:lang w:val="en-US" w:eastAsia="zh-CN"/>
        </w:rPr>
        <w:t xml:space="preserve">          </w:t>
      </w:r>
      <w:r>
        <w:rPr>
          <w:rFonts w:asciiTheme="minorEastAsia" w:hAnsiTheme="minorEastAsia" w:eastAsiaTheme="minorEastAsia"/>
          <w:color w:val="auto"/>
          <w:sz w:val="24"/>
          <w:szCs w:val="24"/>
          <w:highlight w:val="none"/>
        </w:rPr>
        <w:t>传真：</w:t>
      </w:r>
    </w:p>
    <w:p w14:paraId="4FE2DF18">
      <w:pPr>
        <w:pStyle w:val="21"/>
        <w:tabs>
          <w:tab w:val="left" w:pos="5340"/>
        </w:tabs>
        <w:spacing w:before="100" w:beforeAutospacing="1" w:after="100" w:afterAutospacing="1" w:line="240" w:lineRule="auto"/>
        <w:ind w:leftChars="1600" w:firstLine="0"/>
        <w:jc w:val="left"/>
        <w:rPr>
          <w:rFonts w:hint="eastAsia" w:asciiTheme="minorEastAsia" w:hAnsiTheme="minorEastAsia" w:eastAsiaTheme="minorEastAsia"/>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投标人名称</w:t>
      </w:r>
      <w:r>
        <w:rPr>
          <w:rFonts w:hint="eastAsia" w:asciiTheme="minorEastAsia" w:hAnsiTheme="minorEastAsia" w:eastAsiaTheme="minorEastAsia"/>
          <w:color w:val="auto"/>
          <w:sz w:val="24"/>
          <w:szCs w:val="24"/>
          <w:highlight w:val="none"/>
        </w:rPr>
        <w:t>（盖公章）：</w:t>
      </w:r>
      <w:r>
        <w:rPr>
          <w:rFonts w:asciiTheme="minorEastAsia" w:hAnsiTheme="minorEastAsia" w:eastAsiaTheme="minorEastAsia"/>
          <w:color w:val="auto"/>
          <w:sz w:val="24"/>
          <w:szCs w:val="24"/>
          <w:highlight w:val="none"/>
        </w:rPr>
        <w:tab/>
      </w:r>
    </w:p>
    <w:p w14:paraId="4D9581C5">
      <w:pPr>
        <w:spacing w:line="240" w:lineRule="auto"/>
        <w:ind w:leftChars="160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法定代表人或授权委托代理人（签字或盖章）：</w:t>
      </w:r>
    </w:p>
    <w:p w14:paraId="7BA04B8A">
      <w:pPr>
        <w:spacing w:line="240" w:lineRule="auto"/>
        <w:ind w:leftChars="1600"/>
        <w:jc w:val="left"/>
        <w:rPr>
          <w:rFonts w:hint="eastAsia" w:asciiTheme="minorEastAsia" w:hAnsiTheme="minorEastAsia"/>
          <w:color w:val="auto"/>
          <w:sz w:val="24"/>
          <w:szCs w:val="24"/>
          <w:highlight w:val="none"/>
        </w:rPr>
      </w:pPr>
      <w:r>
        <w:rPr>
          <w:rFonts w:asciiTheme="minorEastAsia" w:hAnsiTheme="minorEastAsia"/>
          <w:color w:val="auto"/>
          <w:sz w:val="24"/>
          <w:szCs w:val="24"/>
          <w:highlight w:val="none"/>
        </w:rPr>
        <w:tab/>
      </w:r>
    </w:p>
    <w:p w14:paraId="4F7ED954">
      <w:pPr>
        <w:spacing w:line="240" w:lineRule="auto"/>
        <w:ind w:leftChars="1600"/>
        <w:jc w:val="left"/>
        <w:rPr>
          <w:rFonts w:hint="eastAsia" w:asciiTheme="minorEastAsia" w:hAnsiTheme="minorEastAsia"/>
          <w:color w:val="auto"/>
          <w:sz w:val="24"/>
          <w:szCs w:val="24"/>
          <w:highlight w:val="none"/>
        </w:rPr>
      </w:pPr>
      <w:r>
        <w:rPr>
          <w:rFonts w:asciiTheme="minorEastAsia" w:hAnsiTheme="minorEastAsia"/>
          <w:color w:val="auto"/>
          <w:sz w:val="24"/>
          <w:szCs w:val="24"/>
          <w:highlight w:val="none"/>
        </w:rPr>
        <w:t>日期：年   月</w:t>
      </w:r>
      <w:r>
        <w:rPr>
          <w:rFonts w:hint="eastAsia" w:asciiTheme="minorEastAsia" w:hAnsiTheme="minorEastAsia"/>
          <w:color w:val="auto"/>
          <w:sz w:val="24"/>
          <w:szCs w:val="24"/>
          <w:highlight w:val="none"/>
        </w:rPr>
        <w:t xml:space="preserve">  日</w:t>
      </w:r>
    </w:p>
    <w:p w14:paraId="336EF297">
      <w:pPr>
        <w:spacing w:line="500" w:lineRule="exact"/>
        <w:jc w:val="left"/>
        <w:rPr>
          <w:rFonts w:hint="eastAsia" w:asciiTheme="minorEastAsia" w:hAnsiTheme="minorEastAsia"/>
          <w:color w:val="auto"/>
          <w:highlight w:val="none"/>
        </w:rPr>
      </w:pPr>
      <w:r>
        <w:rPr>
          <w:rFonts w:hint="eastAsia" w:asciiTheme="minorEastAsia" w:hAnsiTheme="minorEastAsia"/>
          <w:color w:val="auto"/>
          <w:szCs w:val="21"/>
          <w:highlight w:val="none"/>
        </w:rPr>
        <w:t xml:space="preserve">    </w:t>
      </w:r>
    </w:p>
    <w:p w14:paraId="425D6824">
      <w:pPr>
        <w:widowControl/>
        <w:snapToGrid w:val="0"/>
        <w:spacing w:line="360" w:lineRule="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附：招标服务费支付承诺书</w:t>
      </w:r>
    </w:p>
    <w:p w14:paraId="14710C64">
      <w:pPr>
        <w:widowControl/>
        <w:snapToGrid w:val="0"/>
        <w:spacing w:line="360" w:lineRule="auto"/>
        <w:jc w:val="center"/>
        <w:rPr>
          <w:rFonts w:ascii="Times New Roman" w:hAnsi="Times New Roman"/>
          <w:b/>
          <w:color w:val="auto"/>
          <w:sz w:val="24"/>
          <w:szCs w:val="24"/>
          <w:highlight w:val="none"/>
        </w:rPr>
      </w:pPr>
      <w:r>
        <w:rPr>
          <w:rFonts w:hint="eastAsia" w:ascii="Times New Roman" w:hAnsi="Times New Roman"/>
          <w:b/>
          <w:color w:val="auto"/>
          <w:sz w:val="24"/>
          <w:szCs w:val="24"/>
          <w:highlight w:val="none"/>
        </w:rPr>
        <w:t>代理服务费支付承诺书</w:t>
      </w:r>
    </w:p>
    <w:p w14:paraId="4FF50D9A">
      <w:pPr>
        <w:widowControl/>
        <w:snapToGrid w:val="0"/>
        <w:spacing w:line="360" w:lineRule="auto"/>
        <w:jc w:val="center"/>
        <w:rPr>
          <w:rFonts w:ascii="Times New Roman" w:hAnsi="Times New Roman"/>
          <w:b/>
          <w:color w:val="auto"/>
          <w:sz w:val="24"/>
          <w:szCs w:val="24"/>
          <w:highlight w:val="none"/>
        </w:rPr>
      </w:pPr>
    </w:p>
    <w:p w14:paraId="0717AC68">
      <w:pPr>
        <w:widowControl/>
        <w:snapToGrid w:val="0"/>
        <w:spacing w:line="360" w:lineRule="auto"/>
        <w:rPr>
          <w:rFonts w:ascii="Times New Roman" w:hAnsi="Times New Roman"/>
          <w:b/>
          <w:color w:val="auto"/>
          <w:sz w:val="24"/>
          <w:szCs w:val="24"/>
          <w:highlight w:val="none"/>
          <w:u w:val="single"/>
        </w:rPr>
      </w:pPr>
      <w:r>
        <w:rPr>
          <w:rFonts w:hint="eastAsia" w:ascii="Times New Roman" w:hAnsi="Times New Roman"/>
          <w:b/>
          <w:color w:val="auto"/>
          <w:sz w:val="24"/>
          <w:szCs w:val="24"/>
          <w:highlight w:val="none"/>
          <w:u w:val="single"/>
        </w:rPr>
        <w:t>致：中冠工程管理</w:t>
      </w:r>
      <w:r>
        <w:rPr>
          <w:rFonts w:ascii="Times New Roman" w:hAnsi="Times New Roman"/>
          <w:b/>
          <w:color w:val="auto"/>
          <w:sz w:val="24"/>
          <w:szCs w:val="24"/>
          <w:highlight w:val="none"/>
          <w:u w:val="single"/>
        </w:rPr>
        <w:t>咨询有限公司</w:t>
      </w:r>
    </w:p>
    <w:p w14:paraId="323DD4FE">
      <w:pPr>
        <w:widowControl/>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我公司已认真阅读了</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eastAsia="zh-CN"/>
        </w:rPr>
        <w:t>台州学院药学院酶催化实验室仪器设备采购项目</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项目采购</w:t>
      </w:r>
      <w:r>
        <w:rPr>
          <w:rFonts w:ascii="Times New Roman" w:hAnsi="Times New Roman"/>
          <w:color w:val="auto"/>
          <w:sz w:val="24"/>
          <w:szCs w:val="24"/>
          <w:highlight w:val="none"/>
        </w:rPr>
        <w:t>文件并在此承诺：</w:t>
      </w:r>
    </w:p>
    <w:p w14:paraId="0920EB7E">
      <w:pPr>
        <w:widowControl/>
        <w:snapToGrid w:val="0"/>
        <w:spacing w:line="360" w:lineRule="auto"/>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如在本项目中标，我公司将在</w:t>
      </w:r>
      <w:r>
        <w:rPr>
          <w:rFonts w:hint="eastAsia" w:ascii="Times New Roman" w:hAnsi="Times New Roman"/>
          <w:color w:val="auto"/>
          <w:sz w:val="24"/>
          <w:szCs w:val="24"/>
          <w:highlight w:val="none"/>
        </w:rPr>
        <w:t>结果公示</w:t>
      </w:r>
      <w:r>
        <w:rPr>
          <w:rFonts w:ascii="Times New Roman" w:hAnsi="Times New Roman"/>
          <w:color w:val="auto"/>
          <w:sz w:val="24"/>
          <w:szCs w:val="24"/>
          <w:highlight w:val="none"/>
        </w:rPr>
        <w:t>发布之日起</w:t>
      </w:r>
      <w:r>
        <w:rPr>
          <w:rFonts w:hint="eastAsia" w:ascii="Times New Roman" w:hAnsi="Times New Roman"/>
          <w:bCs/>
          <w:color w:val="auto"/>
          <w:sz w:val="24"/>
          <w:szCs w:val="24"/>
          <w:highlight w:val="none"/>
        </w:rPr>
        <w:t>7个工作日之内</w:t>
      </w:r>
      <w:r>
        <w:rPr>
          <w:rFonts w:ascii="Times New Roman" w:hAnsi="Times New Roman"/>
          <w:color w:val="auto"/>
          <w:sz w:val="24"/>
          <w:szCs w:val="24"/>
          <w:highlight w:val="none"/>
        </w:rPr>
        <w:t>按</w:t>
      </w:r>
      <w:r>
        <w:rPr>
          <w:rFonts w:hint="eastAsia" w:ascii="Times New Roman" w:hAnsi="Times New Roman"/>
          <w:color w:val="auto"/>
          <w:sz w:val="24"/>
          <w:szCs w:val="24"/>
          <w:highlight w:val="none"/>
        </w:rPr>
        <w:t>采购</w:t>
      </w:r>
      <w:r>
        <w:rPr>
          <w:rFonts w:ascii="Times New Roman" w:hAnsi="Times New Roman"/>
          <w:color w:val="auto"/>
          <w:sz w:val="24"/>
          <w:szCs w:val="24"/>
          <w:highlight w:val="none"/>
        </w:rPr>
        <w:t>文件规定的标准（金额）一次性向</w:t>
      </w:r>
      <w:r>
        <w:rPr>
          <w:rFonts w:hint="eastAsia" w:ascii="Times New Roman" w:hAnsi="Times New Roman"/>
          <w:color w:val="auto"/>
          <w:sz w:val="24"/>
          <w:szCs w:val="24"/>
          <w:highlight w:val="none"/>
        </w:rPr>
        <w:t>贵公司</w:t>
      </w:r>
      <w:r>
        <w:rPr>
          <w:rFonts w:hint="eastAsia" w:ascii="Times New Roman" w:hAnsi="Times New Roman"/>
          <w:bCs/>
          <w:color w:val="auto"/>
          <w:sz w:val="24"/>
          <w:szCs w:val="24"/>
          <w:highlight w:val="none"/>
        </w:rPr>
        <w:t>支付招标服务费。</w:t>
      </w:r>
    </w:p>
    <w:p w14:paraId="4EF704BC">
      <w:pPr>
        <w:widowControl/>
        <w:snapToGrid w:val="0"/>
        <w:spacing w:line="360" w:lineRule="auto"/>
        <w:ind w:firstLine="480" w:firstLineChars="200"/>
        <w:rPr>
          <w:rFonts w:ascii="Times New Roman" w:hAnsi="Times New Roman"/>
          <w:color w:val="auto"/>
          <w:sz w:val="24"/>
          <w:szCs w:val="24"/>
          <w:highlight w:val="none"/>
        </w:rPr>
      </w:pPr>
      <w:r>
        <w:rPr>
          <w:rFonts w:hint="eastAsia" w:ascii="Times New Roman" w:hAnsi="Times New Roman"/>
          <w:bCs/>
          <w:color w:val="auto"/>
          <w:sz w:val="24"/>
          <w:szCs w:val="24"/>
          <w:highlight w:val="none"/>
        </w:rPr>
        <w:t>若我司未按上述承诺内容执行，我司自愿承担本项目招标服务费200%的违约金，且在中标通知书领取后5个工作日内支付上述违约金，否则由此引起的一切法律责任和经济责任由我公司承担。</w:t>
      </w:r>
    </w:p>
    <w:p w14:paraId="757D7078">
      <w:pPr>
        <w:widowControl/>
        <w:snapToGrid w:val="0"/>
        <w:spacing w:line="360" w:lineRule="auto"/>
        <w:ind w:left="479" w:leftChars="228"/>
        <w:rPr>
          <w:rFonts w:ascii="Times New Roman" w:hAnsi="Times New Roman"/>
          <w:b/>
          <w:color w:val="auto"/>
          <w:sz w:val="24"/>
          <w:szCs w:val="24"/>
          <w:highlight w:val="none"/>
        </w:rPr>
      </w:pPr>
    </w:p>
    <w:p w14:paraId="68509311">
      <w:pPr>
        <w:widowControl/>
        <w:snapToGrid w:val="0"/>
        <w:spacing w:line="360" w:lineRule="auto"/>
        <w:rPr>
          <w:rFonts w:ascii="Times New Roman" w:hAnsi="Times New Roman"/>
          <w:color w:val="auto"/>
          <w:sz w:val="24"/>
          <w:szCs w:val="24"/>
          <w:highlight w:val="none"/>
        </w:rPr>
      </w:pPr>
    </w:p>
    <w:p w14:paraId="7626ED88">
      <w:pPr>
        <w:widowControl/>
        <w:snapToGrid w:val="0"/>
        <w:spacing w:line="360" w:lineRule="auto"/>
        <w:rPr>
          <w:rFonts w:ascii="Times New Roman" w:hAnsi="Times New Roman"/>
          <w:color w:val="auto"/>
          <w:sz w:val="24"/>
          <w:szCs w:val="24"/>
          <w:highlight w:val="none"/>
        </w:rPr>
      </w:pPr>
    </w:p>
    <w:p w14:paraId="4E736BFF">
      <w:pPr>
        <w:widowControl/>
        <w:snapToGrid w:val="0"/>
        <w:spacing w:line="360" w:lineRule="auto"/>
        <w:rPr>
          <w:rFonts w:ascii="Times New Roman" w:hAnsi="Times New Roman"/>
          <w:color w:val="auto"/>
          <w:sz w:val="24"/>
          <w:szCs w:val="24"/>
          <w:highlight w:val="none"/>
        </w:rPr>
      </w:pPr>
    </w:p>
    <w:p w14:paraId="3D02FD90">
      <w:pPr>
        <w:spacing w:line="48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投标人名称（公章）：</w:t>
      </w:r>
    </w:p>
    <w:p w14:paraId="36C654AE">
      <w:pPr>
        <w:spacing w:line="48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法定代表人/负责人或授权代表（签字或盖章）：                       </w:t>
      </w:r>
    </w:p>
    <w:p w14:paraId="71AB691B">
      <w:pPr>
        <w:widowControl/>
        <w:snapToGrid w:val="0"/>
        <w:spacing w:line="480" w:lineRule="auto"/>
        <w:ind w:right="375"/>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p>
    <w:p w14:paraId="57EC1F1A">
      <w:pPr>
        <w:widowControl/>
        <w:snapToGrid w:val="0"/>
        <w:spacing w:line="360" w:lineRule="auto"/>
        <w:ind w:right="480"/>
        <w:rPr>
          <w:rFonts w:ascii="Times New Roman" w:hAnsi="Times New Roman"/>
          <w:color w:val="auto"/>
          <w:sz w:val="24"/>
          <w:szCs w:val="24"/>
          <w:highlight w:val="none"/>
        </w:rPr>
      </w:pPr>
    </w:p>
    <w:p w14:paraId="187210AC">
      <w:pPr>
        <w:widowControl/>
        <w:snapToGrid w:val="0"/>
        <w:spacing w:line="360" w:lineRule="auto"/>
        <w:ind w:right="480"/>
        <w:rPr>
          <w:rFonts w:ascii="Times New Roman" w:hAnsi="Times New Roman"/>
          <w:color w:val="auto"/>
          <w:sz w:val="24"/>
          <w:szCs w:val="24"/>
          <w:highlight w:val="none"/>
        </w:rPr>
      </w:pPr>
    </w:p>
    <w:p w14:paraId="6AF6635C">
      <w:pPr>
        <w:widowControl/>
        <w:snapToGrid w:val="0"/>
        <w:spacing w:line="360" w:lineRule="auto"/>
        <w:ind w:right="480"/>
        <w:rPr>
          <w:rFonts w:ascii="Times New Roman" w:hAnsi="Times New Roman"/>
          <w:color w:val="auto"/>
          <w:sz w:val="24"/>
          <w:szCs w:val="24"/>
          <w:highlight w:val="none"/>
        </w:rPr>
      </w:pPr>
    </w:p>
    <w:p w14:paraId="094EA834">
      <w:pPr>
        <w:widowControl/>
        <w:snapToGrid w:val="0"/>
        <w:spacing w:line="360" w:lineRule="auto"/>
        <w:ind w:right="480"/>
        <w:rPr>
          <w:rFonts w:ascii="Times New Roman" w:hAnsi="Times New Roman"/>
          <w:color w:val="auto"/>
          <w:sz w:val="24"/>
          <w:szCs w:val="24"/>
          <w:highlight w:val="none"/>
        </w:rPr>
      </w:pPr>
    </w:p>
    <w:p w14:paraId="29977609">
      <w:pPr>
        <w:widowControl/>
        <w:snapToGrid w:val="0"/>
        <w:spacing w:line="360" w:lineRule="auto"/>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中冠工程</w:t>
      </w:r>
      <w:r>
        <w:rPr>
          <w:rFonts w:ascii="Times New Roman" w:hAnsi="Times New Roman"/>
          <w:color w:val="auto"/>
          <w:sz w:val="24"/>
          <w:szCs w:val="24"/>
          <w:highlight w:val="none"/>
        </w:rPr>
        <w:t>管理咨询有限</w:t>
      </w:r>
      <w:r>
        <w:rPr>
          <w:rFonts w:hint="eastAsia" w:ascii="Times New Roman" w:hAnsi="Times New Roman"/>
          <w:color w:val="auto"/>
          <w:sz w:val="24"/>
          <w:szCs w:val="24"/>
          <w:highlight w:val="none"/>
        </w:rPr>
        <w:t>公司代理服务费收取账号信息：</w:t>
      </w:r>
    </w:p>
    <w:p w14:paraId="3297F204">
      <w:pPr>
        <w:pStyle w:val="21"/>
        <w:spacing w:line="444"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开户银行：中国农业银行股份有限公司台州经济开发区支行</w:t>
      </w:r>
    </w:p>
    <w:p w14:paraId="0A2C4684">
      <w:pPr>
        <w:pStyle w:val="21"/>
        <w:spacing w:line="444"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户名：中冠工程管理咨询有限公司台州分公司</w:t>
      </w:r>
    </w:p>
    <w:p w14:paraId="5F99FF3B">
      <w:pPr>
        <w:snapToGrid w:val="0"/>
        <w:spacing w:before="50" w:after="50"/>
        <w:rPr>
          <w:rFonts w:ascii="Times New Roman" w:hAnsi="Times New Roman" w:eastAsia="宋体"/>
          <w:color w:val="auto"/>
          <w:sz w:val="24"/>
          <w:szCs w:val="24"/>
          <w:highlight w:val="none"/>
        </w:rPr>
      </w:pPr>
      <w:r>
        <w:rPr>
          <w:rFonts w:hint="eastAsia" w:cs="Times New Roman" w:asciiTheme="minorEastAsia" w:hAnsiTheme="minorEastAsia"/>
          <w:color w:val="auto"/>
          <w:sz w:val="24"/>
          <w:szCs w:val="24"/>
          <w:highlight w:val="none"/>
        </w:rPr>
        <w:t>账号：19900101040031566</w:t>
      </w:r>
    </w:p>
    <w:p w14:paraId="37A6D9E8">
      <w:pPr>
        <w:spacing w:line="360" w:lineRule="auto"/>
        <w:jc w:val="center"/>
        <w:rPr>
          <w:rFonts w:hint="eastAsia" w:cs="宋体" w:asciiTheme="minorEastAsia" w:hAnsiTheme="minorEastAsia" w:eastAsiaTheme="minorEastAsia"/>
          <w:b/>
          <w:bCs/>
          <w:color w:val="auto"/>
          <w:kern w:val="0"/>
          <w:sz w:val="32"/>
          <w:szCs w:val="32"/>
          <w:highlight w:val="none"/>
          <w:lang w:eastAsia="zh-CN"/>
        </w:rPr>
      </w:pPr>
    </w:p>
    <w:p w14:paraId="7E0350C3">
      <w:pPr>
        <w:spacing w:line="360" w:lineRule="auto"/>
        <w:jc w:val="center"/>
        <w:rPr>
          <w:rFonts w:hint="eastAsia" w:cs="宋体" w:asciiTheme="minorEastAsia" w:hAnsiTheme="minorEastAsia" w:eastAsiaTheme="minorEastAsia"/>
          <w:b/>
          <w:bCs/>
          <w:color w:val="auto"/>
          <w:kern w:val="0"/>
          <w:sz w:val="32"/>
          <w:szCs w:val="32"/>
          <w:highlight w:val="none"/>
          <w:lang w:eastAsia="zh-CN"/>
        </w:rPr>
      </w:pPr>
    </w:p>
    <w:p w14:paraId="65AC3C9A">
      <w:pPr>
        <w:spacing w:line="360" w:lineRule="auto"/>
        <w:jc w:val="center"/>
        <w:rPr>
          <w:rFonts w:hint="eastAsia" w:cs="宋体" w:asciiTheme="minorEastAsia" w:hAnsiTheme="minorEastAsia" w:eastAsiaTheme="minorEastAsia"/>
          <w:b/>
          <w:bCs/>
          <w:color w:val="auto"/>
          <w:kern w:val="0"/>
          <w:sz w:val="32"/>
          <w:szCs w:val="32"/>
          <w:highlight w:val="none"/>
          <w:lang w:eastAsia="zh-CN"/>
        </w:rPr>
      </w:pPr>
    </w:p>
    <w:p w14:paraId="622FAFA6">
      <w:pPr>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lang w:eastAsia="zh-CN"/>
        </w:rPr>
        <w:t>二</w:t>
      </w:r>
      <w:r>
        <w:rPr>
          <w:rFonts w:hint="eastAsia" w:cs="宋体" w:asciiTheme="minorEastAsia" w:hAnsiTheme="minorEastAsia" w:eastAsiaTheme="minorEastAsia"/>
          <w:b/>
          <w:bCs/>
          <w:color w:val="auto"/>
          <w:kern w:val="0"/>
          <w:sz w:val="32"/>
          <w:szCs w:val="32"/>
          <w:highlight w:val="none"/>
        </w:rPr>
        <w:t>、</w:t>
      </w:r>
      <w:r>
        <w:rPr>
          <w:rFonts w:cs="宋体" w:asciiTheme="minorEastAsia" w:hAnsiTheme="minorEastAsia" w:eastAsiaTheme="minorEastAsia"/>
          <w:b/>
          <w:bCs/>
          <w:color w:val="auto"/>
          <w:kern w:val="0"/>
          <w:sz w:val="32"/>
          <w:szCs w:val="32"/>
          <w:highlight w:val="none"/>
        </w:rPr>
        <w:t>开标一览表</w:t>
      </w:r>
    </w:p>
    <w:p w14:paraId="098471AF">
      <w:pPr>
        <w:tabs>
          <w:tab w:val="left" w:pos="8280"/>
        </w:tabs>
        <w:autoSpaceDE w:val="0"/>
        <w:autoSpaceDN w:val="0"/>
        <w:adjustRightInd w:val="0"/>
        <w:spacing w:line="300" w:lineRule="exact"/>
        <w:ind w:firstLine="360" w:firstLineChars="15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项目编号：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项目名称：</w:t>
      </w:r>
      <w:r>
        <w:rPr>
          <w:rFonts w:hint="eastAsia" w:ascii="宋体" w:hAnsi="宋体" w:cs="宋体"/>
          <w:color w:val="auto"/>
          <w:sz w:val="24"/>
          <w:highlight w:val="none"/>
          <w:lang w:val="en-US" w:eastAsia="zh-CN"/>
        </w:rPr>
        <w:t xml:space="preserve">   </w:t>
      </w:r>
    </w:p>
    <w:tbl>
      <w:tblPr>
        <w:tblStyle w:val="47"/>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46"/>
        <w:gridCol w:w="4125"/>
        <w:gridCol w:w="1735"/>
      </w:tblGrid>
      <w:tr w14:paraId="4252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1" w:type="dxa"/>
            <w:vAlign w:val="center"/>
          </w:tcPr>
          <w:p w14:paraId="045B0E64">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546" w:type="dxa"/>
            <w:vAlign w:val="center"/>
          </w:tcPr>
          <w:p w14:paraId="5063BDE5">
            <w:pPr>
              <w:keepNext w:val="0"/>
              <w:keepLines w:val="0"/>
              <w:suppressLineNumbers w:val="0"/>
              <w:spacing w:before="0" w:beforeAutospacing="0" w:after="0" w:afterAutospacing="0" w:line="360" w:lineRule="auto"/>
              <w:ind w:left="42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项目名称</w:t>
            </w:r>
          </w:p>
        </w:tc>
        <w:tc>
          <w:tcPr>
            <w:tcW w:w="4125" w:type="dxa"/>
            <w:vAlign w:val="center"/>
          </w:tcPr>
          <w:p w14:paraId="12504252">
            <w:pPr>
              <w:keepNext w:val="0"/>
              <w:keepLines w:val="0"/>
              <w:suppressLineNumbers w:val="0"/>
              <w:spacing w:before="0" w:beforeAutospacing="0" w:after="0" w:afterAutospacing="0" w:line="360" w:lineRule="auto"/>
              <w:ind w:left="42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投标报价</w:t>
            </w:r>
          </w:p>
        </w:tc>
        <w:tc>
          <w:tcPr>
            <w:tcW w:w="1735" w:type="dxa"/>
            <w:vAlign w:val="center"/>
          </w:tcPr>
          <w:p w14:paraId="25927E2F">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5579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restart"/>
            <w:vAlign w:val="center"/>
          </w:tcPr>
          <w:p w14:paraId="1FF24CE3">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1</w:t>
            </w:r>
          </w:p>
        </w:tc>
        <w:tc>
          <w:tcPr>
            <w:tcW w:w="2546" w:type="dxa"/>
            <w:vMerge w:val="restart"/>
            <w:vAlign w:val="center"/>
          </w:tcPr>
          <w:p w14:paraId="07BB9326">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c>
          <w:tcPr>
            <w:tcW w:w="4125" w:type="dxa"/>
            <w:vAlign w:val="center"/>
          </w:tcPr>
          <w:p w14:paraId="52410E72">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1735" w:type="dxa"/>
            <w:vMerge w:val="restart"/>
            <w:vAlign w:val="center"/>
          </w:tcPr>
          <w:p w14:paraId="07CCDFB1">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r>
      <w:tr w14:paraId="3264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continue"/>
            <w:vAlign w:val="center"/>
          </w:tcPr>
          <w:p w14:paraId="1A19CC1E">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c>
          <w:tcPr>
            <w:tcW w:w="2546" w:type="dxa"/>
            <w:vMerge w:val="continue"/>
            <w:vAlign w:val="center"/>
          </w:tcPr>
          <w:p w14:paraId="3F54584C">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c>
          <w:tcPr>
            <w:tcW w:w="4125" w:type="dxa"/>
            <w:vAlign w:val="center"/>
          </w:tcPr>
          <w:p w14:paraId="11399477">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1735" w:type="dxa"/>
            <w:vMerge w:val="continue"/>
            <w:vAlign w:val="center"/>
          </w:tcPr>
          <w:p w14:paraId="69AA1666">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r>
      <w:tr w14:paraId="66A0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87" w:type="dxa"/>
            <w:gridSpan w:val="2"/>
            <w:vAlign w:val="center"/>
          </w:tcPr>
          <w:p w14:paraId="57F3ADD2">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default" w:ascii="宋体" w:hAnsi="宋体" w:eastAsia="宋体" w:cs="宋体"/>
                <w:color w:val="auto"/>
                <w:sz w:val="24"/>
                <w:highlight w:val="none"/>
              </w:rPr>
              <w:t>交货期</w:t>
            </w:r>
          </w:p>
        </w:tc>
        <w:tc>
          <w:tcPr>
            <w:tcW w:w="5860" w:type="dxa"/>
            <w:gridSpan w:val="2"/>
            <w:vAlign w:val="center"/>
          </w:tcPr>
          <w:p w14:paraId="5AED4B52">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r>
    </w:tbl>
    <w:p w14:paraId="26429C92">
      <w:pPr>
        <w:pStyle w:val="126"/>
        <w:spacing w:line="360" w:lineRule="auto"/>
        <w:ind w:right="480"/>
        <w:jc w:val="left"/>
        <w:rPr>
          <w:rFonts w:ascii="宋体" w:hAnsi="宋体" w:cs="宋体"/>
          <w:color w:val="auto"/>
          <w:sz w:val="24"/>
          <w:highlight w:val="none"/>
        </w:rPr>
      </w:pPr>
      <w:r>
        <w:rPr>
          <w:rFonts w:hint="eastAsia" w:ascii="宋体" w:hAnsi="宋体" w:cs="宋体"/>
          <w:color w:val="auto"/>
          <w:sz w:val="24"/>
          <w:highlight w:val="none"/>
        </w:rPr>
        <w:t xml:space="preserve"> 填报要求：</w:t>
      </w:r>
    </w:p>
    <w:p w14:paraId="6D761ABF">
      <w:pPr>
        <w:spacing w:line="360" w:lineRule="auto"/>
        <w:ind w:left="420"/>
        <w:rPr>
          <w:rFonts w:ascii="宋体" w:hAnsi="宋体" w:cs="宋体"/>
          <w:color w:val="auto"/>
          <w:sz w:val="24"/>
          <w:highlight w:val="none"/>
        </w:rPr>
      </w:pPr>
      <w:r>
        <w:rPr>
          <w:rFonts w:ascii="宋体" w:hAnsi="宋体" w:cs="宋体"/>
          <w:color w:val="auto"/>
          <w:sz w:val="24"/>
          <w:highlight w:val="none"/>
        </w:rPr>
        <w:t>1.报价一经涂改，应在涂改处加盖单位公章或者由法定代表人或授权委托人签字或盖章，否则其投标作无效标处理；</w:t>
      </w:r>
    </w:p>
    <w:p w14:paraId="04A0871A">
      <w:pPr>
        <w:spacing w:line="360" w:lineRule="auto"/>
        <w:ind w:left="420"/>
        <w:rPr>
          <w:rFonts w:ascii="宋体" w:hAnsi="宋体" w:cs="宋体"/>
          <w:color w:val="auto"/>
          <w:sz w:val="24"/>
          <w:highlight w:val="none"/>
        </w:rPr>
      </w:pPr>
      <w:r>
        <w:rPr>
          <w:rFonts w:ascii="宋体" w:hAnsi="宋体" w:cs="宋体"/>
          <w:color w:val="auto"/>
          <w:sz w:val="24"/>
          <w:highlight w:val="none"/>
        </w:rPr>
        <w:t>2.</w:t>
      </w:r>
      <w:r>
        <w:rPr>
          <w:rFonts w:hint="eastAsia" w:ascii="宋体"/>
          <w:color w:val="auto"/>
          <w:kern w:val="0"/>
          <w:sz w:val="24"/>
          <w:szCs w:val="20"/>
          <w:highlight w:val="none"/>
        </w:rPr>
        <w:t>▲</w:t>
      </w:r>
      <w:r>
        <w:rPr>
          <w:rFonts w:hint="eastAsia" w:ascii="宋体" w:hAnsi="宋体" w:cs="宋体"/>
          <w:color w:val="auto"/>
          <w:sz w:val="24"/>
          <w:highlight w:val="none"/>
        </w:rPr>
        <w:t>投标报价应是采购文件所确定的招标范围内全部工作内容的价格表现。</w:t>
      </w:r>
      <w:r>
        <w:rPr>
          <w:rFonts w:hint="eastAsia" w:ascii="宋体"/>
          <w:color w:val="auto"/>
          <w:kern w:val="0"/>
          <w:sz w:val="24"/>
          <w:szCs w:val="20"/>
          <w:highlight w:val="none"/>
        </w:rPr>
        <w:t>所有设备（含进口和非进口）均采用人民币报价。本项目的成交报价应包含</w:t>
      </w:r>
      <w:r>
        <w:rPr>
          <w:rFonts w:hint="eastAsia" w:hAnsi="宋体"/>
          <w:color w:val="auto"/>
          <w:sz w:val="24"/>
          <w:highlight w:val="none"/>
        </w:rPr>
        <w:t>货款、标准附件、备品备件、专用工具、包装、运输、装卸、保险、税金、货到就位以及安装、调试、培训、保修、</w:t>
      </w:r>
      <w:r>
        <w:rPr>
          <w:rFonts w:hint="eastAsia" w:hAnsi="宋体"/>
          <w:b/>
          <w:color w:val="auto"/>
          <w:sz w:val="24"/>
          <w:highlight w:val="none"/>
        </w:rPr>
        <w:t>进口设备的外贸代理费</w:t>
      </w:r>
      <w:r>
        <w:rPr>
          <w:rFonts w:hint="eastAsia" w:hAnsi="宋体"/>
          <w:color w:val="auto"/>
          <w:sz w:val="24"/>
          <w:highlight w:val="none"/>
        </w:rPr>
        <w:t>等一切税金和费用</w:t>
      </w:r>
      <w:r>
        <w:rPr>
          <w:rFonts w:ascii="宋体" w:hAnsi="宋体" w:cs="宋体"/>
          <w:color w:val="auto"/>
          <w:sz w:val="24"/>
          <w:highlight w:val="none"/>
        </w:rPr>
        <w:t>。</w:t>
      </w:r>
    </w:p>
    <w:p w14:paraId="6CD6DB66">
      <w:pPr>
        <w:spacing w:line="600" w:lineRule="auto"/>
        <w:ind w:leftChars="1900"/>
        <w:jc w:val="left"/>
        <w:rPr>
          <w:rFonts w:ascii="宋体" w:hAnsi="宋体" w:cs="宋体"/>
          <w:color w:val="auto"/>
          <w:sz w:val="24"/>
          <w:highlight w:val="none"/>
        </w:rPr>
      </w:pPr>
      <w:r>
        <w:rPr>
          <w:rFonts w:hint="eastAsia" w:ascii="宋体" w:hAnsi="宋体" w:cs="宋体"/>
          <w:color w:val="auto"/>
          <w:sz w:val="24"/>
          <w:highlight w:val="none"/>
        </w:rPr>
        <w:t>投标人名称（盖公章）：</w:t>
      </w:r>
    </w:p>
    <w:p w14:paraId="2BBC556C">
      <w:pPr>
        <w:spacing w:line="600" w:lineRule="auto"/>
        <w:ind w:leftChars="1900"/>
        <w:jc w:val="left"/>
        <w:rPr>
          <w:rFonts w:ascii="宋体" w:hAnsi="宋体" w:cs="宋体"/>
          <w:color w:val="auto"/>
          <w:sz w:val="24"/>
          <w:highlight w:val="none"/>
        </w:rPr>
      </w:pPr>
      <w:r>
        <w:rPr>
          <w:rFonts w:hint="eastAsia" w:ascii="宋体" w:hAnsi="宋体" w:cs="宋体"/>
          <w:color w:val="auto"/>
          <w:sz w:val="24"/>
          <w:highlight w:val="none"/>
        </w:rPr>
        <w:t>法定代表人或代理人（签字或盖章）：</w:t>
      </w:r>
    </w:p>
    <w:p w14:paraId="68BA9993">
      <w:pPr>
        <w:spacing w:line="600" w:lineRule="auto"/>
        <w:ind w:leftChars="1900"/>
        <w:jc w:val="left"/>
        <w:rPr>
          <w:rFonts w:hint="eastAsia" w:ascii="宋体" w:hAnsi="宋体" w:cs="宋体"/>
          <w:color w:val="auto"/>
          <w:sz w:val="24"/>
          <w:highlight w:val="none"/>
        </w:rPr>
        <w:sectPr>
          <w:footerReference r:id="rId15" w:type="default"/>
          <w:pgSz w:w="11906" w:h="16838"/>
          <w:pgMar w:top="1213" w:right="1463" w:bottom="1157" w:left="1463"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color w:val="auto"/>
          <w:sz w:val="24"/>
          <w:highlight w:val="none"/>
        </w:rPr>
        <w:t>日        期：</w:t>
      </w:r>
    </w:p>
    <w:p w14:paraId="5DF7A0F8">
      <w:pPr>
        <w:pageBreakBefore/>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lang w:val="en-US" w:eastAsia="zh-CN"/>
        </w:rPr>
        <w:t>三</w:t>
      </w:r>
      <w:r>
        <w:rPr>
          <w:rFonts w:hint="eastAsia" w:cs="宋体" w:asciiTheme="minorEastAsia" w:hAnsiTheme="minorEastAsia" w:eastAsiaTheme="minorEastAsia"/>
          <w:b/>
          <w:bCs/>
          <w:color w:val="auto"/>
          <w:kern w:val="0"/>
          <w:sz w:val="32"/>
          <w:szCs w:val="32"/>
          <w:highlight w:val="none"/>
        </w:rPr>
        <w:t>、报价明细表</w:t>
      </w:r>
    </w:p>
    <w:p w14:paraId="6E8A8AFD">
      <w:pPr>
        <w:tabs>
          <w:tab w:val="left" w:pos="8280"/>
        </w:tabs>
        <w:autoSpaceDE w:val="0"/>
        <w:autoSpaceDN w:val="0"/>
        <w:adjustRightInd w:val="0"/>
        <w:spacing w:line="300" w:lineRule="exact"/>
        <w:rPr>
          <w:rFonts w:hint="eastAsia" w:ascii="Arial" w:hAnsi="Arial" w:eastAsia="新宋体" w:cs="Arial"/>
          <w:b/>
          <w:bCs w:val="0"/>
          <w:color w:val="auto"/>
          <w:sz w:val="24"/>
          <w:highlight w:val="none"/>
          <w:lang w:val="en-US" w:eastAsia="zh-CN"/>
        </w:rPr>
      </w:pPr>
      <w:r>
        <w:rPr>
          <w:rFonts w:ascii="Arial" w:hAnsi="Arial" w:cs="Arial"/>
          <w:b/>
          <w:color w:val="auto"/>
          <w:sz w:val="24"/>
          <w:highlight w:val="none"/>
        </w:rPr>
        <w:t xml:space="preserve">项目编号: </w:t>
      </w:r>
      <w:r>
        <w:rPr>
          <w:rFonts w:hint="eastAsia" w:ascii="Arial" w:hAnsi="Arial" w:cs="Arial"/>
          <w:b/>
          <w:color w:val="auto"/>
          <w:sz w:val="24"/>
          <w:highlight w:val="none"/>
        </w:rPr>
        <w:t xml:space="preserve">              </w:t>
      </w:r>
      <w:r>
        <w:rPr>
          <w:rFonts w:hint="eastAsia" w:ascii="Arial" w:hAnsi="Arial" w:cs="Arial"/>
          <w:b/>
          <w:color w:val="auto"/>
          <w:sz w:val="24"/>
          <w:highlight w:val="none"/>
          <w:lang w:val="en-US" w:eastAsia="zh-CN"/>
        </w:rPr>
        <w:t xml:space="preserve">                            </w:t>
      </w:r>
      <w:r>
        <w:rPr>
          <w:rFonts w:hint="eastAsia" w:ascii="Arial" w:hAnsi="Arial" w:cs="Arial"/>
          <w:b/>
          <w:color w:val="auto"/>
          <w:sz w:val="24"/>
          <w:highlight w:val="none"/>
        </w:rPr>
        <w:t xml:space="preserve"> </w:t>
      </w:r>
      <w:r>
        <w:rPr>
          <w:rFonts w:ascii="Arial" w:hAnsi="Arial" w:eastAsia="新宋体" w:cs="Arial"/>
          <w:b/>
          <w:color w:val="auto"/>
          <w:sz w:val="24"/>
          <w:highlight w:val="none"/>
        </w:rPr>
        <w:t>项目名称：</w:t>
      </w:r>
      <w:r>
        <w:rPr>
          <w:rFonts w:hint="eastAsia" w:ascii="Arial" w:hAnsi="Arial" w:eastAsia="新宋体" w:cs="Arial"/>
          <w:b/>
          <w:color w:val="auto"/>
          <w:sz w:val="24"/>
          <w:highlight w:val="none"/>
          <w:lang w:val="en-US" w:eastAsia="zh-CN"/>
        </w:rPr>
        <w:t xml:space="preserve">  </w:t>
      </w:r>
      <w:r>
        <w:rPr>
          <w:rFonts w:hint="eastAsia" w:ascii="Arial" w:hAnsi="Arial" w:eastAsia="新宋体" w:cs="Arial"/>
          <w:b/>
          <w:bCs w:val="0"/>
          <w:color w:val="auto"/>
          <w:sz w:val="24"/>
          <w:highlight w:val="none"/>
          <w:lang w:val="en-US" w:eastAsia="zh-CN"/>
        </w:rPr>
        <w:t xml:space="preserve">  </w:t>
      </w:r>
    </w:p>
    <w:p w14:paraId="1B89B72C">
      <w:pPr>
        <w:tabs>
          <w:tab w:val="left" w:pos="8280"/>
        </w:tabs>
        <w:autoSpaceDE w:val="0"/>
        <w:autoSpaceDN w:val="0"/>
        <w:adjustRightInd w:val="0"/>
        <w:spacing w:line="300" w:lineRule="exact"/>
        <w:rPr>
          <w:rFonts w:hint="eastAsia" w:ascii="Arial" w:hAnsi="Arial" w:eastAsia="新宋体" w:cs="Arial"/>
          <w:b/>
          <w:bCs w:val="0"/>
          <w:color w:val="auto"/>
          <w:sz w:val="24"/>
          <w:highlight w:val="none"/>
          <w:lang w:val="en-US" w:eastAsia="zh-CN"/>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808"/>
        <w:gridCol w:w="2039"/>
        <w:gridCol w:w="1275"/>
        <w:gridCol w:w="781"/>
        <w:gridCol w:w="567"/>
        <w:gridCol w:w="623"/>
        <w:gridCol w:w="623"/>
        <w:gridCol w:w="485"/>
        <w:gridCol w:w="485"/>
      </w:tblGrid>
      <w:tr w14:paraId="2D58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192FF0FF">
            <w:pPr>
              <w:keepNext w:val="0"/>
              <w:keepLines w:val="0"/>
              <w:suppressLineNumbers w:val="0"/>
              <w:tabs>
                <w:tab w:val="left" w:pos="8280"/>
              </w:tabs>
              <w:autoSpaceDE w:val="0"/>
              <w:autoSpaceDN w:val="0"/>
              <w:adjustRightInd w:val="0"/>
              <w:spacing w:before="0" w:beforeAutospacing="0" w:after="0" w:afterAutospacing="0" w:line="288" w:lineRule="auto"/>
              <w:ind w:left="0" w:right="25"/>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8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647F720">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设备名称</w:t>
            </w:r>
          </w:p>
          <w:p w14:paraId="73812D4A">
            <w:pPr>
              <w:keepNext w:val="0"/>
              <w:keepLines w:val="0"/>
              <w:suppressLineNumbers w:val="0"/>
              <w:tabs>
                <w:tab w:val="left" w:pos="8280"/>
              </w:tabs>
              <w:autoSpaceDE w:val="0"/>
              <w:autoSpaceDN w:val="0"/>
              <w:adjustRightInd w:val="0"/>
              <w:spacing w:before="0" w:beforeAutospacing="0" w:after="0" w:afterAutospacing="0" w:line="288" w:lineRule="auto"/>
              <w:ind w:left="0" w:right="25"/>
              <w:jc w:val="center"/>
              <w:rPr>
                <w:rFonts w:hint="eastAsia" w:asciiTheme="minorEastAsia" w:hAnsiTheme="minorEastAsia" w:eastAsiaTheme="minorEastAsia" w:cstheme="minorEastAsia"/>
                <w:b/>
                <w:color w:val="auto"/>
                <w:sz w:val="24"/>
                <w:szCs w:val="24"/>
                <w:highlight w:val="none"/>
              </w:rPr>
            </w:pPr>
            <w:r>
              <w:rPr>
                <w:rFonts w:hint="eastAsia" w:ascii="宋体" w:hAnsi="宋体" w:cs="宋体"/>
                <w:b/>
                <w:bCs/>
                <w:color w:val="auto"/>
                <w:sz w:val="24"/>
                <w:highlight w:val="none"/>
              </w:rPr>
              <w:t>（采购标的）</w:t>
            </w:r>
          </w:p>
        </w:tc>
        <w:tc>
          <w:tcPr>
            <w:tcW w:w="204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DF108F4">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制造商名称（全称）</w:t>
            </w:r>
          </w:p>
        </w:tc>
        <w:tc>
          <w:tcPr>
            <w:tcW w:w="127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4E2FA5E5">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是否是</w:t>
            </w:r>
            <w:r>
              <w:rPr>
                <w:rFonts w:hint="eastAsia" w:asciiTheme="minorEastAsia" w:hAnsiTheme="minorEastAsia" w:eastAsiaTheme="minorEastAsia" w:cstheme="minorEastAsia"/>
                <w:b/>
                <w:bCs/>
                <w:color w:val="auto"/>
                <w:sz w:val="24"/>
                <w:szCs w:val="24"/>
                <w:highlight w:val="none"/>
                <w:lang w:eastAsia="zh-CN"/>
              </w:rPr>
              <w:t>中</w:t>
            </w:r>
            <w:r>
              <w:rPr>
                <w:rFonts w:hint="eastAsia" w:asciiTheme="minorEastAsia" w:hAnsiTheme="minorEastAsia" w:eastAsiaTheme="minorEastAsia" w:cstheme="minorEastAsia"/>
                <w:b/>
                <w:bCs/>
                <w:color w:val="auto"/>
                <w:sz w:val="24"/>
                <w:szCs w:val="24"/>
                <w:highlight w:val="none"/>
              </w:rPr>
              <w:t>小微企业</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54DE14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品牌、产地</w:t>
            </w:r>
          </w:p>
          <w:p w14:paraId="72D92C0F">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（如有）</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670D8517">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型号和规格</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7C2AFEA0">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数量</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98A948A">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单位</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2D34AD99">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单价</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67B5B399">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总价</w:t>
            </w:r>
          </w:p>
        </w:tc>
      </w:tr>
      <w:tr w14:paraId="5020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06F97BB">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09" w:type="dxa"/>
            <w:tcBorders>
              <w:top w:val="single" w:color="auto" w:sz="4" w:space="0"/>
              <w:left w:val="single" w:color="auto" w:sz="4" w:space="0"/>
              <w:bottom w:val="single" w:color="auto" w:sz="4" w:space="0"/>
              <w:right w:val="single" w:color="auto" w:sz="4" w:space="0"/>
            </w:tcBorders>
            <w:vAlign w:val="center"/>
          </w:tcPr>
          <w:p w14:paraId="625A1C7C">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高效液相色谱仪</w:t>
            </w:r>
          </w:p>
        </w:tc>
        <w:tc>
          <w:tcPr>
            <w:tcW w:w="2040" w:type="dxa"/>
            <w:tcBorders>
              <w:top w:val="single" w:color="auto" w:sz="4" w:space="0"/>
              <w:left w:val="single" w:color="auto" w:sz="4" w:space="0"/>
              <w:bottom w:val="single" w:color="auto" w:sz="4" w:space="0"/>
              <w:right w:val="single" w:color="auto" w:sz="4" w:space="0"/>
            </w:tcBorders>
            <w:vAlign w:val="center"/>
          </w:tcPr>
          <w:p w14:paraId="145B6144">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7DBADCC">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96585F5">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0F8F687">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14:paraId="18CEF655">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23" w:type="dxa"/>
            <w:tcBorders>
              <w:top w:val="single" w:color="auto" w:sz="4" w:space="0"/>
              <w:left w:val="single" w:color="auto" w:sz="4" w:space="0"/>
              <w:bottom w:val="single" w:color="auto" w:sz="4" w:space="0"/>
              <w:right w:val="single" w:color="auto" w:sz="4" w:space="0"/>
            </w:tcBorders>
            <w:vAlign w:val="center"/>
          </w:tcPr>
          <w:p w14:paraId="15C8F7C5">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0" w:type="auto"/>
            <w:tcBorders>
              <w:top w:val="single" w:color="auto" w:sz="4" w:space="0"/>
              <w:left w:val="single" w:color="auto" w:sz="4" w:space="0"/>
              <w:bottom w:val="single" w:color="auto" w:sz="4" w:space="0"/>
              <w:right w:val="single" w:color="auto" w:sz="4" w:space="0"/>
            </w:tcBorders>
            <w:vAlign w:val="center"/>
          </w:tcPr>
          <w:p w14:paraId="4F627C05">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9573DEC">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r>
      <w:tr w14:paraId="6C48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2A4C01F">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09" w:type="dxa"/>
            <w:tcBorders>
              <w:top w:val="single" w:color="auto" w:sz="4" w:space="0"/>
              <w:left w:val="single" w:color="auto" w:sz="4" w:space="0"/>
              <w:bottom w:val="single" w:color="auto" w:sz="4" w:space="0"/>
              <w:right w:val="single" w:color="auto" w:sz="4" w:space="0"/>
            </w:tcBorders>
            <w:vAlign w:val="center"/>
          </w:tcPr>
          <w:p w14:paraId="21E749BD">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多功能酶标仪</w:t>
            </w:r>
          </w:p>
        </w:tc>
        <w:tc>
          <w:tcPr>
            <w:tcW w:w="2040" w:type="dxa"/>
            <w:tcBorders>
              <w:top w:val="single" w:color="auto" w:sz="4" w:space="0"/>
              <w:left w:val="single" w:color="auto" w:sz="4" w:space="0"/>
              <w:bottom w:val="single" w:color="auto" w:sz="4" w:space="0"/>
              <w:right w:val="single" w:color="auto" w:sz="4" w:space="0"/>
            </w:tcBorders>
            <w:vAlign w:val="center"/>
          </w:tcPr>
          <w:p w14:paraId="7539FF66">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1B9EC9D0">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79CAB53">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AF0E78D">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14:paraId="3A49790B">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23" w:type="dxa"/>
            <w:tcBorders>
              <w:top w:val="single" w:color="auto" w:sz="4" w:space="0"/>
              <w:left w:val="single" w:color="auto" w:sz="4" w:space="0"/>
              <w:bottom w:val="single" w:color="auto" w:sz="4" w:space="0"/>
              <w:right w:val="single" w:color="auto" w:sz="4" w:space="0"/>
            </w:tcBorders>
            <w:vAlign w:val="center"/>
          </w:tcPr>
          <w:p w14:paraId="5AC188A0">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0" w:type="auto"/>
            <w:tcBorders>
              <w:top w:val="single" w:color="auto" w:sz="4" w:space="0"/>
              <w:left w:val="single" w:color="auto" w:sz="4" w:space="0"/>
              <w:bottom w:val="single" w:color="auto" w:sz="4" w:space="0"/>
              <w:right w:val="single" w:color="auto" w:sz="4" w:space="0"/>
            </w:tcBorders>
            <w:vAlign w:val="center"/>
          </w:tcPr>
          <w:p w14:paraId="7B646A27">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2D115B3">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r>
      <w:tr w14:paraId="7360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DBFCEC0">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09" w:type="dxa"/>
            <w:tcBorders>
              <w:top w:val="single" w:color="auto" w:sz="4" w:space="0"/>
              <w:left w:val="single" w:color="auto" w:sz="4" w:space="0"/>
              <w:bottom w:val="single" w:color="auto" w:sz="4" w:space="0"/>
              <w:right w:val="single" w:color="auto" w:sz="4" w:space="0"/>
            </w:tcBorders>
            <w:vAlign w:val="center"/>
          </w:tcPr>
          <w:p w14:paraId="18E7475E">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超微量紫外分光光度计</w:t>
            </w:r>
          </w:p>
        </w:tc>
        <w:tc>
          <w:tcPr>
            <w:tcW w:w="2040" w:type="dxa"/>
            <w:tcBorders>
              <w:top w:val="single" w:color="auto" w:sz="4" w:space="0"/>
              <w:left w:val="single" w:color="auto" w:sz="4" w:space="0"/>
              <w:bottom w:val="single" w:color="auto" w:sz="4" w:space="0"/>
              <w:right w:val="single" w:color="auto" w:sz="4" w:space="0"/>
            </w:tcBorders>
            <w:vAlign w:val="center"/>
          </w:tcPr>
          <w:p w14:paraId="759858FB">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1F3564FA">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B4B293C">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5D432F7">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14:paraId="1E58C2CA">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p>
        </w:tc>
        <w:tc>
          <w:tcPr>
            <w:tcW w:w="623" w:type="dxa"/>
            <w:tcBorders>
              <w:top w:val="single" w:color="auto" w:sz="4" w:space="0"/>
              <w:left w:val="single" w:color="auto" w:sz="4" w:space="0"/>
              <w:bottom w:val="single" w:color="auto" w:sz="4" w:space="0"/>
              <w:right w:val="single" w:color="auto" w:sz="4" w:space="0"/>
            </w:tcBorders>
            <w:vAlign w:val="center"/>
          </w:tcPr>
          <w:p w14:paraId="554EAAD3">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台</w:t>
            </w:r>
          </w:p>
        </w:tc>
        <w:tc>
          <w:tcPr>
            <w:tcW w:w="0" w:type="auto"/>
            <w:tcBorders>
              <w:top w:val="single" w:color="auto" w:sz="4" w:space="0"/>
              <w:left w:val="single" w:color="auto" w:sz="4" w:space="0"/>
              <w:bottom w:val="single" w:color="auto" w:sz="4" w:space="0"/>
              <w:right w:val="single" w:color="auto" w:sz="4" w:space="0"/>
            </w:tcBorders>
            <w:vAlign w:val="center"/>
          </w:tcPr>
          <w:p w14:paraId="0B3719F4">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066D6C0">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r>
    </w:tbl>
    <w:p w14:paraId="0CB65637">
      <w:pPr>
        <w:tabs>
          <w:tab w:val="left" w:pos="8280"/>
        </w:tabs>
        <w:autoSpaceDE w:val="0"/>
        <w:autoSpaceDN w:val="0"/>
        <w:adjustRightInd w:val="0"/>
        <w:spacing w:line="300" w:lineRule="exact"/>
        <w:rPr>
          <w:rFonts w:ascii="宋体" w:hAnsi="宋体" w:cs="微软雅黑"/>
          <w:color w:val="auto"/>
          <w:kern w:val="0"/>
          <w:sz w:val="24"/>
          <w:highlight w:val="none"/>
        </w:rPr>
      </w:pPr>
      <w:r>
        <w:rPr>
          <w:rFonts w:ascii="宋体" w:hAnsi="宋体" w:eastAsia="宋体" w:cs="微软雅黑"/>
          <w:color w:val="auto"/>
          <w:kern w:val="0"/>
          <w:sz w:val="24"/>
          <w:szCs w:val="24"/>
          <w:highlight w:val="none"/>
          <w:lang w:val="en-US" w:eastAsia="zh-CN" w:bidi="ar-SA"/>
        </w:rPr>
        <w:t>1.</w:t>
      </w:r>
      <w:r>
        <w:rPr>
          <w:rFonts w:hint="eastAsia" w:ascii="宋体" w:hAnsi="宋体" w:cs="微软雅黑"/>
          <w:color w:val="auto"/>
          <w:kern w:val="0"/>
          <w:sz w:val="24"/>
          <w:highlight w:val="none"/>
        </w:rPr>
        <w:t>此表的合计总价应与开标一览表中投标报价总价一致。</w:t>
      </w:r>
    </w:p>
    <w:p w14:paraId="4A3C6AB4">
      <w:pPr>
        <w:numPr>
          <w:ilvl w:val="0"/>
          <w:numId w:val="0"/>
        </w:numPr>
        <w:ind w:left="-2" w:leftChars="-1" w:firstLine="480" w:firstLineChars="200"/>
        <w:rPr>
          <w:rFonts w:ascii="宋体" w:hAnsi="宋体" w:cs="微软雅黑"/>
          <w:color w:val="auto"/>
          <w:kern w:val="0"/>
          <w:sz w:val="24"/>
          <w:highlight w:val="none"/>
          <w:lang w:val="zh-CN"/>
        </w:rPr>
      </w:pPr>
      <w:r>
        <w:rPr>
          <w:rFonts w:ascii="宋体" w:hAnsi="宋体" w:eastAsia="宋体" w:cs="微软雅黑"/>
          <w:color w:val="auto"/>
          <w:kern w:val="0"/>
          <w:sz w:val="24"/>
          <w:szCs w:val="24"/>
          <w:highlight w:val="none"/>
          <w:lang w:val="zh-CN" w:eastAsia="zh-CN" w:bidi="ar-SA"/>
        </w:rPr>
        <w:t>2.</w:t>
      </w:r>
      <w:r>
        <w:rPr>
          <w:rFonts w:hint="eastAsia" w:ascii="宋体" w:hAnsi="宋体" w:cs="微软雅黑"/>
          <w:color w:val="auto"/>
          <w:kern w:val="0"/>
          <w:sz w:val="24"/>
          <w:highlight w:val="none"/>
          <w:lang w:val="zh-CN"/>
        </w:rPr>
        <w:t>投标人需按本表格式填写，如无对应内容，则填写：“无或/”。</w:t>
      </w:r>
    </w:p>
    <w:p w14:paraId="57FEB494">
      <w:pPr>
        <w:spacing w:line="360" w:lineRule="auto"/>
        <w:ind w:left="420"/>
        <w:jc w:val="right"/>
        <w:rPr>
          <w:rFonts w:ascii="宋体" w:hAnsi="宋体" w:cs="微软雅黑"/>
          <w:color w:val="auto"/>
          <w:sz w:val="24"/>
          <w:highlight w:val="none"/>
          <w:u w:val="single"/>
        </w:rPr>
      </w:pPr>
      <w:r>
        <w:rPr>
          <w:rFonts w:hint="eastAsia" w:ascii="宋体" w:hAnsi="宋体" w:cs="微软雅黑"/>
          <w:color w:val="auto"/>
          <w:sz w:val="24"/>
          <w:highlight w:val="none"/>
        </w:rPr>
        <w:t>投标人名称（盖公章）：</w:t>
      </w:r>
    </w:p>
    <w:p w14:paraId="50386274">
      <w:pPr>
        <w:spacing w:line="360" w:lineRule="auto"/>
        <w:ind w:firstLine="424" w:firstLineChars="177"/>
        <w:jc w:val="right"/>
        <w:rPr>
          <w:rFonts w:hint="eastAsia" w:ascii="宋体" w:hAnsi="宋体" w:cs="微软雅黑"/>
          <w:color w:val="auto"/>
          <w:sz w:val="24"/>
          <w:highlight w:val="none"/>
        </w:rPr>
      </w:pPr>
      <w:r>
        <w:rPr>
          <w:rFonts w:hint="eastAsia" w:ascii="宋体" w:hAnsi="宋体" w:cs="微软雅黑"/>
          <w:color w:val="auto"/>
          <w:sz w:val="24"/>
          <w:highlight w:val="none"/>
        </w:rPr>
        <w:t>法定代表人或代理人（签字或盖章）：</w:t>
      </w:r>
    </w:p>
    <w:p w14:paraId="6DA743EC">
      <w:pPr>
        <w:spacing w:line="360" w:lineRule="auto"/>
        <w:ind w:firstLine="424" w:firstLineChars="177"/>
        <w:jc w:val="right"/>
        <w:rPr>
          <w:rFonts w:hint="eastAsia" w:ascii="宋体" w:hAnsi="宋体" w:cs="微软雅黑"/>
          <w:color w:val="auto"/>
          <w:sz w:val="24"/>
          <w:highlight w:val="none"/>
        </w:rPr>
        <w:sectPr>
          <w:pgSz w:w="11906" w:h="16838"/>
          <w:pgMar w:top="1213" w:right="1463" w:bottom="1157" w:left="1463"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微软雅黑"/>
          <w:color w:val="auto"/>
          <w:sz w:val="24"/>
          <w:highlight w:val="none"/>
        </w:rPr>
        <w:t>日        期：</w:t>
      </w:r>
    </w:p>
    <w:p w14:paraId="664B5442">
      <w:pPr>
        <w:jc w:val="center"/>
        <w:rPr>
          <w:rFonts w:hint="eastAsia" w:ascii="宋体" w:hAnsi="宋体" w:eastAsia="宋体" w:cs="宋体"/>
          <w:b/>
          <w:bCs/>
          <w:color w:val="auto"/>
          <w:kern w:val="0"/>
          <w:sz w:val="32"/>
          <w:szCs w:val="32"/>
          <w:highlight w:val="none"/>
        </w:rPr>
      </w:pPr>
      <w:r>
        <w:rPr>
          <w:rFonts w:hint="eastAsia" w:ascii="宋体" w:hAnsi="宋体" w:cs="宋体"/>
          <w:b/>
          <w:bCs/>
          <w:color w:val="auto"/>
          <w:kern w:val="0"/>
          <w:sz w:val="32"/>
          <w:szCs w:val="32"/>
          <w:highlight w:val="none"/>
          <w:lang w:val="en-US" w:eastAsia="zh-CN"/>
        </w:rPr>
        <w:t xml:space="preserve">四 </w:t>
      </w:r>
      <w:r>
        <w:rPr>
          <w:rFonts w:hint="eastAsia" w:ascii="宋体" w:hAnsi="宋体" w:eastAsia="宋体" w:cs="宋体"/>
          <w:b/>
          <w:bCs/>
          <w:color w:val="auto"/>
          <w:kern w:val="0"/>
          <w:sz w:val="32"/>
          <w:szCs w:val="32"/>
          <w:highlight w:val="none"/>
          <w:lang w:eastAsia="zh-CN"/>
        </w:rPr>
        <w:t>、</w:t>
      </w:r>
      <w:r>
        <w:rPr>
          <w:rFonts w:hint="eastAsia" w:ascii="宋体" w:hAnsi="宋体" w:eastAsia="宋体" w:cs="宋体"/>
          <w:b/>
          <w:bCs/>
          <w:color w:val="auto"/>
          <w:kern w:val="0"/>
          <w:sz w:val="32"/>
          <w:szCs w:val="32"/>
          <w:highlight w:val="none"/>
        </w:rPr>
        <w:t>中小企业声明函</w:t>
      </w:r>
    </w:p>
    <w:p w14:paraId="1C63DE64">
      <w:pPr>
        <w:spacing w:line="360" w:lineRule="auto"/>
        <w:ind w:firstLine="533" w:firstLineChars="177"/>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中小企业声明函（</w:t>
      </w:r>
      <w:r>
        <w:rPr>
          <w:rFonts w:hint="eastAsia" w:ascii="宋体" w:hAnsi="宋体" w:cs="宋体"/>
          <w:b/>
          <w:color w:val="auto"/>
          <w:sz w:val="32"/>
          <w:szCs w:val="32"/>
          <w:highlight w:val="none"/>
        </w:rPr>
        <w:t>货物</w:t>
      </w:r>
      <w:r>
        <w:rPr>
          <w:rFonts w:hint="eastAsia" w:ascii="宋体" w:hAnsi="宋体" w:eastAsia="宋体" w:cs="宋体"/>
          <w:b/>
          <w:color w:val="auto"/>
          <w:sz w:val="30"/>
          <w:szCs w:val="30"/>
          <w:highlight w:val="none"/>
        </w:rPr>
        <w:t>）</w:t>
      </w:r>
    </w:p>
    <w:p w14:paraId="147E3C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台州学院 </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 xml:space="preserve"> </w:t>
      </w:r>
      <w:r>
        <w:rPr>
          <w:rFonts w:hint="eastAsia" w:asciiTheme="minorEastAsia" w:hAnsiTheme="minorEastAsia" w:eastAsiaTheme="minorEastAsia"/>
          <w:color w:val="auto"/>
          <w:sz w:val="24"/>
          <w:highlight w:val="none"/>
          <w:u w:val="single"/>
          <w:lang w:eastAsia="zh-CN"/>
        </w:rPr>
        <w:t>台州学院药学院酶催化实验室仪器设备采购项目</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2044E1E3">
      <w:pPr>
        <w:wordWrap w:val="0"/>
        <w:spacing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3E93BD74">
      <w:pPr>
        <w:wordWrap w:val="0"/>
        <w:spacing w:line="360" w:lineRule="auto"/>
        <w:ind w:left="239" w:leftChars="114" w:firstLine="240" w:firstLineChars="1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02CDA52E">
      <w:pPr>
        <w:spacing w:line="360" w:lineRule="auto"/>
        <w:ind w:firstLine="480" w:firstLineChars="200"/>
        <w:rPr>
          <w:rFonts w:hint="eastAsia" w:ascii="宋体" w:hAnsi="宋体" w:cs="宋体"/>
          <w:color w:val="auto"/>
          <w:sz w:val="24"/>
          <w:highlight w:val="none"/>
        </w:rPr>
      </w:pPr>
    </w:p>
    <w:p w14:paraId="6E040D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5F3ED89">
      <w:pPr>
        <w:kinsoku/>
        <w:overflowPunct/>
        <w:topLinePunct w:val="0"/>
        <w:bidi w:val="0"/>
        <w:spacing w:beforeAutospacing="0" w:afterAutospacing="0"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本企业对上述声明内容的真实性负责。如有虚假，将依法承担相应责任</w:t>
      </w:r>
      <w:r>
        <w:rPr>
          <w:rFonts w:hint="eastAsia" w:ascii="宋体" w:hAnsi="宋体" w:eastAsia="宋体" w:cs="宋体"/>
          <w:color w:val="auto"/>
          <w:sz w:val="24"/>
          <w:szCs w:val="24"/>
          <w:highlight w:val="none"/>
        </w:rPr>
        <w:t>。</w:t>
      </w:r>
    </w:p>
    <w:p w14:paraId="72FE57A5">
      <w:pPr>
        <w:kinsoku/>
        <w:overflowPunct/>
        <w:topLinePunct w:val="0"/>
        <w:bidi w:val="0"/>
        <w:spacing w:beforeAutospacing="0" w:afterAutospacing="0" w:line="440" w:lineRule="exact"/>
        <w:ind w:right="420" w:firstLine="5880" w:firstLineChars="2450"/>
        <w:jc w:val="left"/>
        <w:rPr>
          <w:rFonts w:hint="eastAsia" w:ascii="宋体" w:hAnsi="宋体" w:eastAsia="宋体" w:cs="宋体"/>
          <w:color w:val="auto"/>
          <w:sz w:val="24"/>
          <w:szCs w:val="24"/>
          <w:highlight w:val="none"/>
        </w:rPr>
      </w:pPr>
    </w:p>
    <w:p w14:paraId="3618DDC6">
      <w:pPr>
        <w:kinsoku/>
        <w:overflowPunct/>
        <w:topLinePunct w:val="0"/>
        <w:bidi w:val="0"/>
        <w:spacing w:beforeAutospacing="0" w:afterAutospacing="0" w:line="440" w:lineRule="exact"/>
        <w:ind w:right="3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供应商名称（电子签名）：</w:t>
      </w:r>
    </w:p>
    <w:p w14:paraId="2089519E">
      <w:pPr>
        <w:kinsoku/>
        <w:overflowPunct/>
        <w:topLinePunct w:val="0"/>
        <w:bidi w:val="0"/>
        <w:spacing w:beforeAutospacing="0" w:afterAutospacing="0" w:line="440" w:lineRule="exact"/>
        <w:ind w:right="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42B4F1F">
      <w:pPr>
        <w:kinsoku/>
        <w:overflowPunct/>
        <w:topLinePunct w:val="0"/>
        <w:bidi w:val="0"/>
        <w:spacing w:beforeAutospacing="0" w:afterAutospacing="0"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564FEF72">
      <w:pPr>
        <w:kinsoku/>
        <w:overflowPunct/>
        <w:topLinePunct w:val="0"/>
        <w:bidi w:val="0"/>
        <w:spacing w:beforeAutospacing="0" w:afterAutospacing="0"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1.填写要求：①“标的名称”、“采购文件中明确的所属行业”依据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中的企业划型标准进行填报（</w:t>
      </w:r>
      <w:r>
        <w:rPr>
          <w:rFonts w:hint="eastAsia" w:ascii="宋体" w:hAnsi="宋体" w:eastAsia="宋体" w:cs="宋体"/>
          <w:color w:val="auto"/>
          <w:sz w:val="21"/>
          <w:szCs w:val="21"/>
          <w:highlight w:val="none"/>
        </w:rPr>
        <w:t>如国家颁布新的企业划型标准，则按最新标准执行。</w:t>
      </w:r>
      <w:r>
        <w:rPr>
          <w:rFonts w:hint="eastAsia" w:ascii="宋体" w:hAnsi="宋体" w:eastAsia="宋体" w:cs="宋体"/>
          <w:b/>
          <w:color w:val="auto"/>
          <w:sz w:val="21"/>
          <w:szCs w:val="21"/>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14:paraId="31D441A8">
      <w:pPr>
        <w:spacing w:line="360" w:lineRule="auto"/>
        <w:jc w:val="left"/>
        <w:rPr>
          <w:rFonts w:hint="eastAsia" w:ascii="宋体" w:hAnsi="宋体" w:eastAsia="宋体" w:cs="宋体"/>
          <w:b/>
          <w:bCs/>
          <w:color w:val="auto"/>
          <w:kern w:val="0"/>
          <w:sz w:val="32"/>
          <w:szCs w:val="32"/>
          <w:highlight w:val="none"/>
          <w:lang w:eastAsia="zh-CN"/>
        </w:rPr>
      </w:pPr>
    </w:p>
    <w:p w14:paraId="6FAC1A0E">
      <w:pPr>
        <w:spacing w:line="360" w:lineRule="auto"/>
        <w:jc w:val="left"/>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lang w:eastAsia="zh-CN"/>
        </w:rPr>
        <w:t>附件：残疾人福利性单位声明函</w:t>
      </w:r>
    </w:p>
    <w:p w14:paraId="07511144">
      <w:pPr>
        <w:kinsoku/>
        <w:overflowPunct/>
        <w:topLinePunct w:val="0"/>
        <w:bidi w:val="0"/>
        <w:spacing w:beforeAutospacing="0" w:afterAutospacing="0" w:line="440" w:lineRule="exact"/>
        <w:jc w:val="center"/>
        <w:rPr>
          <w:rFonts w:hint="eastAsia" w:ascii="仿宋" w:hAnsi="仿宋" w:eastAsia="仿宋" w:cs="仿宋"/>
          <w:b/>
          <w:color w:val="auto"/>
          <w:spacing w:val="6"/>
          <w:sz w:val="32"/>
          <w:szCs w:val="32"/>
          <w:highlight w:val="none"/>
        </w:rPr>
      </w:pPr>
      <w:bookmarkStart w:id="191" w:name="OLE_LINK13"/>
      <w:bookmarkStart w:id="192" w:name="OLE_LINK14"/>
    </w:p>
    <w:p w14:paraId="174C3FC3">
      <w:pPr>
        <w:kinsoku/>
        <w:overflowPunct/>
        <w:topLinePunct w:val="0"/>
        <w:bidi w:val="0"/>
        <w:spacing w:beforeAutospacing="0" w:afterAutospacing="0" w:line="440"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bookmarkEnd w:id="191"/>
    <w:bookmarkEnd w:id="192"/>
    <w:p w14:paraId="082FDCA9">
      <w:pPr>
        <w:kinsoku/>
        <w:overflowPunct/>
        <w:topLinePunct w:val="0"/>
        <w:bidi w:val="0"/>
        <w:spacing w:beforeAutospacing="0" w:afterAutospacing="0" w:line="440" w:lineRule="exact"/>
        <w:rPr>
          <w:rFonts w:hint="eastAsia" w:ascii="宋体" w:hAnsi="宋体" w:eastAsia="宋体" w:cs="宋体"/>
          <w:b/>
          <w:color w:val="auto"/>
          <w:spacing w:val="6"/>
          <w:sz w:val="30"/>
          <w:szCs w:val="30"/>
          <w:highlight w:val="none"/>
        </w:rPr>
      </w:pPr>
    </w:p>
    <w:p w14:paraId="6E95BE81">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_单位的_</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__项目采购活动提供本单位制造的货物（由本单位承担工程/提供服务），或者提供其他残疾人福利性单位制造的货物（不包括使用非残疾人福利性单位注册商标的货物）。</w:t>
      </w:r>
    </w:p>
    <w:p w14:paraId="616DBC93">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0AF0D4EE">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01A17C06">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56A48B14">
      <w:pPr>
        <w:tabs>
          <w:tab w:val="left" w:pos="4860"/>
        </w:tabs>
        <w:spacing w:line="360" w:lineRule="auto"/>
        <w:ind w:right="1560" w:firstLine="480" w:firstLineChars="200"/>
        <w:contextualSpacing/>
        <w:jc w:val="center"/>
        <w:rPr>
          <w:rFonts w:hint="eastAsia"/>
          <w:color w:val="auto"/>
          <w:sz w:val="24"/>
          <w:szCs w:val="24"/>
          <w:highlight w:val="none"/>
        </w:rPr>
      </w:pPr>
      <w:r>
        <w:rPr>
          <w:rFonts w:hint="eastAsia" w:ascii="宋体" w:hAnsi="宋体" w:eastAsia="宋体" w:cs="宋体"/>
          <w:color w:val="auto"/>
          <w:sz w:val="24"/>
          <w:szCs w:val="24"/>
          <w:highlight w:val="none"/>
        </w:rPr>
        <w:t xml:space="preserve">               </w:t>
      </w:r>
      <w:r>
        <w:rPr>
          <w:rFonts w:hint="eastAsia"/>
          <w:color w:val="auto"/>
          <w:sz w:val="24"/>
          <w:szCs w:val="24"/>
          <w:highlight w:val="none"/>
        </w:rPr>
        <w:t xml:space="preserve">      企业名称（盖章）： </w:t>
      </w:r>
    </w:p>
    <w:p w14:paraId="76691443">
      <w:pPr>
        <w:spacing w:line="360" w:lineRule="auto"/>
        <w:contextualSpacing/>
        <w:jc w:val="left"/>
        <w:rPr>
          <w:rFonts w:hint="eastAsia"/>
          <w:color w:val="auto"/>
          <w:sz w:val="24"/>
          <w:szCs w:val="24"/>
          <w:highlight w:val="none"/>
        </w:rPr>
      </w:pPr>
      <w:r>
        <w:rPr>
          <w:rFonts w:hint="eastAsia"/>
          <w:color w:val="auto"/>
          <w:sz w:val="24"/>
          <w:szCs w:val="24"/>
          <w:highlight w:val="none"/>
        </w:rPr>
        <w:t xml:space="preserve">                                            日  期：</w:t>
      </w:r>
    </w:p>
    <w:p w14:paraId="4E40BD6B">
      <w:pPr>
        <w:autoSpaceDN w:val="0"/>
        <w:spacing w:line="400" w:lineRule="exact"/>
        <w:ind w:firstLine="422" w:firstLineChars="200"/>
        <w:rPr>
          <w:color w:val="auto"/>
          <w:highlight w:val="none"/>
        </w:rPr>
      </w:pPr>
      <w:r>
        <w:rPr>
          <w:rFonts w:hint="eastAsia" w:cs="宋体"/>
          <w:b/>
          <w:color w:val="auto"/>
          <w:szCs w:val="21"/>
          <w:highlight w:val="none"/>
          <w:lang w:bidi="ar"/>
        </w:rPr>
        <w:t>注：</w:t>
      </w:r>
    </w:p>
    <w:p w14:paraId="6055F5D4">
      <w:pPr>
        <w:autoSpaceDN w:val="0"/>
        <w:spacing w:line="400" w:lineRule="exact"/>
        <w:ind w:firstLine="422" w:firstLineChars="200"/>
        <w:rPr>
          <w:color w:val="auto"/>
          <w:highlight w:val="none"/>
        </w:rPr>
      </w:pPr>
      <w:r>
        <w:rPr>
          <w:rFonts w:hint="eastAsia" w:cs="宋体"/>
          <w:b/>
          <w:color w:val="auto"/>
          <w:szCs w:val="21"/>
          <w:highlight w:val="none"/>
          <w:lang w:bidi="ar"/>
        </w:rPr>
        <w:t>享受政府采购支持政策的残疾人福利性单位应当同时满足以下条件：</w:t>
      </w:r>
    </w:p>
    <w:p w14:paraId="5D1C8689">
      <w:pPr>
        <w:autoSpaceDN w:val="0"/>
        <w:spacing w:line="400" w:lineRule="exact"/>
        <w:ind w:firstLine="422" w:firstLineChars="200"/>
        <w:rPr>
          <w:color w:val="auto"/>
          <w:highlight w:val="none"/>
        </w:rPr>
      </w:pPr>
      <w:r>
        <w:rPr>
          <w:rFonts w:hint="eastAsia" w:cs="宋体"/>
          <w:b/>
          <w:color w:val="auto"/>
          <w:szCs w:val="21"/>
          <w:highlight w:val="none"/>
          <w:lang w:bidi="ar"/>
        </w:rPr>
        <w:t>（一）安置的残疾人占本单位在职职工人数的比例不低于</w:t>
      </w:r>
      <w:r>
        <w:rPr>
          <w:b/>
          <w:color w:val="auto"/>
          <w:szCs w:val="21"/>
          <w:highlight w:val="none"/>
          <w:lang w:bidi="ar"/>
        </w:rPr>
        <w:t>25%</w:t>
      </w:r>
      <w:r>
        <w:rPr>
          <w:rFonts w:hint="eastAsia" w:cs="宋体"/>
          <w:b/>
          <w:color w:val="auto"/>
          <w:szCs w:val="21"/>
          <w:highlight w:val="none"/>
          <w:lang w:bidi="ar"/>
        </w:rPr>
        <w:t>（含</w:t>
      </w:r>
      <w:r>
        <w:rPr>
          <w:b/>
          <w:color w:val="auto"/>
          <w:szCs w:val="21"/>
          <w:highlight w:val="none"/>
          <w:lang w:bidi="ar"/>
        </w:rPr>
        <w:t>25%</w:t>
      </w:r>
      <w:r>
        <w:rPr>
          <w:rFonts w:hint="eastAsia" w:cs="宋体"/>
          <w:b/>
          <w:color w:val="auto"/>
          <w:szCs w:val="21"/>
          <w:highlight w:val="none"/>
          <w:lang w:bidi="ar"/>
        </w:rPr>
        <w:t>），并且安置的残疾人人数不少于</w:t>
      </w:r>
      <w:r>
        <w:rPr>
          <w:b/>
          <w:color w:val="auto"/>
          <w:szCs w:val="21"/>
          <w:highlight w:val="none"/>
          <w:lang w:bidi="ar"/>
        </w:rPr>
        <w:t>10</w:t>
      </w:r>
      <w:r>
        <w:rPr>
          <w:rFonts w:hint="eastAsia" w:cs="宋体"/>
          <w:b/>
          <w:color w:val="auto"/>
          <w:szCs w:val="21"/>
          <w:highlight w:val="none"/>
          <w:lang w:bidi="ar"/>
        </w:rPr>
        <w:t>人（含</w:t>
      </w:r>
      <w:r>
        <w:rPr>
          <w:b/>
          <w:color w:val="auto"/>
          <w:szCs w:val="21"/>
          <w:highlight w:val="none"/>
          <w:lang w:bidi="ar"/>
        </w:rPr>
        <w:t>10</w:t>
      </w:r>
      <w:r>
        <w:rPr>
          <w:rFonts w:hint="eastAsia" w:cs="宋体"/>
          <w:b/>
          <w:color w:val="auto"/>
          <w:szCs w:val="21"/>
          <w:highlight w:val="none"/>
          <w:lang w:bidi="ar"/>
        </w:rPr>
        <w:t>人）；</w:t>
      </w:r>
    </w:p>
    <w:p w14:paraId="6A93CB61">
      <w:pPr>
        <w:autoSpaceDN w:val="0"/>
        <w:spacing w:line="400" w:lineRule="exact"/>
        <w:ind w:firstLine="422" w:firstLineChars="200"/>
        <w:rPr>
          <w:color w:val="auto"/>
          <w:highlight w:val="none"/>
        </w:rPr>
      </w:pPr>
      <w:r>
        <w:rPr>
          <w:rFonts w:hint="eastAsia" w:cs="宋体"/>
          <w:b/>
          <w:color w:val="auto"/>
          <w:szCs w:val="21"/>
          <w:highlight w:val="none"/>
          <w:lang w:bidi="ar"/>
        </w:rPr>
        <w:t>（二）依法与安置的每位残疾人签订了一年以上（含一年）的劳动合同或服务协议；</w:t>
      </w:r>
    </w:p>
    <w:p w14:paraId="28674CA0">
      <w:pPr>
        <w:autoSpaceDN w:val="0"/>
        <w:spacing w:line="400" w:lineRule="exact"/>
        <w:ind w:firstLine="422" w:firstLineChars="200"/>
        <w:rPr>
          <w:color w:val="auto"/>
          <w:highlight w:val="none"/>
        </w:rPr>
      </w:pPr>
      <w:r>
        <w:rPr>
          <w:rFonts w:hint="eastAsia" w:cs="宋体"/>
          <w:b/>
          <w:color w:val="auto"/>
          <w:szCs w:val="21"/>
          <w:highlight w:val="none"/>
          <w:lang w:bidi="ar"/>
        </w:rPr>
        <w:t>（三）为安置的每位残疾人按月足额缴纳了基本养老保险、基本医疗保险、失业保险、工伤保险和生育保险等社会保险费；</w:t>
      </w:r>
    </w:p>
    <w:p w14:paraId="2EEE1E81">
      <w:pPr>
        <w:autoSpaceDN w:val="0"/>
        <w:spacing w:line="400" w:lineRule="exact"/>
        <w:ind w:firstLine="422" w:firstLineChars="200"/>
        <w:rPr>
          <w:color w:val="auto"/>
          <w:highlight w:val="none"/>
        </w:rPr>
      </w:pPr>
      <w:r>
        <w:rPr>
          <w:rFonts w:hint="eastAsia" w:cs="宋体"/>
          <w:b/>
          <w:color w:val="auto"/>
          <w:szCs w:val="21"/>
          <w:highlight w:val="none"/>
          <w:lang w:bidi="ar"/>
        </w:rPr>
        <w:t>（四）通过银行等金融机构向安置的每位残疾人，按月支付了不低于单位所在区县适用的经省级人民政府批准的月最低工资标准的工资；</w:t>
      </w:r>
    </w:p>
    <w:p w14:paraId="463B6141">
      <w:pPr>
        <w:autoSpaceDN w:val="0"/>
        <w:spacing w:line="400" w:lineRule="exact"/>
        <w:ind w:firstLine="422" w:firstLineChars="200"/>
        <w:rPr>
          <w:color w:val="auto"/>
          <w:highlight w:val="none"/>
        </w:rPr>
      </w:pPr>
      <w:r>
        <w:rPr>
          <w:rFonts w:hint="eastAsia" w:cs="宋体"/>
          <w:b/>
          <w:color w:val="auto"/>
          <w:szCs w:val="21"/>
          <w:highlight w:val="none"/>
          <w:lang w:bidi="ar"/>
        </w:rPr>
        <w:t>（五）提供本单位制造的货物、承担的工程或者服务（以下简称产品），或者提供其他残疾人福利性单位制造的货物（不包括使用非残疾人福利性单位注册商标的货物）。</w:t>
      </w:r>
    </w:p>
    <w:p w14:paraId="025231AE">
      <w:pPr>
        <w:autoSpaceDN w:val="0"/>
        <w:spacing w:line="360" w:lineRule="auto"/>
        <w:rPr>
          <w:color w:val="auto"/>
          <w:highlight w:val="none"/>
        </w:rPr>
      </w:pPr>
      <w:r>
        <w:rPr>
          <w:rFonts w:hint="eastAsia" w:cs="宋体"/>
          <w:b/>
          <w:color w:val="auto"/>
          <w:szCs w:val="21"/>
          <w:highlight w:val="none"/>
          <w:lang w:bidi="ar"/>
        </w:rPr>
        <w:t>前款所称残疾人是指法定劳动年龄内，持有《中华人民共和国残疾人证》或者《中华人民共和国残疾军人证（</w:t>
      </w:r>
      <w:r>
        <w:rPr>
          <w:b/>
          <w:color w:val="auto"/>
          <w:szCs w:val="21"/>
          <w:highlight w:val="none"/>
          <w:lang w:bidi="ar"/>
        </w:rPr>
        <w:t>1</w:t>
      </w:r>
      <w:r>
        <w:rPr>
          <w:rFonts w:hint="eastAsia" w:cs="宋体"/>
          <w:b/>
          <w:color w:val="auto"/>
          <w:szCs w:val="21"/>
          <w:highlight w:val="none"/>
          <w:lang w:bidi="ar"/>
        </w:rPr>
        <w:t>至</w:t>
      </w:r>
      <w:r>
        <w:rPr>
          <w:b/>
          <w:color w:val="auto"/>
          <w:szCs w:val="21"/>
          <w:highlight w:val="none"/>
          <w:lang w:bidi="ar"/>
        </w:rPr>
        <w:t>8</w:t>
      </w:r>
      <w:r>
        <w:rPr>
          <w:rFonts w:hint="eastAsia" w:cs="宋体"/>
          <w:b/>
          <w:color w:val="auto"/>
          <w:szCs w:val="21"/>
          <w:highlight w:val="none"/>
          <w:lang w:bidi="ar"/>
        </w:rPr>
        <w:t>级）》的自然人，包括具有劳动条件和劳动意愿的精神残疾人。在职职工人数是指与残疾人福利性单位建立劳动关系并依法签订劳动合同或者服务协议的雇员人数。</w:t>
      </w:r>
    </w:p>
    <w:p w14:paraId="6134C80E">
      <w:pPr>
        <w:tabs>
          <w:tab w:val="left" w:pos="4860"/>
        </w:tabs>
        <w:kinsoku/>
        <w:overflowPunct/>
        <w:topLinePunct w:val="0"/>
        <w:bidi w:val="0"/>
        <w:spacing w:beforeAutospacing="0" w:afterAutospacing="0" w:line="440" w:lineRule="exact"/>
        <w:ind w:right="1560" w:firstLine="480" w:firstLineChars="200"/>
        <w:jc w:val="center"/>
        <w:rPr>
          <w:rFonts w:hint="eastAsia" w:ascii="宋体" w:hAnsi="宋体" w:eastAsia="宋体" w:cs="宋体"/>
          <w:color w:val="auto"/>
          <w:sz w:val="24"/>
          <w:szCs w:val="24"/>
          <w:highlight w:val="none"/>
        </w:rPr>
      </w:pPr>
    </w:p>
    <w:p w14:paraId="7574A2A1">
      <w:pPr>
        <w:pStyle w:val="94"/>
        <w:keepNext w:val="0"/>
        <w:keepLines w:val="0"/>
        <w:pageBreakBefore/>
        <w:widowControl w:val="0"/>
        <w:kinsoku/>
        <w:wordWrap/>
        <w:overflowPunct/>
        <w:topLinePunct w:val="0"/>
        <w:autoSpaceDE/>
        <w:autoSpaceDN/>
        <w:bidi w:val="0"/>
        <w:adjustRightInd/>
        <w:snapToGrid/>
        <w:ind w:left="0" w:leftChars="0" w:firstLine="440" w:firstLineChars="200"/>
        <w:textAlignment w:val="auto"/>
        <w:rPr>
          <w:rFonts w:hint="eastAsia" w:eastAsia="宋体" w:cs="Times New Roman"/>
          <w:color w:val="auto"/>
          <w:highlight w:val="none"/>
        </w:rPr>
      </w:pPr>
      <w:r>
        <w:rPr>
          <w:rFonts w:hint="eastAsia"/>
          <w:color w:val="auto"/>
          <w:highlight w:val="none"/>
        </w:rPr>
        <w:t>投标文件解密结束，投标供应商通过电子邮件形式将经授权代表签署的《政府采购活动现场确认声明书》的扫描件（或图片）发至采购代理机构邮箱：zgtzfgs@163.com。开评标活动结束之前投标供应商拒不发送《政府采购活动现场确认声明书》的，由此产生的一切风险责任由供应商自行承担。</w:t>
      </w:r>
    </w:p>
    <w:p w14:paraId="144E7097">
      <w:pPr>
        <w:widowControl w:val="0"/>
        <w:snapToGrid w:val="0"/>
        <w:spacing w:line="500" w:lineRule="exact"/>
        <w:ind w:firstLine="720"/>
        <w:jc w:val="center"/>
        <w:rPr>
          <w:rFonts w:hint="default"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FD31139">
      <w:pPr>
        <w:widowControl w:val="0"/>
        <w:snapToGrid w:val="0"/>
        <w:spacing w:line="440" w:lineRule="exact"/>
        <w:jc w:val="both"/>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中冠工程管理咨询有限公司</w:t>
      </w:r>
      <w:r>
        <w:rPr>
          <w:rFonts w:hint="eastAsia" w:ascii="宋体" w:hAnsi="宋体" w:eastAsia="宋体" w:cs="宋体"/>
          <w:color w:val="auto"/>
          <w:kern w:val="0"/>
          <w:sz w:val="24"/>
          <w:szCs w:val="24"/>
          <w:highlight w:val="none"/>
          <w:lang w:val="en-US" w:eastAsia="zh-CN" w:bidi="ar-SA"/>
        </w:rPr>
        <w:t>：</w:t>
      </w:r>
    </w:p>
    <w:p w14:paraId="0A1C04F0">
      <w:pPr>
        <w:widowControl w:val="0"/>
        <w:snapToGrid w:val="0"/>
        <w:spacing w:line="440" w:lineRule="exact"/>
        <w:ind w:firstLine="504" w:firstLineChars="200"/>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本人经由</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u w:val="single"/>
          <w:lang w:val="en-US" w:eastAsia="zh-CN" w:bidi="ar-SA"/>
        </w:rPr>
        <w:t>（单位）</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法人代表（负责人）</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u w:val="single"/>
          <w:lang w:val="en-US" w:eastAsia="zh-CN" w:bidi="ar-SA"/>
        </w:rPr>
        <w:t>（姓名）</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合法授权参加</w:t>
      </w:r>
      <w:r>
        <w:rPr>
          <w:rFonts w:hint="eastAsia" w:ascii="宋体" w:hAnsi="宋体" w:cs="宋体"/>
          <w:color w:val="auto"/>
          <w:spacing w:val="6"/>
          <w:kern w:val="2"/>
          <w:sz w:val="24"/>
          <w:szCs w:val="24"/>
          <w:highlight w:val="none"/>
          <w:u w:val="single"/>
          <w:lang w:val="en-US" w:eastAsia="zh-CN" w:bidi="ar-SA"/>
        </w:rPr>
        <w:t xml:space="preserve">  </w:t>
      </w:r>
      <w:r>
        <w:rPr>
          <w:rFonts w:hint="eastAsia" w:asciiTheme="minorEastAsia" w:hAnsiTheme="minorEastAsia" w:eastAsiaTheme="minorEastAsia"/>
          <w:color w:val="auto"/>
          <w:sz w:val="24"/>
          <w:highlight w:val="none"/>
          <w:u w:val="single"/>
          <w:lang w:eastAsia="zh-CN"/>
        </w:rPr>
        <w:t>台州学院药学院酶催化实验室仪器设备采购项目</w:t>
      </w:r>
      <w:r>
        <w:rPr>
          <w:rFonts w:hint="eastAsia" w:ascii="宋体" w:hAnsi="宋体" w:eastAsia="宋体" w:cs="宋体"/>
          <w:color w:val="auto"/>
          <w:spacing w:val="6"/>
          <w:kern w:val="2"/>
          <w:sz w:val="24"/>
          <w:szCs w:val="24"/>
          <w:highlight w:val="none"/>
          <w:u w:val="single"/>
          <w:lang w:val="en-US" w:eastAsia="zh-CN" w:bidi="ar-SA"/>
        </w:rPr>
        <w:t>（</w:t>
      </w:r>
      <w:r>
        <w:rPr>
          <w:rFonts w:hint="eastAsia" w:ascii="宋体" w:hAnsi="宋体" w:cs="宋体"/>
          <w:color w:val="auto"/>
          <w:spacing w:val="6"/>
          <w:kern w:val="2"/>
          <w:sz w:val="24"/>
          <w:szCs w:val="24"/>
          <w:highlight w:val="none"/>
          <w:u w:val="single"/>
          <w:lang w:val="en-US" w:eastAsia="zh-CN" w:bidi="ar-SA"/>
        </w:rPr>
        <w:t>项目</w:t>
      </w:r>
      <w:r>
        <w:rPr>
          <w:rFonts w:hint="eastAsia" w:ascii="宋体" w:hAnsi="宋体" w:eastAsia="宋体" w:cs="宋体"/>
          <w:color w:val="auto"/>
          <w:spacing w:val="6"/>
          <w:kern w:val="2"/>
          <w:sz w:val="24"/>
          <w:szCs w:val="24"/>
          <w:highlight w:val="none"/>
          <w:u w:val="single"/>
          <w:lang w:val="en-US" w:eastAsia="zh-CN" w:bidi="ar-SA"/>
        </w:rPr>
        <w:t>编号：</w:t>
      </w:r>
      <w:r>
        <w:rPr>
          <w:rFonts w:hint="eastAsia" w:ascii="宋体" w:hAnsi="宋体" w:cs="宋体"/>
          <w:color w:val="auto"/>
          <w:spacing w:val="6"/>
          <w:kern w:val="2"/>
          <w:sz w:val="24"/>
          <w:szCs w:val="24"/>
          <w:highlight w:val="none"/>
          <w:u w:val="single"/>
          <w:lang w:val="en-US" w:eastAsia="zh-CN" w:bidi="ar-SA"/>
        </w:rPr>
        <w:t>ZGTZZB2025-0607</w:t>
      </w:r>
      <w:r>
        <w:rPr>
          <w:rFonts w:hint="eastAsia" w:ascii="宋体" w:hAnsi="宋体" w:eastAsia="宋体" w:cs="宋体"/>
          <w:color w:val="auto"/>
          <w:spacing w:val="6"/>
          <w:kern w:val="2"/>
          <w:sz w:val="24"/>
          <w:szCs w:val="24"/>
          <w:highlight w:val="none"/>
          <w:u w:val="single"/>
          <w:lang w:val="en-US" w:eastAsia="zh-CN" w:bidi="ar-SA"/>
        </w:rPr>
        <w:t>）</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政府采购活动，经与本单位法人代表（负责人）联系确认，现就有关公平竞争事项郑重声明如下：</w:t>
      </w:r>
    </w:p>
    <w:p w14:paraId="1C72C20B">
      <w:pPr>
        <w:widowControl/>
        <w:numPr>
          <w:ilvl w:val="0"/>
          <w:numId w:val="8"/>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本单位与采购人之间□不存在利害关系□存在下列利害关系：</w:t>
      </w:r>
    </w:p>
    <w:p w14:paraId="5AB0BAEF">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A.投资关系    B.行政隶属关系    C.业务指导关系</w:t>
      </w:r>
    </w:p>
    <w:p w14:paraId="502915E4">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D.其他可能</w:t>
      </w:r>
      <w:r>
        <w:rPr>
          <w:rFonts w:hint="eastAsia" w:ascii="宋体" w:hAnsi="宋体" w:eastAsia="宋体" w:cs="宋体"/>
          <w:color w:val="auto"/>
          <w:kern w:val="2"/>
          <w:sz w:val="24"/>
          <w:szCs w:val="24"/>
          <w:highlight w:val="none"/>
          <w:lang w:val="en-US" w:eastAsia="zh-CN" w:bidi="ar-SA"/>
        </w:rPr>
        <w:t>影响采购公正的</w:t>
      </w:r>
      <w:r>
        <w:rPr>
          <w:rFonts w:hint="eastAsia" w:ascii="宋体" w:hAnsi="宋体" w:eastAsia="宋体" w:cs="宋体"/>
          <w:color w:val="auto"/>
          <w:kern w:val="0"/>
          <w:sz w:val="24"/>
          <w:szCs w:val="24"/>
          <w:highlight w:val="none"/>
          <w:lang w:val="en-US" w:eastAsia="zh-CN" w:bidi="ar-SA"/>
        </w:rPr>
        <w:t>利害关系</w:t>
      </w:r>
      <w:r>
        <w:rPr>
          <w:rFonts w:hint="eastAsia" w:ascii="宋体" w:hAnsi="宋体" w:eastAsia="宋体" w:cs="宋体"/>
          <w:color w:val="auto"/>
          <w:kern w:val="0"/>
          <w:sz w:val="24"/>
          <w:szCs w:val="24"/>
          <w:highlight w:val="none"/>
          <w:u w:val="single"/>
          <w:lang w:val="en-US" w:eastAsia="zh-CN" w:bidi="ar-SA"/>
        </w:rPr>
        <w:t>（如有，请如实说明）</w:t>
      </w:r>
      <w:r>
        <w:rPr>
          <w:rFonts w:hint="eastAsia" w:ascii="宋体" w:hAnsi="宋体" w:eastAsia="宋体" w:cs="宋体"/>
          <w:color w:val="auto"/>
          <w:kern w:val="0"/>
          <w:sz w:val="24"/>
          <w:szCs w:val="24"/>
          <w:highlight w:val="none"/>
          <w:lang w:val="en-US" w:eastAsia="zh-CN" w:bidi="ar-SA"/>
        </w:rPr>
        <w:t>。</w:t>
      </w:r>
    </w:p>
    <w:p w14:paraId="646BA574">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二、</w:t>
      </w:r>
      <w:r>
        <w:rPr>
          <w:rFonts w:hint="eastAsia" w:ascii="宋体" w:hAnsi="宋体" w:eastAsia="宋体" w:cs="宋体"/>
          <w:color w:val="auto"/>
          <w:kern w:val="0"/>
          <w:sz w:val="24"/>
          <w:szCs w:val="24"/>
          <w:highlight w:val="none"/>
          <w:lang w:val="en-US" w:eastAsia="zh-CN" w:bidi="ar-SA"/>
        </w:rPr>
        <w:t>现已清楚知道参加本项目采购活动的其他所有供应商名称，本单位□与其他所有供应商之间均不存在利害关系□与</w:t>
      </w:r>
      <w:r>
        <w:rPr>
          <w:rFonts w:hint="eastAsia" w:ascii="宋体" w:hAnsi="宋体" w:eastAsia="宋体" w:cs="宋体"/>
          <w:color w:val="auto"/>
          <w:kern w:val="0"/>
          <w:sz w:val="24"/>
          <w:szCs w:val="24"/>
          <w:highlight w:val="none"/>
          <w:u w:val="single"/>
          <w:lang w:val="en-US" w:eastAsia="zh-CN" w:bidi="ar-SA"/>
        </w:rPr>
        <w:t xml:space="preserve">           （供应商名称）</w:t>
      </w:r>
      <w:r>
        <w:rPr>
          <w:rFonts w:hint="eastAsia" w:ascii="宋体" w:hAnsi="宋体" w:eastAsia="宋体" w:cs="宋体"/>
          <w:color w:val="auto"/>
          <w:kern w:val="0"/>
          <w:sz w:val="24"/>
          <w:szCs w:val="24"/>
          <w:highlight w:val="none"/>
          <w:lang w:val="en-US" w:eastAsia="zh-CN" w:bidi="ar-SA"/>
        </w:rPr>
        <w:t>之间存在下列利害关系：</w:t>
      </w:r>
    </w:p>
    <w:p w14:paraId="12C01F21">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A.法定代表人或负责人或实际控制人是同一人；</w:t>
      </w:r>
    </w:p>
    <w:p w14:paraId="66602A51">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B.法定代表人或负责人或实际控制人是夫妻关系；</w:t>
      </w:r>
    </w:p>
    <w:p w14:paraId="768F4F38">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C.法定代表人或负责人或实际控制人是直系血亲关系；</w:t>
      </w:r>
    </w:p>
    <w:p w14:paraId="43AFCF76">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D.法定代表人或负责人或实际控制人存在三代以内旁系血亲关系；</w:t>
      </w:r>
    </w:p>
    <w:p w14:paraId="66DE5B1D">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E.法定代表人或负责人或实际控制人存在近姻亲关系；</w:t>
      </w:r>
    </w:p>
    <w:p w14:paraId="47CE6C0D">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F.法定代表人或负责人或实际控制人存在股份控制或实际控制关系；</w:t>
      </w:r>
    </w:p>
    <w:p w14:paraId="3F777242">
      <w:pPr>
        <w:widowControl w:val="0"/>
        <w:snapToGrid w:val="0"/>
        <w:spacing w:line="440" w:lineRule="exact"/>
        <w:jc w:val="both"/>
        <w:outlineLvl w:val="0"/>
        <w:rPr>
          <w:rFonts w:hint="default" w:ascii="宋体" w:hAnsi="宋体" w:eastAsia="宋体" w:cs="宋体"/>
          <w:color w:val="auto"/>
          <w:kern w:val="0"/>
          <w:sz w:val="24"/>
          <w:szCs w:val="24"/>
          <w:highlight w:val="none"/>
          <w:lang w:val="en-US" w:eastAsia="zh-CN" w:bidi="ar-SA"/>
        </w:rPr>
      </w:pPr>
      <w:bookmarkStart w:id="193" w:name="_Toc9031"/>
      <w:bookmarkStart w:id="194" w:name="_Toc9367"/>
      <w:bookmarkStart w:id="195" w:name="_Toc19343"/>
      <w:bookmarkStart w:id="196" w:name="_Toc15030"/>
      <w:bookmarkStart w:id="197" w:name="_Toc2857"/>
      <w:bookmarkStart w:id="198" w:name="_Toc24072"/>
      <w:bookmarkStart w:id="199" w:name="_Toc21795"/>
      <w:bookmarkStart w:id="200" w:name="_Toc20365"/>
      <w:bookmarkStart w:id="201" w:name="_Toc20250"/>
      <w:bookmarkStart w:id="202" w:name="_Toc22017"/>
      <w:r>
        <w:rPr>
          <w:rFonts w:hint="eastAsia" w:ascii="宋体" w:hAnsi="宋体" w:eastAsia="宋体" w:cs="宋体"/>
          <w:color w:val="auto"/>
          <w:kern w:val="0"/>
          <w:sz w:val="24"/>
          <w:szCs w:val="24"/>
          <w:highlight w:val="none"/>
          <w:lang w:val="en-US" w:eastAsia="zh-CN" w:bidi="ar-SA"/>
        </w:rPr>
        <w:t>G.存在共同直接或间接投资设立子公司、联营企业和合营企业情况；</w:t>
      </w:r>
      <w:bookmarkEnd w:id="193"/>
      <w:bookmarkEnd w:id="194"/>
      <w:bookmarkEnd w:id="195"/>
      <w:bookmarkEnd w:id="196"/>
      <w:bookmarkEnd w:id="197"/>
      <w:bookmarkEnd w:id="198"/>
      <w:bookmarkEnd w:id="199"/>
      <w:bookmarkEnd w:id="200"/>
      <w:bookmarkEnd w:id="201"/>
      <w:bookmarkEnd w:id="202"/>
    </w:p>
    <w:p w14:paraId="2D501441">
      <w:pPr>
        <w:widowControl w:val="0"/>
        <w:snapToGrid w:val="0"/>
        <w:spacing w:line="440" w:lineRule="exact"/>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H.存在分级代理或代销关系、同一生产制造商关系、</w:t>
      </w:r>
      <w:r>
        <w:rPr>
          <w:rFonts w:hint="eastAsia" w:ascii="宋体" w:hAnsi="宋体" w:eastAsia="宋体" w:cs="宋体"/>
          <w:color w:val="auto"/>
          <w:kern w:val="2"/>
          <w:sz w:val="24"/>
          <w:szCs w:val="24"/>
          <w:highlight w:val="none"/>
          <w:lang w:val="en-US" w:eastAsia="zh-CN" w:bidi="ar-SA"/>
        </w:rPr>
        <w:t>管理关系、重要业务（占主营业务收入50%以上）或重要财务往来关系（如融资）等其他实质性控制关系；</w:t>
      </w:r>
    </w:p>
    <w:p w14:paraId="590937A5">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I</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其他利害关系情况</w:t>
      </w:r>
      <w:r>
        <w:rPr>
          <w:rFonts w:hint="eastAsia" w:ascii="宋体" w:hAnsi="宋体" w:eastAsia="宋体" w:cs="宋体"/>
          <w:color w:val="auto"/>
          <w:kern w:val="0"/>
          <w:sz w:val="24"/>
          <w:szCs w:val="24"/>
          <w:highlight w:val="none"/>
          <w:lang w:val="en-US" w:eastAsia="zh-CN" w:bidi="ar-SA"/>
        </w:rPr>
        <w:t>。</w:t>
      </w:r>
    </w:p>
    <w:p w14:paraId="75EC4E34">
      <w:pPr>
        <w:widowControl/>
        <w:numPr>
          <w:ilvl w:val="0"/>
          <w:numId w:val="9"/>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现已清楚知道并</w:t>
      </w:r>
      <w:r>
        <w:rPr>
          <w:rFonts w:hint="eastAsia" w:ascii="宋体" w:hAnsi="宋体" w:eastAsia="宋体" w:cs="宋体"/>
          <w:color w:val="auto"/>
          <w:kern w:val="0"/>
          <w:sz w:val="24"/>
          <w:szCs w:val="24"/>
          <w:highlight w:val="none"/>
          <w:lang w:val="en-US" w:eastAsia="zh-CN" w:bidi="ar-SA"/>
        </w:rPr>
        <w:t>严格遵守政府采购法律法规和现场纪律。</w:t>
      </w:r>
    </w:p>
    <w:p w14:paraId="101D0587">
      <w:pPr>
        <w:widowControl/>
        <w:numPr>
          <w:ilvl w:val="0"/>
          <w:numId w:val="9"/>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我发现供应商</w:t>
      </w:r>
      <w:r>
        <w:rPr>
          <w:rFonts w:hint="eastAsia" w:ascii="宋体" w:hAnsi="宋体" w:eastAsia="宋体" w:cs="宋体"/>
          <w:color w:val="auto"/>
          <w:kern w:val="0"/>
          <w:sz w:val="24"/>
          <w:szCs w:val="24"/>
          <w:highlight w:val="none"/>
          <w:u w:val="single"/>
          <w:lang w:val="en-US" w:eastAsia="zh-CN" w:bidi="ar-SA"/>
        </w:rPr>
        <w:t xml:space="preserve">                     之间</w:t>
      </w:r>
      <w:r>
        <w:rPr>
          <w:rFonts w:hint="eastAsia" w:ascii="宋体" w:hAnsi="宋体" w:eastAsia="宋体" w:cs="宋体"/>
          <w:color w:val="auto"/>
          <w:kern w:val="0"/>
          <w:sz w:val="24"/>
          <w:szCs w:val="24"/>
          <w:highlight w:val="none"/>
          <w:lang w:val="en-US" w:eastAsia="zh-CN" w:bidi="ar-SA"/>
        </w:rPr>
        <w:t>存在或可能存在上述第二条第项利害关系。</w:t>
      </w:r>
    </w:p>
    <w:p w14:paraId="305A40C5">
      <w:pPr>
        <w:widowControl w:val="0"/>
        <w:snapToGrid w:val="0"/>
        <w:spacing w:line="440" w:lineRule="exact"/>
        <w:jc w:val="both"/>
        <w:rPr>
          <w:rFonts w:hint="default" w:ascii="宋体" w:hAnsi="宋体" w:eastAsia="宋体" w:cs="宋体"/>
          <w:color w:val="auto"/>
          <w:kern w:val="2"/>
          <w:sz w:val="24"/>
          <w:szCs w:val="24"/>
          <w:highlight w:val="none"/>
          <w:lang w:val="en-US" w:eastAsia="zh-CN" w:bidi="ar-SA"/>
        </w:rPr>
      </w:pPr>
    </w:p>
    <w:p w14:paraId="46B2A5F6">
      <w:pPr>
        <w:widowControl w:val="0"/>
        <w:snapToGrid w:val="0"/>
        <w:spacing w:line="440" w:lineRule="exact"/>
        <w:ind w:firstLine="480" w:firstLineChars="200"/>
        <w:jc w:val="right"/>
        <w:rPr>
          <w:rFonts w:hint="default" w:ascii="宋体" w:hAnsi="宋体" w:eastAsia="宋体" w:cs="宋体"/>
          <w:color w:val="auto"/>
          <w:kern w:val="2"/>
          <w:sz w:val="24"/>
          <w:szCs w:val="24"/>
          <w:highlight w:val="none"/>
          <w:lang w:val="en-US" w:eastAsia="zh-CN" w:bidi="ar-SA"/>
        </w:rPr>
      </w:pPr>
    </w:p>
    <w:p w14:paraId="4FDBE34D">
      <w:pPr>
        <w:pStyle w:val="131"/>
        <w:widowControl w:val="0"/>
        <w:snapToGrid w:val="0"/>
        <w:spacing w:line="440" w:lineRule="exact"/>
        <w:jc w:val="right"/>
        <w:rPr>
          <w:rFonts w:hint="default" w:asciiTheme="minorEastAsia" w:hAnsiTheme="minorEastAsia" w:eastAsiaTheme="minorEastAsia"/>
          <w:color w:val="auto"/>
          <w:sz w:val="24"/>
          <w:szCs w:val="24"/>
          <w:highlight w:val="none"/>
        </w:rPr>
      </w:pPr>
      <w:r>
        <w:rPr>
          <w:rFonts w:hint="eastAsia" w:ascii="宋体" w:hAnsi="宋体" w:eastAsia="宋体" w:cs="宋体"/>
          <w:color w:val="auto"/>
          <w:kern w:val="2"/>
          <w:sz w:val="24"/>
          <w:szCs w:val="24"/>
          <w:highlight w:val="none"/>
          <w:lang w:val="en-US" w:eastAsia="zh-CN" w:bidi="ar-SA"/>
        </w:rPr>
        <w:t>（供应商代表签名）：</w:t>
      </w:r>
    </w:p>
    <w:sectPr>
      <w:pgSz w:w="11906" w:h="16838"/>
      <w:pgMar w:top="1213" w:right="1463" w:bottom="1157" w:left="146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CCE8E">
    <w:pPr>
      <w:pStyle w:val="3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C69EF">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0DEC46CE">
                          <w:pPr>
                            <w:pStyle w:val="31"/>
                          </w:pPr>
                          <w:r>
                            <w:fldChar w:fldCharType="begin"/>
                          </w:r>
                          <w:r>
                            <w:instrText xml:space="preserve"> PAGE  \* MERGEFORMAT </w:instrText>
                          </w:r>
                          <w:r>
                            <w:fldChar w:fldCharType="separate"/>
                          </w:r>
                          <w:r>
                            <w:t>78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wec2q2gEAAK4DAAAOAAAAZHJzL2Uyb0RvYy54bWytU82O0zAQviPx&#10;DpbvNGnYrSBqugJVi5AQIC08gOvYjSX/yeM26QvAG3Diwp3n6nPs2Em6sFz2wMUZe8bffN/nyfpm&#10;MJocRQDlbEOXi5ISYblrld039OuX2xevKIHIbMu0s6KhJwH0ZvP82br3tahc53QrAkEQC3XvG9rF&#10;6OuiAN4Jw2DhvLCYlC4YFnEb9kUbWI/oRhdVWa6K3oXWB8cFAJ5uxySdEMNTAJ2Uiout4wcjbBxR&#10;g9AsoiTolAe6yWylFDx+khJEJLqhqDTmFZtgvEtrsVmzeh+Y7xSfKLCnUHikyTBlsekFassiI4eg&#10;/oEyigcHTsYFd6YYhWRHUMWyfOTNXce8yFrQavAX0+H/wfKPx8+BqLahFSWWGXzw84/v55+/z7++&#10;kSrZ03uoserOY10c3roBh2Y+BzxMqgcZTPqiHoJ5NPd0MVcMkfB0qSpX15jhmFpeX72+yuYXD5d9&#10;gPhOOENS0NCAb5ctZccPEJEIls4lqZd1t0rr/H7akr6hq5cI/1cGb2ibTkSehAkmCRqJpygOu2FS&#10;uXPtCUX2OA0NtTj8lOj3Fs1OgzMHYQ52c3DwQe07ZLzM3cG/OUTklimnDiMs8k8bfMasZBq5NCd/&#10;7nPVw2+2u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V+P30QAAAAMBAAAPAAAAAAAAAAEAIAAA&#10;ACIAAABkcnMvZG93bnJldi54bWxQSwECFAAUAAAACACHTuJAcHnNqtoBAACuAwAADgAAAAAAAAAB&#10;ACAAAAAgAQAAZHJzL2Uyb0RvYy54bWxQSwUGAAAAAAYABgBZAQAAbAUAAAAA&#10;">
              <v:fill on="f" focussize="0,0"/>
              <v:stroke on="f" weight="0.5pt"/>
              <v:imagedata o:title=""/>
              <o:lock v:ext="edit" aspectratio="f"/>
              <v:textbox inset="0mm,0mm,0mm,0mm" style="mso-fit-shape-to-text:t;">
                <w:txbxContent>
                  <w:p w14:paraId="0DEC46CE">
                    <w:pPr>
                      <w:pStyle w:val="31"/>
                    </w:pPr>
                    <w:r>
                      <w:fldChar w:fldCharType="begin"/>
                    </w:r>
                    <w:r>
                      <w:instrText xml:space="preserve"> PAGE  \* MERGEFORMAT </w:instrText>
                    </w:r>
                    <w:r>
                      <w:fldChar w:fldCharType="separate"/>
                    </w:r>
                    <w:r>
                      <w:t>78</w:t>
                    </w:r>
                    <w:r>
                      <w:fldChar w:fldCharType="end"/>
                    </w:r>
                  </w:p>
                </w:txbxContent>
              </v:textbox>
            </v:shape>
          </w:pict>
        </mc:Fallback>
      </mc:AlternateContent>
    </w:r>
  </w:p>
  <w:p w14:paraId="660312FB">
    <w:pPr>
      <w:pStyle w:val="3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EBB3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B685A">
    <w:pPr>
      <w:pStyle w:val="31"/>
      <w:tabs>
        <w:tab w:val="center" w:pos="4422"/>
        <w:tab w:val="right" w:pos="8844"/>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2C471">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C2C471">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95F7">
    <w:pPr>
      <w:pStyle w:val="31"/>
      <w:jc w:val="center"/>
    </w:pPr>
    <w:r>
      <w:fldChar w:fldCharType="begin"/>
    </w:r>
    <w:r>
      <w:instrText xml:space="preserve">PAGE   \* MERGEFORMAT</w:instrText>
    </w:r>
    <w:r>
      <w:fldChar w:fldCharType="separate"/>
    </w:r>
    <w:r>
      <w:rPr>
        <w:lang w:val="zh-CN"/>
      </w:rPr>
      <w:t>-</w:t>
    </w:r>
    <w:r>
      <w:t xml:space="preserve"> 1 -</w:t>
    </w:r>
    <w:r>
      <w:fldChar w:fldCharType="end"/>
    </w:r>
  </w:p>
  <w:p w14:paraId="2D3CCFAA">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B083">
    <w:pPr>
      <w:pStyle w:val="31"/>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09B02">
                          <w:pPr>
                            <w:pStyle w:val="31"/>
                            <w:jc w:val="center"/>
                          </w:pPr>
                          <w:r>
                            <w:fldChar w:fldCharType="begin"/>
                          </w:r>
                          <w:r>
                            <w:instrText xml:space="preserve">PAGE   \* MERGEFORMAT</w:instrText>
                          </w:r>
                          <w:r>
                            <w:fldChar w:fldCharType="separate"/>
                          </w:r>
                          <w:r>
                            <w:rPr>
                              <w:lang w:val="zh-CN"/>
                            </w:rPr>
                            <w:t>-</w:t>
                          </w:r>
                          <w:r>
                            <w:t xml:space="preserve">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DD09B02">
                    <w:pPr>
                      <w:pStyle w:val="31"/>
                      <w:jc w:val="center"/>
                    </w:pPr>
                    <w:r>
                      <w:fldChar w:fldCharType="begin"/>
                    </w:r>
                    <w:r>
                      <w:instrText xml:space="preserve">PAGE   \* MERGEFORMAT</w:instrText>
                    </w:r>
                    <w:r>
                      <w:fldChar w:fldCharType="separate"/>
                    </w:r>
                    <w:r>
                      <w:rPr>
                        <w:lang w:val="zh-CN"/>
                      </w:rPr>
                      <w:t>-</w:t>
                    </w:r>
                    <w:r>
                      <w:t xml:space="preserve"> 8 -</w:t>
                    </w:r>
                    <w:r>
                      <w:fldChar w:fldCharType="end"/>
                    </w:r>
                  </w:p>
                </w:txbxContent>
              </v:textbox>
            </v:shape>
          </w:pict>
        </mc:Fallback>
      </mc:AlternateContent>
    </w:r>
  </w:p>
  <w:p w14:paraId="66C0016A">
    <w:pPr>
      <w:pStyle w:val="31"/>
      <w:tabs>
        <w:tab w:val="center" w:pos="4422"/>
        <w:tab w:val="right" w:pos="8844"/>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A1CAE">
    <w:pPr>
      <w:pStyle w:val="31"/>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CA9EC">
                          <w:pPr>
                            <w:pStyle w:val="3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82CA9EC">
                    <w:pPr>
                      <w:pStyle w:val="31"/>
                    </w:pPr>
                    <w:r>
                      <w:fldChar w:fldCharType="begin"/>
                    </w:r>
                    <w:r>
                      <w:instrText xml:space="preserve"> PAGE  \* MERGEFORMAT </w:instrText>
                    </w:r>
                    <w:r>
                      <w:fldChar w:fldCharType="separate"/>
                    </w:r>
                    <w:r>
                      <w:t>39</w:t>
                    </w:r>
                    <w:r>
                      <w:fldChar w:fldCharType="end"/>
                    </w:r>
                  </w:p>
                </w:txbxContent>
              </v:textbox>
            </v:shape>
          </w:pict>
        </mc:Fallback>
      </mc:AlternateContent>
    </w:r>
  </w:p>
  <w:p w14:paraId="66CAAD3B">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79A5A">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6AB30439">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42</w:t>
                          </w:r>
                          <w:r>
                            <w:rPr>
                              <w:rFonts w:ascii="等线" w:hAnsi="等线"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1312;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smv472gEAAK4DAAAOAAAAZHJzL2Uyb0RvYy54bWytU82O0zAQviPx&#10;DpbvNGlpK4jqrkDVIiQESAsP4DpOY8l/8rhN+gLwBpy4cOe5+hw7dpIuLJc9cHHGnvE33/d5srnp&#10;jSYnGUA5y+h8VlIirXC1sgdGv365ffGKEojc1lw7Kxk9S6A32+fPNp2v5MK1TtcyEASxUHWe0TZG&#10;XxUFiFYaDjPnpcVk44LhEbfhUNSBd4hudLEoy3XRuVD74IQEwNPdkKQjYngKoGsaJeTOiaORNg6o&#10;QWoeURK0ygPdZrZNI0X81DQgI9GMotKYV2yC8T6txXbDq0PgvlVipMCfQuGRJsOVxaZXqB2PnByD&#10;+gfKKBEcuCbOhDPFICQ7girm5SNv7lruZdaCVoO/mg7/D1Z8PH0ORNWMriix3OCDX358v/z8ffn1&#10;jSyTPZ2HCqvuPNbF/q3rcWimc8DDpLpvgklf1EMwj+aer+bKPhKRLi3K9QozAlPz1fL1MptfPFz2&#10;AeI76QxJAaMB3y5byk8fICIRLJ1KUi/rbpXW+f20JR2j65cI/1cGb2ibTmSehBEmCRqIpyj2+35U&#10;uXf1GUV2OA2MWhx+SvR7i2anwZmCMAX7KTj6oA4tMp7n7uDfHCNyy5RThwEW+acNPmNWMo5cmpM/&#10;97nq4Tfb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V+P30QAAAAMBAAAPAAAAAAAAAAEAIAAA&#10;ACIAAABkcnMvZG93bnJldi54bWxQSwECFAAUAAAACACHTuJAbJr+O9oBAACuAwAADgAAAAAAAAAB&#10;ACAAAAAgAQAAZHJzL2Uyb0RvYy54bWxQSwUGAAAAAAYABgBZAQAAbAUAAAAA&#10;">
              <v:fill on="f" focussize="0,0"/>
              <v:stroke on="f" weight="0.5pt"/>
              <v:imagedata o:title=""/>
              <o:lock v:ext="edit" aspectratio="f"/>
              <v:textbox inset="0mm,0mm,0mm,0mm" style="mso-fit-shape-to-text:t;">
                <w:txbxContent>
                  <w:p w14:paraId="6AB30439">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42</w:t>
                    </w:r>
                    <w:r>
                      <w:rPr>
                        <w:rFonts w:ascii="等线" w:hAnsi="等线" w:eastAsia="宋体" w:cs="Times New Roman"/>
                        <w:kern w:val="2"/>
                        <w:sz w:val="18"/>
                        <w:szCs w:val="18"/>
                        <w:lang w:val="en-US" w:eastAsia="zh-CN" w:bidi="ar-SA"/>
                      </w:rPr>
                      <w:fldChar w:fldCharType="end"/>
                    </w:r>
                  </w:p>
                </w:txbxContent>
              </v:textbox>
            </v:shape>
          </w:pict>
        </mc:Fallback>
      </mc:AlternateContent>
    </w:r>
  </w:p>
  <w:p w14:paraId="0D173679">
    <w:pPr>
      <w:widowControl w:val="0"/>
      <w:snapToGrid w:val="0"/>
      <w:ind w:firstLine="440"/>
      <w:jc w:val="left"/>
      <w:rPr>
        <w:rFonts w:ascii="等线" w:hAnsi="等线" w:eastAsia="宋体" w:cs="Times New Roman"/>
        <w:kern w:val="2"/>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B17F">
    <w:pPr>
      <w:widowControl w:val="0"/>
      <w:snapToGrid w:val="0"/>
      <w:ind w:right="360" w:firstLine="360"/>
      <w:jc w:val="left"/>
      <w:rPr>
        <w:rFonts w:ascii="等线" w:hAnsi="等线"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55687">
                          <w:pPr>
                            <w:widowControl w:val="0"/>
                            <w:snapToGrid w:val="0"/>
                            <w:jc w:val="left"/>
                            <w:rPr>
                              <w:rStyle w:val="51"/>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Style w:val="51"/>
                              <w:rFonts w:ascii="等线" w:hAnsi="等线" w:eastAsia="宋体" w:cs="Times New Roman"/>
                              <w:kern w:val="2"/>
                              <w:sz w:val="21"/>
                              <w:szCs w:val="24"/>
                              <w:lang w:val="en-US" w:eastAsia="zh-CN" w:bidi="ar-SA"/>
                            </w:rPr>
                            <w:instrText xml:space="preserve">PAGE  </w:instrText>
                          </w:r>
                          <w:r>
                            <w:rPr>
                              <w:rFonts w:ascii="等线" w:hAnsi="等线" w:eastAsia="宋体" w:cs="Times New Roman"/>
                              <w:kern w:val="2"/>
                              <w:sz w:val="18"/>
                              <w:szCs w:val="18"/>
                              <w:lang w:val="en-US" w:eastAsia="zh-CN" w:bidi="ar-SA"/>
                            </w:rPr>
                            <w:fldChar w:fldCharType="separate"/>
                          </w:r>
                          <w:r>
                            <w:rPr>
                              <w:rStyle w:val="51"/>
                              <w:rFonts w:ascii="等线" w:hAnsi="等线" w:eastAsia="宋体" w:cs="Times New Roman"/>
                              <w:kern w:val="2"/>
                              <w:sz w:val="21"/>
                              <w:szCs w:val="24"/>
                              <w:lang w:val="en-US" w:eastAsia="zh-CN" w:bidi="ar-SA"/>
                            </w:rPr>
                            <w:t>70</w:t>
                          </w:r>
                          <w:r>
                            <w:rPr>
                              <w:rFonts w:ascii="等线" w:hAnsi="等线"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055687">
                    <w:pPr>
                      <w:widowControl w:val="0"/>
                      <w:snapToGrid w:val="0"/>
                      <w:jc w:val="left"/>
                      <w:rPr>
                        <w:rStyle w:val="51"/>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Style w:val="51"/>
                        <w:rFonts w:ascii="等线" w:hAnsi="等线" w:eastAsia="宋体" w:cs="Times New Roman"/>
                        <w:kern w:val="2"/>
                        <w:sz w:val="21"/>
                        <w:szCs w:val="24"/>
                        <w:lang w:val="en-US" w:eastAsia="zh-CN" w:bidi="ar-SA"/>
                      </w:rPr>
                      <w:instrText xml:space="preserve">PAGE  </w:instrText>
                    </w:r>
                    <w:r>
                      <w:rPr>
                        <w:rFonts w:ascii="等线" w:hAnsi="等线" w:eastAsia="宋体" w:cs="Times New Roman"/>
                        <w:kern w:val="2"/>
                        <w:sz w:val="18"/>
                        <w:szCs w:val="18"/>
                        <w:lang w:val="en-US" w:eastAsia="zh-CN" w:bidi="ar-SA"/>
                      </w:rPr>
                      <w:fldChar w:fldCharType="separate"/>
                    </w:r>
                    <w:r>
                      <w:rPr>
                        <w:rStyle w:val="51"/>
                        <w:rFonts w:ascii="等线" w:hAnsi="等线" w:eastAsia="宋体" w:cs="Times New Roman"/>
                        <w:kern w:val="2"/>
                        <w:sz w:val="21"/>
                        <w:szCs w:val="24"/>
                        <w:lang w:val="en-US" w:eastAsia="zh-CN" w:bidi="ar-SA"/>
                      </w:rPr>
                      <w:t>70</w:t>
                    </w:r>
                    <w:r>
                      <w:rPr>
                        <w:rFonts w:ascii="等线" w:hAnsi="等线" w:eastAsia="宋体" w:cs="Times New Roman"/>
                        <w:kern w:val="2"/>
                        <w:sz w:val="18"/>
                        <w:szCs w:val="18"/>
                        <w:lang w:val="en-US"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CDFF0">
    <w:pPr>
      <w:widowControl w:val="0"/>
      <w:snapToGrid w:val="0"/>
      <w:ind w:firstLine="440"/>
      <w:jc w:val="center"/>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060812">
                          <w:pPr>
                            <w:widowControl w:val="0"/>
                            <w:snapToGrid w:val="0"/>
                            <w:ind w:firstLine="440"/>
                            <w:jc w:val="lef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58</w:t>
                          </w:r>
                          <w:r>
                            <w:rPr>
                              <w:rFonts w:ascii="等线" w:hAnsi="等线"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XHQ7YAQAAsAMAAA4AAABkcnMvZTJvRG9jLnhtbK1TS27bMBDdF8gd&#10;CO5jyU4aGI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mhLLDA789Ovn6fff058f&#10;5CrJ03moMOvBY17sP7oel2a6B7xMrHsZTPoiH4JxFPd4Flf0kfD0aLlYLksMcYxNDuIXT899gHgv&#10;nCHJqGnA6WVR2eEzxCF1SknVrLtTWucJaku6mt5cvS/zg3MEwbVNuSLvwgiTKA2tJyv2237kuXXN&#10;EWl2uA81tbj+lOhPFuVOqzMZYTK2k7H3Qe1a7Hieq4P/sI/YW245VRhgkWpycJCZ9Lh0aVP+93PW&#10;04+2/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9BcdDtgBAACwAwAADgAAAAAAAAABACAA&#10;AAAfAQAAZHJzL2Uyb0RvYy54bWxQSwUGAAAAAAYABgBZAQAAaQUAAAAA&#10;">
              <v:fill on="f" focussize="0,0"/>
              <v:stroke on="f" weight="0.5pt"/>
              <v:imagedata o:title=""/>
              <o:lock v:ext="edit" aspectratio="f"/>
              <v:textbox inset="0mm,0mm,0mm,0mm" style="mso-fit-shape-to-text:t;">
                <w:txbxContent>
                  <w:p w14:paraId="2A060812">
                    <w:pPr>
                      <w:widowControl w:val="0"/>
                      <w:snapToGrid w:val="0"/>
                      <w:ind w:firstLine="440"/>
                      <w:jc w:val="lef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58</w:t>
                    </w:r>
                    <w:r>
                      <w:rPr>
                        <w:rFonts w:ascii="等线" w:hAnsi="等线" w:eastAsia="宋体" w:cs="Times New Roman"/>
                        <w:kern w:val="2"/>
                        <w:sz w:val="18"/>
                        <w:szCs w:val="18"/>
                        <w:lang w:val="en-US" w:eastAsia="zh-CN" w:bidi="ar-SA"/>
                      </w:rPr>
                      <w:fldChar w:fldCharType="end"/>
                    </w:r>
                  </w:p>
                </w:txbxContent>
              </v:textbox>
            </v:shape>
          </w:pict>
        </mc:Fallback>
      </mc:AlternateContent>
    </w: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638754">
                          <w:pPr>
                            <w:widowControl w:val="0"/>
                            <w:snapToGrid w:val="0"/>
                            <w:ind w:firstLine="440"/>
                            <w:jc w:val="center"/>
                            <w:rPr>
                              <w:rFonts w:ascii="等线" w:hAnsi="等线" w:eastAsia="宋体" w:cs="Times New Roman"/>
                              <w:kern w:val="2"/>
                              <w:sz w:val="18"/>
                              <w:szCs w:val="18"/>
                              <w:lang w:val="en-US" w:eastAsia="zh-CN" w:bidi="ar-SA"/>
                            </w:rPr>
                          </w:pPr>
                        </w:p>
                        <w:p w14:paraId="336FA943">
                          <w:pPr>
                            <w:rPr>
                              <w:rFonts w:eastAsia="宋体"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3E638754">
                    <w:pPr>
                      <w:widowControl w:val="0"/>
                      <w:snapToGrid w:val="0"/>
                      <w:ind w:firstLine="440"/>
                      <w:jc w:val="center"/>
                      <w:rPr>
                        <w:rFonts w:ascii="等线" w:hAnsi="等线" w:eastAsia="宋体" w:cs="Times New Roman"/>
                        <w:kern w:val="2"/>
                        <w:sz w:val="18"/>
                        <w:szCs w:val="18"/>
                        <w:lang w:val="en-US" w:eastAsia="zh-CN" w:bidi="ar-SA"/>
                      </w:rPr>
                    </w:pPr>
                  </w:p>
                  <w:p w14:paraId="336FA943">
                    <w:pPr>
                      <w:rPr>
                        <w:rFonts w:eastAsia="宋体" w:cs="Times New Roman"/>
                      </w:rPr>
                    </w:pPr>
                  </w:p>
                </w:txbxContent>
              </v:textbox>
            </v:shape>
          </w:pict>
        </mc:Fallback>
      </mc:AlternateContent>
    </w:r>
  </w:p>
  <w:p w14:paraId="44E8474F">
    <w:pPr>
      <w:widowControl w:val="0"/>
      <w:snapToGrid w:val="0"/>
      <w:ind w:firstLine="440"/>
      <w:jc w:val="left"/>
      <w:rPr>
        <w:rFonts w:ascii="等线" w:hAnsi="等线"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BF7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B121">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43044">
    <w:pPr>
      <w:pStyle w:val="32"/>
      <w:pBdr>
        <w:bottom w:val="none" w:color="auto" w:sz="0" w:space="0"/>
      </w:pBdr>
      <w:tabs>
        <w:tab w:val="right" w:pos="9813"/>
        <w:tab w:val="clear" w:pos="4153"/>
        <w:tab w:val="clear" w:pos="8306"/>
      </w:tabs>
      <w:ind w:left="-966" w:right="-968"/>
      <w:rPr>
        <w:rFonts w:ascii="宋体" w:hAnsi="宋体"/>
        <w:w w:val="8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E03C8"/>
    <w:multiLevelType w:val="singleLevel"/>
    <w:tmpl w:val="AE0E03C8"/>
    <w:lvl w:ilvl="0" w:tentative="0">
      <w:start w:val="2"/>
      <w:numFmt w:val="chineseCounting"/>
      <w:suff w:val="nothing"/>
      <w:lvlText w:val="%1、"/>
      <w:lvlJc w:val="left"/>
      <w:rPr>
        <w:rFonts w:hint="eastAsia"/>
      </w:rPr>
    </w:lvl>
  </w:abstractNum>
  <w:abstractNum w:abstractNumId="1">
    <w:nsid w:val="DA069F1E"/>
    <w:multiLevelType w:val="singleLevel"/>
    <w:tmpl w:val="DA069F1E"/>
    <w:lvl w:ilvl="0" w:tentative="0">
      <w:start w:val="1"/>
      <w:numFmt w:val="decimal"/>
      <w:pStyle w:val="14"/>
      <w:lvlText w:val="%1."/>
      <w:lvlJc w:val="left"/>
      <w:pPr>
        <w:tabs>
          <w:tab w:val="left" w:pos="780"/>
        </w:tabs>
        <w:ind w:left="780" w:hanging="360"/>
      </w:pPr>
    </w:lvl>
  </w:abstractNum>
  <w:abstractNum w:abstractNumId="2">
    <w:nsid w:val="DADFD21D"/>
    <w:multiLevelType w:val="singleLevel"/>
    <w:tmpl w:val="DADFD21D"/>
    <w:lvl w:ilvl="0" w:tentative="0">
      <w:start w:val="1"/>
      <w:numFmt w:val="decimal"/>
      <w:pStyle w:val="268"/>
      <w:suff w:val="nothing"/>
      <w:lvlText w:val="%1、"/>
      <w:lvlJc w:val="left"/>
    </w:lvl>
  </w:abstractNum>
  <w:abstractNum w:abstractNumId="3">
    <w:nsid w:val="07A97BC2"/>
    <w:multiLevelType w:val="multilevel"/>
    <w:tmpl w:val="07A97BC2"/>
    <w:lvl w:ilvl="0" w:tentative="0">
      <w:start w:val="1"/>
      <w:numFmt w:val="bullet"/>
      <w:pStyle w:val="272"/>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520C8405"/>
    <w:multiLevelType w:val="singleLevel"/>
    <w:tmpl w:val="520C8405"/>
    <w:lvl w:ilvl="0" w:tentative="0">
      <w:start w:val="1"/>
      <w:numFmt w:val="chineseCounting"/>
      <w:pStyle w:val="265"/>
      <w:suff w:val="nothing"/>
      <w:lvlText w:val="%1、"/>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5DC2298"/>
    <w:multiLevelType w:val="multilevel"/>
    <w:tmpl w:val="55DC2298"/>
    <w:lvl w:ilvl="0" w:tentative="0">
      <w:start w:val="1"/>
      <w:numFmt w:val="chineseCountingThousand"/>
      <w:pStyle w:val="44"/>
      <w:lvlText w:val="第%1章"/>
      <w:lvlJc w:val="left"/>
      <w:pPr>
        <w:ind w:left="620" w:hanging="425"/>
      </w:pPr>
      <w:rPr>
        <w:rFonts w:hint="eastAsia"/>
      </w:rPr>
    </w:lvl>
    <w:lvl w:ilvl="1" w:tentative="0">
      <w:start w:val="1"/>
      <w:numFmt w:val="decimal"/>
      <w:lvlText w:val="%1.%2"/>
      <w:lvlJc w:val="left"/>
      <w:pPr>
        <w:ind w:left="1187" w:hanging="567"/>
      </w:pPr>
      <w:rPr>
        <w:rFonts w:hint="eastAsia"/>
      </w:rPr>
    </w:lvl>
    <w:lvl w:ilvl="2" w:tentative="0">
      <w:start w:val="1"/>
      <w:numFmt w:val="decimal"/>
      <w:lvlText w:val="%1.%2.%3"/>
      <w:lvlJc w:val="left"/>
      <w:pPr>
        <w:ind w:left="1613" w:hanging="567"/>
      </w:pPr>
      <w:rPr>
        <w:rFonts w:hint="eastAsia"/>
      </w:rPr>
    </w:lvl>
    <w:lvl w:ilvl="3" w:tentative="0">
      <w:start w:val="1"/>
      <w:numFmt w:val="decimal"/>
      <w:lvlText w:val="%1.%2.%3.%4"/>
      <w:lvlJc w:val="left"/>
      <w:pPr>
        <w:ind w:left="2179" w:hanging="708"/>
      </w:pPr>
      <w:rPr>
        <w:rFonts w:hint="eastAsia"/>
      </w:rPr>
    </w:lvl>
    <w:lvl w:ilvl="4" w:tentative="0">
      <w:start w:val="1"/>
      <w:numFmt w:val="decimal"/>
      <w:lvlText w:val="%1.%2.%3.%4.%5"/>
      <w:lvlJc w:val="left"/>
      <w:pPr>
        <w:ind w:left="2746" w:hanging="850"/>
      </w:pPr>
      <w:rPr>
        <w:rFonts w:hint="eastAsia"/>
      </w:rPr>
    </w:lvl>
    <w:lvl w:ilvl="5" w:tentative="0">
      <w:start w:val="1"/>
      <w:numFmt w:val="decimal"/>
      <w:lvlText w:val="%1.%2.%3.%4.%5.%6"/>
      <w:lvlJc w:val="left"/>
      <w:pPr>
        <w:ind w:left="3455" w:hanging="1134"/>
      </w:pPr>
      <w:rPr>
        <w:rFonts w:hint="eastAsia"/>
      </w:rPr>
    </w:lvl>
    <w:lvl w:ilvl="6" w:tentative="0">
      <w:start w:val="1"/>
      <w:numFmt w:val="decimal"/>
      <w:lvlText w:val="%1.%2.%3.%4.%5.%6.%7"/>
      <w:lvlJc w:val="left"/>
      <w:pPr>
        <w:ind w:left="4022" w:hanging="1276"/>
      </w:pPr>
      <w:rPr>
        <w:rFonts w:hint="eastAsia"/>
      </w:rPr>
    </w:lvl>
    <w:lvl w:ilvl="7" w:tentative="0">
      <w:start w:val="1"/>
      <w:numFmt w:val="decimal"/>
      <w:lvlText w:val="%1.%2.%3.%4.%5.%6.%7.%8"/>
      <w:lvlJc w:val="left"/>
      <w:pPr>
        <w:ind w:left="4589" w:hanging="1418"/>
      </w:pPr>
      <w:rPr>
        <w:rFonts w:hint="eastAsia"/>
      </w:rPr>
    </w:lvl>
    <w:lvl w:ilvl="8" w:tentative="0">
      <w:start w:val="1"/>
      <w:numFmt w:val="decimal"/>
      <w:lvlText w:val="%1.%2.%3.%4.%5.%6.%7.%8.%9"/>
      <w:lvlJc w:val="left"/>
      <w:pPr>
        <w:ind w:left="5297" w:hanging="1700"/>
      </w:pPr>
      <w:rPr>
        <w:rFonts w:hint="eastAsia"/>
      </w:rPr>
    </w:lvl>
  </w:abstractNum>
  <w:abstractNum w:abstractNumId="8">
    <w:nsid w:val="7CA93F89"/>
    <w:multiLevelType w:val="multilevel"/>
    <w:tmpl w:val="7CA93F8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4"/>
  </w:num>
  <w:num w:numId="4">
    <w:abstractNumId w:val="2"/>
  </w:num>
  <w:num w:numId="5">
    <w:abstractNumId w:val="3"/>
  </w:num>
  <w:num w:numId="6">
    <w:abstractNumId w:val="0"/>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TA5NzQ2Yzk3MjIyZTI0ZTczZTJhMWQzOTgxNWMifQ=="/>
    <w:docVar w:name="KSO_WPS_MARK_KEY" w:val="8a0c89e6-ed9b-4421-8040-6b767f61daa1"/>
  </w:docVars>
  <w:rsids>
    <w:rsidRoot w:val="00F42B94"/>
    <w:rsid w:val="00000762"/>
    <w:rsid w:val="00001465"/>
    <w:rsid w:val="00001C6A"/>
    <w:rsid w:val="000044C6"/>
    <w:rsid w:val="00004E7D"/>
    <w:rsid w:val="00010975"/>
    <w:rsid w:val="00011EB0"/>
    <w:rsid w:val="00012B18"/>
    <w:rsid w:val="0002041D"/>
    <w:rsid w:val="00023D21"/>
    <w:rsid w:val="00023E3A"/>
    <w:rsid w:val="00024F27"/>
    <w:rsid w:val="00025B3B"/>
    <w:rsid w:val="000272BF"/>
    <w:rsid w:val="0002734A"/>
    <w:rsid w:val="000303FA"/>
    <w:rsid w:val="00031543"/>
    <w:rsid w:val="0003158D"/>
    <w:rsid w:val="00031FF1"/>
    <w:rsid w:val="000329DA"/>
    <w:rsid w:val="00033FAF"/>
    <w:rsid w:val="0003440F"/>
    <w:rsid w:val="00034A15"/>
    <w:rsid w:val="0003720C"/>
    <w:rsid w:val="000378E8"/>
    <w:rsid w:val="00041935"/>
    <w:rsid w:val="0004250C"/>
    <w:rsid w:val="000447C4"/>
    <w:rsid w:val="00044E85"/>
    <w:rsid w:val="00050830"/>
    <w:rsid w:val="00051171"/>
    <w:rsid w:val="000515CF"/>
    <w:rsid w:val="0005221F"/>
    <w:rsid w:val="000522A6"/>
    <w:rsid w:val="000525A0"/>
    <w:rsid w:val="00057655"/>
    <w:rsid w:val="00057E21"/>
    <w:rsid w:val="00062441"/>
    <w:rsid w:val="00062E7B"/>
    <w:rsid w:val="00063713"/>
    <w:rsid w:val="00064543"/>
    <w:rsid w:val="000725D0"/>
    <w:rsid w:val="00075589"/>
    <w:rsid w:val="00080445"/>
    <w:rsid w:val="00081011"/>
    <w:rsid w:val="00081DA6"/>
    <w:rsid w:val="00081F5F"/>
    <w:rsid w:val="00084226"/>
    <w:rsid w:val="00084F20"/>
    <w:rsid w:val="00085E3C"/>
    <w:rsid w:val="00086D54"/>
    <w:rsid w:val="00087829"/>
    <w:rsid w:val="00090559"/>
    <w:rsid w:val="00090924"/>
    <w:rsid w:val="0009183B"/>
    <w:rsid w:val="0009269F"/>
    <w:rsid w:val="0009417B"/>
    <w:rsid w:val="000946F7"/>
    <w:rsid w:val="000957AF"/>
    <w:rsid w:val="000978B4"/>
    <w:rsid w:val="000A1A77"/>
    <w:rsid w:val="000A21E3"/>
    <w:rsid w:val="000A281E"/>
    <w:rsid w:val="000A31AB"/>
    <w:rsid w:val="000A5353"/>
    <w:rsid w:val="000A6BE6"/>
    <w:rsid w:val="000A7AB5"/>
    <w:rsid w:val="000B2495"/>
    <w:rsid w:val="000B29CD"/>
    <w:rsid w:val="000B4522"/>
    <w:rsid w:val="000B5823"/>
    <w:rsid w:val="000C121D"/>
    <w:rsid w:val="000C13B4"/>
    <w:rsid w:val="000C4E1D"/>
    <w:rsid w:val="000C729C"/>
    <w:rsid w:val="000C72D6"/>
    <w:rsid w:val="000C78F3"/>
    <w:rsid w:val="000D0268"/>
    <w:rsid w:val="000D1F81"/>
    <w:rsid w:val="000D5278"/>
    <w:rsid w:val="000D625F"/>
    <w:rsid w:val="000D6668"/>
    <w:rsid w:val="000E0D3F"/>
    <w:rsid w:val="000E349E"/>
    <w:rsid w:val="000E38FD"/>
    <w:rsid w:val="000E7353"/>
    <w:rsid w:val="000E745A"/>
    <w:rsid w:val="000F01DF"/>
    <w:rsid w:val="000F0690"/>
    <w:rsid w:val="000F2CFB"/>
    <w:rsid w:val="000F2DF2"/>
    <w:rsid w:val="000F753C"/>
    <w:rsid w:val="00106871"/>
    <w:rsid w:val="001068E5"/>
    <w:rsid w:val="00110BCF"/>
    <w:rsid w:val="00113970"/>
    <w:rsid w:val="00114B62"/>
    <w:rsid w:val="0011513E"/>
    <w:rsid w:val="00115531"/>
    <w:rsid w:val="00123CD3"/>
    <w:rsid w:val="0012467F"/>
    <w:rsid w:val="00124913"/>
    <w:rsid w:val="001249DF"/>
    <w:rsid w:val="00124DAE"/>
    <w:rsid w:val="00124E03"/>
    <w:rsid w:val="00126BAF"/>
    <w:rsid w:val="00127235"/>
    <w:rsid w:val="00130D18"/>
    <w:rsid w:val="00134577"/>
    <w:rsid w:val="00141870"/>
    <w:rsid w:val="00141C37"/>
    <w:rsid w:val="00141C72"/>
    <w:rsid w:val="00144D6E"/>
    <w:rsid w:val="00150508"/>
    <w:rsid w:val="001535A6"/>
    <w:rsid w:val="00153D99"/>
    <w:rsid w:val="00154745"/>
    <w:rsid w:val="00156755"/>
    <w:rsid w:val="001570FF"/>
    <w:rsid w:val="00157FB4"/>
    <w:rsid w:val="0016003C"/>
    <w:rsid w:val="00161A82"/>
    <w:rsid w:val="00162879"/>
    <w:rsid w:val="00162B57"/>
    <w:rsid w:val="001647C6"/>
    <w:rsid w:val="00164AAD"/>
    <w:rsid w:val="00170457"/>
    <w:rsid w:val="00172416"/>
    <w:rsid w:val="00176000"/>
    <w:rsid w:val="00176CC4"/>
    <w:rsid w:val="00177BB0"/>
    <w:rsid w:val="001800E2"/>
    <w:rsid w:val="00180F85"/>
    <w:rsid w:val="001822AF"/>
    <w:rsid w:val="00182D33"/>
    <w:rsid w:val="00183CA1"/>
    <w:rsid w:val="00186101"/>
    <w:rsid w:val="001868FC"/>
    <w:rsid w:val="00187118"/>
    <w:rsid w:val="00187FC2"/>
    <w:rsid w:val="0019104C"/>
    <w:rsid w:val="00192965"/>
    <w:rsid w:val="00193604"/>
    <w:rsid w:val="00194A69"/>
    <w:rsid w:val="00195202"/>
    <w:rsid w:val="001956C2"/>
    <w:rsid w:val="00195846"/>
    <w:rsid w:val="00196C48"/>
    <w:rsid w:val="001A01C0"/>
    <w:rsid w:val="001A028D"/>
    <w:rsid w:val="001A44B8"/>
    <w:rsid w:val="001A4529"/>
    <w:rsid w:val="001A56C1"/>
    <w:rsid w:val="001A7117"/>
    <w:rsid w:val="001B018C"/>
    <w:rsid w:val="001B057E"/>
    <w:rsid w:val="001C1C84"/>
    <w:rsid w:val="001C1DCA"/>
    <w:rsid w:val="001C2573"/>
    <w:rsid w:val="001C43B5"/>
    <w:rsid w:val="001C6223"/>
    <w:rsid w:val="001C7A2C"/>
    <w:rsid w:val="001C7A91"/>
    <w:rsid w:val="001D1C0E"/>
    <w:rsid w:val="001D6B71"/>
    <w:rsid w:val="001E1F3B"/>
    <w:rsid w:val="001E20DE"/>
    <w:rsid w:val="001E2571"/>
    <w:rsid w:val="001E291B"/>
    <w:rsid w:val="001E41F2"/>
    <w:rsid w:val="001E5719"/>
    <w:rsid w:val="001E5FC6"/>
    <w:rsid w:val="001E69A1"/>
    <w:rsid w:val="001F17FE"/>
    <w:rsid w:val="001F1A18"/>
    <w:rsid w:val="001F4F2F"/>
    <w:rsid w:val="001F6C0A"/>
    <w:rsid w:val="00211A93"/>
    <w:rsid w:val="00211B56"/>
    <w:rsid w:val="00213322"/>
    <w:rsid w:val="002137CE"/>
    <w:rsid w:val="00215E1F"/>
    <w:rsid w:val="00217476"/>
    <w:rsid w:val="00217E4A"/>
    <w:rsid w:val="00221130"/>
    <w:rsid w:val="00222A02"/>
    <w:rsid w:val="002234ED"/>
    <w:rsid w:val="0022407A"/>
    <w:rsid w:val="002272C8"/>
    <w:rsid w:val="00231B55"/>
    <w:rsid w:val="00232245"/>
    <w:rsid w:val="002356D6"/>
    <w:rsid w:val="002369B3"/>
    <w:rsid w:val="00237B9D"/>
    <w:rsid w:val="00242142"/>
    <w:rsid w:val="00242C32"/>
    <w:rsid w:val="0024483F"/>
    <w:rsid w:val="00247CB5"/>
    <w:rsid w:val="002507EA"/>
    <w:rsid w:val="0025201A"/>
    <w:rsid w:val="00252549"/>
    <w:rsid w:val="00253737"/>
    <w:rsid w:val="00253D22"/>
    <w:rsid w:val="00254DB5"/>
    <w:rsid w:val="002570D2"/>
    <w:rsid w:val="00257E3F"/>
    <w:rsid w:val="00261BE8"/>
    <w:rsid w:val="002620E8"/>
    <w:rsid w:val="002625BC"/>
    <w:rsid w:val="0026420C"/>
    <w:rsid w:val="00267AA7"/>
    <w:rsid w:val="00270E12"/>
    <w:rsid w:val="00272161"/>
    <w:rsid w:val="002722B2"/>
    <w:rsid w:val="002733B8"/>
    <w:rsid w:val="00274300"/>
    <w:rsid w:val="002746DA"/>
    <w:rsid w:val="002749D3"/>
    <w:rsid w:val="00277380"/>
    <w:rsid w:val="0027787C"/>
    <w:rsid w:val="00277BA0"/>
    <w:rsid w:val="00277BFD"/>
    <w:rsid w:val="00277DD5"/>
    <w:rsid w:val="00277F46"/>
    <w:rsid w:val="00280EC2"/>
    <w:rsid w:val="002825A0"/>
    <w:rsid w:val="0028388C"/>
    <w:rsid w:val="002838DD"/>
    <w:rsid w:val="002857A1"/>
    <w:rsid w:val="002860C9"/>
    <w:rsid w:val="00287152"/>
    <w:rsid w:val="0029051E"/>
    <w:rsid w:val="00290A0C"/>
    <w:rsid w:val="00295357"/>
    <w:rsid w:val="00297B67"/>
    <w:rsid w:val="002A43F4"/>
    <w:rsid w:val="002A68F3"/>
    <w:rsid w:val="002B6004"/>
    <w:rsid w:val="002C0105"/>
    <w:rsid w:val="002C3455"/>
    <w:rsid w:val="002C4C38"/>
    <w:rsid w:val="002C5065"/>
    <w:rsid w:val="002C573D"/>
    <w:rsid w:val="002C738A"/>
    <w:rsid w:val="002D0B8F"/>
    <w:rsid w:val="002D232C"/>
    <w:rsid w:val="002D2674"/>
    <w:rsid w:val="002D3E6B"/>
    <w:rsid w:val="002D4BBD"/>
    <w:rsid w:val="002D779E"/>
    <w:rsid w:val="002E0A6B"/>
    <w:rsid w:val="002E0EBD"/>
    <w:rsid w:val="002E241B"/>
    <w:rsid w:val="002E2865"/>
    <w:rsid w:val="002E41DD"/>
    <w:rsid w:val="002E46D1"/>
    <w:rsid w:val="002E4736"/>
    <w:rsid w:val="002E4E75"/>
    <w:rsid w:val="002E631F"/>
    <w:rsid w:val="002E6ABA"/>
    <w:rsid w:val="002F062F"/>
    <w:rsid w:val="002F0BD5"/>
    <w:rsid w:val="002F2ECB"/>
    <w:rsid w:val="002F661B"/>
    <w:rsid w:val="002F6AFC"/>
    <w:rsid w:val="002F74D6"/>
    <w:rsid w:val="00302F15"/>
    <w:rsid w:val="00304513"/>
    <w:rsid w:val="003055D7"/>
    <w:rsid w:val="00310946"/>
    <w:rsid w:val="00310A55"/>
    <w:rsid w:val="00310C05"/>
    <w:rsid w:val="00312039"/>
    <w:rsid w:val="00313163"/>
    <w:rsid w:val="0031472D"/>
    <w:rsid w:val="003149EA"/>
    <w:rsid w:val="003177C2"/>
    <w:rsid w:val="00317A78"/>
    <w:rsid w:val="00317D0C"/>
    <w:rsid w:val="00317D8D"/>
    <w:rsid w:val="00320468"/>
    <w:rsid w:val="003209C5"/>
    <w:rsid w:val="003209F9"/>
    <w:rsid w:val="0032224E"/>
    <w:rsid w:val="003228EA"/>
    <w:rsid w:val="003232DE"/>
    <w:rsid w:val="00323C23"/>
    <w:rsid w:val="00324383"/>
    <w:rsid w:val="003269A6"/>
    <w:rsid w:val="00326DD4"/>
    <w:rsid w:val="00326DE6"/>
    <w:rsid w:val="003277B2"/>
    <w:rsid w:val="00330A07"/>
    <w:rsid w:val="0033126E"/>
    <w:rsid w:val="00331DB0"/>
    <w:rsid w:val="0033204F"/>
    <w:rsid w:val="003327A3"/>
    <w:rsid w:val="003345F4"/>
    <w:rsid w:val="00337289"/>
    <w:rsid w:val="00337C2C"/>
    <w:rsid w:val="00342C3D"/>
    <w:rsid w:val="00346440"/>
    <w:rsid w:val="003479BA"/>
    <w:rsid w:val="0035123E"/>
    <w:rsid w:val="003519A9"/>
    <w:rsid w:val="0035267F"/>
    <w:rsid w:val="00353831"/>
    <w:rsid w:val="0035399B"/>
    <w:rsid w:val="00354382"/>
    <w:rsid w:val="00354749"/>
    <w:rsid w:val="0035796B"/>
    <w:rsid w:val="003609B1"/>
    <w:rsid w:val="0036350A"/>
    <w:rsid w:val="0036389C"/>
    <w:rsid w:val="00365BDA"/>
    <w:rsid w:val="0036727F"/>
    <w:rsid w:val="00367B6A"/>
    <w:rsid w:val="00370621"/>
    <w:rsid w:val="00370E02"/>
    <w:rsid w:val="003713C2"/>
    <w:rsid w:val="0037290E"/>
    <w:rsid w:val="00374306"/>
    <w:rsid w:val="003766CE"/>
    <w:rsid w:val="003813FC"/>
    <w:rsid w:val="00385F28"/>
    <w:rsid w:val="003866B1"/>
    <w:rsid w:val="003875C5"/>
    <w:rsid w:val="00387B33"/>
    <w:rsid w:val="003902BD"/>
    <w:rsid w:val="00390887"/>
    <w:rsid w:val="00390F6B"/>
    <w:rsid w:val="00391CC3"/>
    <w:rsid w:val="00391EA6"/>
    <w:rsid w:val="00392B38"/>
    <w:rsid w:val="00394155"/>
    <w:rsid w:val="003942A0"/>
    <w:rsid w:val="00395CB7"/>
    <w:rsid w:val="003963B5"/>
    <w:rsid w:val="00397575"/>
    <w:rsid w:val="003A0E12"/>
    <w:rsid w:val="003A0F16"/>
    <w:rsid w:val="003A24DC"/>
    <w:rsid w:val="003A3B05"/>
    <w:rsid w:val="003A4948"/>
    <w:rsid w:val="003A4D65"/>
    <w:rsid w:val="003A6341"/>
    <w:rsid w:val="003B14F7"/>
    <w:rsid w:val="003B4A60"/>
    <w:rsid w:val="003B5C60"/>
    <w:rsid w:val="003B6332"/>
    <w:rsid w:val="003C1C96"/>
    <w:rsid w:val="003C3F61"/>
    <w:rsid w:val="003C6E3E"/>
    <w:rsid w:val="003D033B"/>
    <w:rsid w:val="003D0637"/>
    <w:rsid w:val="003D1FF1"/>
    <w:rsid w:val="003D23CF"/>
    <w:rsid w:val="003D389C"/>
    <w:rsid w:val="003D4077"/>
    <w:rsid w:val="003D6662"/>
    <w:rsid w:val="003E0108"/>
    <w:rsid w:val="003E0AAF"/>
    <w:rsid w:val="003E1977"/>
    <w:rsid w:val="003E578B"/>
    <w:rsid w:val="003F0351"/>
    <w:rsid w:val="003F0866"/>
    <w:rsid w:val="003F2136"/>
    <w:rsid w:val="003F2DBD"/>
    <w:rsid w:val="003F4F19"/>
    <w:rsid w:val="003F6380"/>
    <w:rsid w:val="003F63CE"/>
    <w:rsid w:val="003F7EA9"/>
    <w:rsid w:val="00401A5F"/>
    <w:rsid w:val="00401D7D"/>
    <w:rsid w:val="00406ACE"/>
    <w:rsid w:val="0041063D"/>
    <w:rsid w:val="00411617"/>
    <w:rsid w:val="004142D5"/>
    <w:rsid w:val="00414C3A"/>
    <w:rsid w:val="004168DA"/>
    <w:rsid w:val="00420AFF"/>
    <w:rsid w:val="004221E8"/>
    <w:rsid w:val="0042490D"/>
    <w:rsid w:val="004301EE"/>
    <w:rsid w:val="00430ADD"/>
    <w:rsid w:val="00433E25"/>
    <w:rsid w:val="00435601"/>
    <w:rsid w:val="0043611A"/>
    <w:rsid w:val="004425C5"/>
    <w:rsid w:val="00446139"/>
    <w:rsid w:val="00446CF0"/>
    <w:rsid w:val="00451D12"/>
    <w:rsid w:val="00452A91"/>
    <w:rsid w:val="00456619"/>
    <w:rsid w:val="00456841"/>
    <w:rsid w:val="004640BA"/>
    <w:rsid w:val="00464FC9"/>
    <w:rsid w:val="00467261"/>
    <w:rsid w:val="004721C8"/>
    <w:rsid w:val="00472C47"/>
    <w:rsid w:val="0047423D"/>
    <w:rsid w:val="004749F7"/>
    <w:rsid w:val="00475306"/>
    <w:rsid w:val="004761BC"/>
    <w:rsid w:val="00480E69"/>
    <w:rsid w:val="00490404"/>
    <w:rsid w:val="00490E81"/>
    <w:rsid w:val="00493FFC"/>
    <w:rsid w:val="0049507A"/>
    <w:rsid w:val="0049521C"/>
    <w:rsid w:val="004977CB"/>
    <w:rsid w:val="004A03D5"/>
    <w:rsid w:val="004A12F0"/>
    <w:rsid w:val="004A2219"/>
    <w:rsid w:val="004A2962"/>
    <w:rsid w:val="004A2993"/>
    <w:rsid w:val="004A42D8"/>
    <w:rsid w:val="004A458E"/>
    <w:rsid w:val="004A48D8"/>
    <w:rsid w:val="004A61DE"/>
    <w:rsid w:val="004A6426"/>
    <w:rsid w:val="004A6837"/>
    <w:rsid w:val="004A73DF"/>
    <w:rsid w:val="004B2C6F"/>
    <w:rsid w:val="004B4539"/>
    <w:rsid w:val="004B573B"/>
    <w:rsid w:val="004B5D86"/>
    <w:rsid w:val="004C0A3E"/>
    <w:rsid w:val="004C14C9"/>
    <w:rsid w:val="004C2A8F"/>
    <w:rsid w:val="004C4B33"/>
    <w:rsid w:val="004C6066"/>
    <w:rsid w:val="004C710F"/>
    <w:rsid w:val="004C725B"/>
    <w:rsid w:val="004D5A0C"/>
    <w:rsid w:val="004E206A"/>
    <w:rsid w:val="004E505D"/>
    <w:rsid w:val="004E5E2F"/>
    <w:rsid w:val="004E729F"/>
    <w:rsid w:val="004F1A04"/>
    <w:rsid w:val="004F3C8E"/>
    <w:rsid w:val="004F4817"/>
    <w:rsid w:val="004F538F"/>
    <w:rsid w:val="004F5EB3"/>
    <w:rsid w:val="005002AE"/>
    <w:rsid w:val="00502DE4"/>
    <w:rsid w:val="0050600C"/>
    <w:rsid w:val="00507199"/>
    <w:rsid w:val="0051429F"/>
    <w:rsid w:val="00514835"/>
    <w:rsid w:val="00516B48"/>
    <w:rsid w:val="00517525"/>
    <w:rsid w:val="00522DD9"/>
    <w:rsid w:val="00525C8F"/>
    <w:rsid w:val="005316F9"/>
    <w:rsid w:val="005317C5"/>
    <w:rsid w:val="00532AD2"/>
    <w:rsid w:val="00544C4F"/>
    <w:rsid w:val="0054717C"/>
    <w:rsid w:val="00550394"/>
    <w:rsid w:val="00553ABE"/>
    <w:rsid w:val="00554490"/>
    <w:rsid w:val="00554CDB"/>
    <w:rsid w:val="0055551D"/>
    <w:rsid w:val="00556CC9"/>
    <w:rsid w:val="0055716F"/>
    <w:rsid w:val="005575BC"/>
    <w:rsid w:val="0055797F"/>
    <w:rsid w:val="00560972"/>
    <w:rsid w:val="00561C5E"/>
    <w:rsid w:val="0056261A"/>
    <w:rsid w:val="00563842"/>
    <w:rsid w:val="00564F64"/>
    <w:rsid w:val="005703A3"/>
    <w:rsid w:val="005708AE"/>
    <w:rsid w:val="00572043"/>
    <w:rsid w:val="00572C95"/>
    <w:rsid w:val="005733D5"/>
    <w:rsid w:val="00576723"/>
    <w:rsid w:val="005771F4"/>
    <w:rsid w:val="00577DD0"/>
    <w:rsid w:val="00577F99"/>
    <w:rsid w:val="00581C39"/>
    <w:rsid w:val="00583B79"/>
    <w:rsid w:val="00583EAB"/>
    <w:rsid w:val="00584495"/>
    <w:rsid w:val="00585B19"/>
    <w:rsid w:val="00586ED9"/>
    <w:rsid w:val="00586EE9"/>
    <w:rsid w:val="00590196"/>
    <w:rsid w:val="00591DE4"/>
    <w:rsid w:val="005925AE"/>
    <w:rsid w:val="005925F5"/>
    <w:rsid w:val="00593681"/>
    <w:rsid w:val="00594BD6"/>
    <w:rsid w:val="00595FB1"/>
    <w:rsid w:val="005969AF"/>
    <w:rsid w:val="005972DE"/>
    <w:rsid w:val="005A174A"/>
    <w:rsid w:val="005A7169"/>
    <w:rsid w:val="005A78A2"/>
    <w:rsid w:val="005B1A53"/>
    <w:rsid w:val="005B4095"/>
    <w:rsid w:val="005B4183"/>
    <w:rsid w:val="005B593D"/>
    <w:rsid w:val="005C0BE9"/>
    <w:rsid w:val="005C3827"/>
    <w:rsid w:val="005D0B93"/>
    <w:rsid w:val="005D0D4C"/>
    <w:rsid w:val="005D0DC2"/>
    <w:rsid w:val="005D1999"/>
    <w:rsid w:val="005D4E6D"/>
    <w:rsid w:val="005D5686"/>
    <w:rsid w:val="005E0B31"/>
    <w:rsid w:val="005E1E55"/>
    <w:rsid w:val="005E4BA6"/>
    <w:rsid w:val="005E66E0"/>
    <w:rsid w:val="005E675D"/>
    <w:rsid w:val="005E7C9A"/>
    <w:rsid w:val="005E7CD1"/>
    <w:rsid w:val="005F0574"/>
    <w:rsid w:val="005F0684"/>
    <w:rsid w:val="005F1B6F"/>
    <w:rsid w:val="005F502F"/>
    <w:rsid w:val="005F56B9"/>
    <w:rsid w:val="005F58C5"/>
    <w:rsid w:val="005F7C84"/>
    <w:rsid w:val="00601A1C"/>
    <w:rsid w:val="00604D11"/>
    <w:rsid w:val="00604DBE"/>
    <w:rsid w:val="006066D7"/>
    <w:rsid w:val="00606964"/>
    <w:rsid w:val="00610815"/>
    <w:rsid w:val="00611781"/>
    <w:rsid w:val="00616DA5"/>
    <w:rsid w:val="006211D0"/>
    <w:rsid w:val="00621DCB"/>
    <w:rsid w:val="00623C00"/>
    <w:rsid w:val="00623D7C"/>
    <w:rsid w:val="00625A2E"/>
    <w:rsid w:val="00625B17"/>
    <w:rsid w:val="00626001"/>
    <w:rsid w:val="00630EEB"/>
    <w:rsid w:val="0063109A"/>
    <w:rsid w:val="00634454"/>
    <w:rsid w:val="00635507"/>
    <w:rsid w:val="00642438"/>
    <w:rsid w:val="006458EA"/>
    <w:rsid w:val="0064591D"/>
    <w:rsid w:val="0064698F"/>
    <w:rsid w:val="006469E1"/>
    <w:rsid w:val="00650D5F"/>
    <w:rsid w:val="00650E52"/>
    <w:rsid w:val="00651A29"/>
    <w:rsid w:val="006522EB"/>
    <w:rsid w:val="00656C13"/>
    <w:rsid w:val="00660E54"/>
    <w:rsid w:val="00661651"/>
    <w:rsid w:val="00664F13"/>
    <w:rsid w:val="006711DD"/>
    <w:rsid w:val="00671E19"/>
    <w:rsid w:val="00675120"/>
    <w:rsid w:val="00675A83"/>
    <w:rsid w:val="00677E4E"/>
    <w:rsid w:val="006826E2"/>
    <w:rsid w:val="00684BF9"/>
    <w:rsid w:val="00686166"/>
    <w:rsid w:val="006870EC"/>
    <w:rsid w:val="00690164"/>
    <w:rsid w:val="006938D8"/>
    <w:rsid w:val="006A0F62"/>
    <w:rsid w:val="006A1419"/>
    <w:rsid w:val="006A21BA"/>
    <w:rsid w:val="006A410B"/>
    <w:rsid w:val="006A42C9"/>
    <w:rsid w:val="006A75F9"/>
    <w:rsid w:val="006B49B4"/>
    <w:rsid w:val="006B53A3"/>
    <w:rsid w:val="006B5891"/>
    <w:rsid w:val="006B70E3"/>
    <w:rsid w:val="006B791F"/>
    <w:rsid w:val="006C14E1"/>
    <w:rsid w:val="006C240C"/>
    <w:rsid w:val="006C3FB0"/>
    <w:rsid w:val="006C4AD3"/>
    <w:rsid w:val="006C606A"/>
    <w:rsid w:val="006D0873"/>
    <w:rsid w:val="006D0CC0"/>
    <w:rsid w:val="006D2AAC"/>
    <w:rsid w:val="006D2C83"/>
    <w:rsid w:val="006E1834"/>
    <w:rsid w:val="006E3A64"/>
    <w:rsid w:val="006E43C4"/>
    <w:rsid w:val="006E573E"/>
    <w:rsid w:val="006E5966"/>
    <w:rsid w:val="006E6AFB"/>
    <w:rsid w:val="006F033F"/>
    <w:rsid w:val="006F10F0"/>
    <w:rsid w:val="0070103E"/>
    <w:rsid w:val="00701D18"/>
    <w:rsid w:val="0070240C"/>
    <w:rsid w:val="0070447E"/>
    <w:rsid w:val="00705017"/>
    <w:rsid w:val="007053B8"/>
    <w:rsid w:val="00705768"/>
    <w:rsid w:val="0070592F"/>
    <w:rsid w:val="007075CA"/>
    <w:rsid w:val="00711234"/>
    <w:rsid w:val="0071289F"/>
    <w:rsid w:val="00713030"/>
    <w:rsid w:val="007160FD"/>
    <w:rsid w:val="00721AEE"/>
    <w:rsid w:val="00721BA5"/>
    <w:rsid w:val="0072329D"/>
    <w:rsid w:val="007238A4"/>
    <w:rsid w:val="007240DF"/>
    <w:rsid w:val="007241BD"/>
    <w:rsid w:val="007255F3"/>
    <w:rsid w:val="00727E49"/>
    <w:rsid w:val="007303BE"/>
    <w:rsid w:val="00731694"/>
    <w:rsid w:val="00732E8F"/>
    <w:rsid w:val="00734B19"/>
    <w:rsid w:val="00734D60"/>
    <w:rsid w:val="007401DA"/>
    <w:rsid w:val="00740886"/>
    <w:rsid w:val="00742C30"/>
    <w:rsid w:val="00742DBD"/>
    <w:rsid w:val="00742E10"/>
    <w:rsid w:val="00743FE9"/>
    <w:rsid w:val="0074513B"/>
    <w:rsid w:val="00751FAE"/>
    <w:rsid w:val="007522C4"/>
    <w:rsid w:val="007531FB"/>
    <w:rsid w:val="007532EB"/>
    <w:rsid w:val="00754C56"/>
    <w:rsid w:val="007562E3"/>
    <w:rsid w:val="0076083E"/>
    <w:rsid w:val="00763688"/>
    <w:rsid w:val="00763753"/>
    <w:rsid w:val="007639B0"/>
    <w:rsid w:val="00764FD1"/>
    <w:rsid w:val="00766DA6"/>
    <w:rsid w:val="007671DE"/>
    <w:rsid w:val="00773F23"/>
    <w:rsid w:val="00773FD0"/>
    <w:rsid w:val="0077709A"/>
    <w:rsid w:val="00782568"/>
    <w:rsid w:val="00782FF3"/>
    <w:rsid w:val="00784CF3"/>
    <w:rsid w:val="00786122"/>
    <w:rsid w:val="00790DE6"/>
    <w:rsid w:val="00791758"/>
    <w:rsid w:val="0079254E"/>
    <w:rsid w:val="0079537E"/>
    <w:rsid w:val="00795EBD"/>
    <w:rsid w:val="007A1A54"/>
    <w:rsid w:val="007A20FF"/>
    <w:rsid w:val="007A273C"/>
    <w:rsid w:val="007A3536"/>
    <w:rsid w:val="007A595C"/>
    <w:rsid w:val="007A7900"/>
    <w:rsid w:val="007B05F1"/>
    <w:rsid w:val="007B229C"/>
    <w:rsid w:val="007B4029"/>
    <w:rsid w:val="007C1957"/>
    <w:rsid w:val="007C2328"/>
    <w:rsid w:val="007C32C2"/>
    <w:rsid w:val="007C3D11"/>
    <w:rsid w:val="007C43D5"/>
    <w:rsid w:val="007C4640"/>
    <w:rsid w:val="007C5CFC"/>
    <w:rsid w:val="007C5F2D"/>
    <w:rsid w:val="007C6213"/>
    <w:rsid w:val="007D0C3B"/>
    <w:rsid w:val="007D2B5D"/>
    <w:rsid w:val="007D48FC"/>
    <w:rsid w:val="007D4BFD"/>
    <w:rsid w:val="007D6A51"/>
    <w:rsid w:val="007D6EEE"/>
    <w:rsid w:val="007D7A2E"/>
    <w:rsid w:val="007E0254"/>
    <w:rsid w:val="007E0B08"/>
    <w:rsid w:val="007E198F"/>
    <w:rsid w:val="007E419C"/>
    <w:rsid w:val="007E6992"/>
    <w:rsid w:val="007E74BE"/>
    <w:rsid w:val="007F011F"/>
    <w:rsid w:val="007F0317"/>
    <w:rsid w:val="007F0D37"/>
    <w:rsid w:val="007F1FCD"/>
    <w:rsid w:val="007F22DF"/>
    <w:rsid w:val="007F354E"/>
    <w:rsid w:val="007F4EC1"/>
    <w:rsid w:val="0080077C"/>
    <w:rsid w:val="0080205A"/>
    <w:rsid w:val="00804FE3"/>
    <w:rsid w:val="00807101"/>
    <w:rsid w:val="00810BA5"/>
    <w:rsid w:val="008117CB"/>
    <w:rsid w:val="00814657"/>
    <w:rsid w:val="00814AD5"/>
    <w:rsid w:val="00815A93"/>
    <w:rsid w:val="00817386"/>
    <w:rsid w:val="0082276F"/>
    <w:rsid w:val="008239E5"/>
    <w:rsid w:val="00823F1F"/>
    <w:rsid w:val="008243A9"/>
    <w:rsid w:val="008251E2"/>
    <w:rsid w:val="008310E7"/>
    <w:rsid w:val="00831724"/>
    <w:rsid w:val="00833716"/>
    <w:rsid w:val="00833D52"/>
    <w:rsid w:val="00834C1D"/>
    <w:rsid w:val="00842393"/>
    <w:rsid w:val="00843E29"/>
    <w:rsid w:val="00844B53"/>
    <w:rsid w:val="00844FC2"/>
    <w:rsid w:val="00850131"/>
    <w:rsid w:val="00851160"/>
    <w:rsid w:val="00851BC3"/>
    <w:rsid w:val="00851DC4"/>
    <w:rsid w:val="0085381B"/>
    <w:rsid w:val="00853B8C"/>
    <w:rsid w:val="00856A63"/>
    <w:rsid w:val="0085769B"/>
    <w:rsid w:val="00860899"/>
    <w:rsid w:val="00860E07"/>
    <w:rsid w:val="00865378"/>
    <w:rsid w:val="008665A7"/>
    <w:rsid w:val="008729D7"/>
    <w:rsid w:val="008745B2"/>
    <w:rsid w:val="00874BA3"/>
    <w:rsid w:val="008805F2"/>
    <w:rsid w:val="008813B0"/>
    <w:rsid w:val="00883B1D"/>
    <w:rsid w:val="00884BAD"/>
    <w:rsid w:val="008857C7"/>
    <w:rsid w:val="00885AED"/>
    <w:rsid w:val="0088762C"/>
    <w:rsid w:val="00891752"/>
    <w:rsid w:val="00891C31"/>
    <w:rsid w:val="00893B62"/>
    <w:rsid w:val="00894E2D"/>
    <w:rsid w:val="0089583E"/>
    <w:rsid w:val="00895CBC"/>
    <w:rsid w:val="008A0DD5"/>
    <w:rsid w:val="008A2FAA"/>
    <w:rsid w:val="008A3AA8"/>
    <w:rsid w:val="008A4071"/>
    <w:rsid w:val="008A4EDE"/>
    <w:rsid w:val="008B08B9"/>
    <w:rsid w:val="008B0DFB"/>
    <w:rsid w:val="008B23FB"/>
    <w:rsid w:val="008B2957"/>
    <w:rsid w:val="008B3459"/>
    <w:rsid w:val="008B38B7"/>
    <w:rsid w:val="008B44B6"/>
    <w:rsid w:val="008B45C2"/>
    <w:rsid w:val="008B5509"/>
    <w:rsid w:val="008B7616"/>
    <w:rsid w:val="008C0D03"/>
    <w:rsid w:val="008C3614"/>
    <w:rsid w:val="008C7643"/>
    <w:rsid w:val="008C780E"/>
    <w:rsid w:val="008C79AF"/>
    <w:rsid w:val="008D089D"/>
    <w:rsid w:val="008D092F"/>
    <w:rsid w:val="008D3909"/>
    <w:rsid w:val="008D4142"/>
    <w:rsid w:val="008D4424"/>
    <w:rsid w:val="008D5FE6"/>
    <w:rsid w:val="008E0A80"/>
    <w:rsid w:val="008E0D1A"/>
    <w:rsid w:val="008E1A30"/>
    <w:rsid w:val="008E25B8"/>
    <w:rsid w:val="008E377F"/>
    <w:rsid w:val="008E4BD9"/>
    <w:rsid w:val="008E56B0"/>
    <w:rsid w:val="008E6025"/>
    <w:rsid w:val="008F00B1"/>
    <w:rsid w:val="008F2A14"/>
    <w:rsid w:val="008F33F6"/>
    <w:rsid w:val="008F627D"/>
    <w:rsid w:val="00901CE5"/>
    <w:rsid w:val="00901D20"/>
    <w:rsid w:val="009037A1"/>
    <w:rsid w:val="00903A3E"/>
    <w:rsid w:val="00907009"/>
    <w:rsid w:val="00911B44"/>
    <w:rsid w:val="0091275D"/>
    <w:rsid w:val="009137F2"/>
    <w:rsid w:val="00913D22"/>
    <w:rsid w:val="00913F90"/>
    <w:rsid w:val="009163D8"/>
    <w:rsid w:val="00916416"/>
    <w:rsid w:val="00920F02"/>
    <w:rsid w:val="00921873"/>
    <w:rsid w:val="009223E9"/>
    <w:rsid w:val="00922D01"/>
    <w:rsid w:val="00925D43"/>
    <w:rsid w:val="00927143"/>
    <w:rsid w:val="00930BB8"/>
    <w:rsid w:val="00930CD7"/>
    <w:rsid w:val="00932D2D"/>
    <w:rsid w:val="00934821"/>
    <w:rsid w:val="00937B05"/>
    <w:rsid w:val="009407A6"/>
    <w:rsid w:val="00942899"/>
    <w:rsid w:val="00942DC1"/>
    <w:rsid w:val="009475EB"/>
    <w:rsid w:val="00947D27"/>
    <w:rsid w:val="00952878"/>
    <w:rsid w:val="00953D11"/>
    <w:rsid w:val="009566A2"/>
    <w:rsid w:val="0095694E"/>
    <w:rsid w:val="00957F94"/>
    <w:rsid w:val="00960431"/>
    <w:rsid w:val="00960CC2"/>
    <w:rsid w:val="00961CB3"/>
    <w:rsid w:val="00963D96"/>
    <w:rsid w:val="00964DE7"/>
    <w:rsid w:val="00965F81"/>
    <w:rsid w:val="009679CA"/>
    <w:rsid w:val="00967EC9"/>
    <w:rsid w:val="0097006C"/>
    <w:rsid w:val="009706E4"/>
    <w:rsid w:val="009737F3"/>
    <w:rsid w:val="00974CA2"/>
    <w:rsid w:val="009753E3"/>
    <w:rsid w:val="00977797"/>
    <w:rsid w:val="00981CDB"/>
    <w:rsid w:val="009829B7"/>
    <w:rsid w:val="00984E8C"/>
    <w:rsid w:val="0098538E"/>
    <w:rsid w:val="00985B84"/>
    <w:rsid w:val="00986433"/>
    <w:rsid w:val="00987EF2"/>
    <w:rsid w:val="00992117"/>
    <w:rsid w:val="00993966"/>
    <w:rsid w:val="00993F17"/>
    <w:rsid w:val="009952D4"/>
    <w:rsid w:val="00995D34"/>
    <w:rsid w:val="009A01B5"/>
    <w:rsid w:val="009A1762"/>
    <w:rsid w:val="009A1904"/>
    <w:rsid w:val="009A409A"/>
    <w:rsid w:val="009A48AB"/>
    <w:rsid w:val="009A5C63"/>
    <w:rsid w:val="009A6ED7"/>
    <w:rsid w:val="009B1321"/>
    <w:rsid w:val="009B190C"/>
    <w:rsid w:val="009B5197"/>
    <w:rsid w:val="009B5739"/>
    <w:rsid w:val="009B68A2"/>
    <w:rsid w:val="009B7859"/>
    <w:rsid w:val="009C04C9"/>
    <w:rsid w:val="009C1F1F"/>
    <w:rsid w:val="009C77A5"/>
    <w:rsid w:val="009C7ABE"/>
    <w:rsid w:val="009D1086"/>
    <w:rsid w:val="009D1C85"/>
    <w:rsid w:val="009D2010"/>
    <w:rsid w:val="009D29A4"/>
    <w:rsid w:val="009D3A94"/>
    <w:rsid w:val="009D5013"/>
    <w:rsid w:val="009E1BEA"/>
    <w:rsid w:val="009E28CE"/>
    <w:rsid w:val="009E3185"/>
    <w:rsid w:val="009E3674"/>
    <w:rsid w:val="009E376D"/>
    <w:rsid w:val="009E68B7"/>
    <w:rsid w:val="009E6AA3"/>
    <w:rsid w:val="009F10EC"/>
    <w:rsid w:val="009F20EF"/>
    <w:rsid w:val="009F257E"/>
    <w:rsid w:val="009F2DC0"/>
    <w:rsid w:val="009F4D9C"/>
    <w:rsid w:val="00A04F3B"/>
    <w:rsid w:val="00A0529C"/>
    <w:rsid w:val="00A06C62"/>
    <w:rsid w:val="00A07EFF"/>
    <w:rsid w:val="00A07F01"/>
    <w:rsid w:val="00A133E0"/>
    <w:rsid w:val="00A14E81"/>
    <w:rsid w:val="00A16C9F"/>
    <w:rsid w:val="00A20021"/>
    <w:rsid w:val="00A20754"/>
    <w:rsid w:val="00A20BF9"/>
    <w:rsid w:val="00A2365A"/>
    <w:rsid w:val="00A238F6"/>
    <w:rsid w:val="00A25268"/>
    <w:rsid w:val="00A3167C"/>
    <w:rsid w:val="00A4018D"/>
    <w:rsid w:val="00A4153D"/>
    <w:rsid w:val="00A425A3"/>
    <w:rsid w:val="00A43989"/>
    <w:rsid w:val="00A47467"/>
    <w:rsid w:val="00A478F9"/>
    <w:rsid w:val="00A51C09"/>
    <w:rsid w:val="00A53F4E"/>
    <w:rsid w:val="00A549B1"/>
    <w:rsid w:val="00A55F44"/>
    <w:rsid w:val="00A57559"/>
    <w:rsid w:val="00A57ABF"/>
    <w:rsid w:val="00A60962"/>
    <w:rsid w:val="00A62948"/>
    <w:rsid w:val="00A64A86"/>
    <w:rsid w:val="00A651F1"/>
    <w:rsid w:val="00A655C7"/>
    <w:rsid w:val="00A66EF1"/>
    <w:rsid w:val="00A763ED"/>
    <w:rsid w:val="00A765EA"/>
    <w:rsid w:val="00A80403"/>
    <w:rsid w:val="00A81283"/>
    <w:rsid w:val="00A81B7C"/>
    <w:rsid w:val="00A81D91"/>
    <w:rsid w:val="00A8252D"/>
    <w:rsid w:val="00A83497"/>
    <w:rsid w:val="00A842DE"/>
    <w:rsid w:val="00A8430A"/>
    <w:rsid w:val="00A86FC5"/>
    <w:rsid w:val="00A93AF1"/>
    <w:rsid w:val="00A96F98"/>
    <w:rsid w:val="00A97848"/>
    <w:rsid w:val="00AA1679"/>
    <w:rsid w:val="00AA5793"/>
    <w:rsid w:val="00AA7279"/>
    <w:rsid w:val="00AB0DB5"/>
    <w:rsid w:val="00AB2E55"/>
    <w:rsid w:val="00AB41CA"/>
    <w:rsid w:val="00AC006D"/>
    <w:rsid w:val="00AC1129"/>
    <w:rsid w:val="00AC140E"/>
    <w:rsid w:val="00AC5339"/>
    <w:rsid w:val="00AC6CCF"/>
    <w:rsid w:val="00AD026D"/>
    <w:rsid w:val="00AD04FF"/>
    <w:rsid w:val="00AD7DE0"/>
    <w:rsid w:val="00AE02B8"/>
    <w:rsid w:val="00AE0C04"/>
    <w:rsid w:val="00AE21C1"/>
    <w:rsid w:val="00AE2394"/>
    <w:rsid w:val="00AE42D6"/>
    <w:rsid w:val="00AF1AF8"/>
    <w:rsid w:val="00AF2F72"/>
    <w:rsid w:val="00AF4A04"/>
    <w:rsid w:val="00AF5CAC"/>
    <w:rsid w:val="00B00A76"/>
    <w:rsid w:val="00B02819"/>
    <w:rsid w:val="00B0530B"/>
    <w:rsid w:val="00B06CFD"/>
    <w:rsid w:val="00B071E8"/>
    <w:rsid w:val="00B13F29"/>
    <w:rsid w:val="00B14AE3"/>
    <w:rsid w:val="00B1505C"/>
    <w:rsid w:val="00B152B8"/>
    <w:rsid w:val="00B15ACB"/>
    <w:rsid w:val="00B16D03"/>
    <w:rsid w:val="00B17A51"/>
    <w:rsid w:val="00B211FD"/>
    <w:rsid w:val="00B225B5"/>
    <w:rsid w:val="00B24C84"/>
    <w:rsid w:val="00B25410"/>
    <w:rsid w:val="00B2699E"/>
    <w:rsid w:val="00B3034C"/>
    <w:rsid w:val="00B3053E"/>
    <w:rsid w:val="00B31108"/>
    <w:rsid w:val="00B32314"/>
    <w:rsid w:val="00B32609"/>
    <w:rsid w:val="00B41018"/>
    <w:rsid w:val="00B411A8"/>
    <w:rsid w:val="00B43197"/>
    <w:rsid w:val="00B43594"/>
    <w:rsid w:val="00B437DC"/>
    <w:rsid w:val="00B4401B"/>
    <w:rsid w:val="00B44477"/>
    <w:rsid w:val="00B463E0"/>
    <w:rsid w:val="00B47938"/>
    <w:rsid w:val="00B54498"/>
    <w:rsid w:val="00B55EF0"/>
    <w:rsid w:val="00B60268"/>
    <w:rsid w:val="00B6213C"/>
    <w:rsid w:val="00B62CE4"/>
    <w:rsid w:val="00B64F0C"/>
    <w:rsid w:val="00B65265"/>
    <w:rsid w:val="00B660E2"/>
    <w:rsid w:val="00B70DF4"/>
    <w:rsid w:val="00B7117E"/>
    <w:rsid w:val="00B711BC"/>
    <w:rsid w:val="00B72288"/>
    <w:rsid w:val="00B75537"/>
    <w:rsid w:val="00B75F3E"/>
    <w:rsid w:val="00B7658B"/>
    <w:rsid w:val="00B77002"/>
    <w:rsid w:val="00B81FBC"/>
    <w:rsid w:val="00B82373"/>
    <w:rsid w:val="00B826F9"/>
    <w:rsid w:val="00B8365A"/>
    <w:rsid w:val="00B85623"/>
    <w:rsid w:val="00B8588F"/>
    <w:rsid w:val="00B85C73"/>
    <w:rsid w:val="00B93BCF"/>
    <w:rsid w:val="00B9556B"/>
    <w:rsid w:val="00B973AD"/>
    <w:rsid w:val="00B97CED"/>
    <w:rsid w:val="00BA0104"/>
    <w:rsid w:val="00BA0131"/>
    <w:rsid w:val="00BA13D4"/>
    <w:rsid w:val="00BA1C31"/>
    <w:rsid w:val="00BA4119"/>
    <w:rsid w:val="00BA733A"/>
    <w:rsid w:val="00BB0099"/>
    <w:rsid w:val="00BB299B"/>
    <w:rsid w:val="00BB3681"/>
    <w:rsid w:val="00BB59B6"/>
    <w:rsid w:val="00BB7E72"/>
    <w:rsid w:val="00BC2028"/>
    <w:rsid w:val="00BC3AF8"/>
    <w:rsid w:val="00BC61A2"/>
    <w:rsid w:val="00BC62F5"/>
    <w:rsid w:val="00BC672B"/>
    <w:rsid w:val="00BD0697"/>
    <w:rsid w:val="00BD09AE"/>
    <w:rsid w:val="00BD344D"/>
    <w:rsid w:val="00BD58EF"/>
    <w:rsid w:val="00BD7E52"/>
    <w:rsid w:val="00BE1BA4"/>
    <w:rsid w:val="00BE2E03"/>
    <w:rsid w:val="00BE37D8"/>
    <w:rsid w:val="00BE4B57"/>
    <w:rsid w:val="00BE59A1"/>
    <w:rsid w:val="00BE68AA"/>
    <w:rsid w:val="00BE7BBD"/>
    <w:rsid w:val="00BF2743"/>
    <w:rsid w:val="00BF2AC8"/>
    <w:rsid w:val="00BF3932"/>
    <w:rsid w:val="00BF4580"/>
    <w:rsid w:val="00C014FC"/>
    <w:rsid w:val="00C019C7"/>
    <w:rsid w:val="00C027B0"/>
    <w:rsid w:val="00C03602"/>
    <w:rsid w:val="00C07E1E"/>
    <w:rsid w:val="00C1497B"/>
    <w:rsid w:val="00C15F57"/>
    <w:rsid w:val="00C17A2F"/>
    <w:rsid w:val="00C21BBB"/>
    <w:rsid w:val="00C231BA"/>
    <w:rsid w:val="00C23A01"/>
    <w:rsid w:val="00C2421A"/>
    <w:rsid w:val="00C26967"/>
    <w:rsid w:val="00C269E2"/>
    <w:rsid w:val="00C27343"/>
    <w:rsid w:val="00C31813"/>
    <w:rsid w:val="00C32976"/>
    <w:rsid w:val="00C329FA"/>
    <w:rsid w:val="00C345A3"/>
    <w:rsid w:val="00C34B47"/>
    <w:rsid w:val="00C36186"/>
    <w:rsid w:val="00C41926"/>
    <w:rsid w:val="00C42D07"/>
    <w:rsid w:val="00C43984"/>
    <w:rsid w:val="00C45F03"/>
    <w:rsid w:val="00C4766C"/>
    <w:rsid w:val="00C47E33"/>
    <w:rsid w:val="00C517F5"/>
    <w:rsid w:val="00C539B2"/>
    <w:rsid w:val="00C54D00"/>
    <w:rsid w:val="00C57529"/>
    <w:rsid w:val="00C602EF"/>
    <w:rsid w:val="00C615B1"/>
    <w:rsid w:val="00C61FF9"/>
    <w:rsid w:val="00C6244E"/>
    <w:rsid w:val="00C646D8"/>
    <w:rsid w:val="00C648AB"/>
    <w:rsid w:val="00C650D5"/>
    <w:rsid w:val="00C65633"/>
    <w:rsid w:val="00C65F22"/>
    <w:rsid w:val="00C71893"/>
    <w:rsid w:val="00C73CDC"/>
    <w:rsid w:val="00C773F3"/>
    <w:rsid w:val="00C80696"/>
    <w:rsid w:val="00C81C0A"/>
    <w:rsid w:val="00C821CB"/>
    <w:rsid w:val="00C84E3F"/>
    <w:rsid w:val="00C87E9D"/>
    <w:rsid w:val="00C90400"/>
    <w:rsid w:val="00C93364"/>
    <w:rsid w:val="00C93C23"/>
    <w:rsid w:val="00C95B7F"/>
    <w:rsid w:val="00C96354"/>
    <w:rsid w:val="00C970A1"/>
    <w:rsid w:val="00C97DDA"/>
    <w:rsid w:val="00CA04D8"/>
    <w:rsid w:val="00CA63E9"/>
    <w:rsid w:val="00CB097C"/>
    <w:rsid w:val="00CB1EE2"/>
    <w:rsid w:val="00CB2124"/>
    <w:rsid w:val="00CB4368"/>
    <w:rsid w:val="00CB7F6A"/>
    <w:rsid w:val="00CC0FC1"/>
    <w:rsid w:val="00CC1DF7"/>
    <w:rsid w:val="00CC6862"/>
    <w:rsid w:val="00CC73B3"/>
    <w:rsid w:val="00CD0A0F"/>
    <w:rsid w:val="00CD6FEE"/>
    <w:rsid w:val="00CD76AF"/>
    <w:rsid w:val="00CE093E"/>
    <w:rsid w:val="00CE28AA"/>
    <w:rsid w:val="00CE5321"/>
    <w:rsid w:val="00CE5BF4"/>
    <w:rsid w:val="00CE5F28"/>
    <w:rsid w:val="00CE77E7"/>
    <w:rsid w:val="00CF034D"/>
    <w:rsid w:val="00CF30D4"/>
    <w:rsid w:val="00CF38F0"/>
    <w:rsid w:val="00CF49F9"/>
    <w:rsid w:val="00CF4CE7"/>
    <w:rsid w:val="00D0000F"/>
    <w:rsid w:val="00D008CE"/>
    <w:rsid w:val="00D02536"/>
    <w:rsid w:val="00D03C0C"/>
    <w:rsid w:val="00D069CC"/>
    <w:rsid w:val="00D07288"/>
    <w:rsid w:val="00D073DA"/>
    <w:rsid w:val="00D11019"/>
    <w:rsid w:val="00D112C3"/>
    <w:rsid w:val="00D121D3"/>
    <w:rsid w:val="00D1226E"/>
    <w:rsid w:val="00D1231A"/>
    <w:rsid w:val="00D12E9F"/>
    <w:rsid w:val="00D16291"/>
    <w:rsid w:val="00D207EA"/>
    <w:rsid w:val="00D208AC"/>
    <w:rsid w:val="00D2112C"/>
    <w:rsid w:val="00D25F14"/>
    <w:rsid w:val="00D276FF"/>
    <w:rsid w:val="00D27AB0"/>
    <w:rsid w:val="00D308B2"/>
    <w:rsid w:val="00D31D08"/>
    <w:rsid w:val="00D31E2E"/>
    <w:rsid w:val="00D32A29"/>
    <w:rsid w:val="00D336D8"/>
    <w:rsid w:val="00D33C0E"/>
    <w:rsid w:val="00D356D8"/>
    <w:rsid w:val="00D36106"/>
    <w:rsid w:val="00D361D2"/>
    <w:rsid w:val="00D40054"/>
    <w:rsid w:val="00D414C5"/>
    <w:rsid w:val="00D42786"/>
    <w:rsid w:val="00D45554"/>
    <w:rsid w:val="00D52217"/>
    <w:rsid w:val="00D537EE"/>
    <w:rsid w:val="00D53A16"/>
    <w:rsid w:val="00D54514"/>
    <w:rsid w:val="00D54BA5"/>
    <w:rsid w:val="00D56085"/>
    <w:rsid w:val="00D561C7"/>
    <w:rsid w:val="00D57AA5"/>
    <w:rsid w:val="00D60BD6"/>
    <w:rsid w:val="00D65454"/>
    <w:rsid w:val="00D6626F"/>
    <w:rsid w:val="00D66B22"/>
    <w:rsid w:val="00D70EED"/>
    <w:rsid w:val="00D71655"/>
    <w:rsid w:val="00D7172C"/>
    <w:rsid w:val="00D74E84"/>
    <w:rsid w:val="00D75617"/>
    <w:rsid w:val="00D75D8F"/>
    <w:rsid w:val="00D76A8B"/>
    <w:rsid w:val="00D77126"/>
    <w:rsid w:val="00D84762"/>
    <w:rsid w:val="00D865B5"/>
    <w:rsid w:val="00D9067A"/>
    <w:rsid w:val="00D94555"/>
    <w:rsid w:val="00D9648E"/>
    <w:rsid w:val="00D966C7"/>
    <w:rsid w:val="00D96EB9"/>
    <w:rsid w:val="00D96F6A"/>
    <w:rsid w:val="00D979C0"/>
    <w:rsid w:val="00DA35B0"/>
    <w:rsid w:val="00DA3C45"/>
    <w:rsid w:val="00DA5BA7"/>
    <w:rsid w:val="00DA6962"/>
    <w:rsid w:val="00DA7EA8"/>
    <w:rsid w:val="00DB00E1"/>
    <w:rsid w:val="00DB1124"/>
    <w:rsid w:val="00DB212C"/>
    <w:rsid w:val="00DB2774"/>
    <w:rsid w:val="00DB6CDA"/>
    <w:rsid w:val="00DC16C3"/>
    <w:rsid w:val="00DC2DA0"/>
    <w:rsid w:val="00DC31F6"/>
    <w:rsid w:val="00DC43D0"/>
    <w:rsid w:val="00DC4F0D"/>
    <w:rsid w:val="00DC5183"/>
    <w:rsid w:val="00DC7C14"/>
    <w:rsid w:val="00DD2096"/>
    <w:rsid w:val="00DD3483"/>
    <w:rsid w:val="00DD4183"/>
    <w:rsid w:val="00DD64EA"/>
    <w:rsid w:val="00DD678B"/>
    <w:rsid w:val="00DD7AB6"/>
    <w:rsid w:val="00DE22DC"/>
    <w:rsid w:val="00DE2CC1"/>
    <w:rsid w:val="00DE3856"/>
    <w:rsid w:val="00DE3D22"/>
    <w:rsid w:val="00DE4755"/>
    <w:rsid w:val="00DE77DC"/>
    <w:rsid w:val="00DE7B09"/>
    <w:rsid w:val="00DF5969"/>
    <w:rsid w:val="00DF63BB"/>
    <w:rsid w:val="00DF738A"/>
    <w:rsid w:val="00DF7CDB"/>
    <w:rsid w:val="00E027F6"/>
    <w:rsid w:val="00E04243"/>
    <w:rsid w:val="00E07027"/>
    <w:rsid w:val="00E070F0"/>
    <w:rsid w:val="00E11426"/>
    <w:rsid w:val="00E24664"/>
    <w:rsid w:val="00E252E4"/>
    <w:rsid w:val="00E2767E"/>
    <w:rsid w:val="00E27F61"/>
    <w:rsid w:val="00E328E2"/>
    <w:rsid w:val="00E33B95"/>
    <w:rsid w:val="00E35445"/>
    <w:rsid w:val="00E35B09"/>
    <w:rsid w:val="00E35D80"/>
    <w:rsid w:val="00E35DD7"/>
    <w:rsid w:val="00E422A1"/>
    <w:rsid w:val="00E4369A"/>
    <w:rsid w:val="00E448D9"/>
    <w:rsid w:val="00E46839"/>
    <w:rsid w:val="00E46A5B"/>
    <w:rsid w:val="00E52E2D"/>
    <w:rsid w:val="00E556DF"/>
    <w:rsid w:val="00E55B09"/>
    <w:rsid w:val="00E56CCE"/>
    <w:rsid w:val="00E60AEE"/>
    <w:rsid w:val="00E61956"/>
    <w:rsid w:val="00E61E9E"/>
    <w:rsid w:val="00E65C33"/>
    <w:rsid w:val="00E66E53"/>
    <w:rsid w:val="00E672A2"/>
    <w:rsid w:val="00E67C5A"/>
    <w:rsid w:val="00E70DD7"/>
    <w:rsid w:val="00E71993"/>
    <w:rsid w:val="00E73D04"/>
    <w:rsid w:val="00E73D06"/>
    <w:rsid w:val="00E7465E"/>
    <w:rsid w:val="00E74E46"/>
    <w:rsid w:val="00E7789B"/>
    <w:rsid w:val="00E84A26"/>
    <w:rsid w:val="00E90030"/>
    <w:rsid w:val="00E9026C"/>
    <w:rsid w:val="00E904F8"/>
    <w:rsid w:val="00E91A73"/>
    <w:rsid w:val="00E92A85"/>
    <w:rsid w:val="00E9313A"/>
    <w:rsid w:val="00E93347"/>
    <w:rsid w:val="00E938FD"/>
    <w:rsid w:val="00E9418E"/>
    <w:rsid w:val="00E94F9D"/>
    <w:rsid w:val="00E95041"/>
    <w:rsid w:val="00E96DB5"/>
    <w:rsid w:val="00EA08EF"/>
    <w:rsid w:val="00EA3FB8"/>
    <w:rsid w:val="00EA475D"/>
    <w:rsid w:val="00EA4B26"/>
    <w:rsid w:val="00EA5E60"/>
    <w:rsid w:val="00EB01C8"/>
    <w:rsid w:val="00EB03EE"/>
    <w:rsid w:val="00EB24D7"/>
    <w:rsid w:val="00EB4186"/>
    <w:rsid w:val="00EC0CFF"/>
    <w:rsid w:val="00EC1F22"/>
    <w:rsid w:val="00EC4FDE"/>
    <w:rsid w:val="00EC779A"/>
    <w:rsid w:val="00ED1487"/>
    <w:rsid w:val="00ED24B0"/>
    <w:rsid w:val="00ED5E1D"/>
    <w:rsid w:val="00ED646B"/>
    <w:rsid w:val="00ED7581"/>
    <w:rsid w:val="00EE0202"/>
    <w:rsid w:val="00EE3477"/>
    <w:rsid w:val="00EE368F"/>
    <w:rsid w:val="00EE7E38"/>
    <w:rsid w:val="00EF4039"/>
    <w:rsid w:val="00EF4505"/>
    <w:rsid w:val="00EF5E77"/>
    <w:rsid w:val="00EF6198"/>
    <w:rsid w:val="00EF648F"/>
    <w:rsid w:val="00EF7389"/>
    <w:rsid w:val="00F004F4"/>
    <w:rsid w:val="00F0104B"/>
    <w:rsid w:val="00F01DD8"/>
    <w:rsid w:val="00F03A7C"/>
    <w:rsid w:val="00F0617B"/>
    <w:rsid w:val="00F0726F"/>
    <w:rsid w:val="00F078D7"/>
    <w:rsid w:val="00F1048F"/>
    <w:rsid w:val="00F10FDB"/>
    <w:rsid w:val="00F144A6"/>
    <w:rsid w:val="00F14522"/>
    <w:rsid w:val="00F14560"/>
    <w:rsid w:val="00F24753"/>
    <w:rsid w:val="00F25729"/>
    <w:rsid w:val="00F30DC9"/>
    <w:rsid w:val="00F33248"/>
    <w:rsid w:val="00F34FC9"/>
    <w:rsid w:val="00F366B2"/>
    <w:rsid w:val="00F37182"/>
    <w:rsid w:val="00F378D2"/>
    <w:rsid w:val="00F42849"/>
    <w:rsid w:val="00F42B94"/>
    <w:rsid w:val="00F43CA5"/>
    <w:rsid w:val="00F43DED"/>
    <w:rsid w:val="00F51C11"/>
    <w:rsid w:val="00F52E62"/>
    <w:rsid w:val="00F54293"/>
    <w:rsid w:val="00F57BE6"/>
    <w:rsid w:val="00F62819"/>
    <w:rsid w:val="00F64FF6"/>
    <w:rsid w:val="00F67021"/>
    <w:rsid w:val="00F670FA"/>
    <w:rsid w:val="00F72F00"/>
    <w:rsid w:val="00F73705"/>
    <w:rsid w:val="00F761A0"/>
    <w:rsid w:val="00F77391"/>
    <w:rsid w:val="00F77727"/>
    <w:rsid w:val="00F81E63"/>
    <w:rsid w:val="00F87444"/>
    <w:rsid w:val="00F87FAC"/>
    <w:rsid w:val="00F904EA"/>
    <w:rsid w:val="00F92506"/>
    <w:rsid w:val="00F92566"/>
    <w:rsid w:val="00F93151"/>
    <w:rsid w:val="00F94050"/>
    <w:rsid w:val="00F97261"/>
    <w:rsid w:val="00F973FD"/>
    <w:rsid w:val="00FA07D1"/>
    <w:rsid w:val="00FA141D"/>
    <w:rsid w:val="00FA2609"/>
    <w:rsid w:val="00FB210A"/>
    <w:rsid w:val="00FB2824"/>
    <w:rsid w:val="00FB34A4"/>
    <w:rsid w:val="00FB4C18"/>
    <w:rsid w:val="00FB6049"/>
    <w:rsid w:val="00FC266C"/>
    <w:rsid w:val="00FC40A7"/>
    <w:rsid w:val="00FC4686"/>
    <w:rsid w:val="00FD077C"/>
    <w:rsid w:val="00FE0FC1"/>
    <w:rsid w:val="00FE24C8"/>
    <w:rsid w:val="00FE2B74"/>
    <w:rsid w:val="00FE45A4"/>
    <w:rsid w:val="00FE522D"/>
    <w:rsid w:val="00FE536A"/>
    <w:rsid w:val="00FE5FF3"/>
    <w:rsid w:val="00FE6234"/>
    <w:rsid w:val="00FE6360"/>
    <w:rsid w:val="00FE63B0"/>
    <w:rsid w:val="00FE7F4C"/>
    <w:rsid w:val="00FF2180"/>
    <w:rsid w:val="00FF3D98"/>
    <w:rsid w:val="00FF5EA5"/>
    <w:rsid w:val="00FF7F46"/>
    <w:rsid w:val="012E1C2C"/>
    <w:rsid w:val="01401144"/>
    <w:rsid w:val="01514F94"/>
    <w:rsid w:val="01AE15BA"/>
    <w:rsid w:val="01BB394F"/>
    <w:rsid w:val="022573A2"/>
    <w:rsid w:val="02524569"/>
    <w:rsid w:val="02757725"/>
    <w:rsid w:val="027D13B9"/>
    <w:rsid w:val="02836FD5"/>
    <w:rsid w:val="029931AC"/>
    <w:rsid w:val="029C7664"/>
    <w:rsid w:val="029D0AD5"/>
    <w:rsid w:val="02C0796F"/>
    <w:rsid w:val="02DF13AE"/>
    <w:rsid w:val="030A7653"/>
    <w:rsid w:val="032C4E8C"/>
    <w:rsid w:val="03AF1619"/>
    <w:rsid w:val="03F37758"/>
    <w:rsid w:val="04155920"/>
    <w:rsid w:val="044F0764"/>
    <w:rsid w:val="052851DF"/>
    <w:rsid w:val="052A4F5C"/>
    <w:rsid w:val="05434B14"/>
    <w:rsid w:val="05832C2A"/>
    <w:rsid w:val="05924D4E"/>
    <w:rsid w:val="05C8651C"/>
    <w:rsid w:val="05DB04A3"/>
    <w:rsid w:val="05E71039"/>
    <w:rsid w:val="068848E9"/>
    <w:rsid w:val="06986594"/>
    <w:rsid w:val="069D39AB"/>
    <w:rsid w:val="06C67807"/>
    <w:rsid w:val="07434B4F"/>
    <w:rsid w:val="079651D1"/>
    <w:rsid w:val="07E31891"/>
    <w:rsid w:val="08155C5D"/>
    <w:rsid w:val="08712E62"/>
    <w:rsid w:val="08966E6B"/>
    <w:rsid w:val="08977C7B"/>
    <w:rsid w:val="08FC70AE"/>
    <w:rsid w:val="09150170"/>
    <w:rsid w:val="095F3199"/>
    <w:rsid w:val="09D92F4C"/>
    <w:rsid w:val="09DA18A6"/>
    <w:rsid w:val="09EB397D"/>
    <w:rsid w:val="0A162321"/>
    <w:rsid w:val="0A1977EC"/>
    <w:rsid w:val="0A402FCB"/>
    <w:rsid w:val="0A4E6541"/>
    <w:rsid w:val="0A521BF4"/>
    <w:rsid w:val="0A6C019B"/>
    <w:rsid w:val="0A9D1AC2"/>
    <w:rsid w:val="0ACC0D02"/>
    <w:rsid w:val="0B3A2110"/>
    <w:rsid w:val="0C437EE4"/>
    <w:rsid w:val="0C6655BF"/>
    <w:rsid w:val="0C685EC7"/>
    <w:rsid w:val="0C7A3C79"/>
    <w:rsid w:val="0C8B0C29"/>
    <w:rsid w:val="0D624460"/>
    <w:rsid w:val="0D645222"/>
    <w:rsid w:val="0D662D48"/>
    <w:rsid w:val="0D690A8B"/>
    <w:rsid w:val="0DF442BC"/>
    <w:rsid w:val="0E1A06E3"/>
    <w:rsid w:val="0E52151F"/>
    <w:rsid w:val="0E547045"/>
    <w:rsid w:val="0E59189D"/>
    <w:rsid w:val="0E6179B4"/>
    <w:rsid w:val="0E655D57"/>
    <w:rsid w:val="0E963B01"/>
    <w:rsid w:val="0EEA32E0"/>
    <w:rsid w:val="0F0947E6"/>
    <w:rsid w:val="0F276507"/>
    <w:rsid w:val="0F2C73A3"/>
    <w:rsid w:val="0F663740"/>
    <w:rsid w:val="0F933B9D"/>
    <w:rsid w:val="0F933B9E"/>
    <w:rsid w:val="0FA67D74"/>
    <w:rsid w:val="0FAF05F5"/>
    <w:rsid w:val="0FCD6B82"/>
    <w:rsid w:val="0FD30808"/>
    <w:rsid w:val="0FD45288"/>
    <w:rsid w:val="0FD7617F"/>
    <w:rsid w:val="10156CA8"/>
    <w:rsid w:val="10331FC2"/>
    <w:rsid w:val="105772C0"/>
    <w:rsid w:val="105D7B5D"/>
    <w:rsid w:val="108D3D34"/>
    <w:rsid w:val="10904436"/>
    <w:rsid w:val="10991687"/>
    <w:rsid w:val="10D25B98"/>
    <w:rsid w:val="10F4322F"/>
    <w:rsid w:val="115713E8"/>
    <w:rsid w:val="11B77697"/>
    <w:rsid w:val="11D853BD"/>
    <w:rsid w:val="11E46914"/>
    <w:rsid w:val="12123454"/>
    <w:rsid w:val="12224C00"/>
    <w:rsid w:val="125C6E10"/>
    <w:rsid w:val="126006AE"/>
    <w:rsid w:val="126246A3"/>
    <w:rsid w:val="126A5950"/>
    <w:rsid w:val="1272218F"/>
    <w:rsid w:val="12852091"/>
    <w:rsid w:val="12946AE1"/>
    <w:rsid w:val="12C02EFB"/>
    <w:rsid w:val="12CC5073"/>
    <w:rsid w:val="13487923"/>
    <w:rsid w:val="13E3036E"/>
    <w:rsid w:val="13F24420"/>
    <w:rsid w:val="14171668"/>
    <w:rsid w:val="141F6347"/>
    <w:rsid w:val="147B370F"/>
    <w:rsid w:val="14A14FAE"/>
    <w:rsid w:val="14AF3D90"/>
    <w:rsid w:val="14BC3B96"/>
    <w:rsid w:val="14C501E8"/>
    <w:rsid w:val="14EF1875"/>
    <w:rsid w:val="153674A4"/>
    <w:rsid w:val="15542020"/>
    <w:rsid w:val="155707AA"/>
    <w:rsid w:val="15746C69"/>
    <w:rsid w:val="15AF54A9"/>
    <w:rsid w:val="15B56FF0"/>
    <w:rsid w:val="15C23272"/>
    <w:rsid w:val="160B7C2E"/>
    <w:rsid w:val="163C045B"/>
    <w:rsid w:val="16532953"/>
    <w:rsid w:val="16C65C69"/>
    <w:rsid w:val="16C827C1"/>
    <w:rsid w:val="170203CD"/>
    <w:rsid w:val="17850FA6"/>
    <w:rsid w:val="17A03013"/>
    <w:rsid w:val="17C11B63"/>
    <w:rsid w:val="17CE1649"/>
    <w:rsid w:val="17DB2585"/>
    <w:rsid w:val="18162D91"/>
    <w:rsid w:val="18383533"/>
    <w:rsid w:val="183D3240"/>
    <w:rsid w:val="185C1918"/>
    <w:rsid w:val="18636D79"/>
    <w:rsid w:val="189C5406"/>
    <w:rsid w:val="18BA663E"/>
    <w:rsid w:val="18C43019"/>
    <w:rsid w:val="18F03E51"/>
    <w:rsid w:val="19144564"/>
    <w:rsid w:val="19197809"/>
    <w:rsid w:val="197930F0"/>
    <w:rsid w:val="199F4E71"/>
    <w:rsid w:val="19A0110D"/>
    <w:rsid w:val="19D90D46"/>
    <w:rsid w:val="1A120A17"/>
    <w:rsid w:val="1A3F34E6"/>
    <w:rsid w:val="1A5D3725"/>
    <w:rsid w:val="1B5E7755"/>
    <w:rsid w:val="1B662AAD"/>
    <w:rsid w:val="1B7C7499"/>
    <w:rsid w:val="1BFB31F6"/>
    <w:rsid w:val="1D4B366A"/>
    <w:rsid w:val="1D4C0356"/>
    <w:rsid w:val="1D886D0B"/>
    <w:rsid w:val="1DDB508D"/>
    <w:rsid w:val="1E311151"/>
    <w:rsid w:val="1E5E5D8A"/>
    <w:rsid w:val="1E895A28"/>
    <w:rsid w:val="1EA23DFC"/>
    <w:rsid w:val="1ECC0E79"/>
    <w:rsid w:val="1EF36406"/>
    <w:rsid w:val="1F106342"/>
    <w:rsid w:val="1F512B1F"/>
    <w:rsid w:val="1F52137F"/>
    <w:rsid w:val="1F5F584A"/>
    <w:rsid w:val="1F6E53CE"/>
    <w:rsid w:val="1F7E6617"/>
    <w:rsid w:val="1FA37E2C"/>
    <w:rsid w:val="200D2936"/>
    <w:rsid w:val="206536DB"/>
    <w:rsid w:val="207167BE"/>
    <w:rsid w:val="20B901F1"/>
    <w:rsid w:val="20E420DA"/>
    <w:rsid w:val="211F34E2"/>
    <w:rsid w:val="212B113A"/>
    <w:rsid w:val="213C3B04"/>
    <w:rsid w:val="215472BE"/>
    <w:rsid w:val="219A6D4B"/>
    <w:rsid w:val="21AD0AEE"/>
    <w:rsid w:val="21FA7AAB"/>
    <w:rsid w:val="220B7003"/>
    <w:rsid w:val="22206FE5"/>
    <w:rsid w:val="225C2514"/>
    <w:rsid w:val="22A86898"/>
    <w:rsid w:val="22DB198C"/>
    <w:rsid w:val="22F10EAE"/>
    <w:rsid w:val="230230BC"/>
    <w:rsid w:val="231D7594"/>
    <w:rsid w:val="2333525E"/>
    <w:rsid w:val="23847554"/>
    <w:rsid w:val="2399331D"/>
    <w:rsid w:val="23A203FB"/>
    <w:rsid w:val="23C31FB6"/>
    <w:rsid w:val="23D77C2A"/>
    <w:rsid w:val="23E02A8D"/>
    <w:rsid w:val="23EB3F49"/>
    <w:rsid w:val="244119C2"/>
    <w:rsid w:val="246163AE"/>
    <w:rsid w:val="249D61A7"/>
    <w:rsid w:val="24B44889"/>
    <w:rsid w:val="24BC729A"/>
    <w:rsid w:val="24EF1480"/>
    <w:rsid w:val="252C2672"/>
    <w:rsid w:val="253B0B07"/>
    <w:rsid w:val="25777D91"/>
    <w:rsid w:val="25891872"/>
    <w:rsid w:val="25902C01"/>
    <w:rsid w:val="25AE752B"/>
    <w:rsid w:val="26151358"/>
    <w:rsid w:val="263E65FC"/>
    <w:rsid w:val="26A611D3"/>
    <w:rsid w:val="26AA79A0"/>
    <w:rsid w:val="26EE6922"/>
    <w:rsid w:val="27117D71"/>
    <w:rsid w:val="273720EB"/>
    <w:rsid w:val="273D198C"/>
    <w:rsid w:val="273F4ECE"/>
    <w:rsid w:val="277F75BE"/>
    <w:rsid w:val="27870033"/>
    <w:rsid w:val="27A03285"/>
    <w:rsid w:val="27FF7BCA"/>
    <w:rsid w:val="28445F24"/>
    <w:rsid w:val="288E0F4E"/>
    <w:rsid w:val="28B163DE"/>
    <w:rsid w:val="28D23530"/>
    <w:rsid w:val="28F973C4"/>
    <w:rsid w:val="290B259E"/>
    <w:rsid w:val="299F2EE6"/>
    <w:rsid w:val="29EF3C6E"/>
    <w:rsid w:val="29F72F82"/>
    <w:rsid w:val="2A2242EA"/>
    <w:rsid w:val="2A68414C"/>
    <w:rsid w:val="2B02634F"/>
    <w:rsid w:val="2B082C47"/>
    <w:rsid w:val="2B111DFB"/>
    <w:rsid w:val="2B45623B"/>
    <w:rsid w:val="2B4A5600"/>
    <w:rsid w:val="2B5244B4"/>
    <w:rsid w:val="2B612949"/>
    <w:rsid w:val="2B717030"/>
    <w:rsid w:val="2B775BF8"/>
    <w:rsid w:val="2B8C5C18"/>
    <w:rsid w:val="2BBE7D9C"/>
    <w:rsid w:val="2BF85B7E"/>
    <w:rsid w:val="2C0F23A5"/>
    <w:rsid w:val="2C1C00BB"/>
    <w:rsid w:val="2C312A5B"/>
    <w:rsid w:val="2C921F7C"/>
    <w:rsid w:val="2CC3647F"/>
    <w:rsid w:val="2D3E5F4B"/>
    <w:rsid w:val="2D574004"/>
    <w:rsid w:val="2D5902D2"/>
    <w:rsid w:val="2D7B6970"/>
    <w:rsid w:val="2DAE4C1E"/>
    <w:rsid w:val="2DEB3174"/>
    <w:rsid w:val="2E861045"/>
    <w:rsid w:val="2E9574DA"/>
    <w:rsid w:val="2E993A04"/>
    <w:rsid w:val="2EA94D33"/>
    <w:rsid w:val="2ED31436"/>
    <w:rsid w:val="2F155F25"/>
    <w:rsid w:val="2F63276B"/>
    <w:rsid w:val="2F6A001E"/>
    <w:rsid w:val="2F7B66D0"/>
    <w:rsid w:val="2F8310E0"/>
    <w:rsid w:val="2FD7142C"/>
    <w:rsid w:val="301902AB"/>
    <w:rsid w:val="305A4537"/>
    <w:rsid w:val="305E79C7"/>
    <w:rsid w:val="30874C00"/>
    <w:rsid w:val="30E06BCF"/>
    <w:rsid w:val="30ED7159"/>
    <w:rsid w:val="30FA7AC8"/>
    <w:rsid w:val="311C17EC"/>
    <w:rsid w:val="313905F0"/>
    <w:rsid w:val="313D2FFD"/>
    <w:rsid w:val="315135F0"/>
    <w:rsid w:val="315E00CE"/>
    <w:rsid w:val="319343EB"/>
    <w:rsid w:val="31ED3189"/>
    <w:rsid w:val="32290665"/>
    <w:rsid w:val="322D761C"/>
    <w:rsid w:val="327714C1"/>
    <w:rsid w:val="327D62BB"/>
    <w:rsid w:val="328C29A2"/>
    <w:rsid w:val="32B36180"/>
    <w:rsid w:val="32CF7DD0"/>
    <w:rsid w:val="331A1797"/>
    <w:rsid w:val="33354C61"/>
    <w:rsid w:val="33D22636"/>
    <w:rsid w:val="33FC1C0B"/>
    <w:rsid w:val="3428494C"/>
    <w:rsid w:val="34313801"/>
    <w:rsid w:val="345471B1"/>
    <w:rsid w:val="34620281"/>
    <w:rsid w:val="347A791D"/>
    <w:rsid w:val="348F66B8"/>
    <w:rsid w:val="351017B8"/>
    <w:rsid w:val="354D466A"/>
    <w:rsid w:val="35552E2C"/>
    <w:rsid w:val="35FD0FF5"/>
    <w:rsid w:val="364D4B1E"/>
    <w:rsid w:val="36614130"/>
    <w:rsid w:val="36665AE4"/>
    <w:rsid w:val="367774C5"/>
    <w:rsid w:val="36C4095C"/>
    <w:rsid w:val="370F76FD"/>
    <w:rsid w:val="37270EEB"/>
    <w:rsid w:val="37677539"/>
    <w:rsid w:val="37797999"/>
    <w:rsid w:val="378E0F6A"/>
    <w:rsid w:val="37F4701F"/>
    <w:rsid w:val="380A6843"/>
    <w:rsid w:val="386D2F8D"/>
    <w:rsid w:val="38A00F55"/>
    <w:rsid w:val="38A071A7"/>
    <w:rsid w:val="38A764F8"/>
    <w:rsid w:val="38B605B6"/>
    <w:rsid w:val="38E33F0C"/>
    <w:rsid w:val="38E466B3"/>
    <w:rsid w:val="39184BD4"/>
    <w:rsid w:val="393A4A07"/>
    <w:rsid w:val="395051B1"/>
    <w:rsid w:val="395D6E46"/>
    <w:rsid w:val="398E34A3"/>
    <w:rsid w:val="39980BBE"/>
    <w:rsid w:val="39DF5AAD"/>
    <w:rsid w:val="3A211C22"/>
    <w:rsid w:val="3A3C0F25"/>
    <w:rsid w:val="3A42077A"/>
    <w:rsid w:val="3A5A4772"/>
    <w:rsid w:val="3A6F0BDF"/>
    <w:rsid w:val="3A726921"/>
    <w:rsid w:val="3ABF5D5B"/>
    <w:rsid w:val="3AD10538"/>
    <w:rsid w:val="3B44206B"/>
    <w:rsid w:val="3B585B17"/>
    <w:rsid w:val="3B5E2A01"/>
    <w:rsid w:val="3B714B67"/>
    <w:rsid w:val="3B760E9F"/>
    <w:rsid w:val="3BB56AC5"/>
    <w:rsid w:val="3BB840E2"/>
    <w:rsid w:val="3BCA15C8"/>
    <w:rsid w:val="3BD64F66"/>
    <w:rsid w:val="3BE960DF"/>
    <w:rsid w:val="3BEB91C6"/>
    <w:rsid w:val="3C1D0A16"/>
    <w:rsid w:val="3C1E28BD"/>
    <w:rsid w:val="3C2105FF"/>
    <w:rsid w:val="3C601127"/>
    <w:rsid w:val="3CD832EB"/>
    <w:rsid w:val="3CE81E35"/>
    <w:rsid w:val="3CEA6C43"/>
    <w:rsid w:val="3D194F1C"/>
    <w:rsid w:val="3D457307"/>
    <w:rsid w:val="3D4C0406"/>
    <w:rsid w:val="3D5F66E9"/>
    <w:rsid w:val="3D814A07"/>
    <w:rsid w:val="3DAC214A"/>
    <w:rsid w:val="3E153CC6"/>
    <w:rsid w:val="3E1675C3"/>
    <w:rsid w:val="3E4E3201"/>
    <w:rsid w:val="3E4E3CB8"/>
    <w:rsid w:val="3E8F44DB"/>
    <w:rsid w:val="3EA6028E"/>
    <w:rsid w:val="3F0D4E6A"/>
    <w:rsid w:val="3F2A31DD"/>
    <w:rsid w:val="3F495A2F"/>
    <w:rsid w:val="3F6644B1"/>
    <w:rsid w:val="3F7722BD"/>
    <w:rsid w:val="3FC43BDF"/>
    <w:rsid w:val="3FCBC233"/>
    <w:rsid w:val="3FEBBCB0"/>
    <w:rsid w:val="3FFF64D9"/>
    <w:rsid w:val="40107744"/>
    <w:rsid w:val="40155D85"/>
    <w:rsid w:val="40730CFD"/>
    <w:rsid w:val="40CB4CC1"/>
    <w:rsid w:val="40FC3CFB"/>
    <w:rsid w:val="4116300F"/>
    <w:rsid w:val="41313092"/>
    <w:rsid w:val="418B3AD6"/>
    <w:rsid w:val="418B7E82"/>
    <w:rsid w:val="41CF6407"/>
    <w:rsid w:val="41E8409F"/>
    <w:rsid w:val="41FF0A9A"/>
    <w:rsid w:val="42054CDF"/>
    <w:rsid w:val="421F634F"/>
    <w:rsid w:val="422F4D7D"/>
    <w:rsid w:val="4242747B"/>
    <w:rsid w:val="42A72C75"/>
    <w:rsid w:val="43057613"/>
    <w:rsid w:val="431C38CE"/>
    <w:rsid w:val="432F53AF"/>
    <w:rsid w:val="435968D0"/>
    <w:rsid w:val="43886A33"/>
    <w:rsid w:val="44224F14"/>
    <w:rsid w:val="445552E9"/>
    <w:rsid w:val="44760467"/>
    <w:rsid w:val="44775FA6"/>
    <w:rsid w:val="44827761"/>
    <w:rsid w:val="449A4C11"/>
    <w:rsid w:val="44C860E3"/>
    <w:rsid w:val="44F87A23"/>
    <w:rsid w:val="45184BE7"/>
    <w:rsid w:val="455A7A4E"/>
    <w:rsid w:val="45725A27"/>
    <w:rsid w:val="459B423E"/>
    <w:rsid w:val="463F1DAD"/>
    <w:rsid w:val="46A329BF"/>
    <w:rsid w:val="46B52A48"/>
    <w:rsid w:val="46DE0F83"/>
    <w:rsid w:val="470913EF"/>
    <w:rsid w:val="47217705"/>
    <w:rsid w:val="47462CC7"/>
    <w:rsid w:val="47A143A2"/>
    <w:rsid w:val="47B6488F"/>
    <w:rsid w:val="486C2C02"/>
    <w:rsid w:val="487058C6"/>
    <w:rsid w:val="4887761A"/>
    <w:rsid w:val="488E1502"/>
    <w:rsid w:val="48FE7EA6"/>
    <w:rsid w:val="492C1679"/>
    <w:rsid w:val="494A7626"/>
    <w:rsid w:val="495A7D97"/>
    <w:rsid w:val="49C10829"/>
    <w:rsid w:val="4A121587"/>
    <w:rsid w:val="4A435283"/>
    <w:rsid w:val="4AE253FD"/>
    <w:rsid w:val="4AFF7D5D"/>
    <w:rsid w:val="4B562034"/>
    <w:rsid w:val="4B9D4F99"/>
    <w:rsid w:val="4BA07FCD"/>
    <w:rsid w:val="4C12455D"/>
    <w:rsid w:val="4C563E14"/>
    <w:rsid w:val="4C5C6E42"/>
    <w:rsid w:val="4C6F6961"/>
    <w:rsid w:val="4C73309C"/>
    <w:rsid w:val="4C7B1665"/>
    <w:rsid w:val="4C924FEE"/>
    <w:rsid w:val="4C9E7102"/>
    <w:rsid w:val="4CE05399"/>
    <w:rsid w:val="4D095168"/>
    <w:rsid w:val="4D3D4B6D"/>
    <w:rsid w:val="4D441F51"/>
    <w:rsid w:val="4D4C4DB0"/>
    <w:rsid w:val="4DF74249"/>
    <w:rsid w:val="4E1A6AB1"/>
    <w:rsid w:val="4E7D2DE3"/>
    <w:rsid w:val="4E8E3F55"/>
    <w:rsid w:val="4EDA17FC"/>
    <w:rsid w:val="4EF474AD"/>
    <w:rsid w:val="4EFE2C71"/>
    <w:rsid w:val="4F045E2D"/>
    <w:rsid w:val="4F0A0C55"/>
    <w:rsid w:val="4F381A8F"/>
    <w:rsid w:val="4F5C03C2"/>
    <w:rsid w:val="50502E09"/>
    <w:rsid w:val="50560C86"/>
    <w:rsid w:val="50E0418D"/>
    <w:rsid w:val="50EC470D"/>
    <w:rsid w:val="50F639B0"/>
    <w:rsid w:val="51022355"/>
    <w:rsid w:val="51171C09"/>
    <w:rsid w:val="51565AE5"/>
    <w:rsid w:val="519C0E27"/>
    <w:rsid w:val="51AA798C"/>
    <w:rsid w:val="51EB4B97"/>
    <w:rsid w:val="523151A3"/>
    <w:rsid w:val="528F19C6"/>
    <w:rsid w:val="52F21F55"/>
    <w:rsid w:val="52F25D4B"/>
    <w:rsid w:val="531463D8"/>
    <w:rsid w:val="536004DC"/>
    <w:rsid w:val="5374052E"/>
    <w:rsid w:val="537D2167"/>
    <w:rsid w:val="53A35FB7"/>
    <w:rsid w:val="53B8319F"/>
    <w:rsid w:val="53B92FEC"/>
    <w:rsid w:val="53C90F08"/>
    <w:rsid w:val="53EC29B6"/>
    <w:rsid w:val="53F36189"/>
    <w:rsid w:val="542E2AEA"/>
    <w:rsid w:val="54350468"/>
    <w:rsid w:val="54413194"/>
    <w:rsid w:val="544A6CFB"/>
    <w:rsid w:val="545F6D80"/>
    <w:rsid w:val="546F57CE"/>
    <w:rsid w:val="54972DB4"/>
    <w:rsid w:val="54BD727E"/>
    <w:rsid w:val="54D51B2F"/>
    <w:rsid w:val="54FA0E07"/>
    <w:rsid w:val="55064017"/>
    <w:rsid w:val="55A41C2D"/>
    <w:rsid w:val="55CA4A35"/>
    <w:rsid w:val="55DA4455"/>
    <w:rsid w:val="55E71B19"/>
    <w:rsid w:val="56263D60"/>
    <w:rsid w:val="5627572A"/>
    <w:rsid w:val="56390724"/>
    <w:rsid w:val="567F7FA4"/>
    <w:rsid w:val="56B03EFA"/>
    <w:rsid w:val="56B75990"/>
    <w:rsid w:val="56BF6C9D"/>
    <w:rsid w:val="56D1214F"/>
    <w:rsid w:val="57203535"/>
    <w:rsid w:val="573568B4"/>
    <w:rsid w:val="579161E1"/>
    <w:rsid w:val="5797131D"/>
    <w:rsid w:val="579D4D0F"/>
    <w:rsid w:val="57A001D2"/>
    <w:rsid w:val="580C1D0B"/>
    <w:rsid w:val="586138B6"/>
    <w:rsid w:val="587055E6"/>
    <w:rsid w:val="5875773C"/>
    <w:rsid w:val="589D2551"/>
    <w:rsid w:val="58E467E4"/>
    <w:rsid w:val="58E77090"/>
    <w:rsid w:val="58F7F96F"/>
    <w:rsid w:val="58F94086"/>
    <w:rsid w:val="59275961"/>
    <w:rsid w:val="59412DE1"/>
    <w:rsid w:val="599E2E37"/>
    <w:rsid w:val="59B520CD"/>
    <w:rsid w:val="59C26B25"/>
    <w:rsid w:val="59F67BEB"/>
    <w:rsid w:val="5A3D7F5A"/>
    <w:rsid w:val="5A86208B"/>
    <w:rsid w:val="5A8C7682"/>
    <w:rsid w:val="5A9E2D45"/>
    <w:rsid w:val="5AD806E4"/>
    <w:rsid w:val="5B15744D"/>
    <w:rsid w:val="5B5156DC"/>
    <w:rsid w:val="5B6A7E61"/>
    <w:rsid w:val="5B81163A"/>
    <w:rsid w:val="5B9C5154"/>
    <w:rsid w:val="5C126B24"/>
    <w:rsid w:val="5C690BED"/>
    <w:rsid w:val="5D3A69D3"/>
    <w:rsid w:val="5D755C5D"/>
    <w:rsid w:val="5DB74FEB"/>
    <w:rsid w:val="5DD45079"/>
    <w:rsid w:val="5E295461"/>
    <w:rsid w:val="5E4609AE"/>
    <w:rsid w:val="5E55596E"/>
    <w:rsid w:val="5E563838"/>
    <w:rsid w:val="5E587A58"/>
    <w:rsid w:val="5E6443B5"/>
    <w:rsid w:val="5E7F4FE5"/>
    <w:rsid w:val="5E9A382D"/>
    <w:rsid w:val="5F1336E0"/>
    <w:rsid w:val="5F7F1015"/>
    <w:rsid w:val="5F8E327C"/>
    <w:rsid w:val="5F9C39F1"/>
    <w:rsid w:val="5FAB31BB"/>
    <w:rsid w:val="60024BA1"/>
    <w:rsid w:val="60402552"/>
    <w:rsid w:val="607F23BA"/>
    <w:rsid w:val="608E7761"/>
    <w:rsid w:val="609B19E1"/>
    <w:rsid w:val="60D16CE7"/>
    <w:rsid w:val="61291238"/>
    <w:rsid w:val="61330309"/>
    <w:rsid w:val="613C40F3"/>
    <w:rsid w:val="615F10FE"/>
    <w:rsid w:val="61786D68"/>
    <w:rsid w:val="619E6B26"/>
    <w:rsid w:val="61A3613F"/>
    <w:rsid w:val="61F5073C"/>
    <w:rsid w:val="62061579"/>
    <w:rsid w:val="620A1069"/>
    <w:rsid w:val="62685D90"/>
    <w:rsid w:val="628837D1"/>
    <w:rsid w:val="62975F54"/>
    <w:rsid w:val="62AF7E63"/>
    <w:rsid w:val="62BE5969"/>
    <w:rsid w:val="62D13935"/>
    <w:rsid w:val="62D3168C"/>
    <w:rsid w:val="631C253B"/>
    <w:rsid w:val="63350368"/>
    <w:rsid w:val="635F53E5"/>
    <w:rsid w:val="637C0CE8"/>
    <w:rsid w:val="637E46EC"/>
    <w:rsid w:val="63837E80"/>
    <w:rsid w:val="639A354F"/>
    <w:rsid w:val="63D04748"/>
    <w:rsid w:val="64090851"/>
    <w:rsid w:val="640E6778"/>
    <w:rsid w:val="641000A9"/>
    <w:rsid w:val="642F61B8"/>
    <w:rsid w:val="64E86638"/>
    <w:rsid w:val="64EE0639"/>
    <w:rsid w:val="64F27563"/>
    <w:rsid w:val="65297C01"/>
    <w:rsid w:val="65434131"/>
    <w:rsid w:val="65680BE6"/>
    <w:rsid w:val="65B31A18"/>
    <w:rsid w:val="66151166"/>
    <w:rsid w:val="66263817"/>
    <w:rsid w:val="66A55F62"/>
    <w:rsid w:val="66A576EF"/>
    <w:rsid w:val="66C13CC1"/>
    <w:rsid w:val="66E225B5"/>
    <w:rsid w:val="66EA3218"/>
    <w:rsid w:val="67472418"/>
    <w:rsid w:val="6780592A"/>
    <w:rsid w:val="67AE3122"/>
    <w:rsid w:val="67C7309F"/>
    <w:rsid w:val="67D068B1"/>
    <w:rsid w:val="67F22936"/>
    <w:rsid w:val="683F1F5E"/>
    <w:rsid w:val="6898707B"/>
    <w:rsid w:val="68C379AA"/>
    <w:rsid w:val="68FC5484"/>
    <w:rsid w:val="69674FF3"/>
    <w:rsid w:val="698067CB"/>
    <w:rsid w:val="69C02083"/>
    <w:rsid w:val="6A74466E"/>
    <w:rsid w:val="6A8F202E"/>
    <w:rsid w:val="6AC82FF8"/>
    <w:rsid w:val="6AE067D7"/>
    <w:rsid w:val="6B0D5727"/>
    <w:rsid w:val="6B460C38"/>
    <w:rsid w:val="6B5E5D06"/>
    <w:rsid w:val="6BA918F3"/>
    <w:rsid w:val="6BAE515B"/>
    <w:rsid w:val="6BBF4746"/>
    <w:rsid w:val="6C3C2955"/>
    <w:rsid w:val="6C9F6852"/>
    <w:rsid w:val="6CCE3F39"/>
    <w:rsid w:val="6D371525"/>
    <w:rsid w:val="6DA5433C"/>
    <w:rsid w:val="6DA559F1"/>
    <w:rsid w:val="6DA73067"/>
    <w:rsid w:val="6DD7186B"/>
    <w:rsid w:val="6E3A408D"/>
    <w:rsid w:val="6E9F2B3A"/>
    <w:rsid w:val="6EC32CCC"/>
    <w:rsid w:val="6ED07928"/>
    <w:rsid w:val="6EDC1FE0"/>
    <w:rsid w:val="6EE53D51"/>
    <w:rsid w:val="6EFB232E"/>
    <w:rsid w:val="6F3A3EF0"/>
    <w:rsid w:val="6F520FE7"/>
    <w:rsid w:val="6F6C30F7"/>
    <w:rsid w:val="6FBA1B84"/>
    <w:rsid w:val="705555C9"/>
    <w:rsid w:val="70AB1C6A"/>
    <w:rsid w:val="70C40CC9"/>
    <w:rsid w:val="70D421A3"/>
    <w:rsid w:val="70D43EF5"/>
    <w:rsid w:val="70FB3751"/>
    <w:rsid w:val="71303DA9"/>
    <w:rsid w:val="715D01A9"/>
    <w:rsid w:val="716E7255"/>
    <w:rsid w:val="7220748C"/>
    <w:rsid w:val="722717C4"/>
    <w:rsid w:val="722F5F63"/>
    <w:rsid w:val="723941B5"/>
    <w:rsid w:val="72454484"/>
    <w:rsid w:val="724C122A"/>
    <w:rsid w:val="7252403F"/>
    <w:rsid w:val="72CA0ECC"/>
    <w:rsid w:val="72CA214F"/>
    <w:rsid w:val="72FE3D94"/>
    <w:rsid w:val="733918E3"/>
    <w:rsid w:val="733A1C6D"/>
    <w:rsid w:val="736E1DC7"/>
    <w:rsid w:val="73A232F3"/>
    <w:rsid w:val="73C3551C"/>
    <w:rsid w:val="73EB0843"/>
    <w:rsid w:val="749173F7"/>
    <w:rsid w:val="749526E1"/>
    <w:rsid w:val="74D379E1"/>
    <w:rsid w:val="74D87CC5"/>
    <w:rsid w:val="75BB7F12"/>
    <w:rsid w:val="75D03F20"/>
    <w:rsid w:val="75F25C45"/>
    <w:rsid w:val="76C66AC7"/>
    <w:rsid w:val="76DE3702"/>
    <w:rsid w:val="76DF08BF"/>
    <w:rsid w:val="76EC4D8A"/>
    <w:rsid w:val="7704554E"/>
    <w:rsid w:val="774B762F"/>
    <w:rsid w:val="776BD466"/>
    <w:rsid w:val="77938881"/>
    <w:rsid w:val="77BA4E88"/>
    <w:rsid w:val="77C530E4"/>
    <w:rsid w:val="77D575CC"/>
    <w:rsid w:val="77FFB9A8"/>
    <w:rsid w:val="780600CD"/>
    <w:rsid w:val="78347044"/>
    <w:rsid w:val="7845162D"/>
    <w:rsid w:val="787E5EB6"/>
    <w:rsid w:val="78B10039"/>
    <w:rsid w:val="78C87131"/>
    <w:rsid w:val="78D75CAB"/>
    <w:rsid w:val="78F10436"/>
    <w:rsid w:val="79294073"/>
    <w:rsid w:val="793D367B"/>
    <w:rsid w:val="795532DF"/>
    <w:rsid w:val="798219D5"/>
    <w:rsid w:val="79E32474"/>
    <w:rsid w:val="79EE027B"/>
    <w:rsid w:val="7A0D74F1"/>
    <w:rsid w:val="7A2F56B9"/>
    <w:rsid w:val="7A48387A"/>
    <w:rsid w:val="7A5213A8"/>
    <w:rsid w:val="7A960FFF"/>
    <w:rsid w:val="7AD734A6"/>
    <w:rsid w:val="7B095807"/>
    <w:rsid w:val="7B1407E6"/>
    <w:rsid w:val="7B17114F"/>
    <w:rsid w:val="7B18473D"/>
    <w:rsid w:val="7B1B641F"/>
    <w:rsid w:val="7BC1326E"/>
    <w:rsid w:val="7C0B180E"/>
    <w:rsid w:val="7C145C9B"/>
    <w:rsid w:val="7C2E2D54"/>
    <w:rsid w:val="7C30695D"/>
    <w:rsid w:val="7C315D0E"/>
    <w:rsid w:val="7C3925EF"/>
    <w:rsid w:val="7C3E7E36"/>
    <w:rsid w:val="7C5E2986"/>
    <w:rsid w:val="7C8B6DF3"/>
    <w:rsid w:val="7CC421F3"/>
    <w:rsid w:val="7CF63249"/>
    <w:rsid w:val="7D0270B5"/>
    <w:rsid w:val="7D0561C2"/>
    <w:rsid w:val="7D3F20B7"/>
    <w:rsid w:val="7D4059B8"/>
    <w:rsid w:val="7D8C033F"/>
    <w:rsid w:val="7DA41F1A"/>
    <w:rsid w:val="7DC94B4F"/>
    <w:rsid w:val="7DE01CBD"/>
    <w:rsid w:val="7DFF8966"/>
    <w:rsid w:val="7E0E2274"/>
    <w:rsid w:val="7E1626EC"/>
    <w:rsid w:val="7E173F7D"/>
    <w:rsid w:val="7E3F4EBC"/>
    <w:rsid w:val="7E3F60E7"/>
    <w:rsid w:val="7E456BA8"/>
    <w:rsid w:val="7E541969"/>
    <w:rsid w:val="7E5558E9"/>
    <w:rsid w:val="7EDF116C"/>
    <w:rsid w:val="7EF7335D"/>
    <w:rsid w:val="7F3C3AAA"/>
    <w:rsid w:val="7F6776A3"/>
    <w:rsid w:val="7F7FD813"/>
    <w:rsid w:val="7F82470C"/>
    <w:rsid w:val="7F887B3D"/>
    <w:rsid w:val="7FBBBFB6"/>
    <w:rsid w:val="7FD14B1D"/>
    <w:rsid w:val="7FD91C23"/>
    <w:rsid w:val="7FDE764C"/>
    <w:rsid w:val="7FFD24C4"/>
    <w:rsid w:val="8F6F66FF"/>
    <w:rsid w:val="A85D1C81"/>
    <w:rsid w:val="CB7DBE4F"/>
    <w:rsid w:val="CF6B5361"/>
    <w:rsid w:val="CFFB75EE"/>
    <w:rsid w:val="D277F3C4"/>
    <w:rsid w:val="D4E7AB06"/>
    <w:rsid w:val="DAF3CD38"/>
    <w:rsid w:val="DDBD4760"/>
    <w:rsid w:val="DE90EAEC"/>
    <w:rsid w:val="EBFE3B55"/>
    <w:rsid w:val="F76E1C34"/>
    <w:rsid w:val="F8FE02EE"/>
    <w:rsid w:val="FE7ADBAD"/>
    <w:rsid w:val="FF7EF9B1"/>
    <w:rsid w:val="FFEA1AD8"/>
    <w:rsid w:val="FFFF7C7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iPriority="39" w:semiHidden="0" w:name="toc 6"/>
    <w:lsdException w:uiPriority="39" w:name="toc 7"/>
    <w:lsdException w:qFormat="1" w:uiPriority="39"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0"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4">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61"/>
    <w:qFormat/>
    <w:uiPriority w:val="0"/>
    <w:pPr>
      <w:keepNext/>
      <w:keepLines/>
      <w:widowControl/>
      <w:tabs>
        <w:tab w:val="left" w:pos="720"/>
      </w:tabs>
      <w:spacing w:before="120" w:after="120" w:line="360" w:lineRule="auto"/>
      <w:jc w:val="center"/>
      <w:outlineLvl w:val="2"/>
    </w:pPr>
    <w:rPr>
      <w:rFonts w:ascii="Times New Roman" w:hAnsi="Times New Roman" w:eastAsia="??"/>
      <w:b/>
      <w:kern w:val="0"/>
      <w:sz w:val="32"/>
      <w:szCs w:val="28"/>
    </w:rPr>
  </w:style>
  <w:style w:type="paragraph" w:styleId="7">
    <w:name w:val="heading 4"/>
    <w:basedOn w:val="1"/>
    <w:next w:val="1"/>
    <w:link w:val="62"/>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63"/>
    <w:qFormat/>
    <w:uiPriority w:val="0"/>
    <w:pPr>
      <w:keepNext/>
      <w:keepLines/>
      <w:widowControl/>
      <w:tabs>
        <w:tab w:val="left" w:pos="1008"/>
      </w:tabs>
      <w:spacing w:before="280" w:after="290" w:line="376" w:lineRule="auto"/>
      <w:ind w:left="1008" w:hanging="1008"/>
      <w:jc w:val="left"/>
      <w:outlineLvl w:val="4"/>
    </w:pPr>
    <w:rPr>
      <w:rFonts w:ascii="Times New Roman" w:hAnsi="Times New Roman"/>
      <w:b/>
      <w:bCs/>
      <w:kern w:val="0"/>
      <w:sz w:val="28"/>
      <w:szCs w:val="28"/>
    </w:rPr>
  </w:style>
  <w:style w:type="paragraph" w:styleId="9">
    <w:name w:val="heading 6"/>
    <w:basedOn w:val="1"/>
    <w:next w:val="1"/>
    <w:link w:val="6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rPr>
  </w:style>
  <w:style w:type="paragraph" w:styleId="11">
    <w:name w:val="heading 8"/>
    <w:basedOn w:val="1"/>
    <w:next w:val="1"/>
    <w:link w:val="6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74"/>
    <w:unhideWhenUsed/>
    <w:qFormat/>
    <w:uiPriority w:val="99"/>
    <w:pPr>
      <w:spacing w:after="120"/>
    </w:pPr>
  </w:style>
  <w:style w:type="paragraph" w:styleId="3">
    <w:name w:val="Body Text First Indent"/>
    <w:basedOn w:val="2"/>
    <w:next w:val="1"/>
    <w:link w:val="90"/>
    <w:unhideWhenUsed/>
    <w:qFormat/>
    <w:uiPriority w:val="99"/>
    <w:pPr>
      <w:keepNext w:val="0"/>
      <w:keepLines w:val="0"/>
      <w:widowControl w:val="0"/>
      <w:suppressLineNumbers w:val="0"/>
      <w:spacing w:before="0" w:beforeAutospacing="0" w:after="0" w:afterAutospacing="0" w:line="360" w:lineRule="exact"/>
      <w:ind w:left="0" w:right="0" w:firstLine="420"/>
      <w:jc w:val="both"/>
    </w:pPr>
    <w:rPr>
      <w:rFonts w:hint="default" w:ascii="Times New Roman" w:hAnsi="Calibri" w:eastAsia="宋体" w:cs="Times New Roman"/>
      <w:kern w:val="2"/>
      <w:sz w:val="21"/>
      <w:szCs w:val="21"/>
      <w:lang w:val="en-US" w:eastAsia="zh-CN" w:bidi="ar"/>
    </w:rPr>
  </w:style>
  <w:style w:type="paragraph" w:styleId="13">
    <w:name w:val="List 3"/>
    <w:basedOn w:val="1"/>
    <w:unhideWhenUsed/>
    <w:qFormat/>
    <w:uiPriority w:val="99"/>
    <w:pPr>
      <w:ind w:left="100" w:leftChars="400" w:hanging="200" w:hangingChars="200"/>
      <w:contextualSpacing/>
    </w:pPr>
  </w:style>
  <w:style w:type="paragraph" w:styleId="14">
    <w:name w:val="List Number 2"/>
    <w:basedOn w:val="1"/>
    <w:semiHidden/>
    <w:unhideWhenUsed/>
    <w:qFormat/>
    <w:uiPriority w:val="99"/>
    <w:pPr>
      <w:numPr>
        <w:ilvl w:val="0"/>
        <w:numId w:val="1"/>
      </w:numPr>
      <w:tabs>
        <w:tab w:val="left" w:pos="360"/>
        <w:tab w:val="clear" w:pos="780"/>
      </w:tabs>
      <w:ind w:left="0" w:firstLine="0"/>
    </w:pPr>
  </w:style>
  <w:style w:type="paragraph" w:styleId="15">
    <w:name w:val="List Number"/>
    <w:basedOn w:val="1"/>
    <w:link w:val="68"/>
    <w:qFormat/>
    <w:uiPriority w:val="0"/>
    <w:pPr>
      <w:tabs>
        <w:tab w:val="left" w:pos="360"/>
      </w:tabs>
      <w:spacing w:line="360" w:lineRule="auto"/>
      <w:ind w:left="360" w:hanging="360" w:hangingChars="200"/>
    </w:pPr>
    <w:rPr>
      <w:rFonts w:eastAsia="楷体_GB2312"/>
      <w:sz w:val="24"/>
    </w:rPr>
  </w:style>
  <w:style w:type="paragraph" w:styleId="16">
    <w:name w:val="Normal Indent"/>
    <w:basedOn w:val="1"/>
    <w:next w:val="1"/>
    <w:link w:val="69"/>
    <w:qFormat/>
    <w:uiPriority w:val="0"/>
    <w:pPr>
      <w:ind w:firstLine="420" w:firstLineChars="200"/>
    </w:pPr>
  </w:style>
  <w:style w:type="paragraph" w:styleId="17">
    <w:name w:val="caption"/>
    <w:basedOn w:val="1"/>
    <w:next w:val="1"/>
    <w:link w:val="70"/>
    <w:qFormat/>
    <w:uiPriority w:val="0"/>
    <w:pPr>
      <w:spacing w:before="152" w:after="160"/>
    </w:pPr>
    <w:rPr>
      <w:rFonts w:ascii="Arial" w:hAnsi="Arial" w:eastAsia="黑体" w:cs="Arial"/>
      <w:sz w:val="20"/>
      <w:szCs w:val="20"/>
    </w:rPr>
  </w:style>
  <w:style w:type="paragraph" w:styleId="18">
    <w:name w:val="Document Map"/>
    <w:basedOn w:val="1"/>
    <w:link w:val="71"/>
    <w:qFormat/>
    <w:uiPriority w:val="0"/>
    <w:rPr>
      <w:rFonts w:ascii="宋体" w:hAnsi="Calibri" w:eastAsiaTheme="minorEastAsia" w:cstheme="minorBidi"/>
      <w:sz w:val="18"/>
      <w:szCs w:val="18"/>
    </w:rPr>
  </w:style>
  <w:style w:type="paragraph" w:styleId="19">
    <w:name w:val="annotation text"/>
    <w:basedOn w:val="1"/>
    <w:link w:val="72"/>
    <w:qFormat/>
    <w:uiPriority w:val="0"/>
    <w:pPr>
      <w:jc w:val="left"/>
    </w:pPr>
    <w:rPr>
      <w:rFonts w:cs="Lucida Sans" w:asciiTheme="minorHAnsi" w:hAnsiTheme="minorHAnsi"/>
      <w:szCs w:val="22"/>
    </w:rPr>
  </w:style>
  <w:style w:type="paragraph" w:styleId="20">
    <w:name w:val="Body Text 3"/>
    <w:basedOn w:val="1"/>
    <w:link w:val="73"/>
    <w:qFormat/>
    <w:uiPriority w:val="0"/>
    <w:pPr>
      <w:spacing w:after="120"/>
    </w:pPr>
    <w:rPr>
      <w:rFonts w:asciiTheme="minorHAnsi" w:hAnsiTheme="minorHAnsi" w:eastAsiaTheme="minorEastAsia" w:cstheme="minorBidi"/>
      <w:sz w:val="16"/>
      <w:szCs w:val="16"/>
    </w:rPr>
  </w:style>
  <w:style w:type="paragraph" w:styleId="21">
    <w:name w:val="Body Text Indent"/>
    <w:basedOn w:val="1"/>
    <w:link w:val="58"/>
    <w:qFormat/>
    <w:uiPriority w:val="0"/>
    <w:pPr>
      <w:spacing w:line="480" w:lineRule="atLeast"/>
      <w:ind w:firstLine="570"/>
    </w:pPr>
    <w:rPr>
      <w:rFonts w:ascii="??" w:hAnsi="??" w:eastAsia="??" w:cs="宋体"/>
      <w:sz w:val="28"/>
      <w:szCs w:val="28"/>
    </w:rPr>
  </w:style>
  <w:style w:type="paragraph" w:styleId="22">
    <w:name w:val="List 2"/>
    <w:basedOn w:val="1"/>
    <w:unhideWhenUsed/>
    <w:qFormat/>
    <w:uiPriority w:val="0"/>
    <w:pPr>
      <w:ind w:left="100" w:leftChars="200" w:hanging="200" w:hangingChars="200"/>
      <w:contextualSpacing/>
    </w:pPr>
  </w:style>
  <w:style w:type="paragraph" w:styleId="2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Times New Roman"/>
      <w:color w:val="000000"/>
      <w:kern w:val="0"/>
      <w:sz w:val="24"/>
    </w:rPr>
  </w:style>
  <w:style w:type="paragraph" w:styleId="24">
    <w:name w:val="toc 5"/>
    <w:basedOn w:val="1"/>
    <w:next w:val="1"/>
    <w:qFormat/>
    <w:uiPriority w:val="0"/>
    <w:pPr>
      <w:ind w:left="840"/>
      <w:jc w:val="left"/>
    </w:pPr>
    <w:rPr>
      <w:rFonts w:ascii="Times New Roman" w:hAnsi="Times New Roman"/>
      <w:sz w:val="18"/>
      <w:szCs w:val="18"/>
    </w:rPr>
  </w:style>
  <w:style w:type="paragraph" w:styleId="25">
    <w:name w:val="toc 3"/>
    <w:basedOn w:val="1"/>
    <w:next w:val="1"/>
    <w:link w:val="75"/>
    <w:qFormat/>
    <w:uiPriority w:val="39"/>
    <w:pPr>
      <w:tabs>
        <w:tab w:val="left" w:pos="1440"/>
        <w:tab w:val="right" w:leader="dot" w:pos="8302"/>
      </w:tabs>
      <w:ind w:left="718" w:leftChars="342" w:firstLine="120" w:firstLineChars="60"/>
    </w:pPr>
    <w:rPr>
      <w:rFonts w:ascii="Arial" w:hAnsi="Arial"/>
      <w:smallCaps/>
      <w:sz w:val="20"/>
    </w:rPr>
  </w:style>
  <w:style w:type="paragraph" w:styleId="26">
    <w:name w:val="Plain Text"/>
    <w:basedOn w:val="1"/>
    <w:link w:val="77"/>
    <w:qFormat/>
    <w:uiPriority w:val="0"/>
    <w:rPr>
      <w:rFonts w:ascii="??" w:hAnsi="??" w:eastAsia="??" w:cs="宋体"/>
      <w:szCs w:val="21"/>
    </w:rPr>
  </w:style>
  <w:style w:type="paragraph" w:styleId="27">
    <w:name w:val="toc 8"/>
    <w:basedOn w:val="1"/>
    <w:next w:val="1"/>
    <w:unhideWhenUsed/>
    <w:qFormat/>
    <w:uiPriority w:val="39"/>
    <w:pPr>
      <w:ind w:left="2940" w:leftChars="1400"/>
    </w:pPr>
  </w:style>
  <w:style w:type="paragraph" w:styleId="28">
    <w:name w:val="Date"/>
    <w:basedOn w:val="1"/>
    <w:next w:val="1"/>
    <w:link w:val="76"/>
    <w:unhideWhenUsed/>
    <w:qFormat/>
    <w:uiPriority w:val="0"/>
    <w:pPr>
      <w:ind w:left="100" w:leftChars="2500"/>
    </w:pPr>
  </w:style>
  <w:style w:type="paragraph" w:styleId="29">
    <w:name w:val="Body Text Indent 2"/>
    <w:basedOn w:val="1"/>
    <w:link w:val="78"/>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Theme="minorHAnsi" w:eastAsiaTheme="minorEastAsia" w:cstheme="minorBidi"/>
      <w:color w:val="000000"/>
      <w:kern w:val="0"/>
      <w:sz w:val="24"/>
      <w:szCs w:val="20"/>
    </w:rPr>
  </w:style>
  <w:style w:type="paragraph" w:styleId="30">
    <w:name w:val="Balloon Text"/>
    <w:basedOn w:val="1"/>
    <w:link w:val="79"/>
    <w:unhideWhenUsed/>
    <w:qFormat/>
    <w:uiPriority w:val="0"/>
    <w:rPr>
      <w:sz w:val="18"/>
      <w:szCs w:val="18"/>
    </w:rPr>
  </w:style>
  <w:style w:type="paragraph" w:styleId="31">
    <w:name w:val="footer"/>
    <w:basedOn w:val="1"/>
    <w:link w:val="80"/>
    <w:unhideWhenUsed/>
    <w:qFormat/>
    <w:uiPriority w:val="99"/>
    <w:pPr>
      <w:tabs>
        <w:tab w:val="center" w:pos="4153"/>
        <w:tab w:val="right" w:pos="8306"/>
      </w:tabs>
      <w:snapToGrid w:val="0"/>
      <w:jc w:val="left"/>
    </w:pPr>
    <w:rPr>
      <w:sz w:val="18"/>
      <w:szCs w:val="18"/>
    </w:rPr>
  </w:style>
  <w:style w:type="paragraph" w:styleId="32">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middleDot" w:pos="8789"/>
      </w:tabs>
      <w:spacing w:line="360" w:lineRule="auto"/>
    </w:pPr>
    <w:rPr>
      <w:rFonts w:ascii="Times New Roman" w:hAnsi="Times New Roman"/>
      <w:sz w:val="24"/>
      <w:szCs w:val="20"/>
    </w:rPr>
  </w:style>
  <w:style w:type="paragraph" w:styleId="34">
    <w:name w:val="toc 4"/>
    <w:basedOn w:val="1"/>
    <w:next w:val="1"/>
    <w:qFormat/>
    <w:uiPriority w:val="39"/>
    <w:pPr>
      <w:spacing w:line="360" w:lineRule="auto"/>
      <w:ind w:left="300" w:leftChars="300" w:firstLine="200" w:firstLineChars="200"/>
    </w:pPr>
    <w:rPr>
      <w:rFonts w:ascii="Times New Roman" w:hAnsi="Times New Roman"/>
      <w:sz w:val="24"/>
    </w:rPr>
  </w:style>
  <w:style w:type="paragraph" w:styleId="35">
    <w:name w:val="Subtitle"/>
    <w:basedOn w:val="1"/>
    <w:next w:val="1"/>
    <w:link w:val="82"/>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rFonts w:ascii="Times New Roman" w:hAnsi="Times New Roman"/>
      <w:sz w:val="28"/>
    </w:rPr>
  </w:style>
  <w:style w:type="paragraph" w:styleId="37">
    <w:name w:val="footnote text"/>
    <w:basedOn w:val="1"/>
    <w:link w:val="83"/>
    <w:qFormat/>
    <w:uiPriority w:val="0"/>
    <w:pPr>
      <w:snapToGrid w:val="0"/>
      <w:jc w:val="left"/>
    </w:pPr>
    <w:rPr>
      <w:rFonts w:ascii="Times New Roman" w:hAnsi="Times New Roman" w:eastAsia="仿宋_GB2312"/>
      <w:sz w:val="18"/>
      <w:szCs w:val="20"/>
    </w:rPr>
  </w:style>
  <w:style w:type="paragraph" w:styleId="38">
    <w:name w:val="toc 6"/>
    <w:basedOn w:val="1"/>
    <w:next w:val="1"/>
    <w:unhideWhenUsed/>
    <w:qFormat/>
    <w:uiPriority w:val="39"/>
    <w:pPr>
      <w:ind w:left="2100" w:leftChars="1000"/>
    </w:pPr>
  </w:style>
  <w:style w:type="paragraph" w:styleId="39">
    <w:name w:val="Body Text Indent 3"/>
    <w:basedOn w:val="1"/>
    <w:link w:val="84"/>
    <w:qFormat/>
    <w:uiPriority w:val="0"/>
    <w:pPr>
      <w:autoSpaceDE w:val="0"/>
      <w:autoSpaceDN w:val="0"/>
      <w:adjustRightInd w:val="0"/>
      <w:spacing w:line="360" w:lineRule="atLeast"/>
      <w:ind w:left="1853"/>
      <w:jc w:val="center"/>
    </w:pPr>
    <w:rPr>
      <w:rFonts w:ascii="宋体" w:hAnsiTheme="minorHAnsi" w:eastAsiaTheme="minorEastAsia" w:cstheme="minorBidi"/>
      <w:b/>
      <w:color w:val="000000"/>
      <w:kern w:val="0"/>
      <w:sz w:val="36"/>
    </w:rPr>
  </w:style>
  <w:style w:type="paragraph" w:styleId="40">
    <w:name w:val="toc 2"/>
    <w:basedOn w:val="1"/>
    <w:next w:val="1"/>
    <w:qFormat/>
    <w:uiPriority w:val="39"/>
    <w:pPr>
      <w:tabs>
        <w:tab w:val="right" w:leader="middleDot" w:pos="8948"/>
      </w:tabs>
      <w:spacing w:before="60" w:after="60"/>
      <w:ind w:left="210"/>
    </w:pPr>
    <w:rPr>
      <w:smallCaps/>
    </w:rPr>
  </w:style>
  <w:style w:type="paragraph" w:styleId="41">
    <w:name w:val="Body Text 2"/>
    <w:basedOn w:val="1"/>
    <w:link w:val="85"/>
    <w:qFormat/>
    <w:uiPriority w:val="0"/>
    <w:pPr>
      <w:autoSpaceDE w:val="0"/>
      <w:autoSpaceDN w:val="0"/>
      <w:adjustRightInd w:val="0"/>
      <w:spacing w:line="360" w:lineRule="auto"/>
    </w:pPr>
    <w:rPr>
      <w:rFonts w:ascii="宋体" w:hAnsiTheme="minorHAnsi" w:eastAsiaTheme="minorEastAsia" w:cstheme="minorBidi"/>
      <w:color w:val="000000"/>
      <w:kern w:val="0"/>
      <w:sz w:val="24"/>
    </w:rPr>
  </w:style>
  <w:style w:type="paragraph" w:styleId="42">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link w:val="87"/>
    <w:qFormat/>
    <w:uiPriority w:val="99"/>
    <w:pPr>
      <w:widowControl/>
      <w:spacing w:before="100" w:beforeAutospacing="1" w:after="100" w:afterAutospacing="1"/>
      <w:jc w:val="left"/>
    </w:pPr>
    <w:rPr>
      <w:rFonts w:ascii="??" w:hAnsi="??" w:eastAsia="??" w:cs="宋体"/>
      <w:kern w:val="0"/>
      <w:sz w:val="24"/>
    </w:rPr>
  </w:style>
  <w:style w:type="paragraph" w:styleId="44">
    <w:name w:val="Title"/>
    <w:basedOn w:val="1"/>
    <w:next w:val="1"/>
    <w:link w:val="321"/>
    <w:qFormat/>
    <w:uiPriority w:val="10"/>
    <w:pPr>
      <w:numPr>
        <w:ilvl w:val="0"/>
        <w:numId w:val="2"/>
      </w:numPr>
      <w:spacing w:before="240" w:after="60"/>
      <w:jc w:val="center"/>
      <w:outlineLvl w:val="0"/>
    </w:pPr>
    <w:rPr>
      <w:rFonts w:asciiTheme="majorHAnsi" w:hAnsiTheme="majorHAnsi" w:cstheme="majorBidi"/>
      <w:b/>
      <w:bCs/>
      <w:sz w:val="36"/>
      <w:szCs w:val="32"/>
    </w:rPr>
  </w:style>
  <w:style w:type="paragraph" w:styleId="45">
    <w:name w:val="annotation subject"/>
    <w:basedOn w:val="19"/>
    <w:next w:val="19"/>
    <w:link w:val="89"/>
    <w:qFormat/>
    <w:uiPriority w:val="0"/>
    <w:rPr>
      <w:rFonts w:ascii="Times New Roman" w:hAnsi="Times New Roman" w:cs="Times New Roman"/>
      <w:b/>
      <w:bCs/>
      <w:szCs w:val="24"/>
    </w:rPr>
  </w:style>
  <w:style w:type="paragraph" w:styleId="46">
    <w:name w:val="Body Text First Indent 2"/>
    <w:basedOn w:val="21"/>
    <w:next w:val="1"/>
    <w:link w:val="91"/>
    <w:unhideWhenUsed/>
    <w:qFormat/>
    <w:uiPriority w:val="0"/>
    <w:pPr>
      <w:spacing w:after="120" w:line="240" w:lineRule="auto"/>
      <w:ind w:left="420" w:leftChars="200" w:firstLine="420" w:firstLineChars="200"/>
    </w:pPr>
    <w:rPr>
      <w:rFonts w:ascii="等线" w:hAnsi="等线" w:eastAsia="宋体" w:cs="Times New Roman"/>
      <w:sz w:val="21"/>
      <w:szCs w:val="24"/>
    </w:rPr>
  </w:style>
  <w:style w:type="table" w:styleId="48">
    <w:name w:val="Table Grid"/>
    <w:basedOn w:val="4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0">
    <w:name w:val="Strong"/>
    <w:basedOn w:val="49"/>
    <w:qFormat/>
    <w:uiPriority w:val="0"/>
    <w:rPr>
      <w:b/>
    </w:rPr>
  </w:style>
  <w:style w:type="character" w:styleId="51">
    <w:name w:val="page number"/>
    <w:basedOn w:val="49"/>
    <w:qFormat/>
    <w:uiPriority w:val="0"/>
  </w:style>
  <w:style w:type="character" w:styleId="52">
    <w:name w:val="FollowedHyperlink"/>
    <w:basedOn w:val="49"/>
    <w:qFormat/>
    <w:uiPriority w:val="0"/>
    <w:rPr>
      <w:color w:val="800080" w:themeColor="followedHyperlink"/>
      <w:u w:val="single"/>
      <w14:textFill>
        <w14:solidFill>
          <w14:schemeClr w14:val="folHlink"/>
        </w14:solidFill>
      </w14:textFill>
    </w:rPr>
  </w:style>
  <w:style w:type="character" w:styleId="53">
    <w:name w:val="Emphasis"/>
    <w:qFormat/>
    <w:uiPriority w:val="20"/>
    <w:rPr>
      <w:i/>
      <w:iCs/>
    </w:rPr>
  </w:style>
  <w:style w:type="character" w:styleId="54">
    <w:name w:val="HTML Typewriter"/>
    <w:qFormat/>
    <w:uiPriority w:val="0"/>
    <w:rPr>
      <w:rFonts w:hint="eastAsia" w:ascii="黑体" w:hAnsi="Courier New" w:eastAsia="黑体" w:cs="Times New Roman"/>
      <w:sz w:val="14"/>
      <w:szCs w:val="24"/>
    </w:rPr>
  </w:style>
  <w:style w:type="character" w:styleId="55">
    <w:name w:val="Hyperlink"/>
    <w:qFormat/>
    <w:uiPriority w:val="99"/>
    <w:rPr>
      <w:color w:val="0000FF"/>
      <w:u w:val="single"/>
    </w:rPr>
  </w:style>
  <w:style w:type="character" w:styleId="56">
    <w:name w:val="annotation reference"/>
    <w:basedOn w:val="49"/>
    <w:qFormat/>
    <w:uiPriority w:val="0"/>
    <w:rPr>
      <w:sz w:val="21"/>
      <w:szCs w:val="21"/>
    </w:rPr>
  </w:style>
  <w:style w:type="character" w:styleId="57">
    <w:name w:val="footnote reference"/>
    <w:qFormat/>
    <w:uiPriority w:val="0"/>
    <w:rPr>
      <w:vertAlign w:val="superscript"/>
    </w:rPr>
  </w:style>
  <w:style w:type="character" w:customStyle="1" w:styleId="58">
    <w:name w:val="正文文本缩进 Char"/>
    <w:basedOn w:val="49"/>
    <w:link w:val="21"/>
    <w:qFormat/>
    <w:uiPriority w:val="0"/>
    <w:rPr>
      <w:rFonts w:ascii="??" w:hAnsi="??" w:eastAsia="??" w:cs="宋体"/>
      <w:sz w:val="28"/>
      <w:szCs w:val="28"/>
    </w:rPr>
  </w:style>
  <w:style w:type="character" w:customStyle="1" w:styleId="59">
    <w:name w:val="标题 1 Char"/>
    <w:basedOn w:val="49"/>
    <w:link w:val="4"/>
    <w:qFormat/>
    <w:uiPriority w:val="0"/>
    <w:rPr>
      <w:rFonts w:ascii="等线" w:hAnsi="等线" w:eastAsia="宋体" w:cs="Times New Roman"/>
      <w:b/>
      <w:bCs/>
      <w:kern w:val="44"/>
      <w:sz w:val="44"/>
      <w:szCs w:val="44"/>
    </w:rPr>
  </w:style>
  <w:style w:type="character" w:customStyle="1" w:styleId="60">
    <w:name w:val="标题 2 Char"/>
    <w:basedOn w:val="49"/>
    <w:link w:val="5"/>
    <w:qFormat/>
    <w:uiPriority w:val="8"/>
    <w:rPr>
      <w:rFonts w:asciiTheme="majorHAnsi" w:hAnsiTheme="majorHAnsi" w:eastAsiaTheme="majorEastAsia" w:cstheme="majorBidi"/>
      <w:b/>
      <w:bCs/>
      <w:sz w:val="32"/>
      <w:szCs w:val="32"/>
    </w:rPr>
  </w:style>
  <w:style w:type="character" w:customStyle="1" w:styleId="61">
    <w:name w:val="标题 3 Char"/>
    <w:basedOn w:val="49"/>
    <w:link w:val="6"/>
    <w:qFormat/>
    <w:uiPriority w:val="0"/>
    <w:rPr>
      <w:rFonts w:ascii="Times New Roman" w:hAnsi="Times New Roman" w:eastAsia="??" w:cs="Times New Roman"/>
      <w:b/>
      <w:kern w:val="0"/>
      <w:sz w:val="32"/>
      <w:szCs w:val="28"/>
    </w:rPr>
  </w:style>
  <w:style w:type="character" w:customStyle="1" w:styleId="62">
    <w:name w:val="标题 4 Char"/>
    <w:basedOn w:val="49"/>
    <w:link w:val="7"/>
    <w:qFormat/>
    <w:uiPriority w:val="0"/>
    <w:rPr>
      <w:rFonts w:ascii="Cambria" w:hAnsi="Cambria" w:eastAsia="宋体" w:cs="Times New Roman"/>
      <w:b/>
      <w:bCs/>
      <w:sz w:val="28"/>
      <w:szCs w:val="28"/>
    </w:rPr>
  </w:style>
  <w:style w:type="character" w:customStyle="1" w:styleId="63">
    <w:name w:val="标题 5 Char"/>
    <w:basedOn w:val="49"/>
    <w:link w:val="8"/>
    <w:qFormat/>
    <w:uiPriority w:val="0"/>
    <w:rPr>
      <w:rFonts w:ascii="Times New Roman" w:hAnsi="Times New Roman" w:eastAsia="宋体" w:cs="Times New Roman"/>
      <w:b/>
      <w:bCs/>
      <w:kern w:val="0"/>
      <w:sz w:val="28"/>
      <w:szCs w:val="28"/>
    </w:rPr>
  </w:style>
  <w:style w:type="character" w:customStyle="1" w:styleId="64">
    <w:name w:val="标题 6 Char"/>
    <w:basedOn w:val="49"/>
    <w:link w:val="9"/>
    <w:qFormat/>
    <w:uiPriority w:val="0"/>
    <w:rPr>
      <w:rFonts w:ascii="Arial" w:hAnsi="Arial" w:eastAsia="黑体" w:cs="Times New Roman"/>
      <w:b/>
      <w:bCs/>
      <w:kern w:val="0"/>
      <w:sz w:val="24"/>
      <w:szCs w:val="24"/>
    </w:rPr>
  </w:style>
  <w:style w:type="character" w:customStyle="1" w:styleId="65">
    <w:name w:val="标题 7 Char"/>
    <w:basedOn w:val="49"/>
    <w:link w:val="10"/>
    <w:qFormat/>
    <w:uiPriority w:val="0"/>
    <w:rPr>
      <w:rFonts w:ascii="Times New Roman" w:hAnsi="Times New Roman" w:eastAsia="宋体" w:cs="Times New Roman"/>
      <w:b/>
      <w:bCs/>
      <w:kern w:val="0"/>
      <w:sz w:val="24"/>
      <w:szCs w:val="24"/>
    </w:rPr>
  </w:style>
  <w:style w:type="character" w:customStyle="1" w:styleId="66">
    <w:name w:val="标题 8 Char"/>
    <w:basedOn w:val="49"/>
    <w:link w:val="11"/>
    <w:qFormat/>
    <w:uiPriority w:val="0"/>
    <w:rPr>
      <w:rFonts w:ascii="Arial" w:hAnsi="Arial" w:eastAsia="黑体" w:cs="Times New Roman"/>
      <w:kern w:val="0"/>
      <w:sz w:val="24"/>
      <w:szCs w:val="24"/>
    </w:rPr>
  </w:style>
  <w:style w:type="character" w:customStyle="1" w:styleId="67">
    <w:name w:val="标题 9 Char"/>
    <w:basedOn w:val="49"/>
    <w:link w:val="12"/>
    <w:qFormat/>
    <w:uiPriority w:val="0"/>
    <w:rPr>
      <w:rFonts w:ascii="Arial" w:hAnsi="Arial" w:eastAsia="黑体" w:cs="Times New Roman"/>
      <w:kern w:val="0"/>
      <w:szCs w:val="21"/>
    </w:rPr>
  </w:style>
  <w:style w:type="character" w:customStyle="1" w:styleId="68">
    <w:name w:val="列表编号 Char"/>
    <w:link w:val="15"/>
    <w:qFormat/>
    <w:uiPriority w:val="0"/>
    <w:rPr>
      <w:rFonts w:ascii="等线" w:hAnsi="等线" w:eastAsia="楷体_GB2312" w:cs="Times New Roman"/>
      <w:sz w:val="24"/>
      <w:szCs w:val="24"/>
    </w:rPr>
  </w:style>
  <w:style w:type="character" w:customStyle="1" w:styleId="69">
    <w:name w:val="正文缩进 Char"/>
    <w:link w:val="16"/>
    <w:qFormat/>
    <w:uiPriority w:val="0"/>
    <w:rPr>
      <w:rFonts w:ascii="等线" w:hAnsi="等线" w:eastAsia="宋体" w:cs="Times New Roman"/>
      <w:szCs w:val="24"/>
    </w:rPr>
  </w:style>
  <w:style w:type="character" w:customStyle="1" w:styleId="70">
    <w:name w:val="题注 Char"/>
    <w:link w:val="17"/>
    <w:qFormat/>
    <w:uiPriority w:val="0"/>
    <w:rPr>
      <w:rFonts w:ascii="Arial" w:hAnsi="Arial" w:eastAsia="黑体" w:cs="Arial"/>
      <w:kern w:val="2"/>
    </w:rPr>
  </w:style>
  <w:style w:type="character" w:customStyle="1" w:styleId="71">
    <w:name w:val="文档结构图 Char2"/>
    <w:basedOn w:val="49"/>
    <w:link w:val="18"/>
    <w:qFormat/>
    <w:uiPriority w:val="0"/>
    <w:rPr>
      <w:rFonts w:ascii="宋体" w:hAnsi="Calibri"/>
      <w:sz w:val="18"/>
      <w:szCs w:val="18"/>
    </w:rPr>
  </w:style>
  <w:style w:type="character" w:customStyle="1" w:styleId="72">
    <w:name w:val="批注文字 Char"/>
    <w:basedOn w:val="49"/>
    <w:link w:val="19"/>
    <w:qFormat/>
    <w:uiPriority w:val="0"/>
    <w:rPr>
      <w:rFonts w:eastAsia="宋体" w:cs="Lucida Sans"/>
    </w:rPr>
  </w:style>
  <w:style w:type="character" w:customStyle="1" w:styleId="73">
    <w:name w:val="正文文本 3 Char1"/>
    <w:basedOn w:val="49"/>
    <w:link w:val="20"/>
    <w:qFormat/>
    <w:uiPriority w:val="0"/>
    <w:rPr>
      <w:sz w:val="16"/>
      <w:szCs w:val="16"/>
    </w:rPr>
  </w:style>
  <w:style w:type="character" w:customStyle="1" w:styleId="74">
    <w:name w:val="正文文本 Char"/>
    <w:basedOn w:val="49"/>
    <w:link w:val="2"/>
    <w:qFormat/>
    <w:uiPriority w:val="0"/>
    <w:rPr>
      <w:rFonts w:ascii="等线" w:hAnsi="等线" w:eastAsia="宋体" w:cs="Times New Roman"/>
      <w:szCs w:val="24"/>
    </w:rPr>
  </w:style>
  <w:style w:type="character" w:customStyle="1" w:styleId="75">
    <w:name w:val="目录 3 Char"/>
    <w:link w:val="25"/>
    <w:qFormat/>
    <w:uiPriority w:val="39"/>
    <w:rPr>
      <w:rFonts w:ascii="Arial" w:hAnsi="Arial" w:eastAsia="宋体" w:cs="Times New Roman"/>
      <w:smallCaps/>
      <w:kern w:val="2"/>
      <w:szCs w:val="24"/>
    </w:rPr>
  </w:style>
  <w:style w:type="character" w:customStyle="1" w:styleId="76">
    <w:name w:val="日期 Char"/>
    <w:basedOn w:val="49"/>
    <w:link w:val="28"/>
    <w:qFormat/>
    <w:uiPriority w:val="0"/>
    <w:rPr>
      <w:rFonts w:ascii="等线" w:hAnsi="等线" w:eastAsia="宋体" w:cs="Times New Roman"/>
      <w:szCs w:val="24"/>
    </w:rPr>
  </w:style>
  <w:style w:type="character" w:customStyle="1" w:styleId="77">
    <w:name w:val="纯文本 Char1"/>
    <w:link w:val="26"/>
    <w:qFormat/>
    <w:uiPriority w:val="0"/>
    <w:rPr>
      <w:rFonts w:ascii="??" w:hAnsi="??" w:eastAsia="??" w:cs="宋体"/>
      <w:szCs w:val="21"/>
    </w:rPr>
  </w:style>
  <w:style w:type="character" w:customStyle="1" w:styleId="78">
    <w:name w:val="正文文本缩进 2 Char1"/>
    <w:basedOn w:val="49"/>
    <w:link w:val="29"/>
    <w:qFormat/>
    <w:uiPriority w:val="0"/>
    <w:rPr>
      <w:rFonts w:ascii="宋体"/>
      <w:color w:val="000000"/>
      <w:kern w:val="0"/>
      <w:sz w:val="24"/>
      <w:szCs w:val="20"/>
    </w:rPr>
  </w:style>
  <w:style w:type="character" w:customStyle="1" w:styleId="79">
    <w:name w:val="批注框文本 Char"/>
    <w:basedOn w:val="49"/>
    <w:link w:val="30"/>
    <w:qFormat/>
    <w:uiPriority w:val="99"/>
    <w:rPr>
      <w:rFonts w:ascii="等线" w:hAnsi="等线" w:eastAsia="宋体" w:cs="Times New Roman"/>
      <w:sz w:val="18"/>
      <w:szCs w:val="18"/>
    </w:rPr>
  </w:style>
  <w:style w:type="character" w:customStyle="1" w:styleId="80">
    <w:name w:val="页脚 Char"/>
    <w:basedOn w:val="49"/>
    <w:link w:val="31"/>
    <w:qFormat/>
    <w:uiPriority w:val="0"/>
    <w:rPr>
      <w:sz w:val="18"/>
      <w:szCs w:val="18"/>
    </w:rPr>
  </w:style>
  <w:style w:type="character" w:customStyle="1" w:styleId="81">
    <w:name w:val="页眉 Char"/>
    <w:basedOn w:val="49"/>
    <w:link w:val="32"/>
    <w:qFormat/>
    <w:uiPriority w:val="0"/>
    <w:rPr>
      <w:sz w:val="18"/>
      <w:szCs w:val="18"/>
    </w:rPr>
  </w:style>
  <w:style w:type="character" w:customStyle="1" w:styleId="82">
    <w:name w:val="副标题 Char"/>
    <w:basedOn w:val="49"/>
    <w:link w:val="35"/>
    <w:qFormat/>
    <w:uiPriority w:val="0"/>
    <w:rPr>
      <w:rFonts w:ascii="Cambria" w:hAnsi="Cambria" w:eastAsia="宋体" w:cs="Times New Roman"/>
      <w:b/>
      <w:bCs/>
      <w:kern w:val="28"/>
      <w:sz w:val="32"/>
      <w:szCs w:val="32"/>
    </w:rPr>
  </w:style>
  <w:style w:type="character" w:customStyle="1" w:styleId="83">
    <w:name w:val="脚注文本 Char"/>
    <w:basedOn w:val="49"/>
    <w:link w:val="37"/>
    <w:qFormat/>
    <w:uiPriority w:val="0"/>
    <w:rPr>
      <w:rFonts w:ascii="Times New Roman" w:hAnsi="Times New Roman" w:eastAsia="仿宋_GB2312" w:cs="Times New Roman"/>
      <w:sz w:val="18"/>
      <w:szCs w:val="20"/>
    </w:rPr>
  </w:style>
  <w:style w:type="character" w:customStyle="1" w:styleId="84">
    <w:name w:val="正文文本缩进 3 Char1"/>
    <w:basedOn w:val="49"/>
    <w:link w:val="39"/>
    <w:qFormat/>
    <w:uiPriority w:val="0"/>
    <w:rPr>
      <w:rFonts w:ascii="宋体"/>
      <w:b/>
      <w:color w:val="000000"/>
      <w:kern w:val="0"/>
      <w:sz w:val="36"/>
      <w:szCs w:val="24"/>
    </w:rPr>
  </w:style>
  <w:style w:type="character" w:customStyle="1" w:styleId="85">
    <w:name w:val="正文文本 2 Char1"/>
    <w:basedOn w:val="49"/>
    <w:link w:val="41"/>
    <w:qFormat/>
    <w:uiPriority w:val="0"/>
    <w:rPr>
      <w:rFonts w:ascii="宋体"/>
      <w:color w:val="000000"/>
      <w:kern w:val="0"/>
      <w:sz w:val="24"/>
      <w:szCs w:val="24"/>
    </w:rPr>
  </w:style>
  <w:style w:type="character" w:customStyle="1" w:styleId="86">
    <w:name w:val="HTML 预设格式 Char"/>
    <w:basedOn w:val="49"/>
    <w:link w:val="42"/>
    <w:qFormat/>
    <w:uiPriority w:val="0"/>
    <w:rPr>
      <w:rFonts w:ascii="宋体" w:hAnsi="宋体" w:eastAsia="宋体" w:cs="宋体"/>
      <w:kern w:val="0"/>
      <w:sz w:val="24"/>
      <w:szCs w:val="24"/>
    </w:rPr>
  </w:style>
  <w:style w:type="character" w:customStyle="1" w:styleId="87">
    <w:name w:val="普通(网站) Char"/>
    <w:link w:val="43"/>
    <w:qFormat/>
    <w:uiPriority w:val="99"/>
    <w:rPr>
      <w:rFonts w:ascii="??" w:hAnsi="??" w:eastAsia="??" w:cs="宋体"/>
      <w:sz w:val="24"/>
      <w:szCs w:val="24"/>
    </w:rPr>
  </w:style>
  <w:style w:type="character" w:customStyle="1" w:styleId="88">
    <w:name w:val="标题 Char"/>
    <w:basedOn w:val="49"/>
    <w:qFormat/>
    <w:uiPriority w:val="10"/>
    <w:rPr>
      <w:rFonts w:eastAsia="宋体" w:asciiTheme="majorHAnsi" w:hAnsiTheme="majorHAnsi" w:cstheme="majorBidi"/>
      <w:b/>
      <w:bCs/>
      <w:sz w:val="36"/>
      <w:szCs w:val="32"/>
    </w:rPr>
  </w:style>
  <w:style w:type="character" w:customStyle="1" w:styleId="89">
    <w:name w:val="批注主题 Char"/>
    <w:basedOn w:val="72"/>
    <w:link w:val="45"/>
    <w:qFormat/>
    <w:uiPriority w:val="0"/>
    <w:rPr>
      <w:rFonts w:ascii="Times New Roman" w:hAnsi="Times New Roman" w:eastAsia="宋体" w:cs="Times New Roman"/>
      <w:b/>
      <w:bCs/>
      <w:szCs w:val="24"/>
    </w:rPr>
  </w:style>
  <w:style w:type="character" w:customStyle="1" w:styleId="90">
    <w:name w:val="正文首行缩进 Char"/>
    <w:basedOn w:val="74"/>
    <w:link w:val="3"/>
    <w:qFormat/>
    <w:uiPriority w:val="99"/>
    <w:rPr>
      <w:rFonts w:ascii="等线" w:hAnsi="等线" w:eastAsia="宋体" w:cs="Times New Roman"/>
      <w:szCs w:val="24"/>
    </w:rPr>
  </w:style>
  <w:style w:type="character" w:customStyle="1" w:styleId="91">
    <w:name w:val="正文首行缩进 2 Char"/>
    <w:basedOn w:val="58"/>
    <w:link w:val="46"/>
    <w:qFormat/>
    <w:uiPriority w:val="0"/>
    <w:rPr>
      <w:rFonts w:ascii="等线" w:hAnsi="等线" w:eastAsia="宋体" w:cs="Times New Roman"/>
      <w:sz w:val="28"/>
      <w:szCs w:val="24"/>
    </w:rPr>
  </w:style>
  <w:style w:type="character" w:customStyle="1" w:styleId="92">
    <w:name w:val="纯文本 Char"/>
    <w:basedOn w:val="49"/>
    <w:qFormat/>
    <w:uiPriority w:val="0"/>
    <w:rPr>
      <w:rFonts w:ascii="宋体" w:hAnsi="Courier New" w:eastAsia="宋体" w:cs="Courier New"/>
      <w:szCs w:val="21"/>
    </w:rPr>
  </w:style>
  <w:style w:type="character" w:customStyle="1" w:styleId="93">
    <w:name w:val="*正文 Char"/>
    <w:link w:val="94"/>
    <w:qFormat/>
    <w:uiPriority w:val="0"/>
    <w:rPr>
      <w:rFonts w:ascii="宋体" w:hAnsi="宋体"/>
      <w:sz w:val="22"/>
    </w:rPr>
  </w:style>
  <w:style w:type="paragraph" w:customStyle="1" w:styleId="94">
    <w:name w:val="*正文"/>
    <w:basedOn w:val="1"/>
    <w:link w:val="93"/>
    <w:qFormat/>
    <w:uiPriority w:val="0"/>
    <w:pPr>
      <w:spacing w:line="360" w:lineRule="auto"/>
      <w:ind w:left="420" w:leftChars="200" w:firstLine="200" w:firstLineChars="200"/>
    </w:pPr>
    <w:rPr>
      <w:rFonts w:ascii="宋体" w:hAnsi="宋体" w:eastAsiaTheme="minorEastAsia" w:cstheme="minorBidi"/>
      <w:sz w:val="22"/>
      <w:szCs w:val="22"/>
    </w:rPr>
  </w:style>
  <w:style w:type="paragraph" w:customStyle="1" w:styleId="95">
    <w:name w:val="表格用"/>
    <w:basedOn w:val="1"/>
    <w:qFormat/>
    <w:uiPriority w:val="0"/>
    <w:rPr>
      <w:kern w:val="0"/>
    </w:rPr>
  </w:style>
  <w:style w:type="character" w:customStyle="1" w:styleId="96">
    <w:name w:val="文档结构图 Char"/>
    <w:basedOn w:val="49"/>
    <w:qFormat/>
    <w:uiPriority w:val="0"/>
    <w:rPr>
      <w:rFonts w:ascii="宋体" w:hAnsi="等线" w:eastAsia="宋体" w:cs="Times New Roman"/>
      <w:sz w:val="18"/>
      <w:szCs w:val="18"/>
    </w:rPr>
  </w:style>
  <w:style w:type="character" w:customStyle="1" w:styleId="97">
    <w:name w:val="正文文本 3 Char"/>
    <w:basedOn w:val="49"/>
    <w:qFormat/>
    <w:uiPriority w:val="0"/>
    <w:rPr>
      <w:rFonts w:ascii="等线" w:hAnsi="等线" w:eastAsia="宋体" w:cs="Times New Roman"/>
      <w:sz w:val="16"/>
      <w:szCs w:val="16"/>
    </w:rPr>
  </w:style>
  <w:style w:type="character" w:customStyle="1" w:styleId="98">
    <w:name w:val="正文文本缩进 2 Char"/>
    <w:basedOn w:val="49"/>
    <w:qFormat/>
    <w:uiPriority w:val="0"/>
    <w:rPr>
      <w:rFonts w:ascii="等线" w:hAnsi="等线" w:eastAsia="宋体" w:cs="Times New Roman"/>
      <w:szCs w:val="24"/>
    </w:rPr>
  </w:style>
  <w:style w:type="character" w:customStyle="1" w:styleId="99">
    <w:name w:val="正文文本缩进 3 Char"/>
    <w:basedOn w:val="49"/>
    <w:qFormat/>
    <w:uiPriority w:val="0"/>
    <w:rPr>
      <w:rFonts w:ascii="等线" w:hAnsi="等线" w:eastAsia="宋体" w:cs="Times New Roman"/>
      <w:sz w:val="16"/>
      <w:szCs w:val="16"/>
    </w:rPr>
  </w:style>
  <w:style w:type="character" w:customStyle="1" w:styleId="100">
    <w:name w:val="正文文本 2 Char"/>
    <w:basedOn w:val="49"/>
    <w:qFormat/>
    <w:uiPriority w:val="0"/>
    <w:rPr>
      <w:rFonts w:ascii="等线" w:hAnsi="等线" w:eastAsia="宋体" w:cs="Times New Roman"/>
      <w:szCs w:val="24"/>
    </w:rPr>
  </w:style>
  <w:style w:type="paragraph" w:customStyle="1" w:styleId="10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2">
    <w:name w:val="列出段落1"/>
    <w:basedOn w:val="1"/>
    <w:qFormat/>
    <w:uiPriority w:val="34"/>
    <w:pPr>
      <w:snapToGrid w:val="0"/>
      <w:spacing w:line="276" w:lineRule="auto"/>
      <w:ind w:firstLine="420" w:firstLineChars="200"/>
    </w:pPr>
    <w:rPr>
      <w:rFonts w:ascii="Calibri" w:hAnsi="Calibri" w:eastAsia="微软雅黑"/>
      <w:sz w:val="24"/>
      <w:szCs w:val="21"/>
    </w:rPr>
  </w:style>
  <w:style w:type="paragraph" w:customStyle="1" w:styleId="103">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104">
    <w:name w:val="Default"/>
    <w:link w:val="10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5">
    <w:name w:val="Default Char"/>
    <w:link w:val="104"/>
    <w:qFormat/>
    <w:uiPriority w:val="0"/>
    <w:rPr>
      <w:rFonts w:ascii="宋体" w:hAnsi="Times New Roman" w:eastAsia="宋体" w:cs="宋体"/>
      <w:color w:val="000000"/>
      <w:sz w:val="24"/>
      <w:szCs w:val="24"/>
    </w:rPr>
  </w:style>
  <w:style w:type="character" w:customStyle="1" w:styleId="106">
    <w:name w:val="正文文本缩进 Char1"/>
    <w:basedOn w:val="49"/>
    <w:qFormat/>
    <w:uiPriority w:val="99"/>
    <w:rPr>
      <w:rFonts w:ascii="等线" w:hAnsi="等线" w:eastAsia="宋体" w:cs="Times New Roman"/>
      <w:szCs w:val="24"/>
    </w:rPr>
  </w:style>
  <w:style w:type="paragraph" w:customStyle="1" w:styleId="107">
    <w:name w:val="WPSOffice手动目录 1"/>
    <w:qFormat/>
    <w:uiPriority w:val="0"/>
    <w:rPr>
      <w:rFonts w:ascii="Times New Roman" w:hAnsi="Times New Roman" w:eastAsia="宋体" w:cs="Times New Roman"/>
      <w:lang w:val="en-US" w:eastAsia="zh-CN" w:bidi="ar-SA"/>
    </w:rPr>
  </w:style>
  <w:style w:type="character" w:customStyle="1" w:styleId="108">
    <w:name w:val="正文2 Char"/>
    <w:link w:val="109"/>
    <w:qFormat/>
    <w:locked/>
    <w:uiPriority w:val="0"/>
    <w:rPr>
      <w:rFonts w:eastAsia="??"/>
      <w:sz w:val="24"/>
      <w:szCs w:val="28"/>
    </w:rPr>
  </w:style>
  <w:style w:type="paragraph" w:customStyle="1" w:styleId="109">
    <w:name w:val="正文2"/>
    <w:basedOn w:val="1"/>
    <w:link w:val="108"/>
    <w:qFormat/>
    <w:uiPriority w:val="0"/>
    <w:pPr>
      <w:spacing w:before="156" w:line="360" w:lineRule="auto"/>
      <w:ind w:firstLine="200" w:firstLineChars="200"/>
    </w:pPr>
    <w:rPr>
      <w:rFonts w:eastAsia="??" w:asciiTheme="minorHAnsi" w:hAnsiTheme="minorHAnsi" w:cstheme="minorBidi"/>
      <w:sz w:val="24"/>
      <w:szCs w:val="28"/>
    </w:rPr>
  </w:style>
  <w:style w:type="character" w:customStyle="1" w:styleId="110">
    <w:name w:val="批注文字 Char1"/>
    <w:basedOn w:val="49"/>
    <w:semiHidden/>
    <w:qFormat/>
    <w:uiPriority w:val="99"/>
    <w:rPr>
      <w:rFonts w:ascii="等线" w:hAnsi="等线" w:eastAsia="宋体" w:cs="Times New Roman"/>
      <w:szCs w:val="24"/>
    </w:rPr>
  </w:style>
  <w:style w:type="paragraph" w:styleId="111">
    <w:name w:val="List Paragraph"/>
    <w:basedOn w:val="1"/>
    <w:link w:val="112"/>
    <w:qFormat/>
    <w:uiPriority w:val="34"/>
    <w:pPr>
      <w:widowControl/>
      <w:ind w:firstLine="200" w:firstLineChars="200"/>
      <w:jc w:val="left"/>
    </w:pPr>
    <w:rPr>
      <w:rFonts w:ascii="??" w:hAnsi="??" w:eastAsia="??" w:cs="??"/>
      <w:kern w:val="0"/>
      <w:sz w:val="24"/>
    </w:rPr>
  </w:style>
  <w:style w:type="character" w:customStyle="1" w:styleId="112">
    <w:name w:val="列出段落 Char"/>
    <w:link w:val="111"/>
    <w:qFormat/>
    <w:uiPriority w:val="34"/>
    <w:rPr>
      <w:rFonts w:ascii="??" w:hAnsi="??" w:eastAsia="??" w:cs="??"/>
      <w:kern w:val="0"/>
      <w:sz w:val="24"/>
      <w:szCs w:val="24"/>
    </w:rPr>
  </w:style>
  <w:style w:type="paragraph" w:customStyle="1" w:styleId="11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11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_14"/>
    <w:qFormat/>
    <w:uiPriority w:val="0"/>
    <w:rPr>
      <w:rFonts w:ascii="Times New Roman" w:hAnsi="Times New Roman" w:eastAsia="宋体" w:cs="Times New Roman"/>
      <w:sz w:val="21"/>
      <w:szCs w:val="22"/>
      <w:lang w:val="en-US" w:eastAsia="zh-CN" w:bidi="ar-SA"/>
    </w:rPr>
  </w:style>
  <w:style w:type="paragraph" w:customStyle="1" w:styleId="11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纯文本_3"/>
    <w:basedOn w:val="121"/>
    <w:link w:val="123"/>
    <w:qFormat/>
    <w:uiPriority w:val="0"/>
    <w:pPr>
      <w:widowControl/>
      <w:jc w:val="left"/>
    </w:pPr>
    <w:rPr>
      <w:rFonts w:ascii="宋体" w:hAnsi="Courier New" w:eastAsiaTheme="minorEastAsia" w:cstheme="minorBidi"/>
      <w:szCs w:val="21"/>
    </w:rPr>
  </w:style>
  <w:style w:type="character" w:customStyle="1" w:styleId="123">
    <w:name w:val="纯文本 Char_3"/>
    <w:link w:val="122"/>
    <w:qFormat/>
    <w:uiPriority w:val="0"/>
    <w:rPr>
      <w:rFonts w:ascii="宋体" w:hAnsi="Courier New"/>
      <w:szCs w:val="21"/>
    </w:rPr>
  </w:style>
  <w:style w:type="paragraph" w:customStyle="1" w:styleId="124">
    <w:name w:val="纯文本_0_1"/>
    <w:basedOn w:val="1"/>
    <w:link w:val="125"/>
    <w:qFormat/>
    <w:uiPriority w:val="0"/>
    <w:pPr>
      <w:widowControl/>
      <w:jc w:val="left"/>
    </w:pPr>
    <w:rPr>
      <w:rFonts w:ascii="宋体" w:hAnsi="Courier New" w:eastAsiaTheme="minorEastAsia" w:cstheme="minorBidi"/>
      <w:szCs w:val="21"/>
    </w:rPr>
  </w:style>
  <w:style w:type="character" w:customStyle="1" w:styleId="125">
    <w:name w:val="纯文本 Char_1_0"/>
    <w:link w:val="124"/>
    <w:qFormat/>
    <w:uiPriority w:val="0"/>
    <w:rPr>
      <w:rFonts w:ascii="宋体" w:hAnsi="Courier New"/>
      <w:szCs w:val="21"/>
    </w:rPr>
  </w:style>
  <w:style w:type="paragraph" w:customStyle="1" w:styleId="126">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9">
    <w:name w:val="纯文本 Char_1"/>
    <w:link w:val="130"/>
    <w:qFormat/>
    <w:uiPriority w:val="0"/>
    <w:rPr>
      <w:rFonts w:ascii="宋体" w:hAnsi="Courier New"/>
      <w:szCs w:val="21"/>
    </w:rPr>
  </w:style>
  <w:style w:type="paragraph" w:customStyle="1" w:styleId="130">
    <w:name w:val="纯文本_1"/>
    <w:basedOn w:val="1"/>
    <w:link w:val="129"/>
    <w:qFormat/>
    <w:uiPriority w:val="0"/>
    <w:pPr>
      <w:widowControl/>
      <w:jc w:val="left"/>
    </w:pPr>
    <w:rPr>
      <w:rFonts w:ascii="宋体" w:hAnsi="Courier New" w:eastAsiaTheme="minorEastAsia" w:cstheme="minorBidi"/>
      <w:szCs w:val="21"/>
    </w:rPr>
  </w:style>
  <w:style w:type="paragraph" w:customStyle="1" w:styleId="131">
    <w:name w:val="纯文本1"/>
    <w:basedOn w:val="132"/>
    <w:qFormat/>
    <w:uiPriority w:val="0"/>
    <w:pPr>
      <w:widowControl/>
      <w:jc w:val="left"/>
    </w:pPr>
    <w:rPr>
      <w:rFonts w:ascii="宋体" w:hAnsi="Courier New"/>
    </w:rPr>
  </w:style>
  <w:style w:type="paragraph" w:customStyle="1" w:styleId="13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3">
    <w:name w:val="p0"/>
    <w:basedOn w:val="1"/>
    <w:qFormat/>
    <w:uiPriority w:val="0"/>
    <w:pPr>
      <w:widowControl/>
    </w:pPr>
    <w:rPr>
      <w:rFonts w:ascii="宋体" w:hAnsi="宋体" w:cs="宋体"/>
      <w:kern w:val="0"/>
      <w:szCs w:val="21"/>
    </w:rPr>
  </w:style>
  <w:style w:type="paragraph" w:customStyle="1" w:styleId="134">
    <w:name w:val="_Style 2"/>
    <w:qFormat/>
    <w:uiPriority w:val="0"/>
    <w:pPr>
      <w:adjustRightInd w:val="0"/>
      <w:snapToGrid w:val="0"/>
    </w:pPr>
    <w:rPr>
      <w:rFonts w:ascii="Tahoma" w:hAnsi="Tahoma" w:eastAsia="微软雅黑" w:cs="Tahoma"/>
      <w:sz w:val="22"/>
      <w:szCs w:val="22"/>
      <w:lang w:val="en-US" w:eastAsia="zh-CN" w:bidi="ar-SA"/>
    </w:rPr>
  </w:style>
  <w:style w:type="character" w:customStyle="1" w:styleId="135">
    <w:name w:val="内容文本 Char"/>
    <w:link w:val="136"/>
    <w:qFormat/>
    <w:uiPriority w:val="0"/>
    <w:rPr>
      <w:rFonts w:ascii="宋体" w:hAnsi="宋体"/>
      <w:sz w:val="24"/>
      <w:szCs w:val="24"/>
      <w:lang w:eastAsia="en-US" w:bidi="en-US"/>
    </w:rPr>
  </w:style>
  <w:style w:type="paragraph" w:customStyle="1" w:styleId="136">
    <w:name w:val="内容文本"/>
    <w:basedOn w:val="1"/>
    <w:link w:val="135"/>
    <w:qFormat/>
    <w:uiPriority w:val="0"/>
    <w:pPr>
      <w:spacing w:line="360" w:lineRule="auto"/>
      <w:ind w:firstLine="200" w:firstLineChars="200"/>
      <w:contextualSpacing/>
      <w:jc w:val="left"/>
    </w:pPr>
    <w:rPr>
      <w:rFonts w:ascii="宋体" w:hAnsi="宋体" w:eastAsiaTheme="minorEastAsia" w:cstheme="minorBidi"/>
      <w:sz w:val="24"/>
      <w:lang w:eastAsia="en-US" w:bidi="en-US"/>
    </w:rPr>
  </w:style>
  <w:style w:type="character" w:customStyle="1" w:styleId="137">
    <w:name w:val="样式1 Char_1"/>
    <w:link w:val="138"/>
    <w:qFormat/>
    <w:uiPriority w:val="0"/>
    <w:rPr>
      <w:rFonts w:ascii="宋体" w:hAnsi="Arial"/>
      <w:b/>
      <w:sz w:val="32"/>
    </w:rPr>
  </w:style>
  <w:style w:type="paragraph" w:customStyle="1" w:styleId="138">
    <w:name w:val="样式1_1"/>
    <w:basedOn w:val="1"/>
    <w:link w:val="137"/>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39">
    <w:name w:val="列出段落 Char1"/>
    <w:basedOn w:val="49"/>
    <w:qFormat/>
    <w:uiPriority w:val="34"/>
  </w:style>
  <w:style w:type="character" w:customStyle="1" w:styleId="140">
    <w:name w:val="标题 4 Char1"/>
    <w:qFormat/>
    <w:uiPriority w:val="0"/>
    <w:rPr>
      <w:rFonts w:ascii="Cambria" w:hAnsi="Cambria" w:eastAsia="宋体" w:cs="Times New Roman"/>
      <w:b/>
      <w:bCs/>
      <w:sz w:val="28"/>
      <w:szCs w:val="28"/>
    </w:rPr>
  </w:style>
  <w:style w:type="character" w:customStyle="1" w:styleId="141">
    <w:name w:val="p141"/>
    <w:qFormat/>
    <w:uiPriority w:val="0"/>
    <w:rPr>
      <w:sz w:val="21"/>
      <w:szCs w:val="21"/>
    </w:rPr>
  </w:style>
  <w:style w:type="character" w:customStyle="1" w:styleId="142">
    <w:name w:val="样式5 Char"/>
    <w:link w:val="143"/>
    <w:qFormat/>
    <w:uiPriority w:val="0"/>
    <w:rPr>
      <w:rFonts w:ascii="方正书宋简体" w:hAnsi="Calibri" w:eastAsia="方正书宋简体" w:cs="黑体"/>
    </w:rPr>
  </w:style>
  <w:style w:type="paragraph" w:customStyle="1" w:styleId="143">
    <w:name w:val="样式5"/>
    <w:basedOn w:val="1"/>
    <w:link w:val="142"/>
    <w:qFormat/>
    <w:uiPriority w:val="0"/>
    <w:pPr>
      <w:spacing w:line="340" w:lineRule="exact"/>
      <w:ind w:firstLine="420" w:firstLineChars="200"/>
    </w:pPr>
    <w:rPr>
      <w:rFonts w:ascii="方正书宋简体" w:hAnsi="Calibri" w:eastAsia="方正书宋简体" w:cs="黑体"/>
      <w:szCs w:val="22"/>
    </w:rPr>
  </w:style>
  <w:style w:type="character" w:customStyle="1" w:styleId="144">
    <w:name w:val="正文文本 Char1"/>
    <w:qFormat/>
    <w:uiPriority w:val="99"/>
    <w:rPr>
      <w:rFonts w:eastAsia="Times New Roman"/>
      <w:kern w:val="2"/>
      <w:sz w:val="24"/>
      <w:szCs w:val="24"/>
    </w:rPr>
  </w:style>
  <w:style w:type="character" w:customStyle="1" w:styleId="145">
    <w:name w:val="日期 Char1"/>
    <w:qFormat/>
    <w:uiPriority w:val="99"/>
    <w:rPr>
      <w:rFonts w:ascii="Calibri" w:hAnsi="Calibri" w:eastAsia="楷体_GB2312"/>
      <w:kern w:val="2"/>
      <w:sz w:val="32"/>
      <w:szCs w:val="22"/>
    </w:rPr>
  </w:style>
  <w:style w:type="character" w:customStyle="1" w:styleId="146">
    <w:name w:val="标题 Char1"/>
    <w:qFormat/>
    <w:uiPriority w:val="10"/>
    <w:rPr>
      <w:rFonts w:ascii="Cambria" w:hAnsi="Cambria" w:eastAsia="Times New Roman"/>
      <w:b/>
      <w:bCs/>
      <w:kern w:val="2"/>
      <w:sz w:val="32"/>
      <w:szCs w:val="32"/>
    </w:rPr>
  </w:style>
  <w:style w:type="character" w:customStyle="1" w:styleId="147">
    <w:name w:val="标题 3 Char1"/>
    <w:qFormat/>
    <w:uiPriority w:val="9"/>
    <w:rPr>
      <w:b/>
      <w:bCs/>
      <w:sz w:val="32"/>
      <w:szCs w:val="32"/>
    </w:rPr>
  </w:style>
  <w:style w:type="paragraph" w:customStyle="1" w:styleId="148">
    <w:name w:val="正文首行缩进1"/>
    <w:basedOn w:val="2"/>
    <w:next w:val="1"/>
    <w:qFormat/>
    <w:uiPriority w:val="0"/>
    <w:pPr>
      <w:widowControl/>
      <w:ind w:firstLine="420" w:firstLineChars="100"/>
      <w:jc w:val="left"/>
    </w:pPr>
    <w:rPr>
      <w:rFonts w:ascii="Calibri" w:hAnsi="Calibri" w:eastAsia="Times New Roman" w:cs="黑体"/>
      <w:szCs w:val="22"/>
    </w:rPr>
  </w:style>
  <w:style w:type="character" w:customStyle="1" w:styleId="149">
    <w:name w:val="样式1 Char"/>
    <w:link w:val="150"/>
    <w:qFormat/>
    <w:uiPriority w:val="0"/>
    <w:rPr>
      <w:rFonts w:ascii="宋体" w:hAnsi="Arial"/>
      <w:b/>
      <w:sz w:val="32"/>
    </w:rPr>
  </w:style>
  <w:style w:type="paragraph" w:customStyle="1" w:styleId="150">
    <w:name w:val="样式1_0"/>
    <w:basedOn w:val="1"/>
    <w:link w:val="149"/>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51">
    <w:name w:val="样式44 Char"/>
    <w:basedOn w:val="62"/>
    <w:link w:val="152"/>
    <w:qFormat/>
    <w:uiPriority w:val="0"/>
    <w:rPr>
      <w:rFonts w:ascii="Cambria" w:hAnsi="Cambria" w:eastAsia="宋体" w:cs="Times New Roman"/>
      <w:sz w:val="28"/>
      <w:szCs w:val="28"/>
    </w:rPr>
  </w:style>
  <w:style w:type="paragraph" w:customStyle="1" w:styleId="152">
    <w:name w:val="样式44"/>
    <w:basedOn w:val="7"/>
    <w:link w:val="151"/>
    <w:qFormat/>
    <w:uiPriority w:val="0"/>
  </w:style>
  <w:style w:type="character" w:customStyle="1" w:styleId="153">
    <w:name w:val="apple-converted-space"/>
    <w:basedOn w:val="49"/>
    <w:qFormat/>
    <w:uiPriority w:val="0"/>
  </w:style>
  <w:style w:type="character" w:customStyle="1" w:styleId="154">
    <w:name w:val="纯文本 Char_0_0"/>
    <w:link w:val="155"/>
    <w:qFormat/>
    <w:locked/>
    <w:uiPriority w:val="0"/>
    <w:rPr>
      <w:rFonts w:ascii="宋体" w:hAnsi="Courier New"/>
      <w:szCs w:val="21"/>
    </w:rPr>
  </w:style>
  <w:style w:type="paragraph" w:customStyle="1" w:styleId="155">
    <w:name w:val="纯文本_0"/>
    <w:basedOn w:val="1"/>
    <w:link w:val="154"/>
    <w:unhideWhenUsed/>
    <w:qFormat/>
    <w:uiPriority w:val="0"/>
    <w:pPr>
      <w:widowControl/>
      <w:jc w:val="left"/>
    </w:pPr>
    <w:rPr>
      <w:rFonts w:ascii="宋体" w:hAnsi="Courier New" w:eastAsiaTheme="minorEastAsia" w:cstheme="minorBidi"/>
      <w:szCs w:val="21"/>
    </w:rPr>
  </w:style>
  <w:style w:type="character" w:customStyle="1" w:styleId="156">
    <w:name w:val="文档结构图 Char1"/>
    <w:qFormat/>
    <w:uiPriority w:val="99"/>
    <w:rPr>
      <w:rFonts w:ascii="宋体" w:hAnsi="Calibri"/>
      <w:kern w:val="2"/>
      <w:sz w:val="18"/>
      <w:szCs w:val="18"/>
    </w:rPr>
  </w:style>
  <w:style w:type="character" w:styleId="157">
    <w:name w:val="Placeholder Text"/>
    <w:semiHidden/>
    <w:qFormat/>
    <w:uiPriority w:val="99"/>
    <w:rPr>
      <w:color w:val="808080"/>
    </w:rPr>
  </w:style>
  <w:style w:type="character" w:customStyle="1" w:styleId="158">
    <w:name w:val="日期 Char2"/>
    <w:basedOn w:val="49"/>
    <w:semiHidden/>
    <w:qFormat/>
    <w:uiPriority w:val="99"/>
    <w:rPr>
      <w:kern w:val="2"/>
      <w:sz w:val="21"/>
    </w:rPr>
  </w:style>
  <w:style w:type="character" w:customStyle="1" w:styleId="159">
    <w:name w:val="批注文字 Char2"/>
    <w:basedOn w:val="49"/>
    <w:qFormat/>
    <w:uiPriority w:val="0"/>
    <w:rPr>
      <w:kern w:val="2"/>
      <w:sz w:val="21"/>
    </w:rPr>
  </w:style>
  <w:style w:type="character" w:customStyle="1" w:styleId="160">
    <w:name w:val="批注主题 Char1"/>
    <w:basedOn w:val="159"/>
    <w:semiHidden/>
    <w:qFormat/>
    <w:uiPriority w:val="99"/>
    <w:rPr>
      <w:b/>
      <w:bCs/>
      <w:kern w:val="2"/>
      <w:sz w:val="21"/>
    </w:rPr>
  </w:style>
  <w:style w:type="character" w:customStyle="1" w:styleId="161">
    <w:name w:val="正文文本缩进 Char2"/>
    <w:basedOn w:val="49"/>
    <w:qFormat/>
    <w:uiPriority w:val="0"/>
    <w:rPr>
      <w:kern w:val="2"/>
      <w:sz w:val="21"/>
    </w:rPr>
  </w:style>
  <w:style w:type="character" w:customStyle="1" w:styleId="162">
    <w:name w:val="正文首行缩进 2 Char1"/>
    <w:basedOn w:val="58"/>
    <w:qFormat/>
    <w:uiPriority w:val="0"/>
    <w:rPr>
      <w:rFonts w:ascii="??" w:hAnsi="??" w:eastAsia="??" w:cs="宋体"/>
      <w:kern w:val="2"/>
      <w:sz w:val="21"/>
      <w:szCs w:val="28"/>
    </w:rPr>
  </w:style>
  <w:style w:type="character" w:customStyle="1" w:styleId="163">
    <w:name w:val="页脚 Char1"/>
    <w:basedOn w:val="49"/>
    <w:semiHidden/>
    <w:qFormat/>
    <w:uiPriority w:val="99"/>
    <w:rPr>
      <w:kern w:val="2"/>
      <w:sz w:val="18"/>
      <w:szCs w:val="18"/>
    </w:rPr>
  </w:style>
  <w:style w:type="character" w:customStyle="1" w:styleId="164">
    <w:name w:val="正文首行缩进 Char1"/>
    <w:basedOn w:val="74"/>
    <w:qFormat/>
    <w:uiPriority w:val="99"/>
    <w:rPr>
      <w:rFonts w:ascii="等线" w:hAnsi="等线" w:eastAsia="宋体" w:cs="Times New Roman"/>
      <w:kern w:val="2"/>
      <w:sz w:val="21"/>
      <w:szCs w:val="24"/>
    </w:rPr>
  </w:style>
  <w:style w:type="character" w:customStyle="1" w:styleId="165">
    <w:name w:val="页眉 Char1"/>
    <w:basedOn w:val="49"/>
    <w:qFormat/>
    <w:uiPriority w:val="0"/>
    <w:rPr>
      <w:kern w:val="2"/>
      <w:sz w:val="18"/>
      <w:szCs w:val="18"/>
    </w:rPr>
  </w:style>
  <w:style w:type="character" w:customStyle="1" w:styleId="166">
    <w:name w:val="标题 Char2"/>
    <w:basedOn w:val="49"/>
    <w:qFormat/>
    <w:uiPriority w:val="10"/>
    <w:rPr>
      <w:rFonts w:asciiTheme="majorHAnsi" w:hAnsiTheme="majorHAnsi" w:cstheme="majorBidi"/>
      <w:b/>
      <w:bCs/>
      <w:kern w:val="2"/>
      <w:sz w:val="32"/>
      <w:szCs w:val="32"/>
    </w:rPr>
  </w:style>
  <w:style w:type="character" w:customStyle="1" w:styleId="167">
    <w:name w:val="批注框文本 Char1"/>
    <w:basedOn w:val="49"/>
    <w:semiHidden/>
    <w:qFormat/>
    <w:uiPriority w:val="99"/>
    <w:rPr>
      <w:kern w:val="2"/>
      <w:sz w:val="18"/>
      <w:szCs w:val="18"/>
    </w:rPr>
  </w:style>
  <w:style w:type="character" w:customStyle="1" w:styleId="168">
    <w:name w:val="纯文本 Char2"/>
    <w:basedOn w:val="49"/>
    <w:semiHidden/>
    <w:qFormat/>
    <w:uiPriority w:val="99"/>
    <w:rPr>
      <w:rFonts w:ascii="宋体" w:hAnsi="Courier New" w:cs="Courier New"/>
      <w:kern w:val="2"/>
      <w:sz w:val="21"/>
      <w:szCs w:val="21"/>
    </w:rPr>
  </w:style>
  <w:style w:type="paragraph" w:customStyle="1" w:styleId="16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70">
    <w:name w:val="默认段落字体 Para Char Char Char Char Char Char Char Char Char1 Char Char Char Char"/>
    <w:basedOn w:val="1"/>
    <w:qFormat/>
    <w:uiPriority w:val="0"/>
    <w:rPr>
      <w:rFonts w:ascii="Tahoma" w:hAnsi="Tahoma"/>
      <w:sz w:val="24"/>
      <w:szCs w:val="20"/>
    </w:rPr>
  </w:style>
  <w:style w:type="paragraph" w:customStyle="1" w:styleId="171">
    <w:name w:val="Char Char1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172">
    <w:name w:val="1"/>
    <w:basedOn w:val="1"/>
    <w:next w:val="26"/>
    <w:qFormat/>
    <w:uiPriority w:val="0"/>
    <w:rPr>
      <w:rFonts w:ascii="宋体" w:hAnsi="Courier New"/>
      <w:szCs w:val="22"/>
    </w:rPr>
  </w:style>
  <w:style w:type="paragraph" w:customStyle="1" w:styleId="173">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正文"/>
    <w:basedOn w:val="1"/>
    <w:qFormat/>
    <w:uiPriority w:val="99"/>
    <w:pPr>
      <w:spacing w:beforeLines="50" w:afterLines="50"/>
      <w:ind w:firstLine="200" w:firstLineChars="200"/>
    </w:pPr>
    <w:rPr>
      <w:rFonts w:ascii="Calibri" w:hAnsi="Calibri"/>
      <w:szCs w:val="22"/>
    </w:rPr>
  </w:style>
  <w:style w:type="paragraph" w:customStyle="1" w:styleId="175">
    <w:name w:val="列出段落3"/>
    <w:basedOn w:val="1"/>
    <w:qFormat/>
    <w:uiPriority w:val="99"/>
    <w:pPr>
      <w:ind w:firstLine="420" w:firstLineChars="200"/>
    </w:pPr>
    <w:rPr>
      <w:rFonts w:ascii="Calibri" w:hAnsi="Calibri"/>
      <w:szCs w:val="22"/>
    </w:rPr>
  </w:style>
  <w:style w:type="paragraph" w:customStyle="1" w:styleId="176">
    <w:name w:val="_Style 22"/>
    <w:basedOn w:val="1"/>
    <w:qFormat/>
    <w:uiPriority w:val="0"/>
    <w:rPr>
      <w:rFonts w:ascii="Times New Roman" w:hAnsi="Times New Roman"/>
    </w:rPr>
  </w:style>
  <w:style w:type="paragraph" w:customStyle="1" w:styleId="177">
    <w:name w:val="自定义正文"/>
    <w:basedOn w:val="1"/>
    <w:qFormat/>
    <w:uiPriority w:val="0"/>
    <w:pPr>
      <w:spacing w:before="120" w:after="60" w:line="400" w:lineRule="exact"/>
      <w:ind w:firstLine="200" w:firstLineChars="200"/>
    </w:pPr>
    <w:rPr>
      <w:rFonts w:ascii="仿宋_GB2312" w:hAnsi="Times New Roman" w:eastAsia="仿宋_GB2312"/>
    </w:rPr>
  </w:style>
  <w:style w:type="paragraph" w:customStyle="1" w:styleId="178">
    <w:name w:val="DAS正文"/>
    <w:basedOn w:val="1"/>
    <w:qFormat/>
    <w:uiPriority w:val="0"/>
    <w:pPr>
      <w:spacing w:line="360" w:lineRule="auto"/>
      <w:ind w:right="181" w:firstLine="480" w:firstLineChars="200"/>
    </w:pPr>
    <w:rPr>
      <w:rFonts w:ascii="Verdana" w:hAnsi="Verdana"/>
      <w:sz w:val="24"/>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Char1"/>
    <w:basedOn w:val="1"/>
    <w:qFormat/>
    <w:uiPriority w:val="0"/>
    <w:rPr>
      <w:rFonts w:ascii="Tahoma" w:hAnsi="Tahoma"/>
      <w:sz w:val="24"/>
      <w:szCs w:val="20"/>
    </w:rPr>
  </w:style>
  <w:style w:type="paragraph" w:customStyle="1" w:styleId="181">
    <w:name w:val="列出段落11"/>
    <w:basedOn w:val="1"/>
    <w:qFormat/>
    <w:uiPriority w:val="0"/>
    <w:pPr>
      <w:ind w:firstLine="200" w:firstLineChars="200"/>
    </w:pPr>
    <w:rPr>
      <w:rFonts w:ascii="Calibri" w:hAnsi="Calibri"/>
    </w:rPr>
  </w:style>
  <w:style w:type="paragraph" w:customStyle="1" w:styleId="182">
    <w:name w:val="Char"/>
    <w:basedOn w:val="1"/>
    <w:qFormat/>
    <w:uiPriority w:val="0"/>
    <w:rPr>
      <w:rFonts w:ascii="Times New Roman" w:hAnsi="Times New Roman"/>
    </w:rPr>
  </w:style>
  <w:style w:type="paragraph" w:customStyle="1" w:styleId="183">
    <w:name w:val="WW-正文文字缩进 2"/>
    <w:basedOn w:val="1"/>
    <w:qFormat/>
    <w:uiPriority w:val="0"/>
    <w:pPr>
      <w:suppressAutoHyphens/>
      <w:ind w:firstLine="420"/>
    </w:pPr>
    <w:rPr>
      <w:rFonts w:ascii="Times New Roman" w:hAnsi="Times New Roman"/>
      <w:kern w:val="1"/>
      <w:szCs w:val="20"/>
    </w:rPr>
  </w:style>
  <w:style w:type="paragraph" w:customStyle="1" w:styleId="184">
    <w:name w:val="列出段落2"/>
    <w:qFormat/>
    <w:uiPriority w:val="34"/>
    <w:pPr>
      <w:ind w:firstLine="420" w:firstLineChars="200"/>
    </w:pPr>
    <w:rPr>
      <w:rFonts w:ascii="Times New Roman" w:hAnsi="Times New Roman" w:eastAsia="宋体" w:cs="Times New Roman"/>
      <w:lang w:val="en-US" w:eastAsia="zh-CN" w:bidi="ar-SA"/>
    </w:rPr>
  </w:style>
  <w:style w:type="paragraph" w:customStyle="1" w:styleId="185">
    <w:name w:val="此正文"/>
    <w:basedOn w:val="1"/>
    <w:qFormat/>
    <w:uiPriority w:val="99"/>
    <w:pPr>
      <w:spacing w:line="360" w:lineRule="auto"/>
      <w:ind w:firstLine="200" w:firstLineChars="200"/>
    </w:pPr>
    <w:rPr>
      <w:rFonts w:ascii="Times New Roman" w:hAnsi="Times New Roman"/>
      <w:sz w:val="24"/>
    </w:rPr>
  </w:style>
  <w:style w:type="paragraph" w:customStyle="1" w:styleId="186">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187">
    <w:name w:val="TOC 标题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8">
    <w:name w:val="列出段落61"/>
    <w:basedOn w:val="1"/>
    <w:unhideWhenUsed/>
    <w:qFormat/>
    <w:uiPriority w:val="0"/>
    <w:pPr>
      <w:ind w:firstLine="420" w:firstLineChars="200"/>
    </w:pPr>
    <w:rPr>
      <w:rFonts w:ascii="Calibri" w:hAnsi="Calibri" w:cs="黑体"/>
      <w:szCs w:val="22"/>
    </w:rPr>
  </w:style>
  <w:style w:type="table" w:customStyle="1" w:styleId="189">
    <w:name w:val="网格型1"/>
    <w:basedOn w:val="4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0">
    <w:name w:val="font11"/>
    <w:qFormat/>
    <w:uiPriority w:val="0"/>
    <w:rPr>
      <w:rFonts w:hint="eastAsia" w:ascii="宋体" w:hAnsi="宋体" w:eastAsia="宋体" w:cs="宋体"/>
      <w:color w:val="000000"/>
      <w:sz w:val="24"/>
      <w:szCs w:val="24"/>
      <w:u w:val="none"/>
    </w:rPr>
  </w:style>
  <w:style w:type="character" w:customStyle="1" w:styleId="191">
    <w:name w:val="无间隔 Char"/>
    <w:link w:val="192"/>
    <w:qFormat/>
    <w:uiPriority w:val="1"/>
  </w:style>
  <w:style w:type="paragraph" w:styleId="192">
    <w:name w:val="No Spacing"/>
    <w:link w:val="191"/>
    <w:qFormat/>
    <w:uiPriority w:val="1"/>
    <w:pPr>
      <w:widowControl w:val="0"/>
      <w:autoSpaceDE w:val="0"/>
      <w:autoSpaceDN w:val="0"/>
      <w:adjustRightInd w:val="0"/>
      <w:jc w:val="both"/>
      <w:textAlignment w:val="baseline"/>
    </w:pPr>
    <w:rPr>
      <w:rFonts w:asciiTheme="minorHAnsi" w:hAnsiTheme="minorHAnsi" w:eastAsiaTheme="minorEastAsia" w:cstheme="minorBidi"/>
      <w:kern w:val="2"/>
      <w:sz w:val="21"/>
      <w:szCs w:val="22"/>
      <w:lang w:val="en-US" w:eastAsia="zh-CN" w:bidi="ar-SA"/>
    </w:rPr>
  </w:style>
  <w:style w:type="paragraph" w:customStyle="1" w:styleId="19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表格文字"/>
    <w:basedOn w:val="26"/>
    <w:next w:val="2"/>
    <w:qFormat/>
    <w:uiPriority w:val="0"/>
    <w:pPr>
      <w:adjustRightInd w:val="0"/>
      <w:spacing w:line="420" w:lineRule="atLeast"/>
      <w:jc w:val="left"/>
      <w:textAlignment w:val="baseline"/>
    </w:pPr>
    <w:rPr>
      <w:rFonts w:ascii="Times New Roman" w:hAnsi="Times New Roman"/>
      <w:kern w:val="0"/>
      <w:szCs w:val="20"/>
    </w:rPr>
  </w:style>
  <w:style w:type="paragraph" w:customStyle="1" w:styleId="195">
    <w:name w:val="￥正文"/>
    <w:basedOn w:val="1"/>
    <w:qFormat/>
    <w:uiPriority w:val="0"/>
    <w:pPr>
      <w:spacing w:line="360" w:lineRule="auto"/>
      <w:ind w:firstLine="200" w:firstLineChars="200"/>
    </w:pPr>
    <w:rPr>
      <w:rFonts w:ascii="Calibri" w:hAnsi="Calibri"/>
    </w:rPr>
  </w:style>
  <w:style w:type="paragraph" w:customStyle="1" w:styleId="196">
    <w:name w:val="正文空格"/>
    <w:basedOn w:val="1"/>
    <w:next w:val="1"/>
    <w:qFormat/>
    <w:uiPriority w:val="0"/>
    <w:pPr>
      <w:spacing w:line="400" w:lineRule="exact"/>
      <w:ind w:firstLine="200" w:firstLineChars="200"/>
    </w:pPr>
    <w:rPr>
      <w:sz w:val="24"/>
      <w:szCs w:val="22"/>
    </w:rPr>
  </w:style>
  <w:style w:type="paragraph" w:customStyle="1" w:styleId="197">
    <w:name w:val="_Style 116"/>
    <w:qFormat/>
    <w:uiPriority w:val="99"/>
    <w:rPr>
      <w:rFonts w:ascii="Times New Roman" w:hAnsi="Times New Roman" w:eastAsia="宋体" w:cs="Times New Roman"/>
      <w:sz w:val="24"/>
      <w:szCs w:val="22"/>
      <w:lang w:val="en-US" w:eastAsia="zh-CN" w:bidi="ar-SA"/>
    </w:rPr>
  </w:style>
  <w:style w:type="paragraph" w:customStyle="1" w:styleId="198">
    <w:name w:val="样式 首行缩进:  0 字符"/>
    <w:basedOn w:val="1"/>
    <w:link w:val="199"/>
    <w:qFormat/>
    <w:uiPriority w:val="0"/>
    <w:rPr>
      <w:rFonts w:ascii="Times New Roman" w:hAnsi="Times New Roman"/>
    </w:rPr>
  </w:style>
  <w:style w:type="character" w:customStyle="1" w:styleId="199">
    <w:name w:val="样式 首行缩进:  0 字符 Char"/>
    <w:link w:val="198"/>
    <w:qFormat/>
    <w:uiPriority w:val="0"/>
    <w:rPr>
      <w:rFonts w:ascii="Times New Roman" w:hAnsi="Times New Roman" w:eastAsia="宋体" w:cs="Times New Roman"/>
      <w:kern w:val="2"/>
      <w:sz w:val="21"/>
      <w:szCs w:val="24"/>
    </w:rPr>
  </w:style>
  <w:style w:type="paragraph" w:customStyle="1" w:styleId="200">
    <w:name w:val="表格内正文"/>
    <w:basedOn w:val="2"/>
    <w:qFormat/>
    <w:uiPriority w:val="0"/>
    <w:rPr>
      <w:rFonts w:ascii="Times New Roman" w:hAnsi="Times New Roman"/>
    </w:rPr>
  </w:style>
  <w:style w:type="paragraph" w:customStyle="1" w:styleId="201">
    <w:name w:val="标题1"/>
    <w:basedOn w:val="1"/>
    <w:next w:val="1"/>
    <w:qFormat/>
    <w:uiPriority w:val="0"/>
    <w:pPr>
      <w:adjustRightInd w:val="0"/>
      <w:spacing w:before="240" w:after="60" w:line="420" w:lineRule="atLeast"/>
      <w:jc w:val="center"/>
      <w:textAlignment w:val="baseline"/>
      <w:outlineLvl w:val="0"/>
    </w:pPr>
    <w:rPr>
      <w:rFonts w:ascii="Arial" w:hAnsi="Arial"/>
      <w:b/>
      <w:sz w:val="32"/>
    </w:rPr>
  </w:style>
  <w:style w:type="paragraph" w:customStyle="1" w:styleId="202">
    <w:name w:val="正文格式（小四）"/>
    <w:basedOn w:val="1"/>
    <w:qFormat/>
    <w:uiPriority w:val="0"/>
    <w:pPr>
      <w:widowControl/>
      <w:adjustRightInd w:val="0"/>
      <w:snapToGrid w:val="0"/>
      <w:ind w:firstLine="482"/>
      <w:jc w:val="left"/>
      <w:textAlignment w:val="baseline"/>
    </w:pPr>
    <w:rPr>
      <w:rFonts w:ascii="Times New Roman" w:hAnsi="Times New Roman"/>
      <w:kern w:val="24"/>
    </w:rPr>
  </w:style>
  <w:style w:type="character" w:customStyle="1" w:styleId="203">
    <w:name w:val="明显引用 Char"/>
    <w:qFormat/>
    <w:uiPriority w:val="0"/>
    <w:rPr>
      <w:b/>
      <w:bCs/>
      <w:i/>
      <w:iCs/>
      <w:color w:val="4F81BD"/>
      <w:kern w:val="2"/>
      <w:sz w:val="21"/>
      <w:szCs w:val="22"/>
    </w:rPr>
  </w:style>
  <w:style w:type="paragraph" w:styleId="204">
    <w:name w:val="Intense Quote"/>
    <w:basedOn w:val="1"/>
    <w:next w:val="1"/>
    <w:link w:val="205"/>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05">
    <w:name w:val="明显引用 Char1"/>
    <w:basedOn w:val="49"/>
    <w:link w:val="204"/>
    <w:qFormat/>
    <w:uiPriority w:val="30"/>
    <w:rPr>
      <w:rFonts w:ascii="Calibri" w:hAnsi="Calibri" w:eastAsia="宋体" w:cs="Times New Roman"/>
      <w:b/>
      <w:bCs/>
      <w:i/>
      <w:iCs/>
      <w:color w:val="4F81BD"/>
    </w:rPr>
  </w:style>
  <w:style w:type="character" w:customStyle="1" w:styleId="206">
    <w:name w:val="标题5 Char Char"/>
    <w:link w:val="207"/>
    <w:qFormat/>
    <w:uiPriority w:val="0"/>
    <w:rPr>
      <w:rFonts w:ascii="Arial" w:hAnsi="Arial"/>
      <w:b/>
      <w:bCs/>
      <w:sz w:val="24"/>
      <w:szCs w:val="32"/>
    </w:rPr>
  </w:style>
  <w:style w:type="paragraph" w:customStyle="1" w:styleId="207">
    <w:name w:val="标题5"/>
    <w:basedOn w:val="6"/>
    <w:link w:val="206"/>
    <w:qFormat/>
    <w:uiPriority w:val="0"/>
    <w:pPr>
      <w:widowControl w:val="0"/>
      <w:tabs>
        <w:tab w:val="clear" w:pos="720"/>
      </w:tabs>
      <w:spacing w:before="260" w:after="260" w:line="413" w:lineRule="auto"/>
      <w:jc w:val="both"/>
    </w:pPr>
    <w:rPr>
      <w:rFonts w:ascii="Arial" w:hAnsi="Arial" w:eastAsiaTheme="minorEastAsia" w:cstheme="minorBidi"/>
      <w:bCs/>
      <w:kern w:val="2"/>
      <w:sz w:val="24"/>
      <w:szCs w:val="32"/>
    </w:rPr>
  </w:style>
  <w:style w:type="character" w:customStyle="1" w:styleId="208">
    <w:name w:val="普通文字 Char1"/>
    <w:basedOn w:val="49"/>
    <w:qFormat/>
    <w:uiPriority w:val="0"/>
    <w:rPr>
      <w:rFonts w:ascii="宋体" w:hAnsi="Courier New" w:eastAsia="宋体"/>
      <w:kern w:val="2"/>
      <w:sz w:val="21"/>
      <w:szCs w:val="24"/>
      <w:lang w:val="en-US" w:eastAsia="zh-CN" w:bidi="ar-SA"/>
    </w:rPr>
  </w:style>
  <w:style w:type="character" w:customStyle="1" w:styleId="209">
    <w:name w:val="二 Char1"/>
    <w:qFormat/>
    <w:uiPriority w:val="0"/>
    <w:rPr>
      <w:rFonts w:eastAsia="宋体"/>
      <w:kern w:val="2"/>
      <w:sz w:val="21"/>
      <w:szCs w:val="24"/>
      <w:lang w:val="en-US" w:eastAsia="zh-CN" w:bidi="ar-SA"/>
    </w:rPr>
  </w:style>
  <w:style w:type="character" w:customStyle="1" w:styleId="210">
    <w:name w:val="二 Char11"/>
    <w:qFormat/>
    <w:uiPriority w:val="0"/>
    <w:rPr>
      <w:rFonts w:eastAsia="宋体"/>
      <w:kern w:val="2"/>
      <w:sz w:val="21"/>
      <w:szCs w:val="24"/>
      <w:lang w:val="en-US" w:eastAsia="zh-CN" w:bidi="ar-SA"/>
    </w:rPr>
  </w:style>
  <w:style w:type="character" w:customStyle="1" w:styleId="211">
    <w:name w:val="Char Char1"/>
    <w:basedOn w:val="49"/>
    <w:qFormat/>
    <w:uiPriority w:val="0"/>
    <w:rPr>
      <w:rFonts w:ascii="Arial" w:hAnsi="Arial" w:eastAsia="黑体"/>
      <w:b/>
      <w:bCs/>
      <w:kern w:val="2"/>
      <w:sz w:val="32"/>
      <w:szCs w:val="32"/>
      <w:lang w:val="en-US" w:eastAsia="zh-CN" w:bidi="ar-SA"/>
    </w:rPr>
  </w:style>
  <w:style w:type="character" w:customStyle="1" w:styleId="212">
    <w:name w:val="引用 Char"/>
    <w:qFormat/>
    <w:uiPriority w:val="0"/>
    <w:rPr>
      <w:i/>
      <w:iCs/>
      <w:color w:val="000000"/>
      <w:kern w:val="2"/>
      <w:sz w:val="21"/>
      <w:szCs w:val="22"/>
    </w:rPr>
  </w:style>
  <w:style w:type="paragraph" w:styleId="213">
    <w:name w:val="Quote"/>
    <w:basedOn w:val="1"/>
    <w:next w:val="1"/>
    <w:link w:val="214"/>
    <w:qFormat/>
    <w:uiPriority w:val="0"/>
    <w:rPr>
      <w:rFonts w:ascii="Calibri" w:hAnsi="Calibri"/>
      <w:i/>
      <w:iCs/>
      <w:color w:val="000000"/>
      <w:szCs w:val="22"/>
    </w:rPr>
  </w:style>
  <w:style w:type="character" w:customStyle="1" w:styleId="214">
    <w:name w:val="引用 Char1"/>
    <w:basedOn w:val="49"/>
    <w:link w:val="213"/>
    <w:qFormat/>
    <w:uiPriority w:val="29"/>
    <w:rPr>
      <w:rFonts w:ascii="Calibri" w:hAnsi="Calibri" w:eastAsia="宋体" w:cs="Times New Roman"/>
      <w:i/>
      <w:iCs/>
      <w:color w:val="000000"/>
    </w:rPr>
  </w:style>
  <w:style w:type="character" w:customStyle="1" w:styleId="215">
    <w:name w:val="font161"/>
    <w:basedOn w:val="49"/>
    <w:qFormat/>
    <w:uiPriority w:val="0"/>
    <w:rPr>
      <w:b/>
      <w:bCs/>
      <w:sz w:val="32"/>
      <w:szCs w:val="32"/>
    </w:rPr>
  </w:style>
  <w:style w:type="character" w:customStyle="1" w:styleId="216">
    <w:name w:val="fx_label"/>
    <w:basedOn w:val="49"/>
    <w:qFormat/>
    <w:uiPriority w:val="0"/>
  </w:style>
  <w:style w:type="character" w:customStyle="1" w:styleId="217">
    <w:name w:val="正文文字4 Char Char"/>
    <w:qFormat/>
    <w:uiPriority w:val="0"/>
    <w:rPr>
      <w:rFonts w:eastAsia="宋体"/>
      <w:kern w:val="2"/>
      <w:sz w:val="21"/>
      <w:szCs w:val="24"/>
      <w:lang w:val="en-US" w:eastAsia="zh-CN" w:bidi="ar-SA"/>
    </w:rPr>
  </w:style>
  <w:style w:type="character" w:customStyle="1" w:styleId="218">
    <w:name w:val="htd01"/>
    <w:basedOn w:val="49"/>
    <w:qFormat/>
    <w:uiPriority w:val="0"/>
  </w:style>
  <w:style w:type="character" w:customStyle="1" w:styleId="219">
    <w:name w:val="标题4 Char Char"/>
    <w:link w:val="220"/>
    <w:qFormat/>
    <w:uiPriority w:val="0"/>
    <w:rPr>
      <w:rFonts w:eastAsia="仿宋_GB2312"/>
      <w:sz w:val="32"/>
    </w:rPr>
  </w:style>
  <w:style w:type="paragraph" w:customStyle="1" w:styleId="220">
    <w:name w:val="标题4"/>
    <w:basedOn w:val="1"/>
    <w:link w:val="219"/>
    <w:qFormat/>
    <w:uiPriority w:val="0"/>
    <w:rPr>
      <w:rFonts w:eastAsia="仿宋_GB2312" w:asciiTheme="minorHAnsi" w:hAnsiTheme="minorHAnsi" w:cstheme="minorBidi"/>
      <w:sz w:val="32"/>
      <w:szCs w:val="22"/>
    </w:rPr>
  </w:style>
  <w:style w:type="character" w:customStyle="1" w:styleId="221">
    <w:name w:val="副标题 Char1"/>
    <w:basedOn w:val="49"/>
    <w:qFormat/>
    <w:uiPriority w:val="11"/>
    <w:rPr>
      <w:rFonts w:ascii="Cambria" w:hAnsi="Cambria" w:eastAsia="宋体" w:cs="Times New Roman"/>
      <w:b/>
      <w:bCs/>
      <w:kern w:val="28"/>
      <w:sz w:val="32"/>
      <w:szCs w:val="32"/>
    </w:rPr>
  </w:style>
  <w:style w:type="character" w:customStyle="1" w:styleId="222">
    <w:name w:val="Char Char28"/>
    <w:qFormat/>
    <w:uiPriority w:val="0"/>
    <w:rPr>
      <w:rFonts w:ascii="Arial" w:hAnsi="Arial" w:eastAsia="黑体"/>
      <w:b/>
      <w:bCs/>
      <w:sz w:val="32"/>
      <w:szCs w:val="32"/>
      <w:lang w:val="en-US" w:eastAsia="zh-CN" w:bidi="ar-SA"/>
    </w:rPr>
  </w:style>
  <w:style w:type="paragraph" w:customStyle="1" w:styleId="223">
    <w:name w:val="正文 + 宋体"/>
    <w:basedOn w:val="1"/>
    <w:qFormat/>
    <w:uiPriority w:val="0"/>
    <w:pPr>
      <w:spacing w:line="360" w:lineRule="auto"/>
    </w:pPr>
    <w:rPr>
      <w:rFonts w:ascii="宋体" w:hAnsi="宋体"/>
      <w:kern w:val="0"/>
      <w:sz w:val="28"/>
      <w:szCs w:val="28"/>
    </w:rPr>
  </w:style>
  <w:style w:type="paragraph" w:customStyle="1" w:styleId="224">
    <w:name w:val="_Style 164"/>
    <w:basedOn w:val="1"/>
    <w:qFormat/>
    <w:uiPriority w:val="0"/>
    <w:pPr>
      <w:widowControl/>
      <w:spacing w:line="360" w:lineRule="auto"/>
      <w:ind w:firstLine="200" w:firstLineChars="200"/>
    </w:pPr>
    <w:rPr>
      <w:rFonts w:ascii="Tahoma" w:hAnsi="Tahoma" w:cs="Arial"/>
      <w:sz w:val="24"/>
      <w:szCs w:val="20"/>
    </w:rPr>
  </w:style>
  <w:style w:type="paragraph" w:customStyle="1" w:styleId="22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226">
    <w:name w:val="样式 标题 3 + 段前: 7.8 磅"/>
    <w:basedOn w:val="6"/>
    <w:qFormat/>
    <w:uiPriority w:val="0"/>
    <w:pPr>
      <w:keepNext w:val="0"/>
      <w:keepLines w:val="0"/>
      <w:widowControl w:val="0"/>
      <w:tabs>
        <w:tab w:val="clear" w:pos="720"/>
      </w:tabs>
      <w:spacing w:before="156" w:after="0"/>
      <w:ind w:left="2220" w:hanging="420"/>
      <w:jc w:val="both"/>
    </w:pPr>
    <w:rPr>
      <w:rFonts w:eastAsia="宋体" w:cs="宋体"/>
      <w:b w:val="0"/>
      <w:kern w:val="2"/>
      <w:sz w:val="24"/>
      <w:szCs w:val="20"/>
    </w:rPr>
  </w:style>
  <w:style w:type="paragraph" w:customStyle="1" w:styleId="227">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28">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paragraph" w:customStyle="1" w:styleId="229">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30">
    <w:name w:val="样式 标题 3 + Arial"/>
    <w:basedOn w:val="6"/>
    <w:qFormat/>
    <w:uiPriority w:val="0"/>
    <w:pPr>
      <w:widowControl w:val="0"/>
      <w:tabs>
        <w:tab w:val="clear" w:pos="720"/>
      </w:tabs>
      <w:spacing w:beforeLines="100" w:after="0"/>
      <w:jc w:val="both"/>
    </w:pPr>
    <w:rPr>
      <w:rFonts w:ascii="Arial" w:hAnsi="Arial" w:eastAsia="宋体"/>
      <w:bCs/>
      <w:kern w:val="2"/>
      <w:sz w:val="24"/>
      <w:szCs w:val="32"/>
    </w:rPr>
  </w:style>
  <w:style w:type="paragraph" w:customStyle="1" w:styleId="231">
    <w:name w:val="样式 标题 3 + (中文) 黑体 小四 非加粗 段前: 7.8 磅 段后: 0 磅 行距: 固定值 20 磅"/>
    <w:basedOn w:val="6"/>
    <w:qFormat/>
    <w:uiPriority w:val="0"/>
    <w:pPr>
      <w:widowControl w:val="0"/>
      <w:tabs>
        <w:tab w:val="clear" w:pos="720"/>
      </w:tabs>
      <w:spacing w:before="0" w:after="0" w:line="400" w:lineRule="exact"/>
      <w:jc w:val="both"/>
    </w:pPr>
    <w:rPr>
      <w:rFonts w:eastAsia="黑体" w:cs="宋体"/>
      <w:b w:val="0"/>
      <w:kern w:val="2"/>
      <w:sz w:val="24"/>
      <w:szCs w:val="20"/>
    </w:rPr>
  </w:style>
  <w:style w:type="paragraph" w:customStyle="1" w:styleId="232">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33">
    <w:name w:val="表格"/>
    <w:basedOn w:val="1"/>
    <w:qFormat/>
    <w:uiPriority w:val="0"/>
    <w:pPr>
      <w:jc w:val="center"/>
      <w:textAlignment w:val="center"/>
    </w:pPr>
    <w:rPr>
      <w:rFonts w:ascii="华文细黑" w:hAnsi="华文细黑"/>
      <w:kern w:val="0"/>
      <w:szCs w:val="20"/>
    </w:rPr>
  </w:style>
  <w:style w:type="paragraph" w:customStyle="1" w:styleId="234">
    <w:name w:val="样式 样式 样式1 + 首行缩进:  2 字符 + 左侧:  0.74 厘米"/>
    <w:basedOn w:val="225"/>
    <w:qFormat/>
    <w:uiPriority w:val="0"/>
    <w:pPr>
      <w:ind w:firstLine="200"/>
    </w:pPr>
  </w:style>
  <w:style w:type="paragraph" w:customStyle="1" w:styleId="23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3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237">
    <w:name w:val="Char2"/>
    <w:basedOn w:val="1"/>
    <w:qFormat/>
    <w:uiPriority w:val="0"/>
    <w:rPr>
      <w:rFonts w:ascii="仿宋_GB2312" w:hAnsi="Times New Roman" w:eastAsia="仿宋_GB2312"/>
      <w:b/>
      <w:sz w:val="32"/>
      <w:szCs w:val="32"/>
    </w:rPr>
  </w:style>
  <w:style w:type="paragraph" w:customStyle="1" w:styleId="238">
    <w:name w:val="列出段落4"/>
    <w:basedOn w:val="1"/>
    <w:qFormat/>
    <w:uiPriority w:val="99"/>
    <w:pPr>
      <w:ind w:firstLine="420" w:firstLineChars="200"/>
    </w:pPr>
    <w:rPr>
      <w:rFonts w:ascii="Times New Roman" w:hAnsi="Times New Roman"/>
    </w:rPr>
  </w:style>
  <w:style w:type="character" w:customStyle="1" w:styleId="239">
    <w:name w:val="font31"/>
    <w:basedOn w:val="49"/>
    <w:qFormat/>
    <w:uiPriority w:val="0"/>
    <w:rPr>
      <w:rFonts w:hint="eastAsia" w:ascii="宋体" w:hAnsi="宋体" w:eastAsia="宋体" w:cs="宋体"/>
      <w:color w:val="000000"/>
      <w:sz w:val="20"/>
      <w:szCs w:val="20"/>
      <w:u w:val="none"/>
    </w:rPr>
  </w:style>
  <w:style w:type="character" w:customStyle="1" w:styleId="240">
    <w:name w:val="font41"/>
    <w:basedOn w:val="49"/>
    <w:qFormat/>
    <w:uiPriority w:val="0"/>
    <w:rPr>
      <w:rFonts w:ascii="宋体" w:hAnsi="宋体" w:eastAsia="宋体" w:cs="宋体"/>
      <w:color w:val="000000"/>
      <w:sz w:val="20"/>
      <w:szCs w:val="20"/>
      <w:u w:val="none"/>
    </w:rPr>
  </w:style>
  <w:style w:type="character" w:customStyle="1" w:styleId="241">
    <w:name w:val="font51"/>
    <w:basedOn w:val="49"/>
    <w:qFormat/>
    <w:uiPriority w:val="0"/>
    <w:rPr>
      <w:rFonts w:hint="default" w:ascii="Times New Roman" w:hAnsi="Times New Roman" w:cs="Times New Roman"/>
      <w:color w:val="000000"/>
      <w:sz w:val="21"/>
      <w:szCs w:val="21"/>
      <w:u w:val="none"/>
    </w:rPr>
  </w:style>
  <w:style w:type="character" w:customStyle="1" w:styleId="242">
    <w:name w:val="font71"/>
    <w:basedOn w:val="49"/>
    <w:qFormat/>
    <w:uiPriority w:val="0"/>
    <w:rPr>
      <w:rFonts w:ascii="宋体" w:hAnsi="宋体" w:eastAsia="宋体" w:cs="宋体"/>
      <w:color w:val="000000"/>
      <w:sz w:val="21"/>
      <w:szCs w:val="21"/>
      <w:u w:val="none"/>
    </w:rPr>
  </w:style>
  <w:style w:type="character" w:customStyle="1" w:styleId="243">
    <w:name w:val="font61"/>
    <w:basedOn w:val="49"/>
    <w:qFormat/>
    <w:uiPriority w:val="0"/>
    <w:rPr>
      <w:rFonts w:ascii="宋体" w:hAnsi="宋体" w:eastAsia="宋体" w:cs="宋体"/>
      <w:color w:val="000000"/>
      <w:sz w:val="20"/>
      <w:szCs w:val="20"/>
      <w:u w:val="none"/>
    </w:rPr>
  </w:style>
  <w:style w:type="character" w:customStyle="1" w:styleId="244">
    <w:name w:val="font21"/>
    <w:basedOn w:val="49"/>
    <w:qFormat/>
    <w:uiPriority w:val="0"/>
    <w:rPr>
      <w:rFonts w:hint="default" w:ascii="Times New Roman" w:hAnsi="Times New Roman" w:cs="Times New Roman"/>
      <w:color w:val="000000"/>
      <w:sz w:val="21"/>
      <w:szCs w:val="21"/>
      <w:u w:val="none"/>
    </w:rPr>
  </w:style>
  <w:style w:type="character" w:customStyle="1" w:styleId="245">
    <w:name w:val="NormalCharacter"/>
    <w:qFormat/>
    <w:uiPriority w:val="0"/>
    <w:rPr>
      <w:rFonts w:ascii="Calibri" w:hAnsi="Calibri" w:eastAsia="宋体" w:cs="Times New Roman"/>
      <w:kern w:val="2"/>
      <w:sz w:val="21"/>
      <w:szCs w:val="24"/>
      <w:lang w:val="en-US" w:eastAsia="zh-CN" w:bidi="ar-SA"/>
    </w:rPr>
  </w:style>
  <w:style w:type="paragraph" w:customStyle="1" w:styleId="246">
    <w:name w:val="Table Paragraph"/>
    <w:basedOn w:val="1"/>
    <w:qFormat/>
    <w:uiPriority w:val="1"/>
    <w:rPr>
      <w:rFonts w:ascii="Times New Roman" w:hAnsi="Times New Roman"/>
      <w:szCs w:val="21"/>
    </w:rPr>
  </w:style>
  <w:style w:type="paragraph" w:customStyle="1" w:styleId="247">
    <w:name w:val="正文-MINE"/>
    <w:basedOn w:val="1"/>
    <w:qFormat/>
    <w:uiPriority w:val="0"/>
    <w:pPr>
      <w:adjustRightInd w:val="0"/>
      <w:snapToGrid w:val="0"/>
      <w:spacing w:beforeLines="50" w:afterLines="50"/>
      <w:ind w:firstLine="482"/>
    </w:pPr>
    <w:rPr>
      <w:rFonts w:ascii="微软雅黑" w:hAnsi="微软雅黑" w:eastAsia="微软雅黑"/>
      <w:szCs w:val="21"/>
    </w:rPr>
  </w:style>
  <w:style w:type="character" w:customStyle="1" w:styleId="248">
    <w:name w:val="Page Number1"/>
    <w:qFormat/>
    <w:uiPriority w:val="99"/>
    <w:rPr>
      <w:rFonts w:ascii="仿宋_GB2312" w:cs="Times New Roman"/>
      <w:b/>
      <w:kern w:val="0"/>
      <w:sz w:val="32"/>
      <w:szCs w:val="32"/>
    </w:rPr>
  </w:style>
  <w:style w:type="paragraph" w:customStyle="1" w:styleId="249">
    <w:name w:val="Char Char Char Char Char Char Char"/>
    <w:basedOn w:val="1"/>
    <w:qFormat/>
    <w:uiPriority w:val="0"/>
    <w:rPr>
      <w:szCs w:val="20"/>
    </w:rPr>
  </w:style>
  <w:style w:type="character" w:customStyle="1" w:styleId="250">
    <w:name w:val="正文文本缩进 2 字符"/>
    <w:qFormat/>
    <w:uiPriority w:val="0"/>
    <w:rPr>
      <w:rFonts w:ascii="宋体"/>
      <w:sz w:val="24"/>
    </w:rPr>
  </w:style>
  <w:style w:type="character" w:customStyle="1" w:styleId="251">
    <w:name w:val="列表段落 字符2"/>
    <w:link w:val="252"/>
    <w:qFormat/>
    <w:uiPriority w:val="34"/>
    <w:rPr>
      <w:szCs w:val="24"/>
    </w:rPr>
  </w:style>
  <w:style w:type="paragraph" w:customStyle="1" w:styleId="252">
    <w:name w:val="_Style 240"/>
    <w:basedOn w:val="1"/>
    <w:next w:val="111"/>
    <w:link w:val="251"/>
    <w:qFormat/>
    <w:uiPriority w:val="34"/>
    <w:pPr>
      <w:ind w:firstLine="420" w:firstLineChars="200"/>
    </w:pPr>
    <w:rPr>
      <w:rFonts w:asciiTheme="minorHAnsi" w:hAnsiTheme="minorHAnsi" w:eastAsiaTheme="minorEastAsia" w:cstheme="minorBidi"/>
    </w:rPr>
  </w:style>
  <w:style w:type="paragraph" w:customStyle="1" w:styleId="253">
    <w:name w:val="缩进"/>
    <w:basedOn w:val="1"/>
    <w:next w:val="1"/>
    <w:qFormat/>
    <w:uiPriority w:val="0"/>
    <w:pPr>
      <w:autoSpaceDE w:val="0"/>
      <w:autoSpaceDN w:val="0"/>
      <w:adjustRightInd w:val="0"/>
      <w:snapToGrid w:val="0"/>
      <w:spacing w:line="360" w:lineRule="auto"/>
      <w:ind w:firstLine="200" w:firstLineChars="200"/>
      <w:jc w:val="left"/>
    </w:pPr>
    <w:rPr>
      <w:rFonts w:ascii="Calibri" w:hAnsi="Calibri"/>
      <w:snapToGrid w:val="0"/>
      <w:kern w:val="0"/>
      <w:sz w:val="24"/>
      <w:szCs w:val="21"/>
    </w:rPr>
  </w:style>
  <w:style w:type="paragraph" w:customStyle="1" w:styleId="254">
    <w:name w:val="列出段落6"/>
    <w:basedOn w:val="1"/>
    <w:unhideWhenUsed/>
    <w:qFormat/>
    <w:uiPriority w:val="99"/>
    <w:pPr>
      <w:autoSpaceDE w:val="0"/>
      <w:autoSpaceDN w:val="0"/>
      <w:adjustRightInd w:val="0"/>
      <w:snapToGrid w:val="0"/>
      <w:spacing w:line="360" w:lineRule="auto"/>
      <w:ind w:firstLine="420" w:firstLineChars="200"/>
      <w:jc w:val="left"/>
    </w:pPr>
    <w:rPr>
      <w:rFonts w:ascii="Calibri" w:hAnsi="Calibri"/>
      <w:snapToGrid w:val="0"/>
      <w:kern w:val="0"/>
      <w:sz w:val="24"/>
      <w:szCs w:val="21"/>
    </w:rPr>
  </w:style>
  <w:style w:type="paragraph" w:customStyle="1" w:styleId="255">
    <w:name w:val="Char Char11"/>
    <w:basedOn w:val="1"/>
    <w:qFormat/>
    <w:uiPriority w:val="0"/>
    <w:rPr>
      <w:rFonts w:ascii="Tahoma" w:hAnsi="Tahoma"/>
      <w:kern w:val="0"/>
      <w:sz w:val="24"/>
      <w:szCs w:val="20"/>
    </w:rPr>
  </w:style>
  <w:style w:type="paragraph" w:customStyle="1" w:styleId="256">
    <w:name w:val="纯文本2"/>
    <w:basedOn w:val="1"/>
    <w:qFormat/>
    <w:uiPriority w:val="0"/>
    <w:pPr>
      <w:adjustRightInd w:val="0"/>
      <w:spacing w:line="360" w:lineRule="atLeast"/>
      <w:jc w:val="left"/>
    </w:pPr>
    <w:rPr>
      <w:rFonts w:ascii="宋体" w:hAnsi="Courier New"/>
      <w:kern w:val="0"/>
      <w:szCs w:val="21"/>
    </w:rPr>
  </w:style>
  <w:style w:type="paragraph" w:customStyle="1" w:styleId="257">
    <w:name w:val="样式 样式 样式 标题 2 + 两端对齐 段前: 18 磅 + 首行缩进:  2 字符 + 首行缩进:  2 字符 段后: 0..."/>
    <w:basedOn w:val="1"/>
    <w:qFormat/>
    <w:uiPriority w:val="0"/>
    <w:pPr>
      <w:spacing w:afterLines="50" w:line="360" w:lineRule="auto"/>
    </w:pPr>
    <w:rPr>
      <w:rFonts w:cs="宋体"/>
      <w:b/>
      <w:bCs/>
      <w:sz w:val="24"/>
      <w:szCs w:val="20"/>
    </w:rPr>
  </w:style>
  <w:style w:type="paragraph" w:customStyle="1" w:styleId="258">
    <w:name w:val="标准正文"/>
    <w:basedOn w:val="1"/>
    <w:qFormat/>
    <w:uiPriority w:val="0"/>
    <w:pPr>
      <w:spacing w:line="360" w:lineRule="auto"/>
      <w:ind w:firstLine="200" w:firstLineChars="200"/>
    </w:pPr>
    <w:rPr>
      <w:rFonts w:ascii="宋体" w:hAnsi="Courier New"/>
      <w:kern w:val="0"/>
      <w:sz w:val="24"/>
      <w:szCs w:val="32"/>
    </w:rPr>
  </w:style>
  <w:style w:type="character" w:customStyle="1" w:styleId="259">
    <w:name w:val="font01"/>
    <w:basedOn w:val="49"/>
    <w:qFormat/>
    <w:uiPriority w:val="0"/>
    <w:rPr>
      <w:rFonts w:hint="eastAsia" w:ascii="宋体" w:hAnsi="宋体" w:eastAsia="宋体" w:cs="宋体"/>
      <w:color w:val="FF0000"/>
      <w:sz w:val="20"/>
      <w:szCs w:val="20"/>
      <w:u w:val="none"/>
    </w:rPr>
  </w:style>
  <w:style w:type="paragraph" w:customStyle="1" w:styleId="260">
    <w:name w:val="正文首行缩进 21"/>
    <w:qFormat/>
    <w:uiPriority w:val="0"/>
    <w:pPr>
      <w:ind w:firstLine="420"/>
    </w:pPr>
    <w:rPr>
      <w:rFonts w:ascii="Times New Roman" w:hAnsi="Times New Roman" w:eastAsia="Times New Roman" w:cs="Times New Roman"/>
      <w:sz w:val="21"/>
      <w:szCs w:val="22"/>
      <w:lang w:val="en-US" w:eastAsia="zh-CN" w:bidi="ar-SA"/>
    </w:rPr>
  </w:style>
  <w:style w:type="character" w:customStyle="1" w:styleId="261">
    <w:name w:val="页眉 字符1"/>
    <w:qFormat/>
    <w:uiPriority w:val="0"/>
    <w:rPr>
      <w:kern w:val="2"/>
      <w:sz w:val="18"/>
      <w:szCs w:val="18"/>
    </w:rPr>
  </w:style>
  <w:style w:type="character" w:customStyle="1" w:styleId="262">
    <w:name w:val="标题 字符1"/>
    <w:qFormat/>
    <w:uiPriority w:val="0"/>
    <w:rPr>
      <w:rFonts w:ascii="Cambria" w:hAnsi="Cambria"/>
      <w:b/>
      <w:bCs/>
      <w:kern w:val="2"/>
      <w:sz w:val="32"/>
      <w:szCs w:val="32"/>
    </w:rPr>
  </w:style>
  <w:style w:type="character" w:customStyle="1" w:styleId="263">
    <w:name w:val="标题 2 字符1"/>
    <w:link w:val="264"/>
    <w:qFormat/>
    <w:uiPriority w:val="0"/>
    <w:rPr>
      <w:rFonts w:ascii="Arial" w:hAnsi="Arial" w:eastAsia="黑体"/>
      <w:bCs/>
      <w:kern w:val="2"/>
      <w:sz w:val="36"/>
      <w:szCs w:val="36"/>
    </w:rPr>
  </w:style>
  <w:style w:type="paragraph" w:customStyle="1" w:styleId="264">
    <w:name w:val="标题 21"/>
    <w:basedOn w:val="1"/>
    <w:next w:val="1"/>
    <w:link w:val="263"/>
    <w:qFormat/>
    <w:uiPriority w:val="0"/>
    <w:pPr>
      <w:spacing w:before="240" w:after="120" w:line="360" w:lineRule="auto"/>
      <w:jc w:val="left"/>
      <w:outlineLvl w:val="1"/>
    </w:pPr>
    <w:rPr>
      <w:rFonts w:ascii="Arial" w:hAnsi="Arial" w:eastAsia="黑体" w:cstheme="minorBidi"/>
      <w:bCs/>
      <w:sz w:val="36"/>
      <w:szCs w:val="36"/>
    </w:rPr>
  </w:style>
  <w:style w:type="paragraph" w:customStyle="1" w:styleId="265">
    <w:name w:val="编号，小四"/>
    <w:basedOn w:val="266"/>
    <w:qFormat/>
    <w:uiPriority w:val="0"/>
    <w:pPr>
      <w:numPr>
        <w:ilvl w:val="0"/>
        <w:numId w:val="3"/>
      </w:numPr>
      <w:ind w:firstLine="0" w:firstLineChars="0"/>
    </w:pPr>
    <w:rPr>
      <w:sz w:val="24"/>
    </w:rPr>
  </w:style>
  <w:style w:type="paragraph" w:customStyle="1" w:styleId="266">
    <w:name w:val="正文四号"/>
    <w:basedOn w:val="1"/>
    <w:link w:val="267"/>
    <w:qFormat/>
    <w:uiPriority w:val="0"/>
    <w:pPr>
      <w:spacing w:line="360" w:lineRule="auto"/>
      <w:ind w:firstLine="200" w:firstLineChars="200"/>
    </w:pPr>
    <w:rPr>
      <w:rFonts w:ascii="Times New Roman" w:hAnsi="Times New Roman" w:cs="宋体"/>
      <w:sz w:val="28"/>
      <w:szCs w:val="20"/>
    </w:rPr>
  </w:style>
  <w:style w:type="character" w:customStyle="1" w:styleId="267">
    <w:name w:val="正文四号 Char"/>
    <w:link w:val="266"/>
    <w:qFormat/>
    <w:locked/>
    <w:uiPriority w:val="0"/>
    <w:rPr>
      <w:rFonts w:ascii="Times New Roman" w:hAnsi="Times New Roman" w:eastAsia="宋体" w:cs="宋体"/>
      <w:kern w:val="2"/>
      <w:sz w:val="28"/>
    </w:rPr>
  </w:style>
  <w:style w:type="paragraph" w:customStyle="1" w:styleId="268">
    <w:name w:val="编号，四号"/>
    <w:basedOn w:val="265"/>
    <w:qFormat/>
    <w:uiPriority w:val="0"/>
    <w:pPr>
      <w:numPr>
        <w:ilvl w:val="0"/>
        <w:numId w:val="4"/>
      </w:numPr>
    </w:pPr>
    <w:rPr>
      <w:sz w:val="28"/>
    </w:rPr>
  </w:style>
  <w:style w:type="paragraph" w:customStyle="1" w:styleId="269">
    <w:name w:val="表格表头"/>
    <w:basedOn w:val="1"/>
    <w:qFormat/>
    <w:uiPriority w:val="0"/>
    <w:pPr>
      <w:spacing w:line="360" w:lineRule="auto"/>
      <w:jc w:val="center"/>
    </w:pPr>
    <w:rPr>
      <w:rFonts w:ascii="宋体" w:hAnsi="宋体" w:eastAsia="黑体"/>
      <w:sz w:val="24"/>
      <w:szCs w:val="21"/>
    </w:rPr>
  </w:style>
  <w:style w:type="paragraph" w:customStyle="1" w:styleId="270">
    <w:name w:val="表格正文"/>
    <w:basedOn w:val="1"/>
    <w:link w:val="271"/>
    <w:qFormat/>
    <w:uiPriority w:val="0"/>
    <w:pPr>
      <w:spacing w:line="360" w:lineRule="auto"/>
      <w:ind w:firstLine="200" w:firstLineChars="200"/>
      <w:jc w:val="left"/>
    </w:pPr>
    <w:rPr>
      <w:rFonts w:ascii="Times New Roman" w:hAnsi="Times New Roman"/>
    </w:rPr>
  </w:style>
  <w:style w:type="character" w:customStyle="1" w:styleId="271">
    <w:name w:val="表格正文 Char"/>
    <w:link w:val="270"/>
    <w:qFormat/>
    <w:uiPriority w:val="0"/>
    <w:rPr>
      <w:rFonts w:ascii="Times New Roman" w:hAnsi="Times New Roman" w:eastAsia="宋体" w:cs="Times New Roman"/>
      <w:kern w:val="2"/>
      <w:sz w:val="21"/>
      <w:szCs w:val="24"/>
    </w:rPr>
  </w:style>
  <w:style w:type="paragraph" w:customStyle="1" w:styleId="272">
    <w:name w:val="表1"/>
    <w:basedOn w:val="1"/>
    <w:qFormat/>
    <w:uiPriority w:val="0"/>
    <w:pPr>
      <w:numPr>
        <w:ilvl w:val="0"/>
        <w:numId w:val="5"/>
      </w:numPr>
      <w:spacing w:line="360" w:lineRule="auto"/>
      <w:jc w:val="center"/>
    </w:pPr>
    <w:rPr>
      <w:rFonts w:ascii="Times New Roman" w:hAnsi="Times New Roman"/>
    </w:rPr>
  </w:style>
  <w:style w:type="paragraph" w:customStyle="1" w:styleId="273">
    <w:name w:val="CM51"/>
    <w:basedOn w:val="104"/>
    <w:next w:val="104"/>
    <w:qFormat/>
    <w:uiPriority w:val="0"/>
    <w:pPr>
      <w:spacing w:after="103"/>
    </w:pPr>
    <w:rPr>
      <w:rFonts w:ascii="黑体" w:hAnsi="Calibri" w:eastAsia="黑体" w:cs="Times New Roman"/>
      <w:color w:val="auto"/>
    </w:rPr>
  </w:style>
  <w:style w:type="character" w:customStyle="1" w:styleId="274">
    <w:name w:val="*正文 Char Char"/>
    <w:qFormat/>
    <w:uiPriority w:val="0"/>
    <w:rPr>
      <w:rFonts w:ascii="仿宋_GB2312" w:eastAsia="仿宋_GB2312"/>
      <w:kern w:val="2"/>
      <w:sz w:val="24"/>
      <w:szCs w:val="28"/>
    </w:rPr>
  </w:style>
  <w:style w:type="paragraph" w:customStyle="1" w:styleId="275">
    <w:name w:val="paragraph1"/>
    <w:basedOn w:val="1"/>
    <w:link w:val="276"/>
    <w:qFormat/>
    <w:uiPriority w:val="0"/>
    <w:pPr>
      <w:spacing w:afterLines="30" w:line="360" w:lineRule="auto"/>
      <w:ind w:firstLine="480" w:firstLineChars="200"/>
    </w:pPr>
    <w:rPr>
      <w:rFonts w:ascii="Verdana" w:hAnsi="Verdana"/>
      <w:sz w:val="24"/>
      <w:lang w:eastAsia="en-US"/>
    </w:rPr>
  </w:style>
  <w:style w:type="character" w:customStyle="1" w:styleId="276">
    <w:name w:val="paragraph1 Char"/>
    <w:link w:val="275"/>
    <w:qFormat/>
    <w:uiPriority w:val="0"/>
    <w:rPr>
      <w:rFonts w:ascii="Verdana" w:hAnsi="Verdana" w:eastAsia="宋体" w:cs="Times New Roman"/>
      <w:kern w:val="2"/>
      <w:sz w:val="24"/>
      <w:szCs w:val="24"/>
      <w:lang w:eastAsia="en-US"/>
    </w:rPr>
  </w:style>
  <w:style w:type="paragraph" w:customStyle="1" w:styleId="277">
    <w:name w:val="number1"/>
    <w:basedOn w:val="1"/>
    <w:link w:val="278"/>
    <w:qFormat/>
    <w:uiPriority w:val="0"/>
    <w:pPr>
      <w:tabs>
        <w:tab w:val="left" w:pos="840"/>
      </w:tabs>
      <w:spacing w:afterLines="30" w:line="360" w:lineRule="auto"/>
      <w:ind w:left="840" w:hanging="420"/>
    </w:pPr>
    <w:rPr>
      <w:rFonts w:ascii="Verdana" w:hAnsi="Verdana"/>
      <w:sz w:val="24"/>
      <w:lang w:eastAsia="en-US"/>
    </w:rPr>
  </w:style>
  <w:style w:type="character" w:customStyle="1" w:styleId="278">
    <w:name w:val="number1 Char"/>
    <w:link w:val="277"/>
    <w:qFormat/>
    <w:uiPriority w:val="0"/>
    <w:rPr>
      <w:rFonts w:ascii="Verdana" w:hAnsi="Verdana" w:eastAsia="宋体" w:cs="Times New Roman"/>
      <w:kern w:val="2"/>
      <w:sz w:val="24"/>
      <w:szCs w:val="24"/>
      <w:lang w:eastAsia="en-US"/>
    </w:rPr>
  </w:style>
  <w:style w:type="paragraph" w:customStyle="1" w:styleId="279">
    <w:name w:val="number"/>
    <w:basedOn w:val="1"/>
    <w:qFormat/>
    <w:uiPriority w:val="99"/>
    <w:pPr>
      <w:tabs>
        <w:tab w:val="left" w:pos="360"/>
      </w:tabs>
      <w:spacing w:beforeLines="20" w:afterLines="30" w:line="360" w:lineRule="auto"/>
    </w:pPr>
    <w:rPr>
      <w:rFonts w:ascii="Arial" w:hAnsi="Arial"/>
      <w:sz w:val="24"/>
    </w:rPr>
  </w:style>
  <w:style w:type="paragraph" w:customStyle="1" w:styleId="280">
    <w:name w:val="样式 number1 + (符号) 宋体"/>
    <w:basedOn w:val="277"/>
    <w:link w:val="281"/>
    <w:qFormat/>
    <w:uiPriority w:val="0"/>
    <w:pPr>
      <w:tabs>
        <w:tab w:val="left" w:pos="902"/>
        <w:tab w:val="clear" w:pos="840"/>
      </w:tabs>
      <w:spacing w:after="30"/>
      <w:ind w:left="400" w:leftChars="200" w:hanging="200" w:hangingChars="200"/>
    </w:pPr>
    <w:rPr>
      <w:rFonts w:cs="Arial"/>
    </w:rPr>
  </w:style>
  <w:style w:type="character" w:customStyle="1" w:styleId="281">
    <w:name w:val="样式 number1 + (符号) 宋体 Char"/>
    <w:link w:val="280"/>
    <w:qFormat/>
    <w:uiPriority w:val="0"/>
    <w:rPr>
      <w:rFonts w:ascii="Verdana" w:hAnsi="Verdana" w:eastAsia="宋体" w:cs="Arial"/>
      <w:kern w:val="2"/>
      <w:sz w:val="24"/>
      <w:szCs w:val="24"/>
      <w:lang w:eastAsia="en-US"/>
    </w:rPr>
  </w:style>
  <w:style w:type="paragraph" w:customStyle="1" w:styleId="282">
    <w:name w:val="正文22"/>
    <w:basedOn w:val="1"/>
    <w:link w:val="283"/>
    <w:qFormat/>
    <w:uiPriority w:val="0"/>
    <w:pPr>
      <w:spacing w:line="360" w:lineRule="auto"/>
      <w:ind w:firstLine="200" w:firstLineChars="200"/>
      <w:jc w:val="left"/>
    </w:pPr>
    <w:rPr>
      <w:rFonts w:ascii="宋体" w:hAnsi="宋体"/>
      <w:sz w:val="24"/>
    </w:rPr>
  </w:style>
  <w:style w:type="character" w:customStyle="1" w:styleId="283">
    <w:name w:val="正文22 字符"/>
    <w:link w:val="282"/>
    <w:qFormat/>
    <w:uiPriority w:val="0"/>
    <w:rPr>
      <w:rFonts w:ascii="宋体" w:hAnsi="宋体" w:eastAsia="宋体" w:cs="Times New Roman"/>
      <w:kern w:val="2"/>
      <w:sz w:val="24"/>
      <w:szCs w:val="24"/>
    </w:rPr>
  </w:style>
  <w:style w:type="paragraph" w:customStyle="1" w:styleId="284">
    <w:name w:val="正文00"/>
    <w:basedOn w:val="25"/>
    <w:link w:val="285"/>
    <w:qFormat/>
    <w:uiPriority w:val="0"/>
    <w:pPr>
      <w:tabs>
        <w:tab w:val="clear" w:pos="1440"/>
      </w:tabs>
      <w:ind w:left="0" w:leftChars="0" w:firstLine="0" w:firstLineChars="0"/>
      <w:jc w:val="left"/>
    </w:pPr>
    <w:rPr>
      <w:rFonts w:ascii="宋体" w:hAnsi="宋体"/>
      <w:smallCaps w:val="0"/>
      <w:sz w:val="24"/>
      <w:szCs w:val="32"/>
    </w:rPr>
  </w:style>
  <w:style w:type="character" w:customStyle="1" w:styleId="285">
    <w:name w:val="正文00 字符"/>
    <w:link w:val="284"/>
    <w:qFormat/>
    <w:uiPriority w:val="0"/>
    <w:rPr>
      <w:rFonts w:ascii="宋体" w:hAnsi="宋体" w:eastAsia="宋体" w:cs="Times New Roman"/>
      <w:kern w:val="2"/>
      <w:sz w:val="24"/>
      <w:szCs w:val="32"/>
      <w:lang w:val="en-US" w:eastAsia="zh-CN"/>
    </w:rPr>
  </w:style>
  <w:style w:type="character" w:customStyle="1" w:styleId="286">
    <w:name w:val="fontstyle01"/>
    <w:qFormat/>
    <w:uiPriority w:val="0"/>
    <w:rPr>
      <w:rFonts w:hint="default" w:ascii="仿宋" w:hAnsi="仿宋" w:eastAsia="宋体"/>
      <w:color w:val="000000"/>
      <w:sz w:val="24"/>
      <w:szCs w:val="24"/>
      <w:lang w:val="en-US" w:eastAsia="en-US" w:bidi="ar-SA"/>
    </w:rPr>
  </w:style>
  <w:style w:type="paragraph" w:customStyle="1" w:styleId="287">
    <w:name w:val="样式 标题9 +"/>
    <w:basedOn w:val="1"/>
    <w:qFormat/>
    <w:uiPriority w:val="0"/>
    <w:pPr>
      <w:keepNext/>
      <w:keepLines/>
      <w:tabs>
        <w:tab w:val="left" w:pos="6211"/>
      </w:tabs>
      <w:spacing w:before="240" w:after="64" w:line="320" w:lineRule="auto"/>
      <w:ind w:left="5391" w:hanging="1700"/>
      <w:outlineLvl w:val="8"/>
    </w:pPr>
    <w:rPr>
      <w:rFonts w:ascii="Cambria" w:hAnsi="Cambria" w:eastAsia="黑体"/>
      <w:szCs w:val="21"/>
      <w:lang w:eastAsia="en-US"/>
    </w:rPr>
  </w:style>
  <w:style w:type="paragraph" w:customStyle="1" w:styleId="288">
    <w:name w:val="样式 标题 7PIM 7（1）L71.1.1.1.1.1.1标题 7H7Legal Level 1.1.lette..."/>
    <w:basedOn w:val="10"/>
    <w:qFormat/>
    <w:uiPriority w:val="0"/>
    <w:pPr>
      <w:keepLines w:val="0"/>
      <w:widowControl w:val="0"/>
      <w:tabs>
        <w:tab w:val="clear" w:pos="2520"/>
      </w:tabs>
      <w:adjustRightInd w:val="0"/>
      <w:spacing w:before="0" w:after="0" w:line="360" w:lineRule="auto"/>
      <w:ind w:left="0" w:firstLine="422" w:firstLineChars="200"/>
      <w:textAlignment w:val="baseline"/>
    </w:pPr>
    <w:rPr>
      <w:rFonts w:cs="宋体"/>
      <w:snapToGrid w:val="0"/>
      <w:szCs w:val="20"/>
    </w:rPr>
  </w:style>
  <w:style w:type="paragraph" w:customStyle="1" w:styleId="289">
    <w:name w:val="正文文本 31"/>
    <w:basedOn w:val="1"/>
    <w:next w:val="20"/>
    <w:link w:val="290"/>
    <w:qFormat/>
    <w:uiPriority w:val="0"/>
    <w:pPr>
      <w:spacing w:after="120"/>
    </w:pPr>
    <w:rPr>
      <w:rFonts w:ascii="Verdana" w:hAnsi="Verdana"/>
      <w:kern w:val="0"/>
      <w:sz w:val="16"/>
      <w:szCs w:val="16"/>
      <w:lang w:eastAsia="en-US"/>
    </w:rPr>
  </w:style>
  <w:style w:type="character" w:customStyle="1" w:styleId="290">
    <w:name w:val="正文文本 3 字符"/>
    <w:link w:val="289"/>
    <w:qFormat/>
    <w:uiPriority w:val="0"/>
    <w:rPr>
      <w:rFonts w:ascii="Verdana" w:hAnsi="Verdana" w:eastAsia="宋体" w:cs="Times New Roman"/>
      <w:sz w:val="16"/>
      <w:szCs w:val="16"/>
      <w:lang w:eastAsia="en-US"/>
    </w:rPr>
  </w:style>
  <w:style w:type="paragraph" w:customStyle="1" w:styleId="291">
    <w:name w:val="日期1"/>
    <w:basedOn w:val="1"/>
    <w:next w:val="1"/>
    <w:link w:val="292"/>
    <w:qFormat/>
    <w:uiPriority w:val="0"/>
    <w:pPr>
      <w:ind w:left="2500" w:leftChars="2500"/>
    </w:pPr>
    <w:rPr>
      <w:rFonts w:ascii="Verdana" w:hAnsi="Verdana" w:eastAsia="楷体_GB2312"/>
      <w:kern w:val="0"/>
      <w:sz w:val="32"/>
      <w:szCs w:val="28"/>
      <w:lang w:eastAsia="en-US"/>
    </w:rPr>
  </w:style>
  <w:style w:type="character" w:customStyle="1" w:styleId="292">
    <w:name w:val="日期 字符"/>
    <w:link w:val="291"/>
    <w:qFormat/>
    <w:uiPriority w:val="0"/>
    <w:rPr>
      <w:rFonts w:ascii="Verdana" w:hAnsi="Verdana" w:eastAsia="楷体_GB2312" w:cs="Times New Roman"/>
      <w:sz w:val="32"/>
      <w:szCs w:val="28"/>
      <w:lang w:eastAsia="en-US"/>
    </w:rPr>
  </w:style>
  <w:style w:type="paragraph" w:customStyle="1" w:styleId="293">
    <w:name w:val="正文文本缩进 21"/>
    <w:basedOn w:val="1"/>
    <w:next w:val="29"/>
    <w:link w:val="294"/>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Verdana"/>
      <w:color w:val="000000"/>
      <w:kern w:val="0"/>
      <w:sz w:val="24"/>
      <w:szCs w:val="20"/>
      <w:lang w:eastAsia="en-US"/>
    </w:rPr>
  </w:style>
  <w:style w:type="character" w:customStyle="1" w:styleId="294">
    <w:name w:val="正文文本缩进 2 字符1"/>
    <w:link w:val="293"/>
    <w:qFormat/>
    <w:uiPriority w:val="0"/>
    <w:rPr>
      <w:rFonts w:ascii="宋体" w:hAnsi="Verdana" w:eastAsia="宋体" w:cs="Times New Roman"/>
      <w:color w:val="000000"/>
      <w:sz w:val="24"/>
      <w:lang w:eastAsia="en-US"/>
    </w:rPr>
  </w:style>
  <w:style w:type="paragraph" w:customStyle="1" w:styleId="295">
    <w:name w:val="TOC 标题2"/>
    <w:basedOn w:val="4"/>
    <w:next w:val="1"/>
    <w:qFormat/>
    <w:uiPriority w:val="39"/>
    <w:pPr>
      <w:widowControl/>
      <w:spacing w:before="480" w:after="0" w:line="276" w:lineRule="auto"/>
      <w:jc w:val="left"/>
      <w:outlineLvl w:val="9"/>
    </w:pPr>
    <w:rPr>
      <w:rFonts w:ascii="Cambria" w:hAnsi="Cambria"/>
      <w:b w:val="0"/>
      <w:color w:val="365F91"/>
      <w:kern w:val="0"/>
      <w:sz w:val="28"/>
      <w:szCs w:val="28"/>
    </w:rPr>
  </w:style>
  <w:style w:type="paragraph" w:customStyle="1" w:styleId="296">
    <w:name w:val="正文文本缩进 31"/>
    <w:basedOn w:val="1"/>
    <w:next w:val="39"/>
    <w:link w:val="297"/>
    <w:qFormat/>
    <w:uiPriority w:val="0"/>
    <w:pPr>
      <w:autoSpaceDE w:val="0"/>
      <w:autoSpaceDN w:val="0"/>
      <w:adjustRightInd w:val="0"/>
      <w:spacing w:line="360" w:lineRule="atLeast"/>
      <w:ind w:left="1853"/>
      <w:jc w:val="center"/>
    </w:pPr>
    <w:rPr>
      <w:rFonts w:ascii="宋体" w:hAnsi="Verdana"/>
      <w:b/>
      <w:color w:val="000000"/>
      <w:kern w:val="0"/>
      <w:sz w:val="36"/>
      <w:lang w:eastAsia="en-US"/>
    </w:rPr>
  </w:style>
  <w:style w:type="character" w:customStyle="1" w:styleId="297">
    <w:name w:val="正文文本缩进 3 字符"/>
    <w:link w:val="296"/>
    <w:qFormat/>
    <w:uiPriority w:val="0"/>
    <w:rPr>
      <w:rFonts w:ascii="宋体" w:hAnsi="Verdana" w:eastAsia="宋体" w:cs="Times New Roman"/>
      <w:b/>
      <w:color w:val="000000"/>
      <w:sz w:val="36"/>
      <w:szCs w:val="24"/>
      <w:lang w:eastAsia="en-US"/>
    </w:rPr>
  </w:style>
  <w:style w:type="paragraph" w:customStyle="1" w:styleId="298">
    <w:name w:val="正文文本 21"/>
    <w:basedOn w:val="1"/>
    <w:next w:val="41"/>
    <w:link w:val="299"/>
    <w:qFormat/>
    <w:uiPriority w:val="0"/>
    <w:pPr>
      <w:autoSpaceDE w:val="0"/>
      <w:autoSpaceDN w:val="0"/>
      <w:adjustRightInd w:val="0"/>
      <w:spacing w:line="360" w:lineRule="auto"/>
    </w:pPr>
    <w:rPr>
      <w:rFonts w:ascii="宋体" w:hAnsi="Verdana"/>
      <w:color w:val="000000"/>
      <w:kern w:val="0"/>
      <w:sz w:val="24"/>
      <w:lang w:eastAsia="en-US"/>
    </w:rPr>
  </w:style>
  <w:style w:type="character" w:customStyle="1" w:styleId="299">
    <w:name w:val="正文文本 2 字符"/>
    <w:link w:val="298"/>
    <w:qFormat/>
    <w:uiPriority w:val="0"/>
    <w:rPr>
      <w:rFonts w:ascii="宋体" w:hAnsi="Verdana" w:eastAsia="宋体" w:cs="Times New Roman"/>
      <w:color w:val="000000"/>
      <w:sz w:val="24"/>
      <w:szCs w:val="24"/>
      <w:lang w:eastAsia="en-US"/>
    </w:rPr>
  </w:style>
  <w:style w:type="character" w:customStyle="1" w:styleId="300">
    <w:name w:val="访问过的超链接1"/>
    <w:qFormat/>
    <w:uiPriority w:val="0"/>
    <w:rPr>
      <w:rFonts w:ascii="Verdana" w:hAnsi="Verdana" w:eastAsia="宋体"/>
      <w:color w:val="800080"/>
      <w:sz w:val="28"/>
      <w:szCs w:val="28"/>
      <w:u w:val="single"/>
      <w:lang w:val="en-US" w:eastAsia="en-US" w:bidi="ar-SA"/>
    </w:rPr>
  </w:style>
  <w:style w:type="character" w:customStyle="1" w:styleId="301">
    <w:name w:val="标题 2 字符"/>
    <w:qFormat/>
    <w:uiPriority w:val="0"/>
    <w:rPr>
      <w:rFonts w:ascii="Cambria" w:hAnsi="Cambria" w:eastAsia="宋体" w:cs="Times New Roman"/>
      <w:b/>
      <w:bCs/>
      <w:sz w:val="32"/>
      <w:szCs w:val="32"/>
      <w:lang w:val="en-US" w:eastAsia="en-US" w:bidi="ar-SA"/>
    </w:rPr>
  </w:style>
  <w:style w:type="character" w:customStyle="1" w:styleId="302">
    <w:name w:val="标题 4 字符"/>
    <w:qFormat/>
    <w:uiPriority w:val="0"/>
    <w:rPr>
      <w:rFonts w:ascii="Cambria" w:hAnsi="Cambria" w:eastAsia="宋体" w:cs="Times New Roman"/>
      <w:b/>
      <w:bCs/>
      <w:sz w:val="28"/>
      <w:szCs w:val="28"/>
      <w:lang w:val="en-US" w:eastAsia="en-US" w:bidi="ar-SA"/>
    </w:rPr>
  </w:style>
  <w:style w:type="character" w:customStyle="1" w:styleId="303">
    <w:name w:val="标题 5 字符"/>
    <w:qFormat/>
    <w:uiPriority w:val="0"/>
    <w:rPr>
      <w:rFonts w:ascii="Times New Roman" w:hAnsi="Times New Roman" w:eastAsia="宋体" w:cs="Times New Roman"/>
      <w:b/>
      <w:bCs/>
      <w:kern w:val="0"/>
      <w:sz w:val="28"/>
      <w:szCs w:val="28"/>
      <w:lang w:val="en-US" w:eastAsia="en-US" w:bidi="ar-SA"/>
    </w:rPr>
  </w:style>
  <w:style w:type="character" w:customStyle="1" w:styleId="304">
    <w:name w:val="标题 7 字符"/>
    <w:qFormat/>
    <w:uiPriority w:val="0"/>
    <w:rPr>
      <w:rFonts w:ascii="Times New Roman" w:hAnsi="Times New Roman" w:eastAsia="宋体" w:cs="Times New Roman"/>
      <w:b/>
      <w:bCs/>
      <w:kern w:val="0"/>
      <w:sz w:val="24"/>
      <w:szCs w:val="24"/>
      <w:lang w:val="en-US" w:eastAsia="en-US" w:bidi="ar-SA"/>
    </w:rPr>
  </w:style>
  <w:style w:type="character" w:customStyle="1" w:styleId="305">
    <w:name w:val="标题 8 字符"/>
    <w:qFormat/>
    <w:uiPriority w:val="0"/>
    <w:rPr>
      <w:rFonts w:ascii="Arial" w:hAnsi="Arial" w:eastAsia="黑体" w:cs="Times New Roman"/>
      <w:kern w:val="0"/>
      <w:sz w:val="24"/>
      <w:szCs w:val="24"/>
      <w:lang w:val="en-US" w:eastAsia="en-US" w:bidi="ar-SA"/>
    </w:rPr>
  </w:style>
  <w:style w:type="character" w:customStyle="1" w:styleId="306">
    <w:name w:val="标题 9 字符"/>
    <w:qFormat/>
    <w:uiPriority w:val="0"/>
    <w:rPr>
      <w:rFonts w:ascii="Arial" w:hAnsi="Arial" w:eastAsia="黑体" w:cs="Times New Roman"/>
      <w:kern w:val="0"/>
      <w:sz w:val="28"/>
      <w:szCs w:val="21"/>
      <w:lang w:val="en-US" w:eastAsia="en-US" w:bidi="ar-SA"/>
    </w:rPr>
  </w:style>
  <w:style w:type="character" w:customStyle="1" w:styleId="307">
    <w:name w:val="页眉 字符"/>
    <w:qFormat/>
    <w:uiPriority w:val="0"/>
    <w:rPr>
      <w:rFonts w:ascii="Verdana" w:hAnsi="Verdana" w:eastAsia="宋体"/>
      <w:sz w:val="18"/>
      <w:szCs w:val="18"/>
      <w:lang w:val="en-US" w:eastAsia="en-US" w:bidi="ar-SA"/>
    </w:rPr>
  </w:style>
  <w:style w:type="character" w:customStyle="1" w:styleId="308">
    <w:name w:val="页脚 字符"/>
    <w:qFormat/>
    <w:uiPriority w:val="99"/>
    <w:rPr>
      <w:rFonts w:ascii="Verdana" w:hAnsi="Verdana" w:eastAsia="宋体"/>
      <w:sz w:val="18"/>
      <w:szCs w:val="18"/>
      <w:lang w:val="en-US" w:eastAsia="en-US" w:bidi="ar-SA"/>
    </w:rPr>
  </w:style>
  <w:style w:type="paragraph" w:customStyle="1" w:styleId="309">
    <w:name w:val="无间隔2"/>
    <w:next w:val="192"/>
    <w:qFormat/>
    <w:uiPriority w:val="1"/>
    <w:pPr>
      <w:widowControl w:val="0"/>
      <w:autoSpaceDE w:val="0"/>
      <w:autoSpaceDN w:val="0"/>
      <w:adjustRightInd w:val="0"/>
      <w:jc w:val="both"/>
      <w:textAlignment w:val="baseline"/>
    </w:pPr>
    <w:rPr>
      <w:rFonts w:ascii="Calibri" w:hAnsi="Calibri" w:eastAsia="宋体" w:cs="Times New Roman"/>
      <w:kern w:val="2"/>
      <w:sz w:val="21"/>
      <w:szCs w:val="22"/>
      <w:lang w:val="en-US" w:eastAsia="zh-CN" w:bidi="ar-SA"/>
    </w:rPr>
  </w:style>
  <w:style w:type="character" w:customStyle="1" w:styleId="310">
    <w:name w:val="font101"/>
    <w:qFormat/>
    <w:uiPriority w:val="0"/>
    <w:rPr>
      <w:rFonts w:hint="eastAsia" w:ascii="宋体" w:hAnsi="宋体" w:eastAsia="宋体" w:cs="宋体"/>
      <w:color w:val="FF0000"/>
      <w:sz w:val="22"/>
      <w:szCs w:val="22"/>
      <w:u w:val="none"/>
      <w:lang w:val="en-US" w:eastAsia="en-US" w:bidi="ar-SA"/>
    </w:rPr>
  </w:style>
  <w:style w:type="character" w:customStyle="1" w:styleId="311">
    <w:name w:val="font111"/>
    <w:basedOn w:val="49"/>
    <w:qFormat/>
    <w:uiPriority w:val="0"/>
    <w:rPr>
      <w:rFonts w:hint="default" w:ascii="Arial" w:hAnsi="Arial" w:cs="Arial"/>
      <w:color w:val="FF0000"/>
      <w:sz w:val="18"/>
      <w:szCs w:val="18"/>
      <w:u w:val="none"/>
    </w:rPr>
  </w:style>
  <w:style w:type="character" w:customStyle="1" w:styleId="312">
    <w:name w:val="font91"/>
    <w:basedOn w:val="49"/>
    <w:qFormat/>
    <w:uiPriority w:val="0"/>
    <w:rPr>
      <w:rFonts w:hint="eastAsia" w:ascii="宋体" w:hAnsi="宋体" w:eastAsia="宋体" w:cs="宋体"/>
      <w:color w:val="FF0000"/>
      <w:sz w:val="18"/>
      <w:szCs w:val="18"/>
      <w:u w:val="none"/>
    </w:rPr>
  </w:style>
  <w:style w:type="character" w:customStyle="1" w:styleId="313">
    <w:name w:val="font141"/>
    <w:basedOn w:val="49"/>
    <w:qFormat/>
    <w:uiPriority w:val="0"/>
    <w:rPr>
      <w:rFonts w:hint="default" w:ascii="Arial" w:hAnsi="Arial" w:cs="Arial"/>
      <w:color w:val="000000"/>
      <w:sz w:val="22"/>
      <w:szCs w:val="22"/>
      <w:u w:val="none"/>
    </w:rPr>
  </w:style>
  <w:style w:type="character" w:customStyle="1" w:styleId="314">
    <w:name w:val="font122"/>
    <w:basedOn w:val="49"/>
    <w:qFormat/>
    <w:uiPriority w:val="0"/>
    <w:rPr>
      <w:rFonts w:hint="default" w:ascii="Arial" w:hAnsi="Arial" w:cs="Arial"/>
      <w:color w:val="000000"/>
      <w:sz w:val="20"/>
      <w:szCs w:val="20"/>
      <w:u w:val="none"/>
    </w:rPr>
  </w:style>
  <w:style w:type="character" w:customStyle="1" w:styleId="315">
    <w:name w:val="font131"/>
    <w:basedOn w:val="49"/>
    <w:qFormat/>
    <w:uiPriority w:val="0"/>
    <w:rPr>
      <w:rFonts w:hint="eastAsia" w:ascii="宋体" w:hAnsi="宋体" w:eastAsia="宋体" w:cs="宋体"/>
      <w:color w:val="000000"/>
      <w:sz w:val="20"/>
      <w:szCs w:val="20"/>
      <w:u w:val="none"/>
    </w:rPr>
  </w:style>
  <w:style w:type="character" w:customStyle="1" w:styleId="316">
    <w:name w:val="font81"/>
    <w:basedOn w:val="49"/>
    <w:qFormat/>
    <w:uiPriority w:val="0"/>
    <w:rPr>
      <w:rFonts w:hint="default" w:ascii="Calibri" w:hAnsi="Calibri" w:cs="Calibri"/>
      <w:color w:val="000000"/>
      <w:sz w:val="18"/>
      <w:szCs w:val="18"/>
      <w:u w:val="none"/>
    </w:rPr>
  </w:style>
  <w:style w:type="paragraph" w:customStyle="1" w:styleId="317">
    <w:name w:val="Normal Indent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318">
    <w:name w:val="标题 Char3"/>
    <w:link w:val="44"/>
    <w:qFormat/>
    <w:uiPriority w:val="10"/>
    <w:rPr>
      <w:rFonts w:ascii="等线 Light" w:hAnsi="等线 Light" w:cs="Times New Roman"/>
      <w:b/>
      <w:bCs/>
      <w:kern w:val="2"/>
      <w:sz w:val="32"/>
      <w:szCs w:val="32"/>
    </w:rPr>
  </w:style>
  <w:style w:type="paragraph" w:customStyle="1" w:styleId="319">
    <w:name w:val="模板普通正文"/>
    <w:basedOn w:val="21"/>
    <w:qFormat/>
    <w:uiPriority w:val="0"/>
    <w:pPr>
      <w:tabs>
        <w:tab w:val="left" w:pos="720"/>
        <w:tab w:val="left" w:pos="1260"/>
        <w:tab w:val="left" w:pos="2160"/>
        <w:tab w:val="left" w:pos="2880"/>
        <w:tab w:val="left" w:pos="3600"/>
        <w:tab w:val="left" w:pos="4320"/>
        <w:tab w:val="left" w:pos="5040"/>
        <w:tab w:val="left" w:pos="5760"/>
      </w:tabs>
      <w:spacing w:beforeLines="50" w:after="10"/>
      <w:ind w:firstLine="490" w:firstLineChars="175"/>
    </w:pPr>
  </w:style>
  <w:style w:type="paragraph" w:customStyle="1" w:styleId="320">
    <w:name w:val="ZW"/>
    <w:basedOn w:val="1"/>
    <w:qFormat/>
    <w:uiPriority w:val="0"/>
    <w:pPr>
      <w:widowControl/>
      <w:topLinePunct/>
      <w:spacing w:line="360" w:lineRule="auto"/>
      <w:ind w:firstLine="425" w:firstLineChars="200"/>
    </w:pPr>
    <w:rPr>
      <w:rFonts w:eastAsia="仿宋_GB2312"/>
      <w:spacing w:val="8"/>
      <w:sz w:val="24"/>
      <w:szCs w:val="20"/>
    </w:rPr>
  </w:style>
  <w:style w:type="character" w:customStyle="1" w:styleId="321">
    <w:name w:val="标题 字符"/>
    <w:link w:val="44"/>
    <w:qFormat/>
    <w:uiPriority w:val="10"/>
    <w:rPr>
      <w:rFonts w:ascii="等线 Light" w:hAnsi="等线 Light" w:cs="Times New Roman"/>
      <w:b/>
      <w:bCs/>
      <w:kern w:val="2"/>
      <w:sz w:val="32"/>
      <w:szCs w:val="32"/>
    </w:rPr>
  </w:style>
  <w:style w:type="table" w:customStyle="1" w:styleId="322">
    <w:name w:val="Table Normal"/>
    <w:unhideWhenUsed/>
    <w:qFormat/>
    <w:uiPriority w:val="0"/>
    <w:tblPr>
      <w:tblCellMar>
        <w:top w:w="0" w:type="dxa"/>
        <w:left w:w="0" w:type="dxa"/>
        <w:bottom w:w="0" w:type="dxa"/>
        <w:right w:w="0" w:type="dxa"/>
      </w:tblCellMar>
    </w:tblPr>
  </w:style>
  <w:style w:type="paragraph" w:customStyle="1" w:styleId="323">
    <w:name w:val="部分1"/>
    <w:qFormat/>
    <w:uiPriority w:val="0"/>
    <w:pPr>
      <w:keepNext/>
      <w:pageBreakBefore/>
      <w:widowControl w:val="0"/>
      <w:tabs>
        <w:tab w:val="left" w:pos="720"/>
      </w:tabs>
      <w:spacing w:line="360" w:lineRule="auto"/>
      <w:jc w:val="center"/>
      <w:outlineLvl w:val="0"/>
    </w:pPr>
    <w:rPr>
      <w:rFonts w:ascii="Calibri" w:hAnsi="Calibri" w:eastAsia="黑体" w:cs="Times New Roman"/>
      <w:b/>
      <w:kern w:val="44"/>
      <w:sz w:val="36"/>
      <w:szCs w:val="20"/>
      <w:lang w:val="en-US" w:eastAsia="zh-CN" w:bidi="ar-SA"/>
    </w:rPr>
  </w:style>
  <w:style w:type="character" w:customStyle="1" w:styleId="324">
    <w:name w:val="标题 1 Char Char"/>
    <w:basedOn w:val="49"/>
    <w:qFormat/>
    <w:uiPriority w:val="0"/>
    <w:rPr>
      <w:rFonts w:eastAsia="宋体"/>
      <w:b/>
      <w:spacing w:val="-2"/>
      <w:sz w:val="24"/>
      <w:lang w:val="en-US" w:eastAsia="zh-CN" w:bidi="ar-SA"/>
    </w:rPr>
  </w:style>
  <w:style w:type="paragraph" w:customStyle="1" w:styleId="325">
    <w:name w:val="普通(网站)1"/>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15207</Words>
  <Characters>16581</Characters>
  <Lines>1</Lines>
  <Paragraphs>1</Paragraphs>
  <TotalTime>1</TotalTime>
  <ScaleCrop>false</ScaleCrop>
  <LinksUpToDate>false</LinksUpToDate>
  <CharactersWithSpaces>16661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2024-04-02T21:23:00Z</dcterms:created>
  <dc:creator>戴艳燕</dc:creator>
  <cp:lastModifiedBy>WPS_1686713146</cp:lastModifiedBy>
  <cp:lastPrinted>2023-03-16T06:19:00Z</cp:lastPrinted>
  <dcterms:modified xsi:type="dcterms:W3CDTF">2025-06-30T06:06:39Z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6D2D44F7D88245B994780B75BF00E6D7_13</vt:lpwstr>
  </property>
  <property fmtid="{D5CDD505-2E9C-101B-9397-08002B2CF9AE}" pid="4" name="KSOTemplateDocerSaveRecord">
    <vt:lpwstr>eyJoZGlkIjoiYzg0OGRkNzllMGM3M2ExODkxMzBhNDRjY2MwYjc2OGEiLCJ1c2VySWQiOiIxNTA5MDM2Njc5In0=</vt:lpwstr>
  </property>
</Properties>
</file>