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黑体" w:eastAsia="黑体"/>
          <w:b/>
          <w:color w:val="auto"/>
          <w:sz w:val="48"/>
          <w:szCs w:val="48"/>
        </w:rPr>
      </w:pPr>
      <w:bookmarkStart w:id="52" w:name="_GoBack"/>
      <w:bookmarkEnd w:id="52"/>
    </w:p>
    <w:p>
      <w:pPr>
        <w:spacing w:after="120"/>
        <w:jc w:val="center"/>
        <w:rPr>
          <w:rFonts w:hint="eastAsia" w:ascii="黑体" w:eastAsia="黑体"/>
          <w:b/>
          <w:color w:val="auto"/>
          <w:sz w:val="48"/>
          <w:szCs w:val="48"/>
        </w:rPr>
      </w:pPr>
      <w:r>
        <w:rPr>
          <w:rFonts w:hint="eastAsia" w:ascii="黑体" w:eastAsia="黑体"/>
          <w:b/>
          <w:color w:val="auto"/>
          <w:sz w:val="48"/>
          <w:szCs w:val="48"/>
        </w:rPr>
        <w:t>政 府 采 购 项 目</w:t>
      </w:r>
    </w:p>
    <w:p>
      <w:pPr>
        <w:spacing w:after="120"/>
        <w:jc w:val="center"/>
        <w:rPr>
          <w:rFonts w:hint="eastAsia" w:ascii="黑体" w:eastAsia="黑体"/>
          <w:b/>
          <w:color w:val="auto"/>
          <w:sz w:val="72"/>
        </w:rPr>
      </w:pPr>
      <w:r>
        <w:rPr>
          <w:rFonts w:hint="eastAsia" w:ascii="黑体" w:eastAsia="黑体"/>
          <w:b/>
          <w:color w:val="auto"/>
          <w:sz w:val="72"/>
        </w:rPr>
        <w:t>公开招标采购文件</w:t>
      </w:r>
    </w:p>
    <w:p>
      <w:pPr>
        <w:spacing w:after="120"/>
        <w:jc w:val="center"/>
        <w:rPr>
          <w:rFonts w:hint="eastAsia" w:ascii="宋体"/>
          <w:b/>
          <w:color w:val="auto"/>
          <w:sz w:val="28"/>
          <w:szCs w:val="28"/>
        </w:rPr>
      </w:pPr>
    </w:p>
    <w:p>
      <w:pPr>
        <w:spacing w:after="120"/>
        <w:jc w:val="center"/>
        <w:rPr>
          <w:rFonts w:hint="eastAsia" w:ascii="宋体"/>
          <w:b/>
          <w:color w:val="auto"/>
          <w:sz w:val="28"/>
          <w:szCs w:val="28"/>
        </w:rPr>
      </w:pPr>
    </w:p>
    <w:p>
      <w:pPr>
        <w:spacing w:after="120"/>
        <w:jc w:val="center"/>
        <w:rPr>
          <w:rFonts w:hint="eastAsia" w:ascii="宋体"/>
          <w:b/>
          <w:color w:val="auto"/>
          <w:sz w:val="28"/>
          <w:szCs w:val="28"/>
        </w:rPr>
      </w:pPr>
    </w:p>
    <w:p>
      <w:pPr>
        <w:jc w:val="center"/>
        <w:rPr>
          <w:rFonts w:hint="eastAsia" w:ascii="黑体" w:eastAsia="黑体"/>
          <w:b/>
          <w:color w:val="auto"/>
          <w:sz w:val="44"/>
          <w:szCs w:val="44"/>
        </w:rPr>
      </w:pPr>
      <w:r>
        <w:rPr>
          <w:rFonts w:hint="eastAsia" w:ascii="黑体" w:eastAsia="黑体"/>
          <w:b/>
          <w:color w:val="auto"/>
          <w:sz w:val="44"/>
          <w:szCs w:val="44"/>
        </w:rPr>
        <w:t>(全册)</w:t>
      </w:r>
    </w:p>
    <w:p>
      <w:pPr>
        <w:jc w:val="center"/>
        <w:rPr>
          <w:rFonts w:hint="eastAsia" w:ascii="宋体"/>
          <w:b/>
          <w:color w:val="auto"/>
          <w:szCs w:val="21"/>
        </w:rPr>
      </w:pPr>
    </w:p>
    <w:p>
      <w:pPr>
        <w:jc w:val="center"/>
        <w:rPr>
          <w:rFonts w:hint="eastAsia" w:ascii="宋体"/>
          <w:b/>
          <w:color w:val="auto"/>
        </w:rPr>
      </w:pPr>
    </w:p>
    <w:p>
      <w:pPr>
        <w:jc w:val="center"/>
        <w:rPr>
          <w:rFonts w:hint="eastAsia" w:ascii="宋体"/>
          <w:b/>
          <w:color w:val="auto"/>
        </w:rPr>
      </w:pPr>
    </w:p>
    <w:p>
      <w:pPr>
        <w:jc w:val="center"/>
        <w:rPr>
          <w:rFonts w:hint="eastAsia" w:ascii="宋体"/>
          <w:b/>
          <w:color w:val="auto"/>
        </w:rPr>
      </w:pPr>
    </w:p>
    <w:p>
      <w:pPr>
        <w:jc w:val="center"/>
        <w:rPr>
          <w:rFonts w:hint="eastAsia" w:ascii="宋体"/>
          <w:b/>
          <w:color w:val="auto"/>
        </w:rPr>
      </w:pPr>
    </w:p>
    <w:p>
      <w:pPr>
        <w:jc w:val="center"/>
        <w:rPr>
          <w:rFonts w:hint="eastAsia" w:ascii="宋体"/>
          <w:b/>
          <w:color w:val="auto"/>
        </w:rPr>
      </w:pPr>
    </w:p>
    <w:p>
      <w:pPr>
        <w:pStyle w:val="22"/>
        <w:snapToGrid w:val="0"/>
        <w:spacing w:before="120" w:after="120" w:line="360" w:lineRule="auto"/>
        <w:rPr>
          <w:rFonts w:hint="default" w:hAnsi="宋体" w:eastAsia="宋体"/>
          <w:b/>
          <w:bCs/>
          <w:color w:val="auto"/>
          <w:sz w:val="30"/>
          <w:szCs w:val="30"/>
          <w:lang w:val="en-US" w:eastAsia="zh-CN"/>
        </w:rPr>
      </w:pPr>
      <w:r>
        <w:rPr>
          <w:rFonts w:hAnsi="宋体"/>
          <w:b/>
          <w:bCs/>
          <w:color w:val="auto"/>
          <w:sz w:val="30"/>
          <w:szCs w:val="30"/>
        </w:rPr>
        <w:t>项目编号：</w:t>
      </w:r>
      <w:r>
        <w:rPr>
          <w:rFonts w:hint="eastAsia" w:hAnsi="宋体"/>
          <w:b/>
          <w:color w:val="auto"/>
          <w:sz w:val="30"/>
          <w:szCs w:val="72"/>
          <w:u w:val="single"/>
        </w:rPr>
        <w:t>NBITC-202</w:t>
      </w:r>
      <w:r>
        <w:rPr>
          <w:rFonts w:hAnsi="宋体"/>
          <w:b/>
          <w:color w:val="auto"/>
          <w:sz w:val="30"/>
          <w:szCs w:val="72"/>
          <w:u w:val="single"/>
        </w:rPr>
        <w:t>1</w:t>
      </w:r>
      <w:r>
        <w:rPr>
          <w:rFonts w:hint="eastAsia" w:hAnsi="宋体"/>
          <w:b/>
          <w:color w:val="auto"/>
          <w:sz w:val="30"/>
          <w:szCs w:val="72"/>
          <w:u w:val="single"/>
          <w:lang w:val="en-US" w:eastAsia="zh-CN"/>
        </w:rPr>
        <w:t>30999</w:t>
      </w:r>
      <w:r>
        <w:rPr>
          <w:rFonts w:hint="eastAsia" w:hAnsi="宋体"/>
          <w:b/>
          <w:color w:val="auto"/>
          <w:sz w:val="30"/>
          <w:szCs w:val="72"/>
          <w:u w:val="single"/>
        </w:rPr>
        <w:t>G</w:t>
      </w:r>
    </w:p>
    <w:p>
      <w:pPr>
        <w:snapToGrid w:val="0"/>
        <w:spacing w:before="120" w:beforeLines="50" w:line="360" w:lineRule="auto"/>
        <w:ind w:left="1506" w:hanging="1506" w:hangingChars="500"/>
        <w:rPr>
          <w:rFonts w:hint="eastAsia" w:hAnsi="宋体" w:eastAsia="宋体"/>
          <w:b/>
          <w:bCs/>
          <w:color w:val="auto"/>
          <w:w w:val="95"/>
          <w:sz w:val="30"/>
          <w:szCs w:val="30"/>
          <w:lang w:eastAsia="zh-CN"/>
        </w:rPr>
      </w:pPr>
      <w:r>
        <w:rPr>
          <w:rFonts w:hint="eastAsia" w:ascii="宋体" w:hAnsi="宋体"/>
          <w:b/>
          <w:color w:val="auto"/>
          <w:sz w:val="30"/>
          <w:szCs w:val="72"/>
        </w:rPr>
        <w:t>项目名称：</w:t>
      </w:r>
      <w:r>
        <w:rPr>
          <w:rFonts w:hint="eastAsia" w:ascii="宋体" w:hAnsi="宋体" w:eastAsia="宋体" w:cs="Times New Roman"/>
          <w:b/>
          <w:color w:val="auto"/>
          <w:kern w:val="0"/>
          <w:sz w:val="30"/>
          <w:szCs w:val="72"/>
          <w:u w:val="single"/>
          <w:lang w:val="en-US" w:eastAsia="zh-CN" w:bidi="ar-SA"/>
        </w:rPr>
        <w:t>宁波市镇海区人民医院医疗集团医学标本外送检测服务项目</w:t>
      </w:r>
    </w:p>
    <w:p>
      <w:pPr>
        <w:pStyle w:val="22"/>
        <w:snapToGrid w:val="0"/>
        <w:spacing w:before="120" w:after="120" w:line="360" w:lineRule="auto"/>
        <w:rPr>
          <w:rFonts w:hint="eastAsia" w:hAnsi="宋体"/>
          <w:b/>
          <w:bCs/>
          <w:color w:val="auto"/>
          <w:w w:val="95"/>
          <w:sz w:val="30"/>
          <w:szCs w:val="30"/>
        </w:rPr>
      </w:pPr>
    </w:p>
    <w:p>
      <w:pPr>
        <w:pStyle w:val="22"/>
        <w:snapToGrid w:val="0"/>
        <w:spacing w:before="120" w:after="120" w:line="360" w:lineRule="auto"/>
        <w:rPr>
          <w:rFonts w:hAnsi="宋体"/>
          <w:b/>
          <w:bCs/>
          <w:color w:val="auto"/>
          <w:w w:val="95"/>
          <w:sz w:val="30"/>
          <w:szCs w:val="30"/>
        </w:rPr>
      </w:pPr>
      <w:r>
        <w:rPr>
          <w:rFonts w:hint="eastAsia" w:hAnsi="宋体"/>
          <w:b/>
          <w:bCs/>
          <w:color w:val="auto"/>
          <w:w w:val="95"/>
          <w:sz w:val="30"/>
          <w:szCs w:val="30"/>
        </w:rPr>
        <w:t>采 购 人：宁波市镇海区人民医院医疗集团</w:t>
      </w:r>
    </w:p>
    <w:p>
      <w:pPr>
        <w:pStyle w:val="22"/>
        <w:snapToGrid w:val="0"/>
        <w:spacing w:before="120" w:after="120" w:line="360" w:lineRule="auto"/>
        <w:rPr>
          <w:rFonts w:hint="eastAsia" w:hAnsi="宋体"/>
          <w:b/>
          <w:bCs/>
          <w:color w:val="auto"/>
          <w:w w:val="95"/>
          <w:sz w:val="30"/>
          <w:szCs w:val="30"/>
        </w:rPr>
      </w:pPr>
      <w:r>
        <w:rPr>
          <w:rFonts w:hint="eastAsia" w:hAnsi="宋体"/>
          <w:b/>
          <w:bCs/>
          <w:color w:val="auto"/>
          <w:w w:val="95"/>
          <w:sz w:val="30"/>
          <w:szCs w:val="30"/>
        </w:rPr>
        <w:t>采购代理机构：宁波市国际招标有限公司</w:t>
      </w:r>
    </w:p>
    <w:p>
      <w:pPr>
        <w:pStyle w:val="22"/>
        <w:snapToGrid w:val="0"/>
        <w:spacing w:before="120" w:after="120" w:line="360" w:lineRule="auto"/>
        <w:rPr>
          <w:rFonts w:hint="eastAsia" w:ascii="宋体" w:hAnsi="宋体"/>
          <w:bCs/>
          <w:color w:val="auto"/>
          <w:w w:val="95"/>
          <w:sz w:val="30"/>
          <w:szCs w:val="30"/>
        </w:rPr>
      </w:pPr>
      <w:r>
        <w:rPr>
          <w:rFonts w:hAnsi="宋体"/>
          <w:bCs/>
          <w:color w:val="auto"/>
          <w:w w:val="95"/>
          <w:sz w:val="30"/>
          <w:szCs w:val="30"/>
        </w:rPr>
        <w:t xml:space="preserve"> </w:t>
      </w:r>
    </w:p>
    <w:p>
      <w:pPr>
        <w:snapToGrid w:val="0"/>
        <w:spacing w:before="120" w:beforeLines="50" w:line="360" w:lineRule="auto"/>
        <w:ind w:right="1136"/>
        <w:jc w:val="center"/>
        <w:rPr>
          <w:rFonts w:hint="eastAsia" w:ascii="宋体" w:hAnsi="宋体"/>
          <w:b/>
          <w:bCs/>
          <w:color w:val="auto"/>
          <w:w w:val="95"/>
          <w:sz w:val="30"/>
          <w:szCs w:val="30"/>
        </w:rPr>
      </w:pPr>
      <w:r>
        <w:rPr>
          <w:rFonts w:hint="eastAsia" w:ascii="宋体" w:hAnsi="宋体"/>
          <w:b/>
          <w:bCs/>
          <w:color w:val="auto"/>
          <w:w w:val="95"/>
          <w:sz w:val="30"/>
          <w:szCs w:val="30"/>
        </w:rPr>
        <w:t xml:space="preserve">        20</w:t>
      </w:r>
      <w:r>
        <w:rPr>
          <w:rFonts w:ascii="宋体" w:hAnsi="宋体"/>
          <w:b/>
          <w:bCs/>
          <w:color w:val="auto"/>
          <w:w w:val="95"/>
          <w:sz w:val="30"/>
          <w:szCs w:val="30"/>
        </w:rPr>
        <w:t>2</w:t>
      </w:r>
      <w:r>
        <w:rPr>
          <w:rFonts w:hint="eastAsia" w:ascii="宋体" w:hAnsi="宋体"/>
          <w:b/>
          <w:bCs/>
          <w:color w:val="auto"/>
          <w:w w:val="95"/>
          <w:sz w:val="30"/>
          <w:szCs w:val="30"/>
          <w:lang w:val="en-US" w:eastAsia="zh-CN"/>
        </w:rPr>
        <w:t>1</w:t>
      </w:r>
      <w:r>
        <w:rPr>
          <w:rFonts w:hint="eastAsia" w:ascii="宋体" w:hAnsi="宋体"/>
          <w:b/>
          <w:bCs/>
          <w:color w:val="auto"/>
          <w:w w:val="95"/>
          <w:sz w:val="30"/>
          <w:szCs w:val="30"/>
        </w:rPr>
        <w:t>年</w:t>
      </w:r>
      <w:r>
        <w:rPr>
          <w:rFonts w:hint="eastAsia" w:ascii="宋体" w:hAnsi="宋体"/>
          <w:b/>
          <w:bCs/>
          <w:color w:val="auto"/>
          <w:w w:val="95"/>
          <w:sz w:val="30"/>
          <w:szCs w:val="30"/>
          <w:lang w:val="en-US" w:eastAsia="zh-CN"/>
        </w:rPr>
        <w:t>9</w:t>
      </w:r>
      <w:r>
        <w:rPr>
          <w:rFonts w:hint="eastAsia" w:ascii="宋体" w:hAnsi="宋体"/>
          <w:b/>
          <w:bCs/>
          <w:color w:val="auto"/>
          <w:w w:val="95"/>
          <w:sz w:val="30"/>
          <w:szCs w:val="30"/>
        </w:rPr>
        <w:t>月</w:t>
      </w:r>
    </w:p>
    <w:p>
      <w:pPr>
        <w:pStyle w:val="2"/>
        <w:rPr>
          <w:rFonts w:hint="eastAsia" w:ascii="宋体" w:hAnsi="宋体"/>
          <w:b/>
          <w:bCs/>
          <w:color w:val="auto"/>
          <w:w w:val="95"/>
          <w:sz w:val="30"/>
          <w:szCs w:val="30"/>
        </w:rPr>
      </w:pPr>
    </w:p>
    <w:p>
      <w:pPr>
        <w:pStyle w:val="2"/>
        <w:rPr>
          <w:rFonts w:hint="eastAsia" w:ascii="宋体" w:hAnsi="宋体"/>
          <w:b/>
          <w:bCs/>
          <w:color w:val="auto"/>
          <w:w w:val="95"/>
          <w:sz w:val="30"/>
          <w:szCs w:val="30"/>
        </w:rPr>
      </w:pPr>
    </w:p>
    <w:p>
      <w:pPr>
        <w:jc w:val="center"/>
        <w:rPr>
          <w:rFonts w:hint="eastAsia" w:ascii="宋体"/>
          <w:b/>
          <w:color w:val="auto"/>
          <w:sz w:val="24"/>
        </w:rPr>
      </w:pPr>
    </w:p>
    <w:p>
      <w:pPr>
        <w:spacing w:line="1200" w:lineRule="exact"/>
        <w:jc w:val="center"/>
        <w:rPr>
          <w:rFonts w:ascii="宋体" w:hAnsi="宋体"/>
          <w:b/>
          <w:color w:val="auto"/>
          <w:sz w:val="72"/>
          <w:szCs w:val="72"/>
        </w:rPr>
      </w:pPr>
      <w:r>
        <w:rPr>
          <w:rFonts w:hint="eastAsia" w:ascii="宋体" w:hAnsi="宋体"/>
          <w:b/>
          <w:color w:val="auto"/>
          <w:sz w:val="72"/>
          <w:szCs w:val="72"/>
        </w:rPr>
        <w:t>温馨提醒</w:t>
      </w:r>
    </w:p>
    <w:p>
      <w:pPr>
        <w:spacing w:line="1200" w:lineRule="exact"/>
        <w:jc w:val="center"/>
        <w:rPr>
          <w:rFonts w:ascii="宋体" w:hAnsi="宋体"/>
          <w:b/>
          <w:color w:val="auto"/>
          <w:sz w:val="52"/>
          <w:szCs w:val="52"/>
        </w:rPr>
      </w:pPr>
    </w:p>
    <w:p>
      <w:pPr>
        <w:spacing w:line="1000" w:lineRule="exact"/>
        <w:jc w:val="left"/>
        <w:rPr>
          <w:rFonts w:ascii="宋体" w:hAnsi="宋体"/>
          <w:b/>
          <w:color w:val="auto"/>
          <w:sz w:val="30"/>
          <w:szCs w:val="30"/>
        </w:rPr>
      </w:pPr>
      <w:r>
        <w:rPr>
          <w:rFonts w:ascii="宋体" w:hAnsi="宋体"/>
          <w:b/>
          <w:color w:val="auto"/>
          <w:sz w:val="30"/>
          <w:szCs w:val="30"/>
        </w:rPr>
        <w:t>1</w:t>
      </w:r>
      <w:r>
        <w:rPr>
          <w:rFonts w:hint="eastAsia" w:ascii="宋体" w:hAnsi="宋体"/>
          <w:b/>
          <w:color w:val="auto"/>
          <w:sz w:val="30"/>
          <w:szCs w:val="30"/>
        </w:rPr>
        <w:t>、投标文件应按招标文件要求将“资格文件”、“商务和技术文件”、“报价文件”分别编制。</w:t>
      </w:r>
    </w:p>
    <w:p>
      <w:pPr>
        <w:spacing w:line="1000" w:lineRule="exact"/>
        <w:jc w:val="left"/>
        <w:rPr>
          <w:rFonts w:hint="eastAsia" w:ascii="宋体" w:hAnsi="宋体"/>
          <w:b/>
          <w:color w:val="auto"/>
          <w:sz w:val="30"/>
          <w:szCs w:val="30"/>
        </w:rPr>
      </w:pPr>
      <w:r>
        <w:rPr>
          <w:rFonts w:hint="eastAsia" w:ascii="宋体" w:hAnsi="宋体"/>
          <w:b/>
          <w:color w:val="auto"/>
          <w:sz w:val="30"/>
          <w:szCs w:val="30"/>
        </w:rPr>
        <w:t>2、采购人可以对已发出的招标文件进行必要的澄清或者修改，将以“更正公告”的形式发布在政采云平台，供应商应及时登录政采云平台，进行浏览并下载，未及时浏览下载的责任自负。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ascii="宋体" w:hAnsi="宋体"/>
          <w:b/>
          <w:color w:val="auto"/>
          <w:sz w:val="30"/>
          <w:szCs w:val="30"/>
        </w:rPr>
      </w:pPr>
      <w:r>
        <w:rPr>
          <w:rFonts w:hint="eastAsia" w:ascii="宋体" w:hAnsi="宋体"/>
          <w:b/>
          <w:color w:val="auto"/>
          <w:sz w:val="30"/>
          <w:szCs w:val="30"/>
        </w:rPr>
        <w:t>3、建议供应商自带电脑，以便于开标现场解密投标文件。</w:t>
      </w:r>
    </w:p>
    <w:p>
      <w:pPr>
        <w:jc w:val="center"/>
        <w:outlineLvl w:val="0"/>
        <w:rPr>
          <w:rFonts w:ascii="宋体" w:hAnsi="宋体"/>
          <w:b/>
          <w:bCs/>
          <w:color w:val="auto"/>
          <w:sz w:val="32"/>
          <w:szCs w:val="32"/>
        </w:rPr>
      </w:pPr>
    </w:p>
    <w:p>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pPr>
        <w:pStyle w:val="29"/>
        <w:rPr>
          <w:rFonts w:ascii="Times New Roman" w:hAnsi="Times New Roman"/>
          <w:color w:val="auto"/>
          <w:sz w:val="21"/>
          <w:szCs w:val="24"/>
          <w:lang/>
        </w:rPr>
      </w:pPr>
      <w:r>
        <w:rPr>
          <w:color w:val="auto"/>
        </w:rPr>
        <w:fldChar w:fldCharType="begin"/>
      </w:r>
      <w:r>
        <w:rPr>
          <w:color w:val="auto"/>
        </w:rPr>
        <w:instrText xml:space="preserve"> TOC \o "1-3" \h \z \u </w:instrText>
      </w:r>
      <w:r>
        <w:rPr>
          <w:color w:val="auto"/>
        </w:rPr>
        <w:fldChar w:fldCharType="separate"/>
      </w:r>
      <w:r>
        <w:rPr>
          <w:color w:val="auto"/>
          <w:lang/>
        </w:rPr>
        <w:fldChar w:fldCharType="begin"/>
      </w:r>
      <w:r>
        <w:rPr>
          <w:rStyle w:val="50"/>
          <w:color w:val="auto"/>
          <w:lang/>
        </w:rPr>
        <w:instrText xml:space="preserve"> </w:instrText>
      </w:r>
      <w:r>
        <w:rPr>
          <w:color w:val="auto"/>
          <w:lang/>
        </w:rPr>
        <w:instrText xml:space="preserve">HYPERLINK \l "_Toc44162138"</w:instrText>
      </w:r>
      <w:r>
        <w:rPr>
          <w:rStyle w:val="50"/>
          <w:color w:val="auto"/>
          <w:lang/>
        </w:rPr>
        <w:instrText xml:space="preserve"> </w:instrText>
      </w:r>
      <w:r>
        <w:rPr>
          <w:color w:val="auto"/>
          <w:lang/>
        </w:rPr>
        <w:fldChar w:fldCharType="separate"/>
      </w:r>
      <w:r>
        <w:rPr>
          <w:rStyle w:val="50"/>
          <w:rFonts w:hint="eastAsia"/>
          <w:b/>
          <w:color w:val="auto"/>
          <w:lang/>
        </w:rPr>
        <w:t>第一章</w:t>
      </w:r>
      <w:r>
        <w:rPr>
          <w:rStyle w:val="50"/>
          <w:b/>
          <w:color w:val="auto"/>
          <w:lang/>
        </w:rPr>
        <w:t xml:space="preserve">  </w:t>
      </w:r>
      <w:r>
        <w:rPr>
          <w:rStyle w:val="50"/>
          <w:rFonts w:hint="eastAsia"/>
          <w:b/>
          <w:color w:val="auto"/>
          <w:lang/>
        </w:rPr>
        <w:t>招标公告</w:t>
      </w:r>
      <w:r>
        <w:rPr>
          <w:color w:val="auto"/>
          <w:lang/>
        </w:rPr>
        <w:tab/>
      </w:r>
      <w:r>
        <w:rPr>
          <w:color w:val="auto"/>
          <w:lang/>
        </w:rPr>
        <w:fldChar w:fldCharType="begin"/>
      </w:r>
      <w:r>
        <w:rPr>
          <w:color w:val="auto"/>
          <w:lang/>
        </w:rPr>
        <w:instrText xml:space="preserve"> PAGEREF _Toc44162138 \h </w:instrText>
      </w:r>
      <w:r>
        <w:rPr>
          <w:color w:val="auto"/>
          <w:lang/>
        </w:rPr>
        <w:fldChar w:fldCharType="separate"/>
      </w:r>
      <w:r>
        <w:rPr>
          <w:color w:val="auto"/>
          <w:lang/>
        </w:rPr>
        <w:t>1</w:t>
      </w:r>
      <w:r>
        <w:rPr>
          <w:color w:val="auto"/>
          <w:lang/>
        </w:rPr>
        <w:fldChar w:fldCharType="end"/>
      </w:r>
      <w:r>
        <w:rPr>
          <w:color w:val="auto"/>
          <w:lang/>
        </w:rPr>
        <w:fldChar w:fldCharType="end"/>
      </w:r>
    </w:p>
    <w:p>
      <w:pPr>
        <w:pStyle w:val="29"/>
        <w:rPr>
          <w:rFonts w:ascii="Times New Roman" w:hAnsi="Times New Roman"/>
          <w:color w:val="auto"/>
          <w:sz w:val="21"/>
          <w:szCs w:val="24"/>
          <w:lang/>
        </w:rPr>
      </w:pPr>
      <w:r>
        <w:rPr>
          <w:color w:val="auto"/>
          <w:lang/>
        </w:rPr>
        <w:fldChar w:fldCharType="begin"/>
      </w:r>
      <w:r>
        <w:rPr>
          <w:rStyle w:val="50"/>
          <w:color w:val="auto"/>
          <w:lang/>
        </w:rPr>
        <w:instrText xml:space="preserve"> </w:instrText>
      </w:r>
      <w:r>
        <w:rPr>
          <w:color w:val="auto"/>
          <w:lang/>
        </w:rPr>
        <w:instrText xml:space="preserve">HYPERLINK \l "_Toc44162139"</w:instrText>
      </w:r>
      <w:r>
        <w:rPr>
          <w:rStyle w:val="50"/>
          <w:color w:val="auto"/>
          <w:lang/>
        </w:rPr>
        <w:instrText xml:space="preserve"> </w:instrText>
      </w:r>
      <w:r>
        <w:rPr>
          <w:color w:val="auto"/>
          <w:lang/>
        </w:rPr>
        <w:fldChar w:fldCharType="separate"/>
      </w:r>
      <w:r>
        <w:rPr>
          <w:rStyle w:val="50"/>
          <w:rFonts w:hint="eastAsia"/>
          <w:b/>
          <w:color w:val="auto"/>
          <w:lang/>
        </w:rPr>
        <w:t>第二章</w:t>
      </w:r>
      <w:r>
        <w:rPr>
          <w:rStyle w:val="50"/>
          <w:b/>
          <w:color w:val="auto"/>
          <w:lang/>
        </w:rPr>
        <w:t xml:space="preserve">  </w:t>
      </w:r>
      <w:r>
        <w:rPr>
          <w:rStyle w:val="50"/>
          <w:rFonts w:hint="eastAsia"/>
          <w:b/>
          <w:color w:val="auto"/>
          <w:lang/>
        </w:rPr>
        <w:t>投标须知</w:t>
      </w:r>
      <w:r>
        <w:rPr>
          <w:color w:val="auto"/>
          <w:lang/>
        </w:rPr>
        <w:tab/>
      </w:r>
      <w:r>
        <w:rPr>
          <w:color w:val="auto"/>
          <w:lang/>
        </w:rPr>
        <w:fldChar w:fldCharType="begin"/>
      </w:r>
      <w:r>
        <w:rPr>
          <w:color w:val="auto"/>
          <w:lang/>
        </w:rPr>
        <w:instrText xml:space="preserve"> PAGEREF _Toc44162139 \h </w:instrText>
      </w:r>
      <w:r>
        <w:rPr>
          <w:color w:val="auto"/>
          <w:lang/>
        </w:rPr>
        <w:fldChar w:fldCharType="separate"/>
      </w:r>
      <w:r>
        <w:rPr>
          <w:color w:val="auto"/>
          <w:lang/>
        </w:rPr>
        <w:t>5</w:t>
      </w:r>
      <w:r>
        <w:rPr>
          <w:color w:val="auto"/>
          <w:lang/>
        </w:rPr>
        <w:fldChar w:fldCharType="end"/>
      </w:r>
      <w:r>
        <w:rPr>
          <w:color w:val="auto"/>
          <w:lang/>
        </w:rPr>
        <w:fldChar w:fldCharType="end"/>
      </w:r>
    </w:p>
    <w:p>
      <w:pPr>
        <w:pStyle w:val="29"/>
        <w:rPr>
          <w:rFonts w:ascii="Times New Roman" w:hAnsi="Times New Roman"/>
          <w:color w:val="auto"/>
          <w:sz w:val="21"/>
          <w:szCs w:val="24"/>
          <w:lang/>
        </w:rPr>
      </w:pPr>
      <w:r>
        <w:rPr>
          <w:color w:val="auto"/>
          <w:lang/>
        </w:rPr>
        <w:fldChar w:fldCharType="begin"/>
      </w:r>
      <w:r>
        <w:rPr>
          <w:rStyle w:val="50"/>
          <w:color w:val="auto"/>
          <w:lang/>
        </w:rPr>
        <w:instrText xml:space="preserve"> </w:instrText>
      </w:r>
      <w:r>
        <w:rPr>
          <w:color w:val="auto"/>
          <w:lang/>
        </w:rPr>
        <w:instrText xml:space="preserve">HYPERLINK \l "_Toc44162152"</w:instrText>
      </w:r>
      <w:r>
        <w:rPr>
          <w:rStyle w:val="50"/>
          <w:color w:val="auto"/>
          <w:lang/>
        </w:rPr>
        <w:instrText xml:space="preserve"> </w:instrText>
      </w:r>
      <w:r>
        <w:rPr>
          <w:color w:val="auto"/>
          <w:lang/>
        </w:rPr>
        <w:fldChar w:fldCharType="separate"/>
      </w:r>
      <w:r>
        <w:rPr>
          <w:rStyle w:val="50"/>
          <w:rFonts w:hint="eastAsia"/>
          <w:b/>
          <w:color w:val="auto"/>
          <w:lang/>
        </w:rPr>
        <w:t>第三章</w:t>
      </w:r>
      <w:r>
        <w:rPr>
          <w:rStyle w:val="50"/>
          <w:b/>
          <w:color w:val="auto"/>
          <w:lang/>
        </w:rPr>
        <w:t xml:space="preserve">  </w:t>
      </w:r>
      <w:r>
        <w:rPr>
          <w:rStyle w:val="50"/>
          <w:rFonts w:hint="eastAsia"/>
          <w:b/>
          <w:color w:val="auto"/>
          <w:lang/>
        </w:rPr>
        <w:t>评标办法及标准</w:t>
      </w:r>
      <w:r>
        <w:rPr>
          <w:color w:val="auto"/>
          <w:lang/>
        </w:rPr>
        <w:tab/>
      </w:r>
      <w:r>
        <w:rPr>
          <w:color w:val="auto"/>
          <w:lang/>
        </w:rPr>
        <w:fldChar w:fldCharType="begin"/>
      </w:r>
      <w:r>
        <w:rPr>
          <w:color w:val="auto"/>
          <w:lang/>
        </w:rPr>
        <w:instrText xml:space="preserve"> PAGEREF _Toc44162152 \h </w:instrText>
      </w:r>
      <w:r>
        <w:rPr>
          <w:color w:val="auto"/>
          <w:lang/>
        </w:rPr>
        <w:fldChar w:fldCharType="separate"/>
      </w:r>
      <w:r>
        <w:rPr>
          <w:color w:val="auto"/>
          <w:lang/>
        </w:rPr>
        <w:t>12</w:t>
      </w:r>
      <w:r>
        <w:rPr>
          <w:color w:val="auto"/>
          <w:lang/>
        </w:rPr>
        <w:fldChar w:fldCharType="end"/>
      </w:r>
      <w:r>
        <w:rPr>
          <w:color w:val="auto"/>
          <w:lang/>
        </w:rPr>
        <w:fldChar w:fldCharType="end"/>
      </w:r>
    </w:p>
    <w:p>
      <w:pPr>
        <w:pStyle w:val="29"/>
        <w:rPr>
          <w:rFonts w:ascii="Times New Roman" w:hAnsi="Times New Roman"/>
          <w:color w:val="auto"/>
          <w:sz w:val="21"/>
          <w:szCs w:val="24"/>
          <w:lang/>
        </w:rPr>
      </w:pPr>
      <w:r>
        <w:rPr>
          <w:color w:val="auto"/>
          <w:lang/>
        </w:rPr>
        <w:fldChar w:fldCharType="begin"/>
      </w:r>
      <w:r>
        <w:rPr>
          <w:rStyle w:val="50"/>
          <w:color w:val="auto"/>
          <w:lang/>
        </w:rPr>
        <w:instrText xml:space="preserve"> </w:instrText>
      </w:r>
      <w:r>
        <w:rPr>
          <w:color w:val="auto"/>
          <w:lang/>
        </w:rPr>
        <w:instrText xml:space="preserve">HYPERLINK \l "_Toc44162153"</w:instrText>
      </w:r>
      <w:r>
        <w:rPr>
          <w:rStyle w:val="50"/>
          <w:color w:val="auto"/>
          <w:lang/>
        </w:rPr>
        <w:instrText xml:space="preserve"> </w:instrText>
      </w:r>
      <w:r>
        <w:rPr>
          <w:color w:val="auto"/>
          <w:lang/>
        </w:rPr>
        <w:fldChar w:fldCharType="separate"/>
      </w:r>
      <w:r>
        <w:rPr>
          <w:rStyle w:val="50"/>
          <w:rFonts w:hint="eastAsia"/>
          <w:b/>
          <w:color w:val="auto"/>
          <w:lang/>
        </w:rPr>
        <w:t>第四章</w:t>
      </w:r>
      <w:r>
        <w:rPr>
          <w:rStyle w:val="50"/>
          <w:b/>
          <w:color w:val="auto"/>
          <w:lang/>
        </w:rPr>
        <w:t xml:space="preserve">  </w:t>
      </w:r>
      <w:r>
        <w:rPr>
          <w:rStyle w:val="50"/>
          <w:rFonts w:hint="eastAsia"/>
          <w:b/>
          <w:color w:val="auto"/>
          <w:lang/>
        </w:rPr>
        <w:t>采购合同样本</w:t>
      </w:r>
      <w:r>
        <w:rPr>
          <w:color w:val="auto"/>
          <w:lang/>
        </w:rPr>
        <w:tab/>
      </w:r>
      <w:r>
        <w:rPr>
          <w:color w:val="auto"/>
          <w:lang/>
        </w:rPr>
        <w:fldChar w:fldCharType="begin"/>
      </w:r>
      <w:r>
        <w:rPr>
          <w:color w:val="auto"/>
          <w:lang/>
        </w:rPr>
        <w:instrText xml:space="preserve"> PAGEREF _Toc44162153 \h </w:instrText>
      </w:r>
      <w:r>
        <w:rPr>
          <w:color w:val="auto"/>
          <w:lang/>
        </w:rPr>
        <w:fldChar w:fldCharType="separate"/>
      </w:r>
      <w:r>
        <w:rPr>
          <w:color w:val="auto"/>
          <w:lang/>
        </w:rPr>
        <w:t>21</w:t>
      </w:r>
      <w:r>
        <w:rPr>
          <w:color w:val="auto"/>
          <w:lang/>
        </w:rPr>
        <w:fldChar w:fldCharType="end"/>
      </w:r>
      <w:r>
        <w:rPr>
          <w:color w:val="auto"/>
          <w:lang/>
        </w:rPr>
        <w:fldChar w:fldCharType="end"/>
      </w:r>
    </w:p>
    <w:p>
      <w:pPr>
        <w:pStyle w:val="29"/>
        <w:rPr>
          <w:rFonts w:ascii="Times New Roman" w:hAnsi="Times New Roman"/>
          <w:color w:val="auto"/>
          <w:sz w:val="21"/>
          <w:szCs w:val="24"/>
          <w:lang/>
        </w:rPr>
      </w:pPr>
      <w:r>
        <w:rPr>
          <w:color w:val="auto"/>
          <w:lang/>
        </w:rPr>
        <w:fldChar w:fldCharType="begin"/>
      </w:r>
      <w:r>
        <w:rPr>
          <w:rStyle w:val="50"/>
          <w:color w:val="auto"/>
          <w:lang/>
        </w:rPr>
        <w:instrText xml:space="preserve"> </w:instrText>
      </w:r>
      <w:r>
        <w:rPr>
          <w:color w:val="auto"/>
          <w:lang/>
        </w:rPr>
        <w:instrText xml:space="preserve">HYPERLINK \l "_Toc44162154"</w:instrText>
      </w:r>
      <w:r>
        <w:rPr>
          <w:rStyle w:val="50"/>
          <w:color w:val="auto"/>
          <w:lang/>
        </w:rPr>
        <w:instrText xml:space="preserve"> </w:instrText>
      </w:r>
      <w:r>
        <w:rPr>
          <w:color w:val="auto"/>
          <w:lang/>
        </w:rPr>
        <w:fldChar w:fldCharType="separate"/>
      </w:r>
      <w:r>
        <w:rPr>
          <w:rStyle w:val="50"/>
          <w:rFonts w:hint="eastAsia"/>
          <w:b/>
          <w:color w:val="auto"/>
          <w:lang/>
        </w:rPr>
        <w:t>第五章</w:t>
      </w:r>
      <w:r>
        <w:rPr>
          <w:rStyle w:val="50"/>
          <w:b/>
          <w:color w:val="auto"/>
          <w:lang/>
        </w:rPr>
        <w:t xml:space="preserve">  </w:t>
      </w:r>
      <w:r>
        <w:rPr>
          <w:rStyle w:val="50"/>
          <w:rFonts w:hint="eastAsia"/>
          <w:b/>
          <w:color w:val="auto"/>
          <w:lang/>
        </w:rPr>
        <w:t>招标</w:t>
      </w:r>
      <w:bookmarkStart w:id="0" w:name="_Hlt46425448"/>
      <w:bookmarkStart w:id="1" w:name="_Hlt46425447"/>
      <w:r>
        <w:rPr>
          <w:rStyle w:val="50"/>
          <w:rFonts w:hint="eastAsia"/>
          <w:b/>
          <w:color w:val="auto"/>
          <w:lang/>
        </w:rPr>
        <w:t>内</w:t>
      </w:r>
      <w:bookmarkEnd w:id="0"/>
      <w:bookmarkEnd w:id="1"/>
      <w:r>
        <w:rPr>
          <w:rStyle w:val="50"/>
          <w:rFonts w:hint="eastAsia"/>
          <w:b/>
          <w:color w:val="auto"/>
          <w:lang/>
        </w:rPr>
        <w:t>容与技术需求</w:t>
      </w:r>
      <w:r>
        <w:rPr>
          <w:color w:val="auto"/>
          <w:lang/>
        </w:rPr>
        <w:tab/>
      </w:r>
      <w:r>
        <w:rPr>
          <w:color w:val="auto"/>
          <w:lang/>
        </w:rPr>
        <w:fldChar w:fldCharType="begin"/>
      </w:r>
      <w:r>
        <w:rPr>
          <w:color w:val="auto"/>
          <w:lang/>
        </w:rPr>
        <w:instrText xml:space="preserve"> PAGEREF _Toc44162154 \h </w:instrText>
      </w:r>
      <w:r>
        <w:rPr>
          <w:color w:val="auto"/>
          <w:lang/>
        </w:rPr>
        <w:fldChar w:fldCharType="separate"/>
      </w:r>
      <w:r>
        <w:rPr>
          <w:color w:val="auto"/>
          <w:lang/>
        </w:rPr>
        <w:t>24</w:t>
      </w:r>
      <w:r>
        <w:rPr>
          <w:color w:val="auto"/>
          <w:lang/>
        </w:rPr>
        <w:fldChar w:fldCharType="end"/>
      </w:r>
      <w:r>
        <w:rPr>
          <w:color w:val="auto"/>
          <w:lang/>
        </w:rPr>
        <w:fldChar w:fldCharType="end"/>
      </w:r>
    </w:p>
    <w:p>
      <w:pPr>
        <w:pStyle w:val="29"/>
        <w:rPr>
          <w:rFonts w:ascii="Times New Roman" w:hAnsi="Times New Roman"/>
          <w:color w:val="auto"/>
          <w:sz w:val="21"/>
          <w:szCs w:val="24"/>
          <w:lang/>
        </w:rPr>
      </w:pPr>
      <w:r>
        <w:rPr>
          <w:color w:val="auto"/>
          <w:lang/>
        </w:rPr>
        <w:fldChar w:fldCharType="begin"/>
      </w:r>
      <w:r>
        <w:rPr>
          <w:rStyle w:val="50"/>
          <w:color w:val="auto"/>
          <w:lang/>
        </w:rPr>
        <w:instrText xml:space="preserve"> </w:instrText>
      </w:r>
      <w:r>
        <w:rPr>
          <w:color w:val="auto"/>
          <w:lang/>
        </w:rPr>
        <w:instrText xml:space="preserve">HYPERLINK \l "_Toc44162155"</w:instrText>
      </w:r>
      <w:r>
        <w:rPr>
          <w:rStyle w:val="50"/>
          <w:color w:val="auto"/>
          <w:lang/>
        </w:rPr>
        <w:instrText xml:space="preserve"> </w:instrText>
      </w:r>
      <w:r>
        <w:rPr>
          <w:color w:val="auto"/>
          <w:lang/>
        </w:rPr>
        <w:fldChar w:fldCharType="separate"/>
      </w:r>
      <w:r>
        <w:rPr>
          <w:rStyle w:val="50"/>
          <w:rFonts w:hint="eastAsia"/>
          <w:b/>
          <w:color w:val="auto"/>
          <w:lang/>
        </w:rPr>
        <w:t>第六章</w:t>
      </w:r>
      <w:r>
        <w:rPr>
          <w:rStyle w:val="50"/>
          <w:b/>
          <w:color w:val="auto"/>
          <w:lang/>
        </w:rPr>
        <w:t xml:space="preserve">  </w:t>
      </w:r>
      <w:r>
        <w:rPr>
          <w:rStyle w:val="50"/>
          <w:rFonts w:hint="eastAsia"/>
          <w:b/>
          <w:color w:val="auto"/>
          <w:lang/>
        </w:rPr>
        <w:t>商务条款</w:t>
      </w:r>
      <w:r>
        <w:rPr>
          <w:color w:val="auto"/>
          <w:lang/>
        </w:rPr>
        <w:tab/>
      </w:r>
      <w:r>
        <w:rPr>
          <w:color w:val="auto"/>
          <w:lang/>
        </w:rPr>
        <w:fldChar w:fldCharType="begin"/>
      </w:r>
      <w:r>
        <w:rPr>
          <w:color w:val="auto"/>
          <w:lang/>
        </w:rPr>
        <w:instrText xml:space="preserve"> PAGEREF _Toc44162155 \h </w:instrText>
      </w:r>
      <w:r>
        <w:rPr>
          <w:color w:val="auto"/>
          <w:lang/>
        </w:rPr>
        <w:fldChar w:fldCharType="separate"/>
      </w:r>
      <w:r>
        <w:rPr>
          <w:color w:val="auto"/>
          <w:lang/>
        </w:rPr>
        <w:t>29</w:t>
      </w:r>
      <w:r>
        <w:rPr>
          <w:color w:val="auto"/>
          <w:lang/>
        </w:rPr>
        <w:fldChar w:fldCharType="end"/>
      </w:r>
      <w:r>
        <w:rPr>
          <w:color w:val="auto"/>
          <w:lang/>
        </w:rPr>
        <w:fldChar w:fldCharType="end"/>
      </w:r>
    </w:p>
    <w:p>
      <w:pPr>
        <w:pStyle w:val="29"/>
        <w:rPr>
          <w:rFonts w:ascii="Times New Roman" w:hAnsi="Times New Roman"/>
          <w:color w:val="auto"/>
          <w:sz w:val="21"/>
          <w:szCs w:val="24"/>
          <w:lang/>
        </w:rPr>
      </w:pPr>
      <w:r>
        <w:rPr>
          <w:color w:val="auto"/>
          <w:lang/>
        </w:rPr>
        <w:fldChar w:fldCharType="begin"/>
      </w:r>
      <w:r>
        <w:rPr>
          <w:rStyle w:val="50"/>
          <w:color w:val="auto"/>
          <w:lang/>
        </w:rPr>
        <w:instrText xml:space="preserve"> </w:instrText>
      </w:r>
      <w:r>
        <w:rPr>
          <w:color w:val="auto"/>
          <w:lang/>
        </w:rPr>
        <w:instrText xml:space="preserve">HYPERLINK \l "_Toc44162156"</w:instrText>
      </w:r>
      <w:r>
        <w:rPr>
          <w:rStyle w:val="50"/>
          <w:color w:val="auto"/>
          <w:lang/>
        </w:rPr>
        <w:instrText xml:space="preserve"> </w:instrText>
      </w:r>
      <w:r>
        <w:rPr>
          <w:color w:val="auto"/>
          <w:lang/>
        </w:rPr>
        <w:fldChar w:fldCharType="separate"/>
      </w:r>
      <w:r>
        <w:rPr>
          <w:rStyle w:val="50"/>
          <w:rFonts w:hint="eastAsia"/>
          <w:b/>
          <w:color w:val="auto"/>
          <w:lang/>
        </w:rPr>
        <w:t>第七章</w:t>
      </w:r>
      <w:r>
        <w:rPr>
          <w:rStyle w:val="50"/>
          <w:b/>
          <w:color w:val="auto"/>
          <w:lang/>
        </w:rPr>
        <w:t xml:space="preserve">  </w:t>
      </w:r>
      <w:r>
        <w:rPr>
          <w:rStyle w:val="50"/>
          <w:rFonts w:hint="eastAsia"/>
          <w:b/>
          <w:color w:val="auto"/>
          <w:lang/>
        </w:rPr>
        <w:t>附件</w:t>
      </w:r>
      <w:r>
        <w:rPr>
          <w:color w:val="auto"/>
          <w:lang/>
        </w:rPr>
        <w:tab/>
      </w:r>
      <w:r>
        <w:rPr>
          <w:color w:val="auto"/>
          <w:lang/>
        </w:rPr>
        <w:fldChar w:fldCharType="begin"/>
      </w:r>
      <w:r>
        <w:rPr>
          <w:color w:val="auto"/>
          <w:lang/>
        </w:rPr>
        <w:instrText xml:space="preserve"> PAGEREF _Toc44162156 \h </w:instrText>
      </w:r>
      <w:r>
        <w:rPr>
          <w:color w:val="auto"/>
          <w:lang/>
        </w:rPr>
        <w:fldChar w:fldCharType="separate"/>
      </w:r>
      <w:r>
        <w:rPr>
          <w:color w:val="auto"/>
          <w:lang/>
        </w:rPr>
        <w:t>30</w:t>
      </w:r>
      <w:r>
        <w:rPr>
          <w:color w:val="auto"/>
          <w:lang/>
        </w:rPr>
        <w:fldChar w:fldCharType="end"/>
      </w:r>
      <w:r>
        <w:rPr>
          <w:color w:val="auto"/>
          <w:lang/>
        </w:rPr>
        <w:fldChar w:fldCharType="end"/>
      </w:r>
    </w:p>
    <w:p>
      <w:pPr>
        <w:spacing w:line="1000" w:lineRule="exact"/>
        <w:jc w:val="center"/>
        <w:rPr>
          <w:rFonts w:ascii="宋体" w:hAnsi="宋体"/>
          <w:b/>
          <w:color w:val="auto"/>
          <w:sz w:val="32"/>
        </w:rPr>
      </w:pPr>
      <w:r>
        <w:rPr>
          <w:rFonts w:ascii="宋体" w:hAnsi="宋体"/>
          <w:color w:val="auto"/>
        </w:rPr>
        <w:fldChar w:fldCharType="end"/>
      </w:r>
    </w:p>
    <w:p>
      <w:pPr>
        <w:spacing w:line="400" w:lineRule="exact"/>
        <w:jc w:val="center"/>
        <w:rPr>
          <w:rFonts w:ascii="宋体" w:hAnsi="宋体"/>
          <w:b/>
          <w:color w:val="auto"/>
          <w:sz w:val="32"/>
        </w:rPr>
        <w:sectPr>
          <w:headerReference r:id="rId3" w:type="default"/>
          <w:footerReference r:id="rId4"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auto"/>
          <w:sz w:val="32"/>
        </w:rPr>
      </w:pPr>
      <w:bookmarkStart w:id="2" w:name="_Toc441621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2"/>
    </w:p>
    <w:p>
      <w:pPr>
        <w:spacing w:line="360" w:lineRule="auto"/>
        <w:rPr>
          <w:rFonts w:ascii="宋体" w:hAnsi="宋体"/>
          <w:b/>
          <w:color w:val="auto"/>
          <w:szCs w:val="21"/>
        </w:rPr>
      </w:pPr>
      <w:r>
        <w:rPr>
          <w:rFonts w:ascii="宋体" w:hAnsi="宋体"/>
          <w:b/>
          <w:color w:val="auto"/>
          <w:szCs w:val="21"/>
        </w:rPr>
        <w:t>项目概况</w:t>
      </w:r>
    </w:p>
    <w:p>
      <w:pPr>
        <w:spacing w:line="360" w:lineRule="auto"/>
        <w:ind w:firstLine="420" w:firstLineChars="200"/>
        <w:rPr>
          <w:rFonts w:ascii="宋体" w:hAnsi="宋体"/>
          <w:color w:val="auto"/>
          <w:szCs w:val="21"/>
        </w:rPr>
      </w:pPr>
      <w:r>
        <w:rPr>
          <w:rFonts w:hint="eastAsia" w:ascii="宋体" w:hAnsi="宋体"/>
          <w:color w:val="auto"/>
          <w:szCs w:val="21"/>
        </w:rPr>
        <w:t>宁波市镇海区人民医院医疗集团</w:t>
      </w:r>
      <w:r>
        <w:rPr>
          <w:rFonts w:hint="eastAsia" w:ascii="宋体" w:hAnsi="宋体"/>
          <w:color w:val="auto"/>
          <w:szCs w:val="21"/>
          <w:lang w:eastAsia="zh-CN"/>
        </w:rPr>
        <w:t>医学标本外送检测服务</w:t>
      </w:r>
      <w:r>
        <w:rPr>
          <w:rFonts w:hint="eastAsia" w:ascii="宋体" w:hAnsi="宋体"/>
          <w:color w:val="auto"/>
          <w:szCs w:val="21"/>
        </w:rPr>
        <w:t>项目</w:t>
      </w:r>
      <w:r>
        <w:rPr>
          <w:rFonts w:ascii="宋体" w:hAnsi="宋体"/>
          <w:color w:val="auto"/>
          <w:szCs w:val="21"/>
        </w:rPr>
        <w:t>的潜在投标人应在政府采购云平台（www.zcygov.cn）获取（下载）招标文件，并于2021年</w:t>
      </w:r>
      <w:r>
        <w:rPr>
          <w:rFonts w:hint="eastAsia" w:ascii="宋体" w:hAnsi="宋体"/>
          <w:color w:val="auto"/>
          <w:szCs w:val="21"/>
          <w:lang w:val="en-US" w:eastAsia="zh-CN"/>
        </w:rPr>
        <w:t>9</w:t>
      </w:r>
      <w:r>
        <w:rPr>
          <w:rFonts w:ascii="宋体" w:hAnsi="宋体"/>
          <w:color w:val="auto"/>
          <w:szCs w:val="21"/>
        </w:rPr>
        <w:t>月</w:t>
      </w:r>
      <w:r>
        <w:rPr>
          <w:rFonts w:hint="eastAsia" w:ascii="宋体" w:hAnsi="宋体"/>
          <w:color w:val="auto"/>
          <w:szCs w:val="21"/>
          <w:lang w:val="en-US" w:eastAsia="zh-CN"/>
        </w:rPr>
        <w:t>30</w:t>
      </w:r>
      <w:r>
        <w:rPr>
          <w:rFonts w:ascii="宋体" w:hAnsi="宋体"/>
          <w:color w:val="auto"/>
          <w:szCs w:val="21"/>
        </w:rPr>
        <w:t>日</w:t>
      </w:r>
      <w:r>
        <w:rPr>
          <w:rFonts w:hint="eastAsia" w:ascii="宋体" w:hAnsi="宋体"/>
          <w:color w:val="auto"/>
          <w:szCs w:val="21"/>
          <w:lang w:val="en-US" w:eastAsia="zh-CN"/>
        </w:rPr>
        <w:t>14</w:t>
      </w:r>
      <w:r>
        <w:rPr>
          <w:rFonts w:ascii="宋体" w:hAnsi="宋体"/>
          <w:color w:val="auto"/>
          <w:szCs w:val="21"/>
        </w:rPr>
        <w:t>:</w:t>
      </w:r>
      <w:r>
        <w:rPr>
          <w:rFonts w:hint="eastAsia" w:ascii="宋体" w:hAnsi="宋体"/>
          <w:color w:val="auto"/>
          <w:szCs w:val="21"/>
          <w:lang w:val="en-US" w:eastAsia="zh-CN"/>
        </w:rPr>
        <w:t>00</w:t>
      </w:r>
      <w:r>
        <w:rPr>
          <w:rFonts w:ascii="宋体" w:hAnsi="宋体"/>
          <w:color w:val="auto"/>
          <w:szCs w:val="21"/>
        </w:rPr>
        <w:t>（北京时间）前递交（上传）投标文件。</w:t>
      </w:r>
    </w:p>
    <w:p>
      <w:pPr>
        <w:spacing w:line="360" w:lineRule="auto"/>
        <w:rPr>
          <w:rFonts w:ascii="宋体" w:hAnsi="宋体"/>
          <w:b/>
          <w:color w:val="auto"/>
          <w:szCs w:val="21"/>
        </w:rPr>
      </w:pPr>
      <w:r>
        <w:rPr>
          <w:rFonts w:hint="eastAsia" w:ascii="宋体" w:hAnsi="宋体"/>
          <w:b/>
          <w:color w:val="auto"/>
          <w:szCs w:val="21"/>
        </w:rPr>
        <w:t>一、项目基本情况</w:t>
      </w:r>
    </w:p>
    <w:p>
      <w:pPr>
        <w:spacing w:line="360" w:lineRule="auto"/>
        <w:rPr>
          <w:rFonts w:hint="eastAsia" w:ascii="宋体" w:hAnsi="宋体"/>
          <w:color w:val="auto"/>
          <w:szCs w:val="21"/>
        </w:rPr>
      </w:pPr>
      <w:r>
        <w:rPr>
          <w:rFonts w:ascii="宋体" w:hAnsi="宋体"/>
          <w:color w:val="auto"/>
          <w:szCs w:val="21"/>
        </w:rPr>
        <w:t>项目编号：</w:t>
      </w:r>
      <w:r>
        <w:rPr>
          <w:rFonts w:hint="eastAsia" w:ascii="宋体" w:hAnsi="宋体"/>
          <w:color w:val="auto"/>
          <w:szCs w:val="21"/>
        </w:rPr>
        <w:t>NBITC-202</w:t>
      </w:r>
      <w:r>
        <w:rPr>
          <w:rFonts w:ascii="宋体" w:hAnsi="宋体"/>
          <w:color w:val="auto"/>
          <w:szCs w:val="21"/>
        </w:rPr>
        <w:t>1</w:t>
      </w:r>
      <w:r>
        <w:rPr>
          <w:rFonts w:hint="eastAsia" w:ascii="宋体" w:hAnsi="宋体"/>
          <w:color w:val="auto"/>
          <w:szCs w:val="21"/>
          <w:lang w:val="en-US" w:eastAsia="zh-CN"/>
        </w:rPr>
        <w:t>30999</w:t>
      </w:r>
      <w:r>
        <w:rPr>
          <w:rFonts w:hint="eastAsia" w:ascii="宋体" w:hAnsi="宋体"/>
          <w:color w:val="auto"/>
          <w:szCs w:val="21"/>
        </w:rPr>
        <w:t>G</w:t>
      </w:r>
    </w:p>
    <w:p>
      <w:pPr>
        <w:spacing w:line="360" w:lineRule="auto"/>
        <w:rPr>
          <w:rFonts w:ascii="宋体" w:hAnsi="宋体"/>
          <w:color w:val="auto"/>
          <w:szCs w:val="21"/>
        </w:rPr>
      </w:pPr>
      <w:r>
        <w:rPr>
          <w:rFonts w:ascii="宋体" w:hAnsi="宋体"/>
          <w:color w:val="auto"/>
          <w:szCs w:val="21"/>
        </w:rPr>
        <w:t>项目名称：</w:t>
      </w:r>
      <w:r>
        <w:rPr>
          <w:rFonts w:hint="eastAsia" w:ascii="宋体" w:hAnsi="宋体"/>
          <w:color w:val="auto"/>
          <w:szCs w:val="21"/>
        </w:rPr>
        <w:t>宁波市镇海区人民医院医疗集团</w:t>
      </w:r>
      <w:r>
        <w:rPr>
          <w:rFonts w:hint="eastAsia" w:ascii="宋体" w:hAnsi="宋体"/>
          <w:color w:val="auto"/>
          <w:szCs w:val="21"/>
          <w:lang w:eastAsia="zh-CN"/>
        </w:rPr>
        <w:t>医学标本外送检测服务</w:t>
      </w:r>
      <w:r>
        <w:rPr>
          <w:rFonts w:hint="eastAsia" w:ascii="宋体" w:hAnsi="宋体"/>
          <w:color w:val="auto"/>
          <w:szCs w:val="21"/>
        </w:rPr>
        <w:t>项目</w:t>
      </w:r>
    </w:p>
    <w:p>
      <w:pPr>
        <w:spacing w:line="360" w:lineRule="auto"/>
        <w:rPr>
          <w:rFonts w:hint="default" w:ascii="宋体" w:hAnsi="宋体"/>
          <w:color w:val="auto"/>
          <w:szCs w:val="21"/>
          <w:lang w:val="en-US"/>
        </w:rPr>
      </w:pPr>
      <w:r>
        <w:rPr>
          <w:rFonts w:ascii="宋体" w:hAnsi="宋体"/>
          <w:color w:val="auto"/>
          <w:szCs w:val="21"/>
        </w:rPr>
        <w:t>预算金额（元）：</w:t>
      </w:r>
      <w:r>
        <w:rPr>
          <w:rFonts w:hint="eastAsia" w:ascii="宋体" w:hAnsi="宋体"/>
          <w:color w:val="auto"/>
          <w:szCs w:val="21"/>
          <w:lang w:val="en-US" w:eastAsia="zh-CN"/>
        </w:rPr>
        <w:t>13800000</w:t>
      </w:r>
    </w:p>
    <w:p>
      <w:pPr>
        <w:spacing w:line="360" w:lineRule="auto"/>
        <w:rPr>
          <w:rFonts w:ascii="宋体" w:hAnsi="宋体"/>
          <w:color w:val="auto"/>
          <w:szCs w:val="21"/>
        </w:rPr>
      </w:pPr>
      <w:r>
        <w:rPr>
          <w:rFonts w:ascii="宋体" w:hAnsi="宋体"/>
          <w:color w:val="auto"/>
          <w:szCs w:val="21"/>
        </w:rPr>
        <w:t>最高限价（元）：/</w:t>
      </w:r>
    </w:p>
    <w:p>
      <w:pPr>
        <w:spacing w:line="360" w:lineRule="auto"/>
        <w:rPr>
          <w:rFonts w:ascii="宋体" w:hAnsi="宋体"/>
          <w:color w:val="auto"/>
          <w:szCs w:val="21"/>
        </w:rPr>
      </w:pPr>
      <w:r>
        <w:rPr>
          <w:rFonts w:ascii="宋体" w:hAnsi="宋体"/>
          <w:color w:val="auto"/>
          <w:szCs w:val="21"/>
        </w:rPr>
        <w:t>采购需求：</w:t>
      </w:r>
    </w:p>
    <w:p>
      <w:pPr>
        <w:spacing w:line="360" w:lineRule="auto"/>
        <w:rPr>
          <w:rFonts w:hint="eastAsia" w:ascii="宋体" w:hAnsi="宋体"/>
          <w:color w:val="auto"/>
          <w:szCs w:val="21"/>
        </w:rPr>
      </w:pPr>
      <w:r>
        <w:rPr>
          <w:rFonts w:ascii="宋体" w:hAnsi="宋体"/>
          <w:color w:val="auto"/>
          <w:szCs w:val="21"/>
        </w:rPr>
        <w:t>标项名称:</w:t>
      </w:r>
      <w:r>
        <w:rPr>
          <w:rFonts w:hint="eastAsia" w:ascii="宋体" w:hAnsi="宋体"/>
          <w:color w:val="auto"/>
          <w:szCs w:val="21"/>
          <w:lang w:eastAsia="zh-CN"/>
        </w:rPr>
        <w:t>医学标本外送检测服务</w:t>
      </w:r>
      <w:r>
        <w:rPr>
          <w:rFonts w:hint="eastAsia" w:ascii="宋体" w:hAnsi="宋体"/>
          <w:color w:val="auto"/>
          <w:szCs w:val="21"/>
        </w:rPr>
        <w:t>项目</w:t>
      </w:r>
      <w:r>
        <w:rPr>
          <w:rFonts w:ascii="宋体" w:hAnsi="宋体"/>
          <w:color w:val="auto"/>
          <w:szCs w:val="21"/>
        </w:rPr>
        <w:br w:type="textWrapping"/>
      </w:r>
      <w:r>
        <w:rPr>
          <w:rFonts w:ascii="宋体" w:hAnsi="宋体"/>
          <w:color w:val="auto"/>
          <w:szCs w:val="21"/>
        </w:rPr>
        <w:t>数量:3</w:t>
      </w:r>
    </w:p>
    <w:p>
      <w:pPr>
        <w:spacing w:line="360" w:lineRule="auto"/>
        <w:rPr>
          <w:rFonts w:hint="default" w:ascii="宋体" w:hAnsi="宋体" w:eastAsia="宋体"/>
          <w:color w:val="auto"/>
          <w:szCs w:val="21"/>
          <w:lang w:val="en-US" w:eastAsia="zh-CN"/>
        </w:rPr>
      </w:pPr>
      <w:r>
        <w:rPr>
          <w:rFonts w:ascii="宋体" w:hAnsi="宋体"/>
          <w:color w:val="auto"/>
          <w:szCs w:val="21"/>
        </w:rPr>
        <w:t>预算金额（元）:</w:t>
      </w:r>
      <w:r>
        <w:rPr>
          <w:rFonts w:hint="eastAsia" w:ascii="宋体" w:hAnsi="宋体"/>
          <w:color w:val="auto"/>
          <w:szCs w:val="21"/>
          <w:lang w:val="en-US" w:eastAsia="zh-CN"/>
        </w:rPr>
        <w:t>13800000</w:t>
      </w:r>
    </w:p>
    <w:p>
      <w:pPr>
        <w:spacing w:line="360" w:lineRule="auto"/>
        <w:rPr>
          <w:rFonts w:hint="eastAsia" w:ascii="宋体" w:hAnsi="宋体"/>
          <w:color w:val="auto"/>
          <w:szCs w:val="21"/>
        </w:rPr>
      </w:pPr>
      <w:r>
        <w:rPr>
          <w:rFonts w:ascii="宋体" w:hAnsi="宋体"/>
          <w:color w:val="auto"/>
          <w:szCs w:val="21"/>
        </w:rPr>
        <w:t>简要规格描述或项目基本概况介绍、用途：详见招标文件第五章招标内容与技术需求</w:t>
      </w:r>
    </w:p>
    <w:p>
      <w:pPr>
        <w:spacing w:line="360" w:lineRule="auto"/>
        <w:rPr>
          <w:rFonts w:ascii="宋体" w:hAnsi="宋体"/>
          <w:color w:val="auto"/>
          <w:szCs w:val="21"/>
        </w:rPr>
      </w:pPr>
      <w:r>
        <w:rPr>
          <w:rFonts w:ascii="宋体" w:hAnsi="宋体"/>
          <w:color w:val="auto"/>
          <w:szCs w:val="21"/>
        </w:rPr>
        <w:t>备注：详细采购需求见本公告附件</w:t>
      </w:r>
    </w:p>
    <w:p>
      <w:pPr>
        <w:spacing w:line="360" w:lineRule="auto"/>
        <w:rPr>
          <w:rFonts w:ascii="宋体" w:hAnsi="宋体"/>
          <w:color w:val="auto"/>
          <w:szCs w:val="21"/>
        </w:rPr>
      </w:pPr>
      <w:r>
        <w:rPr>
          <w:rFonts w:ascii="宋体" w:hAnsi="宋体"/>
          <w:color w:val="auto"/>
          <w:szCs w:val="21"/>
        </w:rPr>
        <w:t>合同履约期限：标项1，一招三年，合同每年一签。采购人有权根据上年合同履约考核情况决定是否续签。</w:t>
      </w:r>
    </w:p>
    <w:p>
      <w:pPr>
        <w:spacing w:line="360" w:lineRule="auto"/>
        <w:rPr>
          <w:rFonts w:ascii="宋体" w:hAnsi="宋体"/>
          <w:color w:val="auto"/>
          <w:szCs w:val="21"/>
        </w:rPr>
      </w:pPr>
      <w:r>
        <w:rPr>
          <w:rFonts w:ascii="宋体" w:hAnsi="宋体"/>
          <w:color w:val="auto"/>
          <w:szCs w:val="21"/>
        </w:rPr>
        <w:t>本项目（否）接受联合体投标。</w:t>
      </w:r>
    </w:p>
    <w:p>
      <w:pPr>
        <w:spacing w:line="360" w:lineRule="auto"/>
        <w:rPr>
          <w:rFonts w:ascii="宋体" w:hAnsi="宋体"/>
          <w:b/>
          <w:color w:val="auto"/>
          <w:szCs w:val="21"/>
        </w:rPr>
      </w:pPr>
      <w:r>
        <w:rPr>
          <w:rFonts w:hint="eastAsia" w:ascii="宋体" w:hAnsi="宋体"/>
          <w:b/>
          <w:color w:val="auto"/>
          <w:szCs w:val="21"/>
        </w:rPr>
        <w:t>二、申请人的资格要求：</w:t>
      </w:r>
    </w:p>
    <w:p>
      <w:pPr>
        <w:spacing w:line="360" w:lineRule="auto"/>
        <w:rPr>
          <w:rFonts w:ascii="宋体" w:hAnsi="宋体"/>
          <w:color w:val="auto"/>
          <w:szCs w:val="21"/>
        </w:rPr>
      </w:pPr>
      <w:r>
        <w:rPr>
          <w:rFonts w:ascii="宋体" w:hAnsi="宋体"/>
          <w:color w:val="auto"/>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olor w:val="auto"/>
          <w:szCs w:val="21"/>
        </w:rPr>
      </w:pPr>
      <w:r>
        <w:rPr>
          <w:rFonts w:ascii="宋体" w:hAnsi="宋体"/>
          <w:color w:val="auto"/>
          <w:szCs w:val="21"/>
        </w:rPr>
        <w:t>2.落实政府采购政策需满足的资格要求：无</w:t>
      </w:r>
    </w:p>
    <w:p>
      <w:pPr>
        <w:spacing w:line="360" w:lineRule="auto"/>
        <w:rPr>
          <w:rFonts w:ascii="宋体" w:hAnsi="宋体"/>
          <w:color w:val="auto"/>
          <w:szCs w:val="21"/>
        </w:rPr>
      </w:pPr>
      <w:r>
        <w:rPr>
          <w:rFonts w:ascii="宋体" w:hAnsi="宋体"/>
          <w:color w:val="auto"/>
          <w:szCs w:val="21"/>
        </w:rPr>
        <w:t>3.本项目的特定资格要求：无</w:t>
      </w:r>
    </w:p>
    <w:p>
      <w:pPr>
        <w:spacing w:line="360" w:lineRule="auto"/>
        <w:rPr>
          <w:rFonts w:ascii="宋体" w:hAnsi="宋体"/>
          <w:b/>
          <w:color w:val="auto"/>
          <w:szCs w:val="21"/>
        </w:rPr>
      </w:pPr>
      <w:r>
        <w:rPr>
          <w:rFonts w:hint="eastAsia" w:ascii="宋体" w:hAnsi="宋体"/>
          <w:b/>
          <w:color w:val="auto"/>
          <w:szCs w:val="21"/>
        </w:rPr>
        <w:t>三、获取招标文件</w:t>
      </w:r>
    </w:p>
    <w:p>
      <w:pPr>
        <w:spacing w:line="360" w:lineRule="auto"/>
        <w:rPr>
          <w:rFonts w:hint="eastAsia" w:ascii="宋体" w:hAnsi="宋体"/>
          <w:color w:val="auto"/>
          <w:szCs w:val="21"/>
        </w:rPr>
      </w:pPr>
      <w:r>
        <w:rPr>
          <w:rFonts w:ascii="宋体" w:hAnsi="宋体"/>
          <w:color w:val="auto"/>
          <w:szCs w:val="21"/>
        </w:rPr>
        <w:t>时间：2021年</w:t>
      </w:r>
      <w:r>
        <w:rPr>
          <w:rFonts w:hint="eastAsia" w:ascii="宋体" w:hAnsi="宋体"/>
          <w:color w:val="auto"/>
          <w:szCs w:val="21"/>
          <w:lang w:val="en-US" w:eastAsia="zh-CN"/>
        </w:rPr>
        <w:t>9</w:t>
      </w:r>
      <w:r>
        <w:rPr>
          <w:rFonts w:ascii="宋体" w:hAnsi="宋体"/>
          <w:color w:val="auto"/>
          <w:szCs w:val="21"/>
        </w:rPr>
        <w:t>月</w:t>
      </w:r>
      <w:r>
        <w:rPr>
          <w:rFonts w:hint="eastAsia" w:ascii="宋体" w:hAnsi="宋体"/>
          <w:color w:val="auto"/>
          <w:szCs w:val="21"/>
          <w:lang w:val="en-US" w:eastAsia="zh-CN"/>
        </w:rPr>
        <w:t>9</w:t>
      </w:r>
      <w:r>
        <w:rPr>
          <w:rFonts w:ascii="宋体" w:hAnsi="宋体"/>
          <w:color w:val="auto"/>
          <w:szCs w:val="21"/>
        </w:rPr>
        <w:t>日至2021年</w:t>
      </w:r>
      <w:r>
        <w:rPr>
          <w:rFonts w:hint="eastAsia" w:ascii="宋体" w:hAnsi="宋体"/>
          <w:color w:val="auto"/>
          <w:szCs w:val="21"/>
          <w:lang w:val="en-US" w:eastAsia="zh-CN"/>
        </w:rPr>
        <w:t>9</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日，每天上午08:30至11:30，下午13:30至17:00（北京时间，线上获取法定节假日均可，线下获取文件法定节假日除外）</w:t>
      </w:r>
    </w:p>
    <w:p>
      <w:pPr>
        <w:spacing w:line="360" w:lineRule="auto"/>
        <w:rPr>
          <w:rFonts w:ascii="宋体" w:hAnsi="宋体"/>
          <w:color w:val="auto"/>
          <w:szCs w:val="21"/>
        </w:rPr>
      </w:pPr>
      <w:r>
        <w:rPr>
          <w:rFonts w:ascii="宋体" w:hAnsi="宋体"/>
          <w:color w:val="auto"/>
          <w:szCs w:val="21"/>
        </w:rPr>
        <w:t>地点（网址）：政府采购云平台（www.zcygov.cn）</w:t>
      </w:r>
    </w:p>
    <w:p>
      <w:pPr>
        <w:spacing w:line="360" w:lineRule="auto"/>
        <w:rPr>
          <w:rFonts w:ascii="宋体" w:hAnsi="宋体"/>
          <w:color w:val="auto"/>
          <w:szCs w:val="21"/>
        </w:rPr>
      </w:pPr>
      <w:r>
        <w:rPr>
          <w:rFonts w:ascii="宋体" w:hAnsi="宋体"/>
          <w:color w:val="auto"/>
          <w:szCs w:val="21"/>
        </w:rPr>
        <w:t>方式：供应商登录政府采购云平台（www.zcygov.cn）的注册账号后，进入政采云系统“项目采购”模块“获取采购文件”菜单，进行网上获取招标文件。如有疑问请及时咨询网站客服，咨询电话：4008817190。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spacing w:line="360" w:lineRule="auto"/>
        <w:rPr>
          <w:rFonts w:ascii="宋体" w:hAnsi="宋体"/>
          <w:color w:val="auto"/>
          <w:szCs w:val="21"/>
        </w:rPr>
      </w:pPr>
      <w:r>
        <w:rPr>
          <w:rFonts w:ascii="宋体" w:hAnsi="宋体"/>
          <w:color w:val="auto"/>
          <w:szCs w:val="21"/>
        </w:rPr>
        <w:t>售价（元）：0</w:t>
      </w:r>
    </w:p>
    <w:p>
      <w:pPr>
        <w:spacing w:line="360" w:lineRule="auto"/>
        <w:rPr>
          <w:rFonts w:ascii="宋体" w:hAnsi="宋体"/>
          <w:b/>
          <w:color w:val="auto"/>
          <w:szCs w:val="21"/>
        </w:rPr>
      </w:pPr>
      <w:r>
        <w:rPr>
          <w:rFonts w:hint="eastAsia" w:ascii="宋体" w:hAnsi="宋体"/>
          <w:b/>
          <w:color w:val="auto"/>
          <w:szCs w:val="21"/>
        </w:rPr>
        <w:t>四、提交投标文件截止时间、开标时间和地点</w:t>
      </w:r>
    </w:p>
    <w:p>
      <w:pPr>
        <w:spacing w:line="360" w:lineRule="auto"/>
        <w:rPr>
          <w:rFonts w:hint="eastAsia" w:ascii="宋体" w:hAnsi="宋体"/>
          <w:color w:val="auto"/>
          <w:szCs w:val="21"/>
        </w:rPr>
      </w:pPr>
      <w:r>
        <w:rPr>
          <w:rFonts w:ascii="宋体" w:hAnsi="宋体"/>
          <w:color w:val="auto"/>
          <w:szCs w:val="21"/>
        </w:rPr>
        <w:t>提交投标文件截止时间：2021年</w:t>
      </w:r>
      <w:r>
        <w:rPr>
          <w:rFonts w:hint="eastAsia" w:ascii="宋体" w:hAnsi="宋体"/>
          <w:color w:val="auto"/>
          <w:szCs w:val="21"/>
          <w:lang w:val="en-US" w:eastAsia="zh-CN"/>
        </w:rPr>
        <w:t>9</w:t>
      </w:r>
      <w:r>
        <w:rPr>
          <w:rFonts w:ascii="宋体" w:hAnsi="宋体"/>
          <w:color w:val="auto"/>
          <w:szCs w:val="21"/>
        </w:rPr>
        <w:t>月</w:t>
      </w:r>
      <w:r>
        <w:rPr>
          <w:rFonts w:hint="eastAsia" w:ascii="宋体" w:hAnsi="宋体"/>
          <w:color w:val="auto"/>
          <w:szCs w:val="21"/>
          <w:lang w:val="en-US" w:eastAsia="zh-CN"/>
        </w:rPr>
        <w:t>30</w:t>
      </w:r>
      <w:r>
        <w:rPr>
          <w:rFonts w:ascii="宋体" w:hAnsi="宋体"/>
          <w:color w:val="auto"/>
          <w:szCs w:val="21"/>
        </w:rPr>
        <w:t>日</w:t>
      </w:r>
      <w:r>
        <w:rPr>
          <w:rFonts w:hint="eastAsia" w:ascii="宋体" w:hAnsi="宋体"/>
          <w:color w:val="auto"/>
          <w:szCs w:val="21"/>
          <w:lang w:val="en-US" w:eastAsia="zh-CN"/>
        </w:rPr>
        <w:t>14</w:t>
      </w:r>
      <w:r>
        <w:rPr>
          <w:rFonts w:ascii="宋体" w:hAnsi="宋体"/>
          <w:color w:val="auto"/>
          <w:szCs w:val="21"/>
        </w:rPr>
        <w:t>:</w:t>
      </w:r>
      <w:r>
        <w:rPr>
          <w:rFonts w:hint="eastAsia" w:ascii="宋体" w:hAnsi="宋体"/>
          <w:color w:val="auto"/>
          <w:szCs w:val="21"/>
          <w:lang w:val="en-US" w:eastAsia="zh-CN"/>
        </w:rPr>
        <w:t>00</w:t>
      </w:r>
      <w:r>
        <w:rPr>
          <w:rFonts w:ascii="宋体" w:hAnsi="宋体"/>
          <w:color w:val="auto"/>
          <w:szCs w:val="21"/>
        </w:rPr>
        <w:t>（北京时间）</w:t>
      </w:r>
    </w:p>
    <w:p>
      <w:pPr>
        <w:spacing w:line="360" w:lineRule="auto"/>
        <w:rPr>
          <w:rFonts w:ascii="宋体" w:hAnsi="宋体"/>
          <w:color w:val="auto"/>
          <w:szCs w:val="21"/>
        </w:rPr>
      </w:pPr>
      <w:r>
        <w:rPr>
          <w:rFonts w:ascii="宋体" w:hAnsi="宋体"/>
          <w:color w:val="auto"/>
          <w:szCs w:val="21"/>
        </w:rPr>
        <w:t>投标地点（网址）：宁波市镇海区公共资源交易中心开标厅（宁波市镇海区骆驼街道金华南路55号E座3楼）</w:t>
      </w:r>
    </w:p>
    <w:p>
      <w:pPr>
        <w:spacing w:line="360" w:lineRule="auto"/>
        <w:rPr>
          <w:rFonts w:ascii="宋体" w:hAnsi="宋体"/>
          <w:color w:val="auto"/>
          <w:szCs w:val="21"/>
        </w:rPr>
      </w:pPr>
      <w:r>
        <w:rPr>
          <w:rFonts w:ascii="宋体" w:hAnsi="宋体"/>
          <w:color w:val="auto"/>
          <w:szCs w:val="21"/>
        </w:rPr>
        <w:t>开标时间：2021年</w:t>
      </w:r>
      <w:r>
        <w:rPr>
          <w:rFonts w:hint="eastAsia" w:ascii="宋体" w:hAnsi="宋体"/>
          <w:color w:val="auto"/>
          <w:szCs w:val="21"/>
          <w:lang w:val="en-US" w:eastAsia="zh-CN"/>
        </w:rPr>
        <w:t>9</w:t>
      </w:r>
      <w:r>
        <w:rPr>
          <w:rFonts w:ascii="宋体" w:hAnsi="宋体"/>
          <w:color w:val="auto"/>
          <w:szCs w:val="21"/>
        </w:rPr>
        <w:t>月</w:t>
      </w:r>
      <w:r>
        <w:rPr>
          <w:rFonts w:hint="eastAsia" w:ascii="宋体" w:hAnsi="宋体"/>
          <w:color w:val="auto"/>
          <w:szCs w:val="21"/>
          <w:lang w:val="en-US" w:eastAsia="zh-CN"/>
        </w:rPr>
        <w:t>30</w:t>
      </w:r>
      <w:r>
        <w:rPr>
          <w:rFonts w:ascii="宋体" w:hAnsi="宋体"/>
          <w:color w:val="auto"/>
          <w:szCs w:val="21"/>
        </w:rPr>
        <w:t>日</w:t>
      </w:r>
      <w:r>
        <w:rPr>
          <w:rFonts w:hint="eastAsia" w:ascii="宋体" w:hAnsi="宋体"/>
          <w:color w:val="auto"/>
          <w:szCs w:val="21"/>
          <w:lang w:val="en-US" w:eastAsia="zh-CN"/>
        </w:rPr>
        <w:t>14</w:t>
      </w:r>
      <w:r>
        <w:rPr>
          <w:rFonts w:ascii="宋体" w:hAnsi="宋体"/>
          <w:color w:val="auto"/>
          <w:szCs w:val="21"/>
        </w:rPr>
        <w:t>:</w:t>
      </w:r>
      <w:r>
        <w:rPr>
          <w:rFonts w:hint="eastAsia" w:ascii="宋体" w:hAnsi="宋体"/>
          <w:color w:val="auto"/>
          <w:szCs w:val="21"/>
          <w:lang w:val="en-US" w:eastAsia="zh-CN"/>
        </w:rPr>
        <w:t>00</w:t>
      </w:r>
      <w:r>
        <w:rPr>
          <w:rFonts w:ascii="宋体" w:hAnsi="宋体"/>
          <w:color w:val="auto"/>
          <w:szCs w:val="21"/>
        </w:rPr>
        <w:t>（北京时间）</w:t>
      </w:r>
    </w:p>
    <w:p>
      <w:pPr>
        <w:spacing w:line="360" w:lineRule="auto"/>
        <w:rPr>
          <w:rFonts w:ascii="宋体" w:hAnsi="宋体"/>
          <w:color w:val="auto"/>
          <w:szCs w:val="21"/>
        </w:rPr>
      </w:pPr>
      <w:r>
        <w:rPr>
          <w:rFonts w:ascii="宋体" w:hAnsi="宋体"/>
          <w:color w:val="auto"/>
          <w:szCs w:val="21"/>
        </w:rPr>
        <w:t>开标地点（网址）：宁波市镇海区公共资源交易中心开标厅（宁波市镇海区骆驼街道金华南路55号E座3楼）</w:t>
      </w:r>
    </w:p>
    <w:p>
      <w:pPr>
        <w:spacing w:line="360" w:lineRule="auto"/>
        <w:rPr>
          <w:rFonts w:ascii="宋体" w:hAnsi="宋体"/>
          <w:b/>
          <w:color w:val="auto"/>
          <w:szCs w:val="21"/>
        </w:rPr>
      </w:pPr>
      <w:r>
        <w:rPr>
          <w:rFonts w:hint="eastAsia" w:ascii="宋体" w:hAnsi="宋体"/>
          <w:b/>
          <w:color w:val="auto"/>
          <w:szCs w:val="21"/>
        </w:rPr>
        <w:t>五、公告期限</w:t>
      </w:r>
    </w:p>
    <w:p>
      <w:pPr>
        <w:spacing w:line="360" w:lineRule="auto"/>
        <w:rPr>
          <w:rFonts w:hint="eastAsia" w:ascii="宋体" w:hAnsi="宋体"/>
          <w:color w:val="auto"/>
          <w:szCs w:val="21"/>
        </w:rPr>
      </w:pPr>
      <w:r>
        <w:rPr>
          <w:rFonts w:ascii="宋体" w:hAnsi="宋体"/>
          <w:color w:val="auto"/>
          <w:szCs w:val="21"/>
        </w:rPr>
        <w:t>自本公告发布之日起5个工作日。</w:t>
      </w:r>
    </w:p>
    <w:p>
      <w:pPr>
        <w:spacing w:line="360" w:lineRule="auto"/>
        <w:rPr>
          <w:rFonts w:ascii="宋体" w:hAnsi="宋体"/>
          <w:b/>
          <w:color w:val="auto"/>
          <w:szCs w:val="21"/>
        </w:rPr>
      </w:pPr>
      <w:r>
        <w:rPr>
          <w:rFonts w:hint="eastAsia" w:ascii="宋体" w:hAnsi="宋体"/>
          <w:b/>
          <w:color w:val="auto"/>
          <w:szCs w:val="21"/>
        </w:rPr>
        <w:t>六、其他补充事宜</w:t>
      </w:r>
    </w:p>
    <w:p>
      <w:pPr>
        <w:spacing w:line="360" w:lineRule="auto"/>
        <w:rPr>
          <w:rFonts w:hint="eastAsia" w:ascii="宋体" w:hAnsi="宋体"/>
          <w:color w:val="auto"/>
          <w:szCs w:val="21"/>
        </w:rPr>
      </w:pPr>
      <w:r>
        <w:rPr>
          <w:rFonts w:ascii="宋体" w:hAnsi="宋体"/>
          <w:color w:val="auto"/>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olor w:val="auto"/>
          <w:szCs w:val="21"/>
        </w:rPr>
        <w:br w:type="textWrapping"/>
      </w:r>
      <w:r>
        <w:rPr>
          <w:rFonts w:ascii="宋体" w:hAnsi="宋体"/>
          <w:color w:val="auto"/>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spacing w:line="360" w:lineRule="auto"/>
        <w:rPr>
          <w:rFonts w:hint="eastAsia" w:ascii="宋体" w:hAnsi="宋体"/>
          <w:color w:val="auto"/>
          <w:szCs w:val="21"/>
        </w:rPr>
      </w:pPr>
      <w:r>
        <w:rPr>
          <w:rFonts w:ascii="宋体" w:hAnsi="宋体"/>
          <w:color w:val="auto"/>
          <w:szCs w:val="21"/>
        </w:rPr>
        <w:t>3.供应商应于提交投标文件截止时间前将电子投标文件上传到政府采购云平台（www.zcygov.cn），并应于提交投标文件截止时间前，将以U盘或光盘存储的电子备份投标文件及纸质备份响应文件密封后送至开标地点：宁波市镇海区公共资源交易中心开标厅二（宁波市镇海区骆驼街道金华南路55号E座3楼）。</w:t>
      </w:r>
    </w:p>
    <w:p>
      <w:pPr>
        <w:spacing w:line="360" w:lineRule="auto"/>
        <w:rPr>
          <w:rFonts w:hint="eastAsia" w:ascii="宋体" w:hAnsi="宋体"/>
          <w:color w:val="auto"/>
          <w:szCs w:val="21"/>
        </w:rPr>
      </w:pPr>
      <w:r>
        <w:rPr>
          <w:rFonts w:ascii="宋体" w:hAnsi="宋体"/>
          <w:color w:val="auto"/>
          <w:szCs w:val="21"/>
        </w:rPr>
        <w:t>4.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而采用纸质备份响应文件线下评审程序时，供应商在截止时间前未提交纸质备份响应文件的，视为供应商放弃投标。无论是否启用备份电子投标文件或纸质备份响应文件，均不退还供应商。</w:t>
      </w:r>
    </w:p>
    <w:p>
      <w:pPr>
        <w:spacing w:line="360" w:lineRule="auto"/>
        <w:rPr>
          <w:rFonts w:hint="eastAsia" w:ascii="宋体" w:hAnsi="宋体"/>
          <w:color w:val="auto"/>
          <w:szCs w:val="21"/>
        </w:rPr>
      </w:pPr>
      <w:r>
        <w:rPr>
          <w:rFonts w:ascii="宋体" w:hAnsi="宋体"/>
          <w:color w:val="auto"/>
          <w:szCs w:val="21"/>
        </w:rPr>
        <w:t>5.本项目实行网上投标，采用电子投标文件。若供应商参与投标，自行承担投标一切费用。</w:t>
      </w:r>
      <w:r>
        <w:rPr>
          <w:rFonts w:ascii="宋体" w:hAnsi="宋体"/>
          <w:color w:val="auto"/>
          <w:szCs w:val="21"/>
        </w:rPr>
        <w:br w:type="textWrapping"/>
      </w:r>
      <w:r>
        <w:rPr>
          <w:rFonts w:ascii="宋体" w:hAnsi="宋体"/>
          <w:color w:val="auto"/>
          <w:szCs w:val="21"/>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360" w:lineRule="auto"/>
        <w:rPr>
          <w:rFonts w:hint="eastAsia" w:ascii="宋体" w:hAnsi="宋体"/>
          <w:color w:val="auto"/>
          <w:szCs w:val="21"/>
        </w:rPr>
      </w:pPr>
      <w:r>
        <w:rPr>
          <w:rFonts w:ascii="宋体" w:hAnsi="宋体"/>
          <w:color w:val="auto"/>
          <w:szCs w:val="21"/>
        </w:rPr>
        <w:t>7.投标文件制作：（1）应按照本项目招标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ascii="宋体" w:hAnsi="宋体"/>
          <w:color w:val="auto"/>
          <w:szCs w:val="21"/>
        </w:rPr>
        <w:t>①</w:t>
      </w:r>
      <w:r>
        <w:rPr>
          <w:rFonts w:ascii="宋体" w:hAnsi="宋体"/>
          <w:color w:val="auto"/>
          <w:szCs w:val="21"/>
        </w:rPr>
        <w:t>政府采购项目电子交易管理操作指南（视频）：service.zcygov.cn/#/knowledges/CW1EtGwBFdiHxlNd6I3m/7GyLXW0BXgMSmLUuYuPM（电脑登录账号观看）；</w:t>
      </w:r>
      <w:r>
        <w:rPr>
          <w:rFonts w:hint="eastAsia" w:ascii="宋体" w:hAnsi="宋体"/>
          <w:color w:val="auto"/>
          <w:szCs w:val="21"/>
        </w:rPr>
        <w:t>②</w:t>
      </w:r>
      <w:r>
        <w:rPr>
          <w:rFonts w:ascii="宋体" w:hAnsi="宋体"/>
          <w:color w:val="auto"/>
          <w:szCs w:val="21"/>
        </w:rPr>
        <w:t>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spacing w:line="360" w:lineRule="auto"/>
        <w:rPr>
          <w:rFonts w:ascii="宋体" w:hAnsi="宋体"/>
          <w:b/>
          <w:color w:val="auto"/>
          <w:szCs w:val="21"/>
        </w:rPr>
      </w:pPr>
      <w:r>
        <w:rPr>
          <w:rFonts w:hint="eastAsia" w:ascii="宋体" w:hAnsi="宋体"/>
          <w:b/>
          <w:color w:val="auto"/>
          <w:szCs w:val="21"/>
        </w:rPr>
        <w:t>七、对本次采购提出询问、质疑、投诉，请按以下方式联系</w:t>
      </w:r>
    </w:p>
    <w:p>
      <w:pPr>
        <w:spacing w:line="360" w:lineRule="auto"/>
        <w:rPr>
          <w:rFonts w:hint="eastAsia" w:ascii="宋体" w:hAnsi="宋体"/>
          <w:color w:val="auto"/>
          <w:szCs w:val="21"/>
        </w:rPr>
      </w:pPr>
      <w:r>
        <w:rPr>
          <w:rFonts w:ascii="宋体" w:hAnsi="宋体"/>
          <w:color w:val="auto"/>
          <w:szCs w:val="21"/>
        </w:rPr>
        <w:t>1.采购人信息</w:t>
      </w:r>
    </w:p>
    <w:p>
      <w:pPr>
        <w:spacing w:line="360" w:lineRule="auto"/>
        <w:ind w:firstLine="420" w:firstLineChars="200"/>
        <w:rPr>
          <w:rFonts w:ascii="宋体" w:hAnsi="宋体"/>
          <w:color w:val="auto"/>
          <w:szCs w:val="21"/>
        </w:rPr>
      </w:pPr>
      <w:r>
        <w:rPr>
          <w:rFonts w:ascii="宋体" w:hAnsi="宋体"/>
          <w:color w:val="auto"/>
          <w:szCs w:val="21"/>
        </w:rPr>
        <w:t>名称：</w:t>
      </w:r>
      <w:r>
        <w:rPr>
          <w:rFonts w:hint="eastAsia" w:ascii="宋体" w:hAnsi="宋体"/>
          <w:color w:val="auto"/>
          <w:szCs w:val="21"/>
        </w:rPr>
        <w:t>宁波市镇海区人民医院医疗集团</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地    址：宁波市镇海区骆驼街道南二西路718号 </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传    真：</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 xml:space="preserve"> </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项目联系人（询问）：苏林辉  </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项目联系方式（询问）：0574-86655160 </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质疑联系人：龙华 </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质疑联系方式：0574-86655160</w:t>
      </w:r>
    </w:p>
    <w:p>
      <w:pPr>
        <w:spacing w:line="360" w:lineRule="auto"/>
        <w:rPr>
          <w:rFonts w:ascii="宋体" w:hAnsi="宋体"/>
          <w:color w:val="auto"/>
          <w:szCs w:val="21"/>
        </w:rPr>
      </w:pPr>
      <w:r>
        <w:rPr>
          <w:rFonts w:ascii="宋体" w:hAnsi="宋体"/>
          <w:color w:val="auto"/>
          <w:szCs w:val="21"/>
        </w:rPr>
        <w:t>2.采购代理机构信息</w:t>
      </w:r>
    </w:p>
    <w:p>
      <w:pPr>
        <w:spacing w:line="360" w:lineRule="auto"/>
        <w:ind w:firstLine="420" w:firstLineChars="200"/>
        <w:rPr>
          <w:rFonts w:ascii="宋体" w:hAnsi="宋体"/>
          <w:color w:val="auto"/>
          <w:szCs w:val="21"/>
        </w:rPr>
      </w:pPr>
      <w:r>
        <w:rPr>
          <w:rFonts w:ascii="宋体" w:hAnsi="宋体"/>
          <w:color w:val="auto"/>
          <w:szCs w:val="21"/>
        </w:rPr>
        <w:t>名称：宁波市国际招标有限公司</w:t>
      </w:r>
    </w:p>
    <w:p>
      <w:pPr>
        <w:spacing w:line="360" w:lineRule="auto"/>
        <w:ind w:firstLine="420" w:firstLineChars="200"/>
        <w:rPr>
          <w:rFonts w:ascii="宋体" w:hAnsi="宋体"/>
          <w:color w:val="auto"/>
          <w:szCs w:val="21"/>
        </w:rPr>
      </w:pPr>
      <w:r>
        <w:rPr>
          <w:rFonts w:ascii="宋体" w:hAnsi="宋体"/>
          <w:color w:val="auto"/>
          <w:szCs w:val="21"/>
        </w:rPr>
        <w:t>地址：宁波市江北区环城北路西段207弄19号世茂茂悦商业中心1号楼八楼</w:t>
      </w:r>
    </w:p>
    <w:p>
      <w:pPr>
        <w:wordWrap w:val="0"/>
        <w:spacing w:line="360" w:lineRule="auto"/>
        <w:rPr>
          <w:rFonts w:hint="default" w:ascii="宋体" w:hAnsi="宋体" w:eastAsia="宋体"/>
          <w:color w:val="auto"/>
          <w:szCs w:val="21"/>
          <w:lang w:val="en-US" w:eastAsia="zh-CN"/>
        </w:rPr>
      </w:pPr>
      <w:r>
        <w:rPr>
          <w:rFonts w:hint="eastAsia" w:ascii="宋体" w:hAnsi="宋体"/>
          <w:color w:val="auto"/>
          <w:szCs w:val="21"/>
        </w:rPr>
        <w:t xml:space="preserve">    传    真：</w:t>
      </w:r>
      <w:r>
        <w:rPr>
          <w:rFonts w:hint="eastAsia" w:ascii="宋体" w:hAnsi="宋体"/>
          <w:color w:val="auto"/>
          <w:szCs w:val="21"/>
          <w:lang w:val="en-US" w:eastAsia="zh-CN"/>
        </w:rPr>
        <w:t>0574-87381469</w:t>
      </w:r>
    </w:p>
    <w:p>
      <w:pPr>
        <w:wordWrap w:val="0"/>
        <w:spacing w:line="360" w:lineRule="auto"/>
        <w:rPr>
          <w:rFonts w:hint="eastAsia" w:ascii="宋体" w:hAnsi="宋体"/>
          <w:color w:val="auto"/>
          <w:szCs w:val="21"/>
        </w:rPr>
      </w:pPr>
      <w:r>
        <w:rPr>
          <w:rFonts w:hint="eastAsia" w:ascii="宋体" w:hAnsi="宋体"/>
          <w:color w:val="auto"/>
          <w:szCs w:val="21"/>
        </w:rPr>
        <w:t xml:space="preserve">    项目联系人（询问）：</w:t>
      </w:r>
      <w:r>
        <w:rPr>
          <w:rFonts w:hint="eastAsia" w:ascii="宋体" w:hAnsi="宋体" w:eastAsia="宋体" w:cs="宋体"/>
          <w:b w:val="0"/>
          <w:bCs/>
          <w:color w:val="auto"/>
          <w:sz w:val="21"/>
          <w:szCs w:val="21"/>
        </w:rPr>
        <w:t>陈琴</w:t>
      </w:r>
      <w:r>
        <w:rPr>
          <w:rFonts w:hint="eastAsia" w:ascii="宋体" w:hAnsi="宋体"/>
          <w:color w:val="auto"/>
          <w:szCs w:val="21"/>
        </w:rPr>
        <w:t xml:space="preserve"> </w:t>
      </w:r>
    </w:p>
    <w:p>
      <w:pPr>
        <w:wordWrap w:val="0"/>
        <w:spacing w:line="360" w:lineRule="auto"/>
        <w:rPr>
          <w:rFonts w:hint="eastAsia" w:ascii="宋体" w:hAnsi="宋体"/>
          <w:color w:val="auto"/>
          <w:szCs w:val="21"/>
        </w:rPr>
      </w:pPr>
      <w:r>
        <w:rPr>
          <w:rFonts w:hint="eastAsia" w:ascii="宋体" w:hAnsi="宋体"/>
          <w:color w:val="auto"/>
          <w:szCs w:val="21"/>
        </w:rPr>
        <w:t xml:space="preserve">    项目联系方式（询问）：</w:t>
      </w:r>
      <w:r>
        <w:rPr>
          <w:rFonts w:hint="eastAsia" w:ascii="宋体" w:hAnsi="宋体" w:eastAsia="宋体" w:cs="宋体"/>
          <w:b w:val="0"/>
          <w:bCs/>
          <w:color w:val="auto"/>
          <w:sz w:val="21"/>
          <w:szCs w:val="21"/>
        </w:rPr>
        <w:t>0574-87629230</w:t>
      </w:r>
      <w:r>
        <w:rPr>
          <w:rFonts w:hint="eastAsia" w:ascii="宋体" w:hAnsi="宋体"/>
          <w:color w:val="auto"/>
          <w:szCs w:val="21"/>
        </w:rPr>
        <w:t xml:space="preserve"> </w:t>
      </w:r>
    </w:p>
    <w:p>
      <w:pPr>
        <w:wordWrap w:val="0"/>
        <w:spacing w:line="360" w:lineRule="auto"/>
        <w:rPr>
          <w:rFonts w:hint="eastAsia" w:ascii="宋体" w:hAnsi="宋体"/>
          <w:color w:val="auto"/>
          <w:szCs w:val="21"/>
        </w:rPr>
      </w:pPr>
      <w:r>
        <w:rPr>
          <w:rFonts w:hint="eastAsia" w:ascii="宋体" w:hAnsi="宋体"/>
          <w:color w:val="auto"/>
          <w:szCs w:val="21"/>
        </w:rPr>
        <w:t xml:space="preserve">    质疑联系人：</w:t>
      </w:r>
      <w:r>
        <w:rPr>
          <w:rFonts w:hint="eastAsia" w:ascii="宋体" w:hAnsi="宋体" w:eastAsia="宋体" w:cs="宋体"/>
          <w:b w:val="0"/>
          <w:bCs/>
          <w:color w:val="auto"/>
          <w:sz w:val="21"/>
          <w:szCs w:val="21"/>
        </w:rPr>
        <w:t>严锋</w:t>
      </w:r>
      <w:r>
        <w:rPr>
          <w:rFonts w:hint="eastAsia" w:ascii="宋体" w:hAnsi="宋体"/>
          <w:color w:val="auto"/>
          <w:szCs w:val="21"/>
        </w:rPr>
        <w:t xml:space="preserve"> </w:t>
      </w:r>
    </w:p>
    <w:p>
      <w:pPr>
        <w:wordWrap w:val="0"/>
        <w:spacing w:line="360" w:lineRule="auto"/>
        <w:rPr>
          <w:rFonts w:ascii="宋体" w:hAnsi="宋体"/>
          <w:color w:val="auto"/>
          <w:szCs w:val="21"/>
        </w:rPr>
      </w:pPr>
      <w:r>
        <w:rPr>
          <w:rFonts w:hint="eastAsia" w:ascii="宋体" w:hAnsi="宋体"/>
          <w:color w:val="auto"/>
          <w:szCs w:val="21"/>
        </w:rPr>
        <w:t xml:space="preserve">    质疑联系方式：</w:t>
      </w:r>
      <w:r>
        <w:rPr>
          <w:rFonts w:hint="eastAsia" w:ascii="宋体" w:hAnsi="宋体" w:eastAsia="宋体" w:cs="宋体"/>
          <w:b w:val="0"/>
          <w:bCs/>
          <w:color w:val="auto"/>
          <w:sz w:val="21"/>
          <w:szCs w:val="21"/>
        </w:rPr>
        <w:t>0574-87629230</w:t>
      </w:r>
      <w:r>
        <w:rPr>
          <w:rFonts w:hint="eastAsia" w:ascii="宋体" w:hAnsi="宋体"/>
          <w:color w:val="auto"/>
          <w:szCs w:val="21"/>
        </w:rPr>
        <w:t xml:space="preserve"> </w:t>
      </w:r>
      <w:r>
        <w:rPr>
          <w:rFonts w:ascii="宋体" w:hAnsi="宋体"/>
          <w:color w:val="auto"/>
          <w:szCs w:val="21"/>
        </w:rPr>
        <w:br w:type="textWrapping"/>
      </w:r>
      <w:r>
        <w:rPr>
          <w:rFonts w:ascii="宋体" w:hAnsi="宋体"/>
          <w:color w:val="auto"/>
          <w:szCs w:val="21"/>
        </w:rPr>
        <w:t>3.同级政府采购监督管理部门</w:t>
      </w:r>
    </w:p>
    <w:p>
      <w:pPr>
        <w:spacing w:line="360" w:lineRule="auto"/>
        <w:ind w:firstLine="420" w:firstLineChars="200"/>
        <w:rPr>
          <w:rFonts w:ascii="宋体" w:hAnsi="宋体"/>
          <w:color w:val="auto"/>
          <w:szCs w:val="21"/>
        </w:rPr>
      </w:pPr>
      <w:r>
        <w:rPr>
          <w:rFonts w:ascii="宋体" w:hAnsi="宋体"/>
          <w:color w:val="auto"/>
          <w:szCs w:val="21"/>
        </w:rPr>
        <w:t>名称：宁波市镇海区政府采购管理办公室</w:t>
      </w:r>
    </w:p>
    <w:p>
      <w:pPr>
        <w:spacing w:line="360" w:lineRule="auto"/>
        <w:ind w:firstLine="420" w:firstLineChars="200"/>
        <w:rPr>
          <w:rFonts w:ascii="宋体" w:hAnsi="宋体"/>
          <w:color w:val="auto"/>
          <w:szCs w:val="21"/>
        </w:rPr>
      </w:pPr>
      <w:r>
        <w:rPr>
          <w:rFonts w:ascii="宋体" w:hAnsi="宋体"/>
          <w:color w:val="auto"/>
          <w:szCs w:val="21"/>
        </w:rPr>
        <w:t>地址：宁波市镇海区骆驼街道民和路569号</w:t>
      </w:r>
    </w:p>
    <w:p>
      <w:pPr>
        <w:spacing w:line="360" w:lineRule="auto"/>
        <w:ind w:firstLine="420" w:firstLineChars="200"/>
        <w:rPr>
          <w:rFonts w:ascii="宋体" w:hAnsi="宋体"/>
          <w:color w:val="auto"/>
          <w:szCs w:val="21"/>
        </w:rPr>
      </w:pPr>
      <w:r>
        <w:rPr>
          <w:rFonts w:ascii="宋体" w:hAnsi="宋体"/>
          <w:color w:val="auto"/>
          <w:szCs w:val="21"/>
        </w:rPr>
        <w:t>传真：/</w:t>
      </w:r>
    </w:p>
    <w:p>
      <w:pPr>
        <w:spacing w:line="360" w:lineRule="auto"/>
        <w:ind w:firstLine="420" w:firstLineChars="200"/>
        <w:rPr>
          <w:rFonts w:ascii="宋体" w:hAnsi="宋体"/>
          <w:color w:val="auto"/>
          <w:szCs w:val="21"/>
        </w:rPr>
      </w:pPr>
      <w:r>
        <w:rPr>
          <w:rFonts w:ascii="宋体" w:hAnsi="宋体"/>
          <w:color w:val="auto"/>
          <w:szCs w:val="21"/>
        </w:rPr>
        <w:t>联系人：金国军</w:t>
      </w:r>
    </w:p>
    <w:p>
      <w:pPr>
        <w:spacing w:line="360" w:lineRule="auto"/>
        <w:ind w:firstLine="420" w:firstLineChars="200"/>
        <w:rPr>
          <w:rFonts w:ascii="宋体" w:hAnsi="宋体"/>
          <w:color w:val="auto"/>
          <w:szCs w:val="21"/>
        </w:rPr>
      </w:pPr>
      <w:r>
        <w:rPr>
          <w:rFonts w:ascii="宋体" w:hAnsi="宋体"/>
          <w:color w:val="auto"/>
          <w:szCs w:val="21"/>
        </w:rPr>
        <w:t>监督投诉电话：0574-89389666</w:t>
      </w:r>
    </w:p>
    <w:p>
      <w:pPr>
        <w:spacing w:line="360" w:lineRule="auto"/>
        <w:rPr>
          <w:rFonts w:ascii="宋体" w:hAnsi="宋体"/>
          <w:color w:val="auto"/>
          <w:szCs w:val="21"/>
        </w:rPr>
      </w:pPr>
      <w:r>
        <w:rPr>
          <w:rFonts w:ascii="宋体" w:hAnsi="宋体"/>
          <w:color w:val="auto"/>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ascii="宋体" w:hAnsi="宋体"/>
          <w:color w:val="auto"/>
          <w:szCs w:val="21"/>
        </w:rPr>
      </w:pPr>
      <w:r>
        <w:rPr>
          <w:rFonts w:ascii="宋体" w:hAnsi="宋体"/>
          <w:color w:val="auto"/>
          <w:szCs w:val="21"/>
        </w:rPr>
        <w:t>CA问题联系电话（人工）：汇信CA400-888-4636；天谷CA400-087-8198。</w:t>
      </w:r>
    </w:p>
    <w:p>
      <w:pPr>
        <w:widowControl/>
        <w:spacing w:line="400" w:lineRule="exact"/>
        <w:ind w:firstLine="420" w:firstLineChars="200"/>
        <w:rPr>
          <w:rFonts w:hint="eastAsia" w:ascii="宋体" w:hAnsi="宋体" w:cs="宋体"/>
          <w:color w:val="auto"/>
          <w:kern w:val="0"/>
          <w:szCs w:val="21"/>
        </w:rPr>
      </w:pPr>
    </w:p>
    <w:p>
      <w:pPr>
        <w:widowControl/>
        <w:spacing w:line="400" w:lineRule="exact"/>
        <w:ind w:firstLine="420" w:firstLineChars="200"/>
        <w:rPr>
          <w:rFonts w:ascii="宋体" w:hAnsi="宋体" w:cs="宋体"/>
          <w:color w:val="auto"/>
          <w:kern w:val="0"/>
          <w:szCs w:val="21"/>
        </w:rPr>
        <w:sectPr>
          <w:footerReference r:id="rId5" w:type="default"/>
          <w:pgSz w:w="11907" w:h="16840"/>
          <w:pgMar w:top="851" w:right="1533" w:bottom="1134" w:left="1554" w:header="285" w:footer="701" w:gutter="0"/>
          <w:pgNumType w:start="1"/>
          <w:cols w:space="720" w:num="1"/>
          <w:docGrid w:linePitch="285" w:charSpace="0"/>
        </w:sectPr>
      </w:pPr>
    </w:p>
    <w:p>
      <w:pPr>
        <w:spacing w:line="400" w:lineRule="exact"/>
        <w:jc w:val="center"/>
        <w:outlineLvl w:val="0"/>
        <w:rPr>
          <w:rFonts w:ascii="宋体" w:hAnsi="宋体"/>
          <w:b/>
          <w:color w:val="auto"/>
          <w:sz w:val="32"/>
        </w:rPr>
      </w:pPr>
      <w:bookmarkStart w:id="3" w:name="_Toc441621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3"/>
    </w:p>
    <w:p>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、“采购人”系指宁波市镇海区人民医院医疗集团。</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、“代理机构”系指宁波市国际招标有限公司。</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、“供应商”系指向采购人提交投标文件的供应商。</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4、“服务”系指招标文件规定供应商须承担的需完成本项目所需的服务的义务</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5、“同级政府采购监管部门”系指</w:t>
      </w:r>
      <w:r>
        <w:rPr>
          <w:rFonts w:ascii="宋体" w:hAnsi="宋体" w:cs="BatangChe"/>
          <w:color w:val="auto"/>
          <w:kern w:val="0"/>
          <w:szCs w:val="21"/>
        </w:rPr>
        <w:t>镇海区政府采购管理办公室</w:t>
      </w:r>
      <w:r>
        <w:rPr>
          <w:rFonts w:hint="eastAsia" w:ascii="宋体" w:hAnsi="宋体"/>
          <w:color w:val="auto"/>
          <w:kern w:val="10"/>
          <w:szCs w:val="21"/>
          <w:lang w:val="zh-CN"/>
        </w:rPr>
        <w:t>。</w:t>
      </w:r>
    </w:p>
    <w:p>
      <w:pPr>
        <w:spacing w:line="400" w:lineRule="exact"/>
        <w:ind w:firstLine="420" w:firstLineChars="200"/>
        <w:jc w:val="left"/>
        <w:rPr>
          <w:rFonts w:ascii="宋体" w:hAnsi="宋体"/>
          <w:color w:val="auto"/>
          <w:szCs w:val="21"/>
        </w:rPr>
      </w:pPr>
      <w:r>
        <w:rPr>
          <w:rFonts w:hint="eastAsia" w:ascii="宋体" w:hAnsi="宋体"/>
          <w:color w:val="auto"/>
          <w:szCs w:val="21"/>
        </w:rPr>
        <w:t>6、“▲”系指实质性响应条款。</w:t>
      </w:r>
    </w:p>
    <w:p>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三、供应商的资格要求</w:t>
      </w:r>
    </w:p>
    <w:p>
      <w:pPr>
        <w:spacing w:line="400" w:lineRule="exact"/>
        <w:ind w:firstLine="420" w:firstLineChars="200"/>
        <w:jc w:val="left"/>
        <w:rPr>
          <w:rFonts w:ascii="宋体" w:hAnsi="宋体"/>
          <w:color w:val="auto"/>
          <w:szCs w:val="21"/>
        </w:rPr>
      </w:pPr>
      <w:r>
        <w:rPr>
          <w:rFonts w:hint="eastAsia" w:ascii="宋体" w:hAnsi="宋体"/>
          <w:color w:val="auto"/>
          <w:szCs w:val="21"/>
        </w:rPr>
        <w:t>详见采购公告。</w:t>
      </w:r>
    </w:p>
    <w:p>
      <w:pPr>
        <w:spacing w:line="360" w:lineRule="auto"/>
        <w:ind w:firstLine="422" w:firstLineChars="200"/>
        <w:jc w:val="left"/>
        <w:rPr>
          <w:rFonts w:ascii="宋体" w:hAnsi="宋体"/>
          <w:b/>
          <w:color w:val="auto"/>
          <w:szCs w:val="21"/>
        </w:rPr>
      </w:pPr>
      <w:r>
        <w:rPr>
          <w:rFonts w:hint="eastAsia" w:ascii="宋体" w:hAnsi="宋体"/>
          <w:b/>
          <w:color w:val="auto"/>
          <w:szCs w:val="21"/>
        </w:rPr>
        <w:t>四、投标费用</w:t>
      </w:r>
    </w:p>
    <w:p>
      <w:pPr>
        <w:spacing w:line="360" w:lineRule="auto"/>
        <w:ind w:firstLine="420" w:firstLineChars="200"/>
        <w:jc w:val="left"/>
        <w:rPr>
          <w:rFonts w:ascii="宋体" w:hAnsi="宋体"/>
          <w:color w:val="auto"/>
          <w:szCs w:val="21"/>
        </w:rPr>
      </w:pPr>
      <w:r>
        <w:rPr>
          <w:rFonts w:hint="eastAsia" w:ascii="宋体" w:hAnsi="宋体"/>
          <w:color w:val="auto"/>
          <w:szCs w:val="21"/>
        </w:rPr>
        <w:t>无论投标过程和结果如何，供应商自行承担与投标有关的全部费用。</w:t>
      </w:r>
    </w:p>
    <w:p>
      <w:pPr>
        <w:spacing w:line="360" w:lineRule="auto"/>
        <w:ind w:firstLine="422" w:firstLineChars="200"/>
        <w:jc w:val="left"/>
        <w:rPr>
          <w:rFonts w:ascii="宋体" w:hAnsi="宋体"/>
          <w:b/>
          <w:color w:val="auto"/>
          <w:szCs w:val="21"/>
        </w:rPr>
      </w:pPr>
      <w:r>
        <w:rPr>
          <w:rFonts w:hint="eastAsia" w:ascii="宋体" w:hAnsi="宋体"/>
          <w:b/>
          <w:color w:val="auto"/>
          <w:szCs w:val="21"/>
        </w:rPr>
        <w:t>五、投标报价</w:t>
      </w:r>
    </w:p>
    <w:p>
      <w:pPr>
        <w:spacing w:line="360" w:lineRule="auto"/>
        <w:ind w:firstLine="420" w:firstLineChars="200"/>
        <w:jc w:val="left"/>
        <w:rPr>
          <w:rFonts w:ascii="宋体" w:hAnsi="宋体"/>
          <w:color w:val="auto"/>
          <w:szCs w:val="21"/>
        </w:rPr>
      </w:pPr>
      <w:r>
        <w:rPr>
          <w:rFonts w:hint="eastAsia" w:ascii="宋体" w:hAnsi="宋体"/>
          <w:color w:val="auto"/>
          <w:szCs w:val="21"/>
        </w:rPr>
        <w:t>5.1投标报价以人民币为结算货币。</w:t>
      </w:r>
    </w:p>
    <w:p>
      <w:pPr>
        <w:spacing w:line="360" w:lineRule="auto"/>
        <w:ind w:firstLine="420" w:firstLineChars="200"/>
        <w:rPr>
          <w:rFonts w:hint="eastAsia" w:ascii="宋体" w:hAnsi="宋体"/>
          <w:color w:val="auto"/>
          <w:szCs w:val="21"/>
        </w:rPr>
      </w:pPr>
      <w:r>
        <w:rPr>
          <w:rFonts w:hint="eastAsia" w:ascii="宋体" w:hAnsi="宋体"/>
          <w:color w:val="auto"/>
          <w:szCs w:val="21"/>
        </w:rPr>
        <w:t>5.2本项目投标报价为服务比例报价。采购人根据中标人报出的服务比例向中标人支付所产生的收益。</w:t>
      </w:r>
    </w:p>
    <w:p>
      <w:pPr>
        <w:spacing w:line="360" w:lineRule="auto"/>
        <w:ind w:firstLine="420" w:firstLineChars="200"/>
        <w:rPr>
          <w:rFonts w:hint="eastAsia" w:ascii="宋体" w:hAnsi="宋体"/>
          <w:color w:val="auto"/>
          <w:szCs w:val="21"/>
        </w:rPr>
      </w:pPr>
      <w:r>
        <w:rPr>
          <w:rFonts w:hint="eastAsia" w:ascii="宋体" w:hAnsi="宋体"/>
          <w:color w:val="auto"/>
          <w:szCs w:val="21"/>
        </w:rPr>
        <w:t>5.3</w:t>
      </w:r>
      <w:r>
        <w:rPr>
          <w:rFonts w:hint="eastAsia" w:ascii="宋体" w:hAnsi="宋体"/>
          <w:color w:val="auto"/>
          <w:szCs w:val="21"/>
          <w:highlight w:val="yellow"/>
        </w:rPr>
        <w:t>本项目</w:t>
      </w:r>
      <w:r>
        <w:rPr>
          <w:rFonts w:hint="eastAsia" w:ascii="宋体" w:hAnsi="宋体"/>
          <w:color w:val="auto"/>
          <w:szCs w:val="21"/>
          <w:highlight w:val="yellow"/>
          <w:lang w:eastAsia="zh-CN"/>
        </w:rPr>
        <w:t>普通</w:t>
      </w:r>
      <w:r>
        <w:rPr>
          <w:rFonts w:hint="eastAsia" w:ascii="宋体" w:hAnsi="宋体"/>
          <w:color w:val="auto"/>
          <w:szCs w:val="21"/>
          <w:highlight w:val="yellow"/>
        </w:rPr>
        <w:t>检验最高服务比例为：</w:t>
      </w:r>
      <w:r>
        <w:rPr>
          <w:rFonts w:hint="eastAsia" w:ascii="宋体" w:hAnsi="宋体"/>
          <w:color w:val="auto"/>
          <w:szCs w:val="21"/>
          <w:highlight w:val="yellow"/>
          <w:lang w:val="en-US" w:eastAsia="zh-CN"/>
        </w:rPr>
        <w:t>37</w:t>
      </w:r>
      <w:r>
        <w:rPr>
          <w:rFonts w:hint="eastAsia" w:ascii="宋体" w:hAnsi="宋体"/>
          <w:color w:val="auto"/>
          <w:szCs w:val="21"/>
          <w:highlight w:val="yellow"/>
        </w:rPr>
        <w:t>%</w:t>
      </w:r>
      <w:r>
        <w:rPr>
          <w:rFonts w:hint="eastAsia" w:ascii="宋体" w:hAnsi="宋体"/>
          <w:color w:val="auto"/>
          <w:szCs w:val="21"/>
          <w:highlight w:val="yellow"/>
          <w:lang w:eastAsia="zh-CN"/>
        </w:rPr>
        <w:t>；</w:t>
      </w:r>
      <w:r>
        <w:rPr>
          <w:rFonts w:hint="eastAsia" w:ascii="宋体" w:hAnsi="宋体"/>
          <w:color w:val="auto"/>
          <w:szCs w:val="21"/>
          <w:highlight w:val="yellow"/>
        </w:rPr>
        <w:t>病理</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50</w:t>
      </w:r>
      <w:r>
        <w:rPr>
          <w:rFonts w:hint="eastAsia" w:ascii="宋体" w:hAnsi="宋体"/>
          <w:color w:val="auto"/>
          <w:szCs w:val="21"/>
          <w:highlight w:val="yellow"/>
        </w:rPr>
        <w:t>%</w:t>
      </w:r>
      <w:r>
        <w:rPr>
          <w:rFonts w:hint="eastAsia" w:ascii="宋体" w:hAnsi="宋体"/>
          <w:color w:val="auto"/>
          <w:szCs w:val="21"/>
          <w:highlight w:val="yellow"/>
          <w:lang w:eastAsia="zh-CN"/>
        </w:rPr>
        <w:t>（</w:t>
      </w:r>
      <w:r>
        <w:rPr>
          <w:rFonts w:hint="eastAsia" w:ascii="宋体" w:hAnsi="宋体"/>
          <w:color w:val="auto"/>
          <w:szCs w:val="21"/>
          <w:highlight w:val="yellow"/>
          <w:lang w:val="en-US" w:eastAsia="zh-CN"/>
        </w:rPr>
        <w:t>其中炼化院区的</w:t>
      </w:r>
      <w:r>
        <w:rPr>
          <w:rFonts w:hint="eastAsia" w:ascii="宋体" w:hAnsi="宋体"/>
          <w:color w:val="auto"/>
          <w:szCs w:val="21"/>
          <w:highlight w:val="yellow"/>
        </w:rPr>
        <w:t>病理</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40%</w:t>
      </w:r>
      <w:r>
        <w:rPr>
          <w:rFonts w:hint="eastAsia" w:ascii="宋体" w:hAnsi="宋体"/>
          <w:color w:val="auto"/>
          <w:szCs w:val="21"/>
          <w:highlight w:val="yellow"/>
          <w:lang w:eastAsia="zh-CN"/>
        </w:rPr>
        <w:t>）；</w:t>
      </w:r>
      <w:r>
        <w:rPr>
          <w:rFonts w:hint="eastAsia" w:ascii="宋体" w:hAnsi="宋体"/>
          <w:color w:val="auto"/>
          <w:szCs w:val="21"/>
          <w:highlight w:val="yellow"/>
        </w:rPr>
        <w:t>冰冻（术中快切）</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70</w:t>
      </w:r>
      <w:r>
        <w:rPr>
          <w:rFonts w:hint="eastAsia" w:ascii="宋体" w:hAnsi="宋体"/>
          <w:color w:val="auto"/>
          <w:szCs w:val="21"/>
          <w:highlight w:val="yellow"/>
        </w:rPr>
        <w:t>%</w:t>
      </w:r>
      <w:r>
        <w:rPr>
          <w:rFonts w:hint="eastAsia" w:ascii="宋体" w:hAnsi="宋体"/>
          <w:color w:val="auto"/>
          <w:szCs w:val="21"/>
          <w:highlight w:val="yellow"/>
          <w:lang w:eastAsia="zh-CN"/>
        </w:rPr>
        <w:t>；</w:t>
      </w:r>
      <w:r>
        <w:rPr>
          <w:rFonts w:hint="eastAsia" w:ascii="宋体" w:hAnsi="宋体"/>
          <w:color w:val="auto"/>
          <w:szCs w:val="21"/>
          <w:highlight w:val="yellow"/>
        </w:rPr>
        <w:t>高于此服务比例的投标为无效投标。</w:t>
      </w:r>
    </w:p>
    <w:p>
      <w:pPr>
        <w:spacing w:line="360" w:lineRule="auto"/>
        <w:ind w:firstLine="422" w:firstLineChars="200"/>
        <w:jc w:val="left"/>
        <w:rPr>
          <w:rFonts w:ascii="宋体" w:hAnsi="宋体"/>
          <w:b/>
          <w:color w:val="auto"/>
          <w:szCs w:val="21"/>
        </w:rPr>
      </w:pPr>
      <w:r>
        <w:rPr>
          <w:rFonts w:hint="eastAsia" w:ascii="宋体" w:hAnsi="宋体"/>
          <w:b/>
          <w:color w:val="auto"/>
          <w:szCs w:val="21"/>
        </w:rPr>
        <w:t>六、投标有效期</w:t>
      </w:r>
    </w:p>
    <w:p>
      <w:pPr>
        <w:spacing w:line="360" w:lineRule="auto"/>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pPr>
        <w:spacing w:line="360" w:lineRule="auto"/>
        <w:ind w:firstLine="420" w:firstLineChars="200"/>
        <w:jc w:val="left"/>
        <w:rPr>
          <w:rFonts w:ascii="宋体" w:hAnsi="宋体"/>
          <w:b/>
          <w:color w:val="auto"/>
          <w:szCs w:val="21"/>
        </w:rPr>
      </w:pPr>
      <w:r>
        <w:rPr>
          <w:rFonts w:ascii="宋体" w:hAnsi="宋体"/>
          <w:color w:val="auto"/>
          <w:szCs w:val="21"/>
        </w:rPr>
        <w:t>2</w:t>
      </w:r>
      <w:r>
        <w:rPr>
          <w:rFonts w:hint="eastAsia" w:ascii="宋体" w:hAnsi="宋体"/>
          <w:color w:val="auto"/>
          <w:szCs w:val="21"/>
        </w:rPr>
        <w:t>、特殊情况下，采购人可与供应商协商延缓投标文件的有效期，这种要求和答复均以书面形式进行。</w:t>
      </w:r>
    </w:p>
    <w:p>
      <w:pPr>
        <w:spacing w:line="360" w:lineRule="auto"/>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、供应商可拒绝接受延期要求。同意延长有效期的供应商不能修改投标文件。</w:t>
      </w:r>
    </w:p>
    <w:p>
      <w:pPr>
        <w:spacing w:line="360" w:lineRule="auto"/>
        <w:ind w:firstLine="422" w:firstLineChars="200"/>
        <w:jc w:val="left"/>
        <w:rPr>
          <w:rFonts w:ascii="宋体" w:hAnsi="宋体"/>
          <w:b/>
          <w:color w:val="auto"/>
          <w:szCs w:val="21"/>
        </w:rPr>
      </w:pPr>
      <w:r>
        <w:rPr>
          <w:rFonts w:hint="eastAsia" w:ascii="宋体" w:hAnsi="宋体"/>
          <w:b/>
          <w:color w:val="auto"/>
          <w:szCs w:val="21"/>
        </w:rPr>
        <w:t>七、投标文件的形式和效力</w:t>
      </w:r>
    </w:p>
    <w:p>
      <w:pPr>
        <w:spacing w:line="360" w:lineRule="auto"/>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、投标文件分为电子投标文件以及备份投标文件，备份投标文件分为以</w:t>
      </w:r>
      <w:r>
        <w:rPr>
          <w:rFonts w:hint="eastAsia" w:ascii="宋体" w:hAnsi="宋体" w:cs="宋体"/>
          <w:color w:val="auto"/>
          <w:kern w:val="0"/>
          <w:szCs w:val="21"/>
        </w:rPr>
        <w:t>U盘或光盘存储的电子</w:t>
      </w:r>
      <w:r>
        <w:rPr>
          <w:rFonts w:hint="eastAsia" w:ascii="宋体" w:hAnsi="宋体"/>
          <w:color w:val="auto"/>
          <w:szCs w:val="21"/>
        </w:rPr>
        <w:t>备份投标文件和纸质备份投标文件。</w:t>
      </w:r>
    </w:p>
    <w:p>
      <w:pPr>
        <w:spacing w:line="360" w:lineRule="auto"/>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、电子投标文件，按“项目采购-电子招投标操作指南”及本招标文件要求制作，并加密。</w:t>
      </w:r>
    </w:p>
    <w:p>
      <w:pPr>
        <w:spacing w:line="360" w:lineRule="auto"/>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U盘或光盘存储的电子</w:t>
      </w:r>
      <w:r>
        <w:rPr>
          <w:rFonts w:hint="eastAsia" w:ascii="宋体" w:hAnsi="宋体"/>
          <w:color w:val="auto"/>
          <w:szCs w:val="21"/>
        </w:rPr>
        <w:t>备份投标文件，按“项目采购-电子招投标操作指南”制作的电子备份文件。</w:t>
      </w:r>
    </w:p>
    <w:p>
      <w:pPr>
        <w:spacing w:line="360" w:lineRule="auto"/>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、纸质备份投标文件按本章第八条投标文件的组成编制。</w:t>
      </w:r>
    </w:p>
    <w:p>
      <w:pPr>
        <w:spacing w:line="360" w:lineRule="auto"/>
        <w:ind w:firstLine="420" w:firstLineChars="200"/>
        <w:jc w:val="left"/>
        <w:rPr>
          <w:rFonts w:ascii="宋体" w:hAnsi="宋体"/>
          <w:color w:val="auto"/>
          <w:szCs w:val="21"/>
        </w:rPr>
      </w:pPr>
      <w:r>
        <w:rPr>
          <w:rFonts w:hint="eastAsia" w:ascii="宋体" w:hAnsi="宋体"/>
          <w:color w:val="auto"/>
          <w:szCs w:val="21"/>
        </w:rPr>
        <w:t>5、投标文件填写字迹必须清楚、工整，对不同文字文本投标文件的解释发生异议的，以中文文本为准。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6、投标文件的效力</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U盘或光盘存储的电子</w:t>
      </w:r>
      <w:r>
        <w:rPr>
          <w:rFonts w:hint="eastAsia" w:ascii="宋体" w:hAnsi="宋体"/>
          <w:color w:val="auto"/>
          <w:szCs w:val="21"/>
        </w:rPr>
        <w:t>备份投标文件、纸质备份投标文件。在下一顺位的投标文件启用时，前一顺位的投标文件自动失效。</w:t>
      </w:r>
    </w:p>
    <w:p>
      <w:pPr>
        <w:spacing w:line="360" w:lineRule="auto"/>
        <w:ind w:firstLine="420" w:firstLineChars="200"/>
        <w:jc w:val="left"/>
        <w:rPr>
          <w:rFonts w:ascii="宋体" w:hAnsi="宋体"/>
          <w:color w:val="auto"/>
          <w:szCs w:val="21"/>
        </w:rPr>
      </w:pPr>
      <w:r>
        <w:rPr>
          <w:rFonts w:hint="eastAsia" w:ascii="宋体" w:hAnsi="宋体"/>
          <w:color w:val="auto"/>
          <w:szCs w:val="21"/>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pPr>
        <w:spacing w:line="360" w:lineRule="auto"/>
        <w:ind w:firstLine="422" w:firstLineChars="200"/>
        <w:jc w:val="left"/>
        <w:rPr>
          <w:rFonts w:hint="eastAsia" w:ascii="宋体" w:hAnsi="宋体"/>
          <w:b/>
          <w:bCs/>
          <w:color w:val="auto"/>
          <w:szCs w:val="21"/>
        </w:rPr>
      </w:pPr>
      <w:bookmarkStart w:id="4" w:name="_Hlk23147633"/>
      <w:bookmarkStart w:id="5" w:name="_Hlk23150950"/>
      <w:r>
        <w:rPr>
          <w:rFonts w:hint="eastAsia" w:ascii="宋体" w:hAnsi="宋体"/>
          <w:b/>
          <w:bCs/>
          <w:color w:val="auto"/>
          <w:szCs w:val="21"/>
        </w:rPr>
        <w:t>八、投标文件的组成和份数</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1、投标文件的组成：</w:t>
      </w:r>
    </w:p>
    <w:p>
      <w:pPr>
        <w:spacing w:line="360" w:lineRule="auto"/>
        <w:ind w:firstLine="422" w:firstLineChars="200"/>
        <w:jc w:val="left"/>
        <w:rPr>
          <w:rFonts w:hint="eastAsia" w:ascii="宋体" w:hAnsi="宋体"/>
          <w:b/>
          <w:bCs/>
          <w:color w:val="auto"/>
          <w:szCs w:val="21"/>
        </w:rPr>
      </w:pPr>
      <w:r>
        <w:rPr>
          <w:rFonts w:hint="eastAsia" w:ascii="宋体" w:hAnsi="宋体"/>
          <w:b/>
          <w:bCs/>
          <w:color w:val="auto"/>
          <w:szCs w:val="21"/>
        </w:rPr>
        <w:t>A、第一册：资格文件</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A1、营业执照副本（或事业法人登记证副本或其他登记证明材料）复印件加盖供应商公章（供应商如果有名称变更的，应提供由行政主管部门出具的变更证明文件复印件加盖供应商公章）；</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A2、关于资格</w:t>
      </w:r>
      <w:r>
        <w:rPr>
          <w:rFonts w:hint="eastAsia" w:ascii="宋体" w:hAnsi="宋体"/>
          <w:color w:val="auto"/>
          <w:szCs w:val="21"/>
          <w:lang w:eastAsia="zh-CN"/>
        </w:rPr>
        <w:t>的承诺</w:t>
      </w:r>
      <w:r>
        <w:rPr>
          <w:rFonts w:hint="eastAsia" w:ascii="宋体" w:hAnsi="宋体"/>
          <w:color w:val="auto"/>
          <w:szCs w:val="21"/>
        </w:rPr>
        <w:t>函；</w:t>
      </w:r>
    </w:p>
    <w:p>
      <w:pPr>
        <w:spacing w:line="360" w:lineRule="auto"/>
        <w:ind w:firstLine="422" w:firstLineChars="200"/>
        <w:jc w:val="left"/>
        <w:rPr>
          <w:rFonts w:hint="eastAsia" w:ascii="宋体" w:hAnsi="宋体"/>
          <w:b/>
          <w:bCs/>
          <w:color w:val="auto"/>
          <w:szCs w:val="21"/>
        </w:rPr>
      </w:pPr>
      <w:r>
        <w:rPr>
          <w:rFonts w:hint="eastAsia" w:ascii="宋体" w:hAnsi="宋体"/>
          <w:b/>
          <w:bCs/>
          <w:color w:val="auto"/>
          <w:szCs w:val="21"/>
        </w:rPr>
        <w:t>B、第二册：商务和技术文件</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B1、投标书；</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B2、法定代表人身份证明；</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B3、法定代表人授权书（投标文件由授权代表签字的须提供）；</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B4、供应商一般情况表；</w:t>
      </w:r>
    </w:p>
    <w:p>
      <w:pPr>
        <w:spacing w:line="360" w:lineRule="auto"/>
        <w:ind w:firstLine="420" w:firstLineChars="200"/>
        <w:jc w:val="left"/>
        <w:rPr>
          <w:rFonts w:ascii="宋体"/>
          <w:color w:val="auto"/>
          <w:szCs w:val="21"/>
        </w:rPr>
      </w:pPr>
      <w:r>
        <w:rPr>
          <w:rFonts w:hint="eastAsia" w:ascii="宋体" w:hAnsi="宋体"/>
          <w:color w:val="auto"/>
          <w:szCs w:val="21"/>
        </w:rPr>
        <w:t>B5、</w:t>
      </w:r>
      <w:r>
        <w:rPr>
          <w:rFonts w:hint="eastAsia" w:ascii="宋体"/>
          <w:color w:val="auto"/>
          <w:szCs w:val="21"/>
        </w:rPr>
        <w:t>技术响应表（格式见附件）；</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B6、商务条款响应表；</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B7、第三章“评标办法及标准”中商务和技术评分表要求提供的资料（如有需提供）；</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B8、供应商认为需要的其他资料（如有需提供）。</w:t>
      </w:r>
    </w:p>
    <w:bookmarkEnd w:id="4"/>
    <w:p>
      <w:pPr>
        <w:spacing w:line="360" w:lineRule="auto"/>
        <w:ind w:firstLine="422" w:firstLineChars="200"/>
        <w:jc w:val="left"/>
        <w:rPr>
          <w:rFonts w:ascii="宋体" w:hAnsi="宋体"/>
          <w:b/>
          <w:color w:val="auto"/>
          <w:szCs w:val="21"/>
        </w:rPr>
      </w:pPr>
      <w:r>
        <w:rPr>
          <w:rFonts w:ascii="宋体" w:hAnsi="宋体"/>
          <w:b/>
          <w:color w:val="auto"/>
          <w:szCs w:val="21"/>
        </w:rPr>
        <w:t>C</w:t>
      </w:r>
      <w:r>
        <w:rPr>
          <w:rFonts w:hint="eastAsia" w:ascii="宋体" w:hAnsi="宋体"/>
          <w:b/>
          <w:color w:val="auto"/>
          <w:szCs w:val="21"/>
        </w:rPr>
        <w:t>、第三册：报价文件</w:t>
      </w:r>
    </w:p>
    <w:p>
      <w:pPr>
        <w:spacing w:line="360" w:lineRule="auto"/>
        <w:ind w:firstLine="420" w:firstLineChars="200"/>
        <w:jc w:val="left"/>
        <w:rPr>
          <w:rFonts w:hint="eastAsia" w:ascii="宋体" w:hAnsi="宋体"/>
          <w:color w:val="auto"/>
          <w:szCs w:val="21"/>
        </w:rPr>
      </w:pPr>
      <w:r>
        <w:rPr>
          <w:rFonts w:ascii="宋体" w:hAnsi="宋体"/>
          <w:color w:val="auto"/>
          <w:szCs w:val="21"/>
        </w:rPr>
        <w:t>C1</w:t>
      </w:r>
      <w:r>
        <w:rPr>
          <w:rFonts w:hint="eastAsia" w:ascii="宋体" w:hAnsi="宋体"/>
          <w:color w:val="auto"/>
          <w:szCs w:val="21"/>
        </w:rPr>
        <w:t>、开标一览表；</w:t>
      </w:r>
    </w:p>
    <w:p>
      <w:pPr>
        <w:spacing w:line="360" w:lineRule="auto"/>
        <w:ind w:firstLine="420" w:firstLineChars="200"/>
        <w:jc w:val="left"/>
        <w:rPr>
          <w:rFonts w:ascii="宋体" w:hAnsi="宋体"/>
          <w:color w:val="auto"/>
          <w:szCs w:val="21"/>
        </w:rPr>
      </w:pPr>
      <w:r>
        <w:rPr>
          <w:rFonts w:ascii="宋体" w:hAnsi="宋体"/>
          <w:color w:val="auto"/>
          <w:szCs w:val="21"/>
        </w:rPr>
        <w:t>C</w:t>
      </w:r>
      <w:r>
        <w:rPr>
          <w:rFonts w:hint="eastAsia" w:ascii="宋体" w:hAnsi="宋体"/>
          <w:color w:val="auto"/>
          <w:szCs w:val="21"/>
        </w:rPr>
        <w:t>2、中小企业声明函；</w:t>
      </w:r>
    </w:p>
    <w:p>
      <w:pPr>
        <w:spacing w:line="360" w:lineRule="auto"/>
        <w:ind w:firstLine="420" w:firstLineChars="200"/>
        <w:jc w:val="left"/>
        <w:rPr>
          <w:rFonts w:ascii="宋体" w:hAnsi="宋体"/>
          <w:color w:val="auto"/>
          <w:szCs w:val="21"/>
        </w:rPr>
      </w:pPr>
      <w:r>
        <w:rPr>
          <w:rFonts w:ascii="宋体" w:hAnsi="宋体"/>
          <w:color w:val="auto"/>
          <w:szCs w:val="21"/>
        </w:rPr>
        <w:t>C</w:t>
      </w:r>
      <w:r>
        <w:rPr>
          <w:rFonts w:hint="eastAsia" w:ascii="宋体" w:hAnsi="宋体"/>
          <w:color w:val="auto"/>
          <w:szCs w:val="21"/>
        </w:rPr>
        <w:t>3、残疾人福利性单位声明函；</w:t>
      </w:r>
    </w:p>
    <w:p>
      <w:pPr>
        <w:spacing w:line="360" w:lineRule="auto"/>
        <w:ind w:firstLine="420" w:firstLineChars="200"/>
        <w:jc w:val="left"/>
        <w:rPr>
          <w:rFonts w:hint="eastAsia" w:ascii="宋体" w:hAnsi="宋体"/>
          <w:color w:val="auto"/>
          <w:szCs w:val="21"/>
        </w:rPr>
      </w:pPr>
      <w:r>
        <w:rPr>
          <w:rFonts w:ascii="宋体" w:hAnsi="宋体"/>
          <w:color w:val="auto"/>
          <w:szCs w:val="21"/>
        </w:rPr>
        <w:t>C</w:t>
      </w:r>
      <w:r>
        <w:rPr>
          <w:rFonts w:hint="eastAsia" w:ascii="宋体" w:hAnsi="宋体"/>
          <w:color w:val="auto"/>
          <w:szCs w:val="21"/>
        </w:rPr>
        <w:t>4、供应商认为需要的其他资料（如有需提供）。</w:t>
      </w:r>
    </w:p>
    <w:bookmarkEnd w:id="5"/>
    <w:p>
      <w:pPr>
        <w:spacing w:line="360" w:lineRule="auto"/>
        <w:ind w:firstLine="420" w:firstLineChars="200"/>
        <w:jc w:val="left"/>
        <w:rPr>
          <w:rFonts w:ascii="宋体" w:hAnsi="宋体"/>
          <w:color w:val="auto"/>
          <w:szCs w:val="21"/>
        </w:rPr>
      </w:pPr>
      <w:r>
        <w:rPr>
          <w:rFonts w:hint="eastAsia" w:ascii="宋体" w:hAnsi="宋体"/>
          <w:color w:val="auto"/>
          <w:szCs w:val="21"/>
        </w:rPr>
        <w:t>2、投标文件的份数：</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本项目实行网上投标，供应商应准备以下投标文件：</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w:t>
      </w:r>
      <w:r>
        <w:rPr>
          <w:rFonts w:hint="eastAsia" w:ascii="宋体" w:hAnsi="宋体" w:cs="宋体"/>
          <w:color w:val="auto"/>
          <w:kern w:val="0"/>
          <w:szCs w:val="21"/>
        </w:rPr>
        <w:t>上传到政府采购云平台的电子投标文件（含</w:t>
      </w:r>
      <w:r>
        <w:rPr>
          <w:rFonts w:hint="eastAsia" w:ascii="宋体" w:hAnsi="宋体"/>
          <w:color w:val="auto"/>
          <w:szCs w:val="21"/>
        </w:rPr>
        <w:t>资格文件、商务和技术文件、报价文件）</w:t>
      </w:r>
      <w:r>
        <w:rPr>
          <w:rFonts w:hint="eastAsia" w:ascii="宋体" w:hAnsi="宋体" w:cs="宋体"/>
          <w:color w:val="auto"/>
          <w:kern w:val="0"/>
          <w:szCs w:val="21"/>
        </w:rPr>
        <w:t>1份</w:t>
      </w:r>
      <w:r>
        <w:rPr>
          <w:rFonts w:hint="eastAsia" w:ascii="宋体" w:hAnsi="宋体"/>
          <w:color w:val="auto"/>
          <w:szCs w:val="21"/>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以U盘或光盘存储的电子备份投标文件（含</w:t>
      </w:r>
      <w:r>
        <w:rPr>
          <w:rFonts w:hint="eastAsia" w:ascii="宋体" w:hAnsi="宋体"/>
          <w:color w:val="auto"/>
          <w:szCs w:val="21"/>
        </w:rPr>
        <w:t>资格文件、商务和技术文件、报价文件）</w:t>
      </w:r>
      <w:r>
        <w:rPr>
          <w:rFonts w:hint="eastAsia" w:ascii="宋体" w:hAnsi="宋体" w:cs="宋体"/>
          <w:color w:val="auto"/>
          <w:kern w:val="0"/>
          <w:szCs w:val="21"/>
        </w:rPr>
        <w:t>1份</w:t>
      </w:r>
      <w:r>
        <w:rPr>
          <w:rFonts w:hint="eastAsia" w:ascii="宋体" w:hAnsi="宋体"/>
          <w:color w:val="auto"/>
          <w:szCs w:val="21"/>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（3）纸质备份投标文件（含资格文件、商务和技术文件、报价文件）1份。</w:t>
      </w:r>
    </w:p>
    <w:p>
      <w:pPr>
        <w:spacing w:line="360" w:lineRule="auto"/>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九、投标文件的签署盖章</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1、招标文件第七章“附件”中标明加盖公章或签字的，加盖公章部分采用CA签章，签字部分由法定代表人或授权代表签字后扫描上传。授权代表签字的，还应附法定代表人签署的法定代表人授权书。</w:t>
      </w:r>
    </w:p>
    <w:p>
      <w:pPr>
        <w:spacing w:line="360" w:lineRule="auto"/>
        <w:ind w:firstLine="420" w:firstLineChars="200"/>
        <w:jc w:val="left"/>
        <w:rPr>
          <w:rFonts w:ascii="宋体" w:hAnsi="宋体"/>
          <w:color w:val="auto"/>
          <w:szCs w:val="21"/>
        </w:rPr>
      </w:pPr>
      <w:r>
        <w:rPr>
          <w:rFonts w:hint="eastAsia" w:ascii="宋体" w:hAnsi="宋体"/>
          <w:color w:val="auto"/>
          <w:szCs w:val="21"/>
        </w:rPr>
        <w:t>2、纸质备份投标文件需打印或用不褪色的墨水填写。招标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spacing w:line="360" w:lineRule="auto"/>
        <w:ind w:firstLine="422" w:firstLineChars="200"/>
        <w:jc w:val="left"/>
        <w:rPr>
          <w:rFonts w:ascii="宋体" w:hAnsi="宋体"/>
          <w:b/>
          <w:color w:val="auto"/>
          <w:szCs w:val="21"/>
        </w:rPr>
      </w:pPr>
      <w:r>
        <w:rPr>
          <w:rFonts w:hint="eastAsia" w:ascii="宋体" w:hAnsi="宋体"/>
          <w:b/>
          <w:color w:val="auto"/>
          <w:szCs w:val="21"/>
        </w:rPr>
        <w:t>十、投标文件的密封和标记</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1、电子投标文件：供应商应根据“项目采购-电子招投标操作指南”及本招标文件规定的格式和顺序编制电子投标文件并进行关联定位。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以U盘或光盘存储的电子备份投标文件</w:t>
      </w:r>
      <w:r>
        <w:rPr>
          <w:rFonts w:hint="eastAsia" w:ascii="宋体" w:hAnsi="宋体"/>
          <w:b/>
          <w:color w:val="auto"/>
          <w:szCs w:val="21"/>
        </w:rPr>
        <w:t>用封袋密封后递交。</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3、</w:t>
      </w:r>
      <w:r>
        <w:rPr>
          <w:rFonts w:hint="eastAsia" w:ascii="宋体" w:hAnsi="宋体" w:cs="宋体"/>
          <w:color w:val="auto"/>
          <w:kern w:val="0"/>
          <w:szCs w:val="21"/>
        </w:rPr>
        <w:t>纸质备份投标文件：</w:t>
      </w:r>
      <w:r>
        <w:rPr>
          <w:rFonts w:hint="eastAsia" w:ascii="宋体" w:hAnsi="宋体"/>
          <w:color w:val="auto"/>
          <w:szCs w:val="21"/>
        </w:rPr>
        <w:t>“资格文件正本1份”、“商务和技术文件正本1份”、“报价文件正本1份”</w:t>
      </w:r>
      <w:r>
        <w:rPr>
          <w:rFonts w:hint="eastAsia" w:ascii="宋体" w:hAnsi="宋体"/>
          <w:b/>
          <w:color w:val="auto"/>
          <w:szCs w:val="21"/>
        </w:rPr>
        <w:t>用封袋密封后递交</w:t>
      </w:r>
      <w:r>
        <w:rPr>
          <w:rFonts w:hint="eastAsia" w:ascii="宋体" w:hAnsi="宋体"/>
          <w:color w:val="auto"/>
          <w:szCs w:val="21"/>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4、</w:t>
      </w:r>
      <w:r>
        <w:rPr>
          <w:rFonts w:hint="eastAsia" w:ascii="宋体" w:hAnsi="宋体" w:cs="宋体"/>
          <w:color w:val="auto"/>
          <w:kern w:val="0"/>
          <w:szCs w:val="21"/>
        </w:rPr>
        <w:t>电子备份投标文件、纸质备份投标文件须在</w:t>
      </w:r>
      <w:r>
        <w:rPr>
          <w:rFonts w:hint="eastAsia" w:ascii="宋体" w:hAnsi="宋体"/>
          <w:color w:val="auto"/>
          <w:szCs w:val="21"/>
        </w:rPr>
        <w:t>封袋上分别注明：</w:t>
      </w:r>
    </w:p>
    <w:p>
      <w:pPr>
        <w:tabs>
          <w:tab w:val="left" w:pos="900"/>
        </w:tabs>
        <w:spacing w:line="360" w:lineRule="auto"/>
        <w:ind w:firstLine="420" w:firstLineChars="200"/>
        <w:jc w:val="left"/>
        <w:rPr>
          <w:rFonts w:hint="eastAsia"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“电子备份投标文件”、“纸质备份投标文件”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NBITC-202</w:t>
      </w:r>
      <w:r>
        <w:rPr>
          <w:rFonts w:ascii="宋体" w:hAnsi="宋体"/>
          <w:color w:val="auto"/>
          <w:szCs w:val="21"/>
          <w:u w:val="single"/>
        </w:rPr>
        <w:t>1</w:t>
      </w:r>
      <w:r>
        <w:rPr>
          <w:rFonts w:hint="eastAsia" w:ascii="宋体" w:hAnsi="宋体"/>
          <w:color w:val="auto"/>
          <w:szCs w:val="21"/>
          <w:u w:val="single"/>
          <w:lang w:val="en-US" w:eastAsia="zh-CN"/>
        </w:rPr>
        <w:t>30999</w:t>
      </w:r>
      <w:r>
        <w:rPr>
          <w:rFonts w:hint="eastAsia" w:ascii="宋体" w:hAnsi="宋体"/>
          <w:color w:val="auto"/>
          <w:szCs w:val="21"/>
          <w:u w:val="single"/>
        </w:rPr>
        <w:t>G</w:t>
      </w:r>
      <w:r>
        <w:rPr>
          <w:rFonts w:ascii="宋体" w:hAnsi="宋体"/>
          <w:color w:val="auto"/>
          <w:szCs w:val="21"/>
          <w:u w:val="single"/>
        </w:rPr>
        <w:t xml:space="preserve">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）项目名称：</w:t>
      </w:r>
      <w:r>
        <w:rPr>
          <w:rFonts w:ascii="宋体" w:hAnsi="宋体"/>
          <w:color w:val="auto"/>
          <w:szCs w:val="21"/>
          <w:u w:val="single"/>
        </w:rPr>
        <w:t xml:space="preserve">   </w:t>
      </w:r>
      <w:r>
        <w:rPr>
          <w:rFonts w:hint="eastAsia" w:ascii="宋体" w:hAnsi="宋体"/>
          <w:color w:val="auto"/>
          <w:szCs w:val="21"/>
          <w:u w:val="single"/>
        </w:rPr>
        <w:t>宁波市镇海区人民医院医疗集团</w:t>
      </w:r>
      <w:r>
        <w:rPr>
          <w:rFonts w:hint="eastAsia" w:ascii="宋体" w:hAnsi="宋体"/>
          <w:color w:val="auto"/>
          <w:szCs w:val="21"/>
          <w:u w:val="single"/>
          <w:lang w:eastAsia="zh-CN"/>
        </w:rPr>
        <w:t>医学标本外送检测服务</w:t>
      </w:r>
      <w:r>
        <w:rPr>
          <w:rFonts w:hint="eastAsia" w:ascii="宋体" w:hAnsi="宋体"/>
          <w:color w:val="auto"/>
          <w:szCs w:val="21"/>
          <w:u w:val="single"/>
        </w:rPr>
        <w:t>项目</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）所投标项（如有多个标项须填写）：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）在</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日（规定的开标日期和时间）前不准启封；</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）供应商的名称：</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供应商须在包封上加盖供应商公章或由其法定代表人（或授权代表）签字。</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供应商未按上述要求标记的，采购人（代理机构）不承担错放或提前开封的责任。</w:t>
      </w:r>
    </w:p>
    <w:p>
      <w:pPr>
        <w:spacing w:line="360" w:lineRule="auto"/>
        <w:ind w:firstLine="422" w:firstLineChars="200"/>
        <w:jc w:val="left"/>
        <w:rPr>
          <w:rFonts w:ascii="宋体" w:hAnsi="宋体"/>
          <w:b/>
          <w:color w:val="auto"/>
          <w:szCs w:val="21"/>
        </w:rPr>
      </w:pPr>
      <w:r>
        <w:rPr>
          <w:rFonts w:hint="eastAsia" w:ascii="宋体" w:hAnsi="宋体"/>
          <w:b/>
          <w:color w:val="auto"/>
          <w:szCs w:val="21"/>
        </w:rPr>
        <w:t>十一、投标文件的递交</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1、投标文件递交的具体要求详见采购公告。</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2、供应商未按上述要求密封的电子备份投标文件，代理机构不予受理。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olor w:val="auto"/>
          <w:szCs w:val="21"/>
        </w:rPr>
        <w:t>代理机构</w:t>
      </w:r>
      <w:r>
        <w:rPr>
          <w:rFonts w:ascii="宋体" w:hAnsi="宋体"/>
          <w:color w:val="auto"/>
          <w:szCs w:val="21"/>
        </w:rPr>
        <w:t>不予受理。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4、投标文件的补充、修改</w:t>
      </w:r>
    </w:p>
    <w:p>
      <w:pPr>
        <w:spacing w:line="400" w:lineRule="exact"/>
        <w:ind w:firstLine="420" w:firstLineChars="200"/>
        <w:rPr>
          <w:rFonts w:hint="eastAsia" w:ascii="宋体" w:hAnsi="宋体"/>
          <w:color w:val="auto"/>
          <w:szCs w:val="21"/>
        </w:rPr>
      </w:pPr>
      <w:r>
        <w:rPr>
          <w:rFonts w:hint="eastAsia" w:ascii="宋体" w:hAnsi="宋体"/>
          <w:color w:val="auto"/>
          <w:szCs w:val="21"/>
        </w:rPr>
        <w:t>投标截止时间前，供应商可以对递交的投标文件进行补充、修改，</w:t>
      </w:r>
      <w:r>
        <w:rPr>
          <w:rFonts w:hint="eastAsia"/>
          <w:color w:val="auto"/>
          <w:szCs w:val="21"/>
          <w:lang w:val="en"/>
        </w:rPr>
        <w:t>补充、修改</w:t>
      </w:r>
      <w:r>
        <w:rPr>
          <w:rFonts w:hint="eastAsia"/>
          <w:color w:val="auto"/>
          <w:szCs w:val="21"/>
        </w:rPr>
        <w:t>电子投标文件</w:t>
      </w:r>
      <w:r>
        <w:rPr>
          <w:rFonts w:hint="eastAsia"/>
          <w:color w:val="auto"/>
          <w:szCs w:val="21"/>
          <w:lang w:val="en"/>
        </w:rPr>
        <w:t>的，应当先行撤回原文件，补充、修改后重新上传，电子备份投标文件也应重新制作。修改后的</w:t>
      </w:r>
      <w:r>
        <w:rPr>
          <w:rFonts w:hint="eastAsia" w:ascii="宋体" w:hAnsi="宋体"/>
          <w:color w:val="auto"/>
          <w:szCs w:val="21"/>
        </w:rPr>
        <w:t>纸质备份投标文件应当按本采购文件的要求签署、盖章和密封。在投标截止时间之后，供应商不得对其投标文件进行补充、修改。投标截止时间之后供应商要求撤销投标文件的，应向采购人提交正式文件。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十二、开标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、电子投标开标及评审程序：一阶段开标。</w:t>
      </w:r>
    </w:p>
    <w:p>
      <w:pPr>
        <w:spacing w:line="400" w:lineRule="exact"/>
        <w:ind w:firstLine="420" w:firstLineChars="200"/>
        <w:jc w:val="left"/>
        <w:rPr>
          <w:rFonts w:ascii="宋体" w:hAnsi="宋体"/>
          <w:color w:val="auto"/>
          <w:szCs w:val="21"/>
        </w:rPr>
      </w:pPr>
      <w:r>
        <w:rPr>
          <w:rFonts w:hint="eastAsia" w:ascii="宋体" w:hAnsi="宋体"/>
          <w:color w:val="auto"/>
          <w:szCs w:val="21"/>
        </w:rPr>
        <w:t>（1）宣布开标；</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（2）投标截止时间后，供应商登录</w:t>
      </w:r>
      <w:r>
        <w:rPr>
          <w:rFonts w:hint="eastAsia" w:ascii="宋体" w:hAnsi="宋体" w:cs="宋体"/>
          <w:color w:val="auto"/>
          <w:kern w:val="0"/>
          <w:szCs w:val="21"/>
        </w:rPr>
        <w:t>政府采购云平台</w:t>
      </w:r>
      <w:r>
        <w:rPr>
          <w:rFonts w:hint="eastAsia" w:ascii="宋体" w:hAnsi="宋体"/>
          <w:color w:val="auto"/>
          <w:szCs w:val="21"/>
        </w:rPr>
        <w:t>，用“项目采购-开标评标”功能对电子投标文件进行在线解密，在线解密电子投标文件时间为开标时间后半</w:t>
      </w:r>
      <w:r>
        <w:rPr>
          <w:rFonts w:ascii="宋体" w:hAnsi="宋体"/>
          <w:color w:val="auto"/>
          <w:szCs w:val="21"/>
        </w:rPr>
        <w:t>小时</w:t>
      </w:r>
      <w:r>
        <w:rPr>
          <w:rFonts w:hint="eastAsia" w:ascii="宋体" w:hAnsi="宋体"/>
          <w:color w:val="auto"/>
          <w:szCs w:val="21"/>
        </w:rPr>
        <w:t>内。</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）介绍开标现场的人员情况；</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）宣读递交投标文件的供应商名单、开标纪律、应当回避的情形等注意事项；</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）供应商签署不存在影响公平竞争的《政府采购活动现场确认声明书》；</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供应商代表查验投标文件密封情况；确认无误后按照供应商提交投标文件的先后顺序，开启“资格文件”、“商务和技术文件”、“报价文件”，宣读供应商名称、投标文件中“开标一览表”内容，以及采购人认为必要的其他内容与记录，并做开标记录；</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）开标记录签字确认；</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（8）开标结束。</w:t>
      </w:r>
    </w:p>
    <w:p>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休会，评标委员会对“资格文件”、“商务和技术文件”、“报价文件”进行评审。</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（9）在</w:t>
      </w:r>
      <w:r>
        <w:rPr>
          <w:rFonts w:hint="eastAsia" w:ascii="宋体" w:hAnsi="宋体" w:cs="宋体"/>
          <w:color w:val="auto"/>
          <w:kern w:val="0"/>
          <w:szCs w:val="21"/>
        </w:rPr>
        <w:t>政府采购云平台</w:t>
      </w:r>
      <w:r>
        <w:rPr>
          <w:rFonts w:hint="eastAsia" w:ascii="宋体" w:hAnsi="宋体"/>
          <w:color w:val="auto"/>
          <w:szCs w:val="21"/>
        </w:rPr>
        <w:t>公布中标候选人名单及采购人最终确定中标供应商名单的时间和公告方式等；</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3、特别说明：</w:t>
      </w:r>
      <w:r>
        <w:rPr>
          <w:rFonts w:hint="eastAsia" w:ascii="宋体" w:hAnsi="宋体" w:cs="宋体"/>
          <w:color w:val="auto"/>
          <w:kern w:val="0"/>
          <w:szCs w:val="21"/>
        </w:rPr>
        <w:t>政府采购云平台</w:t>
      </w:r>
      <w:r>
        <w:rPr>
          <w:rFonts w:hint="eastAsia" w:ascii="宋体" w:hAnsi="宋体"/>
          <w:color w:val="auto"/>
          <w:szCs w:val="21"/>
        </w:rPr>
        <w:t>如对电子化开标及评审程序有调整的，按调整后的程序操作。</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本项目原则上采用政采云电子投标开标及评审程序，但有下情形之一的，按以下情况处理：</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）若供应商在规定时间内无法解密或解密失败，代理机构将开启上述供应商递交的</w:t>
      </w:r>
      <w:r>
        <w:rPr>
          <w:rFonts w:hint="eastAsia" w:ascii="宋体" w:hAnsi="宋体" w:cs="宋体"/>
          <w:color w:val="auto"/>
          <w:kern w:val="0"/>
          <w:szCs w:val="21"/>
        </w:rPr>
        <w:t>以U盘或光盘存储的电子备份投标文件</w:t>
      </w:r>
      <w:r>
        <w:rPr>
          <w:rFonts w:hint="eastAsia" w:ascii="宋体" w:hAnsi="宋体"/>
          <w:color w:val="auto"/>
          <w:szCs w:val="21"/>
        </w:rPr>
        <w:t>，上传至政采云平台项目采购模块，以完成开标，电子投标文件自动失效。</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）若因</w:t>
      </w:r>
      <w:r>
        <w:rPr>
          <w:rFonts w:hint="eastAsia" w:ascii="宋体" w:hAnsi="宋体" w:cs="宋体"/>
          <w:color w:val="auto"/>
          <w:kern w:val="0"/>
          <w:szCs w:val="21"/>
        </w:rPr>
        <w:t>政府采购云平台</w:t>
      </w:r>
      <w:r>
        <w:rPr>
          <w:rFonts w:hint="eastAsia" w:ascii="宋体" w:hAnsi="宋体"/>
          <w:color w:val="auto"/>
          <w:szCs w:val="21"/>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rPr>
        <w:t>以U盘或光盘存储的电子备份投标文件</w:t>
      </w:r>
      <w:r>
        <w:rPr>
          <w:rFonts w:hint="eastAsia" w:ascii="宋体" w:hAnsi="宋体"/>
          <w:color w:val="auto"/>
          <w:szCs w:val="21"/>
        </w:rPr>
        <w:t>自动失效。</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电子交易平台发生故障而无法登录访问的；</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.2</w:t>
      </w:r>
      <w:r>
        <w:rPr>
          <w:rFonts w:hint="eastAsia" w:ascii="宋体" w:hAnsi="宋体"/>
          <w:color w:val="auto"/>
          <w:szCs w:val="21"/>
        </w:rPr>
        <w:t>电子交易平台应用或数据库出现错误，不能进行正常操作的；</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电子交易平台发现严重安全漏洞，有潜在泄密危险的；</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 xml:space="preserve">病毒发作导致不能进行正常操作的； </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.5</w:t>
      </w:r>
      <w:r>
        <w:rPr>
          <w:rFonts w:hint="eastAsia" w:ascii="宋体" w:hAnsi="宋体"/>
          <w:color w:val="auto"/>
          <w:szCs w:val="21"/>
        </w:rPr>
        <w:t>其他无法保证电子交易的公平、公正和安全的情况。</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出现前款规定情形，不影响采购公平、公正性的，采购人（或代理机构）可以待上述情形消除后继续组织电子交易活动，也可以决定某些环节以纸质形式进行。</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十三、评标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十四、招标文件的澄清和修改</w:t>
      </w:r>
    </w:p>
    <w:p>
      <w:pPr>
        <w:spacing w:line="400" w:lineRule="exact"/>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b/>
          <w:color w:val="auto"/>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十五、质疑与投诉</w:t>
      </w:r>
    </w:p>
    <w:p>
      <w:pPr>
        <w:spacing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spacing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、供应商提出质疑应当提交质疑函和必要的证明材料，质疑函应当以书面形式提出，质疑函格式和内容须符合财政部《质疑函范本》、《</w:t>
      </w:r>
      <w:r>
        <w:rPr>
          <w:rFonts w:hint="eastAsia"/>
          <w:color w:val="auto"/>
          <w:szCs w:val="21"/>
        </w:rPr>
        <w:t>投诉书范本》</w:t>
      </w:r>
      <w:r>
        <w:rPr>
          <w:rFonts w:hint="eastAsia" w:ascii="宋体" w:hAnsi="宋体"/>
          <w:color w:val="auto"/>
          <w:szCs w:val="21"/>
        </w:rPr>
        <w:t>要求，供应商可到中国政府采购网自行下载财政部《质疑函范本》、《</w:t>
      </w:r>
      <w:r>
        <w:rPr>
          <w:rFonts w:hint="eastAsia"/>
          <w:color w:val="auto"/>
          <w:szCs w:val="21"/>
        </w:rPr>
        <w:t>投诉书范本》</w:t>
      </w:r>
      <w:r>
        <w:rPr>
          <w:rFonts w:hint="eastAsia" w:ascii="宋体" w:hAnsi="宋体"/>
          <w:color w:val="auto"/>
          <w:szCs w:val="21"/>
        </w:rPr>
        <w:t>。</w:t>
      </w:r>
    </w:p>
    <w:p>
      <w:pPr>
        <w:spacing w:line="360" w:lineRule="auto"/>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360" w:lineRule="auto"/>
        <w:ind w:firstLine="420" w:firstLineChars="200"/>
        <w:rPr>
          <w:rFonts w:ascii="宋体"/>
          <w:color w:val="auto"/>
          <w:szCs w:val="21"/>
        </w:rPr>
      </w:pPr>
      <w:r>
        <w:rPr>
          <w:rFonts w:ascii="宋体" w:hAnsi="宋体"/>
          <w:color w:val="auto"/>
          <w:szCs w:val="21"/>
        </w:rPr>
        <w:t>5</w:t>
      </w:r>
      <w:r>
        <w:rPr>
          <w:rFonts w:hint="eastAsia" w:ascii="宋体" w:hAnsi="宋体"/>
          <w:color w:val="auto"/>
          <w:szCs w:val="21"/>
        </w:rPr>
        <w:t>、采购人、代理机构接收质疑函的方式：只接收供应商以当面递交、邮寄、传真或电子邮件方式提出的质疑函，以其他方式提出的质疑不予接收。</w:t>
      </w:r>
    </w:p>
    <w:p>
      <w:pPr>
        <w:spacing w:line="360" w:lineRule="auto"/>
        <w:ind w:firstLine="420" w:firstLineChars="200"/>
        <w:rPr>
          <w:rFonts w:ascii="宋体"/>
          <w:color w:val="auto"/>
          <w:szCs w:val="21"/>
        </w:rPr>
      </w:pPr>
      <w:r>
        <w:rPr>
          <w:rFonts w:hint="eastAsia" w:ascii="宋体" w:hAnsi="宋体"/>
          <w:color w:val="auto"/>
          <w:szCs w:val="21"/>
        </w:rPr>
        <w:t>采取邮寄方式的，提出质疑的时间为质疑函原件交邮的时间（以邮戳时间或快递收件时间为准）。</w:t>
      </w:r>
    </w:p>
    <w:p>
      <w:pPr>
        <w:spacing w:line="360" w:lineRule="auto"/>
        <w:ind w:firstLine="420" w:firstLineChars="200"/>
        <w:rPr>
          <w:rFonts w:ascii="宋体"/>
          <w:color w:val="auto"/>
          <w:szCs w:val="21"/>
        </w:rPr>
      </w:pPr>
      <w:r>
        <w:rPr>
          <w:rFonts w:hint="eastAsia" w:ascii="宋体" w:hAnsi="宋体"/>
          <w:color w:val="auto"/>
          <w:szCs w:val="21"/>
        </w:rPr>
        <w:t>采取传真、电子邮件方式的，供应商应当在传真、电子邮件发出后将质疑函原件邮寄给被质疑人，提出质疑的时间为质疑函原件交邮的时间（以邮戳时间或快递收件时间为准）。</w:t>
      </w:r>
    </w:p>
    <w:p>
      <w:pPr>
        <w:spacing w:line="360" w:lineRule="auto"/>
        <w:ind w:firstLine="420" w:firstLineChars="200"/>
        <w:rPr>
          <w:rFonts w:ascii="宋体"/>
          <w:color w:val="auto"/>
          <w:szCs w:val="21"/>
        </w:rPr>
      </w:pPr>
      <w:r>
        <w:rPr>
          <w:rFonts w:ascii="宋体" w:hAnsi="宋体"/>
          <w:color w:val="auto"/>
          <w:szCs w:val="21"/>
        </w:rPr>
        <w:t>6</w:t>
      </w:r>
      <w:r>
        <w:rPr>
          <w:rFonts w:hint="eastAsia" w:ascii="宋体" w:hAnsi="宋体"/>
          <w:color w:val="auto"/>
          <w:szCs w:val="21"/>
        </w:rPr>
        <w:t>、采购人、代理机构以实际收到质疑函原件之日作为收到质疑函的日期，将在收到质疑函后</w:t>
      </w:r>
      <w:r>
        <w:rPr>
          <w:rFonts w:ascii="宋体" w:hAnsi="宋体"/>
          <w:color w:val="auto"/>
          <w:szCs w:val="21"/>
        </w:rPr>
        <w:t>7</w:t>
      </w:r>
      <w:r>
        <w:rPr>
          <w:rFonts w:hint="eastAsia" w:ascii="宋体" w:hAnsi="宋体"/>
          <w:color w:val="auto"/>
          <w:szCs w:val="21"/>
        </w:rPr>
        <w:t>个工作日内作出答复。</w:t>
      </w:r>
    </w:p>
    <w:p>
      <w:pPr>
        <w:spacing w:line="360" w:lineRule="auto"/>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、采购人、代理机构接收质疑函的联系人、联系电话和通讯地址等信息详见采购公告。</w:t>
      </w:r>
    </w:p>
    <w:p>
      <w:pPr>
        <w:spacing w:line="360" w:lineRule="auto"/>
        <w:ind w:firstLine="422" w:firstLineChars="200"/>
        <w:jc w:val="left"/>
        <w:rPr>
          <w:rFonts w:hint="eastAsia" w:ascii="宋体" w:hAnsi="宋体"/>
          <w:color w:val="auto"/>
          <w:szCs w:val="21"/>
        </w:rPr>
      </w:pPr>
      <w:r>
        <w:rPr>
          <w:rFonts w:ascii="宋体" w:hAnsi="宋体"/>
          <w:b/>
          <w:color w:val="auto"/>
          <w:szCs w:val="21"/>
        </w:rPr>
        <w:t>▲</w:t>
      </w:r>
      <w:r>
        <w:rPr>
          <w:rFonts w:hint="eastAsia" w:ascii="宋体" w:hAnsi="宋体"/>
          <w:b/>
          <w:color w:val="auto"/>
          <w:szCs w:val="21"/>
        </w:rPr>
        <w:t>十六、最高服务比例</w:t>
      </w:r>
    </w:p>
    <w:p>
      <w:pPr>
        <w:spacing w:line="360" w:lineRule="auto"/>
        <w:ind w:firstLine="420" w:firstLineChars="200"/>
        <w:rPr>
          <w:rFonts w:hint="eastAsia" w:ascii="宋体" w:hAnsi="宋体"/>
          <w:color w:val="auto"/>
          <w:szCs w:val="21"/>
        </w:rPr>
      </w:pPr>
      <w:bookmarkStart w:id="6" w:name="_Hlk37142004"/>
      <w:r>
        <w:rPr>
          <w:rFonts w:ascii="宋体" w:hAnsi="宋体"/>
          <w:color w:val="auto"/>
          <w:szCs w:val="21"/>
        </w:rPr>
        <w:t>1</w:t>
      </w:r>
      <w:r>
        <w:rPr>
          <w:rFonts w:hint="eastAsia" w:ascii="宋体" w:hAnsi="宋体"/>
          <w:color w:val="auto"/>
          <w:szCs w:val="21"/>
        </w:rPr>
        <w:t>、本次公开招标设有最高服务比例：</w:t>
      </w:r>
      <w:r>
        <w:rPr>
          <w:rFonts w:hint="eastAsia" w:ascii="宋体" w:hAnsi="宋体"/>
          <w:color w:val="auto"/>
          <w:szCs w:val="21"/>
          <w:highlight w:val="yellow"/>
          <w:lang w:eastAsia="zh-CN"/>
        </w:rPr>
        <w:t>普通</w:t>
      </w:r>
      <w:r>
        <w:rPr>
          <w:rFonts w:hint="eastAsia" w:ascii="宋体" w:hAnsi="宋体"/>
          <w:color w:val="auto"/>
          <w:szCs w:val="21"/>
          <w:highlight w:val="yellow"/>
        </w:rPr>
        <w:t>检验最高服务比例为：</w:t>
      </w:r>
      <w:r>
        <w:rPr>
          <w:rFonts w:hint="eastAsia" w:ascii="宋体" w:hAnsi="宋体"/>
          <w:color w:val="auto"/>
          <w:szCs w:val="21"/>
          <w:highlight w:val="yellow"/>
          <w:lang w:val="en-US" w:eastAsia="zh-CN"/>
        </w:rPr>
        <w:t>37</w:t>
      </w:r>
      <w:r>
        <w:rPr>
          <w:rFonts w:hint="eastAsia" w:ascii="宋体" w:hAnsi="宋体"/>
          <w:color w:val="auto"/>
          <w:szCs w:val="21"/>
          <w:highlight w:val="yellow"/>
        </w:rPr>
        <w:t>%</w:t>
      </w:r>
      <w:r>
        <w:rPr>
          <w:rFonts w:hint="eastAsia" w:ascii="宋体" w:hAnsi="宋体"/>
          <w:color w:val="auto"/>
          <w:szCs w:val="21"/>
          <w:highlight w:val="yellow"/>
          <w:lang w:eastAsia="zh-CN"/>
        </w:rPr>
        <w:t>；</w:t>
      </w:r>
      <w:r>
        <w:rPr>
          <w:rFonts w:hint="eastAsia" w:ascii="宋体" w:hAnsi="宋体"/>
          <w:color w:val="auto"/>
          <w:szCs w:val="21"/>
          <w:highlight w:val="yellow"/>
        </w:rPr>
        <w:t>病理</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50</w:t>
      </w:r>
      <w:r>
        <w:rPr>
          <w:rFonts w:hint="eastAsia" w:ascii="宋体" w:hAnsi="宋体"/>
          <w:color w:val="auto"/>
          <w:szCs w:val="21"/>
          <w:highlight w:val="yellow"/>
        </w:rPr>
        <w:t>%</w:t>
      </w:r>
      <w:r>
        <w:rPr>
          <w:rFonts w:hint="eastAsia" w:ascii="宋体" w:hAnsi="宋体"/>
          <w:color w:val="auto"/>
          <w:szCs w:val="21"/>
          <w:highlight w:val="yellow"/>
          <w:lang w:eastAsia="zh-CN"/>
        </w:rPr>
        <w:t>（</w:t>
      </w:r>
      <w:r>
        <w:rPr>
          <w:rFonts w:hint="eastAsia" w:ascii="宋体" w:hAnsi="宋体"/>
          <w:color w:val="auto"/>
          <w:szCs w:val="21"/>
          <w:highlight w:val="yellow"/>
          <w:lang w:val="en-US" w:eastAsia="zh-CN"/>
        </w:rPr>
        <w:t>其中炼化院区的</w:t>
      </w:r>
      <w:r>
        <w:rPr>
          <w:rFonts w:hint="eastAsia" w:ascii="宋体" w:hAnsi="宋体"/>
          <w:color w:val="auto"/>
          <w:szCs w:val="21"/>
          <w:highlight w:val="yellow"/>
        </w:rPr>
        <w:t>病理</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40%</w:t>
      </w:r>
      <w:r>
        <w:rPr>
          <w:rFonts w:hint="eastAsia" w:ascii="宋体" w:hAnsi="宋体"/>
          <w:color w:val="auto"/>
          <w:szCs w:val="21"/>
          <w:highlight w:val="yellow"/>
          <w:lang w:eastAsia="zh-CN"/>
        </w:rPr>
        <w:t>）；</w:t>
      </w:r>
      <w:r>
        <w:rPr>
          <w:rFonts w:hint="eastAsia" w:ascii="宋体" w:hAnsi="宋体"/>
          <w:color w:val="auto"/>
          <w:szCs w:val="21"/>
          <w:highlight w:val="yellow"/>
        </w:rPr>
        <w:t>冰冻（术中快切）</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70</w:t>
      </w:r>
      <w:r>
        <w:rPr>
          <w:rFonts w:hint="eastAsia" w:ascii="宋体" w:hAnsi="宋体"/>
          <w:color w:val="auto"/>
          <w:szCs w:val="21"/>
          <w:highlight w:val="yellow"/>
        </w:rPr>
        <w:t>%</w:t>
      </w:r>
      <w:r>
        <w:rPr>
          <w:rFonts w:hint="eastAsia" w:ascii="宋体" w:hAnsi="宋体"/>
          <w:color w:val="auto"/>
          <w:szCs w:val="21"/>
          <w:highlight w:val="yellow"/>
          <w:lang w:eastAsia="zh-CN"/>
        </w:rPr>
        <w:t>；</w:t>
      </w:r>
      <w:r>
        <w:rPr>
          <w:rFonts w:hint="eastAsia" w:ascii="宋体" w:hAnsi="宋体"/>
          <w:color w:val="auto"/>
          <w:szCs w:val="21"/>
          <w:highlight w:val="yellow"/>
        </w:rPr>
        <w:t>高于此服务比例的投标为无效投标。</w:t>
      </w:r>
    </w:p>
    <w:p>
      <w:pPr>
        <w:spacing w:line="360" w:lineRule="auto"/>
        <w:ind w:firstLine="422" w:firstLineChars="200"/>
        <w:jc w:val="left"/>
        <w:rPr>
          <w:rFonts w:ascii="宋体" w:hAnsi="宋体"/>
          <w:b/>
          <w:color w:val="auto"/>
          <w:szCs w:val="21"/>
        </w:rPr>
      </w:pPr>
      <w:r>
        <w:rPr>
          <w:rFonts w:hint="eastAsia" w:ascii="宋体" w:hAnsi="宋体"/>
          <w:b/>
          <w:color w:val="auto"/>
          <w:szCs w:val="21"/>
        </w:rPr>
        <w:t>十七、招标代理服务费</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1、招标代理公司向各标项中标供应商收取招标服务费：</w:t>
      </w:r>
      <w:r>
        <w:rPr>
          <w:rFonts w:hint="eastAsia" w:ascii="宋体" w:hAnsi="宋体"/>
          <w:color w:val="auto"/>
          <w:szCs w:val="21"/>
          <w:lang w:val="en-US" w:eastAsia="zh-CN"/>
        </w:rPr>
        <w:t>79</w:t>
      </w:r>
      <w:r>
        <w:rPr>
          <w:rFonts w:hint="eastAsia" w:ascii="宋体" w:hAnsi="宋体"/>
          <w:color w:val="auto"/>
          <w:szCs w:val="21"/>
        </w:rPr>
        <w:t>000.00元。</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2、中标供应商应在代理机构发出中标通知书5个工作日内向本代理机构支付招标代理服务费。</w:t>
      </w:r>
    </w:p>
    <w:p>
      <w:pPr>
        <w:spacing w:line="360" w:lineRule="auto"/>
        <w:ind w:firstLine="420" w:firstLineChars="200"/>
        <w:jc w:val="left"/>
        <w:rPr>
          <w:rFonts w:ascii="宋体" w:hAnsi="宋体"/>
          <w:color w:val="auto"/>
          <w:szCs w:val="21"/>
        </w:rPr>
      </w:pPr>
      <w:r>
        <w:rPr>
          <w:rFonts w:hint="eastAsia" w:ascii="宋体" w:hAnsi="宋体"/>
          <w:color w:val="auto"/>
          <w:szCs w:val="21"/>
        </w:rPr>
        <w:t>3、招标代理服务费收取银行票汇款、电汇款。</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账户名称：宁波市国际招标有限公司</w:t>
      </w:r>
    </w:p>
    <w:p>
      <w:pPr>
        <w:spacing w:line="360" w:lineRule="auto"/>
        <w:ind w:firstLine="420" w:firstLineChars="200"/>
        <w:jc w:val="left"/>
        <w:rPr>
          <w:rFonts w:ascii="宋体" w:hAnsi="宋体"/>
          <w:color w:val="auto"/>
          <w:szCs w:val="21"/>
        </w:rPr>
      </w:pPr>
      <w:r>
        <w:rPr>
          <w:rFonts w:hint="eastAsia" w:ascii="宋体" w:hAnsi="宋体"/>
          <w:color w:val="auto"/>
          <w:szCs w:val="21"/>
        </w:rPr>
        <w:t>开户银行：上海浦东发展银行宁波分行江北支行</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银行账号：94090154800000191</w:t>
      </w:r>
    </w:p>
    <w:bookmarkEnd w:id="6"/>
    <w:p>
      <w:pPr>
        <w:spacing w:line="400" w:lineRule="exact"/>
        <w:ind w:firstLine="422" w:firstLineChars="200"/>
        <w:jc w:val="left"/>
        <w:rPr>
          <w:rFonts w:ascii="宋体" w:hAnsi="宋体"/>
          <w:b/>
          <w:color w:val="auto"/>
          <w:szCs w:val="21"/>
        </w:rPr>
      </w:pPr>
      <w:r>
        <w:rPr>
          <w:rFonts w:hint="eastAsia" w:ascii="宋体" w:hAnsi="宋体"/>
          <w:b/>
          <w:color w:val="auto"/>
          <w:szCs w:val="21"/>
        </w:rPr>
        <w:t>十八、特别说明</w:t>
      </w:r>
    </w:p>
    <w:p>
      <w:pPr>
        <w:spacing w:line="360" w:lineRule="auto"/>
        <w:ind w:firstLine="424" w:firstLineChars="202"/>
        <w:rPr>
          <w:color w:val="auto"/>
        </w:rPr>
      </w:pPr>
      <w:bookmarkStart w:id="7" w:name="_Toc495244277"/>
      <w:bookmarkStart w:id="8" w:name="_Toc21541015"/>
      <w:r>
        <w:rPr>
          <w:color w:val="auto"/>
        </w:rPr>
        <w:t>1</w:t>
      </w:r>
      <w:r>
        <w:rPr>
          <w:rFonts w:hint="eastAsia"/>
          <w:color w:val="auto"/>
        </w:rPr>
        <w:t>、</w:t>
      </w:r>
      <w:r>
        <w:rPr>
          <w:color w:val="auto"/>
        </w:rPr>
        <w:t>执行财政部、工业和信息化部《政府采购促进中小企业发展管理办法》（财库〔2020〕46号）。政府采购活动中有关中小企业的相关规定如下：</w:t>
      </w:r>
    </w:p>
    <w:p>
      <w:pPr>
        <w:spacing w:line="360" w:lineRule="auto"/>
        <w:ind w:firstLine="424" w:firstLineChars="202"/>
        <w:rPr>
          <w:rFonts w:hint="eastAsia"/>
          <w:color w:val="auto"/>
        </w:rPr>
      </w:pPr>
      <w:r>
        <w:rPr>
          <w:rFonts w:hint="eastAsia"/>
          <w:color w:val="auto"/>
        </w:rPr>
        <w:t>1.1</w:t>
      </w:r>
      <w:r>
        <w:rPr>
          <w:color w:val="auto"/>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24" w:firstLineChars="202"/>
        <w:rPr>
          <w:rFonts w:hint="eastAsia"/>
          <w:color w:val="auto"/>
        </w:rPr>
      </w:pPr>
      <w:r>
        <w:rPr>
          <w:rFonts w:hint="eastAsia"/>
          <w:color w:val="auto"/>
        </w:rPr>
        <w:t>1.2</w:t>
      </w:r>
      <w:r>
        <w:rPr>
          <w:color w:val="auto"/>
        </w:rPr>
        <w:t>在政府采购活动中，供应商提供的货物、工程或者服务符合下列情形的，享受《政府采购促进中小企业发展管理办法》规定的中小企业扶持政策：</w:t>
      </w:r>
    </w:p>
    <w:p>
      <w:pPr>
        <w:spacing w:line="360" w:lineRule="auto"/>
        <w:ind w:firstLine="424" w:firstLineChars="202"/>
        <w:rPr>
          <w:rFonts w:hint="eastAsia"/>
          <w:color w:val="auto"/>
        </w:rPr>
      </w:pPr>
      <w:r>
        <w:rPr>
          <w:color w:val="auto"/>
        </w:rPr>
        <w:t>（1）、在货物采购项目中，货物由中小企业制造，即货物由中小企业生产且使用该中小企业商号或者注册商标；</w:t>
      </w:r>
    </w:p>
    <w:p>
      <w:pPr>
        <w:spacing w:line="360" w:lineRule="auto"/>
        <w:ind w:firstLine="424" w:firstLineChars="202"/>
        <w:rPr>
          <w:rFonts w:hint="eastAsia"/>
          <w:color w:val="auto"/>
        </w:rPr>
      </w:pPr>
      <w:r>
        <w:rPr>
          <w:color w:val="auto"/>
        </w:rPr>
        <w:t>（2）、在工程采购项目中，工程由中小企业承建，即工程施工单位为中小企业；</w:t>
      </w:r>
    </w:p>
    <w:p>
      <w:pPr>
        <w:spacing w:line="360" w:lineRule="auto"/>
        <w:ind w:firstLine="424" w:firstLineChars="202"/>
        <w:rPr>
          <w:rFonts w:hint="eastAsia"/>
          <w:color w:val="auto"/>
        </w:rPr>
      </w:pPr>
      <w:r>
        <w:rPr>
          <w:color w:val="auto"/>
        </w:rPr>
        <w:t>（3）、在服务采购项目中，服务由中小企业承接，即提供服务的人员为中小企业依照《中华人民共和国劳动合同法》订立劳动合同的从业人员。</w:t>
      </w:r>
    </w:p>
    <w:p>
      <w:pPr>
        <w:spacing w:line="360" w:lineRule="auto"/>
        <w:ind w:firstLine="424" w:firstLineChars="202"/>
        <w:rPr>
          <w:rFonts w:hint="eastAsia"/>
          <w:color w:val="auto"/>
        </w:rPr>
      </w:pPr>
      <w:r>
        <w:rPr>
          <w:color w:val="auto"/>
        </w:rPr>
        <w:t>在货物采购项目中，供应商提供的货物既有中小企业制造货物，也有大型企业制造货物的，不享受《政府采购促进中小企业发展管理办法》规定的中小企业扶持政策。</w:t>
      </w:r>
    </w:p>
    <w:p>
      <w:pPr>
        <w:spacing w:line="360" w:lineRule="auto"/>
        <w:ind w:firstLine="424" w:firstLineChars="202"/>
        <w:rPr>
          <w:rFonts w:hint="eastAsia"/>
          <w:color w:val="auto"/>
        </w:rPr>
      </w:pPr>
      <w:r>
        <w:rPr>
          <w:color w:val="auto"/>
        </w:rPr>
        <w:t>以联合体形式参加政府采购活动，联合体各方均为中小企业的，联合体视同中小企业。其中，联合体各方均为小微企业的，联合体视同小微企业。</w:t>
      </w:r>
    </w:p>
    <w:p>
      <w:pPr>
        <w:spacing w:line="360" w:lineRule="auto"/>
        <w:ind w:firstLine="424" w:firstLineChars="202"/>
        <w:rPr>
          <w:rFonts w:hint="eastAsia"/>
          <w:color w:val="auto"/>
        </w:rPr>
      </w:pPr>
      <w:r>
        <w:rPr>
          <w:rFonts w:hint="eastAsia"/>
          <w:color w:val="auto"/>
        </w:rPr>
        <w:t>1.3</w:t>
      </w:r>
      <w:r>
        <w:rPr>
          <w:color w:val="auto"/>
        </w:rPr>
        <w:t>中小企业参加政府采购活动，应当出具《政府采购促进中小企业发展管理办法》规定的《中小企业声明函》（格式见本采购文件附件），否则不得享受相关中小企业扶持政策。</w:t>
      </w:r>
    </w:p>
    <w:p>
      <w:pPr>
        <w:spacing w:line="360" w:lineRule="auto"/>
        <w:ind w:firstLine="424" w:firstLineChars="202"/>
        <w:rPr>
          <w:rFonts w:hint="eastAsia"/>
          <w:color w:val="auto"/>
        </w:rPr>
      </w:pPr>
      <w:r>
        <w:rPr>
          <w:rFonts w:hint="eastAsia"/>
          <w:color w:val="auto"/>
        </w:rPr>
        <w:t>1.4</w:t>
      </w:r>
      <w:r>
        <w:rPr>
          <w:color w:val="auto"/>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424" w:firstLineChars="202"/>
        <w:rPr>
          <w:rFonts w:hint="eastAsia"/>
          <w:color w:val="auto"/>
        </w:rPr>
      </w:pPr>
      <w:r>
        <w:rPr>
          <w:color w:val="auto"/>
        </w:rPr>
        <w:t>供应商提供声明函内容不实的，属于提供虚假材料谋取中标、成交，依照《中华人民共和国政府采购法》等国家有关规定追究相应责任。</w:t>
      </w:r>
    </w:p>
    <w:p>
      <w:pPr>
        <w:spacing w:line="360" w:lineRule="auto"/>
        <w:ind w:firstLine="424" w:firstLineChars="202"/>
        <w:rPr>
          <w:rFonts w:hint="eastAsia"/>
          <w:color w:val="auto"/>
        </w:rPr>
      </w:pPr>
      <w:r>
        <w:rPr>
          <w:color w:val="auto"/>
        </w:rPr>
        <w:t>适用招标投标法的政府采购工程建设项目，投标人提供声明函内容不实的，属于弄虚作假骗取中标，依照《中华人民共和国招标投标法》等国家有关规定追究相应责任。</w:t>
      </w:r>
    </w:p>
    <w:p>
      <w:pPr>
        <w:spacing w:line="360" w:lineRule="auto"/>
        <w:ind w:firstLine="424" w:firstLineChars="202"/>
        <w:rPr>
          <w:color w:val="auto"/>
        </w:rPr>
      </w:pPr>
      <w:r>
        <w:rPr>
          <w:rFonts w:hint="eastAsia"/>
          <w:color w:val="auto"/>
        </w:rPr>
        <w:t>1.5</w:t>
      </w:r>
      <w:r>
        <w:rPr>
          <w:color w:val="auto"/>
        </w:rPr>
        <w:t>《中小企业声明函》由参加投标的供应商提交，如供应商为代理商，须自行采集制造商的中小企业划分类型信息填入相应栏目并对其真实性负责。</w:t>
      </w:r>
    </w:p>
    <w:p>
      <w:pPr>
        <w:spacing w:line="400" w:lineRule="exact"/>
        <w:ind w:firstLine="420" w:firstLineChars="200"/>
        <w:outlineLvl w:val="0"/>
        <w:rPr>
          <w:rFonts w:ascii="宋体" w:hAnsi="宋体"/>
          <w:color w:val="auto"/>
          <w:szCs w:val="21"/>
        </w:rPr>
      </w:pPr>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
      <w:bookmarkEnd w:id="8"/>
    </w:p>
    <w:p>
      <w:pPr>
        <w:spacing w:line="400" w:lineRule="exact"/>
        <w:ind w:firstLine="420" w:firstLineChars="200"/>
        <w:outlineLvl w:val="0"/>
        <w:rPr>
          <w:rFonts w:ascii="宋体" w:hAnsi="宋体"/>
          <w:color w:val="auto"/>
          <w:szCs w:val="21"/>
        </w:rPr>
      </w:pPr>
      <w:bookmarkStart w:id="9"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9"/>
    </w:p>
    <w:p>
      <w:pPr>
        <w:spacing w:line="400" w:lineRule="exact"/>
        <w:ind w:firstLine="420" w:firstLineChars="200"/>
        <w:outlineLvl w:val="0"/>
        <w:rPr>
          <w:rFonts w:ascii="宋体" w:hAnsi="宋体"/>
          <w:color w:val="auto"/>
          <w:szCs w:val="21"/>
        </w:rPr>
      </w:pPr>
      <w:bookmarkStart w:id="10" w:name="_Toc21541017"/>
      <w:bookmarkStart w:id="11" w:name="_Toc419729158"/>
      <w:r>
        <w:rPr>
          <w:rFonts w:ascii="宋体" w:hAnsi="宋体"/>
          <w:color w:val="auto"/>
          <w:szCs w:val="21"/>
        </w:rPr>
        <w:t>4</w:t>
      </w:r>
      <w:r>
        <w:rPr>
          <w:rFonts w:hint="eastAsia" w:ascii="宋体" w:hAnsi="宋体"/>
          <w:color w:val="auto"/>
          <w:szCs w:val="21"/>
        </w:rPr>
        <w:t>、本项目不组织潜在供应商现场考察或者召开开标前答疑。</w:t>
      </w:r>
      <w:bookmarkEnd w:id="10"/>
    </w:p>
    <w:p>
      <w:pPr>
        <w:spacing w:line="400" w:lineRule="exact"/>
        <w:ind w:firstLine="420" w:firstLineChars="200"/>
        <w:outlineLvl w:val="0"/>
        <w:rPr>
          <w:rFonts w:ascii="宋体" w:hAnsi="宋体"/>
          <w:color w:val="auto"/>
          <w:szCs w:val="21"/>
        </w:rPr>
      </w:pPr>
      <w:bookmarkStart w:id="12" w:name="_Toc21541018"/>
      <w:r>
        <w:rPr>
          <w:rFonts w:ascii="宋体" w:hAnsi="宋体"/>
          <w:color w:val="auto"/>
          <w:szCs w:val="21"/>
        </w:rPr>
        <w:t>5</w:t>
      </w:r>
      <w:r>
        <w:rPr>
          <w:rFonts w:hint="eastAsia" w:ascii="宋体" w:hAnsi="宋体"/>
          <w:color w:val="auto"/>
          <w:szCs w:val="21"/>
        </w:rPr>
        <w:t>、本文件未及事项，在签订合同时供需及使用方友好商定。</w:t>
      </w:r>
      <w:bookmarkEnd w:id="11"/>
      <w:bookmarkEnd w:id="12"/>
    </w:p>
    <w:p>
      <w:pPr>
        <w:spacing w:line="400" w:lineRule="exact"/>
        <w:ind w:firstLine="422" w:firstLineChars="200"/>
        <w:outlineLvl w:val="0"/>
        <w:rPr>
          <w:rFonts w:ascii="宋体" w:hAnsi="宋体"/>
          <w:color w:val="auto"/>
          <w:szCs w:val="21"/>
        </w:rPr>
      </w:pPr>
      <w:r>
        <w:rPr>
          <w:rFonts w:ascii="宋体" w:hAnsi="宋体"/>
          <w:b/>
          <w:color w:val="auto"/>
          <w:szCs w:val="21"/>
        </w:rPr>
        <w:t>▲</w:t>
      </w:r>
      <w:r>
        <w:rPr>
          <w:rFonts w:hint="eastAsia"/>
          <w:color w:val="auto"/>
        </w:rPr>
        <w:t>6、</w:t>
      </w:r>
      <w:r>
        <w:rPr>
          <w:rFonts w:hint="eastAsia"/>
          <w:color w:val="auto"/>
          <w:szCs w:val="21"/>
        </w:rPr>
        <w:t>不同投标人的投标文件出自同一终端设备或在相同Internet主机分配地址（相同IP地址）网上报名投标的作无效标处理。</w:t>
      </w:r>
    </w:p>
    <w:p>
      <w:pPr>
        <w:spacing w:line="400" w:lineRule="exact"/>
        <w:ind w:firstLine="420" w:firstLineChars="200"/>
        <w:rPr>
          <w:rFonts w:ascii="宋体" w:hAnsi="宋体"/>
          <w:color w:val="auto"/>
          <w:szCs w:val="21"/>
        </w:rPr>
      </w:pPr>
      <w:bookmarkStart w:id="13" w:name="_Toc419729159"/>
      <w:r>
        <w:rPr>
          <w:rFonts w:hint="eastAsia" w:ascii="宋体" w:hAnsi="宋体"/>
          <w:color w:val="auto"/>
          <w:szCs w:val="21"/>
        </w:rPr>
        <w:t>7、本招标文件解释权归采购人。</w:t>
      </w:r>
      <w:bookmarkEnd w:id="13"/>
    </w:p>
    <w:p>
      <w:pPr>
        <w:spacing w:line="400" w:lineRule="exact"/>
        <w:jc w:val="center"/>
        <w:outlineLvl w:val="0"/>
        <w:rPr>
          <w:rFonts w:ascii="宋体" w:hAnsi="宋体"/>
          <w:b/>
          <w:color w:val="auto"/>
          <w:sz w:val="32"/>
        </w:rPr>
      </w:pPr>
      <w:r>
        <w:rPr>
          <w:rFonts w:hint="eastAsia" w:ascii="宋体" w:hAnsi="宋体"/>
          <w:b/>
          <w:color w:val="auto"/>
          <w:sz w:val="32"/>
        </w:rPr>
        <w:br w:type="page"/>
      </w:r>
      <w:bookmarkStart w:id="14" w:name="_Toc44162152"/>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14"/>
    </w:p>
    <w:p>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pPr>
        <w:spacing w:line="400" w:lineRule="exact"/>
        <w:ind w:firstLine="420" w:firstLineChars="200"/>
        <w:jc w:val="left"/>
        <w:rPr>
          <w:rFonts w:ascii="宋体" w:hAnsi="宋体"/>
          <w:color w:val="auto"/>
          <w:szCs w:val="21"/>
        </w:rPr>
      </w:pPr>
      <w:r>
        <w:rPr>
          <w:rFonts w:ascii="宋体" w:hAnsi="宋体"/>
          <w:color w:val="auto"/>
          <w:szCs w:val="21"/>
        </w:rPr>
        <w:t>1.1</w:t>
      </w:r>
      <w:r>
        <w:rPr>
          <w:rFonts w:hint="eastAsia" w:ascii="宋体" w:hAnsi="宋体"/>
          <w:color w:val="auto"/>
          <w:szCs w:val="21"/>
        </w:rPr>
        <w:t>本项目评标采用综合评分法。</w:t>
      </w:r>
    </w:p>
    <w:p>
      <w:pPr>
        <w:spacing w:line="400" w:lineRule="exact"/>
        <w:ind w:firstLine="420" w:firstLineChars="200"/>
        <w:jc w:val="left"/>
        <w:rPr>
          <w:rFonts w:ascii="宋体" w:hAnsi="宋体"/>
          <w:color w:val="auto"/>
          <w:szCs w:val="21"/>
        </w:rPr>
      </w:pPr>
      <w:r>
        <w:rPr>
          <w:rFonts w:ascii="宋体" w:hAnsi="宋体"/>
          <w:color w:val="auto"/>
          <w:szCs w:val="21"/>
        </w:rPr>
        <w:t>1.2</w:t>
      </w:r>
      <w:r>
        <w:rPr>
          <w:rFonts w:hint="eastAsia" w:ascii="宋体" w:hAnsi="宋体"/>
          <w:color w:val="auto"/>
          <w:szCs w:val="21"/>
        </w:rPr>
        <w:t>综合评分法：采用百分制，总分</w:t>
      </w:r>
      <w:r>
        <w:rPr>
          <w:rFonts w:ascii="宋体" w:hAnsi="宋体"/>
          <w:color w:val="auto"/>
          <w:szCs w:val="21"/>
        </w:rPr>
        <w:t>100</w:t>
      </w:r>
      <w:r>
        <w:rPr>
          <w:rFonts w:hint="eastAsia" w:ascii="宋体" w:hAnsi="宋体"/>
          <w:color w:val="auto"/>
          <w:szCs w:val="21"/>
        </w:rPr>
        <w:t>分。供应商的综合得分为商务和技术得分与报价得分之和。按综合得分由高到低的排序，推荐</w:t>
      </w:r>
      <w:r>
        <w:rPr>
          <w:rFonts w:hint="eastAsia" w:ascii="宋体" w:hAnsi="宋体"/>
          <w:color w:val="auto"/>
          <w:szCs w:val="21"/>
          <w:lang w:val="en-US" w:eastAsia="zh-CN"/>
        </w:rPr>
        <w:t>2名</w:t>
      </w:r>
      <w:r>
        <w:rPr>
          <w:rFonts w:hint="eastAsia" w:ascii="宋体" w:hAnsi="宋体"/>
          <w:color w:val="auto"/>
          <w:szCs w:val="21"/>
        </w:rPr>
        <w:t>中标候选人。若供应商的综合得分相等，则投标报价低者列前；若投标报价也相同时，采取随机抽签的方式确定排序。</w:t>
      </w:r>
    </w:p>
    <w:p>
      <w:pPr>
        <w:spacing w:line="400" w:lineRule="exact"/>
        <w:ind w:firstLine="420" w:firstLineChars="200"/>
        <w:jc w:val="left"/>
        <w:rPr>
          <w:rFonts w:hint="eastAsia" w:ascii="宋体" w:hAnsi="宋体" w:cs="宋体"/>
          <w:color w:val="auto"/>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ascii="宋体" w:hAnsi="宋体"/>
          <w:color w:val="auto"/>
          <w:szCs w:val="21"/>
        </w:rPr>
      </w:pPr>
      <w:r>
        <w:rPr>
          <w:rFonts w:ascii="宋体" w:hAnsi="宋体"/>
          <w:color w:val="auto"/>
          <w:szCs w:val="21"/>
        </w:rPr>
        <w:t>1.4本次采购为非专门面向中小企业，采购标的对应的中小企业划分标准所属行业</w:t>
      </w:r>
      <w:r>
        <w:rPr>
          <w:rFonts w:hint="eastAsia" w:ascii="宋体" w:hAnsi="宋体"/>
          <w:color w:val="auto"/>
          <w:szCs w:val="21"/>
        </w:rPr>
        <w:t>为</w:t>
      </w:r>
      <w:r>
        <w:rPr>
          <w:rFonts w:ascii="宋体" w:hAnsi="宋体"/>
          <w:color w:val="auto"/>
          <w:szCs w:val="21"/>
        </w:rPr>
        <w:t>：</w:t>
      </w:r>
      <w:r>
        <w:rPr>
          <w:rFonts w:hint="eastAsia" w:ascii="宋体" w:hAnsi="宋体"/>
          <w:b/>
          <w:color w:val="auto"/>
          <w:szCs w:val="21"/>
          <w:u w:val="single"/>
        </w:rPr>
        <w:t>其他未列明行业</w:t>
      </w:r>
      <w:r>
        <w:rPr>
          <w:rFonts w:ascii="宋体" w:hAnsi="宋体"/>
          <w:color w:val="auto"/>
          <w:szCs w:val="21"/>
        </w:rPr>
        <w:t>。本次评标将对中小企业声明函满足招标文件要求的货物制造商/工程承建企业/服务承接企业均为小微企业的价格给予</w:t>
      </w:r>
      <w:r>
        <w:rPr>
          <w:rFonts w:hint="eastAsia" w:ascii="宋体" w:hAnsi="宋体"/>
          <w:color w:val="auto"/>
          <w:szCs w:val="21"/>
        </w:rPr>
        <w:t>6</w:t>
      </w:r>
      <w:r>
        <w:rPr>
          <w:rFonts w:ascii="宋体" w:hAnsi="宋体"/>
          <w:color w:val="auto"/>
          <w:szCs w:val="21"/>
        </w:rPr>
        <w:t>%的扣除，用扣除后的价格参与评审。价格扣除只用于评审过程，如中标，中标价格仍按照其投标价格进行公示。</w:t>
      </w:r>
    </w:p>
    <w:p>
      <w:pPr>
        <w:spacing w:line="400" w:lineRule="exact"/>
        <w:ind w:firstLine="420" w:firstLineChars="200"/>
        <w:jc w:val="left"/>
        <w:rPr>
          <w:rFonts w:ascii="宋体" w:hAnsi="宋体"/>
          <w:color w:val="auto"/>
          <w:szCs w:val="21"/>
        </w:rPr>
      </w:pPr>
      <w:r>
        <w:rPr>
          <w:rFonts w:hint="eastAsia" w:ascii="宋体" w:hAnsi="宋体"/>
          <w:color w:val="auto"/>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hint="eastAsia" w:ascii="宋体" w:hAnsi="宋体"/>
          <w:color w:val="auto"/>
          <w:szCs w:val="21"/>
        </w:rPr>
        <w:fldChar w:fldCharType="begin"/>
      </w:r>
      <w:r>
        <w:rPr>
          <w:rFonts w:hint="eastAsia" w:ascii="宋体" w:hAnsi="宋体"/>
          <w:color w:val="auto"/>
          <w:szCs w:val="21"/>
        </w:rPr>
        <w:instrText xml:space="preserve"> HYPERLINK "http://www.ccgp.gov.cn/" </w:instrText>
      </w:r>
      <w:r>
        <w:rPr>
          <w:rFonts w:hint="eastAsia" w:ascii="宋体" w:hAnsi="宋体"/>
          <w:color w:val="auto"/>
          <w:szCs w:val="21"/>
        </w:rPr>
        <w:fldChar w:fldCharType="separate"/>
      </w:r>
      <w:r>
        <w:rPr>
          <w:rFonts w:hint="eastAsia" w:ascii="宋体" w:hAnsi="宋体"/>
          <w:color w:val="auto"/>
          <w:szCs w:val="21"/>
        </w:rPr>
        <w:t>www.ccgp.gov.cn</w:t>
      </w:r>
      <w:r>
        <w:rPr>
          <w:rFonts w:hint="eastAsia" w:ascii="宋体" w:hAnsi="宋体"/>
          <w:color w:val="auto"/>
          <w:szCs w:val="21"/>
        </w:rPr>
        <w:fldChar w:fldCharType="end"/>
      </w:r>
      <w:r>
        <w:rPr>
          <w:rFonts w:hint="eastAsia" w:ascii="宋体" w:hAnsi="宋体"/>
          <w:color w:val="auto"/>
          <w:szCs w:val="21"/>
        </w:rPr>
        <w:t>）节能产品、环境标志产品查询结果不相符的评标委员会将不予认可，不得享受技术加分。由多个产品集成的项目（标项），必须所有产品符合上述要求才能享受技术加分。（本项目不适用）</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6评标委员会成员对需要共同认定的事项存在争议的，应当按照少数服从多数的原则作出结论。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pPr>
        <w:spacing w:line="400" w:lineRule="exact"/>
        <w:ind w:firstLine="420" w:firstLineChars="200"/>
        <w:rPr>
          <w:rFonts w:ascii="宋体" w:hAnsi="宋体"/>
          <w:b/>
          <w:color w:val="auto"/>
          <w:szCs w:val="21"/>
        </w:rPr>
      </w:pPr>
      <w:r>
        <w:rPr>
          <w:rFonts w:ascii="宋体" w:hAnsi="宋体"/>
          <w:color w:val="auto"/>
          <w:szCs w:val="21"/>
        </w:rPr>
        <w:t>2.1</w:t>
      </w:r>
      <w:r>
        <w:rPr>
          <w:rFonts w:hint="eastAsia" w:ascii="宋体" w:hAnsi="宋体"/>
          <w:color w:val="auto"/>
          <w:szCs w:val="21"/>
        </w:rPr>
        <w:t>初步审查：包含资格性审查和符合性审查。资格性审查是指采购人或代理机构根据“附表</w:t>
      </w:r>
      <w:r>
        <w:rPr>
          <w:rFonts w:ascii="宋体" w:hAnsi="宋体"/>
          <w:color w:val="auto"/>
          <w:szCs w:val="21"/>
        </w:rPr>
        <w:t>1</w:t>
      </w:r>
      <w:r>
        <w:rPr>
          <w:rFonts w:hint="eastAsia" w:ascii="宋体" w:hAnsi="宋体"/>
          <w:color w:val="auto"/>
          <w:szCs w:val="21"/>
        </w:rPr>
        <w:t>资格性审查表”的要求对投标文件逐一进行评审。符合性审查是指评标委员会根据“附表</w:t>
      </w:r>
      <w:r>
        <w:rPr>
          <w:rFonts w:ascii="宋体" w:hAnsi="宋体"/>
          <w:color w:val="auto"/>
          <w:szCs w:val="21"/>
        </w:rPr>
        <w:t>2</w:t>
      </w:r>
      <w:r>
        <w:rPr>
          <w:rFonts w:hint="eastAsia" w:ascii="宋体" w:hAnsi="宋体"/>
          <w:color w:val="auto"/>
          <w:szCs w:val="21"/>
        </w:rPr>
        <w:t>符合性审查表”的要求对投标文件逐一进行评审。</w:t>
      </w:r>
      <w:r>
        <w:rPr>
          <w:rFonts w:hint="eastAsia" w:ascii="宋体" w:hAnsi="宋体"/>
          <w:b/>
          <w:color w:val="auto"/>
          <w:szCs w:val="21"/>
        </w:rPr>
        <w:t>资格性审查和符合性审查中，有任意一项审查结论不合格的，作无效标处理。</w:t>
      </w:r>
    </w:p>
    <w:p>
      <w:pPr>
        <w:spacing w:line="400" w:lineRule="exact"/>
        <w:ind w:firstLine="420" w:firstLineChars="200"/>
        <w:jc w:val="left"/>
        <w:rPr>
          <w:rFonts w:ascii="宋体" w:hAnsi="宋体"/>
          <w:color w:val="auto"/>
          <w:szCs w:val="21"/>
        </w:rPr>
      </w:pPr>
      <w:r>
        <w:rPr>
          <w:rFonts w:ascii="宋体" w:hAnsi="宋体"/>
          <w:color w:val="auto"/>
          <w:szCs w:val="21"/>
        </w:rPr>
        <w:t>2.2</w:t>
      </w:r>
      <w:r>
        <w:rPr>
          <w:rFonts w:hint="eastAsia" w:ascii="宋体" w:hAnsi="宋体"/>
          <w:color w:val="auto"/>
          <w:szCs w:val="21"/>
          <w:lang w:val="zh-CN"/>
        </w:rPr>
        <w:t>比较与评价：</w:t>
      </w:r>
      <w:r>
        <w:rPr>
          <w:rFonts w:hint="eastAsia" w:ascii="宋体" w:hAnsi="宋体"/>
          <w:color w:val="auto"/>
          <w:szCs w:val="21"/>
        </w:rPr>
        <w:t>评标委员会根据“附表</w:t>
      </w:r>
      <w:r>
        <w:rPr>
          <w:rFonts w:ascii="宋体" w:hAnsi="宋体"/>
          <w:color w:val="auto"/>
          <w:szCs w:val="21"/>
        </w:rPr>
        <w:t>3</w:t>
      </w:r>
      <w:r>
        <w:rPr>
          <w:rFonts w:hint="eastAsia" w:ascii="宋体" w:hAnsi="宋体"/>
          <w:color w:val="auto"/>
          <w:szCs w:val="21"/>
        </w:rPr>
        <w:t>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由评标委员会成员在分值范围内自行评分。供应商商务和技术得分为各评标委员会成员有效评分的算术平均值（小数点后保留二位数）。</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3在评标过程中，发现的价格计算错误按下述原则修正：</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）投标文件中开标一览表内容与投标文件中分项报价表内容不一致的，以开标一览表为准；</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）投标文件的大写金额和小写金额不一致的，以大写金额为准；</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）单价金额小数点有明显错位的，应以总价为准，并修改单价；</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）总价金额与按单价汇总金额不一致的，以单价金额计算结果为准。</w:t>
      </w:r>
    </w:p>
    <w:p>
      <w:pPr>
        <w:spacing w:line="400" w:lineRule="exact"/>
        <w:ind w:firstLine="420" w:firstLineChars="200"/>
        <w:jc w:val="left"/>
        <w:rPr>
          <w:rFonts w:ascii="宋体" w:hAnsi="宋体"/>
          <w:color w:val="auto"/>
        </w:rPr>
      </w:pPr>
      <w:r>
        <w:rPr>
          <w:rFonts w:hint="eastAsia" w:ascii="宋体" w:hAnsi="宋体"/>
          <w:color w:val="auto"/>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ascii="宋体" w:hAnsi="宋体"/>
          <w:color w:val="auto"/>
        </w:rPr>
      </w:pPr>
      <w:r>
        <w:rPr>
          <w:rFonts w:ascii="宋体" w:hAnsi="宋体"/>
          <w:color w:val="auto"/>
          <w:szCs w:val="21"/>
        </w:rPr>
        <w:t>2.2.3</w:t>
      </w:r>
      <w:r>
        <w:rPr>
          <w:rFonts w:hint="eastAsia" w:ascii="宋体" w:hAnsi="宋体"/>
          <w:color w:val="auto"/>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auto"/>
          <w:szCs w:val="21"/>
        </w:rPr>
      </w:pPr>
      <w:r>
        <w:rPr>
          <w:rFonts w:hint="eastAsia" w:ascii="宋体" w:hAnsi="宋体"/>
          <w:color w:val="auto"/>
        </w:rPr>
        <w:t>非单一产品采购项目，多家供应商提供的核心产品品牌相同的，按上述规定处理。</w:t>
      </w:r>
    </w:p>
    <w:p>
      <w:pPr>
        <w:spacing w:line="400" w:lineRule="exact"/>
        <w:ind w:firstLine="420" w:firstLineChars="200"/>
        <w:jc w:val="left"/>
        <w:rPr>
          <w:rFonts w:ascii="宋体" w:hAnsi="宋体"/>
          <w:color w:val="auto"/>
          <w:szCs w:val="21"/>
        </w:rPr>
      </w:pPr>
      <w:r>
        <w:rPr>
          <w:rFonts w:ascii="宋体" w:hAnsi="宋体"/>
          <w:color w:val="auto"/>
          <w:szCs w:val="21"/>
        </w:rPr>
        <w:t>2.2.4</w:t>
      </w:r>
      <w:r>
        <w:rPr>
          <w:rFonts w:hint="eastAsia" w:ascii="宋体" w:hAnsi="宋体"/>
          <w:color w:val="auto"/>
          <w:szCs w:val="21"/>
        </w:rPr>
        <w:t>评标委员会根据“附表4价格评分表”的规定，计算供应商报价得分（小数点后保留二位数）。</w:t>
      </w:r>
    </w:p>
    <w:p>
      <w:pPr>
        <w:spacing w:line="400" w:lineRule="exact"/>
        <w:ind w:firstLine="420" w:firstLineChars="200"/>
        <w:jc w:val="left"/>
        <w:rPr>
          <w:rFonts w:ascii="宋体" w:hAnsi="宋体"/>
          <w:color w:val="auto"/>
          <w:szCs w:val="21"/>
        </w:rPr>
      </w:pPr>
      <w:r>
        <w:rPr>
          <w:rFonts w:ascii="宋体" w:hAnsi="宋体"/>
          <w:color w:val="auto"/>
          <w:szCs w:val="21"/>
        </w:rPr>
        <w:t>2.2.5</w:t>
      </w:r>
      <w:r>
        <w:rPr>
          <w:rFonts w:hint="eastAsia" w:ascii="宋体" w:hAnsi="宋体"/>
          <w:color w:val="auto"/>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ascii="宋体" w:hAnsi="宋体"/>
          <w:color w:val="auto"/>
          <w:szCs w:val="21"/>
        </w:rPr>
      </w:pPr>
      <w:r>
        <w:rPr>
          <w:rFonts w:ascii="宋体" w:hAnsi="宋体"/>
          <w:color w:val="auto"/>
          <w:szCs w:val="21"/>
        </w:rPr>
        <w:t>2.2.6</w:t>
      </w:r>
      <w:r>
        <w:rPr>
          <w:rFonts w:hint="eastAsia" w:ascii="宋体" w:hAnsi="宋体"/>
          <w:color w:val="auto"/>
          <w:szCs w:val="21"/>
        </w:rPr>
        <w:t>综合评估：供应商的综合得分为商务和技术得分与报价得分之和。</w:t>
      </w:r>
    </w:p>
    <w:p>
      <w:pPr>
        <w:spacing w:line="400" w:lineRule="exact"/>
        <w:ind w:firstLine="420" w:firstLineChars="200"/>
        <w:jc w:val="left"/>
        <w:rPr>
          <w:rFonts w:hint="eastAsia" w:ascii="宋体" w:hAnsi="宋体"/>
          <w:color w:val="auto"/>
          <w:szCs w:val="21"/>
        </w:rPr>
      </w:pPr>
      <w:r>
        <w:rPr>
          <w:rFonts w:ascii="宋体" w:hAnsi="宋体"/>
          <w:color w:val="auto"/>
          <w:szCs w:val="21"/>
        </w:rPr>
        <w:t>2.2.7</w:t>
      </w:r>
      <w:r>
        <w:rPr>
          <w:rFonts w:hint="eastAsia" w:ascii="宋体" w:hAnsi="宋体"/>
          <w:color w:val="auto"/>
          <w:szCs w:val="21"/>
        </w:rPr>
        <w:t>推荐中标候选人：按综合得分由高到低的排序，推荐</w:t>
      </w:r>
      <w:r>
        <w:rPr>
          <w:rFonts w:hint="eastAsia" w:ascii="宋体" w:hAnsi="宋体"/>
          <w:color w:val="auto"/>
          <w:szCs w:val="21"/>
          <w:lang w:val="en-US" w:eastAsia="zh-CN"/>
        </w:rPr>
        <w:t>2名</w:t>
      </w:r>
      <w:r>
        <w:rPr>
          <w:rFonts w:hint="eastAsia" w:ascii="宋体" w:hAnsi="宋体"/>
          <w:color w:val="auto"/>
          <w:szCs w:val="21"/>
        </w:rPr>
        <w:t>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auto"/>
          <w:szCs w:val="21"/>
        </w:rPr>
      </w:pPr>
      <w:r>
        <w:rPr>
          <w:rFonts w:ascii="宋体" w:hAnsi="宋体"/>
          <w:b/>
          <w:color w:val="auto"/>
          <w:szCs w:val="21"/>
        </w:rPr>
        <w:t>2.3</w:t>
      </w:r>
      <w:r>
        <w:rPr>
          <w:rFonts w:hint="eastAsia" w:ascii="宋体" w:hAnsi="宋体"/>
          <w:b/>
          <w:color w:val="auto"/>
          <w:szCs w:val="21"/>
        </w:rPr>
        <w:t>确定中标供应商</w:t>
      </w:r>
    </w:p>
    <w:p>
      <w:pPr>
        <w:spacing w:line="400" w:lineRule="exact"/>
        <w:ind w:firstLine="420" w:firstLineChars="200"/>
        <w:jc w:val="left"/>
        <w:rPr>
          <w:rFonts w:ascii="宋体" w:hAnsi="宋体"/>
          <w:color w:val="auto"/>
          <w:szCs w:val="21"/>
        </w:rPr>
      </w:pPr>
      <w:r>
        <w:rPr>
          <w:rFonts w:hint="eastAsia" w:ascii="宋体" w:hAnsi="宋体"/>
          <w:color w:val="auto"/>
          <w:szCs w:val="21"/>
        </w:rPr>
        <w:t>评标委员会按综合得分由高到低的排序，向采购人推荐中标候选人。代理机构应当自评审结束之日起</w:t>
      </w:r>
      <w:r>
        <w:rPr>
          <w:rFonts w:ascii="宋体" w:hAnsi="宋体"/>
          <w:color w:val="auto"/>
          <w:szCs w:val="21"/>
        </w:rPr>
        <w:t>2</w:t>
      </w:r>
      <w:r>
        <w:rPr>
          <w:rFonts w:hint="eastAsia" w:ascii="宋体" w:hAnsi="宋体"/>
          <w:color w:val="auto"/>
          <w:szCs w:val="21"/>
        </w:rPr>
        <w:t>个工作日内将评审报告送交采购人。采购人应当自收到评审报告之日起</w:t>
      </w:r>
      <w:r>
        <w:rPr>
          <w:rFonts w:ascii="宋体" w:hAnsi="宋体"/>
          <w:color w:val="auto"/>
          <w:szCs w:val="21"/>
        </w:rPr>
        <w:t>5</w:t>
      </w:r>
      <w:r>
        <w:rPr>
          <w:rFonts w:hint="eastAsia" w:ascii="宋体" w:hAnsi="宋体"/>
          <w:color w:val="auto"/>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pPr>
        <w:spacing w:line="400" w:lineRule="exact"/>
        <w:ind w:firstLine="420" w:firstLineChars="200"/>
        <w:rPr>
          <w:rFonts w:hint="eastAsia"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auto"/>
        </w:rPr>
      </w:pPr>
      <w:r>
        <w:rPr>
          <w:rFonts w:ascii="宋体" w:hAnsi="宋体" w:cs="宋体"/>
          <w:color w:val="auto"/>
        </w:rPr>
        <w:t>3.2</w:t>
      </w:r>
      <w:r>
        <w:rPr>
          <w:rFonts w:hint="eastAsia" w:ascii="宋体" w:hAnsi="宋体" w:cs="宋体"/>
          <w:color w:val="auto"/>
        </w:rPr>
        <w:t>政采云具体操作如下：</w:t>
      </w:r>
    </w:p>
    <w:p>
      <w:pPr>
        <w:spacing w:line="400" w:lineRule="exact"/>
        <w:ind w:firstLine="420" w:firstLineChars="200"/>
        <w:rPr>
          <w:rFonts w:hint="eastAsia"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rPr>
      </w:pPr>
      <w:r>
        <w:rPr>
          <w:rFonts w:hint="eastAsia" w:ascii="宋体" w:hAnsi="宋体" w:cs="宋体"/>
          <w:color w:val="auto"/>
        </w:rPr>
        <w:t>路径：用户中心—项目采购—询标澄清</w:t>
      </w:r>
    </w:p>
    <w:p>
      <w:pPr>
        <w:spacing w:line="400" w:lineRule="exact"/>
        <w:ind w:firstLine="420" w:firstLineChars="200"/>
        <w:rPr>
          <w:rFonts w:hint="eastAsia" w:ascii="宋体" w:hAnsi="宋体" w:cs="宋体"/>
          <w:color w:val="auto"/>
        </w:rPr>
      </w:pPr>
      <w:r>
        <w:rPr>
          <w:rFonts w:hint="eastAsia" w:ascii="宋体" w:hAnsi="宋体" w:cs="宋体"/>
          <w:color w:val="auto"/>
        </w:rPr>
        <w:t>（1）政采云平台通过待办事项和短信提醒供应商在截止时间前完成澄清。</w:t>
      </w:r>
    </w:p>
    <w:p>
      <w:pPr>
        <w:spacing w:line="400" w:lineRule="exact"/>
        <w:ind w:firstLine="420" w:firstLineChars="200"/>
        <w:rPr>
          <w:rFonts w:hint="eastAsia" w:ascii="宋体" w:hAnsi="宋体" w:cs="宋体"/>
          <w:color w:val="auto"/>
        </w:rPr>
      </w:pPr>
      <w:r>
        <w:rPr>
          <w:rFonts w:hint="eastAsia" w:ascii="宋体" w:hAnsi="宋体" w:cs="宋体"/>
          <w:color w:val="auto"/>
        </w:rPr>
        <w:t>（2）供应商在“询标澄清-待办理”标签页下选择状态为“待澄清”的项目，点击操作栏【澄清】。</w:t>
      </w:r>
    </w:p>
    <w:p>
      <w:pPr>
        <w:spacing w:line="400" w:lineRule="exact"/>
        <w:ind w:firstLine="420" w:firstLineChars="200"/>
        <w:rPr>
          <w:rFonts w:hint="eastAsia"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rPr>
      </w:pPr>
      <w:r>
        <w:rPr>
          <w:rFonts w:hint="eastAsia" w:ascii="宋体" w:hAnsi="宋体" w:cs="宋体"/>
          <w:color w:val="auto"/>
        </w:rPr>
        <w:t>（4）签章完成，文件名称处显示“已签章”，供应商可“撤回签章”修改澄清函和“查看文件”。</w:t>
      </w:r>
    </w:p>
    <w:p>
      <w:pPr>
        <w:spacing w:line="400" w:lineRule="exact"/>
        <w:ind w:firstLine="420" w:firstLineChars="200"/>
        <w:rPr>
          <w:rFonts w:hint="eastAsia" w:ascii="宋体" w:hAnsi="宋体" w:cs="宋体"/>
          <w:color w:val="auto"/>
        </w:rPr>
      </w:pPr>
      <w:r>
        <w:rPr>
          <w:rFonts w:hint="eastAsia" w:ascii="宋体"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rPr>
      </w:pPr>
      <w:r>
        <w:rPr>
          <w:rFonts w:hint="eastAsia" w:ascii="宋体" w:hAnsi="宋体" w:cs="宋体"/>
          <w:color w:val="auto"/>
        </w:rPr>
        <w:t>（6）完成状态：供应商澄清文件提交成功后，在“询标澄清-全部”标签页下显示状态为“已澄清”。</w:t>
      </w:r>
    </w:p>
    <w:p>
      <w:pPr>
        <w:spacing w:line="400" w:lineRule="exact"/>
        <w:ind w:firstLine="420" w:firstLineChars="200"/>
        <w:rPr>
          <w:rFonts w:ascii="宋体" w:hAnsi="宋体" w:cs="宋体"/>
          <w:color w:val="auto"/>
        </w:rPr>
      </w:pPr>
      <w:r>
        <w:rPr>
          <w:rFonts w:ascii="宋体" w:hAnsi="宋体" w:cs="宋体"/>
          <w:color w:val="auto"/>
        </w:rPr>
        <w:t>3.3</w:t>
      </w:r>
      <w:r>
        <w:rPr>
          <w:rFonts w:hint="eastAsia" w:ascii="宋体" w:hAnsi="宋体" w:cs="宋体"/>
          <w:color w:val="auto"/>
        </w:rPr>
        <w:t>开标现场，供应商安排</w:t>
      </w:r>
      <w:r>
        <w:rPr>
          <w:rFonts w:hint="eastAsia" w:ascii="宋体" w:hAnsi="宋体"/>
          <w:color w:val="auto"/>
          <w:szCs w:val="21"/>
        </w:rPr>
        <w:t>法定代表人或授权代表到场的，则由</w:t>
      </w:r>
      <w:r>
        <w:rPr>
          <w:rFonts w:hint="eastAsia" w:ascii="宋体" w:hAnsi="宋体" w:cs="宋体"/>
          <w:color w:val="auto"/>
        </w:rPr>
        <w:t>评标委员会组长将问题汇总后向供应商发出书面“采购响应文件问题澄清通知”，供应商应对需要澄清的问题作书面回答，该书面澄清应当由</w:t>
      </w:r>
      <w:r>
        <w:rPr>
          <w:rFonts w:hint="eastAsia" w:ascii="宋体" w:hAnsi="宋体"/>
          <w:color w:val="auto"/>
          <w:szCs w:val="21"/>
        </w:rPr>
        <w:t>供应商的法定代表人或授权代表签字</w:t>
      </w:r>
      <w:r>
        <w:rPr>
          <w:rFonts w:hint="eastAsia" w:ascii="宋体" w:hAnsi="宋体" w:cs="宋体"/>
          <w:color w:val="auto"/>
        </w:rPr>
        <w:t>或者加盖供应商公章。书面澄清将作为投标文件内容的一部分，具有相应的法律效力。</w:t>
      </w:r>
    </w:p>
    <w:p>
      <w:pPr>
        <w:spacing w:line="400" w:lineRule="exact"/>
        <w:ind w:firstLine="420" w:firstLineChars="200"/>
        <w:jc w:val="left"/>
        <w:rPr>
          <w:rFonts w:ascii="宋体" w:hAnsi="宋体" w:cs="宋体"/>
          <w:color w:val="auto"/>
        </w:rPr>
      </w:pPr>
      <w:r>
        <w:rPr>
          <w:rFonts w:ascii="宋体" w:hAnsi="宋体" w:cs="宋体"/>
          <w:color w:val="auto"/>
        </w:rPr>
        <w:t>3.4</w:t>
      </w:r>
      <w:r>
        <w:rPr>
          <w:rFonts w:hint="eastAsia" w:ascii="宋体" w:hAnsi="宋体" w:cs="宋体"/>
          <w:color w:val="auto"/>
        </w:rPr>
        <w:t>供应商未在截止时间前完成澄清，将被视作自动放弃。</w:t>
      </w:r>
    </w:p>
    <w:p>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pPr>
        <w:spacing w:line="400" w:lineRule="exact"/>
        <w:ind w:firstLine="420" w:firstLineChars="200"/>
        <w:rPr>
          <w:rFonts w:ascii="宋体" w:hAnsi="宋体"/>
          <w:color w:val="auto"/>
          <w:szCs w:val="21"/>
        </w:rPr>
      </w:pPr>
      <w:r>
        <w:rPr>
          <w:rFonts w:hint="eastAsia" w:ascii="宋体" w:hAnsi="宋体"/>
          <w:color w:val="auto"/>
          <w:szCs w:val="21"/>
        </w:rPr>
        <w:t>有下列情形之一的，采购人将重新招标：</w:t>
      </w:r>
    </w:p>
    <w:p>
      <w:pPr>
        <w:spacing w:line="400" w:lineRule="exact"/>
        <w:ind w:firstLine="420" w:firstLineChars="200"/>
        <w:rPr>
          <w:rFonts w:ascii="宋体" w:hAnsi="宋体"/>
          <w:color w:val="auto"/>
          <w:szCs w:val="21"/>
        </w:rPr>
      </w:pPr>
      <w:r>
        <w:rPr>
          <w:rFonts w:ascii="宋体" w:hAnsi="宋体"/>
          <w:color w:val="auto"/>
          <w:szCs w:val="21"/>
        </w:rPr>
        <w:t>5.1</w:t>
      </w:r>
      <w:r>
        <w:rPr>
          <w:rFonts w:hint="eastAsia" w:ascii="宋体" w:hAnsi="宋体"/>
          <w:color w:val="auto"/>
          <w:szCs w:val="21"/>
        </w:rPr>
        <w:t>投标截止时间止，供应商少于</w:t>
      </w:r>
      <w:r>
        <w:rPr>
          <w:rFonts w:ascii="宋体" w:hAnsi="宋体"/>
          <w:color w:val="auto"/>
          <w:szCs w:val="21"/>
        </w:rPr>
        <w:t>3</w:t>
      </w:r>
      <w:r>
        <w:rPr>
          <w:rFonts w:hint="eastAsia" w:ascii="宋体" w:hAnsi="宋体"/>
          <w:color w:val="auto"/>
          <w:szCs w:val="21"/>
        </w:rPr>
        <w:t>个的；</w:t>
      </w:r>
    </w:p>
    <w:p>
      <w:pPr>
        <w:spacing w:line="400" w:lineRule="exact"/>
        <w:ind w:firstLine="420" w:firstLineChars="200"/>
        <w:rPr>
          <w:rFonts w:ascii="宋体" w:hAnsi="宋体"/>
          <w:color w:val="auto"/>
          <w:szCs w:val="21"/>
        </w:rPr>
      </w:pPr>
      <w:r>
        <w:rPr>
          <w:rFonts w:ascii="宋体" w:hAnsi="宋体"/>
          <w:color w:val="auto"/>
          <w:szCs w:val="21"/>
        </w:rPr>
        <w:t>5.2</w:t>
      </w:r>
      <w:r>
        <w:rPr>
          <w:rFonts w:hint="eastAsia" w:ascii="宋体" w:hAnsi="宋体"/>
          <w:color w:val="auto"/>
          <w:szCs w:val="21"/>
        </w:rPr>
        <w:t>评标委员会评标过程中，有效供应商少于</w:t>
      </w:r>
      <w:r>
        <w:rPr>
          <w:rFonts w:ascii="宋体" w:hAnsi="宋体"/>
          <w:color w:val="auto"/>
          <w:szCs w:val="21"/>
        </w:rPr>
        <w:t>3</w:t>
      </w:r>
      <w:r>
        <w:rPr>
          <w:rFonts w:hint="eastAsia" w:ascii="宋体" w:hAnsi="宋体"/>
          <w:color w:val="auto"/>
          <w:szCs w:val="21"/>
        </w:rPr>
        <w:t>个的；</w:t>
      </w:r>
    </w:p>
    <w:p>
      <w:pPr>
        <w:widowControl/>
        <w:spacing w:line="400" w:lineRule="exact"/>
        <w:ind w:firstLine="420" w:firstLineChars="200"/>
        <w:jc w:val="left"/>
        <w:rPr>
          <w:rFonts w:hint="eastAsia" w:ascii="宋体" w:hAnsi="宋体"/>
          <w:color w:val="auto"/>
          <w:szCs w:val="21"/>
        </w:rPr>
      </w:pPr>
      <w:r>
        <w:rPr>
          <w:rFonts w:ascii="宋体" w:hAnsi="宋体"/>
          <w:color w:val="auto"/>
          <w:szCs w:val="21"/>
        </w:rPr>
        <w:t>5.3</w:t>
      </w:r>
      <w:r>
        <w:rPr>
          <w:rFonts w:hint="eastAsia" w:ascii="宋体" w:hAnsi="宋体"/>
          <w:color w:val="auto"/>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auto"/>
          <w:szCs w:val="21"/>
        </w:rPr>
      </w:pPr>
      <w:r>
        <w:rPr>
          <w:rFonts w:ascii="宋体" w:hAnsi="宋体"/>
          <w:color w:val="auto"/>
          <w:sz w:val="24"/>
          <w:szCs w:val="24"/>
        </w:rPr>
        <w:br w:type="page"/>
      </w: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 xml:space="preserve">：                           </w:t>
      </w:r>
    </w:p>
    <w:p>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877"/>
        <w:gridCol w:w="314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5"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387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资格要求</w:t>
            </w:r>
          </w:p>
        </w:tc>
        <w:tc>
          <w:tcPr>
            <w:tcW w:w="3143"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审查内容</w:t>
            </w:r>
          </w:p>
        </w:tc>
        <w:tc>
          <w:tcPr>
            <w:tcW w:w="1857" w:type="dxa"/>
            <w:noWrap w:val="0"/>
            <w:vAlign w:val="center"/>
          </w:tcPr>
          <w:p>
            <w:pPr>
              <w:spacing w:line="400" w:lineRule="exact"/>
              <w:jc w:val="center"/>
              <w:rPr>
                <w:rFonts w:ascii="宋体" w:hAnsi="宋体"/>
                <w:color w:val="auto"/>
                <w:szCs w:val="21"/>
              </w:rPr>
            </w:pPr>
            <w:r>
              <w:rPr>
                <w:rFonts w:hint="eastAsia" w:ascii="宋体" w:hAnsi="宋体"/>
                <w:color w:val="auto"/>
                <w:szCs w:val="21"/>
              </w:rPr>
              <w:t>符合性</w:t>
            </w:r>
          </w:p>
          <w:p>
            <w:pPr>
              <w:spacing w:line="400" w:lineRule="exact"/>
              <w:jc w:val="center"/>
              <w:rPr>
                <w:rFonts w:hint="eastAsia" w:ascii="宋体" w:hAnsi="宋体"/>
                <w:color w:val="auto"/>
                <w:szCs w:val="21"/>
              </w:rPr>
            </w:pPr>
            <w:r>
              <w:rPr>
                <w:rFonts w:hint="eastAsia" w:ascii="宋体" w:hAnsi="宋体"/>
                <w:color w:val="auto"/>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5"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3877" w:type="dxa"/>
            <w:noWrap w:val="0"/>
            <w:vAlign w:val="top"/>
          </w:tcPr>
          <w:p>
            <w:pPr>
              <w:snapToGrid w:val="0"/>
              <w:rPr>
                <w:rFonts w:hint="eastAsia" w:ascii="宋体" w:hAnsi="宋体"/>
                <w:color w:val="auto"/>
                <w:szCs w:val="21"/>
              </w:rPr>
            </w:pPr>
            <w:r>
              <w:rPr>
                <w:rFonts w:ascii="宋体" w:hAnsi="宋体"/>
                <w:color w:val="auto"/>
                <w:szCs w:val="21"/>
              </w:rPr>
              <w:t>符合《中华人民共和国政府采购法》第</w:t>
            </w:r>
            <w:r>
              <w:rPr>
                <w:rFonts w:hint="eastAsia" w:ascii="宋体" w:hAnsi="宋体"/>
                <w:color w:val="auto"/>
                <w:szCs w:val="21"/>
              </w:rPr>
              <w:t>二十二</w:t>
            </w:r>
            <w:r>
              <w:rPr>
                <w:rFonts w:ascii="宋体" w:hAnsi="宋体"/>
                <w:color w:val="auto"/>
                <w:szCs w:val="21"/>
              </w:rPr>
              <w:t>条的一般资格条件的规定</w:t>
            </w:r>
            <w:r>
              <w:rPr>
                <w:rFonts w:hint="eastAsia" w:ascii="宋体" w:hAnsi="宋体"/>
                <w:color w:val="auto"/>
                <w:szCs w:val="21"/>
              </w:rPr>
              <w:t>：</w:t>
            </w:r>
          </w:p>
          <w:p>
            <w:pPr>
              <w:snapToGrid w:val="0"/>
              <w:rPr>
                <w:rFonts w:hint="eastAsia" w:ascii="宋体" w:hAnsi="宋体"/>
                <w:color w:val="auto"/>
                <w:szCs w:val="21"/>
              </w:rPr>
            </w:pPr>
            <w:r>
              <w:rPr>
                <w:rFonts w:hint="eastAsia" w:ascii="宋体" w:hAnsi="宋体"/>
                <w:color w:val="auto"/>
                <w:szCs w:val="21"/>
              </w:rPr>
              <w:t>（一）具有独立承担民事责任的能力；</w:t>
            </w:r>
          </w:p>
          <w:p>
            <w:pPr>
              <w:snapToGrid w:val="0"/>
              <w:rPr>
                <w:rFonts w:hint="eastAsia" w:ascii="宋体" w:hAnsi="宋体"/>
                <w:color w:val="auto"/>
                <w:szCs w:val="21"/>
              </w:rPr>
            </w:pPr>
            <w:r>
              <w:rPr>
                <w:rFonts w:hint="eastAsia" w:ascii="宋体" w:hAnsi="宋体"/>
                <w:color w:val="auto"/>
                <w:szCs w:val="21"/>
              </w:rPr>
              <w:t>（二）具有良好的商业信誉和健全的财务会计制度；</w:t>
            </w:r>
          </w:p>
          <w:p>
            <w:pPr>
              <w:snapToGrid w:val="0"/>
              <w:rPr>
                <w:rFonts w:hint="eastAsia" w:ascii="宋体" w:hAnsi="宋体"/>
                <w:color w:val="auto"/>
                <w:szCs w:val="21"/>
              </w:rPr>
            </w:pPr>
            <w:r>
              <w:rPr>
                <w:rFonts w:hint="eastAsia" w:ascii="宋体" w:hAnsi="宋体"/>
                <w:color w:val="auto"/>
                <w:szCs w:val="21"/>
              </w:rPr>
              <w:t>（三）具有履行合同所必需的设备和专业技术能力；</w:t>
            </w:r>
          </w:p>
          <w:p>
            <w:pPr>
              <w:snapToGrid w:val="0"/>
              <w:rPr>
                <w:rFonts w:hint="eastAsia" w:ascii="宋体" w:hAnsi="宋体"/>
                <w:color w:val="auto"/>
                <w:szCs w:val="21"/>
              </w:rPr>
            </w:pPr>
            <w:r>
              <w:rPr>
                <w:rFonts w:hint="eastAsia" w:ascii="宋体" w:hAnsi="宋体"/>
                <w:color w:val="auto"/>
                <w:szCs w:val="21"/>
              </w:rPr>
              <w:t>（四）有依法缴纳税收和社会保障资金的良好记录；</w:t>
            </w:r>
          </w:p>
          <w:p>
            <w:pPr>
              <w:snapToGrid w:val="0"/>
              <w:rPr>
                <w:rFonts w:hint="eastAsia" w:ascii="宋体" w:hAnsi="宋体"/>
                <w:color w:val="auto"/>
                <w:szCs w:val="21"/>
              </w:rPr>
            </w:pPr>
            <w:r>
              <w:rPr>
                <w:rFonts w:hint="eastAsia" w:ascii="宋体" w:hAnsi="宋体"/>
                <w:color w:val="auto"/>
                <w:szCs w:val="21"/>
              </w:rPr>
              <w:t>（五）参加政府采购活动前三年内，在经营活动中没有重大违法记录；</w:t>
            </w:r>
          </w:p>
          <w:p>
            <w:pPr>
              <w:snapToGrid w:val="0"/>
              <w:rPr>
                <w:rFonts w:hint="eastAsia" w:ascii="宋体" w:hAnsi="宋体"/>
                <w:color w:val="auto"/>
                <w:szCs w:val="21"/>
              </w:rPr>
            </w:pPr>
            <w:r>
              <w:rPr>
                <w:rFonts w:hint="eastAsia" w:ascii="宋体" w:hAnsi="宋体"/>
                <w:color w:val="auto"/>
                <w:szCs w:val="21"/>
              </w:rPr>
              <w:t>（六）法律、行政法规规定的其他条件。</w:t>
            </w:r>
          </w:p>
        </w:tc>
        <w:tc>
          <w:tcPr>
            <w:tcW w:w="3143" w:type="dxa"/>
            <w:noWrap w:val="0"/>
            <w:vAlign w:val="top"/>
          </w:tcPr>
          <w:p>
            <w:pPr>
              <w:snapToGrid w:val="0"/>
              <w:rPr>
                <w:rFonts w:hint="eastAsia" w:ascii="宋体" w:hAnsi="宋体"/>
                <w:color w:val="auto"/>
                <w:szCs w:val="21"/>
              </w:rPr>
            </w:pPr>
            <w:r>
              <w:rPr>
                <w:rFonts w:hint="eastAsia" w:ascii="宋体" w:hAnsi="宋体"/>
                <w:color w:val="auto"/>
                <w:szCs w:val="21"/>
              </w:rPr>
              <w:t>（1）关于资格</w:t>
            </w:r>
            <w:r>
              <w:rPr>
                <w:rFonts w:hint="eastAsia" w:ascii="宋体" w:hAnsi="宋体"/>
                <w:color w:val="auto"/>
                <w:szCs w:val="21"/>
                <w:lang w:eastAsia="zh-CN"/>
              </w:rPr>
              <w:t>的承诺</w:t>
            </w:r>
            <w:r>
              <w:rPr>
                <w:rFonts w:hint="eastAsia" w:ascii="宋体" w:hAnsi="宋体"/>
                <w:color w:val="auto"/>
                <w:szCs w:val="21"/>
              </w:rPr>
              <w:t>函；</w:t>
            </w:r>
          </w:p>
          <w:p>
            <w:pPr>
              <w:snapToGrid w:val="0"/>
              <w:rPr>
                <w:rFonts w:hint="eastAsia" w:ascii="宋体" w:hAnsi="宋体"/>
                <w:color w:val="auto"/>
                <w:szCs w:val="21"/>
              </w:rPr>
            </w:pPr>
            <w:r>
              <w:rPr>
                <w:rFonts w:hint="eastAsia" w:ascii="宋体" w:hAnsi="宋体"/>
                <w:color w:val="auto"/>
                <w:szCs w:val="21"/>
              </w:rPr>
              <w:t>（2）法人或者其他组织的营业执照（副本复印件，经年检合格，原件备查，）、自然人的身份证明（身份证复印件，有效期内，原件备查）；</w:t>
            </w:r>
          </w:p>
          <w:p>
            <w:pPr>
              <w:spacing w:line="400" w:lineRule="exact"/>
              <w:rPr>
                <w:rFonts w:hint="eastAsia" w:ascii="宋体" w:hAnsi="宋体"/>
                <w:color w:val="auto"/>
                <w:szCs w:val="21"/>
              </w:rPr>
            </w:pPr>
          </w:p>
        </w:tc>
        <w:tc>
          <w:tcPr>
            <w:tcW w:w="1857"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5"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3877" w:type="dxa"/>
            <w:noWrap w:val="0"/>
            <w:vAlign w:val="center"/>
          </w:tcPr>
          <w:p>
            <w:pPr>
              <w:snapToGrid w:val="0"/>
              <w:rPr>
                <w:rFonts w:hint="eastAsia" w:ascii="宋体" w:hAnsi="宋体"/>
                <w:color w:val="auto"/>
                <w:szCs w:val="21"/>
              </w:rPr>
            </w:pPr>
            <w:r>
              <w:rPr>
                <w:rFonts w:hint="eastAsia" w:ascii="宋体" w:hAnsi="宋体"/>
                <w:color w:val="auto"/>
                <w:szCs w:val="21"/>
              </w:rPr>
              <w:t>未被信用中国网站（</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www.creditchina.gov.cn</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）列入失信被执行人、重大税收违法案件当事人名单，未被中国政府采购网（www.ccgp.gov.cn）列入政府采购严重违法失信行为记录名单。</w:t>
            </w:r>
          </w:p>
          <w:p>
            <w:pPr>
              <w:snapToGrid w:val="0"/>
              <w:rPr>
                <w:rFonts w:hint="eastAsia" w:ascii="宋体" w:hAnsi="宋体"/>
                <w:color w:val="auto"/>
                <w:szCs w:val="21"/>
              </w:rPr>
            </w:pPr>
          </w:p>
        </w:tc>
        <w:tc>
          <w:tcPr>
            <w:tcW w:w="3143" w:type="dxa"/>
            <w:noWrap w:val="0"/>
            <w:vAlign w:val="top"/>
          </w:tcPr>
          <w:p>
            <w:pPr>
              <w:snapToGrid w:val="0"/>
              <w:rPr>
                <w:rFonts w:hint="eastAsia" w:ascii="宋体" w:hAnsi="宋体"/>
                <w:color w:val="auto"/>
                <w:szCs w:val="21"/>
              </w:rPr>
            </w:pPr>
            <w:r>
              <w:rPr>
                <w:rFonts w:hint="eastAsia" w:ascii="宋体" w:hAnsi="宋体"/>
                <w:color w:val="auto"/>
                <w:szCs w:val="21"/>
              </w:rPr>
              <w:t>采购人、采购代理机构将于投标截止时间</w:t>
            </w:r>
            <w:r>
              <w:rPr>
                <w:rFonts w:hint="eastAsia" w:ascii="宋体" w:hAnsi="宋体"/>
                <w:iCs/>
                <w:color w:val="auto"/>
                <w:szCs w:val="21"/>
              </w:rPr>
              <w:t>前三天内或当天</w:t>
            </w:r>
            <w:r>
              <w:rPr>
                <w:rFonts w:hint="eastAsia" w:ascii="宋体" w:hAnsi="宋体"/>
                <w:color w:val="auto"/>
                <w:szCs w:val="21"/>
              </w:rPr>
              <w:t>通过“信用中国”网站（www.creditchina.gov.cn）查询投标人失信被执行人、重大税收违法案件当事人信用记录，通过中国政府采购网（www.ccgp.gov.cn）查询投标人政府采购严重违法失信行为信用记录。</w:t>
            </w:r>
          </w:p>
        </w:tc>
        <w:tc>
          <w:tcPr>
            <w:tcW w:w="1857"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5"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3877" w:type="dxa"/>
            <w:noWrap w:val="0"/>
            <w:vAlign w:val="top"/>
          </w:tcPr>
          <w:p>
            <w:pPr>
              <w:spacing w:line="400" w:lineRule="exact"/>
              <w:rPr>
                <w:rFonts w:hint="eastAsia" w:ascii="宋体" w:hAnsi="宋体"/>
                <w:color w:val="auto"/>
                <w:szCs w:val="21"/>
              </w:rPr>
            </w:pPr>
            <w:r>
              <w:rPr>
                <w:rFonts w:ascii="宋体" w:hAnsi="宋体"/>
                <w:color w:val="auto"/>
                <w:szCs w:val="21"/>
              </w:rPr>
              <w:t>特定资格条件</w:t>
            </w:r>
          </w:p>
        </w:tc>
        <w:tc>
          <w:tcPr>
            <w:tcW w:w="3143" w:type="dxa"/>
            <w:noWrap w:val="0"/>
            <w:vAlign w:val="top"/>
          </w:tcPr>
          <w:p>
            <w:pPr>
              <w:spacing w:line="400" w:lineRule="exact"/>
              <w:rPr>
                <w:rFonts w:hint="eastAsia" w:ascii="宋体" w:hAnsi="宋体"/>
                <w:color w:val="auto"/>
                <w:szCs w:val="21"/>
              </w:rPr>
            </w:pPr>
            <w:r>
              <w:rPr>
                <w:rFonts w:hint="eastAsia" w:ascii="宋体" w:hAnsi="宋体"/>
                <w:color w:val="auto"/>
                <w:szCs w:val="21"/>
              </w:rPr>
              <w:t>无</w:t>
            </w:r>
          </w:p>
        </w:tc>
        <w:tc>
          <w:tcPr>
            <w:tcW w:w="1857"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572" w:type="dxa"/>
            <w:gridSpan w:val="2"/>
            <w:noWrap w:val="0"/>
            <w:vAlign w:val="top"/>
          </w:tcPr>
          <w:p>
            <w:pPr>
              <w:spacing w:line="400" w:lineRule="exact"/>
              <w:rPr>
                <w:rFonts w:hint="eastAsia" w:ascii="宋体" w:hAnsi="宋体"/>
                <w:color w:val="auto"/>
                <w:szCs w:val="21"/>
              </w:rPr>
            </w:pPr>
            <w:r>
              <w:rPr>
                <w:rFonts w:hint="eastAsia" w:ascii="宋体" w:hAnsi="宋体"/>
                <w:color w:val="auto"/>
                <w:szCs w:val="21"/>
              </w:rPr>
              <w:t>审查结论（合格/不合格）</w:t>
            </w:r>
          </w:p>
        </w:tc>
        <w:tc>
          <w:tcPr>
            <w:tcW w:w="5000" w:type="dxa"/>
            <w:gridSpan w:val="2"/>
            <w:noWrap w:val="0"/>
            <w:vAlign w:val="top"/>
          </w:tcPr>
          <w:p>
            <w:pPr>
              <w:spacing w:line="400" w:lineRule="exact"/>
              <w:rPr>
                <w:rFonts w:hint="eastAsia" w:ascii="宋体" w:hAnsi="宋体"/>
                <w:color w:val="auto"/>
                <w:szCs w:val="21"/>
              </w:rPr>
            </w:pPr>
          </w:p>
        </w:tc>
      </w:tr>
    </w:tbl>
    <w:p>
      <w:pPr>
        <w:spacing w:line="320" w:lineRule="exact"/>
        <w:rPr>
          <w:rFonts w:hint="eastAsia"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、上述资格证明文件未按招标文件要求附入投标文件中的，资格性审查不合格。</w:t>
      </w:r>
    </w:p>
    <w:p>
      <w:pPr>
        <w:spacing w:line="320" w:lineRule="exact"/>
        <w:ind w:firstLine="422" w:firstLineChars="200"/>
        <w:rPr>
          <w:rFonts w:ascii="宋体" w:hAnsi="宋体"/>
          <w:b/>
          <w:color w:val="auto"/>
        </w:rPr>
      </w:pPr>
      <w:r>
        <w:rPr>
          <w:rFonts w:ascii="宋体" w:hAnsi="宋体"/>
          <w:b/>
          <w:color w:val="auto"/>
        </w:rPr>
        <w:t>2</w:t>
      </w:r>
      <w:r>
        <w:rPr>
          <w:rFonts w:hint="eastAsia" w:ascii="宋体" w:hAnsi="宋体"/>
          <w:b/>
          <w:color w:val="auto"/>
        </w:rPr>
        <w:t>、上述审查项目中，任意一项不符合的，资格性审查不合格。</w:t>
      </w:r>
    </w:p>
    <w:p>
      <w:pPr>
        <w:spacing w:line="320" w:lineRule="exact"/>
        <w:ind w:firstLine="422" w:firstLineChars="200"/>
        <w:rPr>
          <w:rFonts w:hint="eastAsia" w:ascii="宋体" w:hAnsi="宋体"/>
          <w:b/>
          <w:color w:val="auto"/>
        </w:rPr>
      </w:pPr>
      <w:r>
        <w:rPr>
          <w:rFonts w:ascii="宋体" w:hAnsi="宋体"/>
          <w:b/>
          <w:color w:val="auto"/>
        </w:rPr>
        <w:t>3</w:t>
      </w:r>
      <w:r>
        <w:rPr>
          <w:rFonts w:hint="eastAsia" w:ascii="宋体" w:hAnsi="宋体"/>
          <w:b/>
          <w:color w:val="auto"/>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20" w:lineRule="exact"/>
        <w:ind w:firstLine="517" w:firstLineChars="245"/>
        <w:rPr>
          <w:rFonts w:ascii="宋体" w:hAnsi="宋体"/>
          <w:b/>
          <w:color w:val="auto"/>
        </w:rPr>
      </w:pPr>
      <w:r>
        <w:rPr>
          <w:rFonts w:hint="eastAsia" w:ascii="宋体" w:hAnsi="宋体"/>
          <w:b/>
          <w:color w:val="auto"/>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w:t>
      </w:r>
      <w:r>
        <w:rPr>
          <w:rFonts w:ascii="宋体" w:hAnsi="宋体"/>
          <w:color w:val="auto"/>
          <w:szCs w:val="21"/>
        </w:rPr>
        <w:t>2</w:t>
      </w:r>
      <w:r>
        <w:rPr>
          <w:rFonts w:hint="eastAsia" w:ascii="宋体" w:hAnsi="宋体"/>
          <w:color w:val="auto"/>
          <w:szCs w:val="21"/>
        </w:rPr>
        <w:t>：</w:t>
      </w:r>
    </w:p>
    <w:p>
      <w:pPr>
        <w:widowControl/>
        <w:snapToGrid w:val="0"/>
        <w:spacing w:line="560" w:lineRule="exact"/>
        <w:jc w:val="center"/>
        <w:rPr>
          <w:rFonts w:ascii="宋体" w:hAnsi="宋体"/>
          <w:b/>
          <w:color w:val="auto"/>
          <w:szCs w:val="21"/>
        </w:rPr>
      </w:pPr>
      <w:r>
        <w:rPr>
          <w:rFonts w:hint="eastAsia" w:ascii="宋体" w:hAnsi="宋体"/>
          <w:b/>
          <w:color w:val="auto"/>
          <w:szCs w:val="21"/>
        </w:rPr>
        <w:t>符合性审查表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32"/>
        <w:gridCol w:w="42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b/>
                <w:color w:val="auto"/>
                <w:szCs w:val="21"/>
              </w:rPr>
            </w:pPr>
            <w:r>
              <w:rPr>
                <w:rFonts w:hint="eastAsia" w:ascii="宋体" w:hAnsi="宋体"/>
                <w:b/>
                <w:color w:val="auto"/>
                <w:szCs w:val="21"/>
              </w:rPr>
              <w:t>序号</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b/>
                <w:color w:val="auto"/>
                <w:szCs w:val="21"/>
              </w:rPr>
            </w:pPr>
            <w:r>
              <w:rPr>
                <w:rFonts w:hint="eastAsia" w:ascii="宋体" w:hAnsi="宋体"/>
                <w:b/>
                <w:color w:val="auto"/>
                <w:szCs w:val="21"/>
              </w:rPr>
              <w:t>要求说明</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b/>
                <w:color w:val="auto"/>
                <w:szCs w:val="21"/>
              </w:rPr>
            </w:pPr>
            <w:r>
              <w:rPr>
                <w:rFonts w:hint="eastAsia" w:ascii="宋体" w:hAnsi="宋体"/>
                <w:b/>
                <w:color w:val="auto"/>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ascii="宋体" w:hAnsi="宋体"/>
                <w:color w:val="auto"/>
                <w:szCs w:val="21"/>
              </w:rPr>
              <w:t>1</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投标有效期：符合第二章“投标须知”第六、</w:t>
            </w:r>
            <w:r>
              <w:rPr>
                <w:rFonts w:ascii="宋体" w:hAnsi="宋体"/>
                <w:color w:val="auto"/>
                <w:szCs w:val="21"/>
              </w:rPr>
              <w:t>1</w:t>
            </w:r>
            <w:r>
              <w:rPr>
                <w:rFonts w:hint="eastAsia" w:ascii="宋体" w:hAnsi="宋体"/>
                <w:color w:val="auto"/>
                <w:szCs w:val="21"/>
              </w:rPr>
              <w:t>条的要求。</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ascii="宋体" w:hAnsi="宋体"/>
                <w:color w:val="auto"/>
                <w:szCs w:val="21"/>
              </w:rPr>
              <w:t>2</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法定代表人身份证明、法定代表人授权书。</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（1）投标文件由法定代表人签字的，提供“法定代表人身份证明”</w:t>
            </w:r>
            <w:r>
              <w:rPr>
                <w:rFonts w:hint="eastAsia" w:ascii="宋体" w:hAnsi="宋体" w:cs="宋体"/>
                <w:color w:val="auto"/>
                <w:szCs w:val="21"/>
              </w:rPr>
              <w:t>。</w:t>
            </w:r>
          </w:p>
          <w:p>
            <w:pPr>
              <w:keepNext w:val="0"/>
              <w:keepLines w:val="0"/>
              <w:pageBreakBefore w:val="0"/>
              <w:kinsoku/>
              <w:wordWrap/>
              <w:overflowPunct/>
              <w:topLinePunct w:val="0"/>
              <w:autoSpaceDE/>
              <w:autoSpaceDN/>
              <w:bidi w:val="0"/>
              <w:adjustRightInd/>
              <w:snapToGrid w:val="0"/>
              <w:spacing w:line="360" w:lineRule="exact"/>
              <w:textAlignment w:val="auto"/>
              <w:rPr>
                <w:color w:val="auto"/>
              </w:rPr>
            </w:pPr>
            <w:r>
              <w:rPr>
                <w:rFonts w:hint="eastAsia" w:ascii="宋体" w:hAnsi="宋体"/>
                <w:color w:val="auto"/>
                <w:szCs w:val="21"/>
              </w:rPr>
              <w:t>（2）投标文件由授权代表签字的，提供“法定代表人身份证明”和“法定代表人授权书”，并提供社保部门出具的开标截止时间前6个月内</w:t>
            </w:r>
            <w:r>
              <w:rPr>
                <w:rFonts w:ascii="宋体" w:hAnsi="宋体"/>
                <w:color w:val="auto"/>
                <w:szCs w:val="21"/>
              </w:rPr>
              <w:t>任意</w:t>
            </w:r>
            <w:r>
              <w:rPr>
                <w:rFonts w:hint="eastAsia" w:ascii="宋体" w:hAnsi="宋体"/>
                <w:color w:val="auto"/>
                <w:szCs w:val="21"/>
              </w:rPr>
              <w:t>1</w:t>
            </w:r>
            <w:r>
              <w:rPr>
                <w:rFonts w:ascii="宋体" w:hAnsi="宋体"/>
                <w:color w:val="auto"/>
                <w:szCs w:val="21"/>
              </w:rPr>
              <w:t>个月</w:t>
            </w:r>
            <w:r>
              <w:rPr>
                <w:rFonts w:hint="eastAsia" w:ascii="宋体" w:hAnsi="宋体"/>
                <w:color w:val="auto"/>
                <w:szCs w:val="21"/>
              </w:rPr>
              <w:t>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hint="eastAsia" w:ascii="宋体" w:hAnsi="宋体"/>
                <w:color w:val="auto"/>
                <w:szCs w:val="21"/>
              </w:rPr>
              <w:t>3</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符合第二章“投标须知”第九、</w:t>
            </w:r>
            <w:r>
              <w:rPr>
                <w:rFonts w:ascii="宋体" w:hAnsi="宋体"/>
                <w:color w:val="auto"/>
                <w:szCs w:val="21"/>
              </w:rPr>
              <w:t>1</w:t>
            </w:r>
            <w:r>
              <w:rPr>
                <w:rFonts w:hint="eastAsia" w:ascii="宋体" w:hAnsi="宋体"/>
                <w:color w:val="auto"/>
                <w:szCs w:val="21"/>
              </w:rPr>
              <w:t>条的要求。</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hint="eastAsia" w:ascii="宋体" w:hAnsi="宋体"/>
                <w:color w:val="auto"/>
                <w:szCs w:val="21"/>
              </w:rPr>
              <w:t>4</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对同个标项不允许提供两个投标方案。</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hint="eastAsia" w:ascii="宋体" w:hAnsi="宋体"/>
                <w:color w:val="auto"/>
                <w:szCs w:val="21"/>
              </w:rPr>
              <w:t>5</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供应商不得在投标活动中提供任何虚假材料或从事其他违法活动的。</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hint="eastAsia" w:ascii="宋体" w:hAnsi="宋体"/>
                <w:color w:val="auto"/>
                <w:szCs w:val="21"/>
              </w:rPr>
              <w:t>6</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评标委员会经过审查，认定供应商虚假应标、串通投标的，有下列情形之一的，视为供应商串通投标：</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）不同供应商的投标文件由同一单位或者个人编制；</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）不同供应商委托同一单位或者个人办理投标事宜；</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）不同供应商的投标文件载明的项目管理成员或者联系人员为同一人；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）不同供应商的投标文件异常一致或者投标报价呈规律性差异；</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）不同供应商的投标文件相互混装。</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hint="eastAsia" w:ascii="宋体" w:hAnsi="宋体"/>
                <w:color w:val="auto"/>
                <w:szCs w:val="21"/>
              </w:rPr>
              <w:t>7</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r>
              <w:rPr>
                <w:rFonts w:hint="eastAsia" w:ascii="宋体" w:hAnsi="宋体"/>
                <w:color w:val="auto"/>
                <w:szCs w:val="21"/>
              </w:rPr>
              <w:t>符合法律、法规和招标文件中规定的其他实质性要求（实质性要求招标文件中“▲”标记）</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color w:val="auto"/>
                <w:szCs w:val="21"/>
              </w:rPr>
            </w:pPr>
            <w:r>
              <w:rPr>
                <w:rFonts w:hint="eastAsia" w:ascii="宋体" w:hAnsi="宋体"/>
                <w:color w:val="auto"/>
                <w:szCs w:val="21"/>
              </w:rPr>
              <w:t>8</w:t>
            </w:r>
          </w:p>
        </w:tc>
        <w:tc>
          <w:tcPr>
            <w:tcW w:w="4432"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本项目不接受联合体投标。</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olor w:val="auto"/>
                <w:szCs w:val="21"/>
              </w:rPr>
            </w:pPr>
            <w:r>
              <w:rPr>
                <w:rFonts w:hint="eastAsia" w:ascii="宋体" w:hAnsi="宋体"/>
                <w:color w:val="auto"/>
                <w:szCs w:val="21"/>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color w:val="auto"/>
                <w:szCs w:val="21"/>
              </w:rPr>
            </w:pPr>
            <w:r>
              <w:rPr>
                <w:rFonts w:hint="eastAsia" w:ascii="宋体" w:hAnsi="宋体"/>
                <w:color w:val="auto"/>
                <w:szCs w:val="21"/>
              </w:rPr>
              <w:t>9</w:t>
            </w:r>
          </w:p>
        </w:tc>
        <w:tc>
          <w:tcPr>
            <w:tcW w:w="4432" w:type="dxa"/>
            <w:noWrap w:val="0"/>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ascii="宋体" w:hAnsi="宋体"/>
                <w:color w:val="auto"/>
                <w:szCs w:val="21"/>
              </w:rPr>
            </w:pPr>
            <w:r>
              <w:rPr>
                <w:rFonts w:hint="eastAsia" w:ascii="宋体" w:hAnsi="宋体"/>
                <w:color w:val="auto"/>
                <w:szCs w:val="21"/>
              </w:rPr>
              <w:t>本次公开招标设有最高服务比例:</w:t>
            </w:r>
            <w:r>
              <w:rPr>
                <w:rFonts w:hint="eastAsia" w:ascii="宋体" w:hAnsi="宋体"/>
                <w:color w:val="auto"/>
                <w:szCs w:val="21"/>
                <w:lang w:eastAsia="zh-CN"/>
              </w:rPr>
              <w:t>普通</w:t>
            </w:r>
            <w:r>
              <w:rPr>
                <w:rFonts w:hint="eastAsia" w:ascii="宋体" w:hAnsi="宋体"/>
                <w:color w:val="auto"/>
                <w:szCs w:val="21"/>
              </w:rPr>
              <w:t>检验最高服务比例为：</w:t>
            </w:r>
            <w:r>
              <w:rPr>
                <w:rFonts w:hint="eastAsia" w:ascii="宋体" w:hAnsi="宋体"/>
                <w:color w:val="auto"/>
                <w:szCs w:val="21"/>
                <w:lang w:val="en-US" w:eastAsia="zh-CN"/>
              </w:rPr>
              <w:t>37</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病理</w:t>
            </w:r>
            <w:r>
              <w:rPr>
                <w:rFonts w:hint="eastAsia" w:ascii="宋体" w:hAnsi="宋体"/>
                <w:color w:val="auto"/>
                <w:szCs w:val="21"/>
                <w:lang w:eastAsia="zh-CN"/>
              </w:rPr>
              <w:t>检验</w:t>
            </w:r>
            <w:r>
              <w:rPr>
                <w:rFonts w:hint="eastAsia" w:ascii="宋体" w:hAnsi="宋体"/>
                <w:color w:val="auto"/>
                <w:szCs w:val="21"/>
              </w:rPr>
              <w:t>最高服务比例为：</w:t>
            </w:r>
            <w:r>
              <w:rPr>
                <w:rFonts w:hint="eastAsia" w:ascii="宋体" w:hAnsi="宋体"/>
                <w:color w:val="auto"/>
                <w:szCs w:val="21"/>
                <w:lang w:val="en-US" w:eastAsia="zh-CN"/>
              </w:rPr>
              <w:t>50</w:t>
            </w:r>
            <w:r>
              <w:rPr>
                <w:rFonts w:hint="eastAsia" w:ascii="宋体" w:hAnsi="宋体"/>
                <w:color w:val="auto"/>
                <w:szCs w:val="21"/>
              </w:rPr>
              <w:t>%</w:t>
            </w:r>
            <w:r>
              <w:rPr>
                <w:rFonts w:hint="eastAsia" w:ascii="宋体" w:hAnsi="宋体"/>
                <w:color w:val="auto"/>
                <w:szCs w:val="21"/>
                <w:highlight w:val="yellow"/>
                <w:lang w:eastAsia="zh-CN"/>
              </w:rPr>
              <w:t>（</w:t>
            </w:r>
            <w:r>
              <w:rPr>
                <w:rFonts w:hint="eastAsia" w:ascii="宋体" w:hAnsi="宋体"/>
                <w:color w:val="auto"/>
                <w:szCs w:val="21"/>
                <w:highlight w:val="yellow"/>
                <w:lang w:val="en-US" w:eastAsia="zh-CN"/>
              </w:rPr>
              <w:t>其中炼化院区的</w:t>
            </w:r>
            <w:r>
              <w:rPr>
                <w:rFonts w:hint="eastAsia" w:ascii="宋体" w:hAnsi="宋体"/>
                <w:color w:val="auto"/>
                <w:szCs w:val="21"/>
                <w:highlight w:val="yellow"/>
              </w:rPr>
              <w:t>病理</w:t>
            </w:r>
            <w:r>
              <w:rPr>
                <w:rFonts w:hint="eastAsia" w:ascii="宋体" w:hAnsi="宋体"/>
                <w:color w:val="auto"/>
                <w:szCs w:val="21"/>
                <w:highlight w:val="yellow"/>
                <w:lang w:eastAsia="zh-CN"/>
              </w:rPr>
              <w:t>检验</w:t>
            </w:r>
            <w:r>
              <w:rPr>
                <w:rFonts w:hint="eastAsia" w:ascii="宋体" w:hAnsi="宋体"/>
                <w:color w:val="auto"/>
                <w:szCs w:val="21"/>
                <w:highlight w:val="yellow"/>
              </w:rPr>
              <w:t>最高服务比例为</w:t>
            </w:r>
            <w:r>
              <w:rPr>
                <w:rFonts w:hint="eastAsia" w:ascii="宋体" w:hAnsi="宋体"/>
                <w:color w:val="auto"/>
                <w:szCs w:val="21"/>
                <w:highlight w:val="yellow"/>
                <w:lang w:val="en-US" w:eastAsia="zh-CN"/>
              </w:rPr>
              <w:t>40%</w:t>
            </w:r>
            <w:r>
              <w:rPr>
                <w:rFonts w:hint="eastAsia" w:ascii="宋体" w:hAnsi="宋体"/>
                <w:color w:val="auto"/>
                <w:szCs w:val="21"/>
                <w:highlight w:val="yellow"/>
                <w:lang w:eastAsia="zh-CN"/>
              </w:rPr>
              <w:t>）</w:t>
            </w:r>
            <w:r>
              <w:rPr>
                <w:rFonts w:hint="eastAsia" w:ascii="宋体" w:hAnsi="宋体"/>
                <w:color w:val="auto"/>
                <w:szCs w:val="21"/>
                <w:lang w:eastAsia="zh-CN"/>
              </w:rPr>
              <w:t>；</w:t>
            </w:r>
            <w:r>
              <w:rPr>
                <w:rFonts w:hint="eastAsia" w:ascii="宋体" w:hAnsi="宋体"/>
                <w:color w:val="auto"/>
                <w:szCs w:val="21"/>
              </w:rPr>
              <w:t>冰冻（术中快切）</w:t>
            </w:r>
            <w:r>
              <w:rPr>
                <w:rFonts w:hint="eastAsia" w:ascii="宋体" w:hAnsi="宋体"/>
                <w:color w:val="auto"/>
                <w:szCs w:val="21"/>
                <w:lang w:eastAsia="zh-CN"/>
              </w:rPr>
              <w:t>检验</w:t>
            </w:r>
            <w:r>
              <w:rPr>
                <w:rFonts w:hint="eastAsia" w:ascii="宋体" w:hAnsi="宋体"/>
                <w:color w:val="auto"/>
                <w:szCs w:val="21"/>
              </w:rPr>
              <w:t>最高服务比例为：</w:t>
            </w:r>
            <w:r>
              <w:rPr>
                <w:rFonts w:hint="eastAsia" w:ascii="宋体" w:hAnsi="宋体"/>
                <w:color w:val="auto"/>
                <w:szCs w:val="21"/>
                <w:lang w:val="en-US" w:eastAsia="zh-CN"/>
              </w:rPr>
              <w:t xml:space="preserve"> 70</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高于此服务比例的投标为无效投标。</w:t>
            </w:r>
          </w:p>
        </w:tc>
        <w:tc>
          <w:tcPr>
            <w:tcW w:w="4263" w:type="dxa"/>
            <w:noWrap w:val="0"/>
            <w:vAlign w:val="center"/>
          </w:tcPr>
          <w:p>
            <w:pPr>
              <w:keepNext w:val="0"/>
              <w:keepLines w:val="0"/>
              <w:pageBreakBefore w:val="0"/>
              <w:kinsoku/>
              <w:wordWrap/>
              <w:overflowPunct/>
              <w:topLinePunct w:val="0"/>
              <w:autoSpaceDE/>
              <w:autoSpaceDN/>
              <w:bidi w:val="0"/>
              <w:adjustRightInd/>
              <w:spacing w:line="360" w:lineRule="exact"/>
              <w:textAlignment w:val="auto"/>
              <w:rPr>
                <w:rFonts w:ascii="宋体" w:hAnsi="宋体"/>
                <w:color w:val="auto"/>
                <w:szCs w:val="21"/>
              </w:rPr>
            </w:pPr>
            <w:r>
              <w:rPr>
                <w:rFonts w:hint="eastAsia" w:ascii="宋体" w:hAnsi="宋体"/>
                <w:color w:val="auto"/>
                <w:szCs w:val="21"/>
              </w:rPr>
              <w:t>提供“开标一览表”</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color w:val="auto"/>
                <w:szCs w:val="21"/>
              </w:rPr>
            </w:pPr>
            <w:r>
              <w:rPr>
                <w:rFonts w:hint="eastAsia" w:ascii="宋体" w:hAnsi="宋体"/>
                <w:color w:val="auto"/>
                <w:szCs w:val="21"/>
              </w:rPr>
              <w:t>10</w:t>
            </w:r>
          </w:p>
        </w:tc>
        <w:tc>
          <w:tcPr>
            <w:tcW w:w="4432" w:type="dxa"/>
            <w:noWrap w:val="0"/>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olor w:val="auto"/>
                <w:szCs w:val="21"/>
              </w:rPr>
            </w:pPr>
            <w:r>
              <w:rPr>
                <w:rFonts w:hint="eastAsia" w:ascii="宋体" w:hAnsi="宋体"/>
                <w:color w:val="auto"/>
                <w:szCs w:val="21"/>
              </w:rPr>
              <w:t>评标委员会认为供应商的报价明显低于其他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263" w:type="dxa"/>
            <w:noWrap w:val="0"/>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olor w:val="auto"/>
                <w:szCs w:val="21"/>
              </w:rPr>
            </w:pPr>
            <w:r>
              <w:rPr>
                <w:rFonts w:hint="eastAsia" w:ascii="宋体" w:hAnsi="宋体"/>
                <w:color w:val="auto"/>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152"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rPr>
            </w:pPr>
            <w:r>
              <w:rPr>
                <w:rFonts w:hint="eastAsia" w:ascii="宋体" w:hAnsi="宋体"/>
                <w:b/>
                <w:color w:val="auto"/>
                <w:szCs w:val="21"/>
              </w:rPr>
              <w:t>符合性审查结论</w:t>
            </w:r>
          </w:p>
        </w:tc>
        <w:tc>
          <w:tcPr>
            <w:tcW w:w="4263" w:type="dxa"/>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Cs w:val="21"/>
              </w:rPr>
            </w:pPr>
          </w:p>
        </w:tc>
      </w:tr>
    </w:tbl>
    <w:p>
      <w:pPr>
        <w:spacing w:line="400" w:lineRule="exact"/>
        <w:rPr>
          <w:rFonts w:hint="eastAsia"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、上述审查项目中，任意一项不符合的，符合性审查不合格。</w:t>
      </w:r>
    </w:p>
    <w:p>
      <w:pPr>
        <w:spacing w:line="400" w:lineRule="exact"/>
        <w:ind w:firstLine="413" w:firstLineChars="196"/>
        <w:rPr>
          <w:rFonts w:hint="eastAsia" w:ascii="宋体" w:hAnsi="宋体"/>
          <w:color w:val="auto"/>
          <w:szCs w:val="21"/>
        </w:rPr>
      </w:pPr>
      <w:r>
        <w:rPr>
          <w:rFonts w:hint="eastAsia" w:ascii="宋体" w:hAnsi="宋体"/>
          <w:b/>
          <w:color w:val="auto"/>
        </w:rPr>
        <w:t>2、序号3-序号8、序号10在政采云上无须添加关联点。</w:t>
      </w:r>
    </w:p>
    <w:p>
      <w:pP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pPr>
        <w:spacing w:line="400" w:lineRule="exact"/>
        <w:jc w:val="center"/>
        <w:rPr>
          <w:rFonts w:hint="eastAsia" w:ascii="宋体" w:hAnsi="宋体"/>
          <w:color w:val="auto"/>
          <w:szCs w:val="21"/>
        </w:rPr>
      </w:pPr>
      <w:r>
        <w:rPr>
          <w:rFonts w:hint="eastAsia" w:ascii="宋体" w:hAnsi="宋体"/>
          <w:b/>
          <w:color w:val="auto"/>
          <w:szCs w:val="21"/>
        </w:rPr>
        <w:t>商务和技术评分表</w:t>
      </w:r>
    </w:p>
    <w:p>
      <w:pPr>
        <w:widowControl/>
        <w:spacing w:line="400" w:lineRule="exact"/>
        <w:rPr>
          <w:rFonts w:hint="eastAsia" w:ascii="宋体" w:hAnsi="宋体"/>
          <w:b/>
          <w:color w:val="auto"/>
          <w:szCs w:val="21"/>
        </w:rPr>
      </w:pPr>
      <w:r>
        <w:rPr>
          <w:rFonts w:hint="eastAsia" w:ascii="宋体" w:hAnsi="宋体"/>
          <w:b/>
          <w:color w:val="auto"/>
          <w:szCs w:val="21"/>
        </w:rPr>
        <w:t>采购编号：NBITC-2021</w:t>
      </w:r>
      <w:r>
        <w:rPr>
          <w:rFonts w:hint="eastAsia" w:ascii="宋体" w:hAnsi="宋体"/>
          <w:b/>
          <w:color w:val="auto"/>
          <w:szCs w:val="21"/>
          <w:lang w:val="en-US" w:eastAsia="zh-CN"/>
        </w:rPr>
        <w:t>30999</w:t>
      </w:r>
      <w:r>
        <w:rPr>
          <w:rFonts w:hint="eastAsia" w:ascii="宋体" w:hAnsi="宋体"/>
          <w:b/>
          <w:color w:val="auto"/>
          <w:szCs w:val="21"/>
        </w:rPr>
        <w:t>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69"/>
        <w:gridCol w:w="3425"/>
        <w:gridCol w:w="407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4"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类别明细</w:t>
            </w:r>
          </w:p>
        </w:tc>
        <w:tc>
          <w:tcPr>
            <w:tcW w:w="750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评分标准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技术商务分85分 </w:t>
            </w: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招标响应（25分）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投标人完全响应招标文件“第五章  招标内容与技术需求”所有条款的，得25分。每偏离一条扣2分，扣完为止；</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实验室检测能力（7分）</w:t>
            </w:r>
          </w:p>
        </w:tc>
        <w:tc>
          <w:tcPr>
            <w:tcW w:w="7500" w:type="dxa"/>
            <w:gridSpan w:val="2"/>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投标人主体实验室通过ISO 15189认可得2分；</w:t>
            </w:r>
          </w:p>
          <w:p>
            <w:pPr>
              <w:keepNext w:val="0"/>
              <w:keepLines w:val="0"/>
              <w:widowControl/>
              <w:numPr>
                <w:ilvl w:val="0"/>
                <w:numId w:val="3"/>
              </w:numPr>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投标人具有CMA计量认证证书者得2分；</w:t>
            </w:r>
          </w:p>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3、投标人具有PCR实验室资质证书者得1分,实验室通过“肿瘤相关基因检测（组织、血液）”得1分 、“药物代谢相关基因检测”项目审批得1分，依据PCR合格证书评定提供证明资料。满分3分；</w:t>
            </w:r>
          </w:p>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（以上3项)，请提供有效证明文件复印件加盖投标人公章编入标书）。</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业绩（3分）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提供2019年1月1日以来三级医院业务合作合同，每提供2份医学检验外包业务合同得1分，最高得3分。提供证明材料（合同复印件加盖公章编入标书）。</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实验室资质及设备（7分）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提供医院外送项目所涉及仪器设备清单、</w:t>
            </w:r>
            <w:r>
              <w:rPr>
                <w:rFonts w:hint="eastAsia" w:ascii="宋体" w:hAnsi="宋体" w:cs="宋体"/>
                <w:b w:val="0"/>
                <w:bCs w:val="0"/>
                <w:i w:val="0"/>
                <w:iCs w:val="0"/>
                <w:color w:val="auto"/>
                <w:kern w:val="0"/>
                <w:sz w:val="21"/>
                <w:szCs w:val="21"/>
                <w:u w:val="none"/>
                <w:lang w:val="en-US" w:eastAsia="zh-CN" w:bidi="ar"/>
              </w:rPr>
              <w:t>检测设备</w:t>
            </w:r>
            <w:r>
              <w:rPr>
                <w:rFonts w:hint="eastAsia" w:ascii="宋体" w:hAnsi="宋体" w:eastAsia="宋体" w:cs="宋体"/>
                <w:b w:val="0"/>
                <w:bCs w:val="0"/>
                <w:i w:val="0"/>
                <w:iCs w:val="0"/>
                <w:color w:val="auto"/>
                <w:kern w:val="0"/>
                <w:sz w:val="21"/>
                <w:szCs w:val="21"/>
                <w:u w:val="none"/>
                <w:lang w:val="en-US" w:eastAsia="zh-CN" w:bidi="ar"/>
              </w:rPr>
              <w:t>品牌及检验方法学等。综合评议:提供的仪器设备清单、</w:t>
            </w:r>
            <w:r>
              <w:rPr>
                <w:rFonts w:hint="eastAsia" w:ascii="宋体" w:hAnsi="宋体" w:cs="宋体"/>
                <w:b w:val="0"/>
                <w:bCs w:val="0"/>
                <w:i w:val="0"/>
                <w:iCs w:val="0"/>
                <w:color w:val="auto"/>
                <w:kern w:val="0"/>
                <w:sz w:val="21"/>
                <w:szCs w:val="21"/>
                <w:u w:val="none"/>
                <w:lang w:val="en-US" w:eastAsia="zh-CN" w:bidi="ar"/>
              </w:rPr>
              <w:t>检测设备</w:t>
            </w:r>
            <w:r>
              <w:rPr>
                <w:rFonts w:hint="eastAsia" w:ascii="宋体" w:hAnsi="宋体" w:eastAsia="宋体" w:cs="宋体"/>
                <w:b w:val="0"/>
                <w:bCs w:val="0"/>
                <w:i w:val="0"/>
                <w:iCs w:val="0"/>
                <w:color w:val="auto"/>
                <w:kern w:val="0"/>
                <w:sz w:val="21"/>
                <w:szCs w:val="21"/>
                <w:u w:val="none"/>
                <w:lang w:val="en-US" w:eastAsia="zh-CN" w:bidi="ar"/>
              </w:rPr>
              <w:t>品牌及检验方法学具有先进性，内容完整、充实的得7-5分；符合要求，内容完整，但有所欠缺的得4.9-3分；内容不完整且实质性内容不强的得2.9-0分。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vMerge w:val="restart"/>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实验室技术人员资质（7分）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负责本次项目的实验室主管人员为检验或病理专业副高职称及以上者，得2分；需提供职称证明及合同资料，复印件加盖投标人公章。</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vMerge w:val="continue"/>
            <w:noWrap w:val="0"/>
            <w:vAlign w:val="center"/>
          </w:tcPr>
          <w:p>
            <w:pPr>
              <w:jc w:val="left"/>
              <w:rPr>
                <w:rFonts w:hint="eastAsia" w:ascii="宋体" w:hAnsi="宋体" w:eastAsia="宋体" w:cs="宋体"/>
                <w:b w:val="0"/>
                <w:bCs w:val="0"/>
                <w:i w:val="0"/>
                <w:iCs w:val="0"/>
                <w:color w:val="auto"/>
                <w:sz w:val="21"/>
                <w:szCs w:val="21"/>
                <w:u w:val="none"/>
              </w:rPr>
            </w:pP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拟派本项目实验室团队人员,实验室团队人员中每提供一名副高及以上职称者得0.5分，满分5分；以上人员需提供职称证明及合同资料，复印件加盖投标人公章。</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检验及报告实施方案（6分）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提供针对本项目的按投标人提供的所有检验标本全流程实施方案进行综合评议：实施方案符合要求，内容完整、充实的得6-4分；实施方案符合要求，内容完整，但有所欠缺的得3.9-2分；实施方案符合要求，但内容不完整的得1.9-0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物流（及冷链）实施方案（9分）</w:t>
            </w:r>
          </w:p>
        </w:tc>
        <w:tc>
          <w:tcPr>
            <w:tcW w:w="3425" w:type="dxa"/>
            <w:vMerge w:val="restart"/>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综合服务方案(9分)投标人针对本项目提供物流规划、人员安排等完整性、合理性的综合服务方案，评委根据方案进行评议</w:t>
            </w:r>
          </w:p>
        </w:tc>
        <w:tc>
          <w:tcPr>
            <w:tcW w:w="4075"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标本收集及处理流程方案（2分）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3425" w:type="dxa"/>
            <w:vMerge w:val="continue"/>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4075"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标本物流方案（3分）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3425" w:type="dxa"/>
            <w:vMerge w:val="continue"/>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4075"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质量控制方案（2分）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3425" w:type="dxa"/>
            <w:vMerge w:val="continue"/>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4075"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应急保障措施方案（2分）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服务方案（8分）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根据投标人提供的本项目服务方案及合理化建议进行评议：服务方案及合理化建议符合要求，内容完整、充实的得8-6分；服务方案及合理化建议符合要求，内容完整，但有所欠缺的得5.9-3分；服务方案及合理化建议符合要求，但内容不完整无实质性内容的得2.9-0分。以上服务方案必须包含术中冰冻切片诊断服务方案</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增值服务方案（5分）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可以提供学术会议、培训和继续教育者得1分；</w:t>
            </w:r>
            <w:r>
              <w:rPr>
                <w:rStyle w:val="109"/>
                <w:rFonts w:hint="eastAsia" w:ascii="宋体" w:hAnsi="宋体" w:eastAsia="宋体" w:cs="宋体"/>
                <w:b w:val="0"/>
                <w:bCs w:val="0"/>
                <w:color w:val="auto"/>
                <w:sz w:val="21"/>
                <w:szCs w:val="21"/>
                <w:lang w:val="en-US" w:eastAsia="zh-CN" w:bidi="ar"/>
              </w:rPr>
              <w:t>必须全面提供病理及检验医院等级评审的资料、台账得2分</w:t>
            </w:r>
            <w:r>
              <w:rPr>
                <w:rFonts w:hint="eastAsia" w:ascii="宋体" w:hAnsi="宋体" w:eastAsia="宋体" w:cs="宋体"/>
                <w:b w:val="0"/>
                <w:bCs w:val="0"/>
                <w:i w:val="0"/>
                <w:iCs w:val="0"/>
                <w:color w:val="auto"/>
                <w:kern w:val="0"/>
                <w:sz w:val="21"/>
                <w:szCs w:val="21"/>
                <w:u w:val="none"/>
                <w:lang w:val="en-US" w:eastAsia="zh-CN" w:bidi="ar"/>
              </w:rPr>
              <w:t>；具有自主远程会诊病理平台,开展远程病理疑难会诊提供服务得2分。以上内容需提供相关方案。</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质量控制方案（5分）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根据投标人提供的质量控制方案进行综合评议：方案符合要求，内容完整、充实的得5-3分；方案符合要求，内容完整，但有所欠缺的得2.9-1分；方案符合要求，但内容不完整无实质性内容的得0.9-0分。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5" w:type="dxa"/>
            <w:vMerge w:val="continue"/>
            <w:noWrap w:val="0"/>
            <w:vAlign w:val="center"/>
          </w:tcPr>
          <w:p>
            <w:pPr>
              <w:jc w:val="center"/>
              <w:rPr>
                <w:rFonts w:hint="eastAsia" w:ascii="宋体" w:hAnsi="宋体" w:eastAsia="宋体" w:cs="宋体"/>
                <w:b w:val="0"/>
                <w:bCs w:val="0"/>
                <w:i w:val="0"/>
                <w:iCs w:val="0"/>
                <w:color w:val="auto"/>
                <w:sz w:val="21"/>
                <w:szCs w:val="21"/>
                <w:u w:val="none"/>
              </w:rPr>
            </w:pPr>
          </w:p>
        </w:tc>
        <w:tc>
          <w:tcPr>
            <w:tcW w:w="116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危急值报告（3分）</w:t>
            </w:r>
          </w:p>
        </w:tc>
        <w:tc>
          <w:tcPr>
            <w:tcW w:w="750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具有项目危急值报告程序，投标文件列出危急值报告方案和流程。（3分）</w:t>
            </w:r>
          </w:p>
        </w:tc>
        <w:tc>
          <w:tcPr>
            <w:tcW w:w="582"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bl>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、各评委成员自行按以上参考分值评分，评分小数点后保留二位数。</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宋体" w:hAnsi="宋体"/>
          <w:color w:val="auto"/>
          <w:szCs w:val="21"/>
        </w:rPr>
      </w:pPr>
      <w:r>
        <w:rPr>
          <w:rFonts w:hint="eastAsia" w:ascii="宋体" w:hAnsi="宋体"/>
          <w:color w:val="auto"/>
          <w:szCs w:val="21"/>
        </w:rPr>
        <w:t>2、表内要求提供的资料，未按要求提供的均不得分。</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szCs w:val="21"/>
        </w:rPr>
      </w:pPr>
      <w:r>
        <w:rPr>
          <w:rFonts w:hint="eastAsia" w:ascii="宋体" w:hAnsi="宋体"/>
          <w:color w:val="auto"/>
          <w:szCs w:val="21"/>
        </w:rPr>
        <w:t>评委签名：</w:t>
      </w:r>
      <w:r>
        <w:rPr>
          <w:rFonts w:ascii="宋体" w:hAnsi="宋体"/>
          <w:color w:val="auto"/>
          <w:szCs w:val="21"/>
        </w:rPr>
        <w:t xml:space="preserve">                                                    </w:t>
      </w:r>
      <w:r>
        <w:rPr>
          <w:rFonts w:hint="eastAsia" w:ascii="宋体" w:hAnsi="宋体"/>
          <w:color w:val="auto"/>
          <w:szCs w:val="21"/>
        </w:rPr>
        <w:t xml:space="preserve">     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pPr>
        <w:widowControl/>
        <w:snapToGrid w:val="0"/>
        <w:spacing w:line="560" w:lineRule="exact"/>
        <w:jc w:val="center"/>
        <w:rPr>
          <w:rFonts w:hint="eastAsia" w:ascii="宋体" w:hAnsi="宋体"/>
          <w:b/>
          <w:color w:val="auto"/>
          <w:szCs w:val="21"/>
        </w:rPr>
      </w:pPr>
      <w:r>
        <w:rPr>
          <w:rFonts w:hint="eastAsia" w:ascii="宋体" w:hAnsi="宋体"/>
          <w:b/>
          <w:color w:val="auto"/>
          <w:szCs w:val="21"/>
        </w:rPr>
        <w:t>价格评分表</w:t>
      </w:r>
    </w:p>
    <w:p>
      <w:pPr>
        <w:spacing w:line="320" w:lineRule="exact"/>
        <w:rPr>
          <w:rFonts w:hint="eastAsia" w:ascii="宋体" w:hAnsi="宋体"/>
          <w:b/>
          <w:color w:val="auto"/>
          <w:szCs w:val="21"/>
        </w:rPr>
      </w:pPr>
      <w:r>
        <w:rPr>
          <w:rFonts w:hint="eastAsia" w:ascii="宋体" w:hAnsi="宋体"/>
          <w:b/>
          <w:color w:val="auto"/>
          <w:szCs w:val="21"/>
        </w:rPr>
        <w:t>采购编号：NBITC-2021</w:t>
      </w:r>
      <w:r>
        <w:rPr>
          <w:rFonts w:hint="eastAsia" w:ascii="宋体" w:hAnsi="宋体"/>
          <w:b/>
          <w:color w:val="auto"/>
          <w:szCs w:val="21"/>
          <w:lang w:val="en-US" w:eastAsia="zh-CN"/>
        </w:rPr>
        <w:t>30999</w:t>
      </w:r>
      <w:r>
        <w:rPr>
          <w:rFonts w:hint="eastAsia" w:ascii="宋体" w:hAnsi="宋体"/>
          <w:b/>
          <w:color w:val="auto"/>
          <w:szCs w:val="21"/>
        </w:rPr>
        <w:t>G</w:t>
      </w:r>
    </w:p>
    <w:p>
      <w:pPr>
        <w:pStyle w:val="2"/>
        <w:rPr>
          <w:color w:val="auto"/>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31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87" w:type="dxa"/>
            <w:gridSpan w:val="2"/>
            <w:tcBorders>
              <w:top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color w:val="auto"/>
                <w:szCs w:val="21"/>
              </w:rPr>
            </w:pPr>
          </w:p>
          <w:p>
            <w:pPr>
              <w:snapToGrid w:val="0"/>
              <w:spacing w:line="240" w:lineRule="auto"/>
              <mc:AlternateContent>
                <mc:Choice Requires="wpsCustomData">
                  <wpsCustomData:diagonalParaType/>
                </mc:Choice>
              </mc:AlternateContent>
              <w:rPr>
                <w:rFonts w:hint="eastAsia" w:ascii="宋体" w:hAnsi="宋体" w:cs="宋体"/>
                <w:color w:val="auto"/>
                <w:kern w:val="0"/>
                <w:szCs w:val="21"/>
              </w:rPr>
            </w:pPr>
            <w:r>
              <w:rPr>
                <w:rFonts w:hint="eastAsia" w:ascii="宋体" w:hAnsi="宋体"/>
                <w:color w:val="auto"/>
                <w:szCs w:val="21"/>
              </w:rPr>
              <w:t>分值</w:t>
            </w:r>
          </w:p>
          <w:p>
            <w:pPr>
              <w:spacing w:line="360" w:lineRule="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 xml:space="preserve">                              </w:t>
            </w:r>
            <w:r>
              <w:rPr>
                <w:rFonts w:hint="eastAsia" w:ascii="宋体" w:hAnsi="宋体"/>
                <w:color w:val="auto"/>
                <w:szCs w:val="21"/>
              </w:rPr>
              <w:t>供应商</w:t>
            </w:r>
          </w:p>
        </w:tc>
        <w:tc>
          <w:tcPr>
            <w:tcW w:w="800" w:type="dxa"/>
            <w:tcBorders>
              <w:top w:val="single" w:color="auto" w:sz="4" w:space="0"/>
              <w:bottom w:val="single" w:color="auto" w:sz="6" w:space="0"/>
            </w:tcBorders>
            <w:noWrap w:val="0"/>
            <w:vAlign w:val="center"/>
          </w:tcPr>
          <w:p>
            <w:pPr>
              <w:spacing w:line="360" w:lineRule="auto"/>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70" w:type="dxa"/>
            <w:vMerge w:val="restart"/>
            <w:tcBorders>
              <w:top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价</w:t>
            </w:r>
          </w:p>
          <w:p>
            <w:pPr>
              <w:spacing w:line="360" w:lineRule="auto"/>
              <w:jc w:val="center"/>
              <w:rPr>
                <w:rFonts w:hint="eastAsia" w:ascii="宋体" w:hAnsi="宋体"/>
                <w:color w:val="auto"/>
                <w:szCs w:val="21"/>
              </w:rPr>
            </w:pPr>
            <w:r>
              <w:rPr>
                <w:rFonts w:hint="eastAsia" w:ascii="宋体" w:hAnsi="宋体"/>
                <w:color w:val="auto"/>
                <w:szCs w:val="21"/>
              </w:rPr>
              <w:t>格</w:t>
            </w:r>
          </w:p>
          <w:p>
            <w:pPr>
              <w:spacing w:line="360" w:lineRule="auto"/>
              <w:jc w:val="center"/>
              <w:rPr>
                <w:rFonts w:hint="eastAsia" w:ascii="宋体" w:hAnsi="宋体"/>
                <w:color w:val="auto"/>
                <w:szCs w:val="21"/>
              </w:rPr>
            </w:pPr>
            <w:r>
              <w:rPr>
                <w:rFonts w:hint="eastAsia" w:ascii="宋体" w:hAnsi="宋体"/>
                <w:color w:val="auto"/>
                <w:szCs w:val="21"/>
              </w:rPr>
              <w:t>分</w:t>
            </w:r>
          </w:p>
          <w:p>
            <w:pPr>
              <w:spacing w:line="360" w:lineRule="auto"/>
              <w:ind w:left="109" w:leftChars="52" w:right="126" w:rightChars="60"/>
              <w:jc w:val="center"/>
              <w:textAlignment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5</w:t>
            </w:r>
          </w:p>
          <w:p>
            <w:pPr>
              <w:spacing w:line="360" w:lineRule="auto"/>
              <w:ind w:left="109" w:leftChars="52" w:right="126" w:rightChars="60"/>
              <w:jc w:val="center"/>
              <w:textAlignment w:val="center"/>
              <w:rPr>
                <w:rFonts w:hint="eastAsia" w:ascii="宋体" w:hAnsi="宋体"/>
                <w:color w:val="auto"/>
                <w:szCs w:val="21"/>
              </w:rPr>
            </w:pPr>
            <w:r>
              <w:rPr>
                <w:rFonts w:hint="eastAsia" w:ascii="宋体" w:hAnsi="宋体"/>
                <w:color w:val="auto"/>
                <w:szCs w:val="21"/>
              </w:rPr>
              <w:t>分</w:t>
            </w:r>
          </w:p>
        </w:tc>
        <w:tc>
          <w:tcPr>
            <w:tcW w:w="7317" w:type="dxa"/>
            <w:tcBorders>
              <w:top w:val="single" w:color="auto" w:sz="4" w:space="0"/>
              <w:bottom w:val="single" w:color="auto" w:sz="6" w:space="0"/>
            </w:tcBorders>
            <w:noWrap w:val="0"/>
            <w:vAlign w:val="center"/>
          </w:tcPr>
          <w:p>
            <w:pPr>
              <w:spacing w:line="360" w:lineRule="auto"/>
              <w:rPr>
                <w:rFonts w:hint="eastAsia" w:ascii="宋体" w:hAnsi="宋体" w:cs="宋体"/>
                <w:b/>
                <w:color w:val="auto"/>
                <w:kern w:val="0"/>
                <w:szCs w:val="21"/>
              </w:rPr>
            </w:pPr>
            <w:r>
              <w:rPr>
                <w:rFonts w:hint="eastAsia" w:ascii="宋体" w:hAnsi="宋体" w:cs="宋体"/>
                <w:b/>
                <w:color w:val="auto"/>
                <w:kern w:val="0"/>
                <w:szCs w:val="21"/>
              </w:rPr>
              <w:t>普通检验项目的报价部分。</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参与评审的服务比列=投标的服务比列-小微企业价格扣除优惠值6%</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评标基准价=满足招标文件要求且最低的参与评审的服务比列为评标基准价，其价格分为满分。</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其他投标人的价格分统一按照下列公式计算：</w:t>
            </w:r>
          </w:p>
          <w:p>
            <w:pPr>
              <w:spacing w:line="360" w:lineRule="auto"/>
              <w:rPr>
                <w:rFonts w:hint="eastAsia" w:ascii="宋体" w:hAnsi="宋体" w:eastAsia="宋体"/>
                <w:color w:val="auto"/>
                <w:szCs w:val="21"/>
                <w:lang w:eastAsia="zh-CN"/>
              </w:rPr>
            </w:pPr>
            <w:r>
              <w:rPr>
                <w:rFonts w:hint="eastAsia" w:ascii="宋体" w:hAnsi="宋体" w:cs="宋体"/>
                <w:color w:val="auto"/>
                <w:kern w:val="0"/>
                <w:szCs w:val="21"/>
              </w:rPr>
              <w:t>投标报价得分=(评标基准价/参与评审的服务比列)×</w:t>
            </w:r>
            <w:r>
              <w:rPr>
                <w:rFonts w:hint="eastAsia" w:ascii="宋体" w:hAnsi="宋体" w:cs="宋体"/>
                <w:color w:val="auto"/>
                <w:kern w:val="0"/>
                <w:szCs w:val="21"/>
                <w:lang w:val="en-US" w:eastAsia="zh-CN"/>
              </w:rPr>
              <w:t>7</w:t>
            </w:r>
          </w:p>
        </w:tc>
        <w:tc>
          <w:tcPr>
            <w:tcW w:w="800" w:type="dxa"/>
            <w:tcBorders>
              <w:top w:val="single" w:color="auto" w:sz="4" w:space="0"/>
              <w:bottom w:val="single" w:color="auto" w:sz="6" w:space="0"/>
            </w:tcBorders>
            <w:noWrap w:val="0"/>
            <w:vAlign w:val="center"/>
          </w:tcPr>
          <w:p>
            <w:pPr>
              <w:spacing w:line="360" w:lineRule="auto"/>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70" w:type="dxa"/>
            <w:vMerge w:val="continue"/>
            <w:noWrap w:val="0"/>
            <w:vAlign w:val="center"/>
          </w:tcPr>
          <w:p>
            <w:pPr>
              <w:widowControl/>
              <w:spacing w:line="360" w:lineRule="auto"/>
              <w:ind w:left="109" w:leftChars="52" w:right="126" w:rightChars="60"/>
              <w:jc w:val="left"/>
              <w:textAlignment w:val="center"/>
              <w:rPr>
                <w:rFonts w:hint="eastAsia" w:ascii="宋体" w:hAnsi="宋体" w:cs="宋体"/>
                <w:color w:val="auto"/>
                <w:kern w:val="0"/>
                <w:szCs w:val="21"/>
              </w:rPr>
            </w:pPr>
          </w:p>
        </w:tc>
        <w:tc>
          <w:tcPr>
            <w:tcW w:w="7317" w:type="dxa"/>
            <w:tcBorders>
              <w:top w:val="single" w:color="auto" w:sz="6" w:space="0"/>
              <w:bottom w:val="single" w:color="auto" w:sz="6" w:space="0"/>
            </w:tcBorders>
            <w:noWrap w:val="0"/>
            <w:vAlign w:val="center"/>
          </w:tcPr>
          <w:p>
            <w:pPr>
              <w:spacing w:line="360" w:lineRule="auto"/>
              <w:rPr>
                <w:rFonts w:hint="eastAsia" w:ascii="宋体" w:hAnsi="宋体" w:cs="宋体"/>
                <w:b/>
                <w:color w:val="auto"/>
                <w:kern w:val="0"/>
                <w:szCs w:val="21"/>
              </w:rPr>
            </w:pPr>
            <w:r>
              <w:rPr>
                <w:rFonts w:hint="eastAsia" w:ascii="宋体" w:hAnsi="宋体" w:cs="宋体"/>
                <w:b/>
                <w:color w:val="auto"/>
                <w:kern w:val="0"/>
                <w:szCs w:val="21"/>
              </w:rPr>
              <w:t>病理</w:t>
            </w:r>
            <w:r>
              <w:rPr>
                <w:rFonts w:hint="eastAsia" w:ascii="宋体" w:hAnsi="宋体" w:cs="宋体"/>
                <w:b/>
                <w:color w:val="auto"/>
                <w:kern w:val="0"/>
                <w:szCs w:val="21"/>
                <w:lang w:eastAsia="zh-CN"/>
              </w:rPr>
              <w:t>检验项目（除</w:t>
            </w:r>
            <w:r>
              <w:rPr>
                <w:rFonts w:hint="eastAsia" w:ascii="宋体" w:hAnsi="宋体" w:cs="宋体"/>
                <w:b/>
                <w:color w:val="auto"/>
                <w:kern w:val="0"/>
                <w:szCs w:val="21"/>
                <w:lang w:val="en-US" w:eastAsia="zh-CN"/>
              </w:rPr>
              <w:t>炼化院区</w:t>
            </w:r>
            <w:r>
              <w:rPr>
                <w:rFonts w:hint="eastAsia" w:ascii="宋体" w:hAnsi="宋体" w:cs="宋体"/>
                <w:b/>
                <w:color w:val="auto"/>
                <w:kern w:val="0"/>
                <w:szCs w:val="21"/>
                <w:lang w:eastAsia="zh-CN"/>
              </w:rPr>
              <w:t>）</w:t>
            </w:r>
            <w:r>
              <w:rPr>
                <w:rFonts w:hint="eastAsia" w:ascii="宋体" w:hAnsi="宋体" w:cs="宋体"/>
                <w:b/>
                <w:color w:val="auto"/>
                <w:kern w:val="0"/>
                <w:szCs w:val="21"/>
              </w:rPr>
              <w:t>的报价部分。</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参与评审的服务比列=投标的服务比列-小微企业价格扣除优惠值6%</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评标基准价=满足招标文件要求且最低的参与评审的服务比列为评标基准价，其价格分为满分。</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其他投标人的价格分统一按照下列公式计算：</w:t>
            </w:r>
          </w:p>
          <w:p>
            <w:pPr>
              <w:spacing w:line="360" w:lineRule="auto"/>
              <w:rPr>
                <w:rFonts w:ascii="宋体" w:hAnsi="宋体" w:cs="宋体"/>
                <w:b/>
                <w:bCs/>
                <w:color w:val="auto"/>
                <w:spacing w:val="4"/>
                <w:kern w:val="0"/>
                <w:szCs w:val="21"/>
              </w:rPr>
            </w:pPr>
            <w:r>
              <w:rPr>
                <w:rFonts w:hint="eastAsia" w:ascii="宋体" w:hAnsi="宋体" w:cs="宋体"/>
                <w:color w:val="auto"/>
                <w:kern w:val="0"/>
                <w:szCs w:val="21"/>
              </w:rPr>
              <w:t>投标报价得分=(评标基准价/参与评审的服务比列)×4</w:t>
            </w:r>
          </w:p>
        </w:tc>
        <w:tc>
          <w:tcPr>
            <w:tcW w:w="800" w:type="dxa"/>
            <w:tcBorders>
              <w:top w:val="single" w:color="auto" w:sz="6" w:space="0"/>
              <w:bottom w:val="single" w:color="auto" w:sz="6" w:space="0"/>
            </w:tcBorders>
            <w:noWrap w:val="0"/>
            <w:vAlign w:val="center"/>
          </w:tcPr>
          <w:p>
            <w:pPr>
              <w:spacing w:line="360" w:lineRule="auto"/>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70" w:type="dxa"/>
            <w:vMerge w:val="continue"/>
            <w:noWrap w:val="0"/>
            <w:vAlign w:val="center"/>
          </w:tcPr>
          <w:p>
            <w:pPr>
              <w:widowControl/>
              <w:spacing w:line="360" w:lineRule="auto"/>
              <w:ind w:left="109" w:leftChars="52" w:right="126" w:rightChars="60"/>
              <w:jc w:val="left"/>
              <w:textAlignment w:val="center"/>
              <w:rPr>
                <w:rFonts w:hint="eastAsia" w:ascii="宋体" w:hAnsi="宋体" w:cs="宋体"/>
                <w:color w:val="auto"/>
                <w:kern w:val="0"/>
                <w:szCs w:val="21"/>
              </w:rPr>
            </w:pPr>
          </w:p>
        </w:tc>
        <w:tc>
          <w:tcPr>
            <w:tcW w:w="7317" w:type="dxa"/>
            <w:tcBorders>
              <w:top w:val="single" w:color="auto" w:sz="6" w:space="0"/>
            </w:tcBorders>
            <w:noWrap w:val="0"/>
            <w:vAlign w:val="center"/>
          </w:tcPr>
          <w:p>
            <w:pPr>
              <w:spacing w:line="360" w:lineRule="auto"/>
              <w:rPr>
                <w:rFonts w:hint="eastAsia" w:ascii="宋体" w:hAnsi="宋体" w:cs="宋体"/>
                <w:b/>
                <w:color w:val="auto"/>
                <w:kern w:val="0"/>
                <w:szCs w:val="21"/>
              </w:rPr>
            </w:pPr>
            <w:r>
              <w:rPr>
                <w:rFonts w:hint="eastAsia" w:ascii="宋体" w:hAnsi="宋体" w:cs="宋体"/>
                <w:b/>
                <w:color w:val="auto"/>
                <w:kern w:val="0"/>
                <w:szCs w:val="21"/>
              </w:rPr>
              <w:t>冰冻（术中快切）</w:t>
            </w:r>
            <w:r>
              <w:rPr>
                <w:rFonts w:hint="eastAsia" w:ascii="宋体" w:hAnsi="宋体" w:cs="宋体"/>
                <w:b/>
                <w:color w:val="auto"/>
                <w:kern w:val="0"/>
                <w:szCs w:val="21"/>
                <w:lang w:eastAsia="zh-CN"/>
              </w:rPr>
              <w:t>检验</w:t>
            </w:r>
            <w:r>
              <w:rPr>
                <w:rFonts w:hint="eastAsia" w:ascii="宋体" w:hAnsi="宋体" w:cs="宋体"/>
                <w:b/>
                <w:color w:val="auto"/>
                <w:kern w:val="0"/>
                <w:szCs w:val="21"/>
              </w:rPr>
              <w:t>项目的报价部分。</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参与评审的服务比列=投标的服务比列-小微企业价格扣除优惠值6%</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评标基准价=满足招标文件要求且最低的参与评审的服务比列为评标基准价，其价格分为满分。</w:t>
            </w:r>
          </w:p>
          <w:p>
            <w:pPr>
              <w:widowControl/>
              <w:spacing w:line="360" w:lineRule="auto"/>
              <w:ind w:right="126" w:rightChars="60"/>
              <w:jc w:val="left"/>
              <w:textAlignment w:val="center"/>
              <w:rPr>
                <w:rFonts w:ascii="宋体" w:hAnsi="宋体" w:cs="宋体"/>
                <w:color w:val="auto"/>
                <w:kern w:val="0"/>
                <w:szCs w:val="21"/>
              </w:rPr>
            </w:pPr>
            <w:r>
              <w:rPr>
                <w:rFonts w:hint="eastAsia" w:ascii="宋体" w:hAnsi="宋体" w:cs="宋体"/>
                <w:color w:val="auto"/>
                <w:kern w:val="0"/>
                <w:szCs w:val="21"/>
              </w:rPr>
              <w:t>其他投标人的价格分统一按照下列公式计算：</w:t>
            </w:r>
          </w:p>
          <w:p>
            <w:pPr>
              <w:spacing w:line="360" w:lineRule="auto"/>
              <w:rPr>
                <w:rFonts w:hint="eastAsia" w:ascii="宋体" w:hAnsi="宋体" w:cs="宋体"/>
                <w:color w:val="auto"/>
                <w:kern w:val="0"/>
                <w:szCs w:val="21"/>
              </w:rPr>
            </w:pPr>
            <w:r>
              <w:rPr>
                <w:rFonts w:hint="eastAsia" w:ascii="宋体" w:hAnsi="宋体" w:cs="宋体"/>
                <w:color w:val="auto"/>
                <w:kern w:val="0"/>
                <w:szCs w:val="21"/>
              </w:rPr>
              <w:t>投标报价得分=(评标基准价/参与评审的服务比列)×4</w:t>
            </w:r>
          </w:p>
        </w:tc>
        <w:tc>
          <w:tcPr>
            <w:tcW w:w="800" w:type="dxa"/>
            <w:tcBorders>
              <w:top w:val="single" w:color="auto" w:sz="6" w:space="0"/>
            </w:tcBorders>
            <w:noWrap w:val="0"/>
            <w:vAlign w:val="center"/>
          </w:tcPr>
          <w:p>
            <w:pPr>
              <w:spacing w:line="360" w:lineRule="auto"/>
              <w:rPr>
                <w:rFonts w:hint="eastAsia" w:ascii="宋体" w:hAnsi="宋体" w:cs="宋体"/>
                <w:color w:val="auto"/>
                <w:kern w:val="0"/>
                <w:szCs w:val="21"/>
              </w:rPr>
            </w:pPr>
          </w:p>
        </w:tc>
      </w:tr>
    </w:tbl>
    <w:p>
      <w:pPr>
        <w:rPr>
          <w:rFonts w:hint="eastAsia"/>
          <w:color w:val="auto"/>
        </w:rPr>
      </w:pPr>
    </w:p>
    <w:p>
      <w:pPr>
        <w:ind w:right="-1226" w:rightChars="-584"/>
        <w:jc w:val="center"/>
        <w:rPr>
          <w:rFonts w:ascii="宋体" w:hAnsi="宋体"/>
          <w:color w:val="auto"/>
          <w:sz w:val="28"/>
          <w:szCs w:val="28"/>
        </w:rPr>
        <w:sectPr>
          <w:headerReference r:id="rId6" w:type="default"/>
          <w:footerReference r:id="rId7" w:type="default"/>
          <w:type w:val="nextColumn"/>
          <w:pgSz w:w="11907" w:h="16840"/>
          <w:pgMar w:top="854" w:right="1275" w:bottom="1135" w:left="1276" w:header="285" w:footer="616" w:gutter="0"/>
          <w:cols w:space="720" w:num="1"/>
          <w:docGrid w:linePitch="285" w:charSpace="0"/>
        </w:sectPr>
      </w:pPr>
    </w:p>
    <w:p>
      <w:pPr>
        <w:spacing w:line="400" w:lineRule="exact"/>
        <w:jc w:val="center"/>
        <w:outlineLvl w:val="0"/>
        <w:rPr>
          <w:rFonts w:ascii="宋体" w:hAnsi="宋体"/>
          <w:b/>
          <w:color w:val="auto"/>
          <w:sz w:val="32"/>
        </w:rPr>
      </w:pPr>
      <w:bookmarkStart w:id="15" w:name="_Toc44162153"/>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采购合同样本</w:t>
      </w:r>
      <w:bookmarkEnd w:id="15"/>
    </w:p>
    <w:p>
      <w:pPr>
        <w:pStyle w:val="22"/>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pPr>
        <w:pStyle w:val="5"/>
        <w:spacing w:before="120" w:after="120"/>
        <w:jc w:val="left"/>
        <w:rPr>
          <w:rFonts w:ascii="宋体" w:hAnsi="宋体" w:cs="宋体"/>
          <w:color w:val="auto"/>
        </w:rPr>
      </w:pPr>
      <w:bookmarkStart w:id="16" w:name="_Toc500864625"/>
      <w:bookmarkStart w:id="17" w:name="_Toc303892557"/>
      <w:bookmarkStart w:id="18" w:name="_Toc389558214"/>
      <w:bookmarkStart w:id="19" w:name="_Toc370282752"/>
      <w:bookmarkStart w:id="20" w:name="_Toc252142836"/>
      <w:r>
        <w:rPr>
          <w:rFonts w:hint="eastAsia" w:ascii="宋体" w:hAnsi="宋体" w:cs="宋体"/>
          <w:color w:val="auto"/>
        </w:rPr>
        <w:t>合同格式</w:t>
      </w:r>
      <w:bookmarkEnd w:id="16"/>
      <w:bookmarkEnd w:id="17"/>
      <w:bookmarkEnd w:id="18"/>
      <w:bookmarkEnd w:id="19"/>
    </w:p>
    <w:bookmarkEnd w:id="20"/>
    <w:p>
      <w:pPr>
        <w:pStyle w:val="22"/>
        <w:tabs>
          <w:tab w:val="left" w:pos="3640"/>
        </w:tabs>
        <w:snapToGrid w:val="0"/>
        <w:spacing w:line="360" w:lineRule="auto"/>
        <w:ind w:left="4469" w:hanging="4469"/>
        <w:rPr>
          <w:color w:val="auto"/>
          <w:sz w:val="21"/>
          <w:szCs w:val="21"/>
        </w:rPr>
      </w:pPr>
      <w:r>
        <w:rPr>
          <w:rFonts w:hint="eastAsia"/>
          <w:color w:val="auto"/>
          <w:sz w:val="21"/>
          <w:szCs w:val="21"/>
        </w:rPr>
        <w:t>项目编号：</w:t>
      </w:r>
    </w:p>
    <w:p>
      <w:pPr>
        <w:pStyle w:val="22"/>
        <w:tabs>
          <w:tab w:val="left" w:pos="3640"/>
        </w:tabs>
        <w:snapToGrid w:val="0"/>
        <w:spacing w:line="360" w:lineRule="auto"/>
        <w:ind w:left="4469" w:hanging="4469"/>
        <w:rPr>
          <w:color w:val="auto"/>
          <w:sz w:val="21"/>
          <w:szCs w:val="21"/>
        </w:rPr>
      </w:pPr>
      <w:r>
        <w:rPr>
          <w:rFonts w:hint="eastAsia"/>
          <w:color w:val="auto"/>
          <w:sz w:val="21"/>
          <w:szCs w:val="21"/>
        </w:rPr>
        <w:t>项目名称：</w:t>
      </w:r>
    </w:p>
    <w:p>
      <w:pPr>
        <w:pStyle w:val="22"/>
        <w:snapToGrid w:val="0"/>
        <w:spacing w:line="360" w:lineRule="auto"/>
        <w:rPr>
          <w:color w:val="auto"/>
          <w:sz w:val="21"/>
          <w:szCs w:val="21"/>
        </w:rPr>
      </w:pPr>
      <w:r>
        <w:rPr>
          <w:rFonts w:hint="eastAsia"/>
          <w:color w:val="auto"/>
          <w:sz w:val="21"/>
          <w:szCs w:val="21"/>
        </w:rPr>
        <w:t>甲方（买方）：</w:t>
      </w:r>
    </w:p>
    <w:p>
      <w:pPr>
        <w:pStyle w:val="22"/>
        <w:snapToGrid w:val="0"/>
        <w:spacing w:line="360" w:lineRule="auto"/>
        <w:rPr>
          <w:color w:val="auto"/>
          <w:sz w:val="21"/>
          <w:szCs w:val="21"/>
        </w:rPr>
      </w:pPr>
      <w:r>
        <w:rPr>
          <w:rFonts w:hint="eastAsia"/>
          <w:color w:val="auto"/>
          <w:sz w:val="21"/>
          <w:szCs w:val="21"/>
        </w:rPr>
        <w:t>乙方（卖方）：</w:t>
      </w:r>
    </w:p>
    <w:p>
      <w:pPr>
        <w:pStyle w:val="22"/>
        <w:snapToGrid w:val="0"/>
        <w:spacing w:line="360" w:lineRule="auto"/>
        <w:ind w:firstLine="401" w:firstLineChars="191"/>
        <w:rPr>
          <w:color w:val="auto"/>
          <w:sz w:val="21"/>
          <w:szCs w:val="21"/>
        </w:rPr>
      </w:pPr>
      <w:r>
        <w:rPr>
          <w:rFonts w:hint="eastAsia"/>
          <w:color w:val="auto"/>
          <w:sz w:val="21"/>
          <w:szCs w:val="21"/>
        </w:rPr>
        <w:t>甲、乙双方根据项目公开采购的结果，签署本合同。</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货物内容</w:t>
      </w:r>
    </w:p>
    <w:p>
      <w:pPr>
        <w:pStyle w:val="22"/>
        <w:widowControl w:val="0"/>
        <w:numPr>
          <w:ilvl w:val="1"/>
          <w:numId w:val="5"/>
        </w:numPr>
        <w:tabs>
          <w:tab w:val="left" w:pos="851"/>
        </w:tabs>
        <w:snapToGrid w:val="0"/>
        <w:spacing w:before="0" w:beforeAutospacing="0" w:after="0" w:afterAutospacing="0" w:line="360" w:lineRule="auto"/>
        <w:ind w:left="851"/>
        <w:jc w:val="both"/>
        <w:rPr>
          <w:color w:val="auto"/>
          <w:sz w:val="21"/>
          <w:szCs w:val="21"/>
        </w:rPr>
      </w:pPr>
      <w:r>
        <w:rPr>
          <w:rFonts w:hint="eastAsia"/>
          <w:color w:val="auto"/>
          <w:sz w:val="21"/>
          <w:szCs w:val="21"/>
        </w:rPr>
        <w:t>货物名称：</w:t>
      </w:r>
    </w:p>
    <w:p>
      <w:pPr>
        <w:pStyle w:val="22"/>
        <w:widowControl w:val="0"/>
        <w:numPr>
          <w:ilvl w:val="1"/>
          <w:numId w:val="5"/>
        </w:numPr>
        <w:tabs>
          <w:tab w:val="left" w:pos="851"/>
        </w:tabs>
        <w:snapToGrid w:val="0"/>
        <w:spacing w:before="0" w:beforeAutospacing="0" w:after="0" w:afterAutospacing="0" w:line="360" w:lineRule="auto"/>
        <w:ind w:left="851"/>
        <w:jc w:val="both"/>
        <w:rPr>
          <w:color w:val="auto"/>
          <w:sz w:val="21"/>
          <w:szCs w:val="21"/>
        </w:rPr>
      </w:pPr>
      <w:r>
        <w:rPr>
          <w:rFonts w:hint="eastAsia"/>
          <w:color w:val="auto"/>
          <w:sz w:val="21"/>
          <w:szCs w:val="21"/>
        </w:rPr>
        <w:t>型号规格：</w:t>
      </w:r>
    </w:p>
    <w:p>
      <w:pPr>
        <w:pStyle w:val="22"/>
        <w:widowControl w:val="0"/>
        <w:numPr>
          <w:ilvl w:val="1"/>
          <w:numId w:val="5"/>
        </w:numPr>
        <w:tabs>
          <w:tab w:val="left" w:pos="851"/>
        </w:tabs>
        <w:snapToGrid w:val="0"/>
        <w:spacing w:before="0" w:beforeAutospacing="0" w:after="0" w:afterAutospacing="0" w:line="360" w:lineRule="auto"/>
        <w:ind w:left="851"/>
        <w:jc w:val="both"/>
        <w:rPr>
          <w:color w:val="auto"/>
          <w:sz w:val="21"/>
          <w:szCs w:val="21"/>
        </w:rPr>
      </w:pPr>
      <w:r>
        <w:rPr>
          <w:rFonts w:hint="eastAsia"/>
          <w:color w:val="auto"/>
          <w:sz w:val="21"/>
          <w:szCs w:val="21"/>
        </w:rPr>
        <w:t>技术参数：</w:t>
      </w:r>
    </w:p>
    <w:p>
      <w:pPr>
        <w:pStyle w:val="22"/>
        <w:widowControl w:val="0"/>
        <w:numPr>
          <w:ilvl w:val="1"/>
          <w:numId w:val="5"/>
        </w:numPr>
        <w:tabs>
          <w:tab w:val="left" w:pos="851"/>
        </w:tabs>
        <w:snapToGrid w:val="0"/>
        <w:spacing w:before="0" w:beforeAutospacing="0" w:after="0" w:afterAutospacing="0" w:line="360" w:lineRule="auto"/>
        <w:ind w:left="851"/>
        <w:jc w:val="both"/>
        <w:rPr>
          <w:color w:val="auto"/>
          <w:sz w:val="21"/>
          <w:szCs w:val="21"/>
        </w:rPr>
      </w:pPr>
      <w:r>
        <w:rPr>
          <w:rFonts w:hint="eastAsia"/>
          <w:color w:val="auto"/>
          <w:sz w:val="21"/>
          <w:szCs w:val="21"/>
        </w:rPr>
        <w:t>数量（单位）：</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合同金额</w:t>
      </w:r>
    </w:p>
    <w:p>
      <w:pPr>
        <w:pStyle w:val="22"/>
        <w:widowControl w:val="0"/>
        <w:numPr>
          <w:ilvl w:val="1"/>
          <w:numId w:val="6"/>
        </w:numPr>
        <w:tabs>
          <w:tab w:val="left" w:pos="851"/>
        </w:tabs>
        <w:snapToGrid w:val="0"/>
        <w:spacing w:before="0" w:beforeAutospacing="0" w:after="0" w:afterAutospacing="0" w:line="360" w:lineRule="auto"/>
        <w:ind w:left="851" w:hanging="431"/>
        <w:jc w:val="both"/>
        <w:rPr>
          <w:color w:val="auto"/>
          <w:sz w:val="21"/>
          <w:szCs w:val="21"/>
        </w:rPr>
      </w:pPr>
      <w:r>
        <w:rPr>
          <w:rFonts w:hint="eastAsia"/>
          <w:color w:val="auto"/>
          <w:sz w:val="21"/>
          <w:szCs w:val="21"/>
        </w:rPr>
        <w:t>本合同金额为人民币（大写）：_____________________元（￥_______________元）。</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技术资料</w:t>
      </w:r>
    </w:p>
    <w:p>
      <w:pPr>
        <w:pStyle w:val="22"/>
        <w:widowControl w:val="0"/>
        <w:numPr>
          <w:ilvl w:val="1"/>
          <w:numId w:val="7"/>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乙方应按招标文件规定的时间向甲方提供使用货物的有关技术资料。</w:t>
      </w:r>
    </w:p>
    <w:p>
      <w:pPr>
        <w:pStyle w:val="22"/>
        <w:widowControl w:val="0"/>
        <w:numPr>
          <w:ilvl w:val="1"/>
          <w:numId w:val="7"/>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知识产权</w:t>
      </w:r>
    </w:p>
    <w:p>
      <w:pPr>
        <w:pStyle w:val="22"/>
        <w:widowControl w:val="0"/>
        <w:numPr>
          <w:ilvl w:val="1"/>
          <w:numId w:val="8"/>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乙方应保证所提供的货物或其任何一部分均不会侵犯任何第三方的知识产权。</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产权担保</w:t>
      </w:r>
    </w:p>
    <w:p>
      <w:pPr>
        <w:pStyle w:val="22"/>
        <w:widowControl w:val="0"/>
        <w:numPr>
          <w:ilvl w:val="1"/>
          <w:numId w:val="9"/>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乙方保证所交付的货物的所有权完全属于乙方且无任何抵押、查封等产权瑕疵。</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履约保证金</w:t>
      </w:r>
    </w:p>
    <w:p>
      <w:pPr>
        <w:pStyle w:val="22"/>
        <w:widowControl w:val="0"/>
        <w:numPr>
          <w:ilvl w:val="1"/>
          <w:numId w:val="10"/>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履约保证金金额：/</w:t>
      </w:r>
    </w:p>
    <w:p>
      <w:pPr>
        <w:pStyle w:val="22"/>
        <w:widowControl w:val="0"/>
        <w:numPr>
          <w:ilvl w:val="1"/>
          <w:numId w:val="10"/>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履约保证金形式：/</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转包或分包</w:t>
      </w:r>
    </w:p>
    <w:p>
      <w:pPr>
        <w:pStyle w:val="22"/>
        <w:widowControl w:val="0"/>
        <w:numPr>
          <w:ilvl w:val="1"/>
          <w:numId w:val="11"/>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本合同范围的货物，应由供方直接供应，不得转让他人供应。</w:t>
      </w:r>
    </w:p>
    <w:p>
      <w:pPr>
        <w:pStyle w:val="22"/>
        <w:widowControl w:val="0"/>
        <w:numPr>
          <w:ilvl w:val="1"/>
          <w:numId w:val="11"/>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除非得到需方的书面同意，供方不得部分分包给他人供应。</w:t>
      </w:r>
    </w:p>
    <w:p>
      <w:pPr>
        <w:pStyle w:val="22"/>
        <w:widowControl w:val="0"/>
        <w:numPr>
          <w:ilvl w:val="1"/>
          <w:numId w:val="11"/>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如有转让和未经需方同意的分包行为，需方有权给予终止合同。</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质保期</w:t>
      </w:r>
    </w:p>
    <w:p>
      <w:pPr>
        <w:pStyle w:val="22"/>
        <w:widowControl w:val="0"/>
        <w:numPr>
          <w:ilvl w:val="1"/>
          <w:numId w:val="12"/>
        </w:numPr>
        <w:tabs>
          <w:tab w:val="left" w:pos="851"/>
        </w:tabs>
        <w:snapToGrid w:val="0"/>
        <w:spacing w:before="0" w:beforeAutospacing="0" w:after="0" w:afterAutospacing="0" w:line="360" w:lineRule="auto"/>
        <w:jc w:val="both"/>
        <w:rPr>
          <w:color w:val="auto"/>
          <w:sz w:val="21"/>
          <w:szCs w:val="21"/>
        </w:rPr>
      </w:pPr>
      <w:r>
        <w:rPr>
          <w:rFonts w:hint="eastAsia"/>
          <w:color w:val="auto"/>
          <w:sz w:val="21"/>
          <w:szCs w:val="21"/>
        </w:rPr>
        <w:t>质保期年。（自验收合格签字之日起计算）</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交货期、交货方式及交货地点</w:t>
      </w:r>
    </w:p>
    <w:p>
      <w:pPr>
        <w:pStyle w:val="22"/>
        <w:widowControl w:val="0"/>
        <w:numPr>
          <w:ilvl w:val="1"/>
          <w:numId w:val="13"/>
        </w:numPr>
        <w:tabs>
          <w:tab w:val="left" w:pos="851"/>
        </w:tabs>
        <w:snapToGrid w:val="0"/>
        <w:spacing w:before="0" w:beforeAutospacing="0" w:after="0" w:afterAutospacing="0" w:line="360" w:lineRule="auto"/>
        <w:ind w:left="851" w:hanging="425"/>
        <w:jc w:val="both"/>
        <w:rPr>
          <w:bCs/>
          <w:color w:val="auto"/>
          <w:sz w:val="21"/>
          <w:szCs w:val="21"/>
        </w:rPr>
      </w:pPr>
      <w:r>
        <w:rPr>
          <w:rFonts w:hint="eastAsia"/>
          <w:color w:val="auto"/>
          <w:sz w:val="21"/>
          <w:szCs w:val="21"/>
        </w:rPr>
        <w:t>交货期</w:t>
      </w:r>
      <w:r>
        <w:rPr>
          <w:rFonts w:hint="eastAsia"/>
          <w:bCs/>
          <w:color w:val="auto"/>
          <w:sz w:val="21"/>
          <w:szCs w:val="21"/>
        </w:rPr>
        <w:t>：</w:t>
      </w:r>
    </w:p>
    <w:p>
      <w:pPr>
        <w:pStyle w:val="22"/>
        <w:widowControl w:val="0"/>
        <w:numPr>
          <w:ilvl w:val="1"/>
          <w:numId w:val="13"/>
        </w:numPr>
        <w:tabs>
          <w:tab w:val="left" w:pos="851"/>
        </w:tabs>
        <w:snapToGrid w:val="0"/>
        <w:spacing w:before="0" w:beforeAutospacing="0" w:after="0" w:afterAutospacing="0" w:line="360" w:lineRule="auto"/>
        <w:ind w:left="851" w:hanging="425"/>
        <w:jc w:val="both"/>
        <w:rPr>
          <w:bCs/>
          <w:color w:val="auto"/>
          <w:sz w:val="21"/>
          <w:szCs w:val="21"/>
        </w:rPr>
      </w:pPr>
      <w:r>
        <w:rPr>
          <w:rFonts w:hint="eastAsia"/>
          <w:bCs/>
          <w:color w:val="auto"/>
          <w:sz w:val="21"/>
          <w:szCs w:val="21"/>
        </w:rPr>
        <w:t>交货方式：</w:t>
      </w:r>
    </w:p>
    <w:p>
      <w:pPr>
        <w:pStyle w:val="22"/>
        <w:widowControl w:val="0"/>
        <w:numPr>
          <w:ilvl w:val="1"/>
          <w:numId w:val="13"/>
        </w:numPr>
        <w:tabs>
          <w:tab w:val="left" w:pos="851"/>
        </w:tabs>
        <w:snapToGrid w:val="0"/>
        <w:spacing w:before="0" w:beforeAutospacing="0" w:after="0" w:afterAutospacing="0" w:line="360" w:lineRule="auto"/>
        <w:ind w:left="851" w:hanging="425"/>
        <w:jc w:val="both"/>
        <w:rPr>
          <w:bCs/>
          <w:color w:val="auto"/>
          <w:sz w:val="21"/>
          <w:szCs w:val="21"/>
        </w:rPr>
      </w:pPr>
      <w:r>
        <w:rPr>
          <w:rFonts w:hint="eastAsia"/>
          <w:bCs/>
          <w:color w:val="auto"/>
          <w:sz w:val="21"/>
          <w:szCs w:val="21"/>
        </w:rPr>
        <w:t>交货地点：</w:t>
      </w:r>
    </w:p>
    <w:p>
      <w:pPr>
        <w:pStyle w:val="22"/>
        <w:widowControl w:val="0"/>
        <w:numPr>
          <w:ilvl w:val="0"/>
          <w:numId w:val="4"/>
        </w:numPr>
        <w:tabs>
          <w:tab w:val="left" w:pos="434"/>
          <w:tab w:val="left" w:pos="462"/>
        </w:tabs>
        <w:snapToGrid w:val="0"/>
        <w:spacing w:before="0" w:beforeAutospacing="0" w:after="0" w:afterAutospacing="0" w:line="360" w:lineRule="auto"/>
        <w:jc w:val="both"/>
        <w:rPr>
          <w:color w:val="auto"/>
          <w:sz w:val="21"/>
          <w:szCs w:val="21"/>
        </w:rPr>
      </w:pPr>
      <w:r>
        <w:rPr>
          <w:rFonts w:hint="eastAsia"/>
          <w:color w:val="auto"/>
          <w:sz w:val="21"/>
          <w:szCs w:val="21"/>
        </w:rPr>
        <w:t>货款支付</w:t>
      </w:r>
    </w:p>
    <w:p>
      <w:pPr>
        <w:pStyle w:val="22"/>
        <w:widowControl w:val="0"/>
        <w:numPr>
          <w:ilvl w:val="1"/>
          <w:numId w:val="14"/>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 xml:space="preserve">付款方式：详见投标资料表 </w:t>
      </w:r>
    </w:p>
    <w:p>
      <w:pPr>
        <w:pStyle w:val="22"/>
        <w:widowControl w:val="0"/>
        <w:numPr>
          <w:ilvl w:val="1"/>
          <w:numId w:val="14"/>
        </w:numPr>
        <w:tabs>
          <w:tab w:val="left" w:pos="851"/>
        </w:tabs>
        <w:snapToGrid w:val="0"/>
        <w:spacing w:before="0" w:beforeAutospacing="0" w:after="0" w:afterAutospacing="0" w:line="360" w:lineRule="auto"/>
        <w:ind w:left="851" w:hanging="425"/>
        <w:jc w:val="both"/>
        <w:rPr>
          <w:bCs/>
          <w:color w:val="auto"/>
          <w:sz w:val="21"/>
          <w:szCs w:val="21"/>
        </w:rPr>
      </w:pPr>
      <w:r>
        <w:rPr>
          <w:rFonts w:hint="eastAsia"/>
          <w:color w:val="auto"/>
          <w:sz w:val="21"/>
          <w:szCs w:val="21"/>
        </w:rPr>
        <w:t>当</w:t>
      </w:r>
      <w:r>
        <w:rPr>
          <w:rFonts w:hint="eastAsia"/>
          <w:bCs/>
          <w:color w:val="auto"/>
          <w:sz w:val="21"/>
          <w:szCs w:val="21"/>
        </w:rPr>
        <w:t>采购</w:t>
      </w:r>
      <w:r>
        <w:rPr>
          <w:rFonts w:hint="eastAsia"/>
          <w:color w:val="auto"/>
          <w:sz w:val="21"/>
          <w:szCs w:val="21"/>
        </w:rPr>
        <w:t>数量与实际使用数量不一致时，供应商应根据实际使用量供货，合同的最终结算金额按实际使用量乘以成交单价进行计算。</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税</w:t>
      </w:r>
    </w:p>
    <w:p>
      <w:pPr>
        <w:pStyle w:val="22"/>
        <w:widowControl w:val="0"/>
        <w:numPr>
          <w:ilvl w:val="1"/>
          <w:numId w:val="15"/>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本合同执行中相关的一切税费均由供方负担。</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质量保证及售后服务</w:t>
      </w:r>
    </w:p>
    <w:p>
      <w:pPr>
        <w:pStyle w:val="22"/>
        <w:widowControl w:val="0"/>
        <w:numPr>
          <w:ilvl w:val="1"/>
          <w:numId w:val="16"/>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乙方应按招标文件规定的货物性能、技术要求、质量标准向甲方提供未经使用的全新产品。</w:t>
      </w:r>
    </w:p>
    <w:p>
      <w:pPr>
        <w:pStyle w:val="22"/>
        <w:widowControl w:val="0"/>
        <w:numPr>
          <w:ilvl w:val="1"/>
          <w:numId w:val="16"/>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乙方提供的货物在质量期内因货物本身的质量问题发生故障，乙方应负责免费更换。对达不到技术要求者，根据实际情况，经双方协商，可按以下办法处理：</w:t>
      </w:r>
    </w:p>
    <w:p>
      <w:pPr>
        <w:pStyle w:val="22"/>
        <w:widowControl w:val="0"/>
        <w:numPr>
          <w:ilvl w:val="0"/>
          <w:numId w:val="17"/>
        </w:numPr>
        <w:snapToGrid w:val="0"/>
        <w:spacing w:before="0" w:beforeAutospacing="0" w:after="0" w:afterAutospacing="0" w:line="360" w:lineRule="auto"/>
        <w:jc w:val="both"/>
        <w:rPr>
          <w:color w:val="auto"/>
          <w:sz w:val="21"/>
          <w:szCs w:val="21"/>
        </w:rPr>
      </w:pPr>
      <w:r>
        <w:rPr>
          <w:rFonts w:hint="eastAsia"/>
          <w:color w:val="auto"/>
          <w:sz w:val="21"/>
          <w:szCs w:val="21"/>
        </w:rPr>
        <w:t>更换：由乙方承担所发生的全部费用。</w:t>
      </w:r>
    </w:p>
    <w:p>
      <w:pPr>
        <w:pStyle w:val="22"/>
        <w:widowControl w:val="0"/>
        <w:numPr>
          <w:ilvl w:val="0"/>
          <w:numId w:val="17"/>
        </w:numPr>
        <w:snapToGrid w:val="0"/>
        <w:spacing w:before="0" w:beforeAutospacing="0" w:after="0" w:afterAutospacing="0" w:line="360" w:lineRule="auto"/>
        <w:jc w:val="both"/>
        <w:rPr>
          <w:color w:val="auto"/>
          <w:sz w:val="21"/>
          <w:szCs w:val="21"/>
        </w:rPr>
      </w:pPr>
      <w:r>
        <w:rPr>
          <w:rFonts w:hint="eastAsia"/>
          <w:color w:val="auto"/>
          <w:sz w:val="21"/>
          <w:szCs w:val="21"/>
        </w:rPr>
        <w:t>贬值处理：由甲乙双方合议定价。</w:t>
      </w:r>
    </w:p>
    <w:p>
      <w:pPr>
        <w:pStyle w:val="22"/>
        <w:widowControl w:val="0"/>
        <w:numPr>
          <w:ilvl w:val="0"/>
          <w:numId w:val="17"/>
        </w:numPr>
        <w:snapToGrid w:val="0"/>
        <w:spacing w:before="0" w:beforeAutospacing="0" w:after="0" w:afterAutospacing="0" w:line="360" w:lineRule="auto"/>
        <w:jc w:val="both"/>
        <w:rPr>
          <w:color w:val="auto"/>
          <w:sz w:val="21"/>
          <w:szCs w:val="21"/>
        </w:rPr>
      </w:pPr>
      <w:r>
        <w:rPr>
          <w:rFonts w:hint="eastAsia"/>
          <w:color w:val="auto"/>
          <w:sz w:val="21"/>
          <w:szCs w:val="21"/>
        </w:rPr>
        <w:t>退货处理：乙方应退还甲方支付的合同款，同时应承担该货物的直接费用（运输、保险、检验、货款利息及银行手续费等）。</w:t>
      </w:r>
    </w:p>
    <w:p>
      <w:pPr>
        <w:pStyle w:val="22"/>
        <w:widowControl w:val="0"/>
        <w:numPr>
          <w:ilvl w:val="1"/>
          <w:numId w:val="16"/>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如在使用过程中发生质量问题，乙方在接到甲方通知后在小时内到达甲方现场。</w:t>
      </w:r>
    </w:p>
    <w:p>
      <w:pPr>
        <w:pStyle w:val="22"/>
        <w:widowControl w:val="0"/>
        <w:numPr>
          <w:ilvl w:val="1"/>
          <w:numId w:val="16"/>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在质保期内，乙方应对货物出现的质量及安全问题负责处理解决并承担一切费用。</w:t>
      </w:r>
    </w:p>
    <w:p>
      <w:pPr>
        <w:pStyle w:val="22"/>
        <w:widowControl w:val="0"/>
        <w:numPr>
          <w:ilvl w:val="1"/>
          <w:numId w:val="16"/>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上述的货物免费保修期为年，因人为因素出现的故障不在免费保修范围内。超过保修期的机器设备，终生维修，维修时只收部件成本费。</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调试和验收</w:t>
      </w:r>
    </w:p>
    <w:p>
      <w:pPr>
        <w:pStyle w:val="22"/>
        <w:widowControl w:val="0"/>
        <w:numPr>
          <w:ilvl w:val="1"/>
          <w:numId w:val="18"/>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甲方对乙方提交的货物依据招标文件上的技术规格要求和国家有关质量标准进行现场初步验收，外观、说明书符合招标文件技术要求的，给予签收，初步验收不合格的不予签收。全部安装完成、验收资料齐全后，甲方需在五个工作日内验收。</w:t>
      </w:r>
    </w:p>
    <w:p>
      <w:pPr>
        <w:pStyle w:val="22"/>
        <w:widowControl w:val="0"/>
        <w:numPr>
          <w:ilvl w:val="1"/>
          <w:numId w:val="18"/>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乙方交货前应对产品作出全面检查和对验收文件进行整理，并列出清单，作为甲方收货验收和使用的技术条件依据，检验的结果应随货物交甲方。</w:t>
      </w:r>
    </w:p>
    <w:p>
      <w:pPr>
        <w:pStyle w:val="22"/>
        <w:widowControl w:val="0"/>
        <w:numPr>
          <w:ilvl w:val="1"/>
          <w:numId w:val="18"/>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甲方对乙方提供的货物在使用前进行调试时，乙方需负责安装并培训甲方的使用操作人员，并协助甲方一起调试，直到符合技术要求，甲方才做最终验收。</w:t>
      </w:r>
    </w:p>
    <w:p>
      <w:pPr>
        <w:pStyle w:val="22"/>
        <w:widowControl w:val="0"/>
        <w:numPr>
          <w:ilvl w:val="1"/>
          <w:numId w:val="18"/>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对技术复杂的货物，甲方应请国家认可的专业检测机构参与初步验收及最终验收，并由其出具质量检测报告。</w:t>
      </w:r>
    </w:p>
    <w:p>
      <w:pPr>
        <w:pStyle w:val="22"/>
        <w:widowControl w:val="0"/>
        <w:numPr>
          <w:ilvl w:val="1"/>
          <w:numId w:val="18"/>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验收时乙方必须在现场，验收完毕后作出验收结果报告；验收费用由乙方负责。</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货物包装、发运及运输</w:t>
      </w:r>
    </w:p>
    <w:p>
      <w:pPr>
        <w:pStyle w:val="22"/>
        <w:widowControl w:val="0"/>
        <w:numPr>
          <w:ilvl w:val="1"/>
          <w:numId w:val="19"/>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乙方应在货物发运前对其进行满足运输距离、防潮、防震、防锈和防破损装卸等要求包装，以保证货物安全运达甲方指定地点。</w:t>
      </w:r>
    </w:p>
    <w:p>
      <w:pPr>
        <w:pStyle w:val="22"/>
        <w:widowControl w:val="0"/>
        <w:numPr>
          <w:ilvl w:val="1"/>
          <w:numId w:val="19"/>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使用说明书、质量检验证明书、随配附件和工具以及清单一并附于货物内。</w:t>
      </w:r>
    </w:p>
    <w:p>
      <w:pPr>
        <w:pStyle w:val="22"/>
        <w:widowControl w:val="0"/>
        <w:numPr>
          <w:ilvl w:val="1"/>
          <w:numId w:val="19"/>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乙方在货物发运手续办理完毕后24小时内或货到甲方48小时前通知甲方，以准备接货。</w:t>
      </w:r>
    </w:p>
    <w:p>
      <w:pPr>
        <w:pStyle w:val="22"/>
        <w:widowControl w:val="0"/>
        <w:numPr>
          <w:ilvl w:val="1"/>
          <w:numId w:val="19"/>
        </w:numPr>
        <w:tabs>
          <w:tab w:val="left" w:pos="851"/>
        </w:tabs>
        <w:snapToGrid w:val="0"/>
        <w:spacing w:before="0" w:beforeAutospacing="0" w:after="0" w:afterAutospacing="0" w:line="360" w:lineRule="auto"/>
        <w:ind w:left="851" w:hanging="425"/>
        <w:jc w:val="both"/>
        <w:rPr>
          <w:color w:val="auto"/>
          <w:sz w:val="21"/>
          <w:szCs w:val="21"/>
        </w:rPr>
      </w:pPr>
      <w:r>
        <w:rPr>
          <w:rFonts w:hint="eastAsia"/>
          <w:color w:val="auto"/>
          <w:sz w:val="21"/>
          <w:szCs w:val="21"/>
        </w:rPr>
        <w:t>货物在交付甲方前发生的风险均由乙方负责。</w:t>
      </w:r>
    </w:p>
    <w:p>
      <w:pPr>
        <w:pStyle w:val="22"/>
        <w:widowControl w:val="0"/>
        <w:numPr>
          <w:ilvl w:val="1"/>
          <w:numId w:val="19"/>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货物在规定的交付期限内由乙方送达甲方指定的地点视为交付，乙方同时需通知甲方货物已送达。</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违约责任</w:t>
      </w:r>
    </w:p>
    <w:p>
      <w:pPr>
        <w:pStyle w:val="22"/>
        <w:widowControl w:val="0"/>
        <w:numPr>
          <w:ilvl w:val="1"/>
          <w:numId w:val="20"/>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甲方无正当理由拒收货物的，甲方向乙方偿付拒收货款总值的百分之五违约金。</w:t>
      </w:r>
    </w:p>
    <w:p>
      <w:pPr>
        <w:pStyle w:val="22"/>
        <w:widowControl w:val="0"/>
        <w:numPr>
          <w:ilvl w:val="1"/>
          <w:numId w:val="20"/>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甲方无故逾期验收和办理货款支付手续的，甲方应按逾期付款总额每日万分之五向乙方支付违约金。</w:t>
      </w:r>
    </w:p>
    <w:p>
      <w:pPr>
        <w:pStyle w:val="22"/>
        <w:widowControl w:val="0"/>
        <w:numPr>
          <w:ilvl w:val="1"/>
          <w:numId w:val="20"/>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不可抗力事件处理</w:t>
      </w:r>
    </w:p>
    <w:p>
      <w:pPr>
        <w:pStyle w:val="22"/>
        <w:widowControl w:val="0"/>
        <w:numPr>
          <w:ilvl w:val="1"/>
          <w:numId w:val="21"/>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在合同有效期内，任何一方因不可抗力事件导致不能履行合同，则合同履行期可延长，其延长期与不可抗力影响期相同。</w:t>
      </w:r>
    </w:p>
    <w:p>
      <w:pPr>
        <w:pStyle w:val="22"/>
        <w:widowControl w:val="0"/>
        <w:numPr>
          <w:ilvl w:val="1"/>
          <w:numId w:val="21"/>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不可抗力事件发生后，应立即通知对方，并寄送有关权威机构出具的证明。</w:t>
      </w:r>
    </w:p>
    <w:p>
      <w:pPr>
        <w:pStyle w:val="22"/>
        <w:widowControl w:val="0"/>
        <w:numPr>
          <w:ilvl w:val="1"/>
          <w:numId w:val="21"/>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不可抗力事件延续120天以上，双方应通过友好协商，确定是否继续履行合同。</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诉讼</w:t>
      </w:r>
    </w:p>
    <w:p>
      <w:pPr>
        <w:pStyle w:val="22"/>
        <w:widowControl w:val="0"/>
        <w:numPr>
          <w:ilvl w:val="1"/>
          <w:numId w:val="22"/>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双方在执行合同中所发生的一切争议，应通过协商解决。如协商不成，可向合同签订地法院起诉，合同签订地在此约定为。</w:t>
      </w:r>
    </w:p>
    <w:p>
      <w:pPr>
        <w:pStyle w:val="22"/>
        <w:widowControl w:val="0"/>
        <w:numPr>
          <w:ilvl w:val="0"/>
          <w:numId w:val="4"/>
        </w:numPr>
        <w:tabs>
          <w:tab w:val="left" w:pos="709"/>
        </w:tabs>
        <w:snapToGrid w:val="0"/>
        <w:spacing w:before="0" w:beforeAutospacing="0" w:after="0" w:afterAutospacing="0" w:line="360" w:lineRule="auto"/>
        <w:jc w:val="both"/>
        <w:rPr>
          <w:color w:val="auto"/>
          <w:sz w:val="21"/>
          <w:szCs w:val="21"/>
        </w:rPr>
      </w:pPr>
      <w:r>
        <w:rPr>
          <w:rFonts w:hint="eastAsia"/>
          <w:color w:val="auto"/>
          <w:sz w:val="21"/>
          <w:szCs w:val="21"/>
        </w:rPr>
        <w:t>合同生效及其它</w:t>
      </w:r>
    </w:p>
    <w:p>
      <w:pPr>
        <w:pStyle w:val="22"/>
        <w:widowControl w:val="0"/>
        <w:numPr>
          <w:ilvl w:val="1"/>
          <w:numId w:val="23"/>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合同经双方法定代表人或授权委托代理人签字并加盖单位公章后生效。</w:t>
      </w:r>
    </w:p>
    <w:p>
      <w:pPr>
        <w:pStyle w:val="22"/>
        <w:widowControl w:val="0"/>
        <w:numPr>
          <w:ilvl w:val="1"/>
          <w:numId w:val="23"/>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其它约定事项：</w:t>
      </w:r>
    </w:p>
    <w:p>
      <w:pPr>
        <w:pStyle w:val="22"/>
        <w:widowControl w:val="0"/>
        <w:numPr>
          <w:ilvl w:val="1"/>
          <w:numId w:val="23"/>
        </w:numPr>
        <w:tabs>
          <w:tab w:val="left" w:pos="851"/>
        </w:tabs>
        <w:snapToGrid w:val="0"/>
        <w:spacing w:before="0" w:beforeAutospacing="0" w:after="0" w:afterAutospacing="0" w:line="360" w:lineRule="auto"/>
        <w:ind w:left="851" w:right="-370" w:hanging="425"/>
        <w:jc w:val="both"/>
        <w:rPr>
          <w:color w:val="auto"/>
          <w:sz w:val="21"/>
          <w:szCs w:val="21"/>
        </w:rPr>
      </w:pPr>
      <w:r>
        <w:rPr>
          <w:rFonts w:hint="eastAsia"/>
          <w:color w:val="auto"/>
          <w:sz w:val="21"/>
          <w:szCs w:val="21"/>
        </w:rPr>
        <w:t>本合同正本一式份，具有同等法律效力，甲方份，乙方份。</w:t>
      </w:r>
    </w:p>
    <w:p>
      <w:pPr>
        <w:pStyle w:val="22"/>
        <w:tabs>
          <w:tab w:val="left" w:pos="5103"/>
        </w:tabs>
        <w:snapToGrid w:val="0"/>
        <w:spacing w:line="360" w:lineRule="auto"/>
        <w:ind w:left="567"/>
        <w:rPr>
          <w:color w:val="auto"/>
          <w:sz w:val="21"/>
          <w:szCs w:val="21"/>
        </w:rPr>
      </w:pPr>
      <w:r>
        <w:rPr>
          <w:rFonts w:hint="eastAsia"/>
          <w:color w:val="auto"/>
          <w:sz w:val="21"/>
          <w:szCs w:val="21"/>
        </w:rPr>
        <w:t>甲方：</w:t>
      </w:r>
      <w:r>
        <w:rPr>
          <w:rFonts w:hint="eastAsia"/>
          <w:color w:val="auto"/>
          <w:sz w:val="21"/>
          <w:szCs w:val="21"/>
        </w:rPr>
        <w:tab/>
      </w:r>
      <w:r>
        <w:rPr>
          <w:rFonts w:hint="eastAsia"/>
          <w:color w:val="auto"/>
          <w:sz w:val="21"/>
          <w:szCs w:val="21"/>
        </w:rPr>
        <w:t>乙方：</w:t>
      </w:r>
    </w:p>
    <w:p>
      <w:pPr>
        <w:pStyle w:val="22"/>
        <w:tabs>
          <w:tab w:val="left" w:pos="5103"/>
        </w:tabs>
        <w:snapToGrid w:val="0"/>
        <w:spacing w:line="360" w:lineRule="auto"/>
        <w:ind w:left="567"/>
        <w:rPr>
          <w:color w:val="auto"/>
          <w:sz w:val="21"/>
          <w:szCs w:val="21"/>
        </w:rPr>
      </w:pPr>
      <w:r>
        <w:rPr>
          <w:rFonts w:hint="eastAsia"/>
          <w:color w:val="auto"/>
          <w:sz w:val="21"/>
          <w:szCs w:val="21"/>
        </w:rPr>
        <w:t>地址：</w:t>
      </w:r>
      <w:r>
        <w:rPr>
          <w:rFonts w:hint="eastAsia"/>
          <w:color w:val="auto"/>
          <w:sz w:val="21"/>
          <w:szCs w:val="21"/>
        </w:rPr>
        <w:tab/>
      </w:r>
      <w:r>
        <w:rPr>
          <w:rFonts w:hint="eastAsia"/>
          <w:color w:val="auto"/>
          <w:sz w:val="21"/>
          <w:szCs w:val="21"/>
        </w:rPr>
        <w:t>地址：</w:t>
      </w:r>
    </w:p>
    <w:p>
      <w:pPr>
        <w:pStyle w:val="22"/>
        <w:tabs>
          <w:tab w:val="left" w:pos="5103"/>
        </w:tabs>
        <w:snapToGrid w:val="0"/>
        <w:spacing w:line="360" w:lineRule="auto"/>
        <w:ind w:left="567"/>
        <w:rPr>
          <w:color w:val="auto"/>
          <w:sz w:val="21"/>
          <w:szCs w:val="21"/>
        </w:rPr>
      </w:pPr>
      <w:r>
        <w:rPr>
          <w:rFonts w:hint="eastAsia"/>
          <w:color w:val="auto"/>
          <w:sz w:val="21"/>
          <w:szCs w:val="21"/>
        </w:rPr>
        <w:t>法定代表人：</w:t>
      </w:r>
      <w:r>
        <w:rPr>
          <w:rFonts w:hint="eastAsia"/>
          <w:color w:val="auto"/>
          <w:sz w:val="21"/>
          <w:szCs w:val="21"/>
        </w:rPr>
        <w:tab/>
      </w:r>
      <w:r>
        <w:rPr>
          <w:rFonts w:hint="eastAsia"/>
          <w:color w:val="auto"/>
          <w:sz w:val="21"/>
          <w:szCs w:val="21"/>
        </w:rPr>
        <w:t>法定代表人：</w:t>
      </w:r>
    </w:p>
    <w:p>
      <w:pPr>
        <w:pStyle w:val="22"/>
        <w:tabs>
          <w:tab w:val="left" w:pos="5103"/>
        </w:tabs>
        <w:snapToGrid w:val="0"/>
        <w:spacing w:line="360" w:lineRule="auto"/>
        <w:ind w:left="567"/>
        <w:rPr>
          <w:color w:val="auto"/>
          <w:szCs w:val="21"/>
        </w:rPr>
      </w:pPr>
      <w:r>
        <w:rPr>
          <w:rFonts w:hint="eastAsia"/>
          <w:color w:val="auto"/>
          <w:sz w:val="21"/>
          <w:szCs w:val="21"/>
        </w:rPr>
        <w:t>签订地点：</w:t>
      </w:r>
      <w:r>
        <w:rPr>
          <w:rFonts w:hint="eastAsia"/>
          <w:color w:val="auto"/>
          <w:sz w:val="21"/>
          <w:szCs w:val="21"/>
        </w:rPr>
        <w:tab/>
      </w:r>
      <w:r>
        <w:rPr>
          <w:rFonts w:hint="eastAsia"/>
          <w:color w:val="auto"/>
          <w:sz w:val="21"/>
          <w:szCs w:val="21"/>
        </w:rPr>
        <w:t>签订日期：    年  月  日</w:t>
      </w:r>
    </w:p>
    <w:p>
      <w:pPr>
        <w:pStyle w:val="22"/>
        <w:rPr>
          <w:rFonts w:hAnsi="宋体"/>
          <w:b/>
          <w:color w:val="auto"/>
          <w:szCs w:val="21"/>
        </w:rPr>
        <w:sectPr>
          <w:headerReference r:id="rId8" w:type="default"/>
          <w:pgSz w:w="11907" w:h="16840"/>
          <w:pgMar w:top="854" w:right="1275" w:bottom="1138" w:left="1276" w:header="284" w:footer="989" w:gutter="0"/>
          <w:cols w:space="720" w:num="1"/>
          <w:docGrid w:linePitch="285" w:charSpace="0"/>
        </w:sectPr>
      </w:pPr>
    </w:p>
    <w:p>
      <w:pPr>
        <w:spacing w:line="360" w:lineRule="auto"/>
        <w:jc w:val="center"/>
        <w:outlineLvl w:val="0"/>
        <w:rPr>
          <w:rFonts w:hint="eastAsia" w:ascii="宋体" w:hAnsi="宋体"/>
          <w:b/>
          <w:color w:val="auto"/>
          <w:sz w:val="32"/>
        </w:rPr>
      </w:pPr>
      <w:bookmarkStart w:id="21" w:name="_Toc44162154"/>
      <w:bookmarkStart w:id="22"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21"/>
    </w:p>
    <w:p>
      <w:pPr>
        <w:snapToGrid w:val="0"/>
        <w:spacing w:line="360" w:lineRule="exact"/>
        <w:jc w:val="left"/>
        <w:rPr>
          <w:rFonts w:hint="eastAsia" w:ascii="宋体" w:hAnsi="宋体" w:cs="微软雅黑"/>
          <w:b/>
          <w:bCs/>
          <w:color w:val="auto"/>
          <w:szCs w:val="21"/>
        </w:rPr>
      </w:pPr>
      <w:r>
        <w:rPr>
          <w:rFonts w:hint="eastAsia" w:ascii="宋体" w:hAnsi="宋体" w:cs="微软雅黑"/>
          <w:b/>
          <w:bCs/>
          <w:color w:val="auto"/>
          <w:szCs w:val="21"/>
        </w:rPr>
        <w:t>一、采购预算</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257"/>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微软雅黑"/>
                <w:b/>
                <w:bCs/>
                <w:color w:val="auto"/>
                <w:szCs w:val="21"/>
              </w:rPr>
            </w:pPr>
            <w:r>
              <w:rPr>
                <w:rFonts w:ascii="宋体" w:hAnsi="宋体" w:cs="微软雅黑"/>
                <w:b/>
                <w:bCs/>
                <w:color w:val="auto"/>
                <w:szCs w:val="21"/>
              </w:rPr>
              <w:t>序号</w:t>
            </w:r>
          </w:p>
        </w:tc>
        <w:tc>
          <w:tcPr>
            <w:tcW w:w="525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微软雅黑"/>
                <w:b/>
                <w:bCs/>
                <w:color w:val="auto"/>
                <w:szCs w:val="21"/>
              </w:rPr>
            </w:pPr>
            <w:r>
              <w:rPr>
                <w:rFonts w:hint="eastAsia" w:ascii="宋体" w:hAnsi="宋体" w:cs="微软雅黑"/>
                <w:b/>
                <w:bCs/>
                <w:color w:val="auto"/>
                <w:szCs w:val="21"/>
              </w:rPr>
              <w:t>各</w:t>
            </w:r>
            <w:r>
              <w:rPr>
                <w:rFonts w:ascii="宋体" w:hAnsi="宋体" w:cs="微软雅黑"/>
                <w:b/>
                <w:bCs/>
                <w:color w:val="auto"/>
                <w:szCs w:val="21"/>
              </w:rPr>
              <w:t>院</w:t>
            </w:r>
            <w:r>
              <w:rPr>
                <w:rFonts w:hint="eastAsia" w:ascii="宋体" w:hAnsi="宋体" w:cs="微软雅黑"/>
                <w:b/>
                <w:bCs/>
                <w:color w:val="auto"/>
                <w:szCs w:val="21"/>
              </w:rPr>
              <w:t>区</w:t>
            </w:r>
            <w:r>
              <w:rPr>
                <w:rFonts w:ascii="宋体" w:hAnsi="宋体" w:cs="微软雅黑"/>
                <w:b/>
                <w:bCs/>
                <w:color w:val="auto"/>
                <w:szCs w:val="21"/>
              </w:rPr>
              <w:t>名称</w:t>
            </w:r>
          </w:p>
        </w:tc>
        <w:tc>
          <w:tcPr>
            <w:tcW w:w="271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微软雅黑"/>
                <w:b/>
                <w:bCs/>
                <w:color w:val="auto"/>
                <w:szCs w:val="21"/>
              </w:rPr>
            </w:pPr>
            <w:r>
              <w:rPr>
                <w:rFonts w:ascii="宋体" w:hAnsi="宋体" w:cs="微软雅黑"/>
                <w:b/>
                <w:bCs/>
                <w:color w:val="auto"/>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w:t>
            </w:r>
          </w:p>
        </w:tc>
        <w:tc>
          <w:tcPr>
            <w:tcW w:w="525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镇海区人民医院</w:t>
            </w:r>
          </w:p>
        </w:tc>
        <w:tc>
          <w:tcPr>
            <w:tcW w:w="2711"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1200</w:t>
            </w:r>
            <w:r>
              <w:rPr>
                <w:rFonts w:hint="eastAsia" w:ascii="宋体" w:hAnsi="宋体" w:eastAsia="宋体" w:cs="宋体"/>
                <w:color w:val="auto"/>
                <w:kern w:val="0"/>
                <w:sz w:val="21"/>
                <w:szCs w:val="21"/>
                <w:lang w:eastAsia="zh-CN"/>
              </w:rPr>
              <w:t>万元/</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525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镇海区炼化医院</w:t>
            </w:r>
          </w:p>
        </w:tc>
        <w:tc>
          <w:tcPr>
            <w:tcW w:w="2711"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lang w:eastAsia="zh-CN"/>
              </w:rPr>
              <w:t>万元/</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525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lang w:eastAsia="zh-CN"/>
              </w:rPr>
            </w:pPr>
            <w:r>
              <w:rPr>
                <w:rFonts w:ascii="宋体" w:hAnsi="宋体" w:cs="宋体"/>
                <w:color w:val="auto"/>
                <w:kern w:val="0"/>
                <w:sz w:val="21"/>
                <w:szCs w:val="21"/>
              </w:rPr>
              <w:t>镇海区</w:t>
            </w:r>
            <w:r>
              <w:rPr>
                <w:rFonts w:hint="eastAsia" w:ascii="宋体" w:hAnsi="宋体" w:eastAsia="宋体" w:cs="宋体"/>
                <w:color w:val="auto"/>
                <w:kern w:val="0"/>
                <w:sz w:val="21"/>
                <w:szCs w:val="21"/>
                <w:lang w:eastAsia="zh-CN"/>
              </w:rPr>
              <w:t>蟹浦</w:t>
            </w:r>
            <w:r>
              <w:rPr>
                <w:rFonts w:ascii="宋体" w:hAnsi="宋体" w:cs="宋体"/>
                <w:color w:val="auto"/>
                <w:kern w:val="0"/>
                <w:sz w:val="21"/>
                <w:szCs w:val="21"/>
              </w:rPr>
              <w:t>街道社区卫生服务中心</w:t>
            </w:r>
          </w:p>
        </w:tc>
        <w:tc>
          <w:tcPr>
            <w:tcW w:w="2711"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lang w:eastAsia="zh-CN"/>
              </w:rPr>
              <w:t>万元/</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5257"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lang w:eastAsia="zh-CN"/>
              </w:rPr>
            </w:pPr>
            <w:r>
              <w:rPr>
                <w:rFonts w:ascii="宋体" w:hAnsi="宋体" w:cs="宋体"/>
                <w:color w:val="auto"/>
                <w:kern w:val="0"/>
                <w:sz w:val="21"/>
                <w:szCs w:val="21"/>
              </w:rPr>
              <w:t>镇海区</w:t>
            </w:r>
            <w:r>
              <w:rPr>
                <w:rFonts w:hint="eastAsia" w:ascii="宋体" w:hAnsi="宋体" w:eastAsia="宋体" w:cs="宋体"/>
                <w:color w:val="auto"/>
                <w:kern w:val="0"/>
                <w:sz w:val="21"/>
                <w:szCs w:val="21"/>
                <w:lang w:eastAsia="zh-CN"/>
              </w:rPr>
              <w:t>九龙湖</w:t>
            </w:r>
            <w:r>
              <w:rPr>
                <w:rFonts w:ascii="宋体" w:hAnsi="宋体" w:cs="宋体"/>
                <w:color w:val="auto"/>
                <w:kern w:val="0"/>
                <w:sz w:val="21"/>
                <w:szCs w:val="21"/>
              </w:rPr>
              <w:t>街道社区卫生服务中心</w:t>
            </w:r>
          </w:p>
        </w:tc>
        <w:tc>
          <w:tcPr>
            <w:tcW w:w="2711" w:type="dxa"/>
            <w:noWrap w:val="0"/>
            <w:vAlign w:val="center"/>
          </w:tcPr>
          <w:p>
            <w:pPr>
              <w:pStyle w:val="181"/>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lang w:eastAsia="zh-CN"/>
              </w:rPr>
              <w:t>万元/</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年</w:t>
            </w:r>
          </w:p>
        </w:tc>
      </w:tr>
    </w:tbl>
    <w:p>
      <w:pPr>
        <w:rPr>
          <w:rFonts w:hint="eastAsia"/>
          <w:color w:val="auto"/>
        </w:rPr>
      </w:pPr>
    </w:p>
    <w:p>
      <w:pPr>
        <w:snapToGrid w:val="0"/>
        <w:spacing w:line="360" w:lineRule="exact"/>
        <w:jc w:val="left"/>
        <w:rPr>
          <w:rFonts w:hint="eastAsia"/>
          <w:color w:val="auto"/>
        </w:rPr>
      </w:pPr>
      <w:r>
        <w:rPr>
          <w:rFonts w:hint="eastAsia" w:ascii="宋体" w:hAnsi="宋体" w:cs="微软雅黑"/>
          <w:b/>
          <w:bCs/>
          <w:color w:val="auto"/>
          <w:szCs w:val="21"/>
        </w:rPr>
        <w:t>二、招标</w:t>
      </w:r>
      <w:r>
        <w:rPr>
          <w:rFonts w:ascii="宋体" w:hAnsi="宋体" w:cs="微软雅黑"/>
          <w:b/>
          <w:bCs/>
          <w:color w:val="auto"/>
          <w:szCs w:val="21"/>
        </w:rPr>
        <w:t>要求</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7100"/>
        <w:gridCol w:w="12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53" w:type="dxa"/>
            <w:tcBorders>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100" w:type="dxa"/>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招标要求</w:t>
            </w:r>
          </w:p>
        </w:tc>
        <w:tc>
          <w:tcPr>
            <w:tcW w:w="1291" w:type="dxa"/>
            <w:tcBorders>
              <w:left w:val="single" w:color="000000" w:sz="8" w:space="0"/>
              <w:bottom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适用范围：适用于医院所有外送服务</w:t>
            </w:r>
            <w:r>
              <w:rPr>
                <w:rStyle w:val="188"/>
                <w:rFonts w:hint="eastAsia" w:ascii="宋体" w:hAnsi="宋体" w:eastAsia="宋体" w:cs="宋体"/>
                <w:color w:val="auto"/>
                <w:sz w:val="21"/>
                <w:szCs w:val="21"/>
                <w:lang w:val="en-US" w:eastAsia="zh-CN" w:bidi="ar"/>
              </w:rPr>
              <w:t>(详见检测项目清单）</w:t>
            </w:r>
            <w:r>
              <w:rPr>
                <w:rFonts w:hint="eastAsia" w:ascii="宋体" w:hAnsi="宋体" w:eastAsia="宋体" w:cs="宋体"/>
                <w:i w:val="0"/>
                <w:iCs w:val="0"/>
                <w:color w:val="auto"/>
                <w:kern w:val="0"/>
                <w:sz w:val="21"/>
                <w:szCs w:val="21"/>
                <w:u w:val="none"/>
                <w:lang w:val="en-US" w:eastAsia="zh-CN" w:bidi="ar"/>
              </w:rPr>
              <w:t>投标人必须满足清单中的所有检测项目，否则按投标无效处理。</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技术服务要求</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中标方需提供专业的标本冷链物流配送，温度控制在全程2-8℃。</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报告出具时间：请投标人自行按检验项目列出详细的报告出具时间。</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投标人实验室须通过ISO15189实验室资质认证。投标人或其关联公司具备省或省以上重点实验室资质并提供证明，可为医院实验室建设提供咨询服务</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标本接收：每天上门一次；节假日照常接收标本。需提供集团下属医院标本至总院检验科配送服务,每天至少一次。根据集团业务发展需要，可按需提高配送服务频次，如集团检验中心成立，生化等标本需送总院时，需提供集团下属医院标本至总院检验科配送服务每天至少二次。</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派遣副高及以上驻点病理医生一名,驻点技术员一名,提供术中冰冻切片诊断服务</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结束后，中标方负责在合同规定的时间内向检检科提供检验报告单（样本有特殊情况无法按时出报告需要提前通知检验科）。中标方实验室对检验报告单的准确性和及时性负责。报告单的抬头为采购方名称（由采购方指定），但是检验者、审核者以及方法学为中标方。</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中标方需对检验后的标本进行妥善保存，以便检验结果有疑义时进行再次检验，保存标本的时间不应少于相关标准或条例所规定的时间。</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71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当院方对中标方实验室的检验结果有疑义或异议时，院方可要求中标方实验室重新检验或再委托第三方检验。这种情况下所发生的费用，由责任方承担。</w:t>
            </w:r>
          </w:p>
        </w:tc>
        <w:tc>
          <w:tcPr>
            <w:tcW w:w="1291" w:type="dxa"/>
            <w:tcBorders>
              <w:top w:val="single" w:color="000000" w:sz="8" w:space="0"/>
              <w:left w:val="single" w:color="000000" w:sz="8" w:space="0"/>
              <w:bottom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71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中标方应有对患者电子病历、送检标本及检测结果等相关资料保密的措施。</w:t>
            </w:r>
          </w:p>
        </w:tc>
        <w:tc>
          <w:tcPr>
            <w:tcW w:w="1291" w:type="dxa"/>
            <w:tcBorders>
              <w:top w:val="single" w:color="000000" w:sz="8" w:space="0"/>
              <w:left w:val="single" w:color="000000" w:sz="8" w:space="0"/>
              <w:bottom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在医院检验科及病理科需要时，协助医院检验科及病理科做好质量管理、提升检测能力</w:t>
            </w:r>
          </w:p>
        </w:tc>
        <w:tc>
          <w:tcPr>
            <w:tcW w:w="1291" w:type="dxa"/>
            <w:tcBorders>
              <w:top w:val="single" w:color="000000" w:sz="8" w:space="0"/>
              <w:left w:val="single" w:color="000000" w:sz="8" w:space="0"/>
              <w:bottom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中标方需配合医院检验科及病理科做好质量控制，定期提供所需文件。中标方</w:t>
            </w:r>
            <w:r>
              <w:rPr>
                <w:rStyle w:val="138"/>
                <w:rFonts w:hint="eastAsia" w:ascii="宋体" w:hAnsi="宋体" w:eastAsia="宋体" w:cs="宋体"/>
                <w:color w:val="auto"/>
                <w:sz w:val="21"/>
                <w:szCs w:val="21"/>
                <w:lang w:val="en-US" w:eastAsia="zh-CN" w:bidi="ar"/>
              </w:rPr>
              <w:t>必须做好项目相关的医院等级评审台账资料，</w:t>
            </w:r>
            <w:r>
              <w:rPr>
                <w:rFonts w:hint="eastAsia" w:ascii="宋体" w:hAnsi="宋体" w:eastAsia="宋体" w:cs="宋体"/>
                <w:i w:val="0"/>
                <w:iCs w:val="0"/>
                <w:color w:val="auto"/>
                <w:kern w:val="0"/>
                <w:sz w:val="21"/>
                <w:szCs w:val="21"/>
                <w:u w:val="none"/>
                <w:lang w:val="en-US" w:eastAsia="zh-CN" w:bidi="ar"/>
              </w:rPr>
              <w:t>确保</w:t>
            </w:r>
            <w:r>
              <w:rPr>
                <w:rStyle w:val="138"/>
                <w:rFonts w:hint="eastAsia" w:ascii="宋体" w:hAnsi="宋体" w:eastAsia="宋体" w:cs="宋体"/>
                <w:color w:val="auto"/>
                <w:sz w:val="21"/>
                <w:szCs w:val="21"/>
                <w:lang w:val="en-US" w:eastAsia="zh-CN" w:bidi="ar"/>
              </w:rPr>
              <w:t>在采购方医院等级评审中相关条款不扣分。</w:t>
            </w:r>
          </w:p>
        </w:tc>
        <w:tc>
          <w:tcPr>
            <w:tcW w:w="1291" w:type="dxa"/>
            <w:tcBorders>
              <w:top w:val="single" w:color="000000" w:sz="8" w:space="0"/>
              <w:left w:val="single" w:color="000000" w:sz="8" w:space="0"/>
              <w:bottom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w:t>
            </w:r>
          </w:p>
        </w:tc>
        <w:tc>
          <w:tcPr>
            <w:tcW w:w="71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后续可由采购方根据实际情况对项目进行增减。新增检验项目按中标价执行。</w:t>
            </w:r>
          </w:p>
        </w:tc>
        <w:tc>
          <w:tcPr>
            <w:tcW w:w="1291" w:type="dxa"/>
            <w:tcBorders>
              <w:top w:val="single" w:color="000000" w:sz="8" w:space="0"/>
              <w:left w:val="single" w:color="000000" w:sz="8" w:space="0"/>
              <w:bottom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2.13</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提供专业客户服务人员。服务时效：日常电话及时应答，投诉2小时内回复。</w:t>
            </w:r>
          </w:p>
        </w:tc>
        <w:tc>
          <w:tcPr>
            <w:tcW w:w="1291" w:type="dxa"/>
            <w:tcBorders>
              <w:top w:val="single" w:color="000000" w:sz="8" w:space="0"/>
              <w:left w:val="single" w:color="000000" w:sz="8" w:space="0"/>
              <w:bottom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2.14</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中标方提供报告系统与医院LIS系统实行信息化无缝连接，确保报告结果直接传输到院方LIS系统，并承担相关接口等费用。</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2.15</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ascii="宋体" w:hAnsi="宋体" w:eastAsia="宋体" w:cs="宋体"/>
                <w:i w:val="0"/>
                <w:iCs w:val="0"/>
                <w:color w:val="auto"/>
                <w:kern w:val="0"/>
                <w:sz w:val="21"/>
                <w:szCs w:val="21"/>
                <w:u w:val="none"/>
                <w:lang w:val="en-US" w:eastAsia="zh-CN" w:bidi="ar"/>
              </w:rPr>
            </w:pPr>
            <w:r>
              <w:rPr>
                <w:rFonts w:hint="eastAsia"/>
                <w:color w:val="auto"/>
                <w:lang w:val="en-US" w:eastAsia="zh-CN"/>
              </w:rPr>
              <w:t>中标方</w:t>
            </w:r>
            <w:r>
              <w:rPr>
                <w:rFonts w:hint="eastAsia"/>
                <w:color w:val="auto"/>
              </w:rPr>
              <w:t>出具病理报告的病理诊断医师应按照国家、省市等规定具有相关资质，并在</w:t>
            </w:r>
            <w:r>
              <w:rPr>
                <w:rFonts w:hint="eastAsia" w:ascii="宋体" w:hAnsi="宋体" w:eastAsia="宋体" w:cs="宋体"/>
                <w:i w:val="0"/>
                <w:iCs w:val="0"/>
                <w:color w:val="auto"/>
                <w:kern w:val="0"/>
                <w:sz w:val="21"/>
                <w:szCs w:val="21"/>
                <w:u w:val="none"/>
                <w:lang w:val="en-US" w:eastAsia="zh-CN" w:bidi="ar"/>
              </w:rPr>
              <w:t>医院</w:t>
            </w:r>
            <w:r>
              <w:rPr>
                <w:rFonts w:hint="eastAsia"/>
                <w:color w:val="auto"/>
              </w:rPr>
              <w:t>医务科进行资格证书、执业证书、病理上岗证等资料备案。否则，因未备案，造成医疗纠纷、患者索赔等情况，视为</w:t>
            </w:r>
            <w:r>
              <w:rPr>
                <w:rFonts w:hint="eastAsia"/>
                <w:color w:val="auto"/>
                <w:lang w:val="en-US" w:eastAsia="zh-CN"/>
              </w:rPr>
              <w:t>中标方</w:t>
            </w:r>
            <w:r>
              <w:rPr>
                <w:rFonts w:hint="eastAsia"/>
                <w:color w:val="auto"/>
              </w:rPr>
              <w:t>有过错，由</w:t>
            </w:r>
            <w:r>
              <w:rPr>
                <w:rFonts w:hint="eastAsia"/>
                <w:color w:val="auto"/>
                <w:lang w:val="en-US" w:eastAsia="zh-CN"/>
              </w:rPr>
              <w:t>中标方</w:t>
            </w:r>
            <w:r>
              <w:rPr>
                <w:rFonts w:hint="eastAsia"/>
                <w:color w:val="auto"/>
              </w:rPr>
              <w:t>承担全部责任。出具病理报告的病理诊断医师必须符合病理诊断资质，并在</w:t>
            </w:r>
            <w:r>
              <w:rPr>
                <w:rFonts w:hint="eastAsia" w:ascii="宋体" w:hAnsi="宋体" w:eastAsia="宋体" w:cs="宋体"/>
                <w:i w:val="0"/>
                <w:iCs w:val="0"/>
                <w:color w:val="auto"/>
                <w:kern w:val="0"/>
                <w:sz w:val="21"/>
                <w:szCs w:val="21"/>
                <w:u w:val="none"/>
                <w:lang w:val="en-US" w:eastAsia="zh-CN" w:bidi="ar"/>
              </w:rPr>
              <w:t>医院</w:t>
            </w:r>
            <w:r>
              <w:rPr>
                <w:rFonts w:hint="eastAsia"/>
                <w:color w:val="auto"/>
              </w:rPr>
              <w:t>医务科进行资质备案。</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lang w:val="en-US" w:eastAsia="zh-CN"/>
              </w:rPr>
              <w:t>中标方</w:t>
            </w:r>
            <w:r>
              <w:rPr>
                <w:rFonts w:hint="eastAsia"/>
                <w:color w:val="auto"/>
              </w:rPr>
              <w:t>对所出的检测报告负责，建立全面的质量管理体系，落实全面质量管理与改进制度，严格按照SOP文件执行，开展室内质控，并参加国家、省临检中心室间质评，确保检验结果准确可靠。</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lang w:val="en-US" w:eastAsia="zh-CN"/>
              </w:rPr>
              <w:t>中标方</w:t>
            </w:r>
            <w:r>
              <w:rPr>
                <w:rFonts w:hint="eastAsia"/>
                <w:color w:val="auto"/>
              </w:rPr>
              <w:t>需要按照国家相关规定要求，对检测的标本进行妥善保管。</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lang w:val="en-US" w:eastAsia="zh-CN"/>
              </w:rPr>
            </w:pPr>
            <w:r>
              <w:rPr>
                <w:rFonts w:hint="eastAsia"/>
                <w:color w:val="auto"/>
                <w:lang w:val="en-US" w:eastAsia="zh-CN"/>
              </w:rPr>
              <w:t>中标方</w:t>
            </w:r>
            <w:r>
              <w:rPr>
                <w:rFonts w:hint="eastAsia"/>
                <w:color w:val="auto"/>
              </w:rPr>
              <w:t>每月统计术中冰冻诊断与常规病理诊断符合率，保证术中冰冻诊断与常规病理诊断符合率≥95%。术中冰冻在收到标本30分钟内出具规范报告。对术中冰冻诊断与常规病理诊断不符合的病例进行讨论分析。</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2.19</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lang w:val="en-US" w:eastAsia="zh-CN"/>
              </w:rPr>
            </w:pPr>
            <w:r>
              <w:rPr>
                <w:rFonts w:hint="eastAsia"/>
                <w:color w:val="auto"/>
                <w:lang w:val="en-US" w:eastAsia="zh-CN"/>
              </w:rPr>
              <w:t>中标方</w:t>
            </w:r>
            <w:r>
              <w:rPr>
                <w:rFonts w:hint="eastAsia"/>
                <w:color w:val="auto"/>
              </w:rPr>
              <w:t>每月定期反馈临床送检病理样本中存在的问题，要求临床限期整改，符合病理送检样本的规范要求。</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lang w:val="en-US" w:eastAsia="zh-CN"/>
              </w:rPr>
            </w:pPr>
            <w:r>
              <w:rPr>
                <w:rFonts w:hint="eastAsia"/>
                <w:color w:val="auto"/>
                <w:lang w:val="en-US" w:eastAsia="zh-CN"/>
              </w:rPr>
              <w:t>中标方</w:t>
            </w:r>
            <w:r>
              <w:rPr>
                <w:rFonts w:hint="eastAsia"/>
                <w:color w:val="auto"/>
              </w:rPr>
              <w:t>每季度召开一次临床医师与病理医师沟通会，积极参加临床MDT讨论会。</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rPr>
              <w:t>保证临床医师与病理医师沟通通畅，提供所有病理诊断医生电话号码。</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2.22</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lang w:val="en-US" w:eastAsia="zh-CN"/>
              </w:rPr>
              <w:t>中标方</w:t>
            </w:r>
            <w:r>
              <w:rPr>
                <w:rFonts w:hint="eastAsia"/>
                <w:color w:val="auto"/>
              </w:rPr>
              <w:t>开展临床科室对病理科满意度调查。</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rPr>
              <w:t>因</w:t>
            </w:r>
            <w:r>
              <w:rPr>
                <w:rFonts w:hint="eastAsia"/>
                <w:color w:val="auto"/>
                <w:lang w:val="en-US" w:eastAsia="zh-CN"/>
              </w:rPr>
              <w:t>中标方</w:t>
            </w:r>
            <w:r>
              <w:rPr>
                <w:rFonts w:hint="eastAsia"/>
                <w:color w:val="auto"/>
              </w:rPr>
              <w:t>原因造成标本丢失、标本保管不善、造成的医疗事故（医疗事件）、医疗纠纷或患者索赔等事件，由</w:t>
            </w:r>
            <w:r>
              <w:rPr>
                <w:rFonts w:hint="eastAsia"/>
                <w:color w:val="auto"/>
                <w:lang w:val="en-US" w:eastAsia="zh-CN"/>
              </w:rPr>
              <w:t>中标方</w:t>
            </w:r>
            <w:r>
              <w:rPr>
                <w:rFonts w:hint="eastAsia"/>
                <w:color w:val="auto"/>
              </w:rPr>
              <w:t>承担全部经济及法律责任；</w:t>
            </w:r>
            <w:r>
              <w:rPr>
                <w:rFonts w:hint="eastAsia"/>
                <w:color w:val="auto"/>
                <w:lang w:eastAsia="zh-CN"/>
              </w:rPr>
              <w:t>因</w:t>
            </w:r>
            <w:r>
              <w:rPr>
                <w:rFonts w:hint="eastAsia"/>
                <w:color w:val="auto"/>
                <w:lang w:val="en-US" w:eastAsia="zh-CN"/>
              </w:rPr>
              <w:t>中标方</w:t>
            </w:r>
            <w:r>
              <w:rPr>
                <w:rFonts w:hint="eastAsia"/>
                <w:color w:val="auto"/>
                <w:lang w:eastAsia="zh-CN"/>
              </w:rPr>
              <w:t>原因造成</w:t>
            </w:r>
            <w:r>
              <w:rPr>
                <w:rFonts w:hint="eastAsia"/>
                <w:color w:val="auto"/>
              </w:rPr>
              <w:t>未在规定时间内出具报告（疑难病例除外）或检验项目检测结果不准确</w:t>
            </w:r>
            <w:r>
              <w:rPr>
                <w:rFonts w:hint="eastAsia"/>
                <w:color w:val="auto"/>
                <w:lang w:eastAsia="zh-CN"/>
              </w:rPr>
              <w:t>，</w:t>
            </w:r>
            <w:r>
              <w:rPr>
                <w:rFonts w:hint="eastAsia"/>
                <w:color w:val="auto"/>
              </w:rPr>
              <w:t>因</w:t>
            </w:r>
            <w:r>
              <w:rPr>
                <w:rFonts w:hint="eastAsia"/>
                <w:color w:val="auto"/>
                <w:lang w:val="en-US" w:eastAsia="zh-CN"/>
              </w:rPr>
              <w:t>中标方</w:t>
            </w:r>
            <w:r>
              <w:rPr>
                <w:rFonts w:hint="eastAsia"/>
                <w:color w:val="auto"/>
              </w:rPr>
              <w:t>造成的医疗事故，</w:t>
            </w:r>
            <w:r>
              <w:rPr>
                <w:rFonts w:hint="eastAsia" w:ascii="宋体" w:hAnsi="宋体" w:eastAsia="宋体" w:cs="宋体"/>
                <w:i w:val="0"/>
                <w:iCs w:val="0"/>
                <w:color w:val="auto"/>
                <w:kern w:val="0"/>
                <w:sz w:val="21"/>
                <w:szCs w:val="21"/>
                <w:u w:val="none"/>
                <w:lang w:val="en-US" w:eastAsia="zh-CN" w:bidi="ar"/>
              </w:rPr>
              <w:t>医院</w:t>
            </w:r>
            <w:r>
              <w:rPr>
                <w:rFonts w:hint="eastAsia"/>
                <w:color w:val="auto"/>
              </w:rPr>
              <w:t>可以</w:t>
            </w:r>
            <w:r>
              <w:rPr>
                <w:rFonts w:hint="eastAsia"/>
                <w:color w:val="auto"/>
                <w:lang w:eastAsia="zh-CN"/>
              </w:rPr>
              <w:t>向</w:t>
            </w:r>
            <w:r>
              <w:rPr>
                <w:rFonts w:hint="eastAsia"/>
                <w:color w:val="auto"/>
                <w:lang w:val="en-US" w:eastAsia="zh-CN"/>
              </w:rPr>
              <w:t>中标方</w:t>
            </w:r>
            <w:r>
              <w:rPr>
                <w:rFonts w:hint="eastAsia"/>
                <w:color w:val="auto"/>
              </w:rPr>
              <w:t>追责</w:t>
            </w:r>
            <w:r>
              <w:rPr>
                <w:rFonts w:hint="eastAsia"/>
                <w:color w:val="auto"/>
                <w:lang w:eastAsia="zh-CN"/>
              </w:rPr>
              <w:t>赔偿相应损失</w:t>
            </w:r>
            <w:r>
              <w:rPr>
                <w:rFonts w:hint="eastAsia"/>
                <w:color w:val="auto"/>
              </w:rPr>
              <w:t>，同时</w:t>
            </w:r>
            <w:r>
              <w:rPr>
                <w:rFonts w:hint="eastAsia" w:ascii="宋体" w:hAnsi="宋体" w:eastAsia="宋体" w:cs="宋体"/>
                <w:i w:val="0"/>
                <w:iCs w:val="0"/>
                <w:color w:val="auto"/>
                <w:kern w:val="0"/>
                <w:sz w:val="21"/>
                <w:szCs w:val="21"/>
                <w:u w:val="none"/>
                <w:lang w:val="en-US" w:eastAsia="zh-CN" w:bidi="ar"/>
              </w:rPr>
              <w:t>医院</w:t>
            </w:r>
            <w:r>
              <w:rPr>
                <w:rFonts w:hint="eastAsia"/>
                <w:color w:val="auto"/>
              </w:rPr>
              <w:t>有权解除本协议。</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2.24</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rPr>
              <w:t>在整个医疗过程中，病人有疑议时双方均应共同协调解决（病理报告的解释权由签发报告是病理医生负责）。</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3" w:type="dxa"/>
            <w:tcBorders>
              <w:top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w:t>
            </w:r>
          </w:p>
        </w:tc>
        <w:tc>
          <w:tcPr>
            <w:tcW w:w="710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color w:val="auto"/>
              </w:rPr>
            </w:pPr>
            <w:r>
              <w:rPr>
                <w:rFonts w:hint="eastAsia"/>
                <w:color w:val="auto"/>
                <w:lang w:val="en-US" w:eastAsia="zh-CN"/>
              </w:rPr>
              <w:t>中标人配备的物流冷链车需具有医疗冷链物流营业执照及《道路运输经营许可证》。</w:t>
            </w:r>
          </w:p>
        </w:tc>
        <w:tc>
          <w:tcPr>
            <w:tcW w:w="1291" w:type="dxa"/>
            <w:tcBorders>
              <w:top w:val="single" w:color="000000" w:sz="8" w:space="0"/>
              <w:left w:val="single" w:color="000000" w:sz="8" w:space="0"/>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bl>
    <w:p>
      <w:pPr>
        <w:rPr>
          <w:rFonts w:hint="eastAsia"/>
          <w:color w:val="auto"/>
        </w:rPr>
      </w:pPr>
    </w:p>
    <w:p>
      <w:pPr>
        <w:spacing w:line="360" w:lineRule="auto"/>
        <w:outlineLvl w:val="0"/>
        <w:rPr>
          <w:rFonts w:hint="eastAsia" w:ascii="宋体" w:hAnsi="宋体" w:cs="宋体"/>
          <w:b/>
          <w:color w:val="auto"/>
          <w:kern w:val="0"/>
          <w:szCs w:val="21"/>
        </w:rPr>
      </w:pPr>
    </w:p>
    <w:p>
      <w:pPr>
        <w:pStyle w:val="2"/>
        <w:rPr>
          <w:rFonts w:hint="eastAsia" w:ascii="宋体" w:hAnsi="宋体" w:cs="宋体"/>
          <w:b/>
          <w:color w:val="auto"/>
          <w:kern w:val="0"/>
          <w:szCs w:val="21"/>
        </w:rPr>
      </w:pPr>
    </w:p>
    <w:p>
      <w:pPr>
        <w:rPr>
          <w:rFonts w:hint="eastAsia"/>
          <w:color w:val="auto"/>
        </w:rPr>
      </w:pPr>
    </w:p>
    <w:p>
      <w:pPr>
        <w:spacing w:line="360" w:lineRule="auto"/>
        <w:outlineLvl w:val="0"/>
        <w:rPr>
          <w:rFonts w:hint="eastAsia" w:ascii="宋体" w:hAnsi="宋体" w:cs="宋体"/>
          <w:b/>
          <w:bCs/>
          <w:color w:val="auto"/>
          <w:kern w:val="0"/>
          <w:szCs w:val="21"/>
        </w:rPr>
      </w:pPr>
      <w:r>
        <w:rPr>
          <w:rFonts w:hint="eastAsia" w:ascii="宋体" w:hAnsi="宋体" w:cs="宋体"/>
          <w:b/>
          <w:color w:val="auto"/>
          <w:kern w:val="0"/>
          <w:szCs w:val="21"/>
        </w:rPr>
        <w:t>附件：</w:t>
      </w:r>
      <w:r>
        <w:rPr>
          <w:rFonts w:hint="eastAsia" w:ascii="宋体" w:hAnsi="宋体" w:cs="宋体"/>
          <w:b/>
          <w:bCs/>
          <w:color w:val="auto"/>
          <w:kern w:val="0"/>
          <w:szCs w:val="21"/>
        </w:rPr>
        <w:t>检测项目清单</w:t>
      </w:r>
    </w:p>
    <w:p>
      <w:pPr>
        <w:spacing w:line="360" w:lineRule="auto"/>
        <w:jc w:val="left"/>
        <w:rPr>
          <w:rFonts w:hint="eastAsia" w:ascii="仿宋" w:hAnsi="仿宋" w:eastAsia="仿宋"/>
          <w:b/>
          <w:color w:val="auto"/>
          <w:sz w:val="28"/>
          <w:szCs w:val="28"/>
          <w:lang w:val="en-US" w:eastAsia="zh-CN"/>
        </w:rPr>
      </w:pPr>
      <w:bookmarkStart w:id="23" w:name="_Toc44162155"/>
      <w:r>
        <w:rPr>
          <w:rFonts w:hint="eastAsia" w:ascii="仿宋" w:hAnsi="仿宋" w:eastAsia="仿宋"/>
          <w:b/>
          <w:color w:val="auto"/>
          <w:sz w:val="28"/>
          <w:szCs w:val="28"/>
          <w:lang w:val="en-US" w:eastAsia="zh-CN"/>
        </w:rPr>
        <w:t>一、总院医学标本外送检测项目清单</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9"/>
        <w:gridCol w:w="995"/>
        <w:gridCol w:w="7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类别</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序号</w:t>
            </w: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检测名称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病理</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(常规组织病理)免疫组织化学染色诊断×9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宫颈分泌物TCT检查与诊断+图文报告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免疫组织化学染色诊断×8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内镜组织活检检查与诊断+图文报告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全器官大切片检查与诊断+图文报告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手术标本或局部切取活检检查与诊断+图文报告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脱落细胞学（非妇科涂片）检查与诊断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胃镜活检套餐(胃镜活检+幽门螺杆菌特殊染色检查与诊断)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细胞蜡块HE+图文报告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肿瘤根治手术清扫标本+图文报告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组织病理学检查与诊断－加收项目×8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组织病理学检查与诊断－加收项目×9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冰冻切片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检验</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(常规组织诊断)EBER原位杂交检测(EBER)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(常规组织诊断)特殊染色及酶组织化学染色诊断×1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(常规组织诊断)特殊染色及酶组织化学染色诊断×2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(常规组织诊断)特殊染色及酶组织化学染色诊断×3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(常规组织诊断)特殊染色及酶组织化学染色诊断×4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组织病理学--白片×10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组织病理学--白片×5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(非妇科涂片)免疫组织化学染色诊断×8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(非妇科涂片)细胞蜡块HE+图文报告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(细胞蜡块)免疫组织化学染色诊断×8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24h尿醛固酮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24小时尿皮质醇(游离皮质醇)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25-羟基维生素D2(VD2(25-OH))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25-羟基维生素D3(VD3(25-OH))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25-羟基维生素D三项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BCR-ABL(p210)(融合基因/荧光定量PCR)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EB病毒DNA定量检测(EB-DNA)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EV71、CA16及通用型肠道病毒核酸检测+实时荧光定性PCR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FLT3-ITD突变(sanger测序)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FLT3-TKD突变(sanger测序)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JAK2 V617F突变(荧光定量PCR)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p16/ki-67免疫细胞化学检测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PD-L1(VentanaSP263)蛋白表达组织检测+IHC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PML-RARα-L长型(融合基因/荧光定量PCR)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PML-RARα-S短型(融合基因/荧光定量PCR)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PNH检测(4个CD)(流式细胞术)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TBNK淋巴细胞亚群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TORCH五项检测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TORCH新四项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α-地中海贫血基因分型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β-地中海贫血基因分型检测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奥氮平+质谱法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白细胞介素10[IL10]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白细胞介素6[IL6]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白细胞介素8[IL8]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白血病43种融合基因筛查+实时荧光定量PCR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白血病免疫分型(20个CD)(流式细胞术)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苯妥英钠浓度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丙肝RNA(HCV-RNA)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丙肝病毒基因分型检测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丙戊酸(VPA)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丙型肝炎病毒核心抗原(HCV-Ag)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不孕不育七项检测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不孕不育四项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茶碱浓度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常规肾活检病理检查(9项)+组织切片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超敏C反应蛋白测定(hsCRP)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促红细胞生成素(EPO)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促甲状腺受体抗体(TR-Ab)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单纯疱疹病毒Ⅰ型抗体IgG定量(HSVⅠ-IgG)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单纯疱疹病毒Ⅰ型抗体IgM定量(HSVⅠ-IgM)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单纯疱疹病毒Ⅱ型DNA定量检测(HSV-Ⅱ-DNA)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单纯疱疹病毒Ⅱ型抗体IgG定量(HSVⅡ-IgG)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单纯疱疹病毒Ⅱ型抗体IgM定量(HSVⅡ-IgM)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单纯疱疹病毒II型抗体测定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单纯疱疹病毒I型抗体测定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地高辛(Dig)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丁肝抗体(HDV-IgM)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粪便钙卫蛋白检测(calprotectin)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风疹病毒抗体测定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肝细胞质抗体-Ⅰ型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肝纤四项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干燥综合症2项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高血压三项(立位)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高血压三项(卧位)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弓形体抗体测定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骨代谢两项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骨代谢四项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骨髓活检加免疫组化3项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骨髓染色体核型分析(G带)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骨髓形态学常规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骨型碱性磷酸酶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果糖胺(FRA)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过敏原总IgE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汉坦病毒抗体(HV-IgG、HV-IgM)检测+金标法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呼吸道病毒感染抗体谱检测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呼吸道合胞病毒IgM抗体(RSV-IgM)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环孢霉素A(CsA)浓度检测+LC-MS/MS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甲肝抗体(HAV-IgM)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甲状旁腺激素(PTH)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降钙素(CT)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结核分枝杆菌鉴定及利福平耐药基因检测(Xpert MTB/RIF)+实时荧光定量PCR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结核感染T细胞检测(TB-IGRA)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巨细胞病毒DNA定量测定(CMV-DNA)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巨细胞病毒抗体测定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卡马西平片浓度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抗AIgG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抗BIgG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抗肝肾微粒体抗体(LKM)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抗核抗体(ANA)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抗核抗体全套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抗核抗体三项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抗核抗体四项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抗核提取物抗体(抗ENA抗体6项)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抗核提取物抗体(抗ENA抗体-含抗着丝点组蛋白)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抗环瓜氨酸肽抗体(CCP)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抗甲状腺微粒体抗体(TM-Ab)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抗角蛋白抗体(AKA)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抗可溶性肝抗原/肝-胰抗原抗体[SLA/LP]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抗链球菌溶血素"O"(ASO)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抗磷脂综合征抗体检测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抗缪勒氏管激素(AMH)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抗人球蛋白试验(Coombs)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抗肾小球基底膜抗体IgG(GBM-IgG)检测+间接免疫荧光法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抗双链DNA抗体(dsDNA)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抗线粒体抗体(AMA)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抗线粒体抗体-Ⅱ型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抗中性粒细胞胞浆抗体五项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抗组蛋白抗体(Histo)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柯萨奇病毒IgM抗体(COX-IgM)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类风湿六项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类风湿三项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类风湿性关节炎组合套餐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类风湿因子(RF)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淋球菌DNA定量检测(NG-DNA)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鳞状细胞癌相关抗原测定(SCC)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麻疹病毒抗体IgG(MV-IgG)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麻疹病毒抗体IgM(MV-IgM)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梅毒初筛试验(TRUST)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免疫固定电泳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免疫球蛋白G亚型4(IgG4)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免疫球蛋白IgE定量(IgE)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免疫球蛋白五项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尿α1微量球蛋白(α1-MG)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尿β2微球蛋白(β2-MG)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尿本-周氏蛋白定性检查(B-JP)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尿镉(Cd-U)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尿汞(Hg-U)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尿肌酐(Ucr)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尿免疫固定电泳(G-A-M-к-λ)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尿轻链KAPPA定量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尿轻链LAMBDA定量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尿砷(As-U)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尿微量白蛋白(mALB)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尿微量蛋白五项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尿液免疫球蛋白IgG定量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尿转铁蛋白(UTRF)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宁波市第七医院BCR-ABL（p190/p210/p230）套餐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贫血四项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平滑肌抗体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葡萄糖6－磷酸脱氢酶活性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普通透射电镜检查与诊断+组织切片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轻链KAPPA(K-LC)定量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轻链LAMBDA(λ-LC)定量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轻链组合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全血微量元素五项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醛固酮(ALD)(立位)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醛固酮(ALD)(卧位)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人类白细胞抗原B27(HLA-B27)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沙眼衣原体DNA定量检测(CT-DNA)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上呼吸道感染EB病毒抗体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上呼吸道感染EB病毒抗体四项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肾穿刺加做IG亚型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肾穿加做荧光染色两项+免疫荧光法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肾脏早期损伤7项(尿液)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食物过敏原特异性IgG抗体14项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水痘-带状疱疹病毒抗体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他克莫司(**-506)浓度检测+LC-MS/MS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糖化血红蛋白(HbA1C)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糖类抗原242(CA242)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糖类抗原50(CA50)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糖尿病自身抗体两项(ICA+GAD)检测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糖尿病自身抗体两项（ICA+GADA）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铜蓝蛋白(CER)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外周血染色体400带检测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外周血染色体550带检测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万古霉素(Vancomycin)+质谱法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戊肝抗体(HEV-IgM)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细菌内毒素定量检测(透析液)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细菌内毒素定量检测(血清)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腺病毒IgM抗体(ADV-IgM)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新生儿溶血病检测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血促肾上腺皮质激素(ACTH4PM)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血促肾上腺皮质激素(ACTH9AM左右)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血促肾上腺皮质激素(ACTH夜12时)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血红蛋白电泳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血浆内皮素(ET)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血流变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血皮质醇(CORT4pm)+化学发光法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血皮质醇(CORT8am)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血皮质醇(CORT夜12点)+化学发光法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血清Ⅲ型前胶原测定(PCⅢ)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血清Ⅳ型胶原测定(CIV)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血清β2微球蛋白(β2-MG)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血清丙氨酸氨基转移酶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血清层粘连蛋白测定(LN)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血清胆碱酯酶(CHE)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血清甲状腺球蛋白测定(TG)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血清甲状腺素(T4)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血清尿酸(UA)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血清三碘甲状原氨酸(T3)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血清生长激素(GH)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血清透明质酸测定(HA)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血清胃功能检测套餐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血清胃功能检测套餐+专用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血清游离三碘甲状原氨酸(FT3)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血清载脂蛋白E(ApoE)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血清转铁蛋白饱和度(Tfs)三项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血清转铁蛋白饱和度套餐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血液病MYD88-L265P突变检测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血液细胞自动化分析五分类(血常规五分类)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血液肿瘤CD系列检测(30个CD)(流式细胞术)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血液肿瘤免疫表型(40个CD)+流式细胞术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胰岛素抗体(INS-Ab)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胰岛素样生长因子-1(IGF-1)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乙肝DNA(HBV-DNA)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乙肝表面抗原定量(HBsAg)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乙肝病毒P区耐药测序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乙肝三系定量测定(新五项)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真菌(1、3)-β-D-葡聚糖检测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脂肪酶(LPS)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中性粒粒细胞抗体(MPO)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中性粒粒细胞抗体(PR3)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转铁蛋白(TRF)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自身免疫性肝病抗体7项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总铁结合力(TiBC)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总铁结合力组合套餐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5"/>
              </w:numPr>
              <w:suppressLineNumbers w:val="0"/>
              <w:ind w:left="0" w:leftChars="0" w:firstLine="403" w:firstLineChars="0"/>
              <w:jc w:val="left"/>
              <w:textAlignment w:val="center"/>
              <w:rPr>
                <w:rFonts w:hint="eastAsia" w:ascii="宋体" w:hAnsi="宋体" w:eastAsia="宋体" w:cs="宋体"/>
                <w:i w:val="0"/>
                <w:color w:val="auto"/>
                <w:kern w:val="0"/>
                <w:sz w:val="21"/>
                <w:szCs w:val="21"/>
                <w:u w:val="none"/>
                <w:lang w:val="en-US" w:eastAsia="zh-CN" w:bidi="ar"/>
              </w:rPr>
            </w:pPr>
          </w:p>
        </w:tc>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组织结核杆菌DNA检测(FFPE TB-DNA)</w:t>
            </w:r>
          </w:p>
        </w:tc>
      </w:tr>
    </w:tbl>
    <w:p>
      <w:pPr>
        <w:jc w:val="left"/>
        <w:rPr>
          <w:rFonts w:hint="eastAsia" w:ascii="宋体"/>
          <w:color w:val="auto"/>
          <w:sz w:val="24"/>
          <w:lang w:val="en-US" w:eastAsia="zh-CN"/>
        </w:rPr>
      </w:pPr>
    </w:p>
    <w:p>
      <w:pPr>
        <w:pStyle w:val="2"/>
        <w:rPr>
          <w:rFonts w:hint="eastAsia" w:ascii="宋体" w:hAnsi="宋体" w:eastAsia="宋体" w:cs="宋体"/>
          <w:b/>
          <w:bCs/>
          <w:i w:val="0"/>
          <w:iCs w:val="0"/>
          <w:color w:val="auto"/>
          <w:kern w:val="0"/>
          <w:sz w:val="28"/>
          <w:szCs w:val="28"/>
          <w:u w:val="none"/>
          <w:lang w:val="en-US" w:eastAsia="zh-CN" w:bidi="ar"/>
        </w:rPr>
      </w:pPr>
    </w:p>
    <w:p>
      <w:pPr>
        <w:spacing w:line="360" w:lineRule="auto"/>
        <w:jc w:val="left"/>
        <w:rPr>
          <w:rFonts w:hint="eastAsia" w:ascii="宋体"/>
          <w:color w:val="auto"/>
          <w:sz w:val="24"/>
          <w:lang w:val="en-US" w:eastAsia="zh-CN"/>
        </w:rPr>
      </w:pPr>
      <w:r>
        <w:rPr>
          <w:rFonts w:hint="eastAsia" w:ascii="仿宋" w:hAnsi="仿宋" w:eastAsia="仿宋" w:cs="Times New Roman"/>
          <w:b/>
          <w:color w:val="auto"/>
          <w:sz w:val="28"/>
          <w:szCs w:val="28"/>
          <w:lang w:val="en-US" w:eastAsia="zh-CN"/>
        </w:rPr>
        <w:t>二、各院区医学标本外送检测项目汇总</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4"/>
        <w:gridCol w:w="911"/>
        <w:gridCol w:w="7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院区</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炼化</w:t>
            </w: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体液细胞学检查与诊断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脱落细胞学检查与诊断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细胞蜡块HE+图文报告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穿刺组织活检检查与诊断+图文报告(包括乳腺、肝脏、前列腺、肺、胰腺等穿刺组织活检与诊断)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胃镜活检套餐+图文报告(胃镜活检+幽门螺旋杆菌特殊染色检查与诊断)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内镜组织活检检查与诊断+图文报告(包括各种内镜采集的小组织标本的病理学检查与诊断)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内镜组织活检检查与诊断+图文报告(1瓶)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内镜组织活检检查与诊断+图文报告(2瓶)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内镜组织活检检查与诊断+图文报告(3瓶)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内镜组织活检检查与诊断+图文报告(4瓶)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手术标本检查与诊断+图文报告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手术标本检查与诊断+图文报告(同一部位1袋)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手术标本检查与诊断+图文报告(同一部位2袋)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手术标本检查与诊断+图文报告(同一部位3袋)）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手术标本检查与诊断+图文报告(同一部位4袋)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手术标本检查与诊断+图文报告(同一部位5袋)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肿瘤根治术清扫样本+图文报告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特殊染色及酶组织化学染色诊断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免疫组织化学染色诊断(病理单克隆抗体检测)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冰冻切片病理检查与诊断×1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冰冻切片病理检查与诊断×2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EBER原位杂交检测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增加1只蜡块加收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蟹浦</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宫颈分泌物TCT检查与诊断+图文报告-(门诊业务)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解脲支原体DNA定量检测(UU-DNA)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淋球菌DNA定量检测(NG-DNA)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尿微量蛋白五项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女性雄激素套餐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沙门氏菌\志贺氏菌培养及鉴定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沙眼衣原体DNA定量检测(CT-DNA)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手术标本或局部切取活检检查与诊断+图文报告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新型冠状病毒(2019-nCov)核酸检测+PCR-荧光探针法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新型冠状病毒IgG/IgM抗体检测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支原体培养及鉴定+药敏试验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九龙湖</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沙门氏菌\志贺氏菌培养及鉴定</w:t>
            </w:r>
          </w:p>
        </w:tc>
      </w:tr>
    </w:tbl>
    <w:p>
      <w:pPr>
        <w:pStyle w:val="2"/>
        <w:rPr>
          <w:rFonts w:hint="eastAsia" w:ascii="宋体"/>
          <w:color w:val="auto"/>
          <w:sz w:val="24"/>
          <w:lang w:val="en-US" w:eastAsia="zh-CN"/>
        </w:rPr>
      </w:pPr>
    </w:p>
    <w:p>
      <w:pPr>
        <w:rPr>
          <w:rFonts w:hint="eastAsia" w:ascii="宋体"/>
          <w:color w:val="auto"/>
          <w:sz w:val="24"/>
          <w:lang w:val="en-US" w:eastAsia="zh-CN"/>
        </w:rPr>
      </w:pPr>
    </w:p>
    <w:p>
      <w:pPr>
        <w:pStyle w:val="2"/>
        <w:rPr>
          <w:rFonts w:hint="eastAsia" w:ascii="宋体"/>
          <w:color w:val="auto"/>
          <w:sz w:val="24"/>
          <w:lang w:val="en-US" w:eastAsia="zh-CN"/>
        </w:rPr>
      </w:pPr>
    </w:p>
    <w:p>
      <w:pPr>
        <w:rPr>
          <w:rFonts w:hint="eastAsia" w:ascii="宋体"/>
          <w:color w:val="auto"/>
          <w:sz w:val="24"/>
          <w:lang w:val="en-US" w:eastAsia="zh-CN"/>
        </w:rPr>
      </w:pPr>
    </w:p>
    <w:p>
      <w:pPr>
        <w:pStyle w:val="2"/>
        <w:rPr>
          <w:rFonts w:hint="eastAsia" w:ascii="宋体"/>
          <w:color w:val="auto"/>
          <w:sz w:val="24"/>
          <w:lang w:val="en-US" w:eastAsia="zh-CN"/>
        </w:rPr>
      </w:pPr>
    </w:p>
    <w:p>
      <w:pPr>
        <w:rPr>
          <w:rFonts w:hint="eastAsia" w:ascii="宋体"/>
          <w:color w:val="auto"/>
          <w:sz w:val="24"/>
          <w:lang w:val="en-US" w:eastAsia="zh-CN"/>
        </w:rPr>
      </w:pPr>
    </w:p>
    <w:p>
      <w:pPr>
        <w:pStyle w:val="2"/>
        <w:rPr>
          <w:rFonts w:hint="eastAsia" w:ascii="宋体"/>
          <w:color w:val="auto"/>
          <w:sz w:val="24"/>
          <w:lang w:val="en-US" w:eastAsia="zh-CN"/>
        </w:rPr>
      </w:pPr>
    </w:p>
    <w:p>
      <w:pPr>
        <w:rPr>
          <w:rFonts w:hint="eastAsia"/>
          <w:color w:val="auto"/>
          <w:lang w:val="en-US" w:eastAsia="zh-CN"/>
        </w:rPr>
      </w:pPr>
    </w:p>
    <w:p>
      <w:pPr>
        <w:jc w:val="center"/>
        <w:rPr>
          <w:rFonts w:hint="eastAsia" w:ascii="宋体" w:hAnsi="宋体"/>
          <w:b/>
          <w:color w:val="auto"/>
          <w:sz w:val="32"/>
        </w:rPr>
      </w:pPr>
    </w:p>
    <w:p>
      <w:pPr>
        <w:jc w:val="center"/>
        <w:rPr>
          <w:rFonts w:hint="eastAsia" w:ascii="宋体" w:hAnsi="宋体"/>
          <w:b/>
          <w:color w:val="auto"/>
          <w:sz w:val="32"/>
        </w:rPr>
      </w:pPr>
    </w:p>
    <w:p>
      <w:pPr>
        <w:jc w:val="center"/>
        <w:rPr>
          <w:rFonts w:hint="eastAsia" w:ascii="宋体" w:hAnsi="宋体"/>
          <w:b/>
          <w:color w:val="auto"/>
          <w:sz w:val="32"/>
        </w:rPr>
      </w:pPr>
    </w:p>
    <w:p>
      <w:pPr>
        <w:jc w:val="center"/>
        <w:rPr>
          <w:rFonts w:hint="eastAsia" w:ascii="宋体" w:hAnsi="宋体"/>
          <w:b/>
          <w:color w:val="auto"/>
          <w:sz w:val="32"/>
        </w:rPr>
      </w:pPr>
    </w:p>
    <w:p>
      <w:pPr>
        <w:jc w:val="center"/>
        <w:rPr>
          <w:rFonts w:hint="eastAsia"/>
          <w:b/>
          <w:color w:val="auto"/>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23"/>
    </w:p>
    <w:tbl>
      <w:tblPr>
        <w:tblStyle w:val="42"/>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6482"/>
        <w:gridCol w:w="161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56" w:hRule="atLeast"/>
          <w:jc w:val="center"/>
        </w:trPr>
        <w:tc>
          <w:tcPr>
            <w:tcW w:w="890" w:type="dxa"/>
            <w:noWrap w:val="0"/>
            <w:vAlign w:val="center"/>
          </w:tcPr>
          <w:p>
            <w:pPr>
              <w:autoSpaceDE w:val="0"/>
              <w:autoSpaceDN w:val="0"/>
              <w:adjustRightInd w:val="0"/>
              <w:spacing w:line="320" w:lineRule="exact"/>
              <w:jc w:val="center"/>
              <w:rPr>
                <w:rFonts w:ascii="宋体" w:hAnsi="宋体" w:cs="宋体"/>
                <w:b/>
                <w:bCs/>
                <w:color w:val="auto"/>
                <w:szCs w:val="21"/>
              </w:rPr>
            </w:pPr>
            <w:r>
              <w:rPr>
                <w:rFonts w:hint="eastAsia" w:ascii="宋体" w:hAnsi="宋体" w:cs="宋体"/>
                <w:b/>
                <w:bCs/>
                <w:color w:val="auto"/>
                <w:szCs w:val="21"/>
              </w:rPr>
              <w:t>序号</w:t>
            </w:r>
          </w:p>
        </w:tc>
        <w:tc>
          <w:tcPr>
            <w:tcW w:w="6482" w:type="dxa"/>
            <w:noWrap w:val="0"/>
            <w:vAlign w:val="center"/>
          </w:tcPr>
          <w:p>
            <w:pPr>
              <w:autoSpaceDE w:val="0"/>
              <w:autoSpaceDN w:val="0"/>
              <w:adjustRightInd w:val="0"/>
              <w:spacing w:line="32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c>
          <w:tcPr>
            <w:tcW w:w="1612" w:type="dxa"/>
            <w:noWrap w:val="0"/>
            <w:vAlign w:val="center"/>
          </w:tcPr>
          <w:p>
            <w:pPr>
              <w:autoSpaceDE w:val="0"/>
              <w:autoSpaceDN w:val="0"/>
              <w:adjustRightInd w:val="0"/>
              <w:spacing w:line="320" w:lineRule="exact"/>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投标响应</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jc w:val="center"/>
        </w:trPr>
        <w:tc>
          <w:tcPr>
            <w:tcW w:w="890" w:type="dxa"/>
            <w:noWrap w:val="0"/>
            <w:vAlign w:val="center"/>
          </w:tcPr>
          <w:p>
            <w:pPr>
              <w:autoSpaceDE w:val="0"/>
              <w:autoSpaceDN w:val="0"/>
              <w:adjustRightInd w:val="0"/>
              <w:spacing w:line="400" w:lineRule="exact"/>
              <w:jc w:val="center"/>
              <w:rPr>
                <w:rFonts w:ascii="宋体"/>
                <w:bCs/>
                <w:color w:val="auto"/>
                <w:szCs w:val="21"/>
              </w:rPr>
            </w:pPr>
            <w:r>
              <w:rPr>
                <w:rFonts w:hint="eastAsia" w:ascii="宋体" w:hAnsi="宋体"/>
                <w:color w:val="auto"/>
                <w:szCs w:val="21"/>
              </w:rPr>
              <w:t>▲</w:t>
            </w:r>
            <w:r>
              <w:rPr>
                <w:rFonts w:hint="eastAsia" w:ascii="宋体"/>
                <w:bCs/>
                <w:color w:val="auto"/>
                <w:szCs w:val="21"/>
              </w:rPr>
              <w:t>1</w:t>
            </w:r>
          </w:p>
        </w:tc>
        <w:tc>
          <w:tcPr>
            <w:tcW w:w="6482" w:type="dxa"/>
            <w:noWrap w:val="0"/>
            <w:vAlign w:val="center"/>
          </w:tcPr>
          <w:p>
            <w:pPr>
              <w:snapToGrid w:val="0"/>
              <w:spacing w:line="320" w:lineRule="exact"/>
              <w:rPr>
                <w:rFonts w:hint="eastAsia" w:ascii="宋体" w:hAnsi="宋体" w:cs="宋体"/>
                <w:color w:val="auto"/>
                <w:szCs w:val="21"/>
              </w:rPr>
            </w:pPr>
            <w:r>
              <w:rPr>
                <w:rFonts w:hint="eastAsia" w:ascii="宋体" w:hAnsi="宋体" w:cs="宋体"/>
                <w:color w:val="auto"/>
                <w:szCs w:val="21"/>
              </w:rPr>
              <w:t>合作期限：一招三年，合同每年一签。采购人有权根据上年合同履约考核情况决定是否续签。</w:t>
            </w:r>
          </w:p>
        </w:tc>
        <w:tc>
          <w:tcPr>
            <w:tcW w:w="1612" w:type="dxa"/>
            <w:noWrap w:val="0"/>
            <w:vAlign w:val="center"/>
          </w:tcPr>
          <w:p>
            <w:pPr>
              <w:snapToGrid w:val="0"/>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35" w:hRule="atLeast"/>
          <w:jc w:val="center"/>
        </w:trPr>
        <w:tc>
          <w:tcPr>
            <w:tcW w:w="890" w:type="dxa"/>
            <w:noWrap w:val="0"/>
            <w:vAlign w:val="center"/>
          </w:tcPr>
          <w:p>
            <w:pPr>
              <w:autoSpaceDE w:val="0"/>
              <w:autoSpaceDN w:val="0"/>
              <w:adjustRightInd w:val="0"/>
              <w:spacing w:line="400" w:lineRule="exact"/>
              <w:jc w:val="center"/>
              <w:rPr>
                <w:rFonts w:ascii="宋体" w:hAnsi="宋体" w:cs="Arial"/>
                <w:color w:val="auto"/>
                <w:szCs w:val="21"/>
              </w:rPr>
            </w:pPr>
            <w:r>
              <w:rPr>
                <w:rFonts w:hint="eastAsia" w:ascii="宋体" w:hAnsi="宋体"/>
                <w:color w:val="auto"/>
                <w:szCs w:val="21"/>
              </w:rPr>
              <w:t>▲</w:t>
            </w:r>
            <w:r>
              <w:rPr>
                <w:rFonts w:hint="eastAsia" w:ascii="宋体" w:hAnsi="宋体" w:cs="Arial"/>
                <w:color w:val="auto"/>
                <w:szCs w:val="21"/>
              </w:rPr>
              <w:t>2</w:t>
            </w:r>
          </w:p>
        </w:tc>
        <w:tc>
          <w:tcPr>
            <w:tcW w:w="6482" w:type="dxa"/>
            <w:noWrap w:val="0"/>
            <w:vAlign w:val="top"/>
          </w:tcPr>
          <w:p>
            <w:pPr>
              <w:snapToGrid w:val="0"/>
              <w:spacing w:line="320" w:lineRule="exact"/>
              <w:rPr>
                <w:rFonts w:hint="eastAsia" w:ascii="宋体" w:hAnsi="宋体" w:cs="宋体"/>
                <w:color w:val="auto"/>
                <w:szCs w:val="21"/>
              </w:rPr>
            </w:pPr>
            <w:r>
              <w:rPr>
                <w:rFonts w:hint="eastAsia" w:ascii="宋体" w:hAnsi="宋体" w:cs="宋体"/>
                <w:color w:val="auto"/>
                <w:szCs w:val="21"/>
              </w:rPr>
              <w:t>付款方式：各院区费用按月结算，结算统计日期以每月1日零时起到本月最后一天24时结束。每个月度结束后3个月内由各院区支付。</w:t>
            </w:r>
          </w:p>
        </w:tc>
        <w:tc>
          <w:tcPr>
            <w:tcW w:w="1612" w:type="dxa"/>
            <w:noWrap w:val="0"/>
            <w:vAlign w:val="top"/>
          </w:tcPr>
          <w:p>
            <w:pPr>
              <w:snapToGrid w:val="0"/>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jc w:val="center"/>
        </w:trPr>
        <w:tc>
          <w:tcPr>
            <w:tcW w:w="890" w:type="dxa"/>
            <w:noWrap w:val="0"/>
            <w:vAlign w:val="center"/>
          </w:tcPr>
          <w:p>
            <w:pPr>
              <w:autoSpaceDE w:val="0"/>
              <w:autoSpaceDN w:val="0"/>
              <w:adjustRightInd w:val="0"/>
              <w:spacing w:line="400" w:lineRule="exact"/>
              <w:jc w:val="center"/>
              <w:rPr>
                <w:rFonts w:hint="eastAsia" w:ascii="宋体"/>
                <w:color w:val="auto"/>
                <w:szCs w:val="21"/>
                <w:lang w:val="zh-CN"/>
              </w:rPr>
            </w:pPr>
            <w:r>
              <w:rPr>
                <w:rFonts w:hint="eastAsia" w:ascii="宋体" w:hAnsi="宋体"/>
                <w:color w:val="auto"/>
                <w:szCs w:val="21"/>
              </w:rPr>
              <w:t>▲</w:t>
            </w:r>
            <w:r>
              <w:rPr>
                <w:rFonts w:hint="eastAsia" w:ascii="宋体"/>
                <w:color w:val="auto"/>
                <w:szCs w:val="21"/>
              </w:rPr>
              <w:t>3</w:t>
            </w:r>
          </w:p>
        </w:tc>
        <w:tc>
          <w:tcPr>
            <w:tcW w:w="6482" w:type="dxa"/>
            <w:noWrap w:val="0"/>
            <w:vAlign w:val="center"/>
          </w:tcPr>
          <w:p>
            <w:pPr>
              <w:snapToGrid w:val="0"/>
              <w:spacing w:line="320" w:lineRule="exact"/>
              <w:rPr>
                <w:rFonts w:hint="eastAsia" w:ascii="宋体" w:hAnsi="宋体" w:cs="宋体"/>
                <w:color w:val="auto"/>
                <w:szCs w:val="21"/>
              </w:rPr>
            </w:pPr>
            <w:r>
              <w:rPr>
                <w:rFonts w:hint="eastAsia" w:ascii="宋体" w:hAnsi="宋体" w:cs="宋体"/>
                <w:color w:val="auto"/>
                <w:szCs w:val="21"/>
              </w:rPr>
              <w:t>合同签订：按照招标的规定、中标人的投标文件及中标通知书确定的金额签订合同。</w:t>
            </w:r>
          </w:p>
        </w:tc>
        <w:tc>
          <w:tcPr>
            <w:tcW w:w="1612" w:type="dxa"/>
            <w:noWrap w:val="0"/>
            <w:vAlign w:val="center"/>
          </w:tcPr>
          <w:p>
            <w:pPr>
              <w:snapToGrid w:val="0"/>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jc w:val="center"/>
        </w:trPr>
        <w:tc>
          <w:tcPr>
            <w:tcW w:w="890" w:type="dxa"/>
            <w:noWrap w:val="0"/>
            <w:vAlign w:val="center"/>
          </w:tcPr>
          <w:p>
            <w:pP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w:t>
            </w:r>
            <w:r>
              <w:rPr>
                <w:rFonts w:hint="eastAsia" w:ascii="宋体"/>
                <w:color w:val="auto"/>
                <w:szCs w:val="21"/>
              </w:rPr>
              <w:t>4</w:t>
            </w:r>
          </w:p>
        </w:tc>
        <w:tc>
          <w:tcPr>
            <w:tcW w:w="6482" w:type="dxa"/>
            <w:noWrap w:val="0"/>
            <w:vAlign w:val="center"/>
          </w:tcPr>
          <w:p>
            <w:pPr>
              <w:snapToGrid w:val="0"/>
              <w:spacing w:line="320" w:lineRule="exact"/>
              <w:rPr>
                <w:rFonts w:hint="eastAsia" w:ascii="宋体" w:hAnsi="宋体" w:cs="宋体"/>
                <w:color w:val="auto"/>
                <w:szCs w:val="21"/>
              </w:rPr>
            </w:pPr>
            <w:r>
              <w:rPr>
                <w:rFonts w:hint="eastAsia" w:ascii="宋体" w:hAnsi="宋体" w:cs="宋体"/>
                <w:color w:val="auto"/>
                <w:szCs w:val="21"/>
              </w:rPr>
              <w:t>合同签订时间：中标交通知书发出之日起30天内。</w:t>
            </w:r>
          </w:p>
        </w:tc>
        <w:tc>
          <w:tcPr>
            <w:tcW w:w="1612" w:type="dxa"/>
            <w:noWrap w:val="0"/>
            <w:vAlign w:val="center"/>
          </w:tcPr>
          <w:p>
            <w:pPr>
              <w:snapToGrid w:val="0"/>
              <w:spacing w:line="320" w:lineRule="exact"/>
              <w:rPr>
                <w:rFonts w:hint="eastAsia" w:ascii="宋体" w:hAnsi="宋体" w:cs="宋体"/>
                <w:color w:val="auto"/>
                <w:szCs w:val="21"/>
              </w:rPr>
            </w:pPr>
          </w:p>
        </w:tc>
      </w:tr>
    </w:tbl>
    <w:p>
      <w:pPr>
        <w:spacing w:line="400" w:lineRule="exact"/>
        <w:outlineLvl w:val="0"/>
        <w:rPr>
          <w:rFonts w:ascii="宋体" w:hAnsi="宋体"/>
          <w:bCs/>
          <w:color w:val="auto"/>
          <w:sz w:val="24"/>
        </w:rPr>
      </w:pPr>
    </w:p>
    <w:p>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22"/>
    <w:p>
      <w:pPr>
        <w:spacing w:line="400" w:lineRule="exact"/>
        <w:jc w:val="center"/>
        <w:outlineLvl w:val="0"/>
        <w:rPr>
          <w:rFonts w:ascii="宋体" w:hAnsi="宋体"/>
          <w:b/>
          <w:color w:val="auto"/>
          <w:sz w:val="32"/>
        </w:rPr>
      </w:pPr>
      <w:bookmarkStart w:id="24" w:name="_Toc44162156"/>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24"/>
    </w:p>
    <w:p>
      <w:pPr>
        <w:autoSpaceDE w:val="0"/>
        <w:autoSpaceDN w:val="0"/>
        <w:adjustRightInd w:val="0"/>
        <w:spacing w:before="960" w:beforeLines="400" w:line="420" w:lineRule="exact"/>
        <w:jc w:val="center"/>
        <w:rPr>
          <w:rStyle w:val="116"/>
          <w:rFonts w:ascii="宋体" w:hAnsi="宋体"/>
          <w:color w:val="auto"/>
          <w:sz w:val="32"/>
          <w:szCs w:val="32"/>
        </w:rPr>
      </w:pPr>
      <w:r>
        <w:rPr>
          <w:rStyle w:val="116"/>
          <w:rFonts w:ascii="宋体" w:hAnsi="宋体"/>
          <w:color w:val="auto"/>
          <w:sz w:val="32"/>
          <w:szCs w:val="32"/>
        </w:rPr>
        <w:t>A.</w:t>
      </w:r>
      <w:r>
        <w:rPr>
          <w:rStyle w:val="116"/>
          <w:rFonts w:hint="eastAsia" w:ascii="宋体" w:hAnsi="宋体"/>
          <w:color w:val="auto"/>
          <w:sz w:val="32"/>
          <w:szCs w:val="32"/>
        </w:rPr>
        <w:t>资格文件</w:t>
      </w:r>
    </w:p>
    <w:p>
      <w:pPr>
        <w:spacing w:line="360" w:lineRule="auto"/>
        <w:ind w:firstLine="1120" w:firstLineChars="400"/>
        <w:rPr>
          <w:rFonts w:ascii="宋体" w:hAnsi="宋体"/>
          <w:color w:val="auto"/>
          <w:sz w:val="28"/>
        </w:rPr>
      </w:pPr>
    </w:p>
    <w:p>
      <w:pPr>
        <w:spacing w:line="360" w:lineRule="auto"/>
        <w:rPr>
          <w:rFonts w:ascii="宋体" w:hAnsi="宋体"/>
          <w:b/>
          <w:color w:val="auto"/>
          <w:sz w:val="32"/>
          <w:szCs w:val="32"/>
        </w:rPr>
      </w:pPr>
      <w:r>
        <w:rPr>
          <w:rFonts w:ascii="宋体" w:hAnsi="宋体"/>
          <w:color w:val="auto"/>
          <w:sz w:val="28"/>
        </w:rPr>
        <w:br w:type="page"/>
      </w:r>
      <w:r>
        <w:rPr>
          <w:rFonts w:hint="eastAsia" w:ascii="宋体" w:hAnsi="宋体"/>
          <w:b/>
          <w:color w:val="auto"/>
          <w:sz w:val="32"/>
          <w:szCs w:val="32"/>
        </w:rPr>
        <w:t>封面</w:t>
      </w:r>
      <w:r>
        <w:rPr>
          <w:rFonts w:ascii="宋体" w:hAnsi="宋体"/>
          <w:b/>
          <w:color w:val="auto"/>
          <w:sz w:val="32"/>
          <w:szCs w:val="32"/>
        </w:rPr>
        <w:t xml:space="preserve">                                       </w:t>
      </w:r>
    </w:p>
    <w:p>
      <w:pPr>
        <w:spacing w:line="360" w:lineRule="auto"/>
        <w:jc w:val="right"/>
        <w:rPr>
          <w:rFonts w:ascii="宋体" w:hAnsi="宋体"/>
          <w:b/>
          <w:color w:val="auto"/>
          <w:sz w:val="32"/>
          <w:szCs w:val="32"/>
        </w:rPr>
      </w:pPr>
      <w:r>
        <w:rPr>
          <w:rFonts w:hint="eastAsia" w:ascii="宋体" w:hAnsi="宋体"/>
          <w:b/>
          <w:color w:val="auto"/>
          <w:sz w:val="32"/>
          <w:szCs w:val="32"/>
        </w:rPr>
        <w:t>正（副）本</w:t>
      </w:r>
    </w:p>
    <w:p>
      <w:pPr>
        <w:spacing w:line="360" w:lineRule="auto"/>
        <w:rPr>
          <w:rFonts w:ascii="宋体" w:hAnsi="宋体"/>
          <w:color w:val="auto"/>
          <w:sz w:val="28"/>
          <w:szCs w:val="28"/>
        </w:rPr>
      </w:pPr>
    </w:p>
    <w:p>
      <w:pPr>
        <w:spacing w:line="360" w:lineRule="auto"/>
        <w:jc w:val="center"/>
        <w:rPr>
          <w:rFonts w:hint="eastAsia" w:ascii="宋体" w:hAnsi="宋体"/>
          <w:color w:val="auto"/>
          <w:sz w:val="36"/>
          <w:szCs w:val="36"/>
        </w:rPr>
      </w:pPr>
      <w:r>
        <w:rPr>
          <w:rFonts w:hint="eastAsia" w:ascii="宋体" w:hAnsi="宋体"/>
          <w:color w:val="auto"/>
          <w:sz w:val="36"/>
          <w:szCs w:val="36"/>
        </w:rPr>
        <w:t>宁波市镇海区人民医院医疗集团</w:t>
      </w:r>
      <w:r>
        <w:rPr>
          <w:rFonts w:hint="eastAsia" w:ascii="宋体" w:hAnsi="宋体"/>
          <w:color w:val="auto"/>
          <w:sz w:val="36"/>
          <w:szCs w:val="36"/>
          <w:lang w:eastAsia="zh-CN"/>
        </w:rPr>
        <w:t>医学标本外送检测服务</w:t>
      </w:r>
      <w:r>
        <w:rPr>
          <w:rFonts w:hint="eastAsia" w:ascii="宋体" w:hAnsi="宋体"/>
          <w:color w:val="auto"/>
          <w:sz w:val="36"/>
          <w:szCs w:val="36"/>
        </w:rPr>
        <w:t>项目采购编号：NBITC-2021</w:t>
      </w:r>
      <w:r>
        <w:rPr>
          <w:rFonts w:hint="eastAsia" w:ascii="宋体" w:hAnsi="宋体"/>
          <w:color w:val="auto"/>
          <w:sz w:val="36"/>
          <w:szCs w:val="36"/>
          <w:lang w:val="en-US" w:eastAsia="zh-CN"/>
        </w:rPr>
        <w:t>30999</w:t>
      </w:r>
      <w:r>
        <w:rPr>
          <w:rFonts w:hint="eastAsia" w:ascii="宋体" w:hAnsi="宋体"/>
          <w:color w:val="auto"/>
          <w:sz w:val="36"/>
          <w:szCs w:val="36"/>
        </w:rPr>
        <w:t>G</w:t>
      </w:r>
    </w:p>
    <w:p>
      <w:pPr>
        <w:spacing w:line="360" w:lineRule="auto"/>
        <w:jc w:val="center"/>
        <w:rPr>
          <w:rFonts w:ascii="宋体" w:hAnsi="宋体"/>
          <w:color w:val="auto"/>
          <w:sz w:val="36"/>
          <w:szCs w:val="36"/>
        </w:rPr>
      </w:pPr>
      <w:r>
        <w:rPr>
          <w:rFonts w:hint="eastAsia" w:ascii="宋体" w:hAnsi="宋体"/>
          <w:color w:val="auto"/>
          <w:sz w:val="36"/>
          <w:szCs w:val="36"/>
        </w:rPr>
        <w:t>标</w:t>
      </w:r>
      <w:r>
        <w:rPr>
          <w:rFonts w:ascii="宋体" w:hAnsi="宋体"/>
          <w:color w:val="auto"/>
          <w:sz w:val="36"/>
          <w:szCs w:val="36"/>
        </w:rPr>
        <w:t xml:space="preserve">    </w:t>
      </w:r>
      <w:r>
        <w:rPr>
          <w:rFonts w:hint="eastAsia" w:ascii="宋体" w:hAnsi="宋体"/>
          <w:color w:val="auto"/>
          <w:sz w:val="36"/>
          <w:szCs w:val="36"/>
        </w:rPr>
        <w:t>项：</w:t>
      </w:r>
      <w:r>
        <w:rPr>
          <w:rFonts w:hint="eastAsia" w:ascii="宋体" w:hAnsi="宋体"/>
          <w:color w:val="auto"/>
          <w:sz w:val="36"/>
          <w:szCs w:val="36"/>
          <w:u w:val="single"/>
        </w:rPr>
        <w:t>（如有多个标项）</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（资格文件）</w:t>
      </w:r>
    </w:p>
    <w:p>
      <w:pPr>
        <w:jc w:val="center"/>
        <w:rPr>
          <w:rFonts w:ascii="宋体" w:hAnsi="宋体"/>
          <w:color w:val="auto"/>
          <w:sz w:val="28"/>
          <w:szCs w:val="28"/>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pPr>
        <w:pStyle w:val="24"/>
        <w:ind w:left="101" w:leftChars="48" w:firstLine="1920" w:firstLineChars="800"/>
        <w:jc w:val="left"/>
        <w:rPr>
          <w:rFonts w:hAnsi="宋体"/>
          <w:color w:val="auto"/>
          <w:kern w:val="2"/>
          <w:szCs w:val="28"/>
          <w:u w:val="single"/>
        </w:rPr>
      </w:pPr>
    </w:p>
    <w:p>
      <w:pPr>
        <w:spacing w:line="360" w:lineRule="auto"/>
        <w:jc w:val="center"/>
        <w:rPr>
          <w:rFonts w:ascii="宋体" w:hAnsi="宋体"/>
          <w:color w:val="auto"/>
          <w:sz w:val="36"/>
          <w:szCs w:val="36"/>
        </w:rPr>
      </w:pPr>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p>
    <w:p>
      <w:pPr>
        <w:spacing w:line="360" w:lineRule="auto"/>
        <w:rPr>
          <w:rStyle w:val="116"/>
          <w:rFonts w:ascii="宋体" w:hAnsi="宋体"/>
          <w:color w:val="auto"/>
          <w:szCs w:val="21"/>
        </w:rPr>
      </w:pPr>
      <w:r>
        <w:rPr>
          <w:rStyle w:val="116"/>
          <w:rFonts w:ascii="宋体" w:hAnsi="宋体"/>
          <w:color w:val="auto"/>
          <w:szCs w:val="21"/>
        </w:rPr>
        <w:br w:type="page"/>
      </w:r>
    </w:p>
    <w:p>
      <w:pPr>
        <w:spacing w:line="400" w:lineRule="exact"/>
        <w:jc w:val="center"/>
        <w:rPr>
          <w:rFonts w:ascii="宋体" w:hAnsi="宋体"/>
          <w:b/>
          <w:color w:val="auto"/>
          <w:szCs w:val="21"/>
        </w:rPr>
      </w:pPr>
      <w:r>
        <w:rPr>
          <w:rFonts w:ascii="宋体" w:hAnsi="宋体"/>
          <w:b/>
          <w:color w:val="auto"/>
          <w:szCs w:val="21"/>
        </w:rPr>
        <w:t>A1</w:t>
      </w:r>
      <w:r>
        <w:rPr>
          <w:rFonts w:hint="eastAsia" w:ascii="宋体" w:hAnsi="宋体"/>
          <w:b/>
          <w:color w:val="auto"/>
          <w:szCs w:val="21"/>
        </w:rPr>
        <w:t>、营业执照副本（或事业法人登记证副本或其他登记证明材料）复印件加盖供应商公章（供应商如果有名称变更的，应提供由行政主管部门出具的变更证明文件复印件加盖供应商公章）</w:t>
      </w:r>
    </w:p>
    <w:p>
      <w:pPr>
        <w:snapToGrid w:val="0"/>
        <w:spacing w:before="50" w:after="120" w:afterLines="50"/>
        <w:jc w:val="left"/>
        <w:rPr>
          <w:rFonts w:ascii="宋体" w:hAnsi="宋体"/>
          <w:b/>
          <w:color w:val="auto"/>
          <w:szCs w:val="21"/>
        </w:rPr>
      </w:pPr>
      <w:r>
        <w:rPr>
          <w:rStyle w:val="116"/>
          <w:rFonts w:ascii="宋体" w:hAnsi="宋体"/>
          <w:color w:val="auto"/>
          <w:szCs w:val="21"/>
        </w:rPr>
        <w:br w:type="page"/>
      </w:r>
      <w:r>
        <w:rPr>
          <w:rFonts w:ascii="宋体" w:hAnsi="宋体"/>
          <w:b/>
          <w:color w:val="auto"/>
          <w:szCs w:val="21"/>
        </w:rPr>
        <w:t>A</w:t>
      </w:r>
      <w:r>
        <w:rPr>
          <w:rFonts w:hint="eastAsia" w:ascii="宋体" w:hAnsi="宋体"/>
          <w:b/>
          <w:color w:val="auto"/>
          <w:szCs w:val="21"/>
        </w:rPr>
        <w:t>2、</w:t>
      </w:r>
      <w:r>
        <w:rPr>
          <w:rFonts w:hint="eastAsia" w:ascii="宋体" w:hAnsi="宋体"/>
          <w:b/>
          <w:color w:val="auto"/>
          <w:szCs w:val="21"/>
        </w:rPr>
        <w:t>关于资格</w:t>
      </w:r>
      <w:r>
        <w:rPr>
          <w:rFonts w:hint="eastAsia" w:ascii="宋体" w:hAnsi="宋体"/>
          <w:b/>
          <w:color w:val="auto"/>
          <w:szCs w:val="21"/>
          <w:lang w:eastAsia="zh-CN"/>
        </w:rPr>
        <w:t>的承诺</w:t>
      </w:r>
      <w:r>
        <w:rPr>
          <w:rFonts w:hint="eastAsia" w:ascii="宋体" w:hAnsi="宋体"/>
          <w:b/>
          <w:color w:val="auto"/>
          <w:szCs w:val="21"/>
        </w:rPr>
        <w:t>函：</w:t>
      </w:r>
    </w:p>
    <w:p>
      <w:pPr>
        <w:spacing w:line="400" w:lineRule="exact"/>
        <w:jc w:val="center"/>
        <w:rPr>
          <w:rFonts w:ascii="宋体" w:hAnsi="宋体"/>
          <w:b/>
          <w:color w:val="auto"/>
          <w:szCs w:val="21"/>
        </w:rPr>
      </w:pPr>
      <w:r>
        <w:rPr>
          <w:rStyle w:val="116"/>
          <w:rFonts w:hint="eastAsia" w:ascii="宋体" w:hAnsi="宋体"/>
          <w:color w:val="auto"/>
          <w:sz w:val="21"/>
          <w:szCs w:val="21"/>
        </w:rPr>
        <w:t>关于</w:t>
      </w:r>
      <w:r>
        <w:rPr>
          <w:rFonts w:hint="eastAsia" w:ascii="宋体" w:hAnsi="宋体"/>
          <w:b/>
          <w:color w:val="auto"/>
          <w:szCs w:val="21"/>
        </w:rPr>
        <w:t>资格</w:t>
      </w:r>
      <w:r>
        <w:rPr>
          <w:rFonts w:hint="eastAsia" w:ascii="宋体" w:hAnsi="宋体" w:eastAsia="宋体"/>
          <w:b/>
          <w:color w:val="auto"/>
          <w:szCs w:val="21"/>
          <w:lang w:eastAsia="zh-CN"/>
        </w:rPr>
        <w:t>的承诺</w:t>
      </w:r>
      <w:r>
        <w:rPr>
          <w:rFonts w:hint="eastAsia" w:ascii="宋体" w:hAnsi="宋体"/>
          <w:b/>
          <w:color w:val="auto"/>
          <w:szCs w:val="21"/>
        </w:rPr>
        <w:t>函</w:t>
      </w:r>
    </w:p>
    <w:p>
      <w:pPr>
        <w:spacing w:line="400" w:lineRule="exact"/>
        <w:ind w:left="540" w:firstLine="30"/>
        <w:jc w:val="center"/>
        <w:rPr>
          <w:rFonts w:ascii="宋体" w:hAnsi="宋体"/>
          <w:b/>
          <w:color w:val="auto"/>
          <w:szCs w:val="21"/>
        </w:rPr>
      </w:pPr>
    </w:p>
    <w:p>
      <w:pPr>
        <w:snapToGrid w:val="0"/>
        <w:spacing w:before="120" w:beforeLines="50" w:after="50"/>
        <w:rPr>
          <w:rFonts w:ascii="宋体" w:hAnsi="宋体"/>
          <w:color w:val="auto"/>
          <w:szCs w:val="21"/>
        </w:rPr>
      </w:pPr>
      <w:r>
        <w:rPr>
          <w:rFonts w:hint="eastAsia" w:ascii="宋体" w:hAnsi="宋体"/>
          <w:color w:val="auto"/>
          <w:szCs w:val="21"/>
        </w:rPr>
        <w:t>致：</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（采购人名称）：</w:t>
      </w:r>
    </w:p>
    <w:p>
      <w:pPr>
        <w:spacing w:line="400" w:lineRule="exact"/>
        <w:ind w:firstLine="420" w:firstLineChars="200"/>
        <w:rPr>
          <w:rFonts w:hint="eastAsia" w:ascii="宋体" w:hAnsi="宋体"/>
          <w:color w:val="auto"/>
          <w:szCs w:val="21"/>
        </w:rPr>
      </w:pP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（投标人名称）自愿参加项目编号为</w:t>
      </w:r>
      <w:r>
        <w:rPr>
          <w:rFonts w:hint="eastAsia" w:ascii="宋体" w:hAnsi="宋体"/>
          <w:color w:val="auto"/>
          <w:szCs w:val="21"/>
          <w:u w:val="single"/>
        </w:rPr>
        <w:t xml:space="preserve">      </w:t>
      </w:r>
      <w:r>
        <w:rPr>
          <w:rFonts w:hint="eastAsia" w:ascii="宋体" w:hAnsi="宋体"/>
          <w:color w:val="auto"/>
          <w:szCs w:val="21"/>
        </w:rPr>
        <w:t>的</w:t>
      </w:r>
      <w:r>
        <w:rPr>
          <w:rFonts w:hint="eastAsia" w:ascii="宋体" w:hAnsi="宋体"/>
          <w:color w:val="auto"/>
          <w:szCs w:val="21"/>
          <w:u w:val="single"/>
        </w:rPr>
        <w:t xml:space="preserve"> 项目名称      </w:t>
      </w:r>
      <w:r>
        <w:rPr>
          <w:rFonts w:hint="eastAsia" w:ascii="宋体" w:hAnsi="宋体"/>
          <w:color w:val="auto"/>
          <w:szCs w:val="21"/>
        </w:rPr>
        <w:t xml:space="preserve">的投标，现就投标人资格声明如下： </w:t>
      </w:r>
    </w:p>
    <w:p>
      <w:pPr>
        <w:spacing w:line="400" w:lineRule="exact"/>
        <w:ind w:firstLine="420" w:firstLineChars="200"/>
        <w:rPr>
          <w:rFonts w:hint="eastAsia" w:ascii="宋体" w:hAnsi="宋体"/>
          <w:color w:val="auto"/>
          <w:szCs w:val="21"/>
        </w:rPr>
      </w:pPr>
      <w:r>
        <w:rPr>
          <w:rFonts w:hint="eastAsia" w:ascii="宋体" w:hAnsi="宋体"/>
          <w:color w:val="auto"/>
          <w:szCs w:val="21"/>
        </w:rPr>
        <w:t>1、我单位为法人/其他组织/自然人。</w:t>
      </w:r>
    </w:p>
    <w:p>
      <w:pPr>
        <w:spacing w:line="400" w:lineRule="exact"/>
        <w:ind w:firstLine="420" w:firstLineChars="200"/>
        <w:rPr>
          <w:rFonts w:hint="eastAsia" w:ascii="宋体" w:hAnsi="宋体"/>
          <w:color w:val="auto"/>
          <w:szCs w:val="21"/>
        </w:rPr>
      </w:pPr>
      <w:r>
        <w:rPr>
          <w:rFonts w:hint="eastAsia" w:ascii="宋体" w:hAnsi="宋体"/>
          <w:color w:val="auto"/>
          <w:szCs w:val="21"/>
        </w:rPr>
        <w:t>2、我单位符合《中华人民共和国政府采购法》第</w:t>
      </w:r>
      <w:r>
        <w:rPr>
          <w:rFonts w:ascii="宋体" w:hAnsi="宋体"/>
          <w:color w:val="auto"/>
          <w:szCs w:val="21"/>
        </w:rPr>
        <w:t>22</w:t>
      </w:r>
      <w:r>
        <w:rPr>
          <w:rFonts w:hint="eastAsia" w:ascii="宋体" w:hAnsi="宋体"/>
          <w:color w:val="auto"/>
          <w:szCs w:val="21"/>
        </w:rPr>
        <w:t>条的一般资格条件的规定：</w:t>
      </w:r>
    </w:p>
    <w:p>
      <w:pPr>
        <w:spacing w:line="40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400" w:lineRule="exact"/>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400" w:lineRule="exact"/>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400" w:lineRule="exact"/>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400" w:lineRule="exact"/>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spacing w:line="400" w:lineRule="exact"/>
        <w:ind w:firstLine="420" w:firstLineChars="200"/>
        <w:rPr>
          <w:rFonts w:hint="eastAsia" w:ascii="宋体" w:hAnsi="宋体"/>
          <w:color w:val="auto"/>
          <w:szCs w:val="21"/>
        </w:rPr>
      </w:pPr>
      <w:r>
        <w:rPr>
          <w:rFonts w:hint="eastAsia" w:ascii="宋体" w:hAnsi="宋体"/>
          <w:color w:val="auto"/>
          <w:szCs w:val="21"/>
        </w:rPr>
        <w:t>(6)、法律、行政法规规定的其他条件。</w:t>
      </w:r>
    </w:p>
    <w:p>
      <w:pPr>
        <w:spacing w:line="400" w:lineRule="exact"/>
        <w:ind w:firstLine="42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、本次投标由我单位独自参与，为非联合体投标。</w:t>
      </w:r>
    </w:p>
    <w:p>
      <w:pPr>
        <w:spacing w:line="400" w:lineRule="exact"/>
        <w:ind w:firstLine="42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、我单位符合采购文件规定的特定资格条件的要求。</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rPr>
          <w:rFonts w:hint="eastAsia" w:ascii="宋体" w:hAnsi="宋体"/>
          <w:color w:val="auto"/>
          <w:szCs w:val="21"/>
        </w:rPr>
      </w:pPr>
    </w:p>
    <w:p>
      <w:pPr>
        <w:spacing w:line="400" w:lineRule="exact"/>
        <w:ind w:firstLine="422" w:firstLineChars="200"/>
        <w:rPr>
          <w:rFonts w:hint="eastAsia" w:ascii="宋体" w:hAnsi="宋体"/>
          <w:b/>
          <w:color w:val="auto"/>
          <w:szCs w:val="21"/>
        </w:rPr>
      </w:pPr>
    </w:p>
    <w:p>
      <w:pPr>
        <w:snapToGrid w:val="0"/>
        <w:spacing w:before="50" w:after="120" w:afterLines="50"/>
        <w:jc w:val="left"/>
        <w:rPr>
          <w:rFonts w:hint="eastAsia" w:ascii="宋体" w:hAnsi="宋体"/>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40" w:lineRule="exact"/>
        <w:jc w:val="center"/>
        <w:rPr>
          <w:rStyle w:val="116"/>
          <w:rFonts w:ascii="宋体" w:hAnsi="宋体"/>
          <w:color w:val="auto"/>
          <w:szCs w:val="21"/>
        </w:rPr>
      </w:pPr>
    </w:p>
    <w:p>
      <w:pPr>
        <w:spacing w:line="400" w:lineRule="exact"/>
        <w:jc w:val="left"/>
        <w:rPr>
          <w:rStyle w:val="116"/>
          <w:rFonts w:ascii="宋体" w:hAnsi="宋体"/>
          <w:color w:val="auto"/>
          <w:sz w:val="28"/>
          <w:szCs w:val="28"/>
        </w:rPr>
      </w:pPr>
    </w:p>
    <w:p>
      <w:pPr>
        <w:autoSpaceDE w:val="0"/>
        <w:autoSpaceDN w:val="0"/>
        <w:adjustRightInd w:val="0"/>
        <w:spacing w:before="240" w:beforeLines="100" w:line="400" w:lineRule="exact"/>
        <w:jc w:val="center"/>
        <w:outlineLvl w:val="0"/>
        <w:rPr>
          <w:rStyle w:val="116"/>
          <w:rFonts w:ascii="宋体" w:hAnsi="宋体"/>
          <w:color w:val="auto"/>
          <w:sz w:val="32"/>
          <w:szCs w:val="32"/>
        </w:rPr>
      </w:pPr>
      <w:bookmarkStart w:id="25" w:name="_Toc44162157"/>
      <w:bookmarkStart w:id="26" w:name="_Toc16913"/>
      <w:bookmarkStart w:id="27" w:name="_Toc21541026"/>
      <w:r>
        <w:rPr>
          <w:rStyle w:val="116"/>
          <w:rFonts w:ascii="宋体" w:hAnsi="宋体"/>
          <w:color w:val="auto"/>
          <w:sz w:val="32"/>
          <w:szCs w:val="32"/>
        </w:rPr>
        <w:t>B.</w:t>
      </w:r>
      <w:r>
        <w:rPr>
          <w:rStyle w:val="116"/>
          <w:rFonts w:hint="eastAsia" w:ascii="宋体" w:hAnsi="宋体"/>
          <w:color w:val="auto"/>
          <w:sz w:val="32"/>
          <w:szCs w:val="32"/>
        </w:rPr>
        <w:t>商务和技术文件</w:t>
      </w:r>
      <w:bookmarkEnd w:id="25"/>
      <w:bookmarkEnd w:id="26"/>
      <w:bookmarkEnd w:id="27"/>
    </w:p>
    <w:p>
      <w:pPr>
        <w:autoSpaceDE w:val="0"/>
        <w:autoSpaceDN w:val="0"/>
        <w:adjustRightInd w:val="0"/>
        <w:spacing w:line="420" w:lineRule="exact"/>
        <w:rPr>
          <w:rStyle w:val="116"/>
          <w:rFonts w:ascii="宋体" w:hAnsi="宋体"/>
          <w:b w:val="0"/>
          <w:color w:val="auto"/>
          <w:lang w:val="zh-CN"/>
        </w:rPr>
      </w:pPr>
      <w:r>
        <w:rPr>
          <w:rStyle w:val="116"/>
          <w:rFonts w:ascii="宋体" w:hAnsi="宋体"/>
          <w:color w:val="auto"/>
          <w:sz w:val="32"/>
          <w:szCs w:val="32"/>
        </w:rPr>
        <w:br w:type="page"/>
      </w:r>
      <w:r>
        <w:rPr>
          <w:rStyle w:val="116"/>
          <w:rFonts w:hint="eastAsia" w:ascii="宋体" w:hAnsi="宋体"/>
          <w:color w:val="auto"/>
          <w:szCs w:val="21"/>
        </w:rPr>
        <w:t>封面</w:t>
      </w:r>
    </w:p>
    <w:p>
      <w:pPr>
        <w:spacing w:line="360" w:lineRule="auto"/>
        <w:ind w:firstLine="1285" w:firstLineChars="400"/>
        <w:jc w:val="right"/>
        <w:rPr>
          <w:rFonts w:ascii="宋体" w:hAnsi="宋体"/>
          <w:b/>
          <w:color w:val="auto"/>
          <w:sz w:val="32"/>
          <w:szCs w:val="32"/>
        </w:rPr>
      </w:pPr>
      <w:r>
        <w:rPr>
          <w:rFonts w:hint="eastAsia" w:ascii="宋体" w:hAnsi="宋体"/>
          <w:b/>
          <w:color w:val="auto"/>
          <w:sz w:val="32"/>
          <w:szCs w:val="32"/>
        </w:rPr>
        <w:t>正本</w:t>
      </w:r>
    </w:p>
    <w:p>
      <w:pPr>
        <w:spacing w:line="360" w:lineRule="auto"/>
        <w:rPr>
          <w:rFonts w:ascii="宋体" w:hAnsi="宋体"/>
          <w:color w:val="auto"/>
          <w:sz w:val="28"/>
          <w:szCs w:val="28"/>
        </w:rPr>
      </w:pPr>
    </w:p>
    <w:p>
      <w:pPr>
        <w:spacing w:line="360" w:lineRule="auto"/>
        <w:jc w:val="center"/>
        <w:rPr>
          <w:rFonts w:hint="eastAsia" w:ascii="宋体" w:hAnsi="宋体"/>
          <w:color w:val="auto"/>
          <w:sz w:val="36"/>
          <w:szCs w:val="36"/>
          <w:u w:val="single"/>
        </w:rPr>
      </w:pPr>
      <w:r>
        <w:rPr>
          <w:rFonts w:hint="eastAsia" w:ascii="宋体" w:hAnsi="宋体"/>
          <w:color w:val="auto"/>
          <w:sz w:val="36"/>
          <w:szCs w:val="36"/>
          <w:u w:val="none"/>
        </w:rPr>
        <w:t>宁波市镇海区人民医院医疗集团</w:t>
      </w:r>
      <w:r>
        <w:rPr>
          <w:rFonts w:hint="eastAsia" w:ascii="宋体" w:hAnsi="宋体"/>
          <w:color w:val="auto"/>
          <w:sz w:val="36"/>
          <w:szCs w:val="36"/>
          <w:u w:val="none"/>
          <w:lang w:eastAsia="zh-CN"/>
        </w:rPr>
        <w:t>医学标本外送检测服务</w:t>
      </w:r>
      <w:r>
        <w:rPr>
          <w:rFonts w:hint="eastAsia" w:ascii="宋体" w:hAnsi="宋体"/>
          <w:color w:val="auto"/>
          <w:sz w:val="36"/>
          <w:szCs w:val="36"/>
          <w:u w:val="none"/>
        </w:rPr>
        <w:t>项目</w:t>
      </w:r>
      <w:r>
        <w:rPr>
          <w:rFonts w:hint="eastAsia" w:ascii="宋体" w:hAnsi="宋体"/>
          <w:color w:val="auto"/>
          <w:sz w:val="36"/>
          <w:szCs w:val="36"/>
          <w:u w:val="single"/>
        </w:rPr>
        <w:t>采购编号：NBITC-2021</w:t>
      </w:r>
      <w:r>
        <w:rPr>
          <w:rFonts w:hint="eastAsia" w:ascii="宋体" w:hAnsi="宋体"/>
          <w:color w:val="auto"/>
          <w:sz w:val="36"/>
          <w:szCs w:val="36"/>
          <w:u w:val="single"/>
          <w:lang w:val="en-US" w:eastAsia="zh-CN"/>
        </w:rPr>
        <w:t>30999</w:t>
      </w:r>
      <w:r>
        <w:rPr>
          <w:rFonts w:hint="eastAsia" w:ascii="宋体" w:hAnsi="宋体"/>
          <w:color w:val="auto"/>
          <w:sz w:val="36"/>
          <w:szCs w:val="36"/>
          <w:u w:val="single"/>
        </w:rPr>
        <w:t>G</w:t>
      </w:r>
    </w:p>
    <w:p>
      <w:pPr>
        <w:spacing w:line="360" w:lineRule="auto"/>
        <w:ind w:firstLine="2340" w:firstLineChars="650"/>
        <w:rPr>
          <w:rFonts w:ascii="宋体" w:hAnsi="宋体"/>
          <w:color w:val="auto"/>
          <w:sz w:val="36"/>
          <w:szCs w:val="36"/>
        </w:rPr>
      </w:pPr>
      <w:r>
        <w:rPr>
          <w:rFonts w:hint="eastAsia" w:ascii="宋体" w:hAnsi="宋体"/>
          <w:color w:val="auto"/>
          <w:sz w:val="36"/>
          <w:szCs w:val="36"/>
          <w:u w:val="single"/>
        </w:rPr>
        <w:t>标</w:t>
      </w:r>
      <w:r>
        <w:rPr>
          <w:rFonts w:ascii="宋体" w:hAnsi="宋体"/>
          <w:color w:val="auto"/>
          <w:sz w:val="36"/>
          <w:szCs w:val="36"/>
          <w:u w:val="single"/>
        </w:rPr>
        <w:t xml:space="preserve">    </w:t>
      </w:r>
      <w:r>
        <w:rPr>
          <w:rFonts w:hint="eastAsia" w:ascii="宋体" w:hAnsi="宋体"/>
          <w:color w:val="auto"/>
          <w:sz w:val="36"/>
          <w:szCs w:val="36"/>
          <w:u w:val="single"/>
        </w:rPr>
        <w:t>项：（如有多个标项）</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（商务和技术文件）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pPr>
        <w:pStyle w:val="24"/>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116"/>
          <w:rFonts w:ascii="宋体" w:hAnsi="宋体"/>
          <w:color w:val="auto"/>
          <w:sz w:val="28"/>
          <w:szCs w:val="28"/>
        </w:rPr>
      </w:pPr>
      <w:bookmarkStart w:id="28" w:name="_Toc44162158"/>
      <w:bookmarkStart w:id="29" w:name="_Toc21541027"/>
      <w:bookmarkStart w:id="30" w:name="_Toc12534"/>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28"/>
      <w:bookmarkEnd w:id="29"/>
      <w:bookmarkEnd w:id="30"/>
    </w:p>
    <w:p>
      <w:pPr>
        <w:spacing w:line="360" w:lineRule="auto"/>
        <w:ind w:firstLine="4200" w:firstLineChars="2000"/>
        <w:jc w:val="left"/>
        <w:rPr>
          <w:rFonts w:ascii="宋体" w:hAnsi="宋体"/>
          <w:color w:val="auto"/>
          <w:szCs w:val="21"/>
        </w:rPr>
      </w:pPr>
    </w:p>
    <w:p>
      <w:pPr>
        <w:spacing w:line="360" w:lineRule="auto"/>
        <w:jc w:val="center"/>
        <w:rPr>
          <w:rFonts w:hint="eastAsia" w:ascii="宋体" w:hAnsi="宋体"/>
          <w:b/>
          <w:color w:val="auto"/>
          <w:szCs w:val="21"/>
        </w:rPr>
      </w:pPr>
      <w:r>
        <w:rPr>
          <w:rStyle w:val="116"/>
          <w:rFonts w:ascii="宋体" w:hAnsi="宋体"/>
          <w:color w:val="auto"/>
          <w:szCs w:val="21"/>
        </w:rPr>
        <w:br w:type="page"/>
      </w:r>
      <w:r>
        <w:rPr>
          <w:rFonts w:hint="eastAsia" w:ascii="宋体" w:hAnsi="宋体"/>
          <w:b/>
          <w:color w:val="auto"/>
          <w:szCs w:val="21"/>
        </w:rPr>
        <w:t>B1投标书</w:t>
      </w:r>
    </w:p>
    <w:p>
      <w:pPr>
        <w:spacing w:line="400" w:lineRule="exact"/>
        <w:rPr>
          <w:rFonts w:hint="eastAsia" w:ascii="宋体" w:hAnsi="宋体"/>
          <w:color w:val="auto"/>
          <w:szCs w:val="21"/>
        </w:rPr>
      </w:pPr>
      <w:r>
        <w:rPr>
          <w:rFonts w:hint="eastAsia" w:ascii="宋体" w:hAnsi="宋体"/>
          <w:color w:val="auto"/>
          <w:szCs w:val="21"/>
        </w:rPr>
        <w:t>致：宁波市国际招标有限公司</w:t>
      </w:r>
    </w:p>
    <w:p>
      <w:pPr>
        <w:spacing w:line="400" w:lineRule="exact"/>
        <w:ind w:firstLine="420" w:firstLineChars="200"/>
        <w:rPr>
          <w:rFonts w:hint="eastAsia" w:ascii="宋体" w:hAnsi="宋体"/>
          <w:color w:val="auto"/>
          <w:szCs w:val="21"/>
        </w:rPr>
      </w:pPr>
      <w:r>
        <w:rPr>
          <w:rFonts w:hint="eastAsia" w:ascii="宋体" w:hAnsi="宋体"/>
          <w:color w:val="auto"/>
          <w:szCs w:val="21"/>
          <w:u w:val="single"/>
        </w:rPr>
        <w:t>（供应商全称）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rPr>
        <w:t>宁波市镇海区人民医院医疗集团</w:t>
      </w:r>
      <w:r>
        <w:rPr>
          <w:rFonts w:hint="eastAsia" w:ascii="宋体" w:hAnsi="宋体"/>
          <w:color w:val="auto"/>
          <w:szCs w:val="21"/>
          <w:u w:val="single"/>
          <w:lang w:eastAsia="zh-CN"/>
        </w:rPr>
        <w:t>医学标本外送检测服务</w:t>
      </w:r>
      <w:r>
        <w:rPr>
          <w:rFonts w:hint="eastAsia" w:ascii="宋体" w:hAnsi="宋体"/>
          <w:color w:val="auto"/>
          <w:szCs w:val="21"/>
          <w:u w:val="single"/>
        </w:rPr>
        <w:t>项目</w:t>
      </w:r>
      <w:r>
        <w:rPr>
          <w:rFonts w:hint="eastAsia" w:ascii="宋体" w:hAnsi="宋体"/>
          <w:color w:val="auto"/>
          <w:szCs w:val="21"/>
        </w:rPr>
        <w:t>（采购编号：</w:t>
      </w:r>
      <w:r>
        <w:rPr>
          <w:rFonts w:hint="eastAsia" w:ascii="宋体" w:hAnsi="宋体"/>
          <w:color w:val="auto"/>
          <w:szCs w:val="21"/>
          <w:u w:val="single"/>
        </w:rPr>
        <w:t>NBITC-2021</w:t>
      </w:r>
      <w:r>
        <w:rPr>
          <w:rFonts w:hint="eastAsia" w:ascii="宋体" w:hAnsi="宋体"/>
          <w:color w:val="auto"/>
          <w:szCs w:val="21"/>
          <w:u w:val="single"/>
          <w:lang w:val="en-US" w:eastAsia="zh-CN"/>
        </w:rPr>
        <w:t>30999</w:t>
      </w:r>
      <w:r>
        <w:rPr>
          <w:rFonts w:hint="eastAsia" w:ascii="宋体" w:hAnsi="宋体"/>
          <w:color w:val="auto"/>
          <w:szCs w:val="21"/>
          <w:u w:val="single"/>
        </w:rPr>
        <w:t>G</w:t>
      </w:r>
      <w:r>
        <w:rPr>
          <w:rFonts w:hint="eastAsia" w:ascii="宋体" w:hAnsi="宋体"/>
          <w:color w:val="auto"/>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color w:val="auto"/>
        </w:rPr>
        <w:t>保证遵守招标文件有关条款规定。</w:t>
      </w:r>
    </w:p>
    <w:p>
      <w:pPr>
        <w:snapToGrid w:val="0"/>
        <w:spacing w:line="400" w:lineRule="exact"/>
        <w:ind w:firstLine="420" w:firstLineChars="200"/>
        <w:rPr>
          <w:rFonts w:hint="eastAsia"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pPr>
        <w:spacing w:line="400" w:lineRule="exact"/>
        <w:ind w:firstLine="420" w:firstLineChars="200"/>
        <w:jc w:val="left"/>
        <w:rPr>
          <w:rFonts w:hint="eastAsia"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pPr>
        <w:spacing w:line="400" w:lineRule="exact"/>
        <w:ind w:firstLine="420" w:firstLineChars="200"/>
        <w:jc w:val="left"/>
        <w:rPr>
          <w:rFonts w:ascii="宋体"/>
          <w:color w:val="auto"/>
        </w:rPr>
      </w:pPr>
      <w:r>
        <w:rPr>
          <w:rFonts w:ascii="宋体" w:hAnsi="宋体"/>
          <w:color w:val="auto"/>
          <w:szCs w:val="21"/>
        </w:rPr>
        <w:t>7</w:t>
      </w:r>
      <w:r>
        <w:rPr>
          <w:rFonts w:hint="eastAsia" w:ascii="宋体" w:hAnsi="宋体"/>
          <w:color w:val="auto"/>
          <w:szCs w:val="21"/>
        </w:rPr>
        <w:t>、</w:t>
      </w:r>
      <w:r>
        <w:rPr>
          <w:rFonts w:hint="eastAsia" w:ascii="宋体"/>
          <w:color w:val="auto"/>
        </w:rPr>
        <w:t>保证在中标后忠实地执行与采购人所签署的合同，并承担合同规定的责任义务。</w:t>
      </w:r>
    </w:p>
    <w:p>
      <w:pPr>
        <w:spacing w:line="400" w:lineRule="exact"/>
        <w:ind w:firstLine="420" w:firstLineChars="200"/>
        <w:jc w:val="left"/>
        <w:rPr>
          <w:rFonts w:hint="eastAsia" w:ascii="宋体"/>
          <w:color w:val="auto"/>
        </w:rPr>
      </w:pPr>
      <w:r>
        <w:rPr>
          <w:rFonts w:hint="eastAsia" w:ascii="宋体"/>
          <w:color w:val="auto"/>
        </w:rPr>
        <w:t>8、完全同意招标文件中有关招标代理服务费的条款，保证在中标后按照招标文件规定的金额、时间和方式，向贵方一次性交纳招标代理服务费。</w:t>
      </w:r>
    </w:p>
    <w:p>
      <w:pPr>
        <w:spacing w:line="400" w:lineRule="exact"/>
        <w:ind w:firstLine="420" w:firstLineChars="200"/>
        <w:jc w:val="left"/>
        <w:rPr>
          <w:rFonts w:hint="eastAsia"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left="540" w:firstLine="30"/>
        <w:jc w:val="left"/>
        <w:rPr>
          <w:rFonts w:hint="eastAsia" w:ascii="宋体" w:hAnsi="宋体"/>
          <w:color w:val="auto"/>
          <w:szCs w:val="21"/>
        </w:rPr>
      </w:pPr>
    </w:p>
    <w:p>
      <w:pPr>
        <w:spacing w:line="400" w:lineRule="exact"/>
        <w:jc w:val="left"/>
        <w:rPr>
          <w:rFonts w:hint="eastAsia" w:ascii="宋体" w:hAnsi="宋体"/>
          <w:color w:val="auto"/>
          <w:szCs w:val="21"/>
        </w:rPr>
      </w:pPr>
    </w:p>
    <w:p>
      <w:pPr>
        <w:spacing w:line="400" w:lineRule="exact"/>
        <w:jc w:val="left"/>
        <w:rPr>
          <w:rFonts w:hint="eastAsia"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exac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360" w:lineRule="auto"/>
        <w:jc w:val="center"/>
        <w:rPr>
          <w:rFonts w:ascii="宋体" w:hAnsi="宋体"/>
          <w:b/>
          <w:bCs/>
          <w:color w:val="auto"/>
          <w:szCs w:val="21"/>
        </w:rPr>
      </w:pPr>
      <w:r>
        <w:rPr>
          <w:rStyle w:val="116"/>
          <w:rFonts w:ascii="宋体" w:hAnsi="宋体"/>
          <w:color w:val="auto"/>
          <w:szCs w:val="21"/>
        </w:rPr>
        <w:br w:type="page"/>
      </w:r>
      <w:r>
        <w:rPr>
          <w:rFonts w:hint="eastAsia" w:ascii="宋体" w:hAnsi="宋体"/>
          <w:b/>
          <w:bCs/>
          <w:color w:val="auto"/>
        </w:rPr>
        <w:t>B</w:t>
      </w:r>
      <w:r>
        <w:rPr>
          <w:rFonts w:ascii="宋体" w:hAnsi="宋体"/>
          <w:b/>
          <w:bCs/>
          <w:color w:val="auto"/>
          <w:szCs w:val="21"/>
        </w:rPr>
        <w:t>2</w:t>
      </w:r>
      <w:r>
        <w:rPr>
          <w:rFonts w:hint="eastAsia" w:ascii="宋体" w:hAnsi="宋体"/>
          <w:b/>
          <w:bCs/>
          <w:color w:val="auto"/>
          <w:szCs w:val="21"/>
        </w:rPr>
        <w:t>法定代表人身份证明</w:t>
      </w:r>
    </w:p>
    <w:p>
      <w:pPr>
        <w:spacing w:after="120" w:afterLines="50" w:line="400" w:lineRule="exact"/>
        <w:rPr>
          <w:rFonts w:ascii="宋体" w:hAnsi="宋体"/>
          <w:color w:val="auto"/>
          <w:szCs w:val="21"/>
          <w:u w:val="single"/>
        </w:rPr>
      </w:pPr>
      <w:r>
        <w:rPr>
          <w:rFonts w:hint="eastAsia" w:ascii="宋体" w:hAnsi="宋体"/>
          <w:color w:val="auto"/>
          <w:szCs w:val="21"/>
        </w:rPr>
        <w:t>供应商名称：</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单位性质：</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地址：</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成立时间：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pPr>
        <w:spacing w:after="120" w:afterLines="50" w:line="400" w:lineRule="exact"/>
        <w:rPr>
          <w:rFonts w:ascii="宋体" w:hAnsi="宋体"/>
          <w:color w:val="auto"/>
          <w:szCs w:val="21"/>
          <w:u w:val="single"/>
        </w:rPr>
      </w:pPr>
      <w:r>
        <w:rPr>
          <w:rFonts w:hint="eastAsia" w:ascii="宋体" w:hAnsi="宋体"/>
          <w:color w:val="auto"/>
          <w:szCs w:val="21"/>
        </w:rPr>
        <w:t>经营期限：</w:t>
      </w:r>
    </w:p>
    <w:p>
      <w:pPr>
        <w:spacing w:after="120" w:afterLines="50" w:line="400" w:lineRule="exact"/>
        <w:rPr>
          <w:rFonts w:ascii="宋体" w:hAnsi="宋体"/>
          <w:color w:val="auto"/>
          <w:szCs w:val="21"/>
          <w:u w:val="single"/>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rPr>
        <w:t>年龄：</w:t>
      </w:r>
      <w:r>
        <w:rPr>
          <w:rFonts w:ascii="宋体" w:hAnsi="宋体"/>
          <w:color w:val="auto"/>
          <w:szCs w:val="21"/>
          <w:u w:val="single"/>
        </w:rPr>
        <w:t xml:space="preserve">            </w:t>
      </w:r>
      <w:r>
        <w:rPr>
          <w:rFonts w:hint="eastAsia" w:ascii="宋体" w:hAnsi="宋体"/>
          <w:color w:val="auto"/>
          <w:szCs w:val="21"/>
        </w:rPr>
        <w:t>职务：</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身份证号码：</w:t>
      </w:r>
      <w:r>
        <w:rPr>
          <w:rFonts w:ascii="宋体" w:hAnsi="宋体"/>
          <w:color w:val="auto"/>
          <w:szCs w:val="21"/>
          <w:u w:val="single"/>
        </w:rPr>
        <w:t xml:space="preserve">                   </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特此证明。</w:t>
      </w: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atLeast"/>
        <w:rPr>
          <w:rFonts w:ascii="宋体" w:hAnsi="宋体"/>
          <w:color w:val="auto"/>
          <w:szCs w:val="21"/>
          <w:u w:val="single"/>
        </w:rPr>
      </w:pPr>
    </w:p>
    <w:p>
      <w:pPr>
        <w:spacing w:line="400" w:lineRule="atLeast"/>
        <w:rPr>
          <w:rFonts w:ascii="宋体" w:hAnsi="宋体"/>
          <w:color w:val="auto"/>
          <w:szCs w:val="21"/>
          <w:u w:val="single"/>
        </w:rPr>
      </w:pPr>
    </w:p>
    <w:p>
      <w:pPr>
        <w:spacing w:line="360" w:lineRule="auto"/>
        <w:rPr>
          <w:rFonts w:hint="eastAsia"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后附：法定代表人身份证复印件加盖供应商公章。</w:t>
      </w:r>
    </w:p>
    <w:p>
      <w:pPr>
        <w:spacing w:line="400" w:lineRule="atLeast"/>
        <w:rPr>
          <w:rFonts w:ascii="宋体" w:hAnsi="宋体"/>
          <w:color w:val="auto"/>
          <w:szCs w:val="21"/>
          <w:u w:val="single"/>
        </w:rPr>
      </w:pPr>
    </w:p>
    <w:p>
      <w:pPr>
        <w:spacing w:line="400" w:lineRule="exact"/>
        <w:jc w:val="center"/>
        <w:rPr>
          <w:rFonts w:ascii="宋体" w:hAnsi="宋体"/>
          <w:b/>
          <w:color w:val="auto"/>
          <w:szCs w:val="21"/>
        </w:rPr>
      </w:pPr>
      <w:r>
        <w:rPr>
          <w:rStyle w:val="116"/>
          <w:rFonts w:ascii="宋体" w:hAnsi="宋体"/>
          <w:color w:val="auto"/>
          <w:szCs w:val="21"/>
        </w:rPr>
        <w:br w:type="page"/>
      </w:r>
      <w:r>
        <w:rPr>
          <w:rFonts w:hint="eastAsia" w:ascii="宋体" w:hAnsi="宋体"/>
          <w:b/>
          <w:color w:val="auto"/>
          <w:szCs w:val="21"/>
        </w:rPr>
        <w:t>B</w:t>
      </w:r>
      <w:r>
        <w:rPr>
          <w:rFonts w:ascii="宋体" w:hAnsi="宋体"/>
          <w:b/>
          <w:color w:val="auto"/>
          <w:szCs w:val="21"/>
        </w:rPr>
        <w:t>3</w:t>
      </w:r>
      <w:r>
        <w:rPr>
          <w:rFonts w:hint="eastAsia" w:ascii="宋体" w:hAnsi="宋体"/>
          <w:b/>
          <w:color w:val="auto"/>
          <w:szCs w:val="21"/>
        </w:rPr>
        <w:t>法定代表人授权书</w:t>
      </w:r>
    </w:p>
    <w:p>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pPr>
        <w:spacing w:line="360" w:lineRule="auto"/>
        <w:rPr>
          <w:rFonts w:ascii="宋体" w:hAnsi="宋体"/>
          <w:color w:val="auto"/>
          <w:szCs w:val="21"/>
        </w:rPr>
      </w:pPr>
      <w:r>
        <w:rPr>
          <w:rFonts w:hint="eastAsia" w:ascii="宋体" w:hAnsi="宋体"/>
          <w:color w:val="auto"/>
          <w:szCs w:val="21"/>
        </w:rPr>
        <w:t>致：采购人</w:t>
      </w:r>
    </w:p>
    <w:p>
      <w:pPr>
        <w:spacing w:line="360" w:lineRule="auto"/>
        <w:ind w:firstLine="420" w:firstLineChars="200"/>
        <w:rPr>
          <w:rFonts w:ascii="宋体" w:hAnsi="宋体"/>
          <w:color w:val="auto"/>
          <w:szCs w:val="21"/>
        </w:rPr>
      </w:pPr>
      <w:r>
        <w:rPr>
          <w:rFonts w:hint="eastAsia" w:ascii="宋体" w:hAnsi="宋体"/>
          <w:color w:val="auto"/>
          <w:szCs w:val="21"/>
          <w:u w:val="single"/>
        </w:rPr>
        <w:t>（供应商全称）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rPr>
        <w:t>宁波市镇海区人民医院医疗集团</w:t>
      </w:r>
      <w:r>
        <w:rPr>
          <w:rFonts w:hint="eastAsia" w:ascii="宋体" w:hAnsi="宋体"/>
          <w:color w:val="auto"/>
          <w:szCs w:val="21"/>
          <w:u w:val="single"/>
          <w:lang w:eastAsia="zh-CN"/>
        </w:rPr>
        <w:t>医学标本外送检测服务</w:t>
      </w:r>
      <w:r>
        <w:rPr>
          <w:rFonts w:hint="eastAsia" w:ascii="宋体" w:hAnsi="宋体"/>
          <w:color w:val="auto"/>
          <w:szCs w:val="21"/>
          <w:u w:val="single"/>
        </w:rPr>
        <w:t>项目</w:t>
      </w:r>
      <w:r>
        <w:rPr>
          <w:rFonts w:hint="eastAsia" w:ascii="宋体" w:hAnsi="宋体"/>
          <w:color w:val="auto"/>
          <w:szCs w:val="21"/>
        </w:rPr>
        <w:t>，采购编号为</w:t>
      </w:r>
      <w:r>
        <w:rPr>
          <w:rFonts w:hint="eastAsia" w:ascii="宋体" w:hAnsi="宋体"/>
          <w:color w:val="auto"/>
          <w:szCs w:val="21"/>
          <w:u w:val="single"/>
        </w:rPr>
        <w:t>NBITC-2021</w:t>
      </w:r>
      <w:r>
        <w:rPr>
          <w:rFonts w:hint="eastAsia" w:ascii="宋体" w:hAnsi="宋体"/>
          <w:color w:val="auto"/>
          <w:szCs w:val="21"/>
          <w:u w:val="single"/>
          <w:lang w:val="en-US" w:eastAsia="zh-CN"/>
        </w:rPr>
        <w:t>30999</w:t>
      </w:r>
      <w:r>
        <w:rPr>
          <w:rFonts w:hint="eastAsia" w:ascii="宋体" w:hAnsi="宋体"/>
          <w:color w:val="auto"/>
          <w:szCs w:val="21"/>
          <w:u w:val="single"/>
        </w:rPr>
        <w:t>G</w:t>
      </w:r>
      <w:r>
        <w:rPr>
          <w:rFonts w:hint="eastAsia" w:ascii="宋体" w:hAnsi="宋体"/>
          <w:color w:val="auto"/>
          <w:szCs w:val="21"/>
        </w:rPr>
        <w:t>，其在招投标活动中的一切活动本公司均予承认。</w:t>
      </w: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jc w:val="left"/>
        <w:rPr>
          <w:rFonts w:ascii="宋体" w:hAnsi="宋体"/>
          <w:color w:val="auto"/>
          <w:szCs w:val="21"/>
        </w:rPr>
      </w:pPr>
      <w:r>
        <w:rPr>
          <w:rFonts w:hint="eastAsia" w:ascii="宋体" w:hAnsi="宋体"/>
          <w:color w:val="auto"/>
          <w:szCs w:val="21"/>
        </w:rPr>
        <w:t>法定代表人（签字）：</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附：</w:t>
      </w:r>
    </w:p>
    <w:p>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授权代表身份证号码：</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详细通讯地址：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传真：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hint="eastAsia" w:ascii="宋体" w:hAnsi="宋体"/>
          <w:color w:val="auto"/>
          <w:szCs w:val="21"/>
        </w:rPr>
      </w:pPr>
      <w:r>
        <w:rPr>
          <w:rFonts w:hint="eastAsia" w:ascii="宋体" w:hAnsi="宋体"/>
          <w:color w:val="auto"/>
          <w:szCs w:val="21"/>
        </w:rPr>
        <w:t>后附：</w:t>
      </w:r>
    </w:p>
    <w:p>
      <w:pPr>
        <w:spacing w:line="360" w:lineRule="auto"/>
        <w:ind w:firstLine="525" w:firstLineChars="250"/>
        <w:rPr>
          <w:rFonts w:ascii="宋体" w:hAnsi="宋体"/>
          <w:color w:val="auto"/>
          <w:szCs w:val="21"/>
        </w:rPr>
      </w:pPr>
      <w:r>
        <w:rPr>
          <w:rFonts w:ascii="宋体" w:hAnsi="宋体"/>
          <w:color w:val="auto"/>
          <w:szCs w:val="21"/>
        </w:rPr>
        <w:t>1</w:t>
      </w:r>
      <w:r>
        <w:rPr>
          <w:rFonts w:hint="eastAsia" w:ascii="宋体" w:hAnsi="宋体"/>
          <w:color w:val="auto"/>
          <w:szCs w:val="21"/>
        </w:rPr>
        <w:t>、授权代表身份证复印件加盖供应商公章；</w:t>
      </w:r>
    </w:p>
    <w:p>
      <w:pPr>
        <w:spacing w:line="360" w:lineRule="auto"/>
        <w:ind w:firstLine="525" w:firstLineChars="250"/>
        <w:jc w:val="left"/>
        <w:rPr>
          <w:rFonts w:ascii="宋体" w:hAnsi="宋体"/>
          <w:b/>
          <w:color w:val="auto"/>
          <w:szCs w:val="21"/>
        </w:rPr>
      </w:pPr>
      <w:r>
        <w:rPr>
          <w:rFonts w:ascii="宋体" w:hAnsi="宋体"/>
          <w:color w:val="auto"/>
          <w:szCs w:val="21"/>
        </w:rPr>
        <w:t>2</w:t>
      </w:r>
      <w:r>
        <w:rPr>
          <w:rFonts w:hint="eastAsia" w:ascii="宋体" w:hAnsi="宋体"/>
          <w:color w:val="auto"/>
          <w:szCs w:val="21"/>
        </w:rPr>
        <w:t>、提供社保部门出具的开标截止时间前6个月内</w:t>
      </w:r>
      <w:r>
        <w:rPr>
          <w:rFonts w:ascii="宋体" w:hAnsi="宋体"/>
          <w:color w:val="auto"/>
          <w:szCs w:val="21"/>
        </w:rPr>
        <w:t>任意</w:t>
      </w:r>
      <w:r>
        <w:rPr>
          <w:rFonts w:hint="eastAsia" w:ascii="宋体" w:hAnsi="宋体"/>
          <w:color w:val="auto"/>
          <w:szCs w:val="21"/>
        </w:rPr>
        <w:t>1</w:t>
      </w:r>
      <w:r>
        <w:rPr>
          <w:rFonts w:ascii="宋体" w:hAnsi="宋体"/>
          <w:color w:val="auto"/>
          <w:szCs w:val="21"/>
        </w:rPr>
        <w:t>个月</w:t>
      </w:r>
      <w:r>
        <w:rPr>
          <w:rFonts w:hint="eastAsia" w:ascii="宋体" w:hAnsi="宋体"/>
          <w:color w:val="auto"/>
          <w:szCs w:val="21"/>
        </w:rPr>
        <w:t>供应商单位为授权代表缴纳社保的证明资料复印件。</w:t>
      </w:r>
      <w:r>
        <w:rPr>
          <w:rStyle w:val="116"/>
          <w:rFonts w:ascii="宋体" w:hAnsi="宋体"/>
          <w:color w:val="auto"/>
          <w:szCs w:val="21"/>
        </w:rPr>
        <w:br w:type="page"/>
      </w:r>
      <w:r>
        <w:rPr>
          <w:rFonts w:ascii="宋体" w:hAnsi="宋体"/>
          <w:b/>
          <w:color w:val="auto"/>
          <w:szCs w:val="21"/>
        </w:rPr>
        <w:t xml:space="preserve"> </w:t>
      </w:r>
    </w:p>
    <w:p>
      <w:pPr>
        <w:spacing w:line="440" w:lineRule="exact"/>
        <w:jc w:val="center"/>
        <w:rPr>
          <w:rFonts w:ascii="宋体" w:hAnsi="宋体"/>
          <w:b/>
          <w:color w:val="auto"/>
          <w:szCs w:val="21"/>
        </w:rPr>
      </w:pPr>
      <w:r>
        <w:rPr>
          <w:rFonts w:hint="eastAsia" w:ascii="宋体" w:hAnsi="宋体"/>
          <w:b/>
          <w:color w:val="auto"/>
          <w:szCs w:val="21"/>
        </w:rPr>
        <w:t>B</w:t>
      </w:r>
      <w:r>
        <w:rPr>
          <w:rFonts w:ascii="宋体" w:hAnsi="宋体"/>
          <w:b/>
          <w:color w:val="auto"/>
          <w:szCs w:val="21"/>
        </w:rPr>
        <w:t>4</w:t>
      </w:r>
      <w:r>
        <w:rPr>
          <w:rFonts w:hint="eastAsia" w:ascii="宋体" w:hAnsi="宋体"/>
          <w:b/>
          <w:color w:val="auto"/>
          <w:szCs w:val="21"/>
        </w:rPr>
        <w:t>供应商一般情况表</w:t>
      </w: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5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1</w:t>
            </w:r>
          </w:p>
        </w:tc>
        <w:tc>
          <w:tcPr>
            <w:tcW w:w="8868" w:type="dxa"/>
            <w:gridSpan w:val="3"/>
            <w:noWrap w:val="0"/>
            <w:vAlign w:val="center"/>
          </w:tcPr>
          <w:p>
            <w:pPr>
              <w:spacing w:line="400" w:lineRule="exact"/>
              <w:rPr>
                <w:rFonts w:ascii="宋体" w:hAnsi="宋体"/>
                <w:color w:val="auto"/>
                <w:szCs w:val="21"/>
              </w:rPr>
            </w:pPr>
            <w:r>
              <w:rPr>
                <w:rFonts w:hint="eastAsia" w:ascii="宋体" w:hAnsi="宋体"/>
                <w:color w:val="auto"/>
                <w:szCs w:val="21"/>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2</w:t>
            </w:r>
          </w:p>
        </w:tc>
        <w:tc>
          <w:tcPr>
            <w:tcW w:w="8868" w:type="dxa"/>
            <w:gridSpan w:val="3"/>
            <w:noWrap w:val="0"/>
            <w:vAlign w:val="center"/>
          </w:tcPr>
          <w:p>
            <w:pPr>
              <w:spacing w:line="400" w:lineRule="exact"/>
              <w:rPr>
                <w:rFonts w:ascii="宋体" w:hAnsi="宋体"/>
                <w:color w:val="auto"/>
                <w:szCs w:val="21"/>
              </w:rPr>
            </w:pPr>
            <w:r>
              <w:rPr>
                <w:rFonts w:hint="eastAsia" w:ascii="宋体" w:hAnsi="宋体"/>
                <w:color w:val="auto"/>
                <w:szCs w:val="21"/>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3</w:t>
            </w:r>
          </w:p>
        </w:tc>
        <w:tc>
          <w:tcPr>
            <w:tcW w:w="8868" w:type="dxa"/>
            <w:gridSpan w:val="3"/>
            <w:noWrap w:val="0"/>
            <w:vAlign w:val="center"/>
          </w:tcPr>
          <w:p>
            <w:pPr>
              <w:spacing w:line="400" w:lineRule="exact"/>
              <w:rPr>
                <w:rFonts w:ascii="宋体" w:hAnsi="宋体"/>
                <w:color w:val="auto"/>
                <w:szCs w:val="21"/>
              </w:rPr>
            </w:pPr>
            <w:r>
              <w:rPr>
                <w:rFonts w:hint="eastAsia" w:ascii="宋体" w:hAnsi="宋体"/>
                <w:color w:val="auto"/>
                <w:szCs w:val="21"/>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4</w:t>
            </w:r>
          </w:p>
        </w:tc>
        <w:tc>
          <w:tcPr>
            <w:tcW w:w="4305" w:type="dxa"/>
            <w:noWrap w:val="0"/>
            <w:vAlign w:val="center"/>
          </w:tcPr>
          <w:p>
            <w:pPr>
              <w:spacing w:line="400" w:lineRule="exact"/>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4563" w:type="dxa"/>
            <w:gridSpan w:val="2"/>
            <w:noWrap w:val="0"/>
            <w:vAlign w:val="center"/>
          </w:tcPr>
          <w:p>
            <w:pPr>
              <w:spacing w:line="400" w:lineRule="exact"/>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5</w:t>
            </w:r>
          </w:p>
        </w:tc>
        <w:tc>
          <w:tcPr>
            <w:tcW w:w="4305" w:type="dxa"/>
            <w:noWrap w:val="0"/>
            <w:vAlign w:val="center"/>
          </w:tcPr>
          <w:p>
            <w:pPr>
              <w:spacing w:line="400" w:lineRule="exact"/>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4563" w:type="dxa"/>
            <w:gridSpan w:val="2"/>
            <w:noWrap w:val="0"/>
            <w:vAlign w:val="center"/>
          </w:tcPr>
          <w:p>
            <w:pPr>
              <w:spacing w:line="400" w:lineRule="exact"/>
              <w:rPr>
                <w:rFonts w:ascii="宋体" w:hAnsi="宋体"/>
                <w:color w:val="auto"/>
                <w:szCs w:val="21"/>
              </w:rPr>
            </w:pPr>
            <w:r>
              <w:rPr>
                <w:rFonts w:hint="eastAsia" w:ascii="宋体" w:hAnsi="宋体"/>
                <w:color w:val="auto"/>
                <w:szCs w:val="21"/>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6</w:t>
            </w:r>
          </w:p>
        </w:tc>
        <w:tc>
          <w:tcPr>
            <w:tcW w:w="4305" w:type="dxa"/>
            <w:noWrap w:val="0"/>
            <w:vAlign w:val="center"/>
          </w:tcPr>
          <w:p>
            <w:pPr>
              <w:spacing w:line="400" w:lineRule="exact"/>
              <w:rPr>
                <w:rFonts w:ascii="宋体" w:hAnsi="宋体"/>
                <w:color w:val="auto"/>
                <w:szCs w:val="21"/>
              </w:rPr>
            </w:pPr>
            <w:r>
              <w:rPr>
                <w:rFonts w:hint="eastAsia" w:ascii="宋体" w:hAnsi="宋体"/>
                <w:color w:val="auto"/>
                <w:szCs w:val="21"/>
              </w:rPr>
              <w:t>注册地：</w:t>
            </w:r>
          </w:p>
        </w:tc>
        <w:tc>
          <w:tcPr>
            <w:tcW w:w="4563" w:type="dxa"/>
            <w:gridSpan w:val="2"/>
            <w:noWrap w:val="0"/>
            <w:vAlign w:val="center"/>
          </w:tcPr>
          <w:p>
            <w:pPr>
              <w:spacing w:line="400" w:lineRule="exact"/>
              <w:rPr>
                <w:rFonts w:ascii="宋体" w:hAnsi="宋体"/>
                <w:color w:val="auto"/>
                <w:szCs w:val="21"/>
              </w:rPr>
            </w:pPr>
            <w:r>
              <w:rPr>
                <w:rFonts w:hint="eastAsia" w:ascii="宋体" w:hAnsi="宋体"/>
                <w:color w:val="auto"/>
                <w:szCs w:val="21"/>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7</w:t>
            </w:r>
          </w:p>
        </w:tc>
        <w:tc>
          <w:tcPr>
            <w:tcW w:w="8868" w:type="dxa"/>
            <w:gridSpan w:val="3"/>
            <w:noWrap w:val="0"/>
            <w:vAlign w:val="center"/>
          </w:tcPr>
          <w:p>
            <w:pPr>
              <w:spacing w:line="400" w:lineRule="exact"/>
              <w:rPr>
                <w:rFonts w:ascii="宋体" w:hAnsi="宋体"/>
                <w:color w:val="auto"/>
                <w:szCs w:val="21"/>
              </w:rPr>
            </w:pPr>
            <w:r>
              <w:rPr>
                <w:rFonts w:hint="eastAsia" w:ascii="宋体" w:hAnsi="宋体"/>
                <w:color w:val="auto"/>
                <w:szCs w:val="21"/>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8</w:t>
            </w:r>
          </w:p>
        </w:tc>
        <w:tc>
          <w:tcPr>
            <w:tcW w:w="8868" w:type="dxa"/>
            <w:gridSpan w:val="3"/>
            <w:noWrap w:val="0"/>
            <w:vAlign w:val="center"/>
          </w:tcPr>
          <w:p>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9</w:t>
            </w:r>
          </w:p>
        </w:tc>
        <w:tc>
          <w:tcPr>
            <w:tcW w:w="4314" w:type="dxa"/>
            <w:gridSpan w:val="2"/>
            <w:noWrap w:val="0"/>
            <w:vAlign w:val="center"/>
          </w:tcPr>
          <w:p>
            <w:pPr>
              <w:spacing w:line="400" w:lineRule="exact"/>
              <w:rPr>
                <w:rFonts w:ascii="宋体" w:hAnsi="宋体"/>
                <w:color w:val="auto"/>
                <w:szCs w:val="21"/>
              </w:rPr>
            </w:pPr>
            <w:r>
              <w:rPr>
                <w:rFonts w:hint="eastAsia" w:ascii="宋体" w:hAnsi="宋体"/>
                <w:color w:val="auto"/>
                <w:szCs w:val="21"/>
              </w:rPr>
              <w:t>从业人员数量</w:t>
            </w:r>
          </w:p>
        </w:tc>
        <w:tc>
          <w:tcPr>
            <w:tcW w:w="4554" w:type="dxa"/>
            <w:noWrap w:val="0"/>
            <w:vAlign w:val="center"/>
          </w:tcPr>
          <w:p>
            <w:pPr>
              <w:spacing w:line="400" w:lineRule="exact"/>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10</w:t>
            </w:r>
          </w:p>
        </w:tc>
        <w:tc>
          <w:tcPr>
            <w:tcW w:w="4314" w:type="dxa"/>
            <w:gridSpan w:val="2"/>
            <w:noWrap w:val="0"/>
            <w:vAlign w:val="center"/>
          </w:tcPr>
          <w:p>
            <w:pPr>
              <w:spacing w:line="400" w:lineRule="exact"/>
              <w:rPr>
                <w:rFonts w:ascii="宋体" w:hAnsi="宋体"/>
                <w:color w:val="auto"/>
                <w:szCs w:val="21"/>
              </w:rPr>
            </w:pPr>
            <w:r>
              <w:rPr>
                <w:rFonts w:hint="eastAsia" w:ascii="宋体" w:hAnsi="宋体"/>
                <w:color w:val="auto"/>
                <w:szCs w:val="21"/>
              </w:rPr>
              <w:t>营业收入</w:t>
            </w:r>
          </w:p>
        </w:tc>
        <w:tc>
          <w:tcPr>
            <w:tcW w:w="4554" w:type="dxa"/>
            <w:noWrap w:val="0"/>
            <w:vAlign w:val="center"/>
          </w:tcPr>
          <w:p>
            <w:pPr>
              <w:spacing w:line="400" w:lineRule="exact"/>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30" w:type="dxa"/>
            <w:noWrap w:val="0"/>
            <w:vAlign w:val="center"/>
          </w:tcPr>
          <w:p>
            <w:pPr>
              <w:spacing w:line="400" w:lineRule="exact"/>
              <w:jc w:val="center"/>
              <w:rPr>
                <w:rFonts w:ascii="宋体" w:hAnsi="宋体"/>
                <w:color w:val="auto"/>
                <w:szCs w:val="21"/>
              </w:rPr>
            </w:pPr>
            <w:r>
              <w:rPr>
                <w:rFonts w:ascii="宋体" w:hAnsi="宋体"/>
                <w:color w:val="auto"/>
                <w:szCs w:val="21"/>
              </w:rPr>
              <w:t>11</w:t>
            </w:r>
          </w:p>
        </w:tc>
        <w:tc>
          <w:tcPr>
            <w:tcW w:w="4314" w:type="dxa"/>
            <w:gridSpan w:val="2"/>
            <w:noWrap w:val="0"/>
            <w:vAlign w:val="center"/>
          </w:tcPr>
          <w:p>
            <w:pPr>
              <w:spacing w:line="400" w:lineRule="exact"/>
              <w:rPr>
                <w:rFonts w:ascii="宋体" w:hAnsi="宋体"/>
                <w:color w:val="auto"/>
                <w:szCs w:val="21"/>
              </w:rPr>
            </w:pPr>
            <w:r>
              <w:rPr>
                <w:rFonts w:hint="eastAsia" w:ascii="宋体" w:hAnsi="宋体"/>
                <w:color w:val="auto"/>
                <w:szCs w:val="21"/>
              </w:rPr>
              <w:t>其他需要说明的情况</w:t>
            </w:r>
          </w:p>
        </w:tc>
        <w:tc>
          <w:tcPr>
            <w:tcW w:w="4554" w:type="dxa"/>
            <w:noWrap w:val="0"/>
            <w:vAlign w:val="center"/>
          </w:tcPr>
          <w:p>
            <w:pPr>
              <w:spacing w:line="400" w:lineRule="exact"/>
              <w:rPr>
                <w:rFonts w:ascii="宋体" w:hAnsi="宋体"/>
                <w:color w:val="auto"/>
                <w:szCs w:val="21"/>
              </w:rPr>
            </w:pPr>
          </w:p>
        </w:tc>
      </w:tr>
    </w:tbl>
    <w:p>
      <w:pPr>
        <w:spacing w:line="400" w:lineRule="atLeast"/>
        <w:jc w:val="left"/>
        <w:rPr>
          <w:rFonts w:ascii="宋体" w:hAnsi="宋体"/>
          <w:color w:val="auto"/>
          <w:szCs w:val="21"/>
        </w:rPr>
      </w:pP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rPr>
          <w:rFonts w:hint="eastAsia" w:ascii="宋体" w:hAnsi="宋体"/>
          <w:color w:val="auto"/>
          <w:szCs w:val="21"/>
        </w:rPr>
      </w:pPr>
      <w:r>
        <w:rPr>
          <w:rFonts w:ascii="宋体" w:hAnsi="宋体"/>
          <w:color w:val="auto"/>
          <w:szCs w:val="21"/>
        </w:rPr>
        <w:br w:type="page"/>
      </w:r>
    </w:p>
    <w:p>
      <w:pPr>
        <w:spacing w:line="400" w:lineRule="exact"/>
        <w:jc w:val="center"/>
        <w:rPr>
          <w:rFonts w:ascii="宋体"/>
          <w:b/>
          <w:color w:val="auto"/>
          <w:szCs w:val="21"/>
        </w:rPr>
      </w:pPr>
      <w:bookmarkStart w:id="31" w:name="_Toc10852"/>
      <w:r>
        <w:rPr>
          <w:rFonts w:hint="eastAsia" w:ascii="宋体" w:hAnsi="宋体"/>
          <w:b/>
          <w:color w:val="auto"/>
          <w:szCs w:val="21"/>
        </w:rPr>
        <w:t>B5</w:t>
      </w:r>
      <w:r>
        <w:rPr>
          <w:rFonts w:hint="eastAsia" w:ascii="宋体"/>
          <w:b/>
          <w:color w:val="auto"/>
          <w:szCs w:val="21"/>
        </w:rPr>
        <w:t>技术响应表</w:t>
      </w:r>
      <w:bookmarkEnd w:id="31"/>
    </w:p>
    <w:p>
      <w:pPr>
        <w:adjustRightInd w:val="0"/>
        <w:snapToGrid w:val="0"/>
        <w:spacing w:line="360" w:lineRule="auto"/>
        <w:rPr>
          <w:rFonts w:hint="eastAsia" w:ascii="宋体" w:hAnsi="宋体"/>
          <w:color w:val="auto"/>
          <w:szCs w:val="21"/>
          <w:u w:val="none"/>
        </w:rPr>
      </w:pPr>
      <w:r>
        <w:rPr>
          <w:rFonts w:hint="eastAsia" w:ascii="宋体" w:hAnsi="宋体"/>
          <w:color w:val="auto"/>
          <w:szCs w:val="21"/>
        </w:rPr>
        <w:t>项目名称：</w:t>
      </w:r>
      <w:r>
        <w:rPr>
          <w:rFonts w:hint="eastAsia" w:ascii="宋体" w:hAnsi="宋体"/>
          <w:color w:val="auto"/>
          <w:szCs w:val="21"/>
          <w:u w:val="single"/>
        </w:rPr>
        <w:t>宁波市镇海区人民医院医疗集团</w:t>
      </w:r>
      <w:r>
        <w:rPr>
          <w:rFonts w:hint="eastAsia" w:ascii="宋体" w:hAnsi="宋体"/>
          <w:color w:val="auto"/>
          <w:szCs w:val="21"/>
          <w:u w:val="single"/>
          <w:lang w:eastAsia="zh-CN"/>
        </w:rPr>
        <w:t>医学标本外送检测服务</w:t>
      </w:r>
      <w:r>
        <w:rPr>
          <w:rFonts w:hint="eastAsia" w:ascii="宋体" w:hAnsi="宋体"/>
          <w:color w:val="auto"/>
          <w:szCs w:val="21"/>
          <w:u w:val="single"/>
        </w:rPr>
        <w:t>项目</w:t>
      </w:r>
    </w:p>
    <w:p>
      <w:pPr>
        <w:adjustRightInd w:val="0"/>
        <w:snapToGrid w:val="0"/>
        <w:spacing w:line="360" w:lineRule="auto"/>
        <w:rPr>
          <w:rFonts w:hint="eastAsia" w:ascii="宋体" w:hAnsi="宋体"/>
          <w:color w:val="auto"/>
          <w:szCs w:val="21"/>
          <w:u w:val="none"/>
        </w:rPr>
      </w:pPr>
      <w:r>
        <w:rPr>
          <w:rFonts w:hint="eastAsia" w:ascii="宋体" w:hAnsi="宋体"/>
          <w:color w:val="auto"/>
          <w:szCs w:val="21"/>
          <w:u w:val="none"/>
        </w:rPr>
        <w:t>采购编号：</w:t>
      </w:r>
      <w:r>
        <w:rPr>
          <w:rFonts w:hint="eastAsia" w:ascii="宋体" w:hAnsi="宋体"/>
          <w:color w:val="auto"/>
          <w:szCs w:val="21"/>
          <w:u w:val="single"/>
        </w:rPr>
        <w:t>NBITC-2021</w:t>
      </w:r>
      <w:r>
        <w:rPr>
          <w:rFonts w:hint="eastAsia" w:ascii="宋体" w:hAnsi="宋体"/>
          <w:color w:val="auto"/>
          <w:szCs w:val="21"/>
          <w:u w:val="single"/>
          <w:lang w:val="en-US" w:eastAsia="zh-CN"/>
        </w:rPr>
        <w:t>30999</w:t>
      </w:r>
      <w:r>
        <w:rPr>
          <w:rFonts w:hint="eastAsia" w:ascii="宋体" w:hAnsi="宋体"/>
          <w:color w:val="auto"/>
          <w:szCs w:val="21"/>
          <w:u w:val="single"/>
        </w:rPr>
        <w:t>G</w:t>
      </w:r>
    </w:p>
    <w:tbl>
      <w:tblPr>
        <w:tblStyle w:val="42"/>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top w:val="double" w:color="auto" w:sz="4" w:space="0"/>
              <w:left w:val="double" w:color="auto" w:sz="4" w:space="0"/>
            </w:tcBorders>
            <w:noWrap w:val="0"/>
            <w:vAlign w:val="center"/>
          </w:tcPr>
          <w:p>
            <w:pPr>
              <w:adjustRightInd w:val="0"/>
              <w:snapToGrid w:val="0"/>
              <w:spacing w:line="400" w:lineRule="exact"/>
              <w:jc w:val="center"/>
              <w:rPr>
                <w:rFonts w:ascii="宋体"/>
                <w:color w:val="auto"/>
                <w:spacing w:val="20"/>
                <w:szCs w:val="21"/>
              </w:rPr>
            </w:pPr>
            <w:r>
              <w:rPr>
                <w:rFonts w:hint="eastAsia" w:ascii="宋体"/>
                <w:color w:val="auto"/>
                <w:spacing w:val="20"/>
                <w:szCs w:val="21"/>
              </w:rPr>
              <w:t>序号</w:t>
            </w:r>
          </w:p>
        </w:tc>
        <w:tc>
          <w:tcPr>
            <w:tcW w:w="1717" w:type="dxa"/>
            <w:tcBorders>
              <w:top w:val="double" w:color="auto" w:sz="4" w:space="0"/>
            </w:tcBorders>
            <w:noWrap w:val="0"/>
            <w:vAlign w:val="center"/>
          </w:tcPr>
          <w:p>
            <w:pPr>
              <w:adjustRightInd w:val="0"/>
              <w:snapToGrid w:val="0"/>
              <w:spacing w:line="400" w:lineRule="exact"/>
              <w:jc w:val="center"/>
              <w:rPr>
                <w:rFonts w:ascii="宋体"/>
                <w:color w:val="auto"/>
                <w:spacing w:val="20"/>
                <w:szCs w:val="21"/>
              </w:rPr>
            </w:pPr>
            <w:r>
              <w:rPr>
                <w:rFonts w:hint="eastAsia" w:ascii="宋体"/>
                <w:color w:val="auto"/>
                <w:spacing w:val="20"/>
                <w:szCs w:val="21"/>
              </w:rPr>
              <w:t>招标要求</w:t>
            </w:r>
          </w:p>
        </w:tc>
        <w:tc>
          <w:tcPr>
            <w:tcW w:w="1794" w:type="dxa"/>
            <w:tcBorders>
              <w:top w:val="double" w:color="auto" w:sz="4" w:space="0"/>
            </w:tcBorders>
            <w:noWrap w:val="0"/>
            <w:vAlign w:val="center"/>
          </w:tcPr>
          <w:p>
            <w:pPr>
              <w:adjustRightInd w:val="0"/>
              <w:snapToGrid w:val="0"/>
              <w:spacing w:line="400" w:lineRule="exact"/>
              <w:jc w:val="center"/>
              <w:rPr>
                <w:rFonts w:ascii="宋体"/>
                <w:color w:val="auto"/>
                <w:spacing w:val="20"/>
                <w:szCs w:val="21"/>
              </w:rPr>
            </w:pPr>
            <w:r>
              <w:rPr>
                <w:rFonts w:hint="eastAsia" w:ascii="宋体"/>
                <w:color w:val="auto"/>
                <w:spacing w:val="20"/>
                <w:szCs w:val="21"/>
              </w:rPr>
              <w:t>投标响应</w:t>
            </w:r>
          </w:p>
        </w:tc>
        <w:tc>
          <w:tcPr>
            <w:tcW w:w="4694" w:type="dxa"/>
            <w:tcBorders>
              <w:top w:val="double" w:color="auto" w:sz="4" w:space="0"/>
              <w:right w:val="double" w:color="auto" w:sz="4" w:space="0"/>
            </w:tcBorders>
            <w:noWrap w:val="0"/>
            <w:vAlign w:val="center"/>
          </w:tcPr>
          <w:p>
            <w:pPr>
              <w:adjustRightInd w:val="0"/>
              <w:snapToGrid w:val="0"/>
              <w:spacing w:line="400" w:lineRule="exact"/>
              <w:jc w:val="center"/>
              <w:rPr>
                <w:rFonts w:ascii="宋体"/>
                <w:color w:val="auto"/>
                <w:spacing w:val="20"/>
                <w:szCs w:val="21"/>
              </w:rPr>
            </w:pPr>
            <w:r>
              <w:rPr>
                <w:rFonts w:hint="eastAsia" w:ascii="宋体"/>
                <w:color w:val="auto"/>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1717" w:type="dxa"/>
            <w:noWrap w:val="0"/>
            <w:vAlign w:val="center"/>
          </w:tcPr>
          <w:p>
            <w:pPr>
              <w:adjustRightInd w:val="0"/>
              <w:snapToGrid w:val="0"/>
              <w:spacing w:line="400" w:lineRule="exact"/>
              <w:jc w:val="center"/>
              <w:rPr>
                <w:rFonts w:ascii="宋体"/>
                <w:color w:val="auto"/>
                <w:spacing w:val="20"/>
                <w:szCs w:val="21"/>
              </w:rPr>
            </w:pPr>
          </w:p>
        </w:tc>
        <w:tc>
          <w:tcPr>
            <w:tcW w:w="1794" w:type="dxa"/>
            <w:noWrap w:val="0"/>
            <w:vAlign w:val="center"/>
          </w:tcPr>
          <w:p>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1717" w:type="dxa"/>
            <w:noWrap w:val="0"/>
            <w:vAlign w:val="center"/>
          </w:tcPr>
          <w:p>
            <w:pPr>
              <w:adjustRightInd w:val="0"/>
              <w:snapToGrid w:val="0"/>
              <w:spacing w:line="400" w:lineRule="exact"/>
              <w:jc w:val="center"/>
              <w:rPr>
                <w:rFonts w:ascii="宋体"/>
                <w:color w:val="auto"/>
                <w:spacing w:val="20"/>
                <w:szCs w:val="21"/>
              </w:rPr>
            </w:pPr>
          </w:p>
        </w:tc>
        <w:tc>
          <w:tcPr>
            <w:tcW w:w="1794" w:type="dxa"/>
            <w:noWrap w:val="0"/>
            <w:vAlign w:val="center"/>
          </w:tcPr>
          <w:p>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1717" w:type="dxa"/>
            <w:noWrap w:val="0"/>
            <w:vAlign w:val="center"/>
          </w:tcPr>
          <w:p>
            <w:pPr>
              <w:adjustRightInd w:val="0"/>
              <w:snapToGrid w:val="0"/>
              <w:spacing w:line="400" w:lineRule="exact"/>
              <w:jc w:val="center"/>
              <w:rPr>
                <w:rFonts w:ascii="宋体"/>
                <w:color w:val="auto"/>
                <w:spacing w:val="20"/>
                <w:szCs w:val="21"/>
              </w:rPr>
            </w:pPr>
          </w:p>
        </w:tc>
        <w:tc>
          <w:tcPr>
            <w:tcW w:w="1794" w:type="dxa"/>
            <w:noWrap w:val="0"/>
            <w:vAlign w:val="center"/>
          </w:tcPr>
          <w:p>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1717" w:type="dxa"/>
            <w:noWrap w:val="0"/>
            <w:vAlign w:val="center"/>
          </w:tcPr>
          <w:p>
            <w:pPr>
              <w:adjustRightInd w:val="0"/>
              <w:snapToGrid w:val="0"/>
              <w:spacing w:line="400" w:lineRule="exact"/>
              <w:jc w:val="center"/>
              <w:rPr>
                <w:rFonts w:ascii="宋体"/>
                <w:color w:val="auto"/>
                <w:spacing w:val="20"/>
                <w:szCs w:val="21"/>
              </w:rPr>
            </w:pPr>
          </w:p>
        </w:tc>
        <w:tc>
          <w:tcPr>
            <w:tcW w:w="1794" w:type="dxa"/>
            <w:noWrap w:val="0"/>
            <w:vAlign w:val="center"/>
          </w:tcPr>
          <w:p>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bottom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1717" w:type="dxa"/>
            <w:tcBorders>
              <w:bottom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1794" w:type="dxa"/>
            <w:tcBorders>
              <w:bottom w:val="double" w:color="auto" w:sz="4" w:space="0"/>
            </w:tcBorders>
            <w:noWrap w:val="0"/>
            <w:vAlign w:val="center"/>
          </w:tcPr>
          <w:p>
            <w:pPr>
              <w:adjustRightInd w:val="0"/>
              <w:snapToGrid w:val="0"/>
              <w:spacing w:line="400" w:lineRule="exact"/>
              <w:jc w:val="center"/>
              <w:rPr>
                <w:rFonts w:ascii="宋体"/>
                <w:color w:val="auto"/>
                <w:spacing w:val="20"/>
                <w:szCs w:val="21"/>
              </w:rPr>
            </w:pPr>
          </w:p>
        </w:tc>
        <w:tc>
          <w:tcPr>
            <w:tcW w:w="4694" w:type="dxa"/>
            <w:tcBorders>
              <w:bottom w:val="double" w:color="auto" w:sz="4" w:space="0"/>
              <w:right w:val="double" w:color="auto" w:sz="4" w:space="0"/>
            </w:tcBorders>
            <w:noWrap w:val="0"/>
            <w:vAlign w:val="center"/>
          </w:tcPr>
          <w:p>
            <w:pPr>
              <w:adjustRightInd w:val="0"/>
              <w:snapToGrid w:val="0"/>
              <w:spacing w:line="400" w:lineRule="exact"/>
              <w:jc w:val="center"/>
              <w:rPr>
                <w:rFonts w:ascii="宋体"/>
                <w:color w:val="auto"/>
                <w:spacing w:val="20"/>
                <w:szCs w:val="21"/>
              </w:rPr>
            </w:pPr>
          </w:p>
        </w:tc>
      </w:tr>
    </w:tbl>
    <w:p>
      <w:pPr>
        <w:adjustRightInd w:val="0"/>
        <w:snapToGrid w:val="0"/>
        <w:spacing w:line="400" w:lineRule="exact"/>
        <w:rPr>
          <w:rFonts w:ascii="宋体"/>
          <w:color w:val="auto"/>
          <w:spacing w:val="20"/>
          <w:szCs w:val="21"/>
        </w:rPr>
      </w:pPr>
    </w:p>
    <w:p>
      <w:pPr>
        <w:adjustRightInd w:val="0"/>
        <w:snapToGrid w:val="0"/>
        <w:spacing w:line="400" w:lineRule="exact"/>
        <w:rPr>
          <w:rFonts w:ascii="宋体"/>
          <w:color w:val="auto"/>
          <w:spacing w:val="20"/>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napToGrid w:val="0"/>
        <w:spacing w:line="400" w:lineRule="exact"/>
        <w:ind w:firstLine="4095" w:firstLineChars="1950"/>
        <w:jc w:val="left"/>
        <w:rPr>
          <w:rFonts w:ascii="宋体"/>
          <w:color w:val="auto"/>
          <w:szCs w:val="21"/>
        </w:rPr>
      </w:pPr>
    </w:p>
    <w:p>
      <w:pPr>
        <w:spacing w:line="400" w:lineRule="exact"/>
        <w:ind w:firstLine="4095" w:firstLineChars="1950"/>
        <w:jc w:val="left"/>
        <w:rPr>
          <w:rFonts w:ascii="宋体"/>
          <w:color w:val="auto"/>
          <w:szCs w:val="21"/>
        </w:rPr>
      </w:pPr>
    </w:p>
    <w:p>
      <w:pPr>
        <w:snapToGrid w:val="0"/>
        <w:spacing w:line="400" w:lineRule="exact"/>
        <w:jc w:val="left"/>
        <w:rPr>
          <w:rFonts w:ascii="宋体"/>
          <w:color w:val="auto"/>
          <w:szCs w:val="21"/>
          <w:u w:val="single"/>
        </w:rPr>
      </w:pPr>
    </w:p>
    <w:p>
      <w:pPr>
        <w:spacing w:line="360" w:lineRule="auto"/>
        <w:rPr>
          <w:rFonts w:hint="eastAsia" w:ascii="宋体" w:hAnsi="宋体"/>
          <w:color w:val="auto"/>
          <w:szCs w:val="21"/>
        </w:rPr>
      </w:pPr>
    </w:p>
    <w:p>
      <w:pPr>
        <w:spacing w:line="360" w:lineRule="auto"/>
        <w:rPr>
          <w:rFonts w:hint="eastAsia" w:ascii="宋体" w:hAnsi="宋体"/>
          <w:color w:val="auto"/>
          <w:szCs w:val="21"/>
        </w:rPr>
      </w:pPr>
    </w:p>
    <w:p>
      <w:pPr>
        <w:spacing w:line="360" w:lineRule="auto"/>
        <w:rPr>
          <w:rStyle w:val="116"/>
          <w:rFonts w:ascii="宋体" w:hAnsi="宋体"/>
          <w:color w:val="auto"/>
          <w:szCs w:val="21"/>
        </w:rPr>
      </w:pPr>
      <w:r>
        <w:rPr>
          <w:rFonts w:ascii="宋体" w:hAnsi="宋体"/>
          <w:color w:val="auto"/>
          <w:szCs w:val="21"/>
        </w:rPr>
        <w:br w:type="page"/>
      </w:r>
    </w:p>
    <w:p>
      <w:pPr>
        <w:spacing w:line="400" w:lineRule="exact"/>
        <w:jc w:val="center"/>
        <w:rPr>
          <w:rFonts w:ascii="宋体" w:hAnsi="宋体"/>
          <w:b/>
          <w:color w:val="auto"/>
          <w:szCs w:val="21"/>
        </w:rPr>
      </w:pPr>
      <w:r>
        <w:rPr>
          <w:rFonts w:ascii="宋体" w:hAnsi="宋体"/>
          <w:b/>
          <w:color w:val="auto"/>
          <w:szCs w:val="21"/>
        </w:rPr>
        <w:t>B</w:t>
      </w:r>
      <w:r>
        <w:rPr>
          <w:rFonts w:hint="eastAsia" w:ascii="宋体" w:hAnsi="宋体"/>
          <w:b/>
          <w:color w:val="auto"/>
          <w:szCs w:val="21"/>
        </w:rPr>
        <w:t>6商务条款响应表</w:t>
      </w:r>
    </w:p>
    <w:p>
      <w:pPr>
        <w:spacing w:line="360" w:lineRule="auto"/>
        <w:ind w:left="540"/>
        <w:jc w:val="center"/>
        <w:rPr>
          <w:rFonts w:ascii="宋体" w:hAnsi="宋体"/>
          <w:b/>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宁波市镇海区人民医院医疗集团</w:t>
      </w:r>
      <w:r>
        <w:rPr>
          <w:rFonts w:hint="eastAsia" w:ascii="宋体" w:hAnsi="宋体"/>
          <w:color w:val="auto"/>
          <w:szCs w:val="21"/>
          <w:u w:val="single"/>
          <w:lang w:eastAsia="zh-CN"/>
        </w:rPr>
        <w:t>医学标本外送检测服务</w:t>
      </w:r>
      <w:r>
        <w:rPr>
          <w:rFonts w:hint="eastAsia" w:ascii="宋体" w:hAnsi="宋体"/>
          <w:color w:val="auto"/>
          <w:szCs w:val="21"/>
          <w:u w:val="single"/>
        </w:rPr>
        <w:t>项目</w:t>
      </w:r>
    </w:p>
    <w:p>
      <w:pPr>
        <w:adjustRightInd w:val="0"/>
        <w:snapToGrid w:val="0"/>
        <w:spacing w:line="360" w:lineRule="auto"/>
        <w:rPr>
          <w:rFonts w:hint="eastAsia" w:ascii="宋体" w:hAnsi="宋体"/>
          <w:color w:val="auto"/>
          <w:szCs w:val="21"/>
          <w:u w:val="single"/>
        </w:rPr>
      </w:pPr>
      <w:r>
        <w:rPr>
          <w:rFonts w:hint="eastAsia" w:ascii="宋体" w:hAnsi="宋体"/>
          <w:color w:val="auto"/>
          <w:szCs w:val="21"/>
        </w:rPr>
        <w:t>采购编号：</w:t>
      </w:r>
      <w:r>
        <w:rPr>
          <w:rFonts w:hint="eastAsia" w:ascii="宋体" w:hAnsi="宋体"/>
          <w:color w:val="auto"/>
          <w:szCs w:val="21"/>
          <w:u w:val="single"/>
        </w:rPr>
        <w:t>NBITC-2021</w:t>
      </w:r>
      <w:r>
        <w:rPr>
          <w:rFonts w:hint="eastAsia" w:ascii="宋体" w:hAnsi="宋体"/>
          <w:color w:val="auto"/>
          <w:szCs w:val="21"/>
          <w:u w:val="single"/>
          <w:lang w:val="en-US" w:eastAsia="zh-CN"/>
        </w:rPr>
        <w:t>30999</w:t>
      </w:r>
      <w:r>
        <w:rPr>
          <w:rFonts w:hint="eastAsia" w:ascii="宋体" w:hAnsi="宋体"/>
          <w:color w:val="auto"/>
          <w:szCs w:val="21"/>
          <w:u w:val="single"/>
        </w:rPr>
        <w:t>G</w:t>
      </w: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9"/>
        <w:gridCol w:w="2409"/>
        <w:gridCol w:w="2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3969" w:type="dxa"/>
            <w:noWrap w:val="0"/>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409" w:type="dxa"/>
            <w:noWrap w:val="0"/>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noWrap w:val="0"/>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bCs/>
                <w:color w:val="auto"/>
                <w:szCs w:val="21"/>
              </w:rPr>
            </w:pPr>
            <w:r>
              <w:rPr>
                <w:rFonts w:hint="eastAsia" w:ascii="宋体" w:hAnsi="宋体"/>
                <w:color w:val="auto"/>
                <w:szCs w:val="21"/>
              </w:rPr>
              <w:t>▲</w:t>
            </w:r>
            <w:r>
              <w:rPr>
                <w:rFonts w:hint="eastAsia" w:ascii="宋体"/>
                <w:bCs/>
                <w:color w:val="auto"/>
                <w:szCs w:val="21"/>
              </w:rPr>
              <w:t>1</w:t>
            </w:r>
          </w:p>
        </w:tc>
        <w:tc>
          <w:tcPr>
            <w:tcW w:w="3969" w:type="dxa"/>
            <w:noWrap w:val="0"/>
            <w:vAlign w:val="center"/>
          </w:tcPr>
          <w:p>
            <w:pPr>
              <w:snapToGrid w:val="0"/>
              <w:spacing w:line="320" w:lineRule="exact"/>
              <w:rPr>
                <w:rFonts w:hint="eastAsia" w:ascii="宋体" w:hAnsi="宋体" w:cs="宋体"/>
                <w:color w:val="auto"/>
                <w:szCs w:val="21"/>
              </w:rPr>
            </w:pPr>
            <w:r>
              <w:rPr>
                <w:rFonts w:hint="eastAsia" w:ascii="宋体" w:hAnsi="宋体" w:cs="宋体"/>
                <w:color w:val="auto"/>
                <w:szCs w:val="21"/>
              </w:rPr>
              <w:t>合作期限：一招三年，合同每年一签。采购人有权根据上年合同履约考核情况决定是否续签。</w:t>
            </w:r>
          </w:p>
        </w:tc>
        <w:tc>
          <w:tcPr>
            <w:tcW w:w="2409" w:type="dxa"/>
            <w:noWrap w:val="0"/>
            <w:vAlign w:val="center"/>
          </w:tcPr>
          <w:p>
            <w:pPr>
              <w:adjustRightInd w:val="0"/>
              <w:snapToGrid w:val="0"/>
              <w:spacing w:line="400" w:lineRule="exact"/>
              <w:jc w:val="center"/>
              <w:rPr>
                <w:rFonts w:ascii="宋体" w:hAnsi="宋体"/>
                <w:color w:val="auto"/>
                <w:szCs w:val="21"/>
              </w:rPr>
            </w:pPr>
          </w:p>
        </w:tc>
        <w:tc>
          <w:tcPr>
            <w:tcW w:w="2369" w:type="dxa"/>
            <w:noWrap w:val="0"/>
            <w:vAlign w:val="center"/>
          </w:tcPr>
          <w:p>
            <w:pPr>
              <w:adjustRightInd w:val="0"/>
              <w:snapToGrid w:val="0"/>
              <w:spacing w:line="400" w:lineRule="exact"/>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hAnsi="宋体" w:cs="Arial"/>
                <w:color w:val="auto"/>
                <w:szCs w:val="21"/>
              </w:rPr>
            </w:pPr>
            <w:r>
              <w:rPr>
                <w:rFonts w:hint="eastAsia" w:ascii="宋体" w:hAnsi="宋体"/>
                <w:color w:val="auto"/>
                <w:szCs w:val="21"/>
              </w:rPr>
              <w:t>▲</w:t>
            </w:r>
            <w:r>
              <w:rPr>
                <w:rFonts w:hint="eastAsia" w:ascii="宋体" w:hAnsi="宋体" w:cs="Arial"/>
                <w:color w:val="auto"/>
                <w:szCs w:val="21"/>
              </w:rPr>
              <w:t>2</w:t>
            </w:r>
          </w:p>
        </w:tc>
        <w:tc>
          <w:tcPr>
            <w:tcW w:w="3969" w:type="dxa"/>
            <w:noWrap w:val="0"/>
            <w:vAlign w:val="top"/>
          </w:tcPr>
          <w:p>
            <w:pPr>
              <w:snapToGrid w:val="0"/>
              <w:spacing w:line="320" w:lineRule="exact"/>
              <w:rPr>
                <w:rFonts w:hint="eastAsia" w:ascii="宋体" w:hAnsi="宋体" w:cs="宋体"/>
                <w:color w:val="auto"/>
                <w:szCs w:val="21"/>
              </w:rPr>
            </w:pPr>
            <w:r>
              <w:rPr>
                <w:rFonts w:hint="eastAsia" w:ascii="宋体" w:hAnsi="宋体" w:cs="宋体"/>
                <w:color w:val="auto"/>
                <w:szCs w:val="21"/>
              </w:rPr>
              <w:t>付款方式：各院区费用按月结算，结算统计日期以每月</w:t>
            </w:r>
            <w:r>
              <w:rPr>
                <w:rFonts w:ascii="宋体" w:hAnsi="宋体" w:cs="宋体"/>
                <w:color w:val="auto"/>
                <w:szCs w:val="21"/>
              </w:rPr>
              <w:t>1</w:t>
            </w:r>
            <w:r>
              <w:rPr>
                <w:rFonts w:hint="eastAsia" w:ascii="宋体" w:hAnsi="宋体" w:cs="宋体"/>
                <w:color w:val="auto"/>
                <w:szCs w:val="21"/>
              </w:rPr>
              <w:t>日零时起到本月最后一天</w:t>
            </w:r>
            <w:r>
              <w:rPr>
                <w:rFonts w:ascii="宋体" w:hAnsi="宋体" w:cs="宋体"/>
                <w:color w:val="auto"/>
                <w:szCs w:val="21"/>
              </w:rPr>
              <w:t>24</w:t>
            </w:r>
            <w:r>
              <w:rPr>
                <w:rFonts w:hint="eastAsia" w:ascii="宋体" w:hAnsi="宋体" w:cs="宋体"/>
                <w:color w:val="auto"/>
                <w:szCs w:val="21"/>
              </w:rPr>
              <w:t>时结束。每个月度结束后3个月内由各院区支付。</w:t>
            </w:r>
          </w:p>
        </w:tc>
        <w:tc>
          <w:tcPr>
            <w:tcW w:w="2409" w:type="dxa"/>
            <w:noWrap w:val="0"/>
            <w:vAlign w:val="center"/>
          </w:tcPr>
          <w:p>
            <w:pPr>
              <w:adjustRightInd w:val="0"/>
              <w:snapToGrid w:val="0"/>
              <w:spacing w:line="400" w:lineRule="exact"/>
              <w:jc w:val="center"/>
              <w:rPr>
                <w:rFonts w:ascii="宋体" w:hAnsi="宋体"/>
                <w:color w:val="auto"/>
                <w:szCs w:val="21"/>
              </w:rPr>
            </w:pPr>
          </w:p>
        </w:tc>
        <w:tc>
          <w:tcPr>
            <w:tcW w:w="2369" w:type="dxa"/>
            <w:noWrap w:val="0"/>
            <w:vAlign w:val="center"/>
          </w:tcPr>
          <w:p>
            <w:pPr>
              <w:adjustRightInd w:val="0"/>
              <w:snapToGrid w:val="0"/>
              <w:spacing w:line="400" w:lineRule="exact"/>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color w:val="auto"/>
                <w:szCs w:val="21"/>
                <w:lang w:val="zh-CN"/>
              </w:rPr>
            </w:pPr>
            <w:r>
              <w:rPr>
                <w:rFonts w:hint="eastAsia" w:ascii="宋体" w:hAnsi="宋体"/>
                <w:color w:val="auto"/>
                <w:szCs w:val="21"/>
              </w:rPr>
              <w:t>▲</w:t>
            </w:r>
            <w:r>
              <w:rPr>
                <w:rFonts w:hint="eastAsia" w:ascii="宋体"/>
                <w:color w:val="auto"/>
                <w:szCs w:val="21"/>
              </w:rPr>
              <w:t>3</w:t>
            </w:r>
          </w:p>
        </w:tc>
        <w:tc>
          <w:tcPr>
            <w:tcW w:w="3969" w:type="dxa"/>
            <w:noWrap w:val="0"/>
            <w:vAlign w:val="center"/>
          </w:tcPr>
          <w:p>
            <w:pPr>
              <w:snapToGrid w:val="0"/>
              <w:spacing w:line="320" w:lineRule="exact"/>
              <w:rPr>
                <w:rFonts w:hint="eastAsia" w:ascii="宋体" w:hAnsi="宋体" w:cs="宋体"/>
                <w:color w:val="auto"/>
                <w:szCs w:val="21"/>
              </w:rPr>
            </w:pPr>
            <w:r>
              <w:rPr>
                <w:rFonts w:hint="eastAsia" w:ascii="宋体" w:hAnsi="宋体" w:cs="宋体"/>
                <w:color w:val="auto"/>
                <w:szCs w:val="21"/>
              </w:rPr>
              <w:t>合同签订：按照招标的规定、中标人的投标文件及中标通知书确定的金额签订合同。</w:t>
            </w:r>
          </w:p>
        </w:tc>
        <w:tc>
          <w:tcPr>
            <w:tcW w:w="2409" w:type="dxa"/>
            <w:noWrap w:val="0"/>
            <w:vAlign w:val="center"/>
          </w:tcPr>
          <w:p>
            <w:pPr>
              <w:adjustRightInd w:val="0"/>
              <w:snapToGrid w:val="0"/>
              <w:spacing w:line="400" w:lineRule="exact"/>
              <w:jc w:val="center"/>
              <w:rPr>
                <w:rFonts w:ascii="宋体" w:hAnsi="宋体"/>
                <w:color w:val="auto"/>
                <w:szCs w:val="21"/>
              </w:rPr>
            </w:pPr>
          </w:p>
        </w:tc>
        <w:tc>
          <w:tcPr>
            <w:tcW w:w="2369" w:type="dxa"/>
            <w:noWrap w:val="0"/>
            <w:vAlign w:val="center"/>
          </w:tcPr>
          <w:p>
            <w:pPr>
              <w:adjustRightInd w:val="0"/>
              <w:snapToGrid w:val="0"/>
              <w:spacing w:line="400" w:lineRule="exact"/>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w:t>
            </w:r>
            <w:r>
              <w:rPr>
                <w:rFonts w:hint="eastAsia" w:ascii="宋体"/>
                <w:color w:val="auto"/>
                <w:szCs w:val="21"/>
              </w:rPr>
              <w:t>4</w:t>
            </w:r>
          </w:p>
        </w:tc>
        <w:tc>
          <w:tcPr>
            <w:tcW w:w="3969" w:type="dxa"/>
            <w:noWrap w:val="0"/>
            <w:vAlign w:val="center"/>
          </w:tcPr>
          <w:p>
            <w:pPr>
              <w:snapToGrid w:val="0"/>
              <w:spacing w:line="320" w:lineRule="exact"/>
              <w:rPr>
                <w:rFonts w:hint="eastAsia" w:ascii="宋体" w:hAnsi="宋体" w:cs="宋体"/>
                <w:color w:val="auto"/>
                <w:szCs w:val="21"/>
              </w:rPr>
            </w:pPr>
            <w:r>
              <w:rPr>
                <w:rFonts w:hint="eastAsia" w:ascii="宋体" w:hAnsi="宋体" w:cs="宋体"/>
                <w:color w:val="auto"/>
                <w:szCs w:val="21"/>
              </w:rPr>
              <w:t>合同签订时间：中标交通知书发出之日起30天内。</w:t>
            </w:r>
          </w:p>
        </w:tc>
        <w:tc>
          <w:tcPr>
            <w:tcW w:w="2409" w:type="dxa"/>
            <w:noWrap w:val="0"/>
            <w:vAlign w:val="center"/>
          </w:tcPr>
          <w:p>
            <w:pPr>
              <w:adjustRightInd w:val="0"/>
              <w:snapToGrid w:val="0"/>
              <w:spacing w:line="400" w:lineRule="exact"/>
              <w:jc w:val="center"/>
              <w:rPr>
                <w:rFonts w:ascii="宋体" w:hAnsi="宋体"/>
                <w:color w:val="auto"/>
                <w:szCs w:val="21"/>
              </w:rPr>
            </w:pPr>
          </w:p>
        </w:tc>
        <w:tc>
          <w:tcPr>
            <w:tcW w:w="2369" w:type="dxa"/>
            <w:noWrap w:val="0"/>
            <w:vAlign w:val="center"/>
          </w:tcPr>
          <w:p>
            <w:pPr>
              <w:adjustRightInd w:val="0"/>
              <w:snapToGrid w:val="0"/>
              <w:spacing w:line="400" w:lineRule="exact"/>
              <w:jc w:val="center"/>
              <w:rPr>
                <w:rFonts w:ascii="宋体" w:hAnsi="宋体"/>
                <w:color w:val="auto"/>
                <w:szCs w:val="21"/>
              </w:rPr>
            </w:pPr>
          </w:p>
        </w:tc>
      </w:tr>
    </w:tbl>
    <w:p>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注：须与“第六章  商务条款”逐项比较填写。</w:t>
      </w:r>
    </w:p>
    <w:p>
      <w:pPr>
        <w:adjustRightInd w:val="0"/>
        <w:snapToGrid w:val="0"/>
        <w:spacing w:line="360" w:lineRule="auto"/>
        <w:rPr>
          <w:rFonts w:ascii="宋体" w:hAnsi="宋体"/>
          <w:color w:val="auto"/>
          <w:szCs w:val="21"/>
        </w:rPr>
      </w:pPr>
    </w:p>
    <w:p>
      <w:pPr>
        <w:spacing w:line="400" w:lineRule="atLeast"/>
        <w:jc w:val="left"/>
        <w:rPr>
          <w:rFonts w:ascii="宋体" w:hAnsi="宋体"/>
          <w:color w:val="auto"/>
          <w:szCs w:val="21"/>
        </w:rPr>
      </w:pPr>
      <w:bookmarkStart w:id="32" w:name="_Toc436408720"/>
      <w:bookmarkStart w:id="33" w:name="_Toc441316563"/>
      <w:r>
        <w:rPr>
          <w:rFonts w:hint="eastAsia" w:ascii="宋体" w:hAnsi="宋体"/>
          <w:color w:val="auto"/>
          <w:szCs w:val="21"/>
        </w:rPr>
        <w:t>供应商（盖章）：</w:t>
      </w:r>
    </w:p>
    <w:p>
      <w:pPr>
        <w:spacing w:line="400" w:lineRule="atLeas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exact"/>
        <w:jc w:val="left"/>
        <w:rPr>
          <w:rFonts w:hint="eastAsia" w:ascii="宋体" w:hAnsi="宋体"/>
          <w:b/>
          <w:color w:val="auto"/>
        </w:rPr>
      </w:pPr>
      <w:r>
        <w:rPr>
          <w:rFonts w:ascii="宋体" w:hAnsi="宋体"/>
          <w:color w:val="auto"/>
          <w:szCs w:val="21"/>
        </w:rPr>
        <w:br w:type="page"/>
      </w:r>
      <w:bookmarkEnd w:id="32"/>
      <w:bookmarkStart w:id="34" w:name="_Toc441316564"/>
      <w:r>
        <w:rPr>
          <w:rFonts w:hint="eastAsia" w:ascii="宋体" w:hAnsi="宋体"/>
          <w:b/>
          <w:color w:val="auto"/>
        </w:rPr>
        <w:t>B7、</w:t>
      </w:r>
      <w:r>
        <w:rPr>
          <w:rFonts w:hint="eastAsia" w:ascii="宋体" w:hAnsi="宋体"/>
          <w:b/>
          <w:color w:val="auto"/>
          <w:szCs w:val="21"/>
        </w:rPr>
        <w:t>第三章“评标办法及标准”中商务和技</w:t>
      </w:r>
      <w:r>
        <w:rPr>
          <w:rFonts w:hint="eastAsia" w:ascii="宋体" w:hAnsi="宋体"/>
          <w:b/>
          <w:color w:val="auto"/>
        </w:rPr>
        <w:t>术评分表要求提供的资料（如有需提供）；</w:t>
      </w:r>
    </w:p>
    <w:p>
      <w:pPr>
        <w:spacing w:line="400" w:lineRule="exact"/>
        <w:jc w:val="left"/>
        <w:rPr>
          <w:rFonts w:ascii="宋体" w:hAnsi="宋体"/>
          <w:b/>
          <w:color w:val="auto"/>
        </w:rPr>
      </w:pPr>
      <w:r>
        <w:rPr>
          <w:rFonts w:hint="eastAsia" w:ascii="宋体" w:hAnsi="宋体"/>
          <w:b/>
          <w:color w:val="auto"/>
        </w:rPr>
        <w:t>B8、供应商认为需要的其他资料（如有需提供）。</w:t>
      </w:r>
    </w:p>
    <w:p>
      <w:pPr>
        <w:spacing w:line="400" w:lineRule="exact"/>
        <w:jc w:val="left"/>
        <w:rPr>
          <w:rStyle w:val="116"/>
          <w:rFonts w:ascii="宋体" w:hAnsi="宋体"/>
          <w:color w:val="auto"/>
          <w:szCs w:val="21"/>
        </w:rPr>
      </w:pPr>
      <w:r>
        <w:rPr>
          <w:rFonts w:ascii="宋体" w:hAnsi="宋体"/>
          <w:b/>
          <w:color w:val="auto"/>
          <w:szCs w:val="21"/>
        </w:rPr>
        <w:br w:type="page"/>
      </w:r>
    </w:p>
    <w:p>
      <w:pPr>
        <w:spacing w:line="400" w:lineRule="exact"/>
        <w:ind w:firstLine="474" w:firstLineChars="200"/>
        <w:jc w:val="left"/>
        <w:rPr>
          <w:rStyle w:val="116"/>
          <w:rFonts w:ascii="宋体" w:hAnsi="宋体"/>
          <w:color w:val="auto"/>
          <w:szCs w:val="21"/>
        </w:rPr>
      </w:pPr>
    </w:p>
    <w:p>
      <w:pPr>
        <w:spacing w:line="400" w:lineRule="exact"/>
        <w:jc w:val="left"/>
        <w:rPr>
          <w:rStyle w:val="116"/>
          <w:rFonts w:ascii="宋体" w:hAnsi="宋体"/>
          <w:color w:val="auto"/>
          <w:sz w:val="28"/>
          <w:szCs w:val="28"/>
        </w:rPr>
      </w:pPr>
    </w:p>
    <w:p>
      <w:pPr>
        <w:autoSpaceDE w:val="0"/>
        <w:autoSpaceDN w:val="0"/>
        <w:adjustRightInd w:val="0"/>
        <w:spacing w:before="240" w:beforeLines="100" w:line="400" w:lineRule="exact"/>
        <w:jc w:val="center"/>
        <w:outlineLvl w:val="0"/>
        <w:rPr>
          <w:rStyle w:val="116"/>
          <w:rFonts w:ascii="宋体" w:hAnsi="宋体"/>
          <w:color w:val="auto"/>
          <w:sz w:val="32"/>
          <w:szCs w:val="32"/>
        </w:rPr>
      </w:pPr>
      <w:bookmarkStart w:id="35" w:name="_Toc8677"/>
      <w:bookmarkStart w:id="36" w:name="_Toc44162159"/>
      <w:bookmarkStart w:id="37" w:name="_Toc443468293"/>
      <w:bookmarkStart w:id="38" w:name="_Toc21541028"/>
      <w:r>
        <w:rPr>
          <w:rStyle w:val="116"/>
          <w:rFonts w:ascii="宋体" w:hAnsi="宋体"/>
          <w:color w:val="auto"/>
          <w:sz w:val="32"/>
          <w:szCs w:val="32"/>
        </w:rPr>
        <w:t>C.</w:t>
      </w:r>
      <w:r>
        <w:rPr>
          <w:rStyle w:val="116"/>
          <w:rFonts w:hint="eastAsia" w:ascii="宋体" w:hAnsi="宋体"/>
          <w:color w:val="auto"/>
          <w:sz w:val="32"/>
          <w:szCs w:val="32"/>
        </w:rPr>
        <w:t>报价文件</w:t>
      </w:r>
      <w:bookmarkEnd w:id="35"/>
      <w:bookmarkEnd w:id="36"/>
      <w:bookmarkEnd w:id="37"/>
      <w:bookmarkEnd w:id="38"/>
    </w:p>
    <w:p>
      <w:pPr>
        <w:autoSpaceDE w:val="0"/>
        <w:autoSpaceDN w:val="0"/>
        <w:adjustRightInd w:val="0"/>
        <w:spacing w:line="420" w:lineRule="exact"/>
        <w:rPr>
          <w:rStyle w:val="116"/>
          <w:rFonts w:ascii="宋体" w:hAnsi="宋体"/>
          <w:b w:val="0"/>
          <w:color w:val="auto"/>
          <w:lang w:val="zh-CN"/>
        </w:rPr>
      </w:pPr>
      <w:r>
        <w:rPr>
          <w:rStyle w:val="116"/>
          <w:rFonts w:ascii="宋体" w:hAnsi="宋体"/>
          <w:color w:val="auto"/>
          <w:sz w:val="32"/>
          <w:szCs w:val="32"/>
        </w:rPr>
        <w:br w:type="page"/>
      </w:r>
      <w:r>
        <w:rPr>
          <w:rStyle w:val="116"/>
          <w:rFonts w:hint="eastAsia" w:ascii="宋体" w:hAnsi="宋体"/>
          <w:color w:val="auto"/>
          <w:szCs w:val="21"/>
        </w:rPr>
        <w:t>封面</w:t>
      </w:r>
    </w:p>
    <w:p>
      <w:pPr>
        <w:spacing w:line="360" w:lineRule="auto"/>
        <w:ind w:firstLine="1285" w:firstLineChars="400"/>
        <w:jc w:val="right"/>
        <w:rPr>
          <w:rFonts w:ascii="宋体" w:hAnsi="宋体"/>
          <w:b/>
          <w:color w:val="auto"/>
          <w:sz w:val="32"/>
          <w:szCs w:val="32"/>
        </w:rPr>
      </w:pPr>
      <w:r>
        <w:rPr>
          <w:rFonts w:hint="eastAsia" w:ascii="宋体" w:hAnsi="宋体"/>
          <w:b/>
          <w:color w:val="auto"/>
          <w:sz w:val="32"/>
          <w:szCs w:val="32"/>
        </w:rPr>
        <w:t>正（副）本</w:t>
      </w:r>
    </w:p>
    <w:p>
      <w:pPr>
        <w:spacing w:line="360" w:lineRule="auto"/>
        <w:rPr>
          <w:rFonts w:ascii="宋体" w:hAnsi="宋体"/>
          <w:color w:val="auto"/>
          <w:sz w:val="28"/>
          <w:szCs w:val="28"/>
        </w:rPr>
      </w:pPr>
    </w:p>
    <w:p>
      <w:pPr>
        <w:spacing w:line="360" w:lineRule="auto"/>
        <w:jc w:val="center"/>
        <w:rPr>
          <w:rFonts w:hint="eastAsia" w:ascii="宋体" w:hAnsi="宋体"/>
          <w:color w:val="auto"/>
          <w:sz w:val="36"/>
          <w:szCs w:val="36"/>
          <w:u w:val="single"/>
        </w:rPr>
      </w:pPr>
      <w:r>
        <w:rPr>
          <w:rFonts w:hint="eastAsia" w:ascii="宋体" w:hAnsi="宋体"/>
          <w:color w:val="auto"/>
          <w:sz w:val="36"/>
          <w:szCs w:val="36"/>
          <w:u w:val="none"/>
        </w:rPr>
        <w:t>宁波市镇海区人民医院医疗集团</w:t>
      </w:r>
      <w:r>
        <w:rPr>
          <w:rFonts w:hint="eastAsia" w:ascii="宋体" w:hAnsi="宋体"/>
          <w:color w:val="auto"/>
          <w:sz w:val="36"/>
          <w:szCs w:val="36"/>
          <w:u w:val="none"/>
          <w:lang w:eastAsia="zh-CN"/>
        </w:rPr>
        <w:t>医学标本外送检测服务</w:t>
      </w:r>
      <w:r>
        <w:rPr>
          <w:rFonts w:hint="eastAsia" w:ascii="宋体" w:hAnsi="宋体"/>
          <w:color w:val="auto"/>
          <w:sz w:val="36"/>
          <w:szCs w:val="36"/>
          <w:u w:val="none"/>
        </w:rPr>
        <w:t>项目</w:t>
      </w:r>
      <w:r>
        <w:rPr>
          <w:rFonts w:hint="eastAsia" w:ascii="宋体" w:hAnsi="宋体"/>
          <w:color w:val="auto"/>
          <w:sz w:val="36"/>
          <w:szCs w:val="36"/>
          <w:u w:val="single"/>
        </w:rPr>
        <w:t>采购编号：NBITC-2021</w:t>
      </w:r>
      <w:r>
        <w:rPr>
          <w:rFonts w:hint="eastAsia" w:ascii="宋体" w:hAnsi="宋体"/>
          <w:color w:val="auto"/>
          <w:sz w:val="36"/>
          <w:szCs w:val="36"/>
          <w:u w:val="single"/>
          <w:lang w:val="en-US" w:eastAsia="zh-CN"/>
        </w:rPr>
        <w:t>30999</w:t>
      </w:r>
      <w:r>
        <w:rPr>
          <w:rFonts w:hint="eastAsia" w:ascii="宋体" w:hAnsi="宋体"/>
          <w:color w:val="auto"/>
          <w:sz w:val="36"/>
          <w:szCs w:val="36"/>
          <w:u w:val="single"/>
        </w:rPr>
        <w:t>G</w:t>
      </w:r>
    </w:p>
    <w:p>
      <w:pPr>
        <w:spacing w:line="360" w:lineRule="auto"/>
        <w:ind w:firstLine="2340" w:firstLineChars="650"/>
        <w:rPr>
          <w:rFonts w:ascii="宋体" w:hAnsi="宋体"/>
          <w:color w:val="auto"/>
          <w:sz w:val="36"/>
          <w:szCs w:val="36"/>
        </w:rPr>
      </w:pPr>
      <w:r>
        <w:rPr>
          <w:rFonts w:hint="eastAsia" w:ascii="宋体" w:hAnsi="宋体"/>
          <w:color w:val="auto"/>
          <w:sz w:val="36"/>
          <w:szCs w:val="36"/>
          <w:u w:val="single"/>
        </w:rPr>
        <w:t>标</w:t>
      </w:r>
      <w:r>
        <w:rPr>
          <w:rFonts w:ascii="宋体" w:hAnsi="宋体"/>
          <w:color w:val="auto"/>
          <w:sz w:val="36"/>
          <w:szCs w:val="36"/>
          <w:u w:val="single"/>
        </w:rPr>
        <w:t xml:space="preserve">    </w:t>
      </w:r>
      <w:r>
        <w:rPr>
          <w:rFonts w:hint="eastAsia" w:ascii="宋体" w:hAnsi="宋体"/>
          <w:color w:val="auto"/>
          <w:sz w:val="36"/>
          <w:szCs w:val="36"/>
          <w:u w:val="single"/>
        </w:rPr>
        <w:t>项：（如有多个标项）</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（报价文件）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pPr>
        <w:pStyle w:val="24"/>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116"/>
          <w:rFonts w:ascii="宋体" w:hAnsi="宋体"/>
          <w:color w:val="auto"/>
          <w:sz w:val="28"/>
          <w:szCs w:val="28"/>
        </w:rPr>
      </w:pPr>
      <w:bookmarkStart w:id="39" w:name="_Toc44162160"/>
      <w:bookmarkStart w:id="40" w:name="_Toc4975"/>
      <w:bookmarkStart w:id="41" w:name="_Toc443468294"/>
      <w:bookmarkStart w:id="42" w:name="_Toc21541029"/>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39"/>
      <w:bookmarkEnd w:id="40"/>
      <w:bookmarkEnd w:id="41"/>
      <w:bookmarkEnd w:id="42"/>
    </w:p>
    <w:p>
      <w:pPr>
        <w:autoSpaceDE w:val="0"/>
        <w:autoSpaceDN w:val="0"/>
        <w:adjustRightInd w:val="0"/>
        <w:spacing w:line="400" w:lineRule="exact"/>
        <w:jc w:val="center"/>
        <w:outlineLvl w:val="0"/>
        <w:rPr>
          <w:rStyle w:val="116"/>
          <w:rFonts w:ascii="宋体" w:hAnsi="宋体"/>
          <w:color w:val="auto"/>
          <w:sz w:val="28"/>
          <w:szCs w:val="28"/>
        </w:rPr>
      </w:pPr>
    </w:p>
    <w:p>
      <w:pPr>
        <w:autoSpaceDE w:val="0"/>
        <w:autoSpaceDN w:val="0"/>
        <w:adjustRightInd w:val="0"/>
        <w:spacing w:line="400" w:lineRule="exact"/>
        <w:jc w:val="center"/>
        <w:outlineLvl w:val="0"/>
        <w:rPr>
          <w:rStyle w:val="116"/>
          <w:rFonts w:ascii="宋体" w:hAnsi="宋体"/>
          <w:color w:val="auto"/>
          <w:sz w:val="28"/>
          <w:szCs w:val="28"/>
        </w:rPr>
      </w:pPr>
    </w:p>
    <w:p>
      <w:pPr>
        <w:autoSpaceDE w:val="0"/>
        <w:autoSpaceDN w:val="0"/>
        <w:adjustRightInd w:val="0"/>
        <w:spacing w:line="400" w:lineRule="exact"/>
        <w:jc w:val="center"/>
        <w:outlineLvl w:val="0"/>
        <w:rPr>
          <w:rFonts w:hint="eastAsia" w:ascii="宋体" w:hAnsi="宋体"/>
          <w:b/>
          <w:color w:val="auto"/>
          <w:szCs w:val="21"/>
        </w:rPr>
      </w:pPr>
      <w:r>
        <w:rPr>
          <w:rStyle w:val="116"/>
          <w:rFonts w:ascii="宋体" w:hAnsi="宋体"/>
          <w:color w:val="auto"/>
          <w:sz w:val="28"/>
          <w:szCs w:val="28"/>
        </w:rPr>
        <w:br w:type="page"/>
      </w:r>
      <w:bookmarkEnd w:id="33"/>
      <w:bookmarkEnd w:id="34"/>
      <w:bookmarkStart w:id="43" w:name="_Toc14907"/>
      <w:bookmarkStart w:id="44" w:name="_Toc21541030"/>
      <w:bookmarkStart w:id="45" w:name="_Toc44162161"/>
      <w:r>
        <w:rPr>
          <w:rFonts w:ascii="宋体" w:hAnsi="宋体"/>
          <w:b/>
          <w:color w:val="auto"/>
          <w:szCs w:val="21"/>
        </w:rPr>
        <w:t>C1</w:t>
      </w:r>
      <w:r>
        <w:rPr>
          <w:rFonts w:hint="eastAsia" w:ascii="宋体" w:hAnsi="宋体"/>
          <w:b/>
          <w:color w:val="auto"/>
          <w:szCs w:val="21"/>
        </w:rPr>
        <w:t>开标一览表</w:t>
      </w:r>
      <w:bookmarkEnd w:id="43"/>
      <w:bookmarkEnd w:id="44"/>
      <w:bookmarkEnd w:id="45"/>
    </w:p>
    <w:p>
      <w:pPr>
        <w:pStyle w:val="18"/>
        <w:spacing w:line="400" w:lineRule="exact"/>
        <w:ind w:firstLine="0"/>
        <w:rPr>
          <w:rFonts w:hint="eastAsia" w:ascii="宋体" w:hAnsi="宋体" w:eastAsia="宋体"/>
          <w:color w:val="auto"/>
          <w:sz w:val="21"/>
          <w:szCs w:val="21"/>
        </w:rPr>
      </w:pPr>
      <w:r>
        <w:rPr>
          <w:rFonts w:hint="eastAsia" w:ascii="宋体" w:hAnsi="宋体" w:eastAsia="宋体"/>
          <w:color w:val="auto"/>
          <w:sz w:val="21"/>
          <w:szCs w:val="21"/>
        </w:rPr>
        <w:t>项目名称：</w:t>
      </w:r>
      <w:r>
        <w:rPr>
          <w:rFonts w:hint="eastAsia" w:ascii="宋体" w:hAnsi="宋体" w:eastAsia="宋体"/>
          <w:color w:val="auto"/>
          <w:sz w:val="21"/>
          <w:szCs w:val="21"/>
          <w:u w:val="single"/>
        </w:rPr>
        <w:t>宁波市镇海区人民医院医疗集团</w:t>
      </w:r>
      <w:r>
        <w:rPr>
          <w:rFonts w:hint="eastAsia" w:ascii="宋体" w:hAnsi="宋体" w:eastAsia="宋体"/>
          <w:color w:val="auto"/>
          <w:sz w:val="21"/>
          <w:szCs w:val="21"/>
          <w:u w:val="single"/>
          <w:lang w:eastAsia="zh-CN"/>
        </w:rPr>
        <w:t>医学标本外送检测服务</w:t>
      </w:r>
      <w:r>
        <w:rPr>
          <w:rFonts w:hint="eastAsia" w:ascii="宋体" w:hAnsi="宋体" w:eastAsia="宋体"/>
          <w:color w:val="auto"/>
          <w:sz w:val="21"/>
          <w:szCs w:val="21"/>
          <w:u w:val="single"/>
        </w:rPr>
        <w:t>项目</w:t>
      </w:r>
    </w:p>
    <w:p>
      <w:pPr>
        <w:pStyle w:val="18"/>
        <w:spacing w:after="240" w:afterLines="100" w:line="400" w:lineRule="exact"/>
        <w:ind w:firstLine="0"/>
        <w:rPr>
          <w:rFonts w:hint="eastAsia" w:ascii="宋体" w:hAnsi="宋体" w:eastAsia="宋体"/>
          <w:color w:val="auto"/>
          <w:sz w:val="21"/>
          <w:szCs w:val="21"/>
          <w:u w:val="single"/>
        </w:rPr>
      </w:pPr>
      <w:r>
        <w:rPr>
          <w:rFonts w:hint="eastAsia" w:ascii="宋体" w:hAnsi="宋体" w:eastAsia="宋体"/>
          <w:color w:val="auto"/>
          <w:sz w:val="21"/>
          <w:szCs w:val="21"/>
        </w:rPr>
        <w:t>采购编号：</w:t>
      </w:r>
      <w:r>
        <w:rPr>
          <w:rFonts w:hint="eastAsia" w:ascii="宋体" w:hAnsi="宋体" w:eastAsia="宋体"/>
          <w:color w:val="auto"/>
          <w:sz w:val="21"/>
          <w:szCs w:val="21"/>
          <w:u w:val="single"/>
        </w:rPr>
        <w:t>NBITC-2021</w:t>
      </w:r>
      <w:r>
        <w:rPr>
          <w:rFonts w:hint="eastAsia" w:ascii="宋体" w:hAnsi="宋体" w:eastAsia="宋体"/>
          <w:color w:val="auto"/>
          <w:sz w:val="21"/>
          <w:szCs w:val="21"/>
          <w:u w:val="single"/>
          <w:lang w:val="en-US" w:eastAsia="zh-CN"/>
        </w:rPr>
        <w:t>30999</w:t>
      </w:r>
      <w:r>
        <w:rPr>
          <w:rFonts w:hint="eastAsia" w:ascii="宋体" w:hAnsi="宋体" w:eastAsia="宋体"/>
          <w:color w:val="auto"/>
          <w:sz w:val="21"/>
          <w:szCs w:val="21"/>
          <w:u w:val="single"/>
        </w:rPr>
        <w:t>G</w:t>
      </w:r>
    </w:p>
    <w:tbl>
      <w:tblPr>
        <w:tblStyle w:val="42"/>
        <w:tblpPr w:leftFromText="180" w:rightFromText="180" w:vertAnchor="page" w:horzAnchor="margin" w:tblpY="26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61"/>
        <w:gridCol w:w="1699"/>
        <w:gridCol w:w="1699"/>
        <w:gridCol w:w="1876"/>
        <w:gridCol w:w="15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707" w:type="dxa"/>
            <w:noWrap w:val="0"/>
            <w:vAlign w:val="center"/>
          </w:tcPr>
          <w:p>
            <w:pPr>
              <w:spacing w:line="600" w:lineRule="exact"/>
              <w:jc w:val="center"/>
              <w:rPr>
                <w:rFonts w:ascii="宋体" w:hAnsi="宋体" w:cs="宋体"/>
                <w:color w:val="auto"/>
              </w:rPr>
            </w:pPr>
            <w:r>
              <w:rPr>
                <w:rFonts w:hint="eastAsia" w:ascii="宋体" w:hAnsi="宋体" w:cs="宋体"/>
                <w:color w:val="auto"/>
              </w:rPr>
              <w:t>序号</w:t>
            </w:r>
          </w:p>
        </w:tc>
        <w:tc>
          <w:tcPr>
            <w:tcW w:w="2061" w:type="dxa"/>
            <w:noWrap w:val="0"/>
            <w:vAlign w:val="center"/>
          </w:tcPr>
          <w:p>
            <w:pPr>
              <w:spacing w:line="600" w:lineRule="exact"/>
              <w:jc w:val="center"/>
              <w:rPr>
                <w:rFonts w:ascii="宋体" w:hAnsi="宋体" w:cs="宋体"/>
                <w:color w:val="auto"/>
              </w:rPr>
            </w:pPr>
            <w:r>
              <w:rPr>
                <w:rFonts w:hint="eastAsia" w:ascii="宋体" w:hAnsi="宋体" w:cs="宋体"/>
                <w:color w:val="auto"/>
              </w:rPr>
              <w:t>项目名称</w:t>
            </w:r>
          </w:p>
        </w:tc>
        <w:tc>
          <w:tcPr>
            <w:tcW w:w="1699" w:type="dxa"/>
            <w:noWrap w:val="0"/>
            <w:vAlign w:val="center"/>
          </w:tcPr>
          <w:p>
            <w:pPr>
              <w:spacing w:line="600" w:lineRule="exact"/>
              <w:jc w:val="center"/>
              <w:rPr>
                <w:rFonts w:hint="eastAsia" w:ascii="宋体" w:hAnsi="宋体" w:cs="宋体"/>
                <w:color w:val="auto"/>
              </w:rPr>
            </w:pPr>
            <w:r>
              <w:rPr>
                <w:rFonts w:hint="eastAsia" w:ascii="宋体" w:hAnsi="宋体" w:cs="宋体"/>
                <w:color w:val="auto"/>
              </w:rPr>
              <w:t>普通检验服务比例</w:t>
            </w:r>
          </w:p>
        </w:tc>
        <w:tc>
          <w:tcPr>
            <w:tcW w:w="1699" w:type="dxa"/>
            <w:tcBorders>
              <w:left w:val="single" w:color="auto" w:sz="6" w:space="0"/>
            </w:tcBorders>
            <w:noWrap w:val="0"/>
            <w:vAlign w:val="center"/>
          </w:tcPr>
          <w:p>
            <w:pPr>
              <w:spacing w:line="600" w:lineRule="exact"/>
              <w:jc w:val="center"/>
              <w:rPr>
                <w:rFonts w:hint="default" w:ascii="宋体" w:hAnsi="宋体" w:eastAsia="宋体" w:cs="宋体"/>
                <w:color w:val="auto"/>
                <w:lang w:val="en-US" w:eastAsia="zh-CN"/>
              </w:rPr>
            </w:pPr>
            <w:r>
              <w:rPr>
                <w:rFonts w:hint="eastAsia" w:ascii="宋体" w:hAnsi="宋体" w:cs="宋体"/>
                <w:color w:val="auto"/>
              </w:rPr>
              <w:t>病理</w:t>
            </w:r>
            <w:r>
              <w:rPr>
                <w:rFonts w:hint="eastAsia" w:ascii="宋体" w:hAnsi="宋体" w:cs="宋体"/>
                <w:color w:val="auto"/>
                <w:lang w:eastAsia="zh-CN"/>
              </w:rPr>
              <w:t>检验</w:t>
            </w:r>
            <w:r>
              <w:rPr>
                <w:rFonts w:hint="eastAsia" w:ascii="宋体" w:hAnsi="宋体" w:cs="宋体"/>
                <w:color w:val="auto"/>
              </w:rPr>
              <w:t>服务比例</w:t>
            </w:r>
            <w:r>
              <w:rPr>
                <w:rFonts w:hint="eastAsia" w:ascii="宋体" w:hAnsi="宋体" w:cs="宋体"/>
                <w:color w:val="auto"/>
                <w:lang w:eastAsia="zh-CN"/>
              </w:rPr>
              <w:t>（除</w:t>
            </w:r>
            <w:r>
              <w:rPr>
                <w:rFonts w:hint="eastAsia" w:ascii="宋体" w:hAnsi="宋体" w:cs="宋体"/>
                <w:color w:val="auto"/>
                <w:lang w:val="en-US" w:eastAsia="zh-CN"/>
              </w:rPr>
              <w:t>炼化院区</w:t>
            </w:r>
            <w:r>
              <w:rPr>
                <w:rFonts w:hint="eastAsia" w:ascii="宋体" w:hAnsi="宋体" w:cs="宋体"/>
                <w:color w:val="auto"/>
                <w:lang w:eastAsia="zh-CN"/>
              </w:rPr>
              <w:t>）</w:t>
            </w:r>
          </w:p>
        </w:tc>
        <w:tc>
          <w:tcPr>
            <w:tcW w:w="1876" w:type="dxa"/>
            <w:tcBorders>
              <w:left w:val="single" w:color="auto" w:sz="4" w:space="0"/>
            </w:tcBorders>
            <w:noWrap w:val="0"/>
            <w:vAlign w:val="center"/>
          </w:tcPr>
          <w:p>
            <w:pPr>
              <w:spacing w:line="600" w:lineRule="exact"/>
              <w:jc w:val="center"/>
              <w:rPr>
                <w:rFonts w:hint="eastAsia" w:ascii="宋体" w:hAnsi="宋体" w:cs="宋体"/>
                <w:color w:val="auto"/>
              </w:rPr>
            </w:pPr>
            <w:r>
              <w:rPr>
                <w:rFonts w:hint="eastAsia" w:ascii="宋体" w:hAnsi="宋体" w:cs="宋体"/>
                <w:color w:val="auto"/>
              </w:rPr>
              <w:t>冰冻（术中快切）</w:t>
            </w:r>
          </w:p>
          <w:p>
            <w:pPr>
              <w:spacing w:line="600" w:lineRule="exact"/>
              <w:jc w:val="center"/>
              <w:rPr>
                <w:rFonts w:hint="eastAsia" w:ascii="宋体" w:hAnsi="宋体" w:cs="宋体"/>
                <w:color w:val="auto"/>
              </w:rPr>
            </w:pPr>
            <w:r>
              <w:rPr>
                <w:rFonts w:hint="eastAsia" w:ascii="宋体" w:hAnsi="宋体" w:cs="宋体"/>
                <w:color w:val="auto"/>
                <w:lang w:eastAsia="zh-CN"/>
              </w:rPr>
              <w:t>检验</w:t>
            </w:r>
            <w:r>
              <w:rPr>
                <w:rFonts w:hint="eastAsia" w:ascii="宋体" w:hAnsi="宋体" w:cs="宋体"/>
                <w:color w:val="auto"/>
              </w:rPr>
              <w:t>服务比例</w:t>
            </w:r>
          </w:p>
        </w:tc>
        <w:tc>
          <w:tcPr>
            <w:tcW w:w="1525" w:type="dxa"/>
            <w:tcBorders>
              <w:left w:val="single" w:color="auto" w:sz="4" w:space="0"/>
            </w:tcBorders>
            <w:noWrap w:val="0"/>
            <w:vAlign w:val="center"/>
          </w:tcPr>
          <w:p>
            <w:pPr>
              <w:spacing w:line="600" w:lineRule="exact"/>
              <w:jc w:val="center"/>
              <w:rPr>
                <w:rFonts w:hint="default" w:ascii="宋体" w:hAnsi="宋体" w:cs="宋体"/>
                <w:color w:val="auto"/>
                <w:lang w:val="en-US" w:eastAsia="zh-CN"/>
              </w:rPr>
            </w:pPr>
            <w:r>
              <w:rPr>
                <w:rFonts w:hint="eastAsia" w:ascii="宋体" w:hAnsi="宋体" w:cs="宋体"/>
                <w:color w:val="auto"/>
                <w:lang w:val="en-US" w:eastAsia="zh-CN"/>
              </w:rPr>
              <w:t>炼化院区的</w:t>
            </w:r>
            <w:r>
              <w:rPr>
                <w:rFonts w:hint="eastAsia" w:ascii="宋体" w:hAnsi="宋体" w:cs="宋体"/>
                <w:color w:val="auto"/>
                <w:lang w:eastAsia="zh-CN"/>
              </w:rPr>
              <w:t>病理检验服务比例（</w:t>
            </w:r>
            <w:r>
              <w:rPr>
                <w:rFonts w:hint="eastAsia" w:ascii="宋体" w:hAnsi="宋体" w:cs="宋体"/>
                <w:color w:val="auto"/>
                <w:highlight w:val="yellow"/>
                <w:lang w:eastAsia="zh-CN"/>
              </w:rPr>
              <w:t>不进行价格分计算</w:t>
            </w:r>
            <w:r>
              <w:rPr>
                <w:rFonts w:hint="eastAsia" w:ascii="宋体" w:hAnsi="宋体" w:cs="宋体"/>
                <w:color w:val="auto"/>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 w:hRule="atLeast"/>
        </w:trPr>
        <w:tc>
          <w:tcPr>
            <w:tcW w:w="707" w:type="dxa"/>
            <w:noWrap w:val="0"/>
            <w:vAlign w:val="center"/>
          </w:tcPr>
          <w:p>
            <w:pPr>
              <w:spacing w:line="440" w:lineRule="exact"/>
              <w:jc w:val="center"/>
              <w:rPr>
                <w:rFonts w:hint="eastAsia" w:ascii="宋体" w:hAnsi="宋体" w:cs="宋体"/>
                <w:color w:val="auto"/>
              </w:rPr>
            </w:pPr>
            <w:r>
              <w:rPr>
                <w:rFonts w:hint="eastAsia" w:ascii="宋体" w:hAnsi="宋体" w:cs="宋体"/>
                <w:color w:val="auto"/>
              </w:rPr>
              <w:t>1</w:t>
            </w:r>
          </w:p>
        </w:tc>
        <w:tc>
          <w:tcPr>
            <w:tcW w:w="2061" w:type="dxa"/>
            <w:noWrap w:val="0"/>
            <w:vAlign w:val="center"/>
          </w:tcPr>
          <w:p>
            <w:pPr>
              <w:spacing w:line="440" w:lineRule="exact"/>
              <w:jc w:val="center"/>
              <w:rPr>
                <w:rFonts w:ascii="宋体" w:hAnsi="宋体" w:cs="宋体"/>
                <w:color w:val="auto"/>
              </w:rPr>
            </w:pPr>
            <w:r>
              <w:rPr>
                <w:rFonts w:hint="eastAsia" w:ascii="宋体" w:hAnsi="宋体" w:cs="宋体"/>
                <w:color w:val="auto"/>
              </w:rPr>
              <w:t>宁波市镇海区人民医院医疗集团</w:t>
            </w:r>
            <w:r>
              <w:rPr>
                <w:rFonts w:hint="eastAsia" w:ascii="宋体" w:hAnsi="宋体" w:cs="宋体"/>
                <w:color w:val="auto"/>
                <w:lang w:eastAsia="zh-CN"/>
              </w:rPr>
              <w:t>医学标本外送检测服务</w:t>
            </w:r>
            <w:r>
              <w:rPr>
                <w:rFonts w:hint="eastAsia" w:ascii="宋体" w:hAnsi="宋体" w:cs="宋体"/>
                <w:color w:val="auto"/>
              </w:rPr>
              <w:t>项目</w:t>
            </w:r>
          </w:p>
        </w:tc>
        <w:tc>
          <w:tcPr>
            <w:tcW w:w="1699" w:type="dxa"/>
            <w:noWrap w:val="0"/>
            <w:vAlign w:val="center"/>
          </w:tcPr>
          <w:p>
            <w:pPr>
              <w:spacing w:line="440" w:lineRule="exact"/>
              <w:jc w:val="center"/>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w:t>
            </w:r>
          </w:p>
        </w:tc>
        <w:tc>
          <w:tcPr>
            <w:tcW w:w="1699" w:type="dxa"/>
            <w:tcBorders>
              <w:left w:val="single" w:color="auto" w:sz="6" w:space="0"/>
            </w:tcBorders>
            <w:noWrap w:val="0"/>
            <w:vAlign w:val="center"/>
          </w:tcPr>
          <w:p>
            <w:pPr>
              <w:spacing w:line="440" w:lineRule="exact"/>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w:t>
            </w:r>
          </w:p>
        </w:tc>
        <w:tc>
          <w:tcPr>
            <w:tcW w:w="1876" w:type="dxa"/>
            <w:tcBorders>
              <w:left w:val="single" w:color="auto" w:sz="4" w:space="0"/>
            </w:tcBorders>
            <w:noWrap w:val="0"/>
            <w:vAlign w:val="center"/>
          </w:tcPr>
          <w:p>
            <w:pPr>
              <w:spacing w:line="440" w:lineRule="exact"/>
              <w:jc w:val="center"/>
              <w:rPr>
                <w:rFonts w:hint="eastAsia" w:ascii="宋体" w:hAnsi="宋体" w:cs="宋体"/>
                <w:color w:val="auto"/>
                <w:u w:val="single"/>
              </w:rPr>
            </w:pPr>
            <w:r>
              <w:rPr>
                <w:rFonts w:hint="eastAsia" w:ascii="宋体" w:hAnsi="宋体" w:cs="宋体"/>
                <w:color w:val="auto"/>
                <w:u w:val="single"/>
              </w:rPr>
              <w:t xml:space="preserve">    </w:t>
            </w:r>
            <w:r>
              <w:rPr>
                <w:rFonts w:hint="eastAsia" w:ascii="宋体" w:hAnsi="宋体" w:cs="宋体"/>
                <w:color w:val="auto"/>
              </w:rPr>
              <w:t>%</w:t>
            </w:r>
          </w:p>
        </w:tc>
        <w:tc>
          <w:tcPr>
            <w:tcW w:w="1525" w:type="dxa"/>
            <w:tcBorders>
              <w:left w:val="single" w:color="auto" w:sz="4" w:space="0"/>
            </w:tcBorders>
            <w:noWrap w:val="0"/>
            <w:vAlign w:val="center"/>
          </w:tcPr>
          <w:p>
            <w:pPr>
              <w:spacing w:line="440" w:lineRule="exact"/>
              <w:jc w:val="center"/>
              <w:rPr>
                <w:rFonts w:hint="eastAsia" w:ascii="宋体" w:hAnsi="宋体" w:cs="宋体"/>
                <w:color w:val="auto"/>
                <w:u w:val="single"/>
              </w:rPr>
            </w:pPr>
            <w:r>
              <w:rPr>
                <w:rFonts w:hint="eastAsia" w:ascii="宋体" w:hAnsi="宋体" w:cs="宋体"/>
                <w:color w:val="auto"/>
                <w:u w:val="single"/>
              </w:rPr>
              <w:t xml:space="preserve">    </w:t>
            </w:r>
            <w:r>
              <w:rPr>
                <w:rFonts w:hint="eastAsia" w:ascii="宋体" w:hAnsi="宋体" w:cs="宋体"/>
                <w:color w:val="auto"/>
              </w:rPr>
              <w:t>%</w:t>
            </w:r>
          </w:p>
        </w:tc>
      </w:tr>
    </w:tbl>
    <w:p>
      <w:pPr>
        <w:spacing w:before="120" w:beforeLines="50" w:after="120" w:afterLines="50" w:line="360" w:lineRule="auto"/>
        <w:rPr>
          <w:rFonts w:hint="eastAsia"/>
          <w:b/>
          <w:color w:val="auto"/>
          <w:szCs w:val="21"/>
        </w:rPr>
      </w:pPr>
      <w:r>
        <w:rPr>
          <w:rFonts w:hint="eastAsia"/>
          <w:b/>
          <w:color w:val="auto"/>
          <w:szCs w:val="21"/>
        </w:rPr>
        <w:t>注：本项目</w:t>
      </w:r>
      <w:r>
        <w:rPr>
          <w:rFonts w:hint="eastAsia" w:ascii="宋体" w:hAnsi="宋体"/>
          <w:color w:val="auto"/>
          <w:szCs w:val="21"/>
          <w:lang w:eastAsia="zh-CN"/>
        </w:rPr>
        <w:t>普通</w:t>
      </w:r>
      <w:r>
        <w:rPr>
          <w:rFonts w:hint="eastAsia" w:ascii="宋体" w:hAnsi="宋体"/>
          <w:color w:val="auto"/>
          <w:szCs w:val="21"/>
        </w:rPr>
        <w:t>检验最高服务比例为：</w:t>
      </w:r>
      <w:r>
        <w:rPr>
          <w:rFonts w:hint="eastAsia" w:ascii="宋体" w:hAnsi="宋体"/>
          <w:color w:val="auto"/>
          <w:szCs w:val="21"/>
          <w:lang w:val="en-US" w:eastAsia="zh-CN"/>
        </w:rPr>
        <w:t>37</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病理</w:t>
      </w:r>
      <w:r>
        <w:rPr>
          <w:rFonts w:hint="eastAsia" w:ascii="宋体" w:hAnsi="宋体"/>
          <w:color w:val="auto"/>
          <w:szCs w:val="21"/>
          <w:lang w:eastAsia="zh-CN"/>
        </w:rPr>
        <w:t>检验</w:t>
      </w:r>
      <w:r>
        <w:rPr>
          <w:rFonts w:hint="eastAsia" w:ascii="宋体" w:hAnsi="宋体"/>
          <w:color w:val="auto"/>
          <w:szCs w:val="21"/>
        </w:rPr>
        <w:t>最高服务比例为：</w:t>
      </w:r>
      <w:r>
        <w:rPr>
          <w:rFonts w:hint="eastAsia" w:ascii="宋体" w:hAnsi="宋体"/>
          <w:color w:val="auto"/>
          <w:szCs w:val="21"/>
          <w:lang w:val="en-US" w:eastAsia="zh-CN"/>
        </w:rPr>
        <w:t>50</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其中炼化院区的</w:t>
      </w:r>
      <w:r>
        <w:rPr>
          <w:rFonts w:hint="eastAsia" w:ascii="宋体" w:hAnsi="宋体"/>
          <w:color w:val="auto"/>
          <w:szCs w:val="21"/>
          <w:lang w:eastAsia="zh-CN"/>
        </w:rPr>
        <w:t>病理检验最高服务比例为</w:t>
      </w:r>
      <w:r>
        <w:rPr>
          <w:rFonts w:hint="eastAsia" w:ascii="宋体" w:hAnsi="宋体"/>
          <w:color w:val="auto"/>
          <w:szCs w:val="21"/>
          <w:lang w:val="en-US" w:eastAsia="zh-CN"/>
        </w:rPr>
        <w:t>40%</w:t>
      </w:r>
      <w:r>
        <w:rPr>
          <w:rFonts w:hint="eastAsia" w:ascii="宋体" w:hAnsi="宋体"/>
          <w:color w:val="auto"/>
          <w:szCs w:val="21"/>
          <w:lang w:eastAsia="zh-CN"/>
        </w:rPr>
        <w:t>）；</w:t>
      </w:r>
      <w:r>
        <w:rPr>
          <w:rFonts w:hint="eastAsia" w:ascii="宋体" w:hAnsi="宋体"/>
          <w:color w:val="auto"/>
          <w:szCs w:val="21"/>
        </w:rPr>
        <w:t>冰冻（术中快切）</w:t>
      </w:r>
      <w:r>
        <w:rPr>
          <w:rFonts w:hint="eastAsia" w:ascii="宋体" w:hAnsi="宋体"/>
          <w:color w:val="auto"/>
          <w:szCs w:val="21"/>
          <w:lang w:eastAsia="zh-CN"/>
        </w:rPr>
        <w:t>检验</w:t>
      </w:r>
      <w:r>
        <w:rPr>
          <w:rFonts w:hint="eastAsia" w:ascii="宋体" w:hAnsi="宋体"/>
          <w:color w:val="auto"/>
          <w:szCs w:val="21"/>
        </w:rPr>
        <w:t>最高服务比例为：</w:t>
      </w:r>
      <w:r>
        <w:rPr>
          <w:rFonts w:hint="eastAsia" w:ascii="宋体" w:hAnsi="宋体"/>
          <w:color w:val="auto"/>
          <w:szCs w:val="21"/>
          <w:lang w:val="en-US" w:eastAsia="zh-CN"/>
        </w:rPr>
        <w:t>70</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高于此服务比例的投标为无效投标。</w:t>
      </w:r>
    </w:p>
    <w:p>
      <w:pPr>
        <w:pStyle w:val="14"/>
        <w:ind w:firstLine="536"/>
        <w:rPr>
          <w:rFonts w:hint="eastAsia"/>
          <w:color w:val="auto"/>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autoSpaceDE w:val="0"/>
        <w:autoSpaceDN w:val="0"/>
        <w:adjustRightInd w:val="0"/>
        <w:spacing w:line="400" w:lineRule="exact"/>
        <w:jc w:val="center"/>
        <w:outlineLvl w:val="0"/>
        <w:rPr>
          <w:rFonts w:ascii="宋体" w:hAnsi="宋体"/>
          <w:color w:val="auto"/>
          <w:szCs w:val="21"/>
        </w:rPr>
        <w:sectPr>
          <w:headerReference r:id="rId9" w:type="default"/>
          <w:footerReference r:id="rId10" w:type="default"/>
          <w:pgSz w:w="11907" w:h="16840"/>
          <w:pgMar w:top="1138" w:right="1134" w:bottom="1423" w:left="1339" w:header="285" w:footer="990" w:gutter="0"/>
          <w:cols w:space="720" w:num="1"/>
          <w:docGrid w:linePitch="285" w:charSpace="0"/>
        </w:sectPr>
      </w:pPr>
      <w:bookmarkStart w:id="46" w:name="_Toc44162162"/>
      <w:bookmarkStart w:id="47" w:name="_Toc21541032"/>
      <w:bookmarkStart w:id="48" w:name="_Toc14922"/>
    </w:p>
    <w:p>
      <w:pPr>
        <w:pStyle w:val="18"/>
        <w:spacing w:line="400" w:lineRule="exact"/>
        <w:ind w:firstLine="0"/>
        <w:rPr>
          <w:rFonts w:hint="eastAsia" w:ascii="宋体" w:hAnsi="宋体" w:eastAsia="宋体"/>
          <w:color w:val="auto"/>
          <w:sz w:val="21"/>
          <w:szCs w:val="21"/>
          <w:u w:val="single"/>
        </w:rPr>
      </w:pPr>
    </w:p>
    <w:p>
      <w:pPr>
        <w:autoSpaceDE w:val="0"/>
        <w:autoSpaceDN w:val="0"/>
        <w:adjustRightInd w:val="0"/>
        <w:spacing w:line="400" w:lineRule="exact"/>
        <w:jc w:val="center"/>
        <w:outlineLvl w:val="0"/>
        <w:rPr>
          <w:rFonts w:ascii="宋体" w:hAnsi="宋体"/>
          <w:b/>
          <w:color w:val="auto"/>
          <w:szCs w:val="21"/>
        </w:rPr>
      </w:pPr>
      <w:r>
        <w:rPr>
          <w:rFonts w:ascii="宋体" w:hAnsi="宋体"/>
          <w:b/>
          <w:color w:val="auto"/>
          <w:szCs w:val="21"/>
        </w:rPr>
        <w:t>C</w:t>
      </w:r>
      <w:r>
        <w:rPr>
          <w:rFonts w:hint="eastAsia" w:ascii="宋体" w:hAnsi="宋体"/>
          <w:b/>
          <w:color w:val="auto"/>
          <w:szCs w:val="21"/>
        </w:rPr>
        <w:t>2中小企业声明函</w:t>
      </w:r>
      <w:bookmarkEnd w:id="46"/>
      <w:bookmarkEnd w:id="47"/>
      <w:bookmarkEnd w:id="48"/>
    </w:p>
    <w:p>
      <w:pPr>
        <w:spacing w:line="400" w:lineRule="exact"/>
        <w:rPr>
          <w:rFonts w:ascii="宋体" w:hAnsi="宋体"/>
          <w:b/>
          <w:color w:val="auto"/>
          <w:szCs w:val="21"/>
        </w:rPr>
      </w:pPr>
    </w:p>
    <w:p>
      <w:pPr>
        <w:pStyle w:val="2"/>
        <w:spacing w:line="360" w:lineRule="auto"/>
        <w:ind w:firstLine="398" w:firstLineChars="200"/>
        <w:jc w:val="left"/>
        <w:rPr>
          <w:rFonts w:hint="eastAsia" w:cs="宋体"/>
          <w:color w:val="auto"/>
          <w:sz w:val="21"/>
          <w:szCs w:val="21"/>
        </w:rPr>
      </w:pPr>
      <w:r>
        <w:rPr>
          <w:rFonts w:hint="eastAsia" w:cs="宋体"/>
          <w:color w:val="auto"/>
          <w:w w:val="95"/>
          <w:sz w:val="21"/>
          <w:szCs w:val="21"/>
        </w:rPr>
        <w:t>本公司（联合体）郑重声明，根据《政府采购促进中小</w:t>
      </w:r>
      <w:r>
        <w:rPr>
          <w:rFonts w:hint="eastAsia" w:cs="宋体"/>
          <w:color w:val="auto"/>
          <w:spacing w:val="-6"/>
          <w:sz w:val="21"/>
          <w:szCs w:val="21"/>
        </w:rPr>
        <w:t>企业发展管理办法》（财库﹝2020﹞46</w:t>
      </w:r>
      <w:r>
        <w:rPr>
          <w:rFonts w:hint="eastAsia" w:cs="宋体"/>
          <w:color w:val="auto"/>
          <w:spacing w:val="-92"/>
          <w:sz w:val="21"/>
          <w:szCs w:val="21"/>
        </w:rPr>
        <w:t xml:space="preserve"> </w:t>
      </w:r>
      <w:r>
        <w:rPr>
          <w:rFonts w:hint="eastAsia" w:cs="宋体"/>
          <w:color w:val="auto"/>
          <w:spacing w:val="3"/>
          <w:sz w:val="21"/>
          <w:szCs w:val="21"/>
        </w:rPr>
        <w:t>号）的规定，本公司</w:t>
      </w:r>
      <w:r>
        <w:rPr>
          <w:rFonts w:hint="eastAsia" w:cs="宋体"/>
          <w:color w:val="auto"/>
          <w:w w:val="95"/>
          <w:sz w:val="21"/>
          <w:szCs w:val="21"/>
        </w:rPr>
        <w:t>（联合体）参加</w:t>
      </w:r>
      <w:r>
        <w:rPr>
          <w:rFonts w:hint="eastAsia" w:cs="宋体"/>
          <w:i/>
          <w:iCs/>
          <w:color w:val="auto"/>
          <w:w w:val="95"/>
          <w:sz w:val="21"/>
          <w:szCs w:val="21"/>
          <w:u w:val="single"/>
        </w:rPr>
        <w:t>（单位名称）</w:t>
      </w:r>
      <w:r>
        <w:rPr>
          <w:rFonts w:hint="eastAsia" w:cs="宋体"/>
          <w:color w:val="auto"/>
          <w:w w:val="95"/>
          <w:sz w:val="21"/>
          <w:szCs w:val="21"/>
        </w:rPr>
        <w:t>的</w:t>
      </w:r>
      <w:r>
        <w:rPr>
          <w:rFonts w:hint="eastAsia" w:cs="宋体"/>
          <w:i/>
          <w:iCs/>
          <w:color w:val="auto"/>
          <w:w w:val="95"/>
          <w:sz w:val="21"/>
          <w:szCs w:val="21"/>
          <w:u w:val="single"/>
        </w:rPr>
        <w:t>（项目名称）</w:t>
      </w:r>
      <w:r>
        <w:rPr>
          <w:rFonts w:hint="eastAsia" w:cs="宋体"/>
          <w:color w:val="auto"/>
          <w:w w:val="95"/>
          <w:sz w:val="21"/>
          <w:szCs w:val="21"/>
        </w:rPr>
        <w:t>采购活动</w:t>
      </w:r>
      <w:r>
        <w:rPr>
          <w:rFonts w:hint="eastAsia" w:cs="宋体"/>
          <w:color w:val="auto"/>
          <w:spacing w:val="-49"/>
          <w:sz w:val="21"/>
          <w:szCs w:val="21"/>
        </w:rPr>
        <w:t>，</w:t>
      </w:r>
      <w:r>
        <w:rPr>
          <w:rFonts w:hint="eastAsia" w:cs="宋体"/>
          <w:color w:val="auto"/>
          <w:w w:val="95"/>
          <w:sz w:val="21"/>
          <w:szCs w:val="21"/>
        </w:rPr>
        <w:t>服务全部由符合政策要求的中小企业承接。相关企业（含联合体中的中小企业、签订分包意向协议的中小企业）的具体情</w:t>
      </w:r>
      <w:r>
        <w:rPr>
          <w:rFonts w:hint="eastAsia" w:cs="宋体"/>
          <w:color w:val="auto"/>
          <w:sz w:val="21"/>
          <w:szCs w:val="21"/>
        </w:rPr>
        <w:t>况如下：</w:t>
      </w:r>
    </w:p>
    <w:p>
      <w:pPr>
        <w:pStyle w:val="2"/>
        <w:spacing w:line="360" w:lineRule="auto"/>
        <w:ind w:firstLine="398" w:firstLineChars="200"/>
        <w:jc w:val="left"/>
        <w:rPr>
          <w:rFonts w:hint="eastAsia" w:cs="宋体"/>
          <w:color w:val="auto"/>
          <w:sz w:val="21"/>
          <w:szCs w:val="21"/>
        </w:rPr>
      </w:pPr>
      <w:r>
        <w:rPr>
          <w:rFonts w:hint="eastAsia" w:cs="宋体"/>
          <w:color w:val="auto"/>
          <w:w w:val="95"/>
          <w:sz w:val="21"/>
          <w:szCs w:val="21"/>
        </w:rPr>
        <w:t>1.宁波市镇海区人民医院医疗集团</w:t>
      </w:r>
      <w:r>
        <w:rPr>
          <w:rFonts w:hint="eastAsia" w:cs="宋体"/>
          <w:color w:val="auto"/>
          <w:w w:val="95"/>
          <w:sz w:val="21"/>
          <w:szCs w:val="21"/>
          <w:lang w:eastAsia="zh-CN"/>
        </w:rPr>
        <w:t>医学标本外送检测服务</w:t>
      </w:r>
      <w:r>
        <w:rPr>
          <w:rFonts w:hint="eastAsia" w:cs="宋体"/>
          <w:color w:val="auto"/>
          <w:w w:val="95"/>
          <w:sz w:val="21"/>
          <w:szCs w:val="21"/>
        </w:rPr>
        <w:t>项目，属于</w:t>
      </w:r>
      <w:r>
        <w:rPr>
          <w:rFonts w:hint="eastAsia" w:cs="宋体"/>
          <w:b/>
          <w:color w:val="auto"/>
          <w:sz w:val="21"/>
          <w:szCs w:val="21"/>
          <w:u w:val="single"/>
        </w:rPr>
        <w:t>其他未列明行业</w:t>
      </w:r>
      <w:r>
        <w:rPr>
          <w:rFonts w:hint="eastAsia" w:cs="宋体"/>
          <w:color w:val="auto"/>
          <w:w w:val="95"/>
          <w:sz w:val="21"/>
          <w:szCs w:val="21"/>
        </w:rPr>
        <w:t>；承建（承接）企业为</w:t>
      </w:r>
      <w:r>
        <w:rPr>
          <w:rFonts w:hint="eastAsia" w:cs="宋体"/>
          <w:i/>
          <w:iCs/>
          <w:color w:val="auto"/>
          <w:w w:val="95"/>
          <w:sz w:val="21"/>
          <w:szCs w:val="21"/>
          <w:u w:val="single"/>
        </w:rPr>
        <w:t>（企业名称）</w:t>
      </w:r>
      <w:r>
        <w:rPr>
          <w:rFonts w:hint="eastAsia" w:cs="宋体"/>
          <w:color w:val="auto"/>
          <w:w w:val="95"/>
          <w:sz w:val="21"/>
          <w:szCs w:val="21"/>
        </w:rPr>
        <w:t>，从业人员</w:t>
      </w:r>
      <w:r>
        <w:rPr>
          <w:rFonts w:hint="eastAsia" w:cs="宋体"/>
          <w:color w:val="auto"/>
          <w:w w:val="95"/>
          <w:sz w:val="21"/>
          <w:szCs w:val="21"/>
          <w:u w:val="single"/>
        </w:rPr>
        <w:t xml:space="preserve">   </w:t>
      </w:r>
      <w:r>
        <w:rPr>
          <w:rFonts w:hint="eastAsia" w:cs="宋体"/>
          <w:color w:val="auto"/>
          <w:w w:val="95"/>
          <w:sz w:val="21"/>
          <w:szCs w:val="21"/>
        </w:rPr>
        <w:t>人，营业收入为</w:t>
      </w:r>
      <w:r>
        <w:rPr>
          <w:rFonts w:hint="eastAsia" w:cs="宋体"/>
          <w:color w:val="auto"/>
          <w:w w:val="95"/>
          <w:sz w:val="21"/>
          <w:szCs w:val="21"/>
          <w:u w:val="single"/>
        </w:rPr>
        <w:t xml:space="preserve">   </w:t>
      </w:r>
      <w:r>
        <w:rPr>
          <w:rFonts w:hint="eastAsia" w:cs="宋体"/>
          <w:color w:val="auto"/>
          <w:w w:val="95"/>
          <w:sz w:val="21"/>
          <w:szCs w:val="21"/>
        </w:rPr>
        <w:t>万元，资产总额为</w:t>
      </w:r>
      <w:r>
        <w:rPr>
          <w:rFonts w:hint="eastAsia" w:cs="宋体"/>
          <w:color w:val="auto"/>
          <w:w w:val="95"/>
          <w:sz w:val="21"/>
          <w:szCs w:val="21"/>
          <w:u w:val="single"/>
        </w:rPr>
        <w:t xml:space="preserve">   </w:t>
      </w:r>
      <w:r>
        <w:rPr>
          <w:rFonts w:hint="eastAsia" w:cs="宋体"/>
          <w:color w:val="auto"/>
          <w:w w:val="95"/>
          <w:sz w:val="21"/>
          <w:szCs w:val="21"/>
        </w:rPr>
        <w:t>万元，属于</w:t>
      </w:r>
      <w:r>
        <w:rPr>
          <w:rFonts w:hint="eastAsia" w:cs="宋体"/>
          <w:i/>
          <w:iCs/>
          <w:color w:val="auto"/>
          <w:w w:val="95"/>
          <w:sz w:val="21"/>
          <w:szCs w:val="21"/>
          <w:u w:val="single"/>
        </w:rPr>
        <w:t>（中型企业、小型企业、微型企业）</w:t>
      </w:r>
      <w:r>
        <w:rPr>
          <w:rFonts w:hint="eastAsia" w:cs="宋体"/>
          <w:color w:val="auto"/>
          <w:w w:val="95"/>
          <w:sz w:val="21"/>
          <w:szCs w:val="21"/>
        </w:rPr>
        <w:t>；</w:t>
      </w:r>
    </w:p>
    <w:p>
      <w:pPr>
        <w:pStyle w:val="2"/>
        <w:spacing w:line="360" w:lineRule="auto"/>
        <w:ind w:firstLine="398" w:firstLineChars="200"/>
        <w:jc w:val="left"/>
        <w:rPr>
          <w:rFonts w:hint="eastAsia" w:cs="宋体"/>
          <w:color w:val="auto"/>
          <w:w w:val="95"/>
          <w:sz w:val="21"/>
          <w:szCs w:val="21"/>
        </w:rPr>
      </w:pPr>
      <w:r>
        <w:rPr>
          <w:rFonts w:hint="eastAsia" w:cs="宋体"/>
          <w:color w:val="auto"/>
          <w:w w:val="95"/>
          <w:sz w:val="21"/>
          <w:szCs w:val="21"/>
        </w:rPr>
        <w:t>以上企业，不属于大企业的分支机构，不存在控股股东为大企业的情形，也不存在与大企业的负责人为同一人的情形。</w:t>
      </w:r>
    </w:p>
    <w:p>
      <w:pPr>
        <w:pStyle w:val="2"/>
        <w:spacing w:line="360" w:lineRule="auto"/>
        <w:ind w:firstLine="398" w:firstLineChars="200"/>
        <w:jc w:val="left"/>
        <w:rPr>
          <w:rFonts w:hint="eastAsia" w:cs="宋体"/>
          <w:color w:val="auto"/>
          <w:sz w:val="21"/>
          <w:szCs w:val="21"/>
        </w:rPr>
      </w:pPr>
      <w:r>
        <w:rPr>
          <w:rFonts w:hint="eastAsia" w:cs="宋体"/>
          <w:color w:val="auto"/>
          <w:w w:val="95"/>
          <w:sz w:val="21"/>
          <w:szCs w:val="21"/>
        </w:rPr>
        <w:t>本企业对上述声明内容的真实性负责。如有虚假，将依</w:t>
      </w:r>
      <w:r>
        <w:rPr>
          <w:rFonts w:hint="eastAsia" w:cs="宋体"/>
          <w:color w:val="auto"/>
          <w:sz w:val="21"/>
          <w:szCs w:val="21"/>
        </w:rPr>
        <w:t>法承担相应责任。</w:t>
      </w:r>
    </w:p>
    <w:p>
      <w:pPr>
        <w:pStyle w:val="2"/>
        <w:spacing w:line="360" w:lineRule="auto"/>
        <w:ind w:firstLine="2784" w:firstLineChars="1600"/>
        <w:jc w:val="left"/>
        <w:rPr>
          <w:rFonts w:hint="eastAsia" w:cs="宋体"/>
          <w:color w:val="auto"/>
          <w:spacing w:val="-18"/>
          <w:sz w:val="21"/>
          <w:szCs w:val="21"/>
        </w:rPr>
      </w:pPr>
    </w:p>
    <w:p>
      <w:pPr>
        <w:pStyle w:val="2"/>
        <w:spacing w:line="360" w:lineRule="auto"/>
        <w:ind w:firstLine="2784" w:firstLineChars="1600"/>
        <w:jc w:val="left"/>
        <w:rPr>
          <w:rFonts w:hint="eastAsia" w:cs="宋体"/>
          <w:color w:val="auto"/>
          <w:spacing w:val="-18"/>
          <w:sz w:val="21"/>
          <w:szCs w:val="21"/>
        </w:rPr>
      </w:pPr>
    </w:p>
    <w:p>
      <w:pPr>
        <w:pStyle w:val="2"/>
        <w:spacing w:line="360" w:lineRule="auto"/>
        <w:ind w:firstLine="2784" w:firstLineChars="1600"/>
        <w:jc w:val="left"/>
        <w:rPr>
          <w:rFonts w:hint="eastAsia" w:cs="宋体"/>
          <w:color w:val="auto"/>
          <w:spacing w:val="-18"/>
          <w:sz w:val="21"/>
          <w:szCs w:val="21"/>
        </w:rPr>
      </w:pPr>
      <w:r>
        <w:rPr>
          <w:rFonts w:hint="eastAsia" w:cs="宋体"/>
          <w:color w:val="auto"/>
          <w:spacing w:val="-18"/>
          <w:sz w:val="21"/>
          <w:szCs w:val="21"/>
        </w:rPr>
        <w:t>企业名称（盖章）：</w:t>
      </w:r>
    </w:p>
    <w:p>
      <w:pPr>
        <w:pStyle w:val="2"/>
        <w:spacing w:line="360" w:lineRule="auto"/>
        <w:ind w:firstLine="3013" w:firstLineChars="1435"/>
        <w:jc w:val="left"/>
        <w:rPr>
          <w:color w:val="auto"/>
          <w:sz w:val="21"/>
          <w:szCs w:val="21"/>
        </w:rPr>
      </w:pPr>
      <w:r>
        <w:rPr>
          <w:rFonts w:hint="eastAsia" w:cs="宋体"/>
          <w:color w:val="auto"/>
          <w:sz w:val="21"/>
          <w:szCs w:val="21"/>
        </w:rPr>
        <w:t>日</w:t>
      </w:r>
      <w:r>
        <w:rPr>
          <w:rFonts w:hint="eastAsia" w:cs="宋体"/>
          <w:color w:val="auto"/>
          <w:spacing w:val="-91"/>
          <w:sz w:val="21"/>
          <w:szCs w:val="21"/>
        </w:rPr>
        <w:t xml:space="preserve"> </w:t>
      </w:r>
      <w:r>
        <w:rPr>
          <w:rFonts w:hint="eastAsia" w:cs="宋体"/>
          <w:color w:val="auto"/>
          <w:sz w:val="21"/>
          <w:szCs w:val="21"/>
        </w:rPr>
        <w:t>期：</w:t>
      </w:r>
    </w:p>
    <w:p>
      <w:pPr>
        <w:pStyle w:val="18"/>
        <w:spacing w:line="400" w:lineRule="exact"/>
        <w:ind w:firstLine="481" w:firstLineChars="228"/>
        <w:rPr>
          <w:rFonts w:ascii="宋体" w:hAnsi="宋体" w:eastAsia="宋体"/>
          <w:b/>
          <w:color w:val="auto"/>
          <w:sz w:val="21"/>
          <w:szCs w:val="21"/>
        </w:rPr>
      </w:pPr>
      <w:r>
        <w:rPr>
          <w:rFonts w:hint="eastAsia" w:ascii="宋体" w:hAnsi="宋体" w:eastAsia="宋体"/>
          <w:b/>
          <w:color w:val="auto"/>
          <w:sz w:val="21"/>
          <w:szCs w:val="21"/>
        </w:rPr>
        <w:t>注：从业人员、营业收入、资产总额填报上一年度数据，无上一年度数据的新成立企业可不填报。</w:t>
      </w: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588" w:lineRule="exact"/>
        <w:jc w:val="center"/>
        <w:rPr>
          <w:rFonts w:ascii="宋体" w:hAnsi="宋体"/>
          <w:b/>
          <w:color w:val="auto"/>
          <w:szCs w:val="21"/>
        </w:rPr>
      </w:pPr>
      <w:r>
        <w:rPr>
          <w:rFonts w:ascii="宋体" w:hAnsi="宋体"/>
          <w:color w:val="auto"/>
          <w:szCs w:val="21"/>
        </w:rPr>
        <w:br w:type="page"/>
      </w:r>
      <w:r>
        <w:rPr>
          <w:rFonts w:ascii="宋体" w:hAnsi="宋体"/>
          <w:b/>
          <w:color w:val="auto"/>
          <w:szCs w:val="21"/>
        </w:rPr>
        <w:t>C</w:t>
      </w:r>
      <w:r>
        <w:rPr>
          <w:rFonts w:hint="eastAsia" w:ascii="宋体" w:hAnsi="宋体"/>
          <w:b/>
          <w:color w:val="auto"/>
          <w:szCs w:val="21"/>
        </w:rPr>
        <w:t>3残疾人福利性单位声明函（如有需提供）</w:t>
      </w:r>
    </w:p>
    <w:p>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588" w:lineRule="exact"/>
        <w:ind w:firstLine="420" w:firstLineChars="200"/>
        <w:rPr>
          <w:rFonts w:ascii="宋体" w:hAnsi="宋体"/>
          <w:color w:val="auto"/>
          <w:szCs w:val="21"/>
        </w:rPr>
      </w:pPr>
    </w:p>
    <w:p>
      <w:pPr>
        <w:spacing w:line="588" w:lineRule="exact"/>
        <w:ind w:firstLine="420" w:firstLineChars="200"/>
        <w:rPr>
          <w:rFonts w:ascii="宋体" w:hAnsi="宋体"/>
          <w:color w:val="auto"/>
          <w:szCs w:val="21"/>
        </w:rPr>
      </w:pP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exact"/>
        <w:ind w:firstLine="422" w:firstLineChars="200"/>
        <w:rPr>
          <w:rFonts w:ascii="宋体" w:hAnsi="宋体"/>
          <w:b/>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注：</w:t>
      </w:r>
    </w:p>
    <w:p>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 w:val="44"/>
          <w:szCs w:val="44"/>
        </w:rPr>
      </w:pPr>
    </w:p>
    <w:p>
      <w:pPr>
        <w:autoSpaceDE w:val="0"/>
        <w:autoSpaceDN w:val="0"/>
        <w:adjustRightInd w:val="0"/>
        <w:spacing w:line="400" w:lineRule="exact"/>
        <w:jc w:val="center"/>
        <w:outlineLvl w:val="0"/>
        <w:rPr>
          <w:rFonts w:ascii="宋体" w:hAnsi="宋体"/>
          <w:b/>
          <w:color w:val="auto"/>
          <w:szCs w:val="21"/>
        </w:rPr>
      </w:pPr>
      <w:r>
        <w:rPr>
          <w:rStyle w:val="116"/>
          <w:rFonts w:ascii="宋体" w:hAnsi="宋体"/>
          <w:color w:val="auto"/>
          <w:szCs w:val="21"/>
        </w:rPr>
        <w:br w:type="page"/>
      </w:r>
      <w:bookmarkStart w:id="49" w:name="_Toc21541033"/>
      <w:bookmarkStart w:id="50" w:name="_Toc26806"/>
      <w:bookmarkStart w:id="51" w:name="_Toc44162163"/>
      <w:r>
        <w:rPr>
          <w:rFonts w:ascii="宋体" w:hAnsi="宋体"/>
          <w:b/>
          <w:color w:val="auto"/>
          <w:szCs w:val="21"/>
        </w:rPr>
        <w:t>C</w:t>
      </w:r>
      <w:r>
        <w:rPr>
          <w:rFonts w:hint="eastAsia" w:ascii="宋体" w:hAnsi="宋体"/>
          <w:b/>
          <w:color w:val="auto"/>
          <w:szCs w:val="21"/>
        </w:rPr>
        <w:t>4供应商认为需要的其他资料（如有需提供）</w:t>
      </w:r>
      <w:bookmarkEnd w:id="49"/>
      <w:bookmarkEnd w:id="50"/>
      <w:bookmarkEnd w:id="51"/>
    </w:p>
    <w:p>
      <w:pPr>
        <w:autoSpaceDE w:val="0"/>
        <w:autoSpaceDN w:val="0"/>
        <w:adjustRightInd w:val="0"/>
        <w:spacing w:line="400" w:lineRule="exact"/>
        <w:outlineLvl w:val="0"/>
        <w:rPr>
          <w:rFonts w:ascii="宋体" w:hAnsi="宋体"/>
          <w:b/>
          <w:color w:val="auto"/>
          <w:szCs w:val="21"/>
        </w:rPr>
      </w:pPr>
    </w:p>
    <w:p>
      <w:pPr>
        <w:pStyle w:val="24"/>
        <w:spacing w:line="360" w:lineRule="auto"/>
        <w:ind w:left="101" w:leftChars="48" w:firstLine="2880" w:firstLineChars="800"/>
        <w:jc w:val="left"/>
        <w:rPr>
          <w:rFonts w:hAnsi="宋体"/>
          <w:color w:val="auto"/>
          <w:sz w:val="36"/>
          <w:szCs w:val="36"/>
        </w:rPr>
        <w:sectPr>
          <w:pgSz w:w="11907" w:h="16840"/>
          <w:pgMar w:top="1138" w:right="1588" w:bottom="1423" w:left="1339" w:header="285" w:footer="990" w:gutter="0"/>
          <w:cols w:space="720" w:num="1"/>
          <w:docGrid w:linePitch="285" w:charSpace="0"/>
        </w:sectPr>
      </w:pPr>
    </w:p>
    <w:tbl>
      <w:tblPr>
        <w:tblStyle w:val="42"/>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dxa"/>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tblPrEx>
          <w:tblCellMar>
            <w:top w:w="0" w:type="dxa"/>
            <w:left w:w="108" w:type="dxa"/>
            <w:bottom w:w="0" w:type="dxa"/>
            <w:right w:w="108" w:type="dxa"/>
          </w:tblCellMar>
        </w:tblPrEx>
        <w:trPr>
          <w:gridAfter w:val="1"/>
          <w:wBefore w:w="0" w:type="dxa"/>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gridAfter w:val="1"/>
          <w:wBefore w:w="0" w:type="dxa"/>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auto"/>
                <w:kern w:val="0"/>
                <w:sz w:val="24"/>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wBefore w:w="0" w:type="dxa"/>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pPr>
        <w:pStyle w:val="24"/>
        <w:tabs>
          <w:tab w:val="left" w:pos="3450"/>
        </w:tabs>
        <w:spacing w:line="20" w:lineRule="exact"/>
        <w:jc w:val="left"/>
        <w:rPr>
          <w:rFonts w:hint="eastAsia" w:hAnsi="宋体"/>
          <w:color w:val="auto"/>
          <w:sz w:val="36"/>
          <w:szCs w:val="36"/>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2010601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FFFFFFFF" w:usb1="E9FFFFFF" w:usb2="0000003F" w:usb3="00000000" w:csb0="603F01FF" w:csb1="FFFF0000"/>
  </w:font>
  <w:font w:name="Univers">
    <w:altName w:val="Arial"/>
    <w:panose1 w:val="020B0603020202030204"/>
    <w:charset w:val="00"/>
    <w:family w:val="swiss"/>
    <w:pitch w:val="default"/>
    <w:sig w:usb0="00000007" w:usb1="00000000" w:usb2="00000000" w:usb3="00000000" w:csb0="00000093" w:csb1="00000000"/>
  </w:font>
  <w:font w:name="BatangChe">
    <w:altName w:val="Malgun Gothic"/>
    <w:panose1 w:val="02030609000101010101"/>
    <w:charset w:val="81"/>
    <w:family w:val="modern"/>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separate"/>
    </w:r>
    <w:r>
      <w:rPr>
        <w:rStyle w:val="46"/>
        <w:lang/>
      </w:rPr>
      <w:t>1</w:t>
    </w:r>
    <w:r>
      <w:fldChar w:fldCharType="end"/>
    </w:r>
  </w:p>
  <w:p>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separate"/>
    </w:r>
    <w:r>
      <w:rPr>
        <w:rStyle w:val="46"/>
        <w:lang/>
      </w:rPr>
      <w:t>5</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h="850" w:hRule="exact" w:wrap="around" w:vAnchor="text" w:hAnchor="margin" w:xAlign="center" w:y="348"/>
      <w:jc w:val="center"/>
      <w:rPr>
        <w:rStyle w:val="46"/>
      </w:rPr>
    </w:pPr>
    <w:r>
      <w:fldChar w:fldCharType="begin"/>
    </w:r>
    <w:r>
      <w:rPr>
        <w:rStyle w:val="46"/>
      </w:rPr>
      <w:instrText xml:space="preserve">PAGE  </w:instrText>
    </w:r>
    <w:r>
      <w:fldChar w:fldCharType="separate"/>
    </w:r>
    <w:r>
      <w:rPr>
        <w:rStyle w:val="46"/>
        <w:lang/>
      </w:rPr>
      <w:t>54</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DE20"/>
    <w:multiLevelType w:val="singleLevel"/>
    <w:tmpl w:val="8445DE20"/>
    <w:lvl w:ilvl="0" w:tentative="0">
      <w:start w:val="1"/>
      <w:numFmt w:val="decimal"/>
      <w:suff w:val="nothing"/>
      <w:lvlText w:val="%1"/>
      <w:lvlJc w:val="left"/>
      <w:pPr>
        <w:ind w:left="0" w:firstLine="403"/>
      </w:pPr>
      <w:rPr>
        <w:rFonts w:hint="default"/>
      </w:rPr>
    </w:lvl>
  </w:abstractNum>
  <w:abstractNum w:abstractNumId="1">
    <w:nsid w:val="9EF9FFD7"/>
    <w:multiLevelType w:val="singleLevel"/>
    <w:tmpl w:val="9EF9FFD7"/>
    <w:lvl w:ilvl="0" w:tentative="0">
      <w:start w:val="1"/>
      <w:numFmt w:val="decimal"/>
      <w:lvlText w:val="%1"/>
      <w:lvlJc w:val="left"/>
      <w:pPr>
        <w:tabs>
          <w:tab w:val="left" w:pos="420"/>
        </w:tabs>
        <w:ind w:left="425" w:hanging="425"/>
      </w:pPr>
      <w:rPr>
        <w:rFonts w:hint="default"/>
      </w:rPr>
    </w:lvl>
  </w:abstractNum>
  <w:abstractNum w:abstractNumId="2">
    <w:nsid w:val="068C536A"/>
    <w:multiLevelType w:val="multilevel"/>
    <w:tmpl w:val="068C536A"/>
    <w:lvl w:ilvl="0" w:tentative="0">
      <w:start w:val="17"/>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3">
    <w:nsid w:val="136C4B2A"/>
    <w:multiLevelType w:val="multilevel"/>
    <w:tmpl w:val="136C4B2A"/>
    <w:lvl w:ilvl="0" w:tentative="0">
      <w:start w:val="1"/>
      <w:numFmt w:val="chineseCountingThousand"/>
      <w:lvlText w:val="%1、"/>
      <w:lvlJc w:val="left"/>
      <w:pPr>
        <w:ind w:left="420" w:hanging="420"/>
      </w:pPr>
      <w:rPr>
        <w:rFonts w:ascii="华文细黑" w:hAnsi="华文细黑" w:eastAsia="华文细黑"/>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D1F3AFB"/>
    <w:multiLevelType w:val="multilevel"/>
    <w:tmpl w:val="2D1F3AFB"/>
    <w:lvl w:ilvl="0" w:tentative="0">
      <w:start w:val="6"/>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5">
    <w:nsid w:val="313E64C1"/>
    <w:multiLevelType w:val="multilevel"/>
    <w:tmpl w:val="313E64C1"/>
    <w:lvl w:ilvl="0" w:tentative="0">
      <w:start w:val="11"/>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6">
    <w:nsid w:val="339D3F77"/>
    <w:multiLevelType w:val="multilevel"/>
    <w:tmpl w:val="339D3F77"/>
    <w:lvl w:ilvl="0" w:tentative="0">
      <w:start w:val="1"/>
      <w:numFmt w:val="decimal"/>
      <w:lvlText w:val="%1"/>
      <w:lvlJc w:val="left"/>
      <w:pPr>
        <w:ind w:left="420" w:hanging="420"/>
      </w:pPr>
    </w:lvl>
    <w:lvl w:ilvl="1" w:tentative="0">
      <w:start w:val="1"/>
      <w:numFmt w:val="decimal"/>
      <w:lvlText w:val="%1.%2"/>
      <w:lvlJc w:val="left"/>
      <w:pPr>
        <w:ind w:left="420" w:hanging="420"/>
      </w:pPr>
      <w:rPr>
        <w:sz w:val="18"/>
        <w:szCs w:val="18"/>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720" w:hanging="72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7">
    <w:nsid w:val="379A5140"/>
    <w:multiLevelType w:val="multilevel"/>
    <w:tmpl w:val="379A5140"/>
    <w:lvl w:ilvl="0" w:tentative="0">
      <w:start w:val="5"/>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8">
    <w:nsid w:val="3BE90FC6"/>
    <w:multiLevelType w:val="multilevel"/>
    <w:tmpl w:val="3BE90FC6"/>
    <w:lvl w:ilvl="0" w:tentative="0">
      <w:start w:val="7"/>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9">
    <w:nsid w:val="416F0729"/>
    <w:multiLevelType w:val="multilevel"/>
    <w:tmpl w:val="416F0729"/>
    <w:lvl w:ilvl="0" w:tentative="0">
      <w:start w:val="1"/>
      <w:numFmt w:val="decimal"/>
      <w:lvlText w:val="(%1)"/>
      <w:lvlJc w:val="left"/>
      <w:pPr>
        <w:ind w:left="1571" w:hanging="360"/>
      </w:pPr>
      <w:rPr>
        <w:sz w:val="18"/>
        <w:szCs w:val="1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31F50BE"/>
    <w:multiLevelType w:val="multilevel"/>
    <w:tmpl w:val="431F50BE"/>
    <w:lvl w:ilvl="0" w:tentative="0">
      <w:start w:val="3"/>
      <w:numFmt w:val="decimal"/>
      <w:lvlText w:val="%1"/>
      <w:lvlJc w:val="left"/>
      <w:pPr>
        <w:ind w:left="360" w:hanging="360"/>
      </w:pPr>
    </w:lvl>
    <w:lvl w:ilvl="1" w:tentative="0">
      <w:start w:val="1"/>
      <w:numFmt w:val="decimal"/>
      <w:lvlText w:val="%1.%2"/>
      <w:lvlJc w:val="left"/>
      <w:pPr>
        <w:ind w:left="1140" w:hanging="360"/>
      </w:pPr>
      <w:rPr>
        <w:sz w:val="18"/>
        <w:szCs w:val="18"/>
      </w:rPr>
    </w:lvl>
    <w:lvl w:ilvl="2" w:tentative="0">
      <w:start w:val="1"/>
      <w:numFmt w:val="decimal"/>
      <w:lvlText w:val="%1.%2.%3"/>
      <w:lvlJc w:val="left"/>
      <w:pPr>
        <w:ind w:left="2280" w:hanging="720"/>
      </w:pPr>
    </w:lvl>
    <w:lvl w:ilvl="3" w:tentative="0">
      <w:start w:val="1"/>
      <w:numFmt w:val="decimal"/>
      <w:lvlText w:val="%1.%2.%3.%4"/>
      <w:lvlJc w:val="left"/>
      <w:pPr>
        <w:ind w:left="3060" w:hanging="720"/>
      </w:pPr>
    </w:lvl>
    <w:lvl w:ilvl="4" w:tentative="0">
      <w:start w:val="1"/>
      <w:numFmt w:val="decimal"/>
      <w:lvlText w:val="%1.%2.%3.%4.%5"/>
      <w:lvlJc w:val="left"/>
      <w:pPr>
        <w:ind w:left="3840" w:hanging="720"/>
      </w:pPr>
    </w:lvl>
    <w:lvl w:ilvl="5" w:tentative="0">
      <w:start w:val="1"/>
      <w:numFmt w:val="decimal"/>
      <w:lvlText w:val="%1.%2.%3.%4.%5.%6"/>
      <w:lvlJc w:val="left"/>
      <w:pPr>
        <w:ind w:left="4980" w:hanging="1080"/>
      </w:pPr>
    </w:lvl>
    <w:lvl w:ilvl="6" w:tentative="0">
      <w:start w:val="1"/>
      <w:numFmt w:val="decimal"/>
      <w:lvlText w:val="%1.%2.%3.%4.%5.%6.%7"/>
      <w:lvlJc w:val="left"/>
      <w:pPr>
        <w:ind w:left="5760" w:hanging="1080"/>
      </w:pPr>
    </w:lvl>
    <w:lvl w:ilvl="7" w:tentative="0">
      <w:start w:val="1"/>
      <w:numFmt w:val="decimal"/>
      <w:lvlText w:val="%1.%2.%3.%4.%5.%6.%7.%8"/>
      <w:lvlJc w:val="left"/>
      <w:pPr>
        <w:ind w:left="6900" w:hanging="1440"/>
      </w:pPr>
    </w:lvl>
    <w:lvl w:ilvl="8" w:tentative="0">
      <w:start w:val="1"/>
      <w:numFmt w:val="decimal"/>
      <w:lvlText w:val="%1.%2.%3.%4.%5.%6.%7.%8.%9"/>
      <w:lvlJc w:val="left"/>
      <w:pPr>
        <w:ind w:left="7680" w:hanging="1440"/>
      </w:pPr>
    </w:lvl>
  </w:abstractNum>
  <w:abstractNum w:abstractNumId="11">
    <w:nsid w:val="528B6621"/>
    <w:multiLevelType w:val="multilevel"/>
    <w:tmpl w:val="528B6621"/>
    <w:lvl w:ilvl="0" w:tentative="0">
      <w:start w:val="16"/>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2">
    <w:nsid w:val="57A74C8F"/>
    <w:multiLevelType w:val="singleLevel"/>
    <w:tmpl w:val="57A74C8F"/>
    <w:lvl w:ilvl="0" w:tentative="0">
      <w:start w:val="1"/>
      <w:numFmt w:val="chineseCounting"/>
      <w:pStyle w:val="222"/>
      <w:suff w:val="nothing"/>
      <w:lvlText w:val="%1、"/>
      <w:lvlJc w:val="left"/>
      <w:rPr>
        <w:rFonts w:hint="eastAsia" w:cs="Times New Roman"/>
      </w:rPr>
    </w:lvl>
  </w:abstractNum>
  <w:abstractNum w:abstractNumId="13">
    <w:nsid w:val="5B214D39"/>
    <w:multiLevelType w:val="multilevel"/>
    <w:tmpl w:val="5B214D39"/>
    <w:lvl w:ilvl="0" w:tentative="0">
      <w:start w:val="12"/>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4">
    <w:nsid w:val="5C7E8CA2"/>
    <w:multiLevelType w:val="singleLevel"/>
    <w:tmpl w:val="5C7E8CA2"/>
    <w:lvl w:ilvl="0" w:tentative="0">
      <w:start w:val="1"/>
      <w:numFmt w:val="decimal"/>
      <w:suff w:val="nothing"/>
      <w:lvlText w:val="%1、"/>
      <w:lvlJc w:val="left"/>
    </w:lvl>
  </w:abstractNum>
  <w:abstractNum w:abstractNumId="15">
    <w:nsid w:val="5DAB3260"/>
    <w:multiLevelType w:val="multilevel"/>
    <w:tmpl w:val="5DAB3260"/>
    <w:lvl w:ilvl="0" w:tentative="0">
      <w:start w:val="18"/>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6">
    <w:nsid w:val="62407F1E"/>
    <w:multiLevelType w:val="multilevel"/>
    <w:tmpl w:val="62407F1E"/>
    <w:lvl w:ilvl="0" w:tentative="0">
      <w:start w:val="14"/>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7">
    <w:nsid w:val="64D510C5"/>
    <w:multiLevelType w:val="multilevel"/>
    <w:tmpl w:val="64D510C5"/>
    <w:lvl w:ilvl="0" w:tentative="0">
      <w:start w:val="13"/>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8">
    <w:nsid w:val="69C0319A"/>
    <w:multiLevelType w:val="multilevel"/>
    <w:tmpl w:val="69C0319A"/>
    <w:lvl w:ilvl="0" w:tentative="0">
      <w:start w:val="8"/>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9">
    <w:nsid w:val="6FEA3922"/>
    <w:multiLevelType w:val="multilevel"/>
    <w:tmpl w:val="6FEA3922"/>
    <w:lvl w:ilvl="0" w:tentative="0">
      <w:start w:val="10"/>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20">
    <w:nsid w:val="716A3C17"/>
    <w:multiLevelType w:val="multilevel"/>
    <w:tmpl w:val="716A3C17"/>
    <w:lvl w:ilvl="0" w:tentative="0">
      <w:start w:val="4"/>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rPr>
        <w:sz w:val="21"/>
        <w:szCs w:val="21"/>
      </w:r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21">
    <w:nsid w:val="793A6E64"/>
    <w:multiLevelType w:val="multilevel"/>
    <w:tmpl w:val="793A6E64"/>
    <w:lvl w:ilvl="0" w:tentative="0">
      <w:start w:val="2"/>
      <w:numFmt w:val="decimal"/>
      <w:lvlText w:val="%1"/>
      <w:lvlJc w:val="left"/>
      <w:pPr>
        <w:ind w:left="360" w:hanging="360"/>
      </w:pPr>
    </w:lvl>
    <w:lvl w:ilvl="1" w:tentative="0">
      <w:start w:val="1"/>
      <w:numFmt w:val="decimal"/>
      <w:lvlText w:val="%1.%2"/>
      <w:lvlJc w:val="left"/>
      <w:pPr>
        <w:ind w:left="780" w:hanging="360"/>
      </w:pPr>
      <w:rPr>
        <w:sz w:val="18"/>
        <w:szCs w:val="18"/>
      </w:rPr>
    </w:lvl>
    <w:lvl w:ilvl="2" w:tentative="0">
      <w:start w:val="1"/>
      <w:numFmt w:val="decimal"/>
      <w:lvlText w:val="%1.%2.%3"/>
      <w:lvlJc w:val="left"/>
      <w:pPr>
        <w:ind w:left="1560" w:hanging="720"/>
      </w:pPr>
    </w:lvl>
    <w:lvl w:ilvl="3" w:tentative="0">
      <w:start w:val="1"/>
      <w:numFmt w:val="decimal"/>
      <w:lvlText w:val="%1.%2.%3.%4"/>
      <w:lvlJc w:val="left"/>
      <w:pPr>
        <w:ind w:left="1980" w:hanging="720"/>
      </w:pPr>
    </w:lvl>
    <w:lvl w:ilvl="4" w:tentative="0">
      <w:start w:val="1"/>
      <w:numFmt w:val="decimal"/>
      <w:lvlText w:val="%1.%2.%3.%4.%5"/>
      <w:lvlJc w:val="left"/>
      <w:pPr>
        <w:ind w:left="2400" w:hanging="720"/>
      </w:pPr>
    </w:lvl>
    <w:lvl w:ilvl="5" w:tentative="0">
      <w:start w:val="1"/>
      <w:numFmt w:val="decimal"/>
      <w:lvlText w:val="%1.%2.%3.%4.%5.%6"/>
      <w:lvlJc w:val="left"/>
      <w:pPr>
        <w:ind w:left="3180" w:hanging="1080"/>
      </w:pPr>
    </w:lvl>
    <w:lvl w:ilvl="6" w:tentative="0">
      <w:start w:val="1"/>
      <w:numFmt w:val="decimal"/>
      <w:lvlText w:val="%1.%2.%3.%4.%5.%6.%7"/>
      <w:lvlJc w:val="left"/>
      <w:pPr>
        <w:ind w:left="3600" w:hanging="1080"/>
      </w:pPr>
    </w:lvl>
    <w:lvl w:ilvl="7" w:tentative="0">
      <w:start w:val="1"/>
      <w:numFmt w:val="decimal"/>
      <w:lvlText w:val="%1.%2.%3.%4.%5.%6.%7.%8"/>
      <w:lvlJc w:val="left"/>
      <w:pPr>
        <w:ind w:left="4380" w:hanging="1440"/>
      </w:pPr>
    </w:lvl>
    <w:lvl w:ilvl="8" w:tentative="0">
      <w:start w:val="1"/>
      <w:numFmt w:val="decimal"/>
      <w:lvlText w:val="%1.%2.%3.%4.%5.%6.%7.%8.%9"/>
      <w:lvlJc w:val="left"/>
      <w:pPr>
        <w:ind w:left="4800" w:hanging="1440"/>
      </w:pPr>
    </w:lvl>
  </w:abstractNum>
  <w:abstractNum w:abstractNumId="22">
    <w:nsid w:val="79E33EC4"/>
    <w:multiLevelType w:val="multilevel"/>
    <w:tmpl w:val="79E33EC4"/>
    <w:lvl w:ilvl="0" w:tentative="0">
      <w:start w:val="9"/>
      <w:numFmt w:val="decimal"/>
      <w:lvlText w:val="%1"/>
      <w:lvlJc w:val="left"/>
      <w:pPr>
        <w:ind w:left="360" w:hanging="360"/>
      </w:pPr>
      <w:rPr>
        <w:color w:val="auto"/>
      </w:rPr>
    </w:lvl>
    <w:lvl w:ilvl="1" w:tentative="0">
      <w:start w:val="1"/>
      <w:numFmt w:val="decimal"/>
      <w:lvlText w:val="%1.%2"/>
      <w:lvlJc w:val="left"/>
      <w:pPr>
        <w:ind w:left="1211" w:hanging="360"/>
      </w:pPr>
      <w:rPr>
        <w:color w:val="auto"/>
        <w:sz w:val="18"/>
        <w:szCs w:val="18"/>
      </w:rPr>
    </w:lvl>
    <w:lvl w:ilvl="2" w:tentative="0">
      <w:start w:val="1"/>
      <w:numFmt w:val="decimal"/>
      <w:lvlText w:val="%1.%2.%3"/>
      <w:lvlJc w:val="left"/>
      <w:pPr>
        <w:ind w:left="2422" w:hanging="720"/>
      </w:pPr>
      <w:rPr>
        <w:color w:val="auto"/>
      </w:rPr>
    </w:lvl>
    <w:lvl w:ilvl="3" w:tentative="0">
      <w:start w:val="1"/>
      <w:numFmt w:val="decimal"/>
      <w:lvlText w:val="%1.%2.%3.%4"/>
      <w:lvlJc w:val="left"/>
      <w:pPr>
        <w:ind w:left="3273" w:hanging="720"/>
      </w:pPr>
      <w:rPr>
        <w:color w:val="auto"/>
      </w:rPr>
    </w:lvl>
    <w:lvl w:ilvl="4" w:tentative="0">
      <w:start w:val="1"/>
      <w:numFmt w:val="decimal"/>
      <w:lvlText w:val="%1.%2.%3.%4.%5"/>
      <w:lvlJc w:val="left"/>
      <w:pPr>
        <w:ind w:left="4124" w:hanging="720"/>
      </w:pPr>
      <w:rPr>
        <w:color w:val="auto"/>
      </w:rPr>
    </w:lvl>
    <w:lvl w:ilvl="5" w:tentative="0">
      <w:start w:val="1"/>
      <w:numFmt w:val="decimal"/>
      <w:lvlText w:val="%1.%2.%3.%4.%5.%6"/>
      <w:lvlJc w:val="left"/>
      <w:pPr>
        <w:ind w:left="5335" w:hanging="1080"/>
      </w:pPr>
      <w:rPr>
        <w:color w:val="auto"/>
      </w:rPr>
    </w:lvl>
    <w:lvl w:ilvl="6" w:tentative="0">
      <w:start w:val="1"/>
      <w:numFmt w:val="decimal"/>
      <w:lvlText w:val="%1.%2.%3.%4.%5.%6.%7"/>
      <w:lvlJc w:val="left"/>
      <w:pPr>
        <w:ind w:left="6186" w:hanging="1080"/>
      </w:pPr>
      <w:rPr>
        <w:color w:val="auto"/>
      </w:rPr>
    </w:lvl>
    <w:lvl w:ilvl="7" w:tentative="0">
      <w:start w:val="1"/>
      <w:numFmt w:val="decimal"/>
      <w:lvlText w:val="%1.%2.%3.%4.%5.%6.%7.%8"/>
      <w:lvlJc w:val="left"/>
      <w:pPr>
        <w:ind w:left="7397" w:hanging="1440"/>
      </w:pPr>
      <w:rPr>
        <w:color w:val="auto"/>
      </w:rPr>
    </w:lvl>
    <w:lvl w:ilvl="8" w:tentative="0">
      <w:start w:val="1"/>
      <w:numFmt w:val="decimal"/>
      <w:lvlText w:val="%1.%2.%3.%4.%5.%6.%7.%8.%9"/>
      <w:lvlJc w:val="left"/>
      <w:pPr>
        <w:ind w:left="8248" w:hanging="1440"/>
      </w:pPr>
      <w:rPr>
        <w:color w:val="auto"/>
      </w:rPr>
    </w:lvl>
  </w:abstractNum>
  <w:abstractNum w:abstractNumId="23">
    <w:nsid w:val="7CA4742C"/>
    <w:multiLevelType w:val="multilevel"/>
    <w:tmpl w:val="7CA4742C"/>
    <w:lvl w:ilvl="0" w:tentative="0">
      <w:start w:val="15"/>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24">
    <w:nsid w:val="7FF371BC"/>
    <w:multiLevelType w:val="multilevel"/>
    <w:tmpl w:val="7FF371BC"/>
    <w:lvl w:ilvl="0" w:tentative="0">
      <w:start w:val="1"/>
      <w:numFmt w:val="decimal"/>
      <w:pStyle w:val="161"/>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4"/>
  </w:num>
  <w:num w:numId="2">
    <w:abstractNumId w:val="12"/>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4101"/>
    <w:rsid w:val="00005AD2"/>
    <w:rsid w:val="00007D74"/>
    <w:rsid w:val="00007FB4"/>
    <w:rsid w:val="00011313"/>
    <w:rsid w:val="00011571"/>
    <w:rsid w:val="00012585"/>
    <w:rsid w:val="00013C9A"/>
    <w:rsid w:val="00013D65"/>
    <w:rsid w:val="0001464E"/>
    <w:rsid w:val="0001475D"/>
    <w:rsid w:val="00014763"/>
    <w:rsid w:val="000147A6"/>
    <w:rsid w:val="000147E2"/>
    <w:rsid w:val="000171FF"/>
    <w:rsid w:val="000212AE"/>
    <w:rsid w:val="000217E4"/>
    <w:rsid w:val="00022DC6"/>
    <w:rsid w:val="00024548"/>
    <w:rsid w:val="0002570D"/>
    <w:rsid w:val="00026061"/>
    <w:rsid w:val="0002646B"/>
    <w:rsid w:val="0002795F"/>
    <w:rsid w:val="00027E67"/>
    <w:rsid w:val="00030242"/>
    <w:rsid w:val="00030DDA"/>
    <w:rsid w:val="00031AAB"/>
    <w:rsid w:val="00032452"/>
    <w:rsid w:val="00032826"/>
    <w:rsid w:val="000328FE"/>
    <w:rsid w:val="0003306F"/>
    <w:rsid w:val="00034204"/>
    <w:rsid w:val="000344B9"/>
    <w:rsid w:val="00034745"/>
    <w:rsid w:val="00034883"/>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D25"/>
    <w:rsid w:val="00046F89"/>
    <w:rsid w:val="00047990"/>
    <w:rsid w:val="00050357"/>
    <w:rsid w:val="00050DE7"/>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3117"/>
    <w:rsid w:val="00074517"/>
    <w:rsid w:val="00074FCC"/>
    <w:rsid w:val="000754D5"/>
    <w:rsid w:val="000757E0"/>
    <w:rsid w:val="0007616F"/>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6FC3"/>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45EF"/>
    <w:rsid w:val="000A5C01"/>
    <w:rsid w:val="000A7D12"/>
    <w:rsid w:val="000B1368"/>
    <w:rsid w:val="000B1619"/>
    <w:rsid w:val="000B1AFE"/>
    <w:rsid w:val="000B1B5F"/>
    <w:rsid w:val="000B2117"/>
    <w:rsid w:val="000B3AAC"/>
    <w:rsid w:val="000B494B"/>
    <w:rsid w:val="000B4B81"/>
    <w:rsid w:val="000B4F6D"/>
    <w:rsid w:val="000B53C9"/>
    <w:rsid w:val="000B5D68"/>
    <w:rsid w:val="000B5DC2"/>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D40"/>
    <w:rsid w:val="000C3E16"/>
    <w:rsid w:val="000C509A"/>
    <w:rsid w:val="000C50F6"/>
    <w:rsid w:val="000C5943"/>
    <w:rsid w:val="000C596C"/>
    <w:rsid w:val="000C59C2"/>
    <w:rsid w:val="000C6B3B"/>
    <w:rsid w:val="000C7464"/>
    <w:rsid w:val="000C7792"/>
    <w:rsid w:val="000D0D7B"/>
    <w:rsid w:val="000D24F3"/>
    <w:rsid w:val="000D29C7"/>
    <w:rsid w:val="000D2D36"/>
    <w:rsid w:val="000D3064"/>
    <w:rsid w:val="000D40E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3CF8"/>
    <w:rsid w:val="001049AF"/>
    <w:rsid w:val="00106100"/>
    <w:rsid w:val="001062FF"/>
    <w:rsid w:val="00106308"/>
    <w:rsid w:val="001076EF"/>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4275"/>
    <w:rsid w:val="00124541"/>
    <w:rsid w:val="0012455A"/>
    <w:rsid w:val="001246FC"/>
    <w:rsid w:val="00124F2B"/>
    <w:rsid w:val="00125836"/>
    <w:rsid w:val="00125DA2"/>
    <w:rsid w:val="00125DFE"/>
    <w:rsid w:val="00130106"/>
    <w:rsid w:val="001305AF"/>
    <w:rsid w:val="001310CF"/>
    <w:rsid w:val="0013128B"/>
    <w:rsid w:val="0013209A"/>
    <w:rsid w:val="001321AC"/>
    <w:rsid w:val="0013323D"/>
    <w:rsid w:val="001332F4"/>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1AE1"/>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627"/>
    <w:rsid w:val="00182B02"/>
    <w:rsid w:val="00182BB0"/>
    <w:rsid w:val="0018342B"/>
    <w:rsid w:val="001837F7"/>
    <w:rsid w:val="00183839"/>
    <w:rsid w:val="00183F93"/>
    <w:rsid w:val="001843A4"/>
    <w:rsid w:val="00184CCA"/>
    <w:rsid w:val="00184DDF"/>
    <w:rsid w:val="0018503F"/>
    <w:rsid w:val="001854F3"/>
    <w:rsid w:val="001854FC"/>
    <w:rsid w:val="00185801"/>
    <w:rsid w:val="0018608B"/>
    <w:rsid w:val="0018614A"/>
    <w:rsid w:val="00186DA3"/>
    <w:rsid w:val="00187452"/>
    <w:rsid w:val="00187636"/>
    <w:rsid w:val="00187B3F"/>
    <w:rsid w:val="00187DE5"/>
    <w:rsid w:val="00191184"/>
    <w:rsid w:val="00191C5D"/>
    <w:rsid w:val="00192116"/>
    <w:rsid w:val="00192C32"/>
    <w:rsid w:val="00193DC1"/>
    <w:rsid w:val="00193EBA"/>
    <w:rsid w:val="001945DD"/>
    <w:rsid w:val="00194FA2"/>
    <w:rsid w:val="00195381"/>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543E"/>
    <w:rsid w:val="001B5E56"/>
    <w:rsid w:val="001B6C9B"/>
    <w:rsid w:val="001B6EE2"/>
    <w:rsid w:val="001B7287"/>
    <w:rsid w:val="001C0372"/>
    <w:rsid w:val="001C040D"/>
    <w:rsid w:val="001C0919"/>
    <w:rsid w:val="001C0D00"/>
    <w:rsid w:val="001C1322"/>
    <w:rsid w:val="001C1364"/>
    <w:rsid w:val="001C2294"/>
    <w:rsid w:val="001C27EC"/>
    <w:rsid w:val="001C3086"/>
    <w:rsid w:val="001C3F9C"/>
    <w:rsid w:val="001C4545"/>
    <w:rsid w:val="001C4A57"/>
    <w:rsid w:val="001C4FDF"/>
    <w:rsid w:val="001C520B"/>
    <w:rsid w:val="001C5777"/>
    <w:rsid w:val="001C5E59"/>
    <w:rsid w:val="001C61A4"/>
    <w:rsid w:val="001C66C4"/>
    <w:rsid w:val="001C711E"/>
    <w:rsid w:val="001C775E"/>
    <w:rsid w:val="001C7864"/>
    <w:rsid w:val="001C7BA9"/>
    <w:rsid w:val="001D0098"/>
    <w:rsid w:val="001D00EE"/>
    <w:rsid w:val="001D0795"/>
    <w:rsid w:val="001D08E4"/>
    <w:rsid w:val="001D0FF2"/>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30F3"/>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244F"/>
    <w:rsid w:val="00203012"/>
    <w:rsid w:val="00204CB4"/>
    <w:rsid w:val="00205CA2"/>
    <w:rsid w:val="0020679D"/>
    <w:rsid w:val="002069A1"/>
    <w:rsid w:val="00207AD7"/>
    <w:rsid w:val="00210108"/>
    <w:rsid w:val="00210749"/>
    <w:rsid w:val="002110F1"/>
    <w:rsid w:val="002113AD"/>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2BEC"/>
    <w:rsid w:val="002234A0"/>
    <w:rsid w:val="00223D32"/>
    <w:rsid w:val="00224483"/>
    <w:rsid w:val="00224993"/>
    <w:rsid w:val="00224AE7"/>
    <w:rsid w:val="00225594"/>
    <w:rsid w:val="00225714"/>
    <w:rsid w:val="002261D6"/>
    <w:rsid w:val="00227126"/>
    <w:rsid w:val="0022733D"/>
    <w:rsid w:val="00227D69"/>
    <w:rsid w:val="00227DCF"/>
    <w:rsid w:val="002305FF"/>
    <w:rsid w:val="00230F5B"/>
    <w:rsid w:val="00231250"/>
    <w:rsid w:val="00231710"/>
    <w:rsid w:val="002327D0"/>
    <w:rsid w:val="002329AA"/>
    <w:rsid w:val="00233995"/>
    <w:rsid w:val="00234379"/>
    <w:rsid w:val="002347FB"/>
    <w:rsid w:val="00234F70"/>
    <w:rsid w:val="00235203"/>
    <w:rsid w:val="00235EBA"/>
    <w:rsid w:val="002361D9"/>
    <w:rsid w:val="0023679F"/>
    <w:rsid w:val="00236C0B"/>
    <w:rsid w:val="00237752"/>
    <w:rsid w:val="00237F21"/>
    <w:rsid w:val="002430F9"/>
    <w:rsid w:val="002438A9"/>
    <w:rsid w:val="00243AF1"/>
    <w:rsid w:val="00243CA8"/>
    <w:rsid w:val="00244AF8"/>
    <w:rsid w:val="0024539B"/>
    <w:rsid w:val="002457BC"/>
    <w:rsid w:val="00246E6A"/>
    <w:rsid w:val="00247521"/>
    <w:rsid w:val="00247835"/>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7B77"/>
    <w:rsid w:val="00257C78"/>
    <w:rsid w:val="00257DA9"/>
    <w:rsid w:val="00260AA1"/>
    <w:rsid w:val="00261030"/>
    <w:rsid w:val="0026256B"/>
    <w:rsid w:val="00263008"/>
    <w:rsid w:val="0026311C"/>
    <w:rsid w:val="0026320F"/>
    <w:rsid w:val="002635B0"/>
    <w:rsid w:val="002638DB"/>
    <w:rsid w:val="00264557"/>
    <w:rsid w:val="002659F2"/>
    <w:rsid w:val="00265A13"/>
    <w:rsid w:val="00265F60"/>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51E1"/>
    <w:rsid w:val="0029533D"/>
    <w:rsid w:val="002963A6"/>
    <w:rsid w:val="0029714C"/>
    <w:rsid w:val="00297B92"/>
    <w:rsid w:val="002A07FF"/>
    <w:rsid w:val="002A0FC3"/>
    <w:rsid w:val="002A13D8"/>
    <w:rsid w:val="002A1D3C"/>
    <w:rsid w:val="002A43A0"/>
    <w:rsid w:val="002A5301"/>
    <w:rsid w:val="002A65DA"/>
    <w:rsid w:val="002A74CF"/>
    <w:rsid w:val="002B0267"/>
    <w:rsid w:val="002B2A92"/>
    <w:rsid w:val="002B2BC5"/>
    <w:rsid w:val="002B37E3"/>
    <w:rsid w:val="002B4DA2"/>
    <w:rsid w:val="002B65D6"/>
    <w:rsid w:val="002B6E8B"/>
    <w:rsid w:val="002B7A93"/>
    <w:rsid w:val="002C00F0"/>
    <w:rsid w:val="002C01B1"/>
    <w:rsid w:val="002C0E7C"/>
    <w:rsid w:val="002C0FEA"/>
    <w:rsid w:val="002C25D9"/>
    <w:rsid w:val="002C2A7F"/>
    <w:rsid w:val="002C2B1E"/>
    <w:rsid w:val="002C31FB"/>
    <w:rsid w:val="002C3E3D"/>
    <w:rsid w:val="002C480A"/>
    <w:rsid w:val="002C4F35"/>
    <w:rsid w:val="002C5234"/>
    <w:rsid w:val="002C5956"/>
    <w:rsid w:val="002C5EF9"/>
    <w:rsid w:val="002C6C35"/>
    <w:rsid w:val="002C76FC"/>
    <w:rsid w:val="002C7723"/>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BB4"/>
    <w:rsid w:val="002E3CA2"/>
    <w:rsid w:val="002E4649"/>
    <w:rsid w:val="002E6A87"/>
    <w:rsid w:val="002E709C"/>
    <w:rsid w:val="002E7DD7"/>
    <w:rsid w:val="002F0A9A"/>
    <w:rsid w:val="002F0C9C"/>
    <w:rsid w:val="002F125E"/>
    <w:rsid w:val="002F12B2"/>
    <w:rsid w:val="002F13BE"/>
    <w:rsid w:val="002F1CCB"/>
    <w:rsid w:val="002F37D5"/>
    <w:rsid w:val="002F3C6A"/>
    <w:rsid w:val="002F4187"/>
    <w:rsid w:val="002F4337"/>
    <w:rsid w:val="002F46C6"/>
    <w:rsid w:val="002F4E75"/>
    <w:rsid w:val="002F51EC"/>
    <w:rsid w:val="002F5F0F"/>
    <w:rsid w:val="002F62A3"/>
    <w:rsid w:val="002F63F3"/>
    <w:rsid w:val="00300AA7"/>
    <w:rsid w:val="00300E6D"/>
    <w:rsid w:val="00302055"/>
    <w:rsid w:val="00302955"/>
    <w:rsid w:val="00302C4D"/>
    <w:rsid w:val="003036FD"/>
    <w:rsid w:val="00303721"/>
    <w:rsid w:val="00303BD2"/>
    <w:rsid w:val="00303C59"/>
    <w:rsid w:val="00304CC5"/>
    <w:rsid w:val="00304D6F"/>
    <w:rsid w:val="003071F9"/>
    <w:rsid w:val="003073BF"/>
    <w:rsid w:val="003074F4"/>
    <w:rsid w:val="00307D1F"/>
    <w:rsid w:val="00310DE0"/>
    <w:rsid w:val="0031116B"/>
    <w:rsid w:val="003115CB"/>
    <w:rsid w:val="00312165"/>
    <w:rsid w:val="003123A5"/>
    <w:rsid w:val="00312919"/>
    <w:rsid w:val="00312D44"/>
    <w:rsid w:val="00313831"/>
    <w:rsid w:val="00313D22"/>
    <w:rsid w:val="003148A4"/>
    <w:rsid w:val="00315053"/>
    <w:rsid w:val="00316909"/>
    <w:rsid w:val="0031720C"/>
    <w:rsid w:val="0032024A"/>
    <w:rsid w:val="003206D5"/>
    <w:rsid w:val="003214B7"/>
    <w:rsid w:val="00322215"/>
    <w:rsid w:val="00322470"/>
    <w:rsid w:val="00322624"/>
    <w:rsid w:val="00323491"/>
    <w:rsid w:val="003236DB"/>
    <w:rsid w:val="0032410F"/>
    <w:rsid w:val="00324461"/>
    <w:rsid w:val="00324DCC"/>
    <w:rsid w:val="00324E1C"/>
    <w:rsid w:val="00327F40"/>
    <w:rsid w:val="00331721"/>
    <w:rsid w:val="003317AA"/>
    <w:rsid w:val="00331A88"/>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1FC1"/>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9B3"/>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E63"/>
    <w:rsid w:val="00384555"/>
    <w:rsid w:val="003852D9"/>
    <w:rsid w:val="00385805"/>
    <w:rsid w:val="00385E98"/>
    <w:rsid w:val="0038624A"/>
    <w:rsid w:val="00386529"/>
    <w:rsid w:val="003913E8"/>
    <w:rsid w:val="003914CA"/>
    <w:rsid w:val="003927F9"/>
    <w:rsid w:val="00392FA6"/>
    <w:rsid w:val="00393015"/>
    <w:rsid w:val="00393562"/>
    <w:rsid w:val="00394ACB"/>
    <w:rsid w:val="00395DF9"/>
    <w:rsid w:val="00396096"/>
    <w:rsid w:val="00396692"/>
    <w:rsid w:val="00396C65"/>
    <w:rsid w:val="003A0A88"/>
    <w:rsid w:val="003A0C70"/>
    <w:rsid w:val="003A238A"/>
    <w:rsid w:val="003A249A"/>
    <w:rsid w:val="003A2CB3"/>
    <w:rsid w:val="003A331A"/>
    <w:rsid w:val="003A435E"/>
    <w:rsid w:val="003A4466"/>
    <w:rsid w:val="003A4734"/>
    <w:rsid w:val="003A64A9"/>
    <w:rsid w:val="003A6B0D"/>
    <w:rsid w:val="003A728C"/>
    <w:rsid w:val="003A7FC2"/>
    <w:rsid w:val="003B06B5"/>
    <w:rsid w:val="003B10C4"/>
    <w:rsid w:val="003B1E93"/>
    <w:rsid w:val="003B26FD"/>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2F6"/>
    <w:rsid w:val="003C4809"/>
    <w:rsid w:val="003C5618"/>
    <w:rsid w:val="003C5E1D"/>
    <w:rsid w:val="003C68B9"/>
    <w:rsid w:val="003C72D1"/>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DBF"/>
    <w:rsid w:val="003E5F37"/>
    <w:rsid w:val="003E70F6"/>
    <w:rsid w:val="003F04D7"/>
    <w:rsid w:val="003F0AEF"/>
    <w:rsid w:val="003F1088"/>
    <w:rsid w:val="003F21DD"/>
    <w:rsid w:val="003F2594"/>
    <w:rsid w:val="003F25DC"/>
    <w:rsid w:val="003F2D13"/>
    <w:rsid w:val="003F2EB2"/>
    <w:rsid w:val="003F2FB9"/>
    <w:rsid w:val="003F2FDF"/>
    <w:rsid w:val="003F3133"/>
    <w:rsid w:val="003F3D6B"/>
    <w:rsid w:val="003F4306"/>
    <w:rsid w:val="003F50FC"/>
    <w:rsid w:val="003F65A1"/>
    <w:rsid w:val="003F6944"/>
    <w:rsid w:val="003F6A89"/>
    <w:rsid w:val="003F6C5B"/>
    <w:rsid w:val="003F6EF4"/>
    <w:rsid w:val="003F7510"/>
    <w:rsid w:val="003F7600"/>
    <w:rsid w:val="003F79C5"/>
    <w:rsid w:val="00402CFB"/>
    <w:rsid w:val="00403024"/>
    <w:rsid w:val="004041C2"/>
    <w:rsid w:val="00405494"/>
    <w:rsid w:val="004054EE"/>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48ED"/>
    <w:rsid w:val="00424F58"/>
    <w:rsid w:val="0042564D"/>
    <w:rsid w:val="00425CB8"/>
    <w:rsid w:val="0042622A"/>
    <w:rsid w:val="00426536"/>
    <w:rsid w:val="00427636"/>
    <w:rsid w:val="00427669"/>
    <w:rsid w:val="00427E8A"/>
    <w:rsid w:val="00427F4F"/>
    <w:rsid w:val="0043143A"/>
    <w:rsid w:val="00431F15"/>
    <w:rsid w:val="004323A6"/>
    <w:rsid w:val="004339E5"/>
    <w:rsid w:val="004341F7"/>
    <w:rsid w:val="00435142"/>
    <w:rsid w:val="00435B9F"/>
    <w:rsid w:val="004364F1"/>
    <w:rsid w:val="00436A31"/>
    <w:rsid w:val="004375C6"/>
    <w:rsid w:val="00437FDB"/>
    <w:rsid w:val="00440340"/>
    <w:rsid w:val="00440689"/>
    <w:rsid w:val="00440CD4"/>
    <w:rsid w:val="004410E9"/>
    <w:rsid w:val="00441703"/>
    <w:rsid w:val="00441DDA"/>
    <w:rsid w:val="00441E99"/>
    <w:rsid w:val="00441FBA"/>
    <w:rsid w:val="00442E01"/>
    <w:rsid w:val="00445448"/>
    <w:rsid w:val="00446870"/>
    <w:rsid w:val="00446C56"/>
    <w:rsid w:val="00450C96"/>
    <w:rsid w:val="00451850"/>
    <w:rsid w:val="00451EFC"/>
    <w:rsid w:val="00452121"/>
    <w:rsid w:val="004526A4"/>
    <w:rsid w:val="00452E92"/>
    <w:rsid w:val="0045336C"/>
    <w:rsid w:val="0045385F"/>
    <w:rsid w:val="00453AB9"/>
    <w:rsid w:val="00453CC6"/>
    <w:rsid w:val="00456005"/>
    <w:rsid w:val="00457097"/>
    <w:rsid w:val="00457244"/>
    <w:rsid w:val="0046045F"/>
    <w:rsid w:val="00460679"/>
    <w:rsid w:val="00461101"/>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808B2"/>
    <w:rsid w:val="0048108A"/>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11"/>
    <w:rsid w:val="004D0FD2"/>
    <w:rsid w:val="004D3210"/>
    <w:rsid w:val="004D3217"/>
    <w:rsid w:val="004D3248"/>
    <w:rsid w:val="004D362D"/>
    <w:rsid w:val="004D4C59"/>
    <w:rsid w:val="004D4CFE"/>
    <w:rsid w:val="004D5876"/>
    <w:rsid w:val="004D5EEF"/>
    <w:rsid w:val="004D637F"/>
    <w:rsid w:val="004D67B3"/>
    <w:rsid w:val="004D755F"/>
    <w:rsid w:val="004E01A1"/>
    <w:rsid w:val="004E0A92"/>
    <w:rsid w:val="004E0C8E"/>
    <w:rsid w:val="004E1227"/>
    <w:rsid w:val="004E1BEB"/>
    <w:rsid w:val="004E2DE0"/>
    <w:rsid w:val="004E467B"/>
    <w:rsid w:val="004E4EE5"/>
    <w:rsid w:val="004E66A2"/>
    <w:rsid w:val="004E6CFE"/>
    <w:rsid w:val="004E6D19"/>
    <w:rsid w:val="004E75A9"/>
    <w:rsid w:val="004E7D78"/>
    <w:rsid w:val="004F0BA4"/>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7CE"/>
    <w:rsid w:val="00505225"/>
    <w:rsid w:val="00505FA4"/>
    <w:rsid w:val="005068CD"/>
    <w:rsid w:val="00507499"/>
    <w:rsid w:val="0051108B"/>
    <w:rsid w:val="00511A26"/>
    <w:rsid w:val="0051211A"/>
    <w:rsid w:val="005131E8"/>
    <w:rsid w:val="00515B04"/>
    <w:rsid w:val="00515CDD"/>
    <w:rsid w:val="005172FF"/>
    <w:rsid w:val="00517EAD"/>
    <w:rsid w:val="00517FF6"/>
    <w:rsid w:val="005217C7"/>
    <w:rsid w:val="00521A64"/>
    <w:rsid w:val="00521F1C"/>
    <w:rsid w:val="00522F1F"/>
    <w:rsid w:val="0052418F"/>
    <w:rsid w:val="00524515"/>
    <w:rsid w:val="00524BE9"/>
    <w:rsid w:val="00525023"/>
    <w:rsid w:val="005263C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E95"/>
    <w:rsid w:val="00546FE3"/>
    <w:rsid w:val="00547036"/>
    <w:rsid w:val="005473FE"/>
    <w:rsid w:val="005474AE"/>
    <w:rsid w:val="00547DA6"/>
    <w:rsid w:val="00547FD6"/>
    <w:rsid w:val="005507D1"/>
    <w:rsid w:val="00551357"/>
    <w:rsid w:val="0055148F"/>
    <w:rsid w:val="0055223F"/>
    <w:rsid w:val="00552AA8"/>
    <w:rsid w:val="0055392D"/>
    <w:rsid w:val="00553B1C"/>
    <w:rsid w:val="00553C61"/>
    <w:rsid w:val="00553D1A"/>
    <w:rsid w:val="00553ECC"/>
    <w:rsid w:val="005541A1"/>
    <w:rsid w:val="00554ABB"/>
    <w:rsid w:val="00554F88"/>
    <w:rsid w:val="00556401"/>
    <w:rsid w:val="0056056A"/>
    <w:rsid w:val="00560B7C"/>
    <w:rsid w:val="00561255"/>
    <w:rsid w:val="00562CEC"/>
    <w:rsid w:val="00563A9C"/>
    <w:rsid w:val="00563F9F"/>
    <w:rsid w:val="00564383"/>
    <w:rsid w:val="00564389"/>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1E"/>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601D"/>
    <w:rsid w:val="00586232"/>
    <w:rsid w:val="005863B7"/>
    <w:rsid w:val="0058703E"/>
    <w:rsid w:val="00587169"/>
    <w:rsid w:val="005871EE"/>
    <w:rsid w:val="00590B28"/>
    <w:rsid w:val="00593A1A"/>
    <w:rsid w:val="00593A49"/>
    <w:rsid w:val="00593CD4"/>
    <w:rsid w:val="00594459"/>
    <w:rsid w:val="005944E8"/>
    <w:rsid w:val="005944EE"/>
    <w:rsid w:val="00594883"/>
    <w:rsid w:val="00594C2A"/>
    <w:rsid w:val="00595320"/>
    <w:rsid w:val="00595D4B"/>
    <w:rsid w:val="00595ECE"/>
    <w:rsid w:val="0059630A"/>
    <w:rsid w:val="005966BA"/>
    <w:rsid w:val="005968EC"/>
    <w:rsid w:val="00596E8C"/>
    <w:rsid w:val="00596F20"/>
    <w:rsid w:val="00597160"/>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A78C4"/>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5DD2"/>
    <w:rsid w:val="005C5E64"/>
    <w:rsid w:val="005C5F9B"/>
    <w:rsid w:val="005C6007"/>
    <w:rsid w:val="005C6A0B"/>
    <w:rsid w:val="005C77AE"/>
    <w:rsid w:val="005C7F37"/>
    <w:rsid w:val="005D03A3"/>
    <w:rsid w:val="005D1513"/>
    <w:rsid w:val="005D15DA"/>
    <w:rsid w:val="005D1A91"/>
    <w:rsid w:val="005D1AA4"/>
    <w:rsid w:val="005D1AE8"/>
    <w:rsid w:val="005D1CED"/>
    <w:rsid w:val="005D45F0"/>
    <w:rsid w:val="005D47A8"/>
    <w:rsid w:val="005D579D"/>
    <w:rsid w:val="005D5C81"/>
    <w:rsid w:val="005D6408"/>
    <w:rsid w:val="005D7A32"/>
    <w:rsid w:val="005E0B69"/>
    <w:rsid w:val="005E1214"/>
    <w:rsid w:val="005E19AD"/>
    <w:rsid w:val="005E2397"/>
    <w:rsid w:val="005E2CC6"/>
    <w:rsid w:val="005E336B"/>
    <w:rsid w:val="005E3538"/>
    <w:rsid w:val="005E3906"/>
    <w:rsid w:val="005E3B01"/>
    <w:rsid w:val="005E3D61"/>
    <w:rsid w:val="005E4745"/>
    <w:rsid w:val="005E4E92"/>
    <w:rsid w:val="005E6E4B"/>
    <w:rsid w:val="005E7604"/>
    <w:rsid w:val="005E7AFC"/>
    <w:rsid w:val="005F0341"/>
    <w:rsid w:val="005F060A"/>
    <w:rsid w:val="005F1614"/>
    <w:rsid w:val="005F1729"/>
    <w:rsid w:val="005F1D3C"/>
    <w:rsid w:val="005F220E"/>
    <w:rsid w:val="005F27F0"/>
    <w:rsid w:val="005F4897"/>
    <w:rsid w:val="005F5253"/>
    <w:rsid w:val="005F662D"/>
    <w:rsid w:val="005F6C32"/>
    <w:rsid w:val="005F7231"/>
    <w:rsid w:val="005F75D0"/>
    <w:rsid w:val="005F7C9A"/>
    <w:rsid w:val="00600A45"/>
    <w:rsid w:val="00600E96"/>
    <w:rsid w:val="00600F2D"/>
    <w:rsid w:val="00601DB3"/>
    <w:rsid w:val="00601E13"/>
    <w:rsid w:val="00601E67"/>
    <w:rsid w:val="00602549"/>
    <w:rsid w:val="00602DD9"/>
    <w:rsid w:val="00603193"/>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7581"/>
    <w:rsid w:val="0062122B"/>
    <w:rsid w:val="00621767"/>
    <w:rsid w:val="00622FD3"/>
    <w:rsid w:val="00623A1B"/>
    <w:rsid w:val="00623C15"/>
    <w:rsid w:val="00625159"/>
    <w:rsid w:val="00626815"/>
    <w:rsid w:val="00626E3D"/>
    <w:rsid w:val="006271F4"/>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40EE"/>
    <w:rsid w:val="006455B4"/>
    <w:rsid w:val="00645758"/>
    <w:rsid w:val="00645DDE"/>
    <w:rsid w:val="00647B4C"/>
    <w:rsid w:val="00647BA9"/>
    <w:rsid w:val="00647DC0"/>
    <w:rsid w:val="006501DF"/>
    <w:rsid w:val="00650490"/>
    <w:rsid w:val="00650C16"/>
    <w:rsid w:val="006513B5"/>
    <w:rsid w:val="00651463"/>
    <w:rsid w:val="0065146D"/>
    <w:rsid w:val="00651595"/>
    <w:rsid w:val="00652C88"/>
    <w:rsid w:val="00653173"/>
    <w:rsid w:val="00653C4A"/>
    <w:rsid w:val="00653DDC"/>
    <w:rsid w:val="00654D85"/>
    <w:rsid w:val="00656D8A"/>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4C6"/>
    <w:rsid w:val="006757CE"/>
    <w:rsid w:val="00676A92"/>
    <w:rsid w:val="0067702D"/>
    <w:rsid w:val="0067710C"/>
    <w:rsid w:val="00677F71"/>
    <w:rsid w:val="00680569"/>
    <w:rsid w:val="00680A83"/>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42A"/>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3D4"/>
    <w:rsid w:val="006A36DE"/>
    <w:rsid w:val="006A3FD6"/>
    <w:rsid w:val="006A4FD8"/>
    <w:rsid w:val="006A5B07"/>
    <w:rsid w:val="006A5DBD"/>
    <w:rsid w:val="006A5DC0"/>
    <w:rsid w:val="006A69CF"/>
    <w:rsid w:val="006A6BE6"/>
    <w:rsid w:val="006A72D8"/>
    <w:rsid w:val="006A766B"/>
    <w:rsid w:val="006B032A"/>
    <w:rsid w:val="006B0AE0"/>
    <w:rsid w:val="006B198E"/>
    <w:rsid w:val="006B1A95"/>
    <w:rsid w:val="006B2315"/>
    <w:rsid w:val="006B269D"/>
    <w:rsid w:val="006B297F"/>
    <w:rsid w:val="006B2CFF"/>
    <w:rsid w:val="006B2D05"/>
    <w:rsid w:val="006B2E58"/>
    <w:rsid w:val="006B3112"/>
    <w:rsid w:val="006B31ED"/>
    <w:rsid w:val="006B3261"/>
    <w:rsid w:val="006B3600"/>
    <w:rsid w:val="006B3B0B"/>
    <w:rsid w:val="006B3D9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1F09"/>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AA2"/>
    <w:rsid w:val="006E6D9F"/>
    <w:rsid w:val="006E7432"/>
    <w:rsid w:val="006E7629"/>
    <w:rsid w:val="006E767E"/>
    <w:rsid w:val="006E7C7F"/>
    <w:rsid w:val="006F11E3"/>
    <w:rsid w:val="006F1279"/>
    <w:rsid w:val="006F1A31"/>
    <w:rsid w:val="006F2D48"/>
    <w:rsid w:val="006F310E"/>
    <w:rsid w:val="006F36E2"/>
    <w:rsid w:val="006F3BA5"/>
    <w:rsid w:val="006F4711"/>
    <w:rsid w:val="006F4E58"/>
    <w:rsid w:val="006F5713"/>
    <w:rsid w:val="006F6B67"/>
    <w:rsid w:val="006F7EA9"/>
    <w:rsid w:val="00701C06"/>
    <w:rsid w:val="007024DC"/>
    <w:rsid w:val="00702B71"/>
    <w:rsid w:val="00703084"/>
    <w:rsid w:val="0070347F"/>
    <w:rsid w:val="007035CE"/>
    <w:rsid w:val="007052A8"/>
    <w:rsid w:val="00705561"/>
    <w:rsid w:val="007055A2"/>
    <w:rsid w:val="00705697"/>
    <w:rsid w:val="00706457"/>
    <w:rsid w:val="00706554"/>
    <w:rsid w:val="00706D20"/>
    <w:rsid w:val="0071044A"/>
    <w:rsid w:val="00710B0E"/>
    <w:rsid w:val="00710B6E"/>
    <w:rsid w:val="00711005"/>
    <w:rsid w:val="007114DB"/>
    <w:rsid w:val="00712C3C"/>
    <w:rsid w:val="00712CBE"/>
    <w:rsid w:val="00713EA2"/>
    <w:rsid w:val="007141F6"/>
    <w:rsid w:val="00714794"/>
    <w:rsid w:val="007159E8"/>
    <w:rsid w:val="007163B4"/>
    <w:rsid w:val="0071675A"/>
    <w:rsid w:val="00716AB7"/>
    <w:rsid w:val="00720013"/>
    <w:rsid w:val="007212CC"/>
    <w:rsid w:val="0072135A"/>
    <w:rsid w:val="00721C66"/>
    <w:rsid w:val="00721F96"/>
    <w:rsid w:val="007224A1"/>
    <w:rsid w:val="00722C0C"/>
    <w:rsid w:val="00723528"/>
    <w:rsid w:val="00723566"/>
    <w:rsid w:val="00724372"/>
    <w:rsid w:val="00727E9F"/>
    <w:rsid w:val="007303F0"/>
    <w:rsid w:val="00731667"/>
    <w:rsid w:val="007316BE"/>
    <w:rsid w:val="007321BC"/>
    <w:rsid w:val="0073325F"/>
    <w:rsid w:val="00733949"/>
    <w:rsid w:val="007340E5"/>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0E8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7A7"/>
    <w:rsid w:val="00775E38"/>
    <w:rsid w:val="007760F9"/>
    <w:rsid w:val="007768B8"/>
    <w:rsid w:val="00777F0D"/>
    <w:rsid w:val="0078004B"/>
    <w:rsid w:val="0078064D"/>
    <w:rsid w:val="00780C0A"/>
    <w:rsid w:val="00781BDA"/>
    <w:rsid w:val="00782855"/>
    <w:rsid w:val="0078290B"/>
    <w:rsid w:val="007837ED"/>
    <w:rsid w:val="00784079"/>
    <w:rsid w:val="00785A23"/>
    <w:rsid w:val="0078657C"/>
    <w:rsid w:val="00786B2C"/>
    <w:rsid w:val="007872A6"/>
    <w:rsid w:val="00787367"/>
    <w:rsid w:val="00787487"/>
    <w:rsid w:val="00790052"/>
    <w:rsid w:val="00790851"/>
    <w:rsid w:val="00790A05"/>
    <w:rsid w:val="00790A8C"/>
    <w:rsid w:val="00791498"/>
    <w:rsid w:val="00792C92"/>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DB"/>
    <w:rsid w:val="007A714D"/>
    <w:rsid w:val="007A77A8"/>
    <w:rsid w:val="007B055B"/>
    <w:rsid w:val="007B111B"/>
    <w:rsid w:val="007B14EE"/>
    <w:rsid w:val="007B1F94"/>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6197"/>
    <w:rsid w:val="007C77E1"/>
    <w:rsid w:val="007C7BD0"/>
    <w:rsid w:val="007C7C36"/>
    <w:rsid w:val="007C7C97"/>
    <w:rsid w:val="007C7DCB"/>
    <w:rsid w:val="007D0679"/>
    <w:rsid w:val="007D0E7B"/>
    <w:rsid w:val="007D1BF2"/>
    <w:rsid w:val="007D1C02"/>
    <w:rsid w:val="007D1D31"/>
    <w:rsid w:val="007D2AD3"/>
    <w:rsid w:val="007D3845"/>
    <w:rsid w:val="007D3AD2"/>
    <w:rsid w:val="007D437A"/>
    <w:rsid w:val="007D5311"/>
    <w:rsid w:val="007D5948"/>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17D2"/>
    <w:rsid w:val="007F216A"/>
    <w:rsid w:val="007F2DF2"/>
    <w:rsid w:val="007F3DD9"/>
    <w:rsid w:val="007F44DF"/>
    <w:rsid w:val="007F4909"/>
    <w:rsid w:val="007F4D8D"/>
    <w:rsid w:val="007F571F"/>
    <w:rsid w:val="007F6DDE"/>
    <w:rsid w:val="007F71A1"/>
    <w:rsid w:val="007F7770"/>
    <w:rsid w:val="007F7BA5"/>
    <w:rsid w:val="0080015F"/>
    <w:rsid w:val="008002B3"/>
    <w:rsid w:val="008006DA"/>
    <w:rsid w:val="0080162A"/>
    <w:rsid w:val="008017DE"/>
    <w:rsid w:val="0080198F"/>
    <w:rsid w:val="00801ADE"/>
    <w:rsid w:val="00801CF4"/>
    <w:rsid w:val="0080292D"/>
    <w:rsid w:val="008042B3"/>
    <w:rsid w:val="00805517"/>
    <w:rsid w:val="00805603"/>
    <w:rsid w:val="008078BB"/>
    <w:rsid w:val="00807BC1"/>
    <w:rsid w:val="00807C5A"/>
    <w:rsid w:val="008114AA"/>
    <w:rsid w:val="008122FD"/>
    <w:rsid w:val="00814B71"/>
    <w:rsid w:val="00814F1E"/>
    <w:rsid w:val="0081566C"/>
    <w:rsid w:val="00817233"/>
    <w:rsid w:val="008173DD"/>
    <w:rsid w:val="00817A9B"/>
    <w:rsid w:val="0082069C"/>
    <w:rsid w:val="008219F9"/>
    <w:rsid w:val="00821EED"/>
    <w:rsid w:val="00822327"/>
    <w:rsid w:val="00822398"/>
    <w:rsid w:val="008227A6"/>
    <w:rsid w:val="00822A3E"/>
    <w:rsid w:val="00822B95"/>
    <w:rsid w:val="00824794"/>
    <w:rsid w:val="00824900"/>
    <w:rsid w:val="00824DB5"/>
    <w:rsid w:val="00824FC2"/>
    <w:rsid w:val="00825CF0"/>
    <w:rsid w:val="00825DD2"/>
    <w:rsid w:val="0082695D"/>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019F"/>
    <w:rsid w:val="008412F8"/>
    <w:rsid w:val="008418F4"/>
    <w:rsid w:val="00841B91"/>
    <w:rsid w:val="0084242F"/>
    <w:rsid w:val="00842467"/>
    <w:rsid w:val="008435BB"/>
    <w:rsid w:val="00843AEA"/>
    <w:rsid w:val="0084510B"/>
    <w:rsid w:val="00845E89"/>
    <w:rsid w:val="00846712"/>
    <w:rsid w:val="00846731"/>
    <w:rsid w:val="008468A4"/>
    <w:rsid w:val="008468CD"/>
    <w:rsid w:val="008469C3"/>
    <w:rsid w:val="00846B20"/>
    <w:rsid w:val="008477D7"/>
    <w:rsid w:val="00847CA3"/>
    <w:rsid w:val="00847EEB"/>
    <w:rsid w:val="008501EF"/>
    <w:rsid w:val="0085060F"/>
    <w:rsid w:val="0085112B"/>
    <w:rsid w:val="0085168A"/>
    <w:rsid w:val="00851C40"/>
    <w:rsid w:val="00852677"/>
    <w:rsid w:val="00852DC8"/>
    <w:rsid w:val="0085357A"/>
    <w:rsid w:val="008537AA"/>
    <w:rsid w:val="00854BB7"/>
    <w:rsid w:val="00854C8D"/>
    <w:rsid w:val="00855429"/>
    <w:rsid w:val="0085682F"/>
    <w:rsid w:val="008570C8"/>
    <w:rsid w:val="00857436"/>
    <w:rsid w:val="00857957"/>
    <w:rsid w:val="00860CBB"/>
    <w:rsid w:val="00860D43"/>
    <w:rsid w:val="00860E63"/>
    <w:rsid w:val="00860E6D"/>
    <w:rsid w:val="00860F35"/>
    <w:rsid w:val="00861861"/>
    <w:rsid w:val="0086286D"/>
    <w:rsid w:val="00863562"/>
    <w:rsid w:val="008646FD"/>
    <w:rsid w:val="00864F1E"/>
    <w:rsid w:val="0086587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3375"/>
    <w:rsid w:val="00883386"/>
    <w:rsid w:val="00883525"/>
    <w:rsid w:val="00884624"/>
    <w:rsid w:val="00884644"/>
    <w:rsid w:val="00884C8C"/>
    <w:rsid w:val="00885115"/>
    <w:rsid w:val="00885189"/>
    <w:rsid w:val="00885803"/>
    <w:rsid w:val="008861AF"/>
    <w:rsid w:val="008862E0"/>
    <w:rsid w:val="00887821"/>
    <w:rsid w:val="00887A0A"/>
    <w:rsid w:val="00887A9A"/>
    <w:rsid w:val="00887B9C"/>
    <w:rsid w:val="00887D35"/>
    <w:rsid w:val="00891975"/>
    <w:rsid w:val="00891E1D"/>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78D"/>
    <w:rsid w:val="008B1800"/>
    <w:rsid w:val="008B1AD7"/>
    <w:rsid w:val="008B1EE5"/>
    <w:rsid w:val="008B1F3A"/>
    <w:rsid w:val="008B205D"/>
    <w:rsid w:val="008B2534"/>
    <w:rsid w:val="008B2575"/>
    <w:rsid w:val="008B25CF"/>
    <w:rsid w:val="008B2BC7"/>
    <w:rsid w:val="008B2D5A"/>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0FB1"/>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955"/>
    <w:rsid w:val="008D3C32"/>
    <w:rsid w:val="008D4594"/>
    <w:rsid w:val="008D494C"/>
    <w:rsid w:val="008D50A9"/>
    <w:rsid w:val="008D533B"/>
    <w:rsid w:val="008D54E3"/>
    <w:rsid w:val="008D5A4A"/>
    <w:rsid w:val="008D61EE"/>
    <w:rsid w:val="008D72F1"/>
    <w:rsid w:val="008E0342"/>
    <w:rsid w:val="008E1667"/>
    <w:rsid w:val="008E1991"/>
    <w:rsid w:val="008E1A52"/>
    <w:rsid w:val="008E2A5D"/>
    <w:rsid w:val="008E3574"/>
    <w:rsid w:val="008E3589"/>
    <w:rsid w:val="008E380B"/>
    <w:rsid w:val="008E383C"/>
    <w:rsid w:val="008E5134"/>
    <w:rsid w:val="008E56EB"/>
    <w:rsid w:val="008E731F"/>
    <w:rsid w:val="008E7940"/>
    <w:rsid w:val="008E7F9D"/>
    <w:rsid w:val="008F0136"/>
    <w:rsid w:val="008F0293"/>
    <w:rsid w:val="008F256B"/>
    <w:rsid w:val="008F2684"/>
    <w:rsid w:val="008F2752"/>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674A"/>
    <w:rsid w:val="00907058"/>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6F98"/>
    <w:rsid w:val="0092728E"/>
    <w:rsid w:val="009278CE"/>
    <w:rsid w:val="00931776"/>
    <w:rsid w:val="00931B72"/>
    <w:rsid w:val="00932F5B"/>
    <w:rsid w:val="00932FB6"/>
    <w:rsid w:val="0093374B"/>
    <w:rsid w:val="00934DB6"/>
    <w:rsid w:val="00935041"/>
    <w:rsid w:val="00935928"/>
    <w:rsid w:val="00935EA0"/>
    <w:rsid w:val="00936631"/>
    <w:rsid w:val="00936BB4"/>
    <w:rsid w:val="00936C0A"/>
    <w:rsid w:val="00936CB6"/>
    <w:rsid w:val="00936CBC"/>
    <w:rsid w:val="009371B3"/>
    <w:rsid w:val="00937735"/>
    <w:rsid w:val="00937D44"/>
    <w:rsid w:val="00941234"/>
    <w:rsid w:val="00942B10"/>
    <w:rsid w:val="00943A78"/>
    <w:rsid w:val="00943BF8"/>
    <w:rsid w:val="00943E32"/>
    <w:rsid w:val="00943ECB"/>
    <w:rsid w:val="00944306"/>
    <w:rsid w:val="00944AB3"/>
    <w:rsid w:val="0094523F"/>
    <w:rsid w:val="00947409"/>
    <w:rsid w:val="00950609"/>
    <w:rsid w:val="00950839"/>
    <w:rsid w:val="0095209D"/>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6D2E"/>
    <w:rsid w:val="00967234"/>
    <w:rsid w:val="00967279"/>
    <w:rsid w:val="00967580"/>
    <w:rsid w:val="0096766C"/>
    <w:rsid w:val="00970BAB"/>
    <w:rsid w:val="0097131F"/>
    <w:rsid w:val="009721C1"/>
    <w:rsid w:val="00972EA4"/>
    <w:rsid w:val="00972EB8"/>
    <w:rsid w:val="00973172"/>
    <w:rsid w:val="00973FA3"/>
    <w:rsid w:val="00974361"/>
    <w:rsid w:val="009743F4"/>
    <w:rsid w:val="0097618F"/>
    <w:rsid w:val="00976475"/>
    <w:rsid w:val="0097722D"/>
    <w:rsid w:val="009816B2"/>
    <w:rsid w:val="0098170D"/>
    <w:rsid w:val="009826DC"/>
    <w:rsid w:val="00982FAC"/>
    <w:rsid w:val="009834A0"/>
    <w:rsid w:val="0098365F"/>
    <w:rsid w:val="00983E39"/>
    <w:rsid w:val="009843C8"/>
    <w:rsid w:val="009845C6"/>
    <w:rsid w:val="009849FA"/>
    <w:rsid w:val="009858CF"/>
    <w:rsid w:val="00985D19"/>
    <w:rsid w:val="00986FC9"/>
    <w:rsid w:val="0099020D"/>
    <w:rsid w:val="0099073D"/>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4249"/>
    <w:rsid w:val="009A4649"/>
    <w:rsid w:val="009A47DB"/>
    <w:rsid w:val="009A511B"/>
    <w:rsid w:val="009A6307"/>
    <w:rsid w:val="009A63F9"/>
    <w:rsid w:val="009A6AA5"/>
    <w:rsid w:val="009A7892"/>
    <w:rsid w:val="009B1C49"/>
    <w:rsid w:val="009B48CA"/>
    <w:rsid w:val="009B48E8"/>
    <w:rsid w:val="009B49D6"/>
    <w:rsid w:val="009B5626"/>
    <w:rsid w:val="009B5919"/>
    <w:rsid w:val="009B595F"/>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C7905"/>
    <w:rsid w:val="009D0490"/>
    <w:rsid w:val="009D0A06"/>
    <w:rsid w:val="009D0B1E"/>
    <w:rsid w:val="009D153F"/>
    <w:rsid w:val="009D337F"/>
    <w:rsid w:val="009D3685"/>
    <w:rsid w:val="009D3735"/>
    <w:rsid w:val="009D4BA6"/>
    <w:rsid w:val="009D4DF1"/>
    <w:rsid w:val="009D5FB0"/>
    <w:rsid w:val="009D6199"/>
    <w:rsid w:val="009D738D"/>
    <w:rsid w:val="009D73C4"/>
    <w:rsid w:val="009D7594"/>
    <w:rsid w:val="009D7C10"/>
    <w:rsid w:val="009E02FC"/>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07BB6"/>
    <w:rsid w:val="00A10033"/>
    <w:rsid w:val="00A10C65"/>
    <w:rsid w:val="00A11475"/>
    <w:rsid w:val="00A11A56"/>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83E"/>
    <w:rsid w:val="00A21DDC"/>
    <w:rsid w:val="00A221B0"/>
    <w:rsid w:val="00A2220E"/>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0AF5"/>
    <w:rsid w:val="00A319DE"/>
    <w:rsid w:val="00A31B3C"/>
    <w:rsid w:val="00A31DFC"/>
    <w:rsid w:val="00A3510D"/>
    <w:rsid w:val="00A355B2"/>
    <w:rsid w:val="00A3567B"/>
    <w:rsid w:val="00A35C15"/>
    <w:rsid w:val="00A36E32"/>
    <w:rsid w:val="00A37E36"/>
    <w:rsid w:val="00A40023"/>
    <w:rsid w:val="00A40877"/>
    <w:rsid w:val="00A41403"/>
    <w:rsid w:val="00A42D20"/>
    <w:rsid w:val="00A44207"/>
    <w:rsid w:val="00A444E7"/>
    <w:rsid w:val="00A44AB0"/>
    <w:rsid w:val="00A45429"/>
    <w:rsid w:val="00A4581E"/>
    <w:rsid w:val="00A46C1C"/>
    <w:rsid w:val="00A479FA"/>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42B4"/>
    <w:rsid w:val="00A64FBC"/>
    <w:rsid w:val="00A66F40"/>
    <w:rsid w:val="00A66FF4"/>
    <w:rsid w:val="00A67501"/>
    <w:rsid w:val="00A67789"/>
    <w:rsid w:val="00A6791D"/>
    <w:rsid w:val="00A7027F"/>
    <w:rsid w:val="00A7249D"/>
    <w:rsid w:val="00A72AB3"/>
    <w:rsid w:val="00A734C0"/>
    <w:rsid w:val="00A74729"/>
    <w:rsid w:val="00A74A1B"/>
    <w:rsid w:val="00A806F1"/>
    <w:rsid w:val="00A80BB5"/>
    <w:rsid w:val="00A818A9"/>
    <w:rsid w:val="00A81D07"/>
    <w:rsid w:val="00A82CBC"/>
    <w:rsid w:val="00A83204"/>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96F1F"/>
    <w:rsid w:val="00A97A44"/>
    <w:rsid w:val="00AA041B"/>
    <w:rsid w:val="00AA08E1"/>
    <w:rsid w:val="00AA1D75"/>
    <w:rsid w:val="00AA2097"/>
    <w:rsid w:val="00AA24AF"/>
    <w:rsid w:val="00AA3CEF"/>
    <w:rsid w:val="00AA436D"/>
    <w:rsid w:val="00AA6111"/>
    <w:rsid w:val="00AA73CD"/>
    <w:rsid w:val="00AA79E3"/>
    <w:rsid w:val="00AB0938"/>
    <w:rsid w:val="00AB1AC2"/>
    <w:rsid w:val="00AB1DEF"/>
    <w:rsid w:val="00AB2124"/>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0801"/>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5B96"/>
    <w:rsid w:val="00AD6508"/>
    <w:rsid w:val="00AD68EF"/>
    <w:rsid w:val="00AD69F5"/>
    <w:rsid w:val="00AE0214"/>
    <w:rsid w:val="00AE0389"/>
    <w:rsid w:val="00AE0466"/>
    <w:rsid w:val="00AE0BB2"/>
    <w:rsid w:val="00AE10F5"/>
    <w:rsid w:val="00AE11DC"/>
    <w:rsid w:val="00AE14B2"/>
    <w:rsid w:val="00AE1981"/>
    <w:rsid w:val="00AE268E"/>
    <w:rsid w:val="00AE4C00"/>
    <w:rsid w:val="00AE5883"/>
    <w:rsid w:val="00AE5B8E"/>
    <w:rsid w:val="00AE69EE"/>
    <w:rsid w:val="00AE6D5F"/>
    <w:rsid w:val="00AE6E7D"/>
    <w:rsid w:val="00AE778D"/>
    <w:rsid w:val="00AE7C3D"/>
    <w:rsid w:val="00AE7C8F"/>
    <w:rsid w:val="00AE7FF1"/>
    <w:rsid w:val="00AF03C1"/>
    <w:rsid w:val="00AF0674"/>
    <w:rsid w:val="00AF0818"/>
    <w:rsid w:val="00AF111A"/>
    <w:rsid w:val="00AF14FB"/>
    <w:rsid w:val="00AF1D77"/>
    <w:rsid w:val="00AF2467"/>
    <w:rsid w:val="00AF4074"/>
    <w:rsid w:val="00AF5981"/>
    <w:rsid w:val="00AF6545"/>
    <w:rsid w:val="00AF769E"/>
    <w:rsid w:val="00B0006C"/>
    <w:rsid w:val="00B000EB"/>
    <w:rsid w:val="00B00105"/>
    <w:rsid w:val="00B00279"/>
    <w:rsid w:val="00B00707"/>
    <w:rsid w:val="00B00805"/>
    <w:rsid w:val="00B012A6"/>
    <w:rsid w:val="00B01965"/>
    <w:rsid w:val="00B01FA7"/>
    <w:rsid w:val="00B030E7"/>
    <w:rsid w:val="00B0320B"/>
    <w:rsid w:val="00B03765"/>
    <w:rsid w:val="00B037E1"/>
    <w:rsid w:val="00B0399B"/>
    <w:rsid w:val="00B039EC"/>
    <w:rsid w:val="00B048D3"/>
    <w:rsid w:val="00B04DDE"/>
    <w:rsid w:val="00B04F96"/>
    <w:rsid w:val="00B055AD"/>
    <w:rsid w:val="00B05712"/>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1780F"/>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19AA"/>
    <w:rsid w:val="00B31AEF"/>
    <w:rsid w:val="00B3275A"/>
    <w:rsid w:val="00B32BE9"/>
    <w:rsid w:val="00B33693"/>
    <w:rsid w:val="00B340EF"/>
    <w:rsid w:val="00B3421C"/>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3C0"/>
    <w:rsid w:val="00B529DE"/>
    <w:rsid w:val="00B535B9"/>
    <w:rsid w:val="00B53D68"/>
    <w:rsid w:val="00B54A08"/>
    <w:rsid w:val="00B54C29"/>
    <w:rsid w:val="00B54D14"/>
    <w:rsid w:val="00B54EA2"/>
    <w:rsid w:val="00B569AA"/>
    <w:rsid w:val="00B57120"/>
    <w:rsid w:val="00B579E9"/>
    <w:rsid w:val="00B57B4C"/>
    <w:rsid w:val="00B57E30"/>
    <w:rsid w:val="00B604AD"/>
    <w:rsid w:val="00B613F2"/>
    <w:rsid w:val="00B6176C"/>
    <w:rsid w:val="00B626EA"/>
    <w:rsid w:val="00B62720"/>
    <w:rsid w:val="00B62875"/>
    <w:rsid w:val="00B62E51"/>
    <w:rsid w:val="00B62F42"/>
    <w:rsid w:val="00B62FB9"/>
    <w:rsid w:val="00B63128"/>
    <w:rsid w:val="00B646A5"/>
    <w:rsid w:val="00B64E05"/>
    <w:rsid w:val="00B64F92"/>
    <w:rsid w:val="00B665B8"/>
    <w:rsid w:val="00B702B1"/>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735"/>
    <w:rsid w:val="00B83E21"/>
    <w:rsid w:val="00B8411E"/>
    <w:rsid w:val="00B84427"/>
    <w:rsid w:val="00B85BE3"/>
    <w:rsid w:val="00B86086"/>
    <w:rsid w:val="00B86626"/>
    <w:rsid w:val="00B86B2F"/>
    <w:rsid w:val="00B906AD"/>
    <w:rsid w:val="00B90A1F"/>
    <w:rsid w:val="00B90EA1"/>
    <w:rsid w:val="00B91436"/>
    <w:rsid w:val="00B921E7"/>
    <w:rsid w:val="00B92943"/>
    <w:rsid w:val="00B92E2F"/>
    <w:rsid w:val="00B9354F"/>
    <w:rsid w:val="00B94979"/>
    <w:rsid w:val="00B96A6E"/>
    <w:rsid w:val="00B9755C"/>
    <w:rsid w:val="00BA01EE"/>
    <w:rsid w:val="00BA0CCD"/>
    <w:rsid w:val="00BA147B"/>
    <w:rsid w:val="00BA16F2"/>
    <w:rsid w:val="00BA3A5C"/>
    <w:rsid w:val="00BA4BEA"/>
    <w:rsid w:val="00BA4E0A"/>
    <w:rsid w:val="00BA5D46"/>
    <w:rsid w:val="00BA6950"/>
    <w:rsid w:val="00BA6D7C"/>
    <w:rsid w:val="00BA6F38"/>
    <w:rsid w:val="00BA762E"/>
    <w:rsid w:val="00BA7D7B"/>
    <w:rsid w:val="00BB090D"/>
    <w:rsid w:val="00BB0EEF"/>
    <w:rsid w:val="00BB0FAE"/>
    <w:rsid w:val="00BB1914"/>
    <w:rsid w:val="00BB2294"/>
    <w:rsid w:val="00BB3C2D"/>
    <w:rsid w:val="00BB714A"/>
    <w:rsid w:val="00BC1037"/>
    <w:rsid w:val="00BC2587"/>
    <w:rsid w:val="00BC2CD0"/>
    <w:rsid w:val="00BC365C"/>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705"/>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1E6"/>
    <w:rsid w:val="00C00DD2"/>
    <w:rsid w:val="00C01260"/>
    <w:rsid w:val="00C02164"/>
    <w:rsid w:val="00C02B6B"/>
    <w:rsid w:val="00C034FE"/>
    <w:rsid w:val="00C045DE"/>
    <w:rsid w:val="00C04F94"/>
    <w:rsid w:val="00C069B4"/>
    <w:rsid w:val="00C076D1"/>
    <w:rsid w:val="00C11103"/>
    <w:rsid w:val="00C116F0"/>
    <w:rsid w:val="00C117C5"/>
    <w:rsid w:val="00C11EE2"/>
    <w:rsid w:val="00C13F6C"/>
    <w:rsid w:val="00C14B6D"/>
    <w:rsid w:val="00C15EAB"/>
    <w:rsid w:val="00C161B7"/>
    <w:rsid w:val="00C17880"/>
    <w:rsid w:val="00C17B7D"/>
    <w:rsid w:val="00C17BB0"/>
    <w:rsid w:val="00C17D29"/>
    <w:rsid w:val="00C2011C"/>
    <w:rsid w:val="00C205D4"/>
    <w:rsid w:val="00C22E28"/>
    <w:rsid w:val="00C2366F"/>
    <w:rsid w:val="00C244DE"/>
    <w:rsid w:val="00C251B5"/>
    <w:rsid w:val="00C2587B"/>
    <w:rsid w:val="00C25DF8"/>
    <w:rsid w:val="00C26A67"/>
    <w:rsid w:val="00C27C89"/>
    <w:rsid w:val="00C27E35"/>
    <w:rsid w:val="00C3052F"/>
    <w:rsid w:val="00C3133D"/>
    <w:rsid w:val="00C31E6E"/>
    <w:rsid w:val="00C332B3"/>
    <w:rsid w:val="00C33C90"/>
    <w:rsid w:val="00C33EE8"/>
    <w:rsid w:val="00C34804"/>
    <w:rsid w:val="00C357E6"/>
    <w:rsid w:val="00C35994"/>
    <w:rsid w:val="00C36090"/>
    <w:rsid w:val="00C368E7"/>
    <w:rsid w:val="00C36AAB"/>
    <w:rsid w:val="00C36D89"/>
    <w:rsid w:val="00C37103"/>
    <w:rsid w:val="00C37D3E"/>
    <w:rsid w:val="00C407E5"/>
    <w:rsid w:val="00C40A73"/>
    <w:rsid w:val="00C40BC7"/>
    <w:rsid w:val="00C40FBE"/>
    <w:rsid w:val="00C41A04"/>
    <w:rsid w:val="00C433EE"/>
    <w:rsid w:val="00C43CCF"/>
    <w:rsid w:val="00C43F7E"/>
    <w:rsid w:val="00C44CAE"/>
    <w:rsid w:val="00C44D29"/>
    <w:rsid w:val="00C44E03"/>
    <w:rsid w:val="00C46508"/>
    <w:rsid w:val="00C47C92"/>
    <w:rsid w:val="00C47DB5"/>
    <w:rsid w:val="00C5004D"/>
    <w:rsid w:val="00C507CD"/>
    <w:rsid w:val="00C50C71"/>
    <w:rsid w:val="00C51AA7"/>
    <w:rsid w:val="00C526E0"/>
    <w:rsid w:val="00C53925"/>
    <w:rsid w:val="00C551C4"/>
    <w:rsid w:val="00C554BC"/>
    <w:rsid w:val="00C55E57"/>
    <w:rsid w:val="00C5637D"/>
    <w:rsid w:val="00C563F9"/>
    <w:rsid w:val="00C5660C"/>
    <w:rsid w:val="00C56CED"/>
    <w:rsid w:val="00C56D00"/>
    <w:rsid w:val="00C57896"/>
    <w:rsid w:val="00C60240"/>
    <w:rsid w:val="00C6066E"/>
    <w:rsid w:val="00C61339"/>
    <w:rsid w:val="00C6142B"/>
    <w:rsid w:val="00C62193"/>
    <w:rsid w:val="00C62A10"/>
    <w:rsid w:val="00C62FBD"/>
    <w:rsid w:val="00C63621"/>
    <w:rsid w:val="00C6464A"/>
    <w:rsid w:val="00C65432"/>
    <w:rsid w:val="00C6554C"/>
    <w:rsid w:val="00C6632D"/>
    <w:rsid w:val="00C667B5"/>
    <w:rsid w:val="00C66AC2"/>
    <w:rsid w:val="00C67EFA"/>
    <w:rsid w:val="00C703F6"/>
    <w:rsid w:val="00C7147A"/>
    <w:rsid w:val="00C71CBD"/>
    <w:rsid w:val="00C71DCC"/>
    <w:rsid w:val="00C7225D"/>
    <w:rsid w:val="00C7236A"/>
    <w:rsid w:val="00C73E70"/>
    <w:rsid w:val="00C73E90"/>
    <w:rsid w:val="00C7464B"/>
    <w:rsid w:val="00C746BF"/>
    <w:rsid w:val="00C74C8E"/>
    <w:rsid w:val="00C750C4"/>
    <w:rsid w:val="00C751FB"/>
    <w:rsid w:val="00C75272"/>
    <w:rsid w:val="00C756B7"/>
    <w:rsid w:val="00C759CF"/>
    <w:rsid w:val="00C75D46"/>
    <w:rsid w:val="00C77136"/>
    <w:rsid w:val="00C778AE"/>
    <w:rsid w:val="00C811ED"/>
    <w:rsid w:val="00C81A64"/>
    <w:rsid w:val="00C82073"/>
    <w:rsid w:val="00C82540"/>
    <w:rsid w:val="00C82C9C"/>
    <w:rsid w:val="00C83210"/>
    <w:rsid w:val="00C833C8"/>
    <w:rsid w:val="00C83D6A"/>
    <w:rsid w:val="00C84E15"/>
    <w:rsid w:val="00C84EE8"/>
    <w:rsid w:val="00C852DB"/>
    <w:rsid w:val="00C856E2"/>
    <w:rsid w:val="00C85957"/>
    <w:rsid w:val="00C86F06"/>
    <w:rsid w:val="00C87B96"/>
    <w:rsid w:val="00C87CE5"/>
    <w:rsid w:val="00C9022C"/>
    <w:rsid w:val="00C903A8"/>
    <w:rsid w:val="00C91702"/>
    <w:rsid w:val="00C9183A"/>
    <w:rsid w:val="00C91E57"/>
    <w:rsid w:val="00C921AA"/>
    <w:rsid w:val="00C92CF0"/>
    <w:rsid w:val="00C9323E"/>
    <w:rsid w:val="00C936F8"/>
    <w:rsid w:val="00C9436F"/>
    <w:rsid w:val="00C94CE5"/>
    <w:rsid w:val="00C953AB"/>
    <w:rsid w:val="00C95AE9"/>
    <w:rsid w:val="00C97488"/>
    <w:rsid w:val="00C97AB4"/>
    <w:rsid w:val="00C97B57"/>
    <w:rsid w:val="00CA0173"/>
    <w:rsid w:val="00CA0325"/>
    <w:rsid w:val="00CA0B22"/>
    <w:rsid w:val="00CA0CA1"/>
    <w:rsid w:val="00CA105A"/>
    <w:rsid w:val="00CA1B7D"/>
    <w:rsid w:val="00CA21F4"/>
    <w:rsid w:val="00CA3732"/>
    <w:rsid w:val="00CA37B4"/>
    <w:rsid w:val="00CA37C4"/>
    <w:rsid w:val="00CA44B3"/>
    <w:rsid w:val="00CA4E1D"/>
    <w:rsid w:val="00CA5032"/>
    <w:rsid w:val="00CA53A4"/>
    <w:rsid w:val="00CA54E5"/>
    <w:rsid w:val="00CA7921"/>
    <w:rsid w:val="00CB06BD"/>
    <w:rsid w:val="00CB07E7"/>
    <w:rsid w:val="00CB1285"/>
    <w:rsid w:val="00CB1ACA"/>
    <w:rsid w:val="00CB26EA"/>
    <w:rsid w:val="00CB3B59"/>
    <w:rsid w:val="00CB44C3"/>
    <w:rsid w:val="00CB4672"/>
    <w:rsid w:val="00CB4CD5"/>
    <w:rsid w:val="00CB56B8"/>
    <w:rsid w:val="00CB61CC"/>
    <w:rsid w:val="00CB691B"/>
    <w:rsid w:val="00CB6C30"/>
    <w:rsid w:val="00CB7A25"/>
    <w:rsid w:val="00CC01FA"/>
    <w:rsid w:val="00CC03D9"/>
    <w:rsid w:val="00CC07EB"/>
    <w:rsid w:val="00CC161C"/>
    <w:rsid w:val="00CC28BF"/>
    <w:rsid w:val="00CC28C3"/>
    <w:rsid w:val="00CC2B2F"/>
    <w:rsid w:val="00CC2BD8"/>
    <w:rsid w:val="00CC2C1A"/>
    <w:rsid w:val="00CC307C"/>
    <w:rsid w:val="00CC32F6"/>
    <w:rsid w:val="00CC4C38"/>
    <w:rsid w:val="00CC4E9E"/>
    <w:rsid w:val="00CC5C4C"/>
    <w:rsid w:val="00CC723C"/>
    <w:rsid w:val="00CD15D6"/>
    <w:rsid w:val="00CD1660"/>
    <w:rsid w:val="00CD16F8"/>
    <w:rsid w:val="00CD174C"/>
    <w:rsid w:val="00CD1BD8"/>
    <w:rsid w:val="00CD1C6E"/>
    <w:rsid w:val="00CD2198"/>
    <w:rsid w:val="00CD2FBC"/>
    <w:rsid w:val="00CD32A6"/>
    <w:rsid w:val="00CD3479"/>
    <w:rsid w:val="00CD3EF3"/>
    <w:rsid w:val="00CD3F01"/>
    <w:rsid w:val="00CD5159"/>
    <w:rsid w:val="00CD67C4"/>
    <w:rsid w:val="00CD6C10"/>
    <w:rsid w:val="00CE091E"/>
    <w:rsid w:val="00CE0DE1"/>
    <w:rsid w:val="00CE1D5E"/>
    <w:rsid w:val="00CE1E16"/>
    <w:rsid w:val="00CE374F"/>
    <w:rsid w:val="00CE3A6D"/>
    <w:rsid w:val="00CE3F47"/>
    <w:rsid w:val="00CE6AE0"/>
    <w:rsid w:val="00CE72FD"/>
    <w:rsid w:val="00CE75C7"/>
    <w:rsid w:val="00CE7678"/>
    <w:rsid w:val="00CE792A"/>
    <w:rsid w:val="00CE7C23"/>
    <w:rsid w:val="00CF06E5"/>
    <w:rsid w:val="00CF07F5"/>
    <w:rsid w:val="00CF0D08"/>
    <w:rsid w:val="00CF1553"/>
    <w:rsid w:val="00CF1EC7"/>
    <w:rsid w:val="00CF2721"/>
    <w:rsid w:val="00CF3779"/>
    <w:rsid w:val="00CF3C14"/>
    <w:rsid w:val="00CF52FF"/>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3180"/>
    <w:rsid w:val="00D155A0"/>
    <w:rsid w:val="00D16374"/>
    <w:rsid w:val="00D16581"/>
    <w:rsid w:val="00D16F0E"/>
    <w:rsid w:val="00D1738F"/>
    <w:rsid w:val="00D175F8"/>
    <w:rsid w:val="00D2003D"/>
    <w:rsid w:val="00D201A6"/>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281"/>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6BD4"/>
    <w:rsid w:val="00D37703"/>
    <w:rsid w:val="00D40A33"/>
    <w:rsid w:val="00D40AED"/>
    <w:rsid w:val="00D41FC1"/>
    <w:rsid w:val="00D4262E"/>
    <w:rsid w:val="00D431B7"/>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3C6"/>
    <w:rsid w:val="00D5377A"/>
    <w:rsid w:val="00D53E68"/>
    <w:rsid w:val="00D53E6B"/>
    <w:rsid w:val="00D5420E"/>
    <w:rsid w:val="00D55224"/>
    <w:rsid w:val="00D552CE"/>
    <w:rsid w:val="00D5596C"/>
    <w:rsid w:val="00D56A27"/>
    <w:rsid w:val="00D60F59"/>
    <w:rsid w:val="00D61CF9"/>
    <w:rsid w:val="00D62B3D"/>
    <w:rsid w:val="00D630DD"/>
    <w:rsid w:val="00D6313F"/>
    <w:rsid w:val="00D64005"/>
    <w:rsid w:val="00D64940"/>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1101"/>
    <w:rsid w:val="00D922FE"/>
    <w:rsid w:val="00D9454F"/>
    <w:rsid w:val="00D95C91"/>
    <w:rsid w:val="00D95EC6"/>
    <w:rsid w:val="00D95F84"/>
    <w:rsid w:val="00D979E2"/>
    <w:rsid w:val="00DA2939"/>
    <w:rsid w:val="00DA2CA1"/>
    <w:rsid w:val="00DA2CCF"/>
    <w:rsid w:val="00DA2E20"/>
    <w:rsid w:val="00DA3581"/>
    <w:rsid w:val="00DA3E7E"/>
    <w:rsid w:val="00DA4D73"/>
    <w:rsid w:val="00DA5AA6"/>
    <w:rsid w:val="00DA60C2"/>
    <w:rsid w:val="00DA6110"/>
    <w:rsid w:val="00DA6141"/>
    <w:rsid w:val="00DA6798"/>
    <w:rsid w:val="00DA6B8E"/>
    <w:rsid w:val="00DA70CD"/>
    <w:rsid w:val="00DA76F0"/>
    <w:rsid w:val="00DA7A24"/>
    <w:rsid w:val="00DB0067"/>
    <w:rsid w:val="00DB0362"/>
    <w:rsid w:val="00DB07E2"/>
    <w:rsid w:val="00DB0ABB"/>
    <w:rsid w:val="00DB0F71"/>
    <w:rsid w:val="00DB11A3"/>
    <w:rsid w:val="00DB1F53"/>
    <w:rsid w:val="00DB30DD"/>
    <w:rsid w:val="00DB368A"/>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C6133"/>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5F52"/>
    <w:rsid w:val="00DD5FB2"/>
    <w:rsid w:val="00DD60B7"/>
    <w:rsid w:val="00DD73AA"/>
    <w:rsid w:val="00DD7494"/>
    <w:rsid w:val="00DD79EE"/>
    <w:rsid w:val="00DD7A43"/>
    <w:rsid w:val="00DE0919"/>
    <w:rsid w:val="00DE11DC"/>
    <w:rsid w:val="00DE1B1B"/>
    <w:rsid w:val="00DE1BD7"/>
    <w:rsid w:val="00DE2460"/>
    <w:rsid w:val="00DE54BE"/>
    <w:rsid w:val="00DE5B1F"/>
    <w:rsid w:val="00DE695E"/>
    <w:rsid w:val="00DF00D6"/>
    <w:rsid w:val="00DF0577"/>
    <w:rsid w:val="00DF0709"/>
    <w:rsid w:val="00DF0761"/>
    <w:rsid w:val="00DF0A6C"/>
    <w:rsid w:val="00DF0C06"/>
    <w:rsid w:val="00DF14B0"/>
    <w:rsid w:val="00DF1D64"/>
    <w:rsid w:val="00DF2104"/>
    <w:rsid w:val="00DF2C7C"/>
    <w:rsid w:val="00DF31CF"/>
    <w:rsid w:val="00DF344B"/>
    <w:rsid w:val="00DF3B54"/>
    <w:rsid w:val="00DF40F6"/>
    <w:rsid w:val="00DF4277"/>
    <w:rsid w:val="00DF46AB"/>
    <w:rsid w:val="00DF4E7F"/>
    <w:rsid w:val="00DF5C0D"/>
    <w:rsid w:val="00DF5F23"/>
    <w:rsid w:val="00DF5F90"/>
    <w:rsid w:val="00DF65B6"/>
    <w:rsid w:val="00DF7350"/>
    <w:rsid w:val="00DF7DDB"/>
    <w:rsid w:val="00E007D5"/>
    <w:rsid w:val="00E00FC2"/>
    <w:rsid w:val="00E0102C"/>
    <w:rsid w:val="00E02C7D"/>
    <w:rsid w:val="00E03036"/>
    <w:rsid w:val="00E036D4"/>
    <w:rsid w:val="00E03E74"/>
    <w:rsid w:val="00E042B1"/>
    <w:rsid w:val="00E049CC"/>
    <w:rsid w:val="00E04AD1"/>
    <w:rsid w:val="00E054EF"/>
    <w:rsid w:val="00E0597B"/>
    <w:rsid w:val="00E05D70"/>
    <w:rsid w:val="00E06551"/>
    <w:rsid w:val="00E069F7"/>
    <w:rsid w:val="00E06C13"/>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2956"/>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2666"/>
    <w:rsid w:val="00E43594"/>
    <w:rsid w:val="00E44F52"/>
    <w:rsid w:val="00E4566B"/>
    <w:rsid w:val="00E4621D"/>
    <w:rsid w:val="00E46FE7"/>
    <w:rsid w:val="00E471C4"/>
    <w:rsid w:val="00E478F3"/>
    <w:rsid w:val="00E50876"/>
    <w:rsid w:val="00E53AC7"/>
    <w:rsid w:val="00E53DCE"/>
    <w:rsid w:val="00E53F28"/>
    <w:rsid w:val="00E55353"/>
    <w:rsid w:val="00E5603B"/>
    <w:rsid w:val="00E560A5"/>
    <w:rsid w:val="00E5757D"/>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0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63AE"/>
    <w:rsid w:val="00E87465"/>
    <w:rsid w:val="00E8791B"/>
    <w:rsid w:val="00E90E92"/>
    <w:rsid w:val="00E91697"/>
    <w:rsid w:val="00E9225C"/>
    <w:rsid w:val="00E93F63"/>
    <w:rsid w:val="00E9422F"/>
    <w:rsid w:val="00E94255"/>
    <w:rsid w:val="00E94CD4"/>
    <w:rsid w:val="00E94EAE"/>
    <w:rsid w:val="00E9774D"/>
    <w:rsid w:val="00EA004E"/>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6F42"/>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7C"/>
    <w:rsid w:val="00EC5CEE"/>
    <w:rsid w:val="00EC61F5"/>
    <w:rsid w:val="00EC66EC"/>
    <w:rsid w:val="00ED033D"/>
    <w:rsid w:val="00ED0BA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3B"/>
    <w:rsid w:val="00EE4F8D"/>
    <w:rsid w:val="00EE523A"/>
    <w:rsid w:val="00EE5848"/>
    <w:rsid w:val="00EE59B1"/>
    <w:rsid w:val="00EE5C19"/>
    <w:rsid w:val="00EE618F"/>
    <w:rsid w:val="00EE6857"/>
    <w:rsid w:val="00EE7C77"/>
    <w:rsid w:val="00EF01D6"/>
    <w:rsid w:val="00EF042C"/>
    <w:rsid w:val="00EF0B99"/>
    <w:rsid w:val="00EF11F7"/>
    <w:rsid w:val="00EF317F"/>
    <w:rsid w:val="00EF3775"/>
    <w:rsid w:val="00EF3CD1"/>
    <w:rsid w:val="00EF405B"/>
    <w:rsid w:val="00EF45DF"/>
    <w:rsid w:val="00EF4C78"/>
    <w:rsid w:val="00EF5BCB"/>
    <w:rsid w:val="00EF5C26"/>
    <w:rsid w:val="00EF5CD4"/>
    <w:rsid w:val="00EF7B69"/>
    <w:rsid w:val="00F0038C"/>
    <w:rsid w:val="00F00881"/>
    <w:rsid w:val="00F0122C"/>
    <w:rsid w:val="00F01CD7"/>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1867"/>
    <w:rsid w:val="00F32088"/>
    <w:rsid w:val="00F32AFA"/>
    <w:rsid w:val="00F334B9"/>
    <w:rsid w:val="00F336DE"/>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4EBE"/>
    <w:rsid w:val="00F45394"/>
    <w:rsid w:val="00F453B8"/>
    <w:rsid w:val="00F45737"/>
    <w:rsid w:val="00F45EE1"/>
    <w:rsid w:val="00F4659B"/>
    <w:rsid w:val="00F4706D"/>
    <w:rsid w:val="00F516DC"/>
    <w:rsid w:val="00F51AC0"/>
    <w:rsid w:val="00F51F41"/>
    <w:rsid w:val="00F52022"/>
    <w:rsid w:val="00F53D5F"/>
    <w:rsid w:val="00F54A0B"/>
    <w:rsid w:val="00F5515F"/>
    <w:rsid w:val="00F562CC"/>
    <w:rsid w:val="00F5665A"/>
    <w:rsid w:val="00F5743B"/>
    <w:rsid w:val="00F60C13"/>
    <w:rsid w:val="00F60CE4"/>
    <w:rsid w:val="00F6111E"/>
    <w:rsid w:val="00F61301"/>
    <w:rsid w:val="00F61424"/>
    <w:rsid w:val="00F61985"/>
    <w:rsid w:val="00F61BA3"/>
    <w:rsid w:val="00F62036"/>
    <w:rsid w:val="00F6204D"/>
    <w:rsid w:val="00F62287"/>
    <w:rsid w:val="00F6238B"/>
    <w:rsid w:val="00F62C2F"/>
    <w:rsid w:val="00F63086"/>
    <w:rsid w:val="00F63741"/>
    <w:rsid w:val="00F653B5"/>
    <w:rsid w:val="00F65BF0"/>
    <w:rsid w:val="00F664C3"/>
    <w:rsid w:val="00F66B9E"/>
    <w:rsid w:val="00F67EBA"/>
    <w:rsid w:val="00F7022F"/>
    <w:rsid w:val="00F7049D"/>
    <w:rsid w:val="00F70D6F"/>
    <w:rsid w:val="00F721FF"/>
    <w:rsid w:val="00F72B3D"/>
    <w:rsid w:val="00F72DAE"/>
    <w:rsid w:val="00F733BF"/>
    <w:rsid w:val="00F73997"/>
    <w:rsid w:val="00F73BD5"/>
    <w:rsid w:val="00F73D21"/>
    <w:rsid w:val="00F7450B"/>
    <w:rsid w:val="00F752B1"/>
    <w:rsid w:val="00F75B17"/>
    <w:rsid w:val="00F75B35"/>
    <w:rsid w:val="00F75F93"/>
    <w:rsid w:val="00F76496"/>
    <w:rsid w:val="00F7656E"/>
    <w:rsid w:val="00F7766B"/>
    <w:rsid w:val="00F77BA6"/>
    <w:rsid w:val="00F80296"/>
    <w:rsid w:val="00F81309"/>
    <w:rsid w:val="00F81B08"/>
    <w:rsid w:val="00F8266E"/>
    <w:rsid w:val="00F82D07"/>
    <w:rsid w:val="00F835E7"/>
    <w:rsid w:val="00F84D12"/>
    <w:rsid w:val="00F866B0"/>
    <w:rsid w:val="00F876E7"/>
    <w:rsid w:val="00F87AFA"/>
    <w:rsid w:val="00F87D26"/>
    <w:rsid w:val="00F91A57"/>
    <w:rsid w:val="00F933DF"/>
    <w:rsid w:val="00F93698"/>
    <w:rsid w:val="00F94191"/>
    <w:rsid w:val="00F9431E"/>
    <w:rsid w:val="00F95997"/>
    <w:rsid w:val="00F97D51"/>
    <w:rsid w:val="00FA0394"/>
    <w:rsid w:val="00FA070C"/>
    <w:rsid w:val="00FA147A"/>
    <w:rsid w:val="00FA184F"/>
    <w:rsid w:val="00FA25D4"/>
    <w:rsid w:val="00FA2D45"/>
    <w:rsid w:val="00FA3757"/>
    <w:rsid w:val="00FA3E6D"/>
    <w:rsid w:val="00FA4880"/>
    <w:rsid w:val="00FA4BF0"/>
    <w:rsid w:val="00FA5295"/>
    <w:rsid w:val="00FA54B5"/>
    <w:rsid w:val="00FA64DB"/>
    <w:rsid w:val="00FA65D1"/>
    <w:rsid w:val="00FA7248"/>
    <w:rsid w:val="00FA7F68"/>
    <w:rsid w:val="00FB03DA"/>
    <w:rsid w:val="00FB0B3B"/>
    <w:rsid w:val="00FB0D32"/>
    <w:rsid w:val="00FB1051"/>
    <w:rsid w:val="00FB16DB"/>
    <w:rsid w:val="00FB29BA"/>
    <w:rsid w:val="00FB356D"/>
    <w:rsid w:val="00FB4CD4"/>
    <w:rsid w:val="00FB63F8"/>
    <w:rsid w:val="00FB6637"/>
    <w:rsid w:val="00FB74AC"/>
    <w:rsid w:val="00FB74B3"/>
    <w:rsid w:val="00FC0401"/>
    <w:rsid w:val="00FC2129"/>
    <w:rsid w:val="00FC24A9"/>
    <w:rsid w:val="00FC2F4B"/>
    <w:rsid w:val="00FC3AB8"/>
    <w:rsid w:val="00FC3B03"/>
    <w:rsid w:val="00FC3B3D"/>
    <w:rsid w:val="00FC3C05"/>
    <w:rsid w:val="00FC40F4"/>
    <w:rsid w:val="00FC45D3"/>
    <w:rsid w:val="00FC7280"/>
    <w:rsid w:val="00FD01DE"/>
    <w:rsid w:val="00FD1216"/>
    <w:rsid w:val="00FD1A01"/>
    <w:rsid w:val="00FD3AF2"/>
    <w:rsid w:val="00FD4012"/>
    <w:rsid w:val="00FD42C7"/>
    <w:rsid w:val="00FD455B"/>
    <w:rsid w:val="00FD4650"/>
    <w:rsid w:val="00FD4F86"/>
    <w:rsid w:val="00FD5AE9"/>
    <w:rsid w:val="00FD6511"/>
    <w:rsid w:val="00FD6B40"/>
    <w:rsid w:val="00FD7035"/>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202"/>
    <w:rsid w:val="00FF472C"/>
    <w:rsid w:val="00FF4A0A"/>
    <w:rsid w:val="00FF4A3E"/>
    <w:rsid w:val="00FF4B29"/>
    <w:rsid w:val="00FF5DF3"/>
    <w:rsid w:val="00FF67DE"/>
    <w:rsid w:val="00FF7F95"/>
    <w:rsid w:val="01F41286"/>
    <w:rsid w:val="02040258"/>
    <w:rsid w:val="0209330B"/>
    <w:rsid w:val="02366906"/>
    <w:rsid w:val="02AB295A"/>
    <w:rsid w:val="02B35D48"/>
    <w:rsid w:val="02D0381A"/>
    <w:rsid w:val="02FF7A7B"/>
    <w:rsid w:val="034C024D"/>
    <w:rsid w:val="03970EF3"/>
    <w:rsid w:val="03EC1F79"/>
    <w:rsid w:val="04355EBD"/>
    <w:rsid w:val="04664A43"/>
    <w:rsid w:val="04823DD8"/>
    <w:rsid w:val="048C44D0"/>
    <w:rsid w:val="04A86794"/>
    <w:rsid w:val="04AB7AD3"/>
    <w:rsid w:val="04FF3EFD"/>
    <w:rsid w:val="05E742EE"/>
    <w:rsid w:val="065906F6"/>
    <w:rsid w:val="07AD2F74"/>
    <w:rsid w:val="08C7632B"/>
    <w:rsid w:val="08EF7436"/>
    <w:rsid w:val="092F3068"/>
    <w:rsid w:val="0B0E7430"/>
    <w:rsid w:val="0C19710E"/>
    <w:rsid w:val="0C8E5CCC"/>
    <w:rsid w:val="0D49149F"/>
    <w:rsid w:val="0D5364A5"/>
    <w:rsid w:val="0DF012B2"/>
    <w:rsid w:val="0E493DF1"/>
    <w:rsid w:val="0E691A30"/>
    <w:rsid w:val="0E794195"/>
    <w:rsid w:val="0E7C7501"/>
    <w:rsid w:val="0E996B65"/>
    <w:rsid w:val="0EC77727"/>
    <w:rsid w:val="0ECB2F66"/>
    <w:rsid w:val="0ED15F2C"/>
    <w:rsid w:val="0EFD085A"/>
    <w:rsid w:val="0F663403"/>
    <w:rsid w:val="0F980C7B"/>
    <w:rsid w:val="0FC35ADF"/>
    <w:rsid w:val="1024466C"/>
    <w:rsid w:val="11C86E50"/>
    <w:rsid w:val="12160F3D"/>
    <w:rsid w:val="12383670"/>
    <w:rsid w:val="125B542E"/>
    <w:rsid w:val="12B13541"/>
    <w:rsid w:val="12BD3DDD"/>
    <w:rsid w:val="12D07D2E"/>
    <w:rsid w:val="12E54A8E"/>
    <w:rsid w:val="13772D39"/>
    <w:rsid w:val="143119FB"/>
    <w:rsid w:val="14314A47"/>
    <w:rsid w:val="14992BA2"/>
    <w:rsid w:val="15633BC1"/>
    <w:rsid w:val="15706E98"/>
    <w:rsid w:val="1652716C"/>
    <w:rsid w:val="17893D8A"/>
    <w:rsid w:val="17CB7148"/>
    <w:rsid w:val="17DC4231"/>
    <w:rsid w:val="181E4800"/>
    <w:rsid w:val="19A04C96"/>
    <w:rsid w:val="1A3A4F71"/>
    <w:rsid w:val="1B130798"/>
    <w:rsid w:val="1B5753C5"/>
    <w:rsid w:val="1B6028EE"/>
    <w:rsid w:val="1B713628"/>
    <w:rsid w:val="1BD03658"/>
    <w:rsid w:val="1C6528D1"/>
    <w:rsid w:val="1CCC651D"/>
    <w:rsid w:val="1CFD009B"/>
    <w:rsid w:val="1D131CD1"/>
    <w:rsid w:val="1D257E85"/>
    <w:rsid w:val="1D7F23F9"/>
    <w:rsid w:val="1DBF0856"/>
    <w:rsid w:val="1E017B93"/>
    <w:rsid w:val="1E1E344E"/>
    <w:rsid w:val="1E32455C"/>
    <w:rsid w:val="1E816C99"/>
    <w:rsid w:val="1EC40006"/>
    <w:rsid w:val="1F1C0096"/>
    <w:rsid w:val="204D2F02"/>
    <w:rsid w:val="207F4BDE"/>
    <w:rsid w:val="20EA0B82"/>
    <w:rsid w:val="21213C0C"/>
    <w:rsid w:val="214F03B6"/>
    <w:rsid w:val="21A80F33"/>
    <w:rsid w:val="23111B23"/>
    <w:rsid w:val="234264D3"/>
    <w:rsid w:val="236A4A10"/>
    <w:rsid w:val="24764DC1"/>
    <w:rsid w:val="24967662"/>
    <w:rsid w:val="25175BF6"/>
    <w:rsid w:val="2581355B"/>
    <w:rsid w:val="25AA584B"/>
    <w:rsid w:val="25B5385F"/>
    <w:rsid w:val="262827A7"/>
    <w:rsid w:val="26F0490D"/>
    <w:rsid w:val="273E5DC8"/>
    <w:rsid w:val="28104D40"/>
    <w:rsid w:val="285F1E1A"/>
    <w:rsid w:val="28737276"/>
    <w:rsid w:val="29353928"/>
    <w:rsid w:val="2A4370E4"/>
    <w:rsid w:val="2A74496A"/>
    <w:rsid w:val="2A920384"/>
    <w:rsid w:val="2ACF254B"/>
    <w:rsid w:val="2AF725D0"/>
    <w:rsid w:val="2B4C3B06"/>
    <w:rsid w:val="2B761235"/>
    <w:rsid w:val="2B875CF3"/>
    <w:rsid w:val="2B886F75"/>
    <w:rsid w:val="2B9D32F3"/>
    <w:rsid w:val="2BC43236"/>
    <w:rsid w:val="2C1106C8"/>
    <w:rsid w:val="2C404347"/>
    <w:rsid w:val="2CA23411"/>
    <w:rsid w:val="2CAE54E8"/>
    <w:rsid w:val="2CC714B4"/>
    <w:rsid w:val="2CF34431"/>
    <w:rsid w:val="2DB2355B"/>
    <w:rsid w:val="2E7447DA"/>
    <w:rsid w:val="2E81541B"/>
    <w:rsid w:val="2EA80AA8"/>
    <w:rsid w:val="2EC94A38"/>
    <w:rsid w:val="2ED4710A"/>
    <w:rsid w:val="2F0D2540"/>
    <w:rsid w:val="2F145D5B"/>
    <w:rsid w:val="2F165A4A"/>
    <w:rsid w:val="30155C99"/>
    <w:rsid w:val="30491724"/>
    <w:rsid w:val="30863BAF"/>
    <w:rsid w:val="30A74EDF"/>
    <w:rsid w:val="313708CB"/>
    <w:rsid w:val="31783AC4"/>
    <w:rsid w:val="31B72774"/>
    <w:rsid w:val="322E2CC1"/>
    <w:rsid w:val="32744B8F"/>
    <w:rsid w:val="329A3370"/>
    <w:rsid w:val="329D5730"/>
    <w:rsid w:val="32BB3C6E"/>
    <w:rsid w:val="32F800A4"/>
    <w:rsid w:val="335F25A6"/>
    <w:rsid w:val="33FB069A"/>
    <w:rsid w:val="3424001A"/>
    <w:rsid w:val="34DF7AC8"/>
    <w:rsid w:val="35092844"/>
    <w:rsid w:val="356928AF"/>
    <w:rsid w:val="35C577F0"/>
    <w:rsid w:val="35FC1619"/>
    <w:rsid w:val="35FF488B"/>
    <w:rsid w:val="368D29BC"/>
    <w:rsid w:val="36AB2BF9"/>
    <w:rsid w:val="36B60DEB"/>
    <w:rsid w:val="36FB77C2"/>
    <w:rsid w:val="37115068"/>
    <w:rsid w:val="373A1EFF"/>
    <w:rsid w:val="37467A89"/>
    <w:rsid w:val="374D0F57"/>
    <w:rsid w:val="37D320B4"/>
    <w:rsid w:val="3823305A"/>
    <w:rsid w:val="38D75836"/>
    <w:rsid w:val="39255B4E"/>
    <w:rsid w:val="39FA1EDA"/>
    <w:rsid w:val="3A7320AB"/>
    <w:rsid w:val="3A9C2D71"/>
    <w:rsid w:val="3ADB1B86"/>
    <w:rsid w:val="3BA076BE"/>
    <w:rsid w:val="3C072DE6"/>
    <w:rsid w:val="3C1D03D7"/>
    <w:rsid w:val="3C5F11A3"/>
    <w:rsid w:val="3C65796A"/>
    <w:rsid w:val="3C7C2505"/>
    <w:rsid w:val="3CB8263D"/>
    <w:rsid w:val="3D7A2ADA"/>
    <w:rsid w:val="3DA474A7"/>
    <w:rsid w:val="3ED26EF7"/>
    <w:rsid w:val="3ED810C8"/>
    <w:rsid w:val="3F431F24"/>
    <w:rsid w:val="3F83690D"/>
    <w:rsid w:val="3FED2FEE"/>
    <w:rsid w:val="403D38F4"/>
    <w:rsid w:val="40D01062"/>
    <w:rsid w:val="41786CC9"/>
    <w:rsid w:val="42542524"/>
    <w:rsid w:val="427E65EA"/>
    <w:rsid w:val="42DE2F39"/>
    <w:rsid w:val="435C361F"/>
    <w:rsid w:val="447569F3"/>
    <w:rsid w:val="45365B70"/>
    <w:rsid w:val="45847738"/>
    <w:rsid w:val="45876536"/>
    <w:rsid w:val="45C81F49"/>
    <w:rsid w:val="45FC0CDF"/>
    <w:rsid w:val="460D1AD1"/>
    <w:rsid w:val="46646095"/>
    <w:rsid w:val="46F22B79"/>
    <w:rsid w:val="47117FD1"/>
    <w:rsid w:val="47273212"/>
    <w:rsid w:val="488355B6"/>
    <w:rsid w:val="48981CF4"/>
    <w:rsid w:val="48B33408"/>
    <w:rsid w:val="49353926"/>
    <w:rsid w:val="49593384"/>
    <w:rsid w:val="498C18CA"/>
    <w:rsid w:val="49A3785C"/>
    <w:rsid w:val="49C83D8B"/>
    <w:rsid w:val="4A4704C2"/>
    <w:rsid w:val="4A481D20"/>
    <w:rsid w:val="4A495A51"/>
    <w:rsid w:val="4A7B219E"/>
    <w:rsid w:val="4AE868AB"/>
    <w:rsid w:val="4AEA7F27"/>
    <w:rsid w:val="4B4B5BA4"/>
    <w:rsid w:val="4B5624C9"/>
    <w:rsid w:val="4B602D7A"/>
    <w:rsid w:val="4C182782"/>
    <w:rsid w:val="4CB849CD"/>
    <w:rsid w:val="4D216D63"/>
    <w:rsid w:val="4F077AB9"/>
    <w:rsid w:val="4F0D5F99"/>
    <w:rsid w:val="4F45079D"/>
    <w:rsid w:val="4F596E09"/>
    <w:rsid w:val="4FFF5657"/>
    <w:rsid w:val="50464A35"/>
    <w:rsid w:val="50567CE2"/>
    <w:rsid w:val="51D0767D"/>
    <w:rsid w:val="51D433EB"/>
    <w:rsid w:val="51F16295"/>
    <w:rsid w:val="52715451"/>
    <w:rsid w:val="52C57C7B"/>
    <w:rsid w:val="52FF6532"/>
    <w:rsid w:val="53224702"/>
    <w:rsid w:val="53847714"/>
    <w:rsid w:val="540C7DB2"/>
    <w:rsid w:val="54207D48"/>
    <w:rsid w:val="550D180D"/>
    <w:rsid w:val="551212BD"/>
    <w:rsid w:val="559840EB"/>
    <w:rsid w:val="55F473A6"/>
    <w:rsid w:val="55F54981"/>
    <w:rsid w:val="5604752C"/>
    <w:rsid w:val="5678513B"/>
    <w:rsid w:val="56C44824"/>
    <w:rsid w:val="570854BD"/>
    <w:rsid w:val="5827489A"/>
    <w:rsid w:val="584D1551"/>
    <w:rsid w:val="589B6092"/>
    <w:rsid w:val="59584E20"/>
    <w:rsid w:val="596A7D11"/>
    <w:rsid w:val="59BB63C2"/>
    <w:rsid w:val="59C6635C"/>
    <w:rsid w:val="5A9056E2"/>
    <w:rsid w:val="5AAC6819"/>
    <w:rsid w:val="5B5B6114"/>
    <w:rsid w:val="5BA10461"/>
    <w:rsid w:val="5BAA15A6"/>
    <w:rsid w:val="5BEA3E40"/>
    <w:rsid w:val="5BF17729"/>
    <w:rsid w:val="5C60789B"/>
    <w:rsid w:val="5C926B4F"/>
    <w:rsid w:val="5CAA70E4"/>
    <w:rsid w:val="5CCA6F24"/>
    <w:rsid w:val="5CFD4459"/>
    <w:rsid w:val="5DED2A30"/>
    <w:rsid w:val="5E1E5E0C"/>
    <w:rsid w:val="5E420FEF"/>
    <w:rsid w:val="5E4A5835"/>
    <w:rsid w:val="5E564705"/>
    <w:rsid w:val="5E903F82"/>
    <w:rsid w:val="5F272E87"/>
    <w:rsid w:val="5F6A36A5"/>
    <w:rsid w:val="5FC324AB"/>
    <w:rsid w:val="5FC96C97"/>
    <w:rsid w:val="5FD5288F"/>
    <w:rsid w:val="5FE96431"/>
    <w:rsid w:val="5FF067F2"/>
    <w:rsid w:val="60C60D15"/>
    <w:rsid w:val="60FE69AF"/>
    <w:rsid w:val="61C979DA"/>
    <w:rsid w:val="62165216"/>
    <w:rsid w:val="626E2310"/>
    <w:rsid w:val="629B76DE"/>
    <w:rsid w:val="62D01A62"/>
    <w:rsid w:val="634C23CA"/>
    <w:rsid w:val="63C162C7"/>
    <w:rsid w:val="65850379"/>
    <w:rsid w:val="65AE1959"/>
    <w:rsid w:val="65E645EA"/>
    <w:rsid w:val="662D7A22"/>
    <w:rsid w:val="664034E9"/>
    <w:rsid w:val="667707C3"/>
    <w:rsid w:val="66B5632B"/>
    <w:rsid w:val="67625285"/>
    <w:rsid w:val="69093274"/>
    <w:rsid w:val="69382A2C"/>
    <w:rsid w:val="69434640"/>
    <w:rsid w:val="698D369E"/>
    <w:rsid w:val="69BE761B"/>
    <w:rsid w:val="6A4E5A82"/>
    <w:rsid w:val="6A750CAB"/>
    <w:rsid w:val="6ACC5DFD"/>
    <w:rsid w:val="6B51623E"/>
    <w:rsid w:val="6B531F31"/>
    <w:rsid w:val="6BC14886"/>
    <w:rsid w:val="6BC3237E"/>
    <w:rsid w:val="6C121058"/>
    <w:rsid w:val="6C2000E4"/>
    <w:rsid w:val="6C5543F6"/>
    <w:rsid w:val="6CC610F6"/>
    <w:rsid w:val="6DEF7AF4"/>
    <w:rsid w:val="6DF87AF7"/>
    <w:rsid w:val="6F3C7D55"/>
    <w:rsid w:val="6F892C9C"/>
    <w:rsid w:val="6FDB5281"/>
    <w:rsid w:val="70366E3A"/>
    <w:rsid w:val="70B641A7"/>
    <w:rsid w:val="70EF6FC3"/>
    <w:rsid w:val="71452A5C"/>
    <w:rsid w:val="717B5A79"/>
    <w:rsid w:val="71B7559E"/>
    <w:rsid w:val="7281544F"/>
    <w:rsid w:val="74196AC9"/>
    <w:rsid w:val="749A33CB"/>
    <w:rsid w:val="74D93AE8"/>
    <w:rsid w:val="75AF0E73"/>
    <w:rsid w:val="763A7152"/>
    <w:rsid w:val="766E211A"/>
    <w:rsid w:val="76C62136"/>
    <w:rsid w:val="7728605E"/>
    <w:rsid w:val="77E36DBE"/>
    <w:rsid w:val="77E972CC"/>
    <w:rsid w:val="781A3F51"/>
    <w:rsid w:val="782D1E34"/>
    <w:rsid w:val="786D0E17"/>
    <w:rsid w:val="78B91C5E"/>
    <w:rsid w:val="797E2695"/>
    <w:rsid w:val="79B73810"/>
    <w:rsid w:val="7A073A10"/>
    <w:rsid w:val="7A665991"/>
    <w:rsid w:val="7AD0650C"/>
    <w:rsid w:val="7AE37597"/>
    <w:rsid w:val="7B023D27"/>
    <w:rsid w:val="7B28499C"/>
    <w:rsid w:val="7B3A497C"/>
    <w:rsid w:val="7B7F2425"/>
    <w:rsid w:val="7B8B7F63"/>
    <w:rsid w:val="7BA0360C"/>
    <w:rsid w:val="7C4C347A"/>
    <w:rsid w:val="7C5A65DC"/>
    <w:rsid w:val="7D7D15ED"/>
    <w:rsid w:val="7D9E3AF3"/>
    <w:rsid w:val="7E8B5A9C"/>
    <w:rsid w:val="7F3C61CA"/>
    <w:rsid w:val="7F401510"/>
    <w:rsid w:val="7F49430F"/>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54"/>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5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56"/>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57"/>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58"/>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59"/>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0"/>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1"/>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6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4">
    <w:name w:val="Default Paragraph Font"/>
    <w:unhideWhenUsed/>
    <w:uiPriority w:val="1"/>
  </w:style>
  <w:style w:type="table" w:default="1" w:styleId="42">
    <w:name w:val="Normal Table"/>
    <w:unhideWhenUsed/>
    <w:qFormat/>
    <w:uiPriority w:val="99"/>
    <w:tblPr>
      <w:tblStyle w:val="42"/>
      <w:tblCellMar>
        <w:top w:w="0" w:type="dxa"/>
        <w:left w:w="108" w:type="dxa"/>
        <w:bottom w:w="0" w:type="dxa"/>
        <w:right w:w="108" w:type="dxa"/>
      </w:tblCellMar>
    </w:tblPr>
  </w:style>
  <w:style w:type="paragraph" w:styleId="2">
    <w:name w:val="Body Text"/>
    <w:basedOn w:val="1"/>
    <w:next w:val="3"/>
    <w:link w:val="52"/>
    <w:qFormat/>
    <w:uiPriority w:val="99"/>
    <w:rPr>
      <w:rFonts w:ascii="宋体" w:hAnsi="宋体"/>
      <w:kern w:val="0"/>
      <w:sz w:val="20"/>
    </w:rPr>
  </w:style>
  <w:style w:type="paragraph" w:styleId="3">
    <w:name w:val="Body Text First Indent"/>
    <w:basedOn w:val="1"/>
    <w:link w:val="53"/>
    <w:qFormat/>
    <w:uiPriority w:val="99"/>
    <w:pPr>
      <w:spacing w:after="120"/>
      <w:ind w:firstLine="420" w:firstLineChars="100"/>
    </w:pPr>
    <w:rPr>
      <w:i/>
      <w:kern w:val="2"/>
      <w:sz w:val="24"/>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link w:val="63"/>
    <w:qFormat/>
    <w:uiPriority w:val="0"/>
    <w:pPr>
      <w:ind w:firstLine="420" w:firstLineChars="200"/>
    </w:pPr>
    <w:rPr>
      <w:rFonts w:ascii="宋体" w:hAnsi="宋体"/>
      <w:spacing w:val="14"/>
      <w:kern w:val="24"/>
      <w:sz w:val="24"/>
      <w:szCs w:val="24"/>
    </w:rPr>
  </w:style>
  <w:style w:type="paragraph" w:styleId="15">
    <w:name w:val="Document Map"/>
    <w:basedOn w:val="1"/>
    <w:link w:val="64"/>
    <w:qFormat/>
    <w:uiPriority w:val="99"/>
    <w:pPr>
      <w:shd w:val="clear" w:color="auto" w:fill="000080"/>
    </w:pPr>
  </w:style>
  <w:style w:type="paragraph" w:styleId="16">
    <w:name w:val="annotation text"/>
    <w:basedOn w:val="1"/>
    <w:link w:val="65"/>
    <w:qFormat/>
    <w:uiPriority w:val="99"/>
    <w:pPr>
      <w:jc w:val="left"/>
    </w:pPr>
    <w:rPr>
      <w:rFonts w:ascii="宋体" w:hAnsi="宋体"/>
      <w:szCs w:val="21"/>
    </w:rPr>
  </w:style>
  <w:style w:type="paragraph" w:styleId="17">
    <w:name w:val="Body Text 3"/>
    <w:basedOn w:val="1"/>
    <w:link w:val="66"/>
    <w:qFormat/>
    <w:uiPriority w:val="99"/>
    <w:pPr>
      <w:spacing w:after="120" w:line="360" w:lineRule="auto"/>
    </w:pPr>
    <w:rPr>
      <w:kern w:val="0"/>
      <w:sz w:val="16"/>
    </w:rPr>
  </w:style>
  <w:style w:type="paragraph" w:styleId="18">
    <w:name w:val="Body Text Indent"/>
    <w:basedOn w:val="1"/>
    <w:link w:val="67"/>
    <w:qFormat/>
    <w:uiPriority w:val="0"/>
    <w:pPr>
      <w:spacing w:line="380" w:lineRule="exact"/>
      <w:ind w:firstLine="480"/>
    </w:pPr>
    <w:rPr>
      <w:rFonts w:eastAsia="方正书宋简体"/>
      <w:sz w:val="24"/>
    </w:rPr>
  </w:style>
  <w:style w:type="paragraph" w:styleId="19">
    <w:name w:val="List Number 3"/>
    <w:basedOn w:val="1"/>
    <w:qFormat/>
    <w:uiPriority w:val="99"/>
    <w:pPr>
      <w:widowControl/>
      <w:tabs>
        <w:tab w:val="left" w:pos="482"/>
      </w:tabs>
      <w:spacing w:afterLines="50"/>
      <w:ind w:left="482" w:hanging="340"/>
      <w:jc w:val="left"/>
    </w:pPr>
    <w:rPr>
      <w:kern w:val="0"/>
      <w:sz w:val="24"/>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rPr>
  </w:style>
  <w:style w:type="paragraph" w:styleId="22">
    <w:name w:val="Plain Text"/>
    <w:basedOn w:val="1"/>
    <w:link w:val="68"/>
    <w:qFormat/>
    <w:uiPriority w:val="0"/>
    <w:pPr>
      <w:widowControl/>
      <w:spacing w:before="100" w:beforeAutospacing="1" w:after="100" w:afterAutospacing="1"/>
      <w:jc w:val="left"/>
    </w:pPr>
    <w:rPr>
      <w:rFonts w:ascii="宋体" w:hAnsi="Courier New"/>
      <w:kern w:val="0"/>
      <w:sz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69"/>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0"/>
    <w:qFormat/>
    <w:uiPriority w:val="99"/>
    <w:pPr>
      <w:spacing w:line="380" w:lineRule="exact"/>
      <w:ind w:left="840" w:hanging="45"/>
    </w:pPr>
    <w:rPr>
      <w:rFonts w:ascii="宋体"/>
      <w:sz w:val="24"/>
    </w:rPr>
  </w:style>
  <w:style w:type="paragraph" w:styleId="26">
    <w:name w:val="Balloon Text"/>
    <w:basedOn w:val="1"/>
    <w:link w:val="71"/>
    <w:qFormat/>
    <w:uiPriority w:val="99"/>
    <w:rPr>
      <w:rFonts w:ascii="宋体" w:hAnsi="宋体"/>
      <w:sz w:val="18"/>
      <w:szCs w:val="18"/>
    </w:rPr>
  </w:style>
  <w:style w:type="paragraph" w:styleId="27">
    <w:name w:val="footer"/>
    <w:basedOn w:val="1"/>
    <w:link w:val="72"/>
    <w:qFormat/>
    <w:uiPriority w:val="99"/>
    <w:pPr>
      <w:tabs>
        <w:tab w:val="center" w:pos="4153"/>
        <w:tab w:val="right" w:pos="8306"/>
      </w:tabs>
      <w:snapToGrid w:val="0"/>
      <w:jc w:val="left"/>
    </w:pPr>
    <w:rPr>
      <w:rFonts w:ascii="宋体" w:hAnsi="宋体"/>
      <w:sz w:val="18"/>
      <w:szCs w:val="18"/>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9">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0">
    <w:name w:val="toc 4"/>
    <w:basedOn w:val="1"/>
    <w:next w:val="1"/>
    <w:qFormat/>
    <w:uiPriority w:val="39"/>
    <w:pPr>
      <w:ind w:left="630"/>
      <w:jc w:val="left"/>
    </w:pPr>
    <w:rPr>
      <w:sz w:val="18"/>
      <w:szCs w:val="18"/>
    </w:rPr>
  </w:style>
  <w:style w:type="paragraph" w:styleId="31">
    <w:name w:val="List Number 5"/>
    <w:basedOn w:val="1"/>
    <w:qFormat/>
    <w:uiPriority w:val="99"/>
    <w:pPr>
      <w:tabs>
        <w:tab w:val="left" w:pos="2608"/>
      </w:tabs>
      <w:spacing w:line="360" w:lineRule="auto"/>
      <w:ind w:left="840" w:hanging="360"/>
    </w:pPr>
    <w:rPr>
      <w:sz w:val="24"/>
      <w:szCs w:val="24"/>
    </w:r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74"/>
    <w:qFormat/>
    <w:uiPriority w:val="99"/>
    <w:pPr>
      <w:spacing w:line="380" w:lineRule="exact"/>
      <w:ind w:left="525"/>
    </w:pPr>
    <w:rPr>
      <w:rFonts w:ascii="宋体" w:hAnsi="宋体"/>
      <w:b/>
      <w:sz w:val="24"/>
      <w:szCs w:val="24"/>
    </w:rPr>
  </w:style>
  <w:style w:type="paragraph" w:styleId="34">
    <w:name w:val="table of figures"/>
    <w:basedOn w:val="1"/>
    <w:next w:val="1"/>
    <w:qFormat/>
    <w:uiPriority w:val="99"/>
    <w:pPr>
      <w:ind w:left="420" w:hanging="420"/>
      <w:jc w:val="left"/>
    </w:pPr>
    <w:rPr>
      <w:smallCaps/>
      <w:sz w:val="20"/>
    </w:rPr>
  </w:style>
  <w:style w:type="paragraph" w:styleId="35">
    <w:name w:val="toc 2"/>
    <w:basedOn w:val="1"/>
    <w:next w:val="1"/>
    <w:qFormat/>
    <w:uiPriority w:val="39"/>
    <w:pPr>
      <w:ind w:left="210"/>
      <w:jc w:val="left"/>
    </w:pPr>
    <w:rPr>
      <w:smallCaps/>
      <w:sz w:val="20"/>
    </w:rPr>
  </w:style>
  <w:style w:type="paragraph" w:styleId="36">
    <w:name w:val="toc 9"/>
    <w:basedOn w:val="1"/>
    <w:next w:val="1"/>
    <w:qFormat/>
    <w:uiPriority w:val="39"/>
    <w:pPr>
      <w:ind w:left="1680"/>
      <w:jc w:val="left"/>
    </w:pPr>
    <w:rPr>
      <w:sz w:val="18"/>
      <w:szCs w:val="18"/>
    </w:rPr>
  </w:style>
  <w:style w:type="paragraph" w:styleId="37">
    <w:name w:val="Body Text 2"/>
    <w:basedOn w:val="1"/>
    <w:link w:val="75"/>
    <w:qFormat/>
    <w:uiPriority w:val="99"/>
    <w:pPr>
      <w:spacing w:after="120" w:line="480" w:lineRule="auto"/>
    </w:pPr>
    <w:rPr>
      <w:kern w:val="0"/>
      <w:sz w:val="24"/>
    </w:rPr>
  </w:style>
  <w:style w:type="paragraph" w:styleId="38">
    <w:name w:val="HTML Preformatted"/>
    <w:basedOn w:val="1"/>
    <w:link w:val="76"/>
    <w:qFormat/>
    <w:uiPriority w:val="99"/>
    <w:rPr>
      <w:rFonts w:ascii="Courier New" w:hAnsi="Courier New"/>
      <w:sz w:val="20"/>
    </w:rPr>
  </w:style>
  <w:style w:type="paragraph" w:styleId="39">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qFormat/>
    <w:uiPriority w:val="99"/>
  </w:style>
  <w:style w:type="paragraph" w:styleId="41">
    <w:name w:val="annotation subject"/>
    <w:basedOn w:val="16"/>
    <w:next w:val="16"/>
    <w:link w:val="77"/>
    <w:semiHidden/>
    <w:qFormat/>
    <w:uiPriority w:val="99"/>
    <w:rPr>
      <w:b/>
    </w:rPr>
  </w:style>
  <w:style w:type="table" w:styleId="43">
    <w:name w:val="Table Grid"/>
    <w:basedOn w:val="42"/>
    <w:qFormat/>
    <w:uiPriority w:val="39"/>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qFormat/>
    <w:uiPriority w:val="99"/>
    <w:rPr>
      <w:rFonts w:cs="Times New Roman"/>
    </w:rPr>
  </w:style>
  <w:style w:type="character" w:styleId="47">
    <w:name w:val="FollowedHyperlink"/>
    <w:basedOn w:val="44"/>
    <w:qFormat/>
    <w:uiPriority w:val="99"/>
    <w:rPr>
      <w:color w:val="000000"/>
      <w:u w:val="none"/>
    </w:rPr>
  </w:style>
  <w:style w:type="character" w:styleId="48">
    <w:name w:val="Emphasis"/>
    <w:qFormat/>
    <w:uiPriority w:val="20"/>
    <w:rPr>
      <w:i/>
    </w:rPr>
  </w:style>
  <w:style w:type="character" w:styleId="49">
    <w:name w:val="HTML Typewriter"/>
    <w:qFormat/>
    <w:uiPriority w:val="99"/>
    <w:rPr>
      <w:rFonts w:ascii="Courier New" w:hAnsi="Courier New"/>
      <w:sz w:val="20"/>
    </w:rPr>
  </w:style>
  <w:style w:type="character" w:styleId="50">
    <w:name w:val="Hyperlink"/>
    <w:basedOn w:val="44"/>
    <w:qFormat/>
    <w:uiPriority w:val="99"/>
    <w:rPr>
      <w:color w:val="000000"/>
      <w:u w:val="none"/>
    </w:rPr>
  </w:style>
  <w:style w:type="character" w:styleId="51">
    <w:name w:val="annotation reference"/>
    <w:semiHidden/>
    <w:qFormat/>
    <w:uiPriority w:val="99"/>
    <w:rPr>
      <w:sz w:val="21"/>
    </w:rPr>
  </w:style>
  <w:style w:type="character" w:customStyle="1" w:styleId="52">
    <w:name w:val="正文文本 Char2"/>
    <w:link w:val="2"/>
    <w:locked/>
    <w:uiPriority w:val="99"/>
    <w:rPr>
      <w:rFonts w:ascii="宋体" w:hAnsi="宋体" w:eastAsia="宋体" w:cs="宋体"/>
      <w:lang w:val="en-US" w:eastAsia="zh-CN"/>
    </w:rPr>
  </w:style>
  <w:style w:type="character" w:customStyle="1" w:styleId="53">
    <w:name w:val="正文首行缩进 Char"/>
    <w:link w:val="3"/>
    <w:qFormat/>
    <w:locked/>
    <w:uiPriority w:val="99"/>
    <w:rPr>
      <w:rFonts w:ascii="宋体" w:hAnsi="宋体" w:eastAsia="宋体" w:cs="宋体"/>
      <w:i/>
      <w:kern w:val="2"/>
      <w:sz w:val="24"/>
      <w:lang w:val="en-US" w:eastAsia="zh-CN"/>
    </w:rPr>
  </w:style>
  <w:style w:type="character" w:customStyle="1" w:styleId="54">
    <w:name w:val="标题 1 Char1"/>
    <w:link w:val="4"/>
    <w:locked/>
    <w:uiPriority w:val="9"/>
    <w:rPr>
      <w:rFonts w:ascii="宋体" w:hAnsi="宋体" w:eastAsia="宋体" w:cs="宋体"/>
      <w:b/>
      <w:kern w:val="44"/>
      <w:sz w:val="44"/>
      <w:szCs w:val="44"/>
      <w:lang w:val="en-US" w:eastAsia="zh-CN"/>
    </w:rPr>
  </w:style>
  <w:style w:type="character" w:customStyle="1" w:styleId="55">
    <w:name w:val="标题 2 Char1"/>
    <w:link w:val="5"/>
    <w:locked/>
    <w:uiPriority w:val="9"/>
    <w:rPr>
      <w:rFonts w:ascii="Cambria" w:hAnsi="Cambria" w:eastAsia="宋体" w:cs="Cambria"/>
      <w:kern w:val="2"/>
      <w:sz w:val="21"/>
      <w:szCs w:val="21"/>
      <w:lang w:val="en-US" w:eastAsia="zh-CN"/>
    </w:rPr>
  </w:style>
  <w:style w:type="character" w:customStyle="1" w:styleId="56">
    <w:name w:val="标题 3 Char1"/>
    <w:link w:val="6"/>
    <w:locked/>
    <w:uiPriority w:val="9"/>
    <w:rPr>
      <w:rFonts w:ascii="宋体" w:hAnsi="宋体" w:eastAsia="宋体" w:cs="宋体"/>
      <w:b/>
      <w:kern w:val="2"/>
      <w:sz w:val="32"/>
      <w:szCs w:val="32"/>
      <w:lang w:val="en-US" w:eastAsia="zh-CN"/>
    </w:rPr>
  </w:style>
  <w:style w:type="character" w:customStyle="1" w:styleId="57">
    <w:name w:val="标题 4 Char"/>
    <w:link w:val="7"/>
    <w:qFormat/>
    <w:locked/>
    <w:uiPriority w:val="9"/>
    <w:rPr>
      <w:rFonts w:ascii="Arial" w:hAnsi="Arial" w:eastAsia="黑体"/>
      <w:b/>
      <w:kern w:val="2"/>
      <w:sz w:val="28"/>
      <w:lang w:val="en-US" w:eastAsia="zh-CN"/>
    </w:rPr>
  </w:style>
  <w:style w:type="character" w:customStyle="1" w:styleId="58">
    <w:name w:val="标题 5 Char"/>
    <w:link w:val="8"/>
    <w:qFormat/>
    <w:locked/>
    <w:uiPriority w:val="9"/>
    <w:rPr>
      <w:rFonts w:eastAsia="宋体"/>
      <w:b/>
      <w:kern w:val="2"/>
      <w:sz w:val="28"/>
      <w:lang w:val="en-US" w:eastAsia="zh-CN"/>
    </w:rPr>
  </w:style>
  <w:style w:type="character" w:customStyle="1" w:styleId="59">
    <w:name w:val="标题 6 Char"/>
    <w:link w:val="9"/>
    <w:qFormat/>
    <w:locked/>
    <w:uiPriority w:val="9"/>
    <w:rPr>
      <w:rFonts w:ascii="Cambria" w:hAnsi="Cambria" w:eastAsia="宋体"/>
      <w:b/>
      <w:kern w:val="2"/>
      <w:sz w:val="24"/>
      <w:lang w:val="en-US" w:eastAsia="zh-CN"/>
    </w:rPr>
  </w:style>
  <w:style w:type="character" w:customStyle="1" w:styleId="60">
    <w:name w:val="标题 7 Char"/>
    <w:link w:val="10"/>
    <w:qFormat/>
    <w:locked/>
    <w:uiPriority w:val="9"/>
    <w:rPr>
      <w:b/>
      <w:kern w:val="2"/>
      <w:sz w:val="24"/>
    </w:rPr>
  </w:style>
  <w:style w:type="character" w:customStyle="1" w:styleId="61">
    <w:name w:val="标题 8 Char"/>
    <w:link w:val="11"/>
    <w:qFormat/>
    <w:locked/>
    <w:uiPriority w:val="9"/>
    <w:rPr>
      <w:rFonts w:ascii="Arial" w:hAnsi="Arial" w:eastAsia="黑体"/>
      <w:kern w:val="2"/>
      <w:sz w:val="24"/>
    </w:rPr>
  </w:style>
  <w:style w:type="character" w:customStyle="1" w:styleId="62">
    <w:name w:val="标题 9 Char"/>
    <w:link w:val="12"/>
    <w:qFormat/>
    <w:locked/>
    <w:uiPriority w:val="9"/>
    <w:rPr>
      <w:rFonts w:ascii="Arial" w:hAnsi="Arial" w:eastAsia="黑体"/>
      <w:kern w:val="2"/>
      <w:sz w:val="21"/>
    </w:rPr>
  </w:style>
  <w:style w:type="character" w:customStyle="1" w:styleId="63">
    <w:name w:val="正文缩进 Char1"/>
    <w:link w:val="14"/>
    <w:locked/>
    <w:uiPriority w:val="0"/>
    <w:rPr>
      <w:rFonts w:ascii="宋体" w:hAnsi="宋体" w:eastAsia="宋体" w:cs="宋体"/>
      <w:spacing w:val="14"/>
      <w:kern w:val="24"/>
      <w:sz w:val="24"/>
      <w:szCs w:val="24"/>
      <w:lang w:val="en-US" w:eastAsia="zh-CN"/>
    </w:rPr>
  </w:style>
  <w:style w:type="character" w:customStyle="1" w:styleId="64">
    <w:name w:val="文档结构图 Char"/>
    <w:link w:val="15"/>
    <w:qFormat/>
    <w:locked/>
    <w:uiPriority w:val="99"/>
    <w:rPr>
      <w:rFonts w:eastAsia="宋体"/>
      <w:kern w:val="2"/>
      <w:sz w:val="21"/>
      <w:lang w:val="en-US" w:eastAsia="zh-CN"/>
    </w:rPr>
  </w:style>
  <w:style w:type="character" w:customStyle="1" w:styleId="65">
    <w:name w:val="批注文字 Char1"/>
    <w:link w:val="16"/>
    <w:locked/>
    <w:uiPriority w:val="99"/>
    <w:rPr>
      <w:rFonts w:ascii="宋体" w:hAnsi="宋体" w:eastAsia="宋体" w:cs="宋体"/>
      <w:kern w:val="2"/>
      <w:sz w:val="21"/>
      <w:szCs w:val="21"/>
      <w:lang w:val="en-US" w:eastAsia="zh-CN"/>
    </w:rPr>
  </w:style>
  <w:style w:type="character" w:customStyle="1" w:styleId="66">
    <w:name w:val="正文文本 3 Char"/>
    <w:link w:val="17"/>
    <w:qFormat/>
    <w:locked/>
    <w:uiPriority w:val="99"/>
    <w:rPr>
      <w:rFonts w:eastAsia="宋体"/>
      <w:sz w:val="16"/>
    </w:rPr>
  </w:style>
  <w:style w:type="character" w:customStyle="1" w:styleId="67">
    <w:name w:val="正文文本缩进 Char"/>
    <w:link w:val="18"/>
    <w:qFormat/>
    <w:locked/>
    <w:uiPriority w:val="0"/>
    <w:rPr>
      <w:rFonts w:eastAsia="方正书宋简体"/>
      <w:kern w:val="2"/>
      <w:sz w:val="24"/>
      <w:lang w:val="en-US" w:eastAsia="zh-CN"/>
    </w:rPr>
  </w:style>
  <w:style w:type="character" w:customStyle="1" w:styleId="68">
    <w:name w:val="纯文本 Char1"/>
    <w:link w:val="22"/>
    <w:qFormat/>
    <w:locked/>
    <w:uiPriority w:val="0"/>
    <w:rPr>
      <w:rFonts w:ascii="宋体" w:hAnsi="Courier New" w:eastAsia="宋体" w:cs="宋体"/>
      <w:lang w:val="en-US" w:eastAsia="zh-CN"/>
    </w:rPr>
  </w:style>
  <w:style w:type="character" w:customStyle="1" w:styleId="69">
    <w:name w:val="日期 Char"/>
    <w:link w:val="24"/>
    <w:qFormat/>
    <w:locked/>
    <w:uiPriority w:val="99"/>
    <w:rPr>
      <w:rFonts w:ascii="宋体" w:cs="Times New Roman"/>
      <w:sz w:val="24"/>
    </w:rPr>
  </w:style>
  <w:style w:type="character" w:customStyle="1" w:styleId="70">
    <w:name w:val="正文文本缩进 2 Char"/>
    <w:link w:val="25"/>
    <w:qFormat/>
    <w:locked/>
    <w:uiPriority w:val="99"/>
    <w:rPr>
      <w:rFonts w:ascii="宋体" w:eastAsia="宋体"/>
      <w:kern w:val="2"/>
      <w:sz w:val="24"/>
      <w:lang w:val="en-US" w:eastAsia="zh-CN"/>
    </w:rPr>
  </w:style>
  <w:style w:type="character" w:customStyle="1" w:styleId="71">
    <w:name w:val="批注框文本 Char1"/>
    <w:link w:val="26"/>
    <w:locked/>
    <w:uiPriority w:val="99"/>
    <w:rPr>
      <w:rFonts w:ascii="宋体" w:hAnsi="宋体" w:eastAsia="宋体" w:cs="宋体"/>
      <w:kern w:val="2"/>
      <w:sz w:val="18"/>
      <w:szCs w:val="18"/>
      <w:lang w:val="en-US" w:eastAsia="zh-CN"/>
    </w:rPr>
  </w:style>
  <w:style w:type="character" w:customStyle="1" w:styleId="72">
    <w:name w:val="页脚 Char1"/>
    <w:link w:val="27"/>
    <w:locked/>
    <w:uiPriority w:val="99"/>
    <w:rPr>
      <w:rFonts w:ascii="宋体" w:hAnsi="宋体" w:eastAsia="宋体" w:cs="宋体"/>
      <w:kern w:val="2"/>
      <w:sz w:val="18"/>
      <w:szCs w:val="18"/>
      <w:lang w:val="en-US" w:eastAsia="zh-CN"/>
    </w:rPr>
  </w:style>
  <w:style w:type="character" w:customStyle="1" w:styleId="73">
    <w:name w:val="页眉 Char1"/>
    <w:link w:val="28"/>
    <w:locked/>
    <w:uiPriority w:val="99"/>
    <w:rPr>
      <w:rFonts w:ascii="宋体" w:hAnsi="宋体" w:eastAsia="宋体" w:cs="宋体"/>
      <w:kern w:val="2"/>
      <w:sz w:val="18"/>
      <w:szCs w:val="18"/>
      <w:lang w:val="en-US" w:eastAsia="zh-CN"/>
    </w:rPr>
  </w:style>
  <w:style w:type="character" w:customStyle="1" w:styleId="74">
    <w:name w:val="正文文本缩进 3 Char1"/>
    <w:link w:val="33"/>
    <w:locked/>
    <w:uiPriority w:val="99"/>
    <w:rPr>
      <w:rFonts w:ascii="宋体" w:hAnsi="宋体" w:eastAsia="宋体" w:cs="宋体"/>
      <w:b/>
      <w:kern w:val="2"/>
      <w:sz w:val="24"/>
      <w:szCs w:val="24"/>
      <w:lang w:val="en-US" w:eastAsia="zh-CN"/>
    </w:rPr>
  </w:style>
  <w:style w:type="character" w:customStyle="1" w:styleId="75">
    <w:name w:val="正文文本 2 Char"/>
    <w:link w:val="37"/>
    <w:qFormat/>
    <w:locked/>
    <w:uiPriority w:val="99"/>
    <w:rPr>
      <w:rFonts w:eastAsia="宋体"/>
      <w:sz w:val="24"/>
    </w:rPr>
  </w:style>
  <w:style w:type="character" w:customStyle="1" w:styleId="76">
    <w:name w:val="HTML 预设格式 Char"/>
    <w:link w:val="38"/>
    <w:qFormat/>
    <w:locked/>
    <w:uiPriority w:val="99"/>
    <w:rPr>
      <w:rFonts w:ascii="Courier New" w:hAnsi="Courier New"/>
      <w:kern w:val="2"/>
    </w:rPr>
  </w:style>
  <w:style w:type="character" w:customStyle="1" w:styleId="77">
    <w:name w:val="批注主题 Char1"/>
    <w:link w:val="41"/>
    <w:locked/>
    <w:uiPriority w:val="99"/>
    <w:rPr>
      <w:rFonts w:ascii="宋体" w:hAnsi="宋体" w:eastAsia="宋体" w:cs="宋体"/>
      <w:b/>
      <w:kern w:val="2"/>
      <w:sz w:val="21"/>
      <w:szCs w:val="21"/>
      <w:lang w:val="en-US" w:eastAsia="zh-CN"/>
    </w:rPr>
  </w:style>
  <w:style w:type="character" w:customStyle="1" w:styleId="78">
    <w:name w:val="apple-style-span"/>
    <w:qFormat/>
    <w:uiPriority w:val="0"/>
    <w:rPr>
      <w:rFonts w:cs="Times New Roman"/>
    </w:rPr>
  </w:style>
  <w:style w:type="character" w:customStyle="1" w:styleId="79">
    <w:name w:val="apple-converted-space"/>
    <w:qFormat/>
    <w:uiPriority w:val="0"/>
    <w:rPr>
      <w:rFonts w:cs="Times New Roman"/>
    </w:rPr>
  </w:style>
  <w:style w:type="character" w:customStyle="1" w:styleId="80">
    <w:name w:val="标题 1 字符"/>
    <w:locked/>
    <w:uiPriority w:val="9"/>
    <w:rPr>
      <w:rFonts w:ascii="宋体" w:hAnsi="宋体" w:eastAsia="宋体" w:cs="宋体"/>
      <w:b/>
      <w:kern w:val="44"/>
      <w:sz w:val="44"/>
      <w:szCs w:val="44"/>
      <w:lang w:val="en-US" w:eastAsia="zh-CN"/>
    </w:rPr>
  </w:style>
  <w:style w:type="character" w:customStyle="1" w:styleId="81">
    <w:name w:val="正文首行缩进 字符"/>
    <w:qFormat/>
    <w:locked/>
    <w:uiPriority w:val="99"/>
    <w:rPr>
      <w:rFonts w:ascii="宋体" w:hAnsi="宋体" w:eastAsia="宋体" w:cs="宋体"/>
      <w:i/>
      <w:kern w:val="2"/>
      <w:sz w:val="24"/>
      <w:lang w:val="en-US" w:eastAsia="zh-CN"/>
    </w:rPr>
  </w:style>
  <w:style w:type="character" w:customStyle="1" w:styleId="82">
    <w:name w:val="正文文本缩进 字符3"/>
    <w:qFormat/>
    <w:locked/>
    <w:uiPriority w:val="99"/>
    <w:rPr>
      <w:rFonts w:eastAsia="方正书宋简体"/>
      <w:kern w:val="2"/>
      <w:sz w:val="24"/>
      <w:lang w:val="en-US" w:eastAsia="zh-CN"/>
    </w:rPr>
  </w:style>
  <w:style w:type="character" w:customStyle="1" w:styleId="83">
    <w:name w:val="flname8"/>
    <w:qFormat/>
    <w:uiPriority w:val="99"/>
    <w:rPr>
      <w:rFonts w:hint="default" w:ascii="Times New Roman" w:hAnsi="Times New Roman" w:cs="Times New Roman"/>
    </w:rPr>
  </w:style>
  <w:style w:type="character" w:customStyle="1" w:styleId="84">
    <w:name w:val="正文文本 Char1"/>
    <w:uiPriority w:val="0"/>
    <w:rPr>
      <w:rFonts w:ascii="Times New Roman" w:hAnsi="Times New Roman" w:eastAsia="宋体" w:cs="Times New Roman"/>
      <w:sz w:val="24"/>
      <w:szCs w:val="24"/>
    </w:rPr>
  </w:style>
  <w:style w:type="character" w:customStyle="1" w:styleId="85">
    <w:name w:val="纯文本 字符2"/>
    <w:locked/>
    <w:uiPriority w:val="99"/>
    <w:rPr>
      <w:rFonts w:ascii="宋体" w:hAnsi="Courier New" w:eastAsia="宋体" w:cs="宋体"/>
      <w:lang w:val="en-US" w:eastAsia="zh-CN"/>
    </w:rPr>
  </w:style>
  <w:style w:type="character" w:customStyle="1" w:styleId="86">
    <w:name w:val="纯文本 字符"/>
    <w:locked/>
    <w:uiPriority w:val="0"/>
    <w:rPr>
      <w:rFonts w:ascii="宋体" w:hAnsi="Courier New" w:eastAsia="宋体" w:cs="宋体"/>
      <w:lang w:val="en-US" w:eastAsia="zh-CN"/>
    </w:rPr>
  </w:style>
  <w:style w:type="character" w:customStyle="1" w:styleId="87">
    <w:name w:val="标题2正文 Char Char"/>
    <w:link w:val="88"/>
    <w:qFormat/>
    <w:locked/>
    <w:uiPriority w:val="0"/>
    <w:rPr>
      <w:rFonts w:eastAsia="宋体"/>
      <w:sz w:val="24"/>
    </w:rPr>
  </w:style>
  <w:style w:type="paragraph" w:customStyle="1" w:styleId="88">
    <w:name w:val="标题2正文 Char"/>
    <w:basedOn w:val="1"/>
    <w:link w:val="87"/>
    <w:qFormat/>
    <w:uiPriority w:val="0"/>
    <w:pPr>
      <w:spacing w:beforeLines="50" w:afterLines="50"/>
      <w:ind w:right="38" w:rightChars="18" w:firstLine="420"/>
    </w:pPr>
    <w:rPr>
      <w:kern w:val="0"/>
      <w:sz w:val="24"/>
    </w:rPr>
  </w:style>
  <w:style w:type="character" w:customStyle="1" w:styleId="89">
    <w:name w:val="页眉 字符1"/>
    <w:semiHidden/>
    <w:uiPriority w:val="99"/>
    <w:rPr>
      <w:kern w:val="2"/>
      <w:sz w:val="18"/>
      <w:szCs w:val="18"/>
    </w:rPr>
  </w:style>
  <w:style w:type="character" w:customStyle="1" w:styleId="90">
    <w:name w:val="font61"/>
    <w:qFormat/>
    <w:uiPriority w:val="0"/>
    <w:rPr>
      <w:rFonts w:ascii="Times New Roman" w:hAnsi="Times New Roman"/>
      <w:color w:val="000000"/>
      <w:sz w:val="20"/>
      <w:u w:val="none"/>
    </w:rPr>
  </w:style>
  <w:style w:type="character" w:customStyle="1" w:styleId="91">
    <w:name w:val="bookmark-item"/>
    <w:basedOn w:val="44"/>
    <w:uiPriority w:val="0"/>
  </w:style>
  <w:style w:type="character" w:customStyle="1" w:styleId="92">
    <w:name w:val="无间距字符"/>
    <w:link w:val="93"/>
    <w:qFormat/>
    <w:locked/>
    <w:uiPriority w:val="0"/>
    <w:rPr>
      <w:sz w:val="22"/>
      <w:lang w:val="en-US" w:eastAsia="zh-CN" w:bidi="ar-SA"/>
    </w:rPr>
  </w:style>
  <w:style w:type="paragraph" w:customStyle="1" w:styleId="93">
    <w:name w:val="无间距"/>
    <w:link w:val="92"/>
    <w:qFormat/>
    <w:uiPriority w:val="0"/>
    <w:rPr>
      <w:sz w:val="22"/>
      <w:lang w:val="en-US" w:eastAsia="zh-CN" w:bidi="ar-SA"/>
    </w:rPr>
  </w:style>
  <w:style w:type="character" w:customStyle="1" w:styleId="94">
    <w:name w:val="样式5 Char"/>
    <w:link w:val="95"/>
    <w:qFormat/>
    <w:locked/>
    <w:uiPriority w:val="0"/>
    <w:rPr>
      <w:rFonts w:eastAsia="宋体"/>
      <w:b/>
      <w:kern w:val="2"/>
      <w:sz w:val="28"/>
      <w:lang w:val="en-US" w:eastAsia="zh-CN"/>
    </w:rPr>
  </w:style>
  <w:style w:type="paragraph" w:customStyle="1" w:styleId="95">
    <w:name w:val="样式5"/>
    <w:basedOn w:val="1"/>
    <w:link w:val="94"/>
    <w:qFormat/>
    <w:uiPriority w:val="0"/>
    <w:pPr>
      <w:keepNext/>
      <w:keepLines/>
      <w:spacing w:before="280" w:after="290" w:line="376" w:lineRule="auto"/>
      <w:ind w:left="210" w:leftChars="100" w:right="210" w:rightChars="100"/>
      <w:outlineLvl w:val="4"/>
    </w:pPr>
    <w:rPr>
      <w:b/>
      <w:sz w:val="28"/>
    </w:rPr>
  </w:style>
  <w:style w:type="character" w:customStyle="1" w:styleId="96">
    <w:name w:val="标题 5 字符"/>
    <w:qFormat/>
    <w:locked/>
    <w:uiPriority w:val="9"/>
    <w:rPr>
      <w:rFonts w:eastAsia="宋体"/>
      <w:b/>
      <w:kern w:val="2"/>
      <w:sz w:val="28"/>
      <w:lang w:val="en-US" w:eastAsia="zh-CN"/>
    </w:rPr>
  </w:style>
  <w:style w:type="character" w:customStyle="1" w:styleId="97">
    <w:name w:val="文档结构图 字符1"/>
    <w:semiHidden/>
    <w:uiPriority w:val="99"/>
    <w:rPr>
      <w:rFonts w:ascii="Microsoft YaHei UI" w:eastAsia="Microsoft YaHei UI"/>
      <w:kern w:val="2"/>
      <w:sz w:val="18"/>
      <w:szCs w:val="18"/>
    </w:rPr>
  </w:style>
  <w:style w:type="character" w:customStyle="1" w:styleId="98">
    <w:name w:val="表格 字符"/>
    <w:link w:val="99"/>
    <w:qFormat/>
    <w:uiPriority w:val="0"/>
    <w:rPr>
      <w:rFonts w:ascii="宋体" w:hAnsi="宋体" w:cs="Times New Roman"/>
      <w:kern w:val="2"/>
      <w:sz w:val="21"/>
      <w:szCs w:val="22"/>
    </w:rPr>
  </w:style>
  <w:style w:type="paragraph" w:customStyle="1" w:styleId="99">
    <w:name w:val="表格"/>
    <w:basedOn w:val="1"/>
    <w:link w:val="98"/>
    <w:qFormat/>
    <w:uiPriority w:val="0"/>
    <w:pPr>
      <w:spacing w:line="276" w:lineRule="auto"/>
      <w:jc w:val="center"/>
    </w:pPr>
    <w:rPr>
      <w:rFonts w:ascii="宋体" w:hAnsi="宋体"/>
      <w:szCs w:val="22"/>
    </w:rPr>
  </w:style>
  <w:style w:type="character" w:customStyle="1" w:styleId="100">
    <w:name w:val="HTML 预设格式 字符1"/>
    <w:semiHidden/>
    <w:uiPriority w:val="99"/>
    <w:rPr>
      <w:rFonts w:ascii="Courier New" w:hAnsi="Courier New" w:cs="Courier New"/>
      <w:kern w:val="2"/>
    </w:rPr>
  </w:style>
  <w:style w:type="character" w:customStyle="1" w:styleId="101">
    <w:name w:val="List Paragraph Char"/>
    <w:link w:val="102"/>
    <w:qFormat/>
    <w:locked/>
    <w:uiPriority w:val="0"/>
    <w:rPr>
      <w:rFonts w:ascii="Calibri" w:hAnsi="Calibri" w:eastAsia="宋体"/>
      <w:kern w:val="2"/>
      <w:sz w:val="22"/>
      <w:lang w:val="en-US" w:eastAsia="zh-CN"/>
    </w:rPr>
  </w:style>
  <w:style w:type="paragraph" w:customStyle="1" w:styleId="102">
    <w:name w:val="列出段落1"/>
    <w:basedOn w:val="1"/>
    <w:link w:val="101"/>
    <w:qFormat/>
    <w:uiPriority w:val="0"/>
    <w:pPr>
      <w:ind w:firstLine="420" w:firstLineChars="200"/>
    </w:pPr>
    <w:rPr>
      <w:rFonts w:ascii="Calibri" w:hAnsi="Calibri"/>
      <w:sz w:val="22"/>
    </w:rPr>
  </w:style>
  <w:style w:type="character" w:customStyle="1" w:styleId="103">
    <w:name w:val="标题 2 字符"/>
    <w:locked/>
    <w:uiPriority w:val="0"/>
    <w:rPr>
      <w:rFonts w:ascii="Cambria" w:hAnsi="Cambria" w:eastAsia="宋体" w:cs="Cambria"/>
      <w:kern w:val="2"/>
      <w:sz w:val="21"/>
      <w:szCs w:val="21"/>
      <w:lang w:val="en-US" w:eastAsia="zh-CN"/>
    </w:rPr>
  </w:style>
  <w:style w:type="character" w:customStyle="1" w:styleId="104">
    <w:name w:val="批注文字 字符1"/>
    <w:semiHidden/>
    <w:uiPriority w:val="99"/>
    <w:rPr>
      <w:kern w:val="2"/>
      <w:sz w:val="21"/>
    </w:rPr>
  </w:style>
  <w:style w:type="character" w:customStyle="1" w:styleId="105">
    <w:name w:val="正文缩进 Char"/>
    <w:qFormat/>
    <w:uiPriority w:val="0"/>
    <w:rPr>
      <w:rFonts w:eastAsia="宋体"/>
      <w:kern w:val="2"/>
      <w:sz w:val="24"/>
      <w:lang w:val="en-US" w:eastAsia="zh-CN"/>
    </w:rPr>
  </w:style>
  <w:style w:type="character" w:customStyle="1" w:styleId="106">
    <w:name w:val="标题 9 字符"/>
    <w:qFormat/>
    <w:locked/>
    <w:uiPriority w:val="9"/>
    <w:rPr>
      <w:rFonts w:ascii="Arial" w:hAnsi="Arial" w:eastAsia="黑体"/>
      <w:kern w:val="2"/>
      <w:sz w:val="21"/>
    </w:rPr>
  </w:style>
  <w:style w:type="character" w:customStyle="1" w:styleId="107">
    <w:name w:val="日期 字符"/>
    <w:qFormat/>
    <w:locked/>
    <w:uiPriority w:val="99"/>
    <w:rPr>
      <w:rFonts w:ascii="宋体" w:cs="Times New Roman"/>
      <w:sz w:val="24"/>
    </w:rPr>
  </w:style>
  <w:style w:type="character" w:customStyle="1" w:styleId="108">
    <w:name w:val="正文文本缩进 3 字符1"/>
    <w:semiHidden/>
    <w:uiPriority w:val="99"/>
    <w:rPr>
      <w:kern w:val="2"/>
      <w:sz w:val="16"/>
      <w:szCs w:val="16"/>
    </w:rPr>
  </w:style>
  <w:style w:type="character" w:customStyle="1" w:styleId="109">
    <w:name w:val="font51"/>
    <w:basedOn w:val="44"/>
    <w:uiPriority w:val="0"/>
    <w:rPr>
      <w:rFonts w:hint="eastAsia" w:ascii="宋体" w:hAnsi="宋体" w:eastAsia="宋体" w:cs="宋体"/>
      <w:color w:val="FF0000"/>
      <w:sz w:val="21"/>
      <w:szCs w:val="21"/>
      <w:u w:val="none"/>
    </w:rPr>
  </w:style>
  <w:style w:type="character" w:customStyle="1" w:styleId="110">
    <w:name w:val="font11"/>
    <w:qFormat/>
    <w:uiPriority w:val="0"/>
    <w:rPr>
      <w:rFonts w:ascii="Times New Roman" w:hAnsi="Times New Roman"/>
      <w:color w:val="000000"/>
      <w:sz w:val="24"/>
      <w:u w:val="none"/>
    </w:rPr>
  </w:style>
  <w:style w:type="character" w:customStyle="1" w:styleId="111">
    <w:name w:val="批注框文本 字符1"/>
    <w:semiHidden/>
    <w:uiPriority w:val="99"/>
    <w:rPr>
      <w:kern w:val="2"/>
      <w:sz w:val="18"/>
      <w:szCs w:val="18"/>
    </w:rPr>
  </w:style>
  <w:style w:type="character" w:customStyle="1" w:styleId="112">
    <w:name w:val="文档结构图 字符"/>
    <w:qFormat/>
    <w:locked/>
    <w:uiPriority w:val="0"/>
    <w:rPr>
      <w:rFonts w:eastAsia="宋体"/>
      <w:kern w:val="2"/>
      <w:sz w:val="21"/>
      <w:lang w:val="en-US" w:eastAsia="zh-CN"/>
    </w:rPr>
  </w:style>
  <w:style w:type="character" w:customStyle="1" w:styleId="113">
    <w:name w:val="方案－正文 Char"/>
    <w:link w:val="114"/>
    <w:qFormat/>
    <w:locked/>
    <w:uiPriority w:val="0"/>
    <w:rPr>
      <w:rFonts w:ascii="仿宋_GB2312" w:hAnsi="宋体"/>
      <w:sz w:val="24"/>
    </w:rPr>
  </w:style>
  <w:style w:type="paragraph" w:customStyle="1" w:styleId="114">
    <w:name w:val="方案－正文"/>
    <w:basedOn w:val="1"/>
    <w:link w:val="113"/>
    <w:qFormat/>
    <w:uiPriority w:val="0"/>
    <w:pPr>
      <w:spacing w:line="360" w:lineRule="auto"/>
      <w:ind w:firstLine="480" w:firstLineChars="200"/>
    </w:pPr>
    <w:rPr>
      <w:rFonts w:ascii="仿宋_GB2312" w:hAnsi="宋体"/>
      <w:kern w:val="0"/>
      <w:sz w:val="24"/>
    </w:rPr>
  </w:style>
  <w:style w:type="character" w:customStyle="1" w:styleId="115">
    <w:name w:val="h6 Char"/>
    <w:qFormat/>
    <w:uiPriority w:val="0"/>
    <w:rPr>
      <w:rFonts w:ascii="Arial" w:hAnsi="Arial" w:eastAsia="宋体"/>
      <w:b/>
      <w:kern w:val="2"/>
      <w:sz w:val="24"/>
      <w:lang w:val="en-US" w:eastAsia="zh-CN"/>
    </w:rPr>
  </w:style>
  <w:style w:type="character" w:customStyle="1" w:styleId="116">
    <w:name w:val="标题 1 Char Char"/>
    <w:qFormat/>
    <w:uiPriority w:val="0"/>
    <w:rPr>
      <w:rFonts w:eastAsia="宋体"/>
      <w:b/>
      <w:spacing w:val="-2"/>
      <w:sz w:val="24"/>
      <w:lang w:val="en-US" w:eastAsia="zh-CN"/>
    </w:rPr>
  </w:style>
  <w:style w:type="character" w:customStyle="1" w:styleId="117">
    <w:name w:val="hui3"/>
    <w:qFormat/>
    <w:uiPriority w:val="0"/>
    <w:rPr>
      <w:color w:val="333333"/>
    </w:rPr>
  </w:style>
  <w:style w:type="character" w:customStyle="1" w:styleId="118">
    <w:name w:val="纯文本 字符1"/>
    <w:semiHidden/>
    <w:uiPriority w:val="99"/>
    <w:rPr>
      <w:rFonts w:ascii="等线" w:hAnsi="Courier New" w:eastAsia="等线" w:cs="Courier New"/>
      <w:kern w:val="2"/>
      <w:sz w:val="21"/>
    </w:rPr>
  </w:style>
  <w:style w:type="character" w:customStyle="1" w:styleId="119">
    <w:name w:val="正文文本 3 字符"/>
    <w:qFormat/>
    <w:locked/>
    <w:uiPriority w:val="99"/>
    <w:rPr>
      <w:rFonts w:eastAsia="宋体"/>
      <w:sz w:val="16"/>
    </w:rPr>
  </w:style>
  <w:style w:type="character" w:customStyle="1" w:styleId="120">
    <w:name w:val="正文文本缩进 3 Char"/>
    <w:qFormat/>
    <w:uiPriority w:val="0"/>
    <w:rPr>
      <w:rFonts w:ascii="宋体" w:eastAsia="宋体"/>
      <w:kern w:val="2"/>
      <w:sz w:val="24"/>
      <w:lang w:val="en-US" w:eastAsia="zh-CN"/>
    </w:rPr>
  </w:style>
  <w:style w:type="character" w:customStyle="1" w:styleId="121">
    <w:name w:val="纯文本 Char2"/>
    <w:qFormat/>
    <w:uiPriority w:val="0"/>
    <w:rPr>
      <w:rFonts w:ascii="宋体" w:hAnsi="宋体" w:eastAsia="宋体"/>
      <w:color w:val="000000"/>
      <w:sz w:val="24"/>
      <w:lang w:val="en-US" w:eastAsia="zh-CN"/>
    </w:rPr>
  </w:style>
  <w:style w:type="character" w:customStyle="1" w:styleId="122">
    <w:name w:val="标准正文格式 Char"/>
    <w:link w:val="123"/>
    <w:qFormat/>
    <w:locked/>
    <w:uiPriority w:val="0"/>
    <w:rPr>
      <w:rFonts w:ascii="宋体" w:eastAsia="仿宋_GB2312" w:cs="宋体"/>
      <w:color w:val="000000"/>
      <w:sz w:val="24"/>
    </w:rPr>
  </w:style>
  <w:style w:type="paragraph" w:customStyle="1" w:styleId="123">
    <w:name w:val="标准正文格式"/>
    <w:basedOn w:val="1"/>
    <w:link w:val="122"/>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124">
    <w:name w:val="标题 2 Char"/>
    <w:qFormat/>
    <w:uiPriority w:val="0"/>
    <w:rPr>
      <w:rFonts w:ascii="Arial" w:hAnsi="Arial" w:eastAsia="黑体"/>
      <w:b/>
      <w:kern w:val="2"/>
      <w:sz w:val="32"/>
      <w:lang w:val="en-US" w:eastAsia="zh-CN"/>
    </w:rPr>
  </w:style>
  <w:style w:type="character" w:customStyle="1" w:styleId="125">
    <w:name w:val="批注主题 字符"/>
    <w:locked/>
    <w:uiPriority w:val="99"/>
    <w:rPr>
      <w:rFonts w:ascii="宋体" w:hAnsi="宋体" w:eastAsia="宋体" w:cs="宋体"/>
      <w:b/>
      <w:kern w:val="2"/>
      <w:sz w:val="21"/>
      <w:szCs w:val="21"/>
      <w:lang w:val="en-US" w:eastAsia="zh-CN"/>
    </w:rPr>
  </w:style>
  <w:style w:type="character" w:customStyle="1" w:styleId="126">
    <w:name w:val="金保标题3 Char"/>
    <w:link w:val="127"/>
    <w:qFormat/>
    <w:locked/>
    <w:uiPriority w:val="0"/>
    <w:rPr>
      <w:rFonts w:ascii="楷体" w:hAnsi="楷体" w:eastAsia="楷体"/>
      <w:b/>
      <w:sz w:val="28"/>
    </w:rPr>
  </w:style>
  <w:style w:type="paragraph" w:customStyle="1" w:styleId="127">
    <w:name w:val="金保标题3"/>
    <w:basedOn w:val="6"/>
    <w:next w:val="1"/>
    <w:link w:val="12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28">
    <w:name w:val="页脚 Char"/>
    <w:qFormat/>
    <w:uiPriority w:val="0"/>
    <w:rPr>
      <w:rFonts w:eastAsia="宋体"/>
      <w:kern w:val="2"/>
      <w:sz w:val="18"/>
      <w:lang w:val="en-US" w:eastAsia="zh-CN"/>
    </w:rPr>
  </w:style>
  <w:style w:type="character" w:customStyle="1" w:styleId="129">
    <w:name w:val="页脚 字符"/>
    <w:locked/>
    <w:uiPriority w:val="99"/>
    <w:rPr>
      <w:rFonts w:ascii="宋体" w:hAnsi="宋体" w:eastAsia="宋体" w:cs="宋体"/>
      <w:kern w:val="2"/>
      <w:sz w:val="18"/>
      <w:szCs w:val="18"/>
      <w:lang w:val="en-US" w:eastAsia="zh-CN"/>
    </w:rPr>
  </w:style>
  <w:style w:type="character" w:customStyle="1" w:styleId="130">
    <w:name w:val="列出段落 字符"/>
    <w:qFormat/>
    <w:locked/>
    <w:uiPriority w:val="34"/>
    <w:rPr>
      <w:rFonts w:eastAsia="宋体"/>
      <w:kern w:val="2"/>
      <w:sz w:val="24"/>
      <w:lang w:val="en-US" w:eastAsia="zh-CN"/>
    </w:rPr>
  </w:style>
  <w:style w:type="character" w:customStyle="1" w:styleId="131">
    <w:name w:val="样式4 Char"/>
    <w:link w:val="132"/>
    <w:qFormat/>
    <w:locked/>
    <w:uiPriority w:val="0"/>
    <w:rPr>
      <w:rFonts w:ascii="黑体" w:hAnsi="黑体" w:eastAsia="黑体"/>
      <w:kern w:val="44"/>
      <w:sz w:val="44"/>
      <w:lang w:val="en-US" w:eastAsia="zh-CN"/>
    </w:rPr>
  </w:style>
  <w:style w:type="paragraph" w:customStyle="1" w:styleId="132">
    <w:name w:val="样式4"/>
    <w:basedOn w:val="4"/>
    <w:link w:val="131"/>
    <w:qFormat/>
    <w:uiPriority w:val="0"/>
    <w:pPr>
      <w:keepLines/>
      <w:spacing w:line="360" w:lineRule="auto"/>
    </w:pPr>
    <w:rPr>
      <w:rFonts w:ascii="黑体" w:hAnsi="黑体" w:eastAsia="黑体"/>
      <w:b w:val="0"/>
      <w:szCs w:val="20"/>
    </w:rPr>
  </w:style>
  <w:style w:type="character" w:customStyle="1" w:styleId="133">
    <w:name w:val="正文文本 字符1"/>
    <w:semiHidden/>
    <w:uiPriority w:val="99"/>
    <w:rPr>
      <w:kern w:val="2"/>
      <w:sz w:val="21"/>
    </w:rPr>
  </w:style>
  <w:style w:type="character" w:customStyle="1" w:styleId="134">
    <w:name w:val="页脚 字符1"/>
    <w:semiHidden/>
    <w:uiPriority w:val="99"/>
    <w:rPr>
      <w:kern w:val="2"/>
      <w:sz w:val="18"/>
      <w:szCs w:val="18"/>
    </w:rPr>
  </w:style>
  <w:style w:type="character" w:customStyle="1" w:styleId="135">
    <w:name w:val="样式2 Char"/>
    <w:link w:val="136"/>
    <w:qFormat/>
    <w:locked/>
    <w:uiPriority w:val="0"/>
    <w:rPr>
      <w:rFonts w:ascii="黑体" w:hAnsi="黑体" w:eastAsia="黑体"/>
      <w:color w:val="FF0000"/>
      <w:kern w:val="2"/>
      <w:sz w:val="32"/>
      <w:lang w:val="en-US" w:eastAsia="zh-CN"/>
    </w:rPr>
  </w:style>
  <w:style w:type="paragraph" w:customStyle="1" w:styleId="136">
    <w:name w:val="样式2"/>
    <w:basedOn w:val="6"/>
    <w:link w:val="135"/>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7">
    <w:name w:val="页眉 Char"/>
    <w:qFormat/>
    <w:uiPriority w:val="0"/>
    <w:rPr>
      <w:rFonts w:eastAsia="宋体"/>
      <w:kern w:val="2"/>
      <w:sz w:val="18"/>
      <w:lang w:val="en-US" w:eastAsia="zh-CN"/>
    </w:rPr>
  </w:style>
  <w:style w:type="character" w:customStyle="1" w:styleId="138">
    <w:name w:val="font31"/>
    <w:basedOn w:val="44"/>
    <w:uiPriority w:val="0"/>
    <w:rPr>
      <w:rFonts w:hint="eastAsia" w:ascii="宋体" w:hAnsi="宋体" w:eastAsia="宋体" w:cs="宋体"/>
      <w:color w:val="FF0000"/>
      <w:sz w:val="21"/>
      <w:szCs w:val="21"/>
      <w:u w:val="none"/>
    </w:rPr>
  </w:style>
  <w:style w:type="character" w:customStyle="1" w:styleId="139">
    <w:name w:val="正文缩进 Char2"/>
    <w:uiPriority w:val="0"/>
    <w:rPr>
      <w:rFonts w:ascii="宋体"/>
      <w:snapToGrid/>
      <w:color w:val="000000"/>
      <w:kern w:val="28"/>
      <w:sz w:val="28"/>
    </w:rPr>
  </w:style>
  <w:style w:type="character" w:customStyle="1" w:styleId="140">
    <w:name w:val="批注主题 Char"/>
    <w:semiHidden/>
    <w:qFormat/>
    <w:locked/>
    <w:uiPriority w:val="0"/>
    <w:rPr>
      <w:rFonts w:cs="Times New Roman"/>
      <w:b/>
      <w:bCs/>
      <w:kern w:val="2"/>
      <w:sz w:val="21"/>
    </w:rPr>
  </w:style>
  <w:style w:type="character" w:customStyle="1" w:styleId="141">
    <w:name w:val="哈哈正文 Char"/>
    <w:link w:val="142"/>
    <w:qFormat/>
    <w:locked/>
    <w:uiPriority w:val="0"/>
    <w:rPr>
      <w:rFonts w:ascii="宋体" w:hAnsi="宋体" w:eastAsia="宋体"/>
      <w:kern w:val="2"/>
      <w:sz w:val="24"/>
      <w:lang w:val="en-US" w:eastAsia="zh-CN"/>
    </w:rPr>
  </w:style>
  <w:style w:type="paragraph" w:customStyle="1" w:styleId="142">
    <w:name w:val="哈哈正文"/>
    <w:basedOn w:val="1"/>
    <w:link w:val="141"/>
    <w:qFormat/>
    <w:uiPriority w:val="0"/>
    <w:pPr>
      <w:spacing w:line="360" w:lineRule="auto"/>
      <w:ind w:firstLine="200" w:firstLineChars="200"/>
    </w:pPr>
    <w:rPr>
      <w:rFonts w:ascii="宋体" w:hAnsi="宋体"/>
      <w:sz w:val="24"/>
    </w:rPr>
  </w:style>
  <w:style w:type="character" w:customStyle="1" w:styleId="143">
    <w:name w:val="正文文本 2 字符1"/>
    <w:semiHidden/>
    <w:uiPriority w:val="99"/>
    <w:rPr>
      <w:kern w:val="2"/>
      <w:sz w:val="21"/>
    </w:rPr>
  </w:style>
  <w:style w:type="character" w:customStyle="1" w:styleId="144">
    <w:name w:val="批注主题 字符1"/>
    <w:semiHidden/>
    <w:uiPriority w:val="99"/>
    <w:rPr>
      <w:b/>
      <w:bCs/>
      <w:kern w:val="2"/>
      <w:sz w:val="21"/>
    </w:rPr>
  </w:style>
  <w:style w:type="character" w:customStyle="1" w:styleId="145">
    <w:name w:val="正文文本缩进 Char1"/>
    <w:qFormat/>
    <w:uiPriority w:val="0"/>
    <w:rPr>
      <w:rFonts w:eastAsia="方正书宋简体"/>
      <w:kern w:val="2"/>
      <w:sz w:val="24"/>
      <w:lang w:val="en-US" w:eastAsia="zh-CN"/>
    </w:rPr>
  </w:style>
  <w:style w:type="character" w:customStyle="1" w:styleId="146">
    <w:name w:val="批注框文本 字符"/>
    <w:locked/>
    <w:uiPriority w:val="0"/>
    <w:rPr>
      <w:rFonts w:ascii="宋体" w:hAnsi="宋体" w:eastAsia="宋体" w:cs="宋体"/>
      <w:kern w:val="2"/>
      <w:sz w:val="18"/>
      <w:szCs w:val="18"/>
      <w:lang w:val="en-US" w:eastAsia="zh-CN"/>
    </w:rPr>
  </w:style>
  <w:style w:type="character" w:customStyle="1" w:styleId="147">
    <w:name w:val="日期 字符2"/>
    <w:qFormat/>
    <w:locked/>
    <w:uiPriority w:val="99"/>
    <w:rPr>
      <w:rFonts w:ascii="宋体" w:cs="Times New Roman"/>
      <w:sz w:val="24"/>
    </w:rPr>
  </w:style>
  <w:style w:type="character" w:customStyle="1" w:styleId="148">
    <w:name w:val="正文文本缩进 3 字符"/>
    <w:locked/>
    <w:uiPriority w:val="99"/>
    <w:rPr>
      <w:rFonts w:ascii="宋体" w:hAnsi="宋体" w:eastAsia="宋体" w:cs="宋体"/>
      <w:b/>
      <w:kern w:val="2"/>
      <w:sz w:val="24"/>
      <w:szCs w:val="24"/>
      <w:lang w:val="en-US" w:eastAsia="zh-CN"/>
    </w:rPr>
  </w:style>
  <w:style w:type="character" w:customStyle="1" w:styleId="149">
    <w:name w:val="HTML 预设格式 字符"/>
    <w:qFormat/>
    <w:locked/>
    <w:uiPriority w:val="99"/>
    <w:rPr>
      <w:rFonts w:ascii="Courier New" w:hAnsi="Courier New"/>
      <w:kern w:val="2"/>
    </w:rPr>
  </w:style>
  <w:style w:type="character" w:customStyle="1" w:styleId="150">
    <w:name w:val="样式1 Char"/>
    <w:link w:val="151"/>
    <w:qFormat/>
    <w:locked/>
    <w:uiPriority w:val="0"/>
    <w:rPr>
      <w:rFonts w:ascii="黑体" w:hAnsi="黑体" w:eastAsia="黑体"/>
      <w:b/>
      <w:kern w:val="2"/>
      <w:sz w:val="32"/>
    </w:rPr>
  </w:style>
  <w:style w:type="paragraph" w:customStyle="1" w:styleId="151">
    <w:name w:val="样式1"/>
    <w:basedOn w:val="5"/>
    <w:link w:val="150"/>
    <w:qFormat/>
    <w:uiPriority w:val="0"/>
    <w:pPr>
      <w:tabs>
        <w:tab w:val="clear" w:pos="578"/>
      </w:tabs>
      <w:spacing w:beforeLines="0" w:afterLines="0"/>
      <w:ind w:left="0" w:firstLine="0"/>
    </w:pPr>
    <w:rPr>
      <w:rFonts w:ascii="黑体" w:hAnsi="黑体" w:eastAsia="黑体"/>
      <w:b/>
      <w:sz w:val="32"/>
      <w:szCs w:val="20"/>
    </w:rPr>
  </w:style>
  <w:style w:type="character" w:customStyle="1" w:styleId="152">
    <w:name w:val="标题 1 Char"/>
    <w:qFormat/>
    <w:uiPriority w:val="0"/>
    <w:rPr>
      <w:rFonts w:ascii="宋体" w:eastAsia="宋体"/>
      <w:b/>
      <w:kern w:val="2"/>
      <w:sz w:val="28"/>
      <w:lang w:val="en-US" w:eastAsia="zh-CN"/>
    </w:rPr>
  </w:style>
  <w:style w:type="character" w:customStyle="1" w:styleId="153">
    <w:name w:val="标题 3 字符"/>
    <w:locked/>
    <w:uiPriority w:val="9"/>
    <w:rPr>
      <w:rFonts w:ascii="宋体" w:hAnsi="宋体" w:eastAsia="宋体" w:cs="宋体"/>
      <w:b/>
      <w:kern w:val="2"/>
      <w:sz w:val="32"/>
      <w:szCs w:val="32"/>
      <w:lang w:val="en-US" w:eastAsia="zh-CN"/>
    </w:rPr>
  </w:style>
  <w:style w:type="character" w:customStyle="1" w:styleId="154">
    <w:name w:val="正文文本缩进 2 字符"/>
    <w:qFormat/>
    <w:locked/>
    <w:uiPriority w:val="0"/>
    <w:rPr>
      <w:rFonts w:ascii="宋体" w:eastAsia="宋体"/>
      <w:kern w:val="2"/>
      <w:sz w:val="24"/>
      <w:lang w:val="en-US" w:eastAsia="zh-CN"/>
    </w:rPr>
  </w:style>
  <w:style w:type="character" w:customStyle="1" w:styleId="155">
    <w:name w:val="正文文本 3 字符1"/>
    <w:semiHidden/>
    <w:uiPriority w:val="99"/>
    <w:rPr>
      <w:kern w:val="2"/>
      <w:sz w:val="16"/>
      <w:szCs w:val="16"/>
    </w:rPr>
  </w:style>
  <w:style w:type="character" w:customStyle="1" w:styleId="156">
    <w:name w:val="正文文本 字符"/>
    <w:locked/>
    <w:uiPriority w:val="99"/>
    <w:rPr>
      <w:rFonts w:ascii="宋体" w:hAnsi="宋体" w:eastAsia="宋体" w:cs="宋体"/>
      <w:lang w:val="en-US" w:eastAsia="zh-CN"/>
    </w:rPr>
  </w:style>
  <w:style w:type="character" w:customStyle="1" w:styleId="157">
    <w:name w:val="中等深浅网格 1 - 强调文字颜色 2 Char"/>
    <w:link w:val="158"/>
    <w:qFormat/>
    <w:locked/>
    <w:uiPriority w:val="34"/>
    <w:rPr>
      <w:rFonts w:ascii="Calibri" w:hAnsi="Calibri"/>
      <w:kern w:val="2"/>
      <w:sz w:val="22"/>
    </w:rPr>
  </w:style>
  <w:style w:type="paragraph" w:customStyle="1" w:styleId="158">
    <w:name w:val="中等深浅网格 1 - 强调文字颜色 21"/>
    <w:basedOn w:val="1"/>
    <w:link w:val="157"/>
    <w:qFormat/>
    <w:uiPriority w:val="34"/>
    <w:pPr>
      <w:ind w:firstLine="420" w:firstLineChars="200"/>
    </w:pPr>
    <w:rPr>
      <w:rFonts w:ascii="Calibri" w:hAnsi="Calibri"/>
      <w:sz w:val="22"/>
    </w:rPr>
  </w:style>
  <w:style w:type="character" w:customStyle="1" w:styleId="159">
    <w:name w:val="批注文字 字符"/>
    <w:locked/>
    <w:uiPriority w:val="99"/>
    <w:rPr>
      <w:rFonts w:ascii="宋体" w:hAnsi="宋体" w:eastAsia="宋体" w:cs="宋体"/>
      <w:kern w:val="2"/>
      <w:sz w:val="21"/>
      <w:szCs w:val="21"/>
      <w:lang w:val="en-US" w:eastAsia="zh-CN"/>
    </w:rPr>
  </w:style>
  <w:style w:type="character" w:customStyle="1" w:styleId="160">
    <w:name w:val="列表段落 字符"/>
    <w:aliases w:val="List 字符,List1 字符,编号 字符,5.1.1 字符,表格段落 字符,Bullet List 字符,FooterText 字符,numbered 字符,Paragraphe de liste1 字符,lp1 字符,符号列表 字符,List11 字符,List2 字符,段落样式 字符,列出段落(标号1) 字符,List Paragraph 字符,List111 字符,List1111 字符,List11111 字符,List111111 字符,List1111111 字符"/>
    <w:link w:val="161"/>
    <w:qFormat/>
    <w:locked/>
    <w:uiPriority w:val="34"/>
    <w:rPr>
      <w:kern w:val="2"/>
      <w:sz w:val="21"/>
      <w:szCs w:val="22"/>
    </w:rPr>
  </w:style>
  <w:style w:type="paragraph" w:customStyle="1" w:styleId="161">
    <w:name w:val="List"/>
    <w:basedOn w:val="1"/>
    <w:next w:val="1"/>
    <w:link w:val="160"/>
    <w:uiPriority w:val="34"/>
    <w:pPr>
      <w:numPr>
        <w:ilvl w:val="0"/>
        <w:numId w:val="1"/>
      </w:numPr>
      <w:tabs>
        <w:tab w:val="left" w:pos="1134"/>
      </w:tabs>
      <w:spacing w:line="360" w:lineRule="auto"/>
      <w:ind w:left="0" w:firstLine="420" w:firstLineChars="200"/>
      <w:jc w:val="left"/>
    </w:pPr>
    <w:rPr>
      <w:szCs w:val="22"/>
    </w:rPr>
  </w:style>
  <w:style w:type="character" w:customStyle="1" w:styleId="162">
    <w:name w:val="批注文字 Char"/>
    <w:qFormat/>
    <w:locked/>
    <w:uiPriority w:val="99"/>
    <w:rPr>
      <w:rFonts w:cs="Times New Roman"/>
      <w:kern w:val="2"/>
      <w:sz w:val="21"/>
    </w:rPr>
  </w:style>
  <w:style w:type="character" w:customStyle="1" w:styleId="163">
    <w:name w:val="标题 4 字符"/>
    <w:qFormat/>
    <w:locked/>
    <w:uiPriority w:val="9"/>
    <w:rPr>
      <w:rFonts w:ascii="Arial" w:hAnsi="Arial" w:eastAsia="黑体"/>
      <w:b/>
      <w:kern w:val="2"/>
      <w:sz w:val="28"/>
      <w:lang w:val="en-US" w:eastAsia="zh-CN"/>
    </w:rPr>
  </w:style>
  <w:style w:type="character" w:customStyle="1" w:styleId="164">
    <w:name w:val="标题 6 字符"/>
    <w:qFormat/>
    <w:locked/>
    <w:uiPriority w:val="9"/>
    <w:rPr>
      <w:rFonts w:ascii="Cambria" w:hAnsi="Cambria" w:eastAsia="宋体"/>
      <w:b/>
      <w:kern w:val="2"/>
      <w:sz w:val="24"/>
      <w:lang w:val="en-US" w:eastAsia="zh-CN"/>
    </w:rPr>
  </w:style>
  <w:style w:type="character" w:customStyle="1" w:styleId="165">
    <w:name w:val="日期 字符1"/>
    <w:semiHidden/>
    <w:uiPriority w:val="99"/>
    <w:rPr>
      <w:kern w:val="2"/>
      <w:sz w:val="21"/>
    </w:rPr>
  </w:style>
  <w:style w:type="character" w:customStyle="1" w:styleId="166">
    <w:name w:val="纯文本 Char Char"/>
    <w:link w:val="167"/>
    <w:uiPriority w:val="0"/>
    <w:rPr>
      <w:rFonts w:ascii="宋体" w:hAnsi="Courier New"/>
      <w:kern w:val="2"/>
      <w:sz w:val="21"/>
    </w:rPr>
  </w:style>
  <w:style w:type="paragraph" w:customStyle="1" w:styleId="167">
    <w:name w:val="纯文本1"/>
    <w:basedOn w:val="1"/>
    <w:link w:val="166"/>
    <w:qFormat/>
    <w:uiPriority w:val="0"/>
    <w:rPr>
      <w:rFonts w:ascii="宋体" w:hAnsi="Courier New"/>
    </w:rPr>
  </w:style>
  <w:style w:type="character" w:customStyle="1" w:styleId="168">
    <w:name w:val="正文文本缩进 字符1"/>
    <w:qFormat/>
    <w:locked/>
    <w:uiPriority w:val="0"/>
    <w:rPr>
      <w:rFonts w:eastAsia="方正书宋简体"/>
      <w:kern w:val="2"/>
      <w:sz w:val="24"/>
      <w:lang w:val="en-US" w:eastAsia="zh-CN"/>
    </w:rPr>
  </w:style>
  <w:style w:type="character" w:customStyle="1" w:styleId="169">
    <w:name w:val="页眉 字符"/>
    <w:locked/>
    <w:uiPriority w:val="0"/>
    <w:rPr>
      <w:rFonts w:ascii="宋体" w:hAnsi="宋体" w:eastAsia="宋体" w:cs="宋体"/>
      <w:kern w:val="2"/>
      <w:sz w:val="18"/>
      <w:szCs w:val="18"/>
      <w:lang w:val="en-US" w:eastAsia="zh-CN"/>
    </w:rPr>
  </w:style>
  <w:style w:type="character" w:customStyle="1" w:styleId="170">
    <w:name w:val="正文缩进 字符"/>
    <w:locked/>
    <w:uiPriority w:val="0"/>
    <w:rPr>
      <w:rFonts w:ascii="宋体" w:hAnsi="宋体" w:eastAsia="宋体" w:cs="宋体"/>
      <w:spacing w:val="14"/>
      <w:kern w:val="24"/>
      <w:sz w:val="24"/>
      <w:szCs w:val="24"/>
      <w:lang w:val="en-US" w:eastAsia="zh-CN"/>
    </w:rPr>
  </w:style>
  <w:style w:type="character" w:customStyle="1" w:styleId="171">
    <w:name w:val="标题 7 字符"/>
    <w:qFormat/>
    <w:locked/>
    <w:uiPriority w:val="9"/>
    <w:rPr>
      <w:b/>
      <w:kern w:val="2"/>
      <w:sz w:val="24"/>
    </w:rPr>
  </w:style>
  <w:style w:type="character" w:customStyle="1" w:styleId="172">
    <w:name w:val="纯文本 Char"/>
    <w:aliases w:val="普通文字 Char Char1,纯文本 Char Char Char,普通文字 Char Char Char"/>
    <w:qFormat/>
    <w:uiPriority w:val="0"/>
    <w:rPr>
      <w:rFonts w:ascii="宋体" w:hAnsi="宋体" w:eastAsia="宋体"/>
      <w:color w:val="000000"/>
      <w:sz w:val="24"/>
      <w:lang w:val="en-US" w:eastAsia="zh-CN"/>
    </w:rPr>
  </w:style>
  <w:style w:type="character" w:customStyle="1" w:styleId="173">
    <w:name w:val="正文文本缩进 字符2"/>
    <w:semiHidden/>
    <w:uiPriority w:val="99"/>
    <w:rPr>
      <w:kern w:val="2"/>
      <w:sz w:val="21"/>
    </w:rPr>
  </w:style>
  <w:style w:type="character" w:customStyle="1" w:styleId="174">
    <w:name w:val="批注框文本 Char"/>
    <w:semiHidden/>
    <w:qFormat/>
    <w:locked/>
    <w:uiPriority w:val="0"/>
    <w:rPr>
      <w:rFonts w:cs="Times New Roman"/>
      <w:kern w:val="2"/>
      <w:sz w:val="18"/>
      <w:szCs w:val="18"/>
    </w:rPr>
  </w:style>
  <w:style w:type="character" w:customStyle="1" w:styleId="175">
    <w:name w:val="标题 3 Char"/>
    <w:qFormat/>
    <w:uiPriority w:val="0"/>
    <w:rPr>
      <w:rFonts w:ascii="Arial" w:hAnsi="Arial" w:eastAsia="黑体"/>
      <w:b/>
      <w:kern w:val="2"/>
      <w:sz w:val="32"/>
      <w:lang w:val="en-US" w:eastAsia="zh-CN"/>
    </w:rPr>
  </w:style>
  <w:style w:type="character" w:customStyle="1" w:styleId="176">
    <w:name w:val="正文文本缩进 2 字符1"/>
    <w:semiHidden/>
    <w:uiPriority w:val="99"/>
    <w:rPr>
      <w:kern w:val="2"/>
      <w:sz w:val="21"/>
    </w:rPr>
  </w:style>
  <w:style w:type="character" w:customStyle="1" w:styleId="177">
    <w:name w:val="font01"/>
    <w:qFormat/>
    <w:uiPriority w:val="0"/>
    <w:rPr>
      <w:rFonts w:ascii="宋体" w:hAnsi="宋体" w:eastAsia="宋体"/>
      <w:color w:val="000000"/>
      <w:sz w:val="24"/>
      <w:u w:val="none"/>
    </w:rPr>
  </w:style>
  <w:style w:type="character" w:customStyle="1" w:styleId="178">
    <w:name w:val="表格用 Char Char"/>
    <w:link w:val="179"/>
    <w:qFormat/>
    <w:locked/>
    <w:uiPriority w:val="0"/>
    <w:rPr>
      <w:rFonts w:ascii="宋体" w:hAnsi="宋体" w:cs="宋体"/>
      <w:sz w:val="24"/>
      <w:szCs w:val="24"/>
    </w:rPr>
  </w:style>
  <w:style w:type="paragraph" w:customStyle="1" w:styleId="179">
    <w:name w:val="表格用"/>
    <w:basedOn w:val="1"/>
    <w:link w:val="178"/>
    <w:qFormat/>
    <w:uiPriority w:val="0"/>
    <w:pPr>
      <w:widowControl/>
      <w:spacing w:line="360" w:lineRule="auto"/>
      <w:jc w:val="left"/>
    </w:pPr>
    <w:rPr>
      <w:rFonts w:ascii="宋体" w:hAnsi="宋体"/>
      <w:kern w:val="0"/>
      <w:sz w:val="24"/>
      <w:szCs w:val="24"/>
    </w:rPr>
  </w:style>
  <w:style w:type="character" w:customStyle="1" w:styleId="180">
    <w:name w:val="列出段落 Char"/>
    <w:link w:val="181"/>
    <w:qFormat/>
    <w:locked/>
    <w:uiPriority w:val="34"/>
    <w:rPr>
      <w:rFonts w:eastAsia="宋体"/>
      <w:kern w:val="2"/>
      <w:sz w:val="24"/>
      <w:lang w:val="en-US" w:eastAsia="zh-CN"/>
    </w:rPr>
  </w:style>
  <w:style w:type="paragraph" w:styleId="181">
    <w:name w:val="List Paragraph"/>
    <w:basedOn w:val="1"/>
    <w:link w:val="180"/>
    <w:qFormat/>
    <w:uiPriority w:val="34"/>
    <w:pPr>
      <w:spacing w:line="360" w:lineRule="auto"/>
      <w:ind w:firstLine="420" w:firstLineChars="200"/>
    </w:pPr>
    <w:rPr>
      <w:sz w:val="24"/>
    </w:rPr>
  </w:style>
  <w:style w:type="character" w:customStyle="1" w:styleId="182">
    <w:name w:val="正文文本缩进 字符"/>
    <w:uiPriority w:val="0"/>
    <w:rPr>
      <w:rFonts w:ascii="Calibri" w:hAnsi="Calibri" w:cs="Calibri"/>
    </w:rPr>
  </w:style>
  <w:style w:type="character" w:customStyle="1" w:styleId="183">
    <w:name w:val="标题 8 字符"/>
    <w:qFormat/>
    <w:locked/>
    <w:uiPriority w:val="9"/>
    <w:rPr>
      <w:rFonts w:ascii="Arial" w:hAnsi="Arial" w:eastAsia="黑体"/>
      <w:kern w:val="2"/>
      <w:sz w:val="24"/>
    </w:rPr>
  </w:style>
  <w:style w:type="character" w:customStyle="1" w:styleId="184">
    <w:name w:val="font101"/>
    <w:uiPriority w:val="0"/>
    <w:rPr>
      <w:rFonts w:hint="default" w:ascii="Times New Roman" w:hAnsi="Times New Roman" w:cs="Times New Roman"/>
      <w:b/>
      <w:color w:val="000000"/>
      <w:sz w:val="22"/>
      <w:szCs w:val="22"/>
      <w:u w:val="none"/>
    </w:rPr>
  </w:style>
  <w:style w:type="character" w:customStyle="1" w:styleId="185">
    <w:name w:val="正文文本 Char"/>
    <w:qFormat/>
    <w:uiPriority w:val="0"/>
    <w:rPr>
      <w:rFonts w:eastAsia="宋体"/>
      <w:i/>
      <w:kern w:val="2"/>
      <w:sz w:val="18"/>
      <w:lang w:val="en-US" w:eastAsia="zh-CN"/>
    </w:rPr>
  </w:style>
  <w:style w:type="character" w:customStyle="1" w:styleId="186">
    <w:name w:val="正文文本首行缩进 字符"/>
    <w:semiHidden/>
    <w:uiPriority w:val="99"/>
  </w:style>
  <w:style w:type="character" w:customStyle="1" w:styleId="187">
    <w:name w:val="正文文本 2 字符"/>
    <w:qFormat/>
    <w:locked/>
    <w:uiPriority w:val="99"/>
    <w:rPr>
      <w:rFonts w:eastAsia="宋体"/>
      <w:sz w:val="24"/>
    </w:rPr>
  </w:style>
  <w:style w:type="character" w:customStyle="1" w:styleId="188">
    <w:name w:val="font21"/>
    <w:basedOn w:val="44"/>
    <w:uiPriority w:val="0"/>
    <w:rPr>
      <w:rFonts w:hint="eastAsia" w:ascii="宋体" w:hAnsi="宋体" w:eastAsia="宋体" w:cs="宋体"/>
      <w:b/>
      <w:bCs/>
      <w:color w:val="000000"/>
      <w:sz w:val="21"/>
      <w:szCs w:val="21"/>
      <w:u w:val="none"/>
    </w:rPr>
  </w:style>
  <w:style w:type="paragraph" w:customStyle="1" w:styleId="189">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90">
    <w:name w:val="样式3"/>
    <w:basedOn w:val="22"/>
    <w:next w:val="1"/>
    <w:qFormat/>
    <w:uiPriority w:val="0"/>
    <w:pPr>
      <w:tabs>
        <w:tab w:val="left" w:pos="709"/>
      </w:tabs>
      <w:spacing w:before="0" w:after="0" w:line="240" w:lineRule="auto"/>
      <w:ind w:left="709" w:hanging="709"/>
    </w:pPr>
    <w:rPr>
      <w:rFonts w:ascii="Tahoma" w:hAnsi="Tahoma"/>
      <w:sz w:val="28"/>
    </w:rPr>
  </w:style>
  <w:style w:type="paragraph" w:customStyle="1" w:styleId="191">
    <w:name w:val="默认段落字体 Para Char Char Char Char Char Char Char Char Char Char"/>
    <w:basedOn w:val="1"/>
    <w:qFormat/>
    <w:uiPriority w:val="0"/>
    <w:rPr>
      <w:rFonts w:ascii="Tahoma" w:hAnsi="Tahoma"/>
      <w:sz w:val="24"/>
    </w:rPr>
  </w:style>
  <w:style w:type="paragraph" w:customStyle="1" w:styleId="192">
    <w:name w:val="Char Char Char"/>
    <w:basedOn w:val="1"/>
    <w:qFormat/>
    <w:uiPriority w:val="0"/>
    <w:pPr>
      <w:spacing w:before="120" w:after="120" w:line="360" w:lineRule="auto"/>
      <w:ind w:firstLine="200" w:firstLineChars="200"/>
    </w:pPr>
    <w:rPr>
      <w:rFonts w:ascii="Tahoma" w:hAnsi="Tahoma"/>
      <w:sz w:val="24"/>
    </w:rPr>
  </w:style>
  <w:style w:type="paragraph" w:customStyle="1" w:styleId="193">
    <w:name w:val="参数正文"/>
    <w:basedOn w:val="1"/>
    <w:qFormat/>
    <w:uiPriority w:val="0"/>
    <w:pPr>
      <w:spacing w:line="360" w:lineRule="auto"/>
      <w:ind w:firstLine="480" w:firstLineChars="200"/>
      <w:jc w:val="left"/>
    </w:pPr>
    <w:rPr>
      <w:rFonts w:ascii="宋体" w:hAnsi="宋体" w:cs="宋体"/>
      <w:kern w:val="0"/>
      <w:sz w:val="24"/>
      <w:szCs w:val="24"/>
    </w:rPr>
  </w:style>
  <w:style w:type="paragraph" w:customStyle="1" w:styleId="194">
    <w:name w:val="正文段"/>
    <w:basedOn w:val="1"/>
    <w:qFormat/>
    <w:uiPriority w:val="0"/>
    <w:pPr>
      <w:widowControl/>
      <w:snapToGrid w:val="0"/>
      <w:spacing w:afterLines="50"/>
      <w:ind w:firstLine="200" w:firstLineChars="200"/>
    </w:pPr>
    <w:rPr>
      <w:kern w:val="0"/>
      <w:sz w:val="24"/>
    </w:rPr>
  </w:style>
  <w:style w:type="paragraph" w:customStyle="1" w:styleId="195">
    <w:name w:val="符号 1"/>
    <w:basedOn w:val="18"/>
    <w:qFormat/>
    <w:uiPriority w:val="0"/>
    <w:pPr>
      <w:tabs>
        <w:tab w:val="left" w:pos="900"/>
      </w:tabs>
      <w:spacing w:line="360" w:lineRule="auto"/>
      <w:ind w:left="1200" w:hanging="720"/>
    </w:pPr>
    <w:rPr>
      <w:rFonts w:eastAsia="宋体"/>
      <w:kern w:val="28"/>
      <w:szCs w:val="24"/>
    </w:rPr>
  </w:style>
  <w:style w:type="paragraph" w:customStyle="1" w:styleId="196">
    <w:name w:val="Char1"/>
    <w:basedOn w:val="1"/>
    <w:qFormat/>
    <w:uiPriority w:val="0"/>
    <w:rPr>
      <w:rFonts w:ascii="仿宋_GB2312" w:eastAsia="仿宋_GB2312"/>
      <w:b/>
      <w:sz w:val="32"/>
      <w:szCs w:val="32"/>
    </w:rPr>
  </w:style>
  <w:style w:type="paragraph" w:customStyle="1" w:styleId="197">
    <w:name w:val=" Char"/>
    <w:basedOn w:val="1"/>
    <w:qFormat/>
    <w:uiPriority w:val="0"/>
    <w:rPr>
      <w:rFonts w:ascii="仿宋_GB2312" w:eastAsia="仿宋_GB2312"/>
      <w:b/>
      <w:sz w:val="32"/>
      <w:szCs w:val="32"/>
    </w:rPr>
  </w:style>
  <w:style w:type="paragraph" w:customStyle="1" w:styleId="198">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199">
    <w:name w:val="Proposals body"/>
    <w:basedOn w:val="1"/>
    <w:next w:val="1"/>
    <w:qFormat/>
    <w:uiPriority w:val="0"/>
    <w:pPr>
      <w:widowControl/>
      <w:spacing w:line="360" w:lineRule="auto"/>
      <w:jc w:val="left"/>
    </w:pPr>
    <w:rPr>
      <w:rFonts w:ascii="宋体"/>
      <w:color w:val="000000"/>
      <w:kern w:val="0"/>
      <w:sz w:val="24"/>
    </w:rPr>
  </w:style>
  <w:style w:type="paragraph" w:customStyle="1" w:styleId="200">
    <w:name w:val="无间隔1"/>
    <w:qFormat/>
    <w:uiPriority w:val="99"/>
    <w:rPr>
      <w:rFonts w:ascii="Calibri" w:hAnsi="Calibri" w:cs="Calibri"/>
      <w:sz w:val="22"/>
      <w:szCs w:val="22"/>
      <w:lang w:val="en-US" w:eastAsia="zh-CN" w:bidi="ar-SA"/>
    </w:rPr>
  </w:style>
  <w:style w:type="paragraph" w:customStyle="1" w:styleId="201">
    <w:name w:val="正文编码"/>
    <w:basedOn w:val="3"/>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02">
    <w:name w:val="列出段落11"/>
    <w:basedOn w:val="1"/>
    <w:qFormat/>
    <w:uiPriority w:val="0"/>
    <w:pPr>
      <w:ind w:firstLine="420" w:firstLineChars="200"/>
    </w:pPr>
    <w:rPr>
      <w:szCs w:val="24"/>
    </w:rPr>
  </w:style>
  <w:style w:type="paragraph" w:styleId="203">
    <w:name w:val="No Spacing"/>
    <w:qFormat/>
    <w:uiPriority w:val="1"/>
    <w:pPr>
      <w:widowControl w:val="0"/>
      <w:jc w:val="both"/>
    </w:pPr>
    <w:rPr>
      <w:kern w:val="2"/>
      <w:sz w:val="21"/>
      <w:lang w:val="en-US" w:eastAsia="zh-CN" w:bidi="ar-SA"/>
    </w:rPr>
  </w:style>
  <w:style w:type="paragraph" w:customStyle="1" w:styleId="204">
    <w:name w:val="标准正文"/>
    <w:basedOn w:val="1"/>
    <w:qFormat/>
    <w:uiPriority w:val="0"/>
    <w:pPr>
      <w:adjustRightInd w:val="0"/>
      <w:spacing w:line="360" w:lineRule="auto"/>
      <w:ind w:firstLine="480" w:firstLineChars="200"/>
    </w:pPr>
    <w:rPr>
      <w:kern w:val="0"/>
      <w:sz w:val="24"/>
    </w:rPr>
  </w:style>
  <w:style w:type="paragraph" w:customStyle="1" w:styleId="205">
    <w:name w:val="正文1"/>
    <w:qFormat/>
    <w:uiPriority w:val="0"/>
    <w:pPr>
      <w:widowControl w:val="0"/>
      <w:jc w:val="both"/>
    </w:pPr>
    <w:rPr>
      <w:kern w:val="2"/>
      <w:sz w:val="21"/>
      <w:lang w:val="en-US" w:eastAsia="zh-CN" w:bidi="ar-SA"/>
    </w:rPr>
  </w:style>
  <w:style w:type="paragraph" w:customStyle="1" w:styleId="206">
    <w:name w:val="正文 New New New New"/>
    <w:qFormat/>
    <w:uiPriority w:val="0"/>
    <w:pPr>
      <w:widowControl w:val="0"/>
      <w:jc w:val="both"/>
    </w:pPr>
    <w:rPr>
      <w:kern w:val="2"/>
      <w:sz w:val="24"/>
      <w:lang w:val="en-US" w:eastAsia="zh-CN" w:bidi="ar-SA"/>
    </w:rPr>
  </w:style>
  <w:style w:type="paragraph" w:customStyle="1" w:styleId="20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段"/>
    <w:qFormat/>
    <w:uiPriority w:val="0"/>
    <w:pPr>
      <w:autoSpaceDE w:val="0"/>
      <w:autoSpaceDN w:val="0"/>
      <w:ind w:firstLine="200" w:firstLineChars="200"/>
      <w:jc w:val="both"/>
    </w:pPr>
    <w:rPr>
      <w:rFonts w:ascii="宋体"/>
      <w:sz w:val="21"/>
      <w:lang w:val="en-US" w:eastAsia="zh-CN" w:bidi="ar-SA"/>
    </w:rPr>
  </w:style>
  <w:style w:type="paragraph" w:customStyle="1" w:styleId="209">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0">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11">
    <w:name w:val="Table Text"/>
    <w:basedOn w:val="1"/>
    <w:qFormat/>
    <w:uiPriority w:val="0"/>
    <w:pPr>
      <w:widowControl/>
      <w:jc w:val="left"/>
    </w:pPr>
    <w:rPr>
      <w:rFonts w:ascii="Arial" w:hAnsi="Arial"/>
      <w:kern w:val="0"/>
      <w:szCs w:val="21"/>
    </w:rPr>
  </w:style>
  <w:style w:type="paragraph" w:customStyle="1" w:styleId="212">
    <w:name w:val="p19"/>
    <w:basedOn w:val="1"/>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13">
    <w:name w:val="[正文行首缩进]"/>
    <w:qFormat/>
    <w:uiPriority w:val="0"/>
    <w:pPr>
      <w:widowControl w:val="0"/>
      <w:spacing w:line="360" w:lineRule="auto"/>
      <w:ind w:firstLine="200" w:firstLineChars="200"/>
      <w:jc w:val="both"/>
    </w:pPr>
    <w:rPr>
      <w:color w:val="000000"/>
      <w:sz w:val="24"/>
      <w:szCs w:val="24"/>
      <w:lang w:val="en-US" w:eastAsia="zh-CN" w:bidi="ar-SA"/>
    </w:rPr>
  </w:style>
  <w:style w:type="paragraph" w:customStyle="1" w:styleId="214">
    <w:name w:val="Char Char Char Char"/>
    <w:basedOn w:val="1"/>
    <w:qFormat/>
    <w:uiPriority w:val="0"/>
    <w:pPr>
      <w:widowControl/>
      <w:spacing w:line="400" w:lineRule="exact"/>
      <w:jc w:val="center"/>
    </w:pPr>
    <w:rPr>
      <w:rFonts w:ascii="Verdana" w:hAnsi="Verdana"/>
      <w:kern w:val="0"/>
      <w:lang w:eastAsia="en-US"/>
    </w:rPr>
  </w:style>
  <w:style w:type="paragraph" w:customStyle="1" w:styleId="215">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6">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17">
    <w:name w:val="p0"/>
    <w:basedOn w:val="1"/>
    <w:qFormat/>
    <w:uiPriority w:val="0"/>
    <w:pPr>
      <w:widowControl/>
    </w:pPr>
    <w:rPr>
      <w:kern w:val="0"/>
      <w:szCs w:val="21"/>
    </w:rPr>
  </w:style>
  <w:style w:type="paragraph" w:customStyle="1" w:styleId="218">
    <w:name w:val="彩色列表 - 强调文字颜色 11"/>
    <w:basedOn w:val="1"/>
    <w:qFormat/>
    <w:uiPriority w:val="0"/>
    <w:pPr>
      <w:ind w:firstLine="420" w:firstLineChars="200"/>
    </w:pPr>
    <w:rPr>
      <w:rFonts w:ascii="Calibri" w:hAnsi="Calibri"/>
      <w:szCs w:val="22"/>
    </w:rPr>
  </w:style>
  <w:style w:type="paragraph" w:customStyle="1" w:styleId="21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styleId="220">
    <w:name w:val=""/>
    <w:basedOn w:val="4"/>
    <w:next w:val="1"/>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21">
    <w:name w:val="Table Paragraph"/>
    <w:basedOn w:val="1"/>
    <w:unhideWhenUsed/>
    <w:qFormat/>
    <w:uiPriority w:val="1"/>
    <w:pPr>
      <w:spacing w:before="100" w:beforeAutospacing="1" w:after="100" w:afterAutospacing="1" w:line="360" w:lineRule="auto"/>
    </w:pPr>
    <w:rPr>
      <w:sz w:val="24"/>
      <w:szCs w:val="24"/>
    </w:rPr>
  </w:style>
  <w:style w:type="paragraph" w:customStyle="1" w:styleId="222">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23">
    <w:name w:val="标准小四"/>
    <w:basedOn w:val="1"/>
    <w:qFormat/>
    <w:uiPriority w:val="0"/>
    <w:pPr>
      <w:spacing w:line="360" w:lineRule="auto"/>
      <w:ind w:firstLine="480" w:firstLineChars="200"/>
    </w:pPr>
    <w:rPr>
      <w:rFonts w:ascii="Arial" w:hAnsi="Arial"/>
      <w:sz w:val="24"/>
      <w:szCs w:val="21"/>
    </w:rPr>
  </w:style>
  <w:style w:type="paragraph" w:customStyle="1" w:styleId="224">
    <w:name w:val="List Paragraph1"/>
    <w:basedOn w:val="1"/>
    <w:qFormat/>
    <w:uiPriority w:val="0"/>
    <w:pPr>
      <w:ind w:firstLine="420" w:firstLineChars="200"/>
    </w:pPr>
    <w:rPr>
      <w:rFonts w:ascii="Calibri" w:hAnsi="Calibri"/>
      <w:szCs w:val="21"/>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Char11"/>
    <w:basedOn w:val="1"/>
    <w:qFormat/>
    <w:uiPriority w:val="0"/>
    <w:rPr>
      <w:szCs w:val="24"/>
    </w:rPr>
  </w:style>
  <w:style w:type="paragraph" w:customStyle="1" w:styleId="228">
    <w:name w:val="内容序号（N）"/>
    <w:basedOn w:val="181"/>
    <w:qFormat/>
    <w:uiPriority w:val="0"/>
    <w:pPr>
      <w:tabs>
        <w:tab w:val="left" w:pos="1134"/>
      </w:tabs>
      <w:ind w:firstLine="0" w:firstLineChars="0"/>
    </w:pPr>
    <w:rPr>
      <w:rFonts w:ascii="宋体" w:hAnsi="宋体"/>
      <w:szCs w:val="28"/>
    </w:rPr>
  </w:style>
  <w:style w:type="paragraph" w:customStyle="1" w:styleId="229">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33">
    <w:name w:val="Char2"/>
    <w:basedOn w:val="1"/>
    <w:qFormat/>
    <w:uiPriority w:val="0"/>
    <w:pPr>
      <w:tabs>
        <w:tab w:val="left" w:pos="1200"/>
      </w:tabs>
      <w:ind w:left="1200" w:hanging="720"/>
    </w:pPr>
    <w:rPr>
      <w:sz w:val="24"/>
      <w:szCs w:val="24"/>
    </w:rPr>
  </w:style>
  <w:style w:type="paragraph" w:customStyle="1" w:styleId="234">
    <w:name w:val="默认段落字体 Para Char Char Char Char Char Char Char Char Char1 Char Char Char Char"/>
    <w:basedOn w:val="1"/>
    <w:qFormat/>
    <w:uiPriority w:val="0"/>
    <w:rPr>
      <w:rFonts w:ascii="Tahoma" w:hAnsi="Tahoma"/>
      <w:sz w:val="24"/>
    </w:rPr>
  </w:style>
  <w:style w:type="paragraph" w:customStyle="1" w:styleId="235">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36">
    <w:name w:val="正文 居中"/>
    <w:basedOn w:val="1"/>
    <w:qFormat/>
    <w:uiPriority w:val="0"/>
    <w:pPr>
      <w:spacing w:line="360" w:lineRule="auto"/>
      <w:jc w:val="center"/>
    </w:pPr>
    <w:rPr>
      <w:rFonts w:cs="宋体"/>
      <w:sz w:val="24"/>
    </w:rPr>
  </w:style>
  <w:style w:type="paragraph" w:customStyle="1" w:styleId="23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3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39">
    <w:name w:val="标题1"/>
    <w:basedOn w:val="4"/>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40">
    <w:name w:val="Char Char1 Char Char Char Char"/>
    <w:basedOn w:val="1"/>
    <w:qFormat/>
    <w:uiPriority w:val="0"/>
    <w:rPr>
      <w:rFonts w:ascii="Tahoma" w:hAnsi="Tahoma"/>
      <w:sz w:val="24"/>
    </w:rPr>
  </w:style>
  <w:style w:type="paragraph" w:customStyle="1" w:styleId="241">
    <w:name w:val="Char Char Char1 Char"/>
    <w:basedOn w:val="1"/>
    <w:qFormat/>
    <w:uiPriority w:val="0"/>
    <w:pPr>
      <w:spacing w:line="360" w:lineRule="auto"/>
      <w:ind w:firstLine="200" w:firstLineChars="200"/>
    </w:pPr>
  </w:style>
  <w:style w:type="paragraph" w:customStyle="1" w:styleId="2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43">
    <w:name w:val="符号 2"/>
    <w:basedOn w:val="195"/>
    <w:qFormat/>
    <w:uiPriority w:val="0"/>
    <w:pPr>
      <w:tabs>
        <w:tab w:val="left" w:pos="1320"/>
        <w:tab w:val="clear" w:pos="900"/>
      </w:tabs>
      <w:ind w:left="1320" w:hanging="420"/>
    </w:pPr>
  </w:style>
  <w:style w:type="paragraph" w:customStyle="1" w:styleId="244">
    <w:name w:val="List Paragraph"/>
    <w:basedOn w:val="1"/>
    <w:uiPriority w:val="0"/>
    <w:pPr>
      <w:widowControl/>
      <w:spacing w:before="15" w:after="15" w:line="460" w:lineRule="exact"/>
      <w:ind w:firstLine="420" w:firstLineChars="200"/>
      <w:jc w:val="left"/>
    </w:pPr>
    <w:rPr>
      <w:rFonts w:ascii="Calibri" w:hAnsi="Calibri"/>
      <w:sz w:val="24"/>
      <w:szCs w:val="22"/>
    </w:rPr>
  </w:style>
  <w:style w:type="paragraph" w:customStyle="1" w:styleId="24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46">
    <w:name w:val="Body"/>
    <w:qFormat/>
    <w:uiPriority w:val="0"/>
    <w:pPr>
      <w:spacing w:before="130" w:after="130" w:line="260" w:lineRule="exact"/>
    </w:pPr>
    <w:rPr>
      <w:rFonts w:ascii="Univers" w:hAnsi="Univers"/>
      <w:color w:val="000000"/>
      <w:sz w:val="22"/>
      <w:lang w:val="en-US" w:eastAsia="en-US" w:bidi="ar-SA"/>
    </w:rPr>
  </w:style>
  <w:style w:type="paragraph" w:customStyle="1" w:styleId="247">
    <w:name w:val="表格正文"/>
    <w:basedOn w:val="1"/>
    <w:qFormat/>
    <w:uiPriority w:val="0"/>
    <w:rPr>
      <w:rFonts w:eastAsia="黑体"/>
    </w:rPr>
  </w:style>
  <w:style w:type="paragraph" w:customStyle="1" w:styleId="248">
    <w:name w:val="Char Char Char Char Char Char Char"/>
    <w:basedOn w:val="1"/>
    <w:qFormat/>
    <w:uiPriority w:val="0"/>
    <w:pPr>
      <w:tabs>
        <w:tab w:val="left" w:pos="432"/>
      </w:tabs>
      <w:ind w:left="432" w:hanging="432"/>
    </w:pPr>
    <w:rPr>
      <w:rFonts w:ascii="Tahoma" w:hAnsi="Tahoma"/>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57</Pages>
  <Words>4438</Words>
  <Characters>25300</Characters>
  <Lines>210</Lines>
  <Paragraphs>59</Paragraphs>
  <TotalTime>0</TotalTime>
  <ScaleCrop>false</ScaleCrop>
  <LinksUpToDate>false</LinksUpToDate>
  <CharactersWithSpaces>29679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2021-08-05T08:16:00Z</dcterms:created>
  <dc:creator>dyp</dc:creator>
  <cp:lastModifiedBy>zcy</cp:lastModifiedBy>
  <cp:lastPrinted>2020-05-23T11:51:00Z</cp:lastPrinted>
  <dcterms:modified xsi:type="dcterms:W3CDTF">2024-01-31T05:20:15Z</dcterms:modified>
  <cp:revision>9</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9D170B2DB8534D069DA6A5CA0DF42DB5_13</vt:lpwstr>
  </property>
</Properties>
</file>