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580D1">
      <w:pPr>
        <w:shd w:val="clear"/>
        <w:spacing w:line="360" w:lineRule="auto"/>
        <w:jc w:val="center"/>
        <w:rPr>
          <w:rFonts w:cs="仿宋_GB2312" w:asciiTheme="majorEastAsia" w:hAnsiTheme="majorEastAsia" w:eastAsiaTheme="majorEastAsia"/>
          <w:color w:val="auto"/>
          <w:sz w:val="48"/>
          <w:szCs w:val="48"/>
          <w:highlight w:val="none"/>
        </w:rPr>
      </w:pPr>
    </w:p>
    <w:p w14:paraId="05541911">
      <w:pPr>
        <w:shd w:val="clear"/>
        <w:spacing w:line="360" w:lineRule="auto"/>
        <w:jc w:val="center"/>
        <w:rPr>
          <w:rFonts w:cs="仿宋_GB2312" w:asciiTheme="majorEastAsia" w:hAnsiTheme="majorEastAsia" w:eastAsiaTheme="majorEastAsia"/>
          <w:color w:val="auto"/>
          <w:sz w:val="48"/>
          <w:szCs w:val="48"/>
          <w:highlight w:val="none"/>
        </w:rPr>
      </w:pPr>
      <w:bookmarkStart w:id="0" w:name="OLE_LINK1"/>
      <w:bookmarkStart w:id="1" w:name="OLE_LINK2"/>
      <w:r>
        <w:rPr>
          <w:rFonts w:hint="eastAsia" w:cs="仿宋_GB2312" w:asciiTheme="majorEastAsia" w:hAnsiTheme="majorEastAsia" w:eastAsiaTheme="majorEastAsia"/>
          <w:color w:val="auto"/>
          <w:sz w:val="48"/>
          <w:szCs w:val="48"/>
          <w:highlight w:val="none"/>
        </w:rPr>
        <w:t>2025-2027年奉化莼湖街道渔船风险隐患普查项目</w:t>
      </w:r>
      <w:bookmarkEnd w:id="0"/>
      <w:bookmarkEnd w:id="1"/>
    </w:p>
    <w:p w14:paraId="15D73E94">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公开招标采购文件</w:t>
      </w:r>
    </w:p>
    <w:p w14:paraId="3FB9DAF8">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（电子招投标）</w:t>
      </w:r>
    </w:p>
    <w:p w14:paraId="31BC7482">
      <w:pPr>
        <w:shd w:val="clear"/>
        <w:snapToGrid w:val="0"/>
        <w:spacing w:line="360" w:lineRule="auto"/>
        <w:jc w:val="center"/>
        <w:rPr>
          <w:rFonts w:hint="default" w:cs="仿宋_GB2312" w:asciiTheme="majorEastAsia" w:hAnsiTheme="majorEastAsia" w:eastAsiaTheme="majorEastAsia"/>
          <w:color w:val="auto"/>
          <w:sz w:val="30"/>
          <w:szCs w:val="30"/>
          <w:highlight w:val="none"/>
          <w:lang w:val="en-US" w:eastAsia="zh-CN"/>
        </w:rPr>
      </w:pPr>
      <w:r>
        <w:rPr>
          <w:rFonts w:hint="eastAsia" w:cs="仿宋_GB2312" w:asciiTheme="majorEastAsia" w:hAnsiTheme="majorEastAsia" w:eastAsiaTheme="majorEastAsia"/>
          <w:color w:val="auto"/>
          <w:sz w:val="30"/>
          <w:szCs w:val="30"/>
          <w:highlight w:val="none"/>
        </w:rPr>
        <w:t>编号</w:t>
      </w:r>
      <w:r>
        <w:rPr>
          <w:rFonts w:cs="仿宋_GB2312" w:asciiTheme="majorEastAsia" w:hAnsiTheme="majorEastAsia" w:eastAsiaTheme="majorEastAsia"/>
          <w:color w:val="auto"/>
          <w:sz w:val="30"/>
          <w:szCs w:val="30"/>
          <w:highlight w:val="none"/>
        </w:rPr>
        <w:t>:FHZFCG(202</w:t>
      </w:r>
      <w:r>
        <w:rPr>
          <w:rFonts w:hint="eastAsia" w:cs="仿宋_GB2312" w:asciiTheme="majorEastAsia" w:hAnsiTheme="majorEastAsia" w:eastAsiaTheme="majorEastAsia"/>
          <w:color w:val="auto"/>
          <w:sz w:val="30"/>
          <w:szCs w:val="30"/>
          <w:highlight w:val="none"/>
        </w:rPr>
        <w:t>5</w:t>
      </w:r>
      <w:r>
        <w:rPr>
          <w:rFonts w:cs="仿宋_GB2312" w:asciiTheme="majorEastAsia" w:hAnsiTheme="majorEastAsia" w:eastAsiaTheme="majorEastAsia"/>
          <w:color w:val="auto"/>
          <w:sz w:val="30"/>
          <w:szCs w:val="30"/>
          <w:highlight w:val="none"/>
        </w:rPr>
        <w:t>)</w:t>
      </w:r>
      <w:r>
        <w:rPr>
          <w:rFonts w:hint="eastAsia" w:cs="仿宋_GB2312" w:asciiTheme="majorEastAsia" w:hAnsiTheme="majorEastAsia" w:eastAsiaTheme="majorEastAsia"/>
          <w:color w:val="auto"/>
          <w:sz w:val="30"/>
          <w:szCs w:val="30"/>
          <w:highlight w:val="none"/>
          <w:lang w:val="en-US" w:eastAsia="zh-CN"/>
        </w:rPr>
        <w:t>151</w:t>
      </w:r>
      <w:r>
        <w:rPr>
          <w:rFonts w:cs="仿宋_GB2312" w:asciiTheme="majorEastAsia" w:hAnsiTheme="majorEastAsia" w:eastAsiaTheme="majorEastAsia"/>
          <w:color w:val="auto"/>
          <w:sz w:val="30"/>
          <w:szCs w:val="30"/>
          <w:highlight w:val="none"/>
        </w:rPr>
        <w:t>D</w:t>
      </w:r>
    </w:p>
    <w:p w14:paraId="01CD7EE6">
      <w:pPr>
        <w:shd w:val="clear"/>
        <w:spacing w:line="360" w:lineRule="auto"/>
        <w:rPr>
          <w:rFonts w:cs="仿宋_GB2312" w:asciiTheme="majorEastAsia" w:hAnsiTheme="majorEastAsia" w:eastAsiaTheme="majorEastAsia"/>
          <w:color w:val="auto"/>
          <w:sz w:val="28"/>
          <w:szCs w:val="20"/>
          <w:highlight w:val="none"/>
        </w:rPr>
      </w:pPr>
    </w:p>
    <w:p w14:paraId="5C070C6E">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w:t>
      </w:r>
    </w:p>
    <w:p w14:paraId="00967573">
      <w:pPr>
        <w:shd w:val="clear"/>
        <w:spacing w:line="360" w:lineRule="auto"/>
        <w:jc w:val="center"/>
        <w:rPr>
          <w:rFonts w:cs="仿宋_GB2312" w:asciiTheme="majorEastAsia" w:hAnsiTheme="majorEastAsia" w:eastAsiaTheme="majorEastAsia"/>
          <w:b/>
          <w:color w:val="auto"/>
          <w:sz w:val="44"/>
          <w:szCs w:val="44"/>
          <w:highlight w:val="none"/>
        </w:rPr>
      </w:pPr>
    </w:p>
    <w:p w14:paraId="1FDB55C2">
      <w:pPr>
        <w:pStyle w:val="2"/>
        <w:shd w:val="clear"/>
        <w:ind w:firstLine="560"/>
        <w:rPr>
          <w:color w:val="auto"/>
          <w:highlight w:val="none"/>
        </w:rPr>
      </w:pPr>
    </w:p>
    <w:p w14:paraId="1D353632">
      <w:pPr>
        <w:pStyle w:val="2"/>
        <w:shd w:val="clear"/>
        <w:ind w:firstLine="560"/>
        <w:rPr>
          <w:color w:val="auto"/>
          <w:highlight w:val="none"/>
        </w:rPr>
      </w:pPr>
    </w:p>
    <w:p w14:paraId="68981128">
      <w:pPr>
        <w:pStyle w:val="2"/>
        <w:shd w:val="clear"/>
        <w:ind w:firstLine="560"/>
        <w:rPr>
          <w:color w:val="auto"/>
          <w:highlight w:val="none"/>
        </w:rPr>
      </w:pPr>
    </w:p>
    <w:p w14:paraId="40D1A7CC">
      <w:pPr>
        <w:pStyle w:val="2"/>
        <w:shd w:val="clear"/>
        <w:ind w:firstLine="560"/>
        <w:rPr>
          <w:color w:val="auto"/>
          <w:highlight w:val="none"/>
        </w:rPr>
      </w:pPr>
    </w:p>
    <w:p w14:paraId="3A42CF0A">
      <w:pPr>
        <w:pStyle w:val="2"/>
        <w:shd w:val="clear"/>
        <w:ind w:firstLine="560"/>
        <w:rPr>
          <w:color w:val="auto"/>
          <w:highlight w:val="none"/>
        </w:rPr>
      </w:pPr>
    </w:p>
    <w:p w14:paraId="63C44705">
      <w:pPr>
        <w:pStyle w:val="2"/>
        <w:shd w:val="clear"/>
        <w:ind w:firstLine="560"/>
        <w:rPr>
          <w:color w:val="auto"/>
          <w:highlight w:val="none"/>
        </w:rPr>
      </w:pPr>
    </w:p>
    <w:p w14:paraId="78DCF5F2">
      <w:pPr>
        <w:shd w:val="clear"/>
        <w:spacing w:line="360" w:lineRule="auto"/>
        <w:jc w:val="center"/>
        <w:rPr>
          <w:rFonts w:cs="仿宋_GB2312" w:asciiTheme="majorEastAsia" w:hAnsiTheme="majorEastAsia" w:eastAsiaTheme="majorEastAsia"/>
          <w:color w:val="auto"/>
          <w:sz w:val="24"/>
          <w:highlight w:val="none"/>
        </w:rPr>
      </w:pPr>
    </w:p>
    <w:p w14:paraId="74409F6D">
      <w:pPr>
        <w:shd w:val="clear"/>
        <w:spacing w:line="360" w:lineRule="auto"/>
        <w:jc w:val="center"/>
        <w:rPr>
          <w:rFonts w:cs="仿宋_GB2312" w:asciiTheme="majorEastAsia" w:hAnsiTheme="majorEastAsia" w:eastAsiaTheme="majorEastAsia"/>
          <w:color w:val="auto"/>
          <w:sz w:val="24"/>
          <w:highlight w:val="none"/>
        </w:rPr>
      </w:pPr>
    </w:p>
    <w:p w14:paraId="1C3614A2">
      <w:pPr>
        <w:shd w:val="clear"/>
        <w:spacing w:line="360" w:lineRule="auto"/>
        <w:rPr>
          <w:rFonts w:cs="仿宋_GB2312" w:asciiTheme="majorEastAsia" w:hAnsiTheme="majorEastAsia" w:eastAsiaTheme="majorEastAsia"/>
          <w:color w:val="auto"/>
          <w:sz w:val="32"/>
          <w:szCs w:val="32"/>
          <w:highlight w:val="none"/>
        </w:rPr>
      </w:pPr>
    </w:p>
    <w:p w14:paraId="0D8F0552">
      <w:pPr>
        <w:shd w:val="clear"/>
        <w:snapToGrid w:val="0"/>
        <w:spacing w:line="360" w:lineRule="auto"/>
        <w:jc w:val="center"/>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 xml:space="preserve">采购人：宁波市奉化区人民政府莼湖街道办事处   </w:t>
      </w:r>
    </w:p>
    <w:p w14:paraId="46453D8D">
      <w:pPr>
        <w:shd w:val="clear"/>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采购代理机构：宁波敬信项目管理咨询有限公司</w:t>
      </w:r>
    </w:p>
    <w:p w14:paraId="3892FCFC">
      <w:pPr>
        <w:shd w:val="clear"/>
        <w:snapToGrid w:val="0"/>
        <w:spacing w:line="360" w:lineRule="auto"/>
        <w:jc w:val="center"/>
        <w:rPr>
          <w:rFonts w:cs="仿宋_GB2312" w:asciiTheme="majorEastAsia" w:hAnsiTheme="majorEastAsia" w:eastAsiaTheme="majorEastAsia"/>
          <w:bCs/>
          <w:color w:val="auto"/>
          <w:sz w:val="32"/>
          <w:szCs w:val="32"/>
          <w:highlight w:val="none"/>
        </w:rPr>
      </w:pPr>
    </w:p>
    <w:p w14:paraId="7FA32D57">
      <w:pPr>
        <w:shd w:val="clear"/>
        <w:snapToGrid w:val="0"/>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二零二</w:t>
      </w:r>
      <w:r>
        <w:rPr>
          <w:rFonts w:hint="eastAsia" w:cs="仿宋_GB2312" w:asciiTheme="majorEastAsia" w:hAnsiTheme="majorEastAsia" w:eastAsiaTheme="majorEastAsia"/>
          <w:bCs/>
          <w:color w:val="auto"/>
          <w:sz w:val="32"/>
          <w:szCs w:val="32"/>
          <w:highlight w:val="none"/>
          <w:lang w:val="en-US" w:eastAsia="zh-CN"/>
        </w:rPr>
        <w:t>五</w:t>
      </w:r>
      <w:r>
        <w:rPr>
          <w:rFonts w:hint="eastAsia" w:cs="仿宋_GB2312" w:asciiTheme="majorEastAsia" w:hAnsiTheme="majorEastAsia" w:eastAsiaTheme="majorEastAsia"/>
          <w:bCs/>
          <w:color w:val="auto"/>
          <w:sz w:val="32"/>
          <w:szCs w:val="32"/>
          <w:highlight w:val="none"/>
        </w:rPr>
        <w:t>年</w:t>
      </w:r>
    </w:p>
    <w:p w14:paraId="6D856956">
      <w:pPr>
        <w:shd w:val="clear"/>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br w:type="page"/>
      </w:r>
      <w:bookmarkStart w:id="2" w:name="_Hlt67893495"/>
      <w:bookmarkEnd w:id="2"/>
    </w:p>
    <w:p w14:paraId="70EBE80A">
      <w:pPr>
        <w:shd w:val="clear"/>
        <w:spacing w:line="360" w:lineRule="auto"/>
        <w:jc w:val="center"/>
        <w:rPr>
          <w:rFonts w:cs="仿宋_GB2312" w:asciiTheme="majorEastAsia" w:hAnsiTheme="majorEastAsia" w:eastAsiaTheme="majorEastAsia"/>
          <w:color w:val="auto"/>
          <w:sz w:val="24"/>
          <w:highlight w:val="none"/>
        </w:rPr>
      </w:pPr>
    </w:p>
    <w:p w14:paraId="6945BEA5">
      <w:pPr>
        <w:shd w:val="clea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w:t>
      </w:r>
      <w:r>
        <w:rPr>
          <w:rFonts w:cs="仿宋_GB2312" w:asciiTheme="majorEastAsia" w:hAnsiTheme="majorEastAsia" w:eastAsiaTheme="majorEastAsia"/>
          <w:b/>
          <w:color w:val="auto"/>
          <w:sz w:val="48"/>
          <w:szCs w:val="48"/>
          <w:highlight w:val="none"/>
        </w:rPr>
        <w:t xml:space="preserve">  </w:t>
      </w:r>
      <w:r>
        <w:rPr>
          <w:rFonts w:hint="eastAsia" w:cs="仿宋_GB2312" w:asciiTheme="majorEastAsia" w:hAnsiTheme="majorEastAsia" w:eastAsiaTheme="majorEastAsia"/>
          <w:b/>
          <w:color w:val="auto"/>
          <w:sz w:val="48"/>
          <w:szCs w:val="48"/>
          <w:highlight w:val="none"/>
        </w:rPr>
        <w:t>录</w:t>
      </w:r>
    </w:p>
    <w:p w14:paraId="0E2A87FA">
      <w:pPr>
        <w:shd w:val="clear"/>
        <w:spacing w:line="360" w:lineRule="auto"/>
        <w:rPr>
          <w:rFonts w:cs="仿宋_GB2312" w:asciiTheme="majorEastAsia" w:hAnsiTheme="majorEastAsia" w:eastAsiaTheme="majorEastAsia"/>
          <w:color w:val="auto"/>
          <w:sz w:val="32"/>
          <w:szCs w:val="32"/>
          <w:highlight w:val="none"/>
        </w:rPr>
      </w:pPr>
    </w:p>
    <w:p w14:paraId="51123A82">
      <w:pPr>
        <w:shd w:val="clear"/>
        <w:spacing w:line="360" w:lineRule="auto"/>
        <w:rPr>
          <w:rFonts w:cs="仿宋_GB2312" w:asciiTheme="majorEastAsia" w:hAnsiTheme="majorEastAsia" w:eastAsiaTheme="majorEastAsia"/>
          <w:color w:val="auto"/>
          <w:sz w:val="32"/>
          <w:szCs w:val="32"/>
          <w:highlight w:val="none"/>
        </w:rPr>
      </w:pPr>
    </w:p>
    <w:p w14:paraId="0990C885">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第一部分      招标公告</w:t>
      </w:r>
    </w:p>
    <w:p w14:paraId="5F6418C7">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第二部分      投标须知</w:t>
      </w:r>
    </w:p>
    <w:p w14:paraId="54B0E799">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第三部分      采购需求</w:t>
      </w:r>
    </w:p>
    <w:p w14:paraId="2B9909B6">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第四部分      评标办法</w:t>
      </w:r>
    </w:p>
    <w:p w14:paraId="5F6BA289">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第五部分      拟签订的合同文本</w:t>
      </w:r>
    </w:p>
    <w:p w14:paraId="73D9A3E4">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第六部分      应提交的有关格式范例</w:t>
      </w:r>
    </w:p>
    <w:p w14:paraId="20E2559A">
      <w:pPr>
        <w:shd w:val="clear"/>
        <w:spacing w:line="360" w:lineRule="auto"/>
        <w:ind w:firstLine="549" w:firstLineChars="229"/>
        <w:rPr>
          <w:rFonts w:cs="仿宋" w:asciiTheme="majorEastAsia" w:hAnsiTheme="majorEastAsia" w:eastAsiaTheme="majorEastAsia"/>
          <w:color w:val="auto"/>
          <w:sz w:val="24"/>
          <w:highlight w:val="none"/>
        </w:rPr>
      </w:pPr>
      <w:bookmarkStart w:id="3" w:name="_Hlt91233176"/>
      <w:bookmarkEnd w:id="3"/>
      <w:bookmarkStart w:id="4" w:name="_Toc91899869"/>
    </w:p>
    <w:p w14:paraId="4E7BFFB4">
      <w:pPr>
        <w:shd w:val="clear"/>
        <w:spacing w:line="360" w:lineRule="auto"/>
        <w:ind w:firstLine="549" w:firstLineChars="229"/>
        <w:rPr>
          <w:rFonts w:cs="仿宋" w:asciiTheme="majorEastAsia" w:hAnsiTheme="majorEastAsia" w:eastAsiaTheme="majorEastAsia"/>
          <w:color w:val="auto"/>
          <w:sz w:val="24"/>
          <w:highlight w:val="none"/>
        </w:rPr>
      </w:pPr>
    </w:p>
    <w:p w14:paraId="0C954D3D">
      <w:pPr>
        <w:shd w:val="clear"/>
        <w:spacing w:line="360" w:lineRule="auto"/>
        <w:ind w:firstLine="549" w:firstLineChars="229"/>
        <w:rPr>
          <w:rFonts w:cs="仿宋" w:asciiTheme="majorEastAsia" w:hAnsiTheme="majorEastAsia" w:eastAsiaTheme="majorEastAsia"/>
          <w:color w:val="auto"/>
          <w:sz w:val="24"/>
          <w:highlight w:val="none"/>
        </w:rPr>
      </w:pPr>
    </w:p>
    <w:p w14:paraId="7280191D">
      <w:pPr>
        <w:shd w:val="clear"/>
        <w:spacing w:line="360" w:lineRule="auto"/>
        <w:ind w:firstLine="549" w:firstLineChars="229"/>
        <w:rPr>
          <w:rFonts w:cs="仿宋" w:asciiTheme="majorEastAsia" w:hAnsiTheme="majorEastAsia" w:eastAsiaTheme="majorEastAsia"/>
          <w:color w:val="auto"/>
          <w:sz w:val="24"/>
          <w:highlight w:val="none"/>
        </w:rPr>
      </w:pPr>
    </w:p>
    <w:p w14:paraId="216A4987">
      <w:pPr>
        <w:shd w:val="clear"/>
        <w:spacing w:line="360" w:lineRule="auto"/>
        <w:ind w:firstLine="549" w:firstLineChars="229"/>
        <w:rPr>
          <w:rFonts w:cs="仿宋" w:asciiTheme="majorEastAsia" w:hAnsiTheme="majorEastAsia" w:eastAsiaTheme="majorEastAsia"/>
          <w:color w:val="auto"/>
          <w:sz w:val="24"/>
          <w:highlight w:val="none"/>
        </w:rPr>
      </w:pPr>
    </w:p>
    <w:p w14:paraId="17BDDFAF">
      <w:pPr>
        <w:shd w:val="clear"/>
        <w:spacing w:line="360" w:lineRule="auto"/>
        <w:ind w:firstLine="549" w:firstLineChars="229"/>
        <w:rPr>
          <w:rFonts w:cs="仿宋" w:asciiTheme="majorEastAsia" w:hAnsiTheme="majorEastAsia" w:eastAsiaTheme="majorEastAsia"/>
          <w:color w:val="auto"/>
          <w:sz w:val="24"/>
          <w:highlight w:val="none"/>
        </w:rPr>
      </w:pPr>
    </w:p>
    <w:p w14:paraId="66DE2750">
      <w:pPr>
        <w:shd w:val="clear"/>
        <w:spacing w:line="360" w:lineRule="auto"/>
        <w:ind w:firstLine="549" w:firstLineChars="229"/>
        <w:rPr>
          <w:rFonts w:cs="仿宋" w:asciiTheme="majorEastAsia" w:hAnsiTheme="majorEastAsia" w:eastAsiaTheme="majorEastAsia"/>
          <w:color w:val="auto"/>
          <w:sz w:val="24"/>
          <w:highlight w:val="none"/>
        </w:rPr>
      </w:pPr>
    </w:p>
    <w:p w14:paraId="3A92212E">
      <w:pPr>
        <w:shd w:val="clear"/>
        <w:spacing w:line="360" w:lineRule="auto"/>
        <w:ind w:firstLine="549" w:firstLineChars="229"/>
        <w:rPr>
          <w:rFonts w:cs="仿宋" w:asciiTheme="majorEastAsia" w:hAnsiTheme="majorEastAsia" w:eastAsiaTheme="majorEastAsia"/>
          <w:color w:val="auto"/>
          <w:sz w:val="24"/>
          <w:highlight w:val="none"/>
        </w:rPr>
      </w:pPr>
    </w:p>
    <w:p w14:paraId="3BDC72F1">
      <w:pPr>
        <w:shd w:val="clear"/>
        <w:spacing w:line="360" w:lineRule="auto"/>
        <w:ind w:firstLine="549" w:firstLineChars="229"/>
        <w:rPr>
          <w:rFonts w:cs="仿宋" w:asciiTheme="majorEastAsia" w:hAnsiTheme="majorEastAsia" w:eastAsiaTheme="majorEastAsia"/>
          <w:color w:val="auto"/>
          <w:sz w:val="24"/>
          <w:highlight w:val="none"/>
        </w:rPr>
      </w:pPr>
    </w:p>
    <w:p w14:paraId="068FAC37">
      <w:pPr>
        <w:shd w:val="clear"/>
        <w:spacing w:line="360" w:lineRule="auto"/>
        <w:ind w:firstLine="549" w:firstLineChars="229"/>
        <w:rPr>
          <w:rFonts w:cs="仿宋" w:asciiTheme="majorEastAsia" w:hAnsiTheme="majorEastAsia" w:eastAsiaTheme="majorEastAsia"/>
          <w:color w:val="auto"/>
          <w:sz w:val="24"/>
          <w:highlight w:val="none"/>
        </w:rPr>
      </w:pPr>
    </w:p>
    <w:p w14:paraId="62F9A068">
      <w:pPr>
        <w:shd w:val="clear"/>
        <w:spacing w:line="360" w:lineRule="auto"/>
        <w:ind w:firstLine="549" w:firstLineChars="229"/>
        <w:rPr>
          <w:rFonts w:cs="仿宋" w:asciiTheme="majorEastAsia" w:hAnsiTheme="majorEastAsia" w:eastAsiaTheme="majorEastAsia"/>
          <w:color w:val="auto"/>
          <w:sz w:val="24"/>
          <w:highlight w:val="none"/>
        </w:rPr>
      </w:pPr>
    </w:p>
    <w:p w14:paraId="3CFBB011">
      <w:pPr>
        <w:shd w:val="clear"/>
        <w:spacing w:line="360" w:lineRule="auto"/>
        <w:ind w:firstLine="549" w:firstLineChars="229"/>
        <w:rPr>
          <w:rFonts w:cs="仿宋" w:asciiTheme="majorEastAsia" w:hAnsiTheme="majorEastAsia" w:eastAsiaTheme="majorEastAsia"/>
          <w:color w:val="auto"/>
          <w:sz w:val="24"/>
          <w:highlight w:val="none"/>
        </w:rPr>
      </w:pPr>
    </w:p>
    <w:p w14:paraId="0E6E43F6">
      <w:pPr>
        <w:shd w:val="clear"/>
        <w:spacing w:line="360" w:lineRule="auto"/>
        <w:ind w:firstLine="549" w:firstLineChars="229"/>
        <w:rPr>
          <w:rFonts w:cs="仿宋" w:asciiTheme="majorEastAsia" w:hAnsiTheme="majorEastAsia" w:eastAsiaTheme="majorEastAsia"/>
          <w:color w:val="auto"/>
          <w:sz w:val="24"/>
          <w:highlight w:val="none"/>
        </w:rPr>
      </w:pPr>
    </w:p>
    <w:p w14:paraId="76E3F326">
      <w:pPr>
        <w:shd w:val="clear"/>
        <w:spacing w:line="360" w:lineRule="auto"/>
        <w:rPr>
          <w:rFonts w:cs="仿宋" w:asciiTheme="majorEastAsia" w:hAnsiTheme="majorEastAsia" w:eastAsiaTheme="majorEastAsia"/>
          <w:color w:val="auto"/>
          <w:sz w:val="24"/>
          <w:highlight w:val="none"/>
        </w:rPr>
      </w:pPr>
    </w:p>
    <w:p w14:paraId="7DDF3ACD">
      <w:pPr>
        <w:shd w:val="clear"/>
        <w:spacing w:line="360" w:lineRule="auto"/>
        <w:jc w:val="center"/>
        <w:outlineLvl w:val="0"/>
        <w:rPr>
          <w:rFonts w:cs="仿宋" w:asciiTheme="majorEastAsia" w:hAnsiTheme="majorEastAsia" w:eastAsiaTheme="majorEastAsia"/>
          <w:b/>
          <w:color w:val="auto"/>
          <w:sz w:val="36"/>
          <w:szCs w:val="20"/>
          <w:highlight w:val="none"/>
        </w:rPr>
      </w:pPr>
      <w:bookmarkStart w:id="5" w:name="第一部分"/>
      <w:r>
        <w:rPr>
          <w:rFonts w:hint="eastAsia" w:cs="仿宋" w:asciiTheme="majorEastAsia" w:hAnsiTheme="majorEastAsia" w:eastAsiaTheme="majorEastAsia"/>
          <w:b/>
          <w:color w:val="auto"/>
          <w:sz w:val="36"/>
          <w:szCs w:val="36"/>
          <w:highlight w:val="none"/>
        </w:rPr>
        <w:br w:type="page"/>
      </w:r>
      <w:bookmarkEnd w:id="4"/>
      <w:bookmarkEnd w:id="5"/>
      <w:bookmarkStart w:id="6" w:name="_Hlt74729822"/>
      <w:bookmarkEnd w:id="6"/>
      <w:bookmarkStart w:id="7" w:name="_Hlt74707423"/>
      <w:bookmarkEnd w:id="7"/>
      <w:bookmarkStart w:id="8" w:name="_Hlt74649545"/>
      <w:bookmarkEnd w:id="8"/>
      <w:bookmarkStart w:id="9" w:name="_Hlt74728647"/>
      <w:bookmarkEnd w:id="9"/>
      <w:bookmarkStart w:id="10" w:name="第二部分"/>
      <w:bookmarkStart w:id="11" w:name="_Toc91899870"/>
      <w:bookmarkStart w:id="12" w:name="_Toc91899871"/>
      <w:r>
        <w:rPr>
          <w:rFonts w:hint="eastAsia" w:cs="仿宋" w:asciiTheme="majorEastAsia" w:hAnsiTheme="majorEastAsia" w:eastAsiaTheme="majorEastAsia"/>
          <w:b/>
          <w:color w:val="auto"/>
          <w:sz w:val="36"/>
          <w:szCs w:val="20"/>
          <w:highlight w:val="none"/>
        </w:rPr>
        <w:t>第一部分 招标公告</w:t>
      </w:r>
    </w:p>
    <w:p w14:paraId="599CE4E0">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项目概况</w:t>
      </w:r>
    </w:p>
    <w:p w14:paraId="13B1465F">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u w:val="single"/>
        </w:rPr>
      </w:pPr>
      <w:r>
        <w:rPr>
          <w:rFonts w:hint="eastAsia" w:cs="仿宋" w:asciiTheme="majorEastAsia" w:hAnsiTheme="majorEastAsia" w:eastAsiaTheme="majorEastAsia"/>
          <w:color w:val="auto"/>
          <w:sz w:val="24"/>
          <w:highlight w:val="none"/>
          <w:u w:val="single"/>
        </w:rPr>
        <w:t>2025-2027年奉化莼湖街道渔船风险隐患普查项目</w:t>
      </w:r>
      <w:r>
        <w:rPr>
          <w:rFonts w:hint="eastAsia" w:cs="仿宋" w:asciiTheme="majorEastAsia" w:hAnsiTheme="majorEastAsia" w:eastAsiaTheme="majorEastAsia"/>
          <w:color w:val="auto"/>
          <w:sz w:val="24"/>
          <w:highlight w:val="none"/>
        </w:rPr>
        <w:t>的潜在供应商应在政采云平台（</w:t>
      </w:r>
      <w:r>
        <w:rPr>
          <w:color w:val="auto"/>
          <w:highlight w:val="none"/>
        </w:rPr>
        <w:fldChar w:fldCharType="begin"/>
      </w:r>
      <w:r>
        <w:rPr>
          <w:color w:val="auto"/>
          <w:highlight w:val="none"/>
        </w:rPr>
        <w:instrText xml:space="preserve"> HYPERLINK "https://www.zcygov.cn/）获取（下载）招标文件，并于2023年00月00日09点00分00秒" </w:instrText>
      </w:r>
      <w:r>
        <w:rPr>
          <w:color w:val="auto"/>
          <w:highlight w:val="none"/>
        </w:rPr>
        <w:fldChar w:fldCharType="separate"/>
      </w:r>
      <w:r>
        <w:rPr>
          <w:rStyle w:val="22"/>
          <w:rFonts w:hint="eastAsia" w:cs="仿宋" w:asciiTheme="majorEastAsia" w:hAnsiTheme="majorEastAsia" w:eastAsiaTheme="majorEastAsia"/>
          <w:color w:val="auto"/>
          <w:sz w:val="24"/>
          <w:szCs w:val="24"/>
          <w:highlight w:val="none"/>
        </w:rPr>
        <w:t>https://www.zcygov.cn/）获取（下载）招标文件，并于</w:t>
      </w:r>
      <w:r>
        <w:rPr>
          <w:rStyle w:val="22"/>
          <w:rFonts w:hint="eastAsia" w:cs="仿宋" w:asciiTheme="majorEastAsia" w:hAnsiTheme="majorEastAsia" w:eastAsiaTheme="majorEastAsia"/>
          <w:snapToGrid/>
          <w:color w:val="auto"/>
          <w:kern w:val="2"/>
          <w:sz w:val="24"/>
          <w:szCs w:val="24"/>
          <w:highlight w:val="none"/>
        </w:rPr>
        <w:t>2025年</w:t>
      </w:r>
      <w:r>
        <w:rPr>
          <w:rStyle w:val="22"/>
          <w:rFonts w:hint="eastAsia" w:cs="仿宋" w:asciiTheme="majorEastAsia" w:hAnsiTheme="majorEastAsia" w:eastAsiaTheme="majorEastAsia"/>
          <w:snapToGrid/>
          <w:color w:val="auto"/>
          <w:kern w:val="2"/>
          <w:sz w:val="24"/>
          <w:szCs w:val="24"/>
          <w:highlight w:val="none"/>
          <w:lang w:val="en-US" w:eastAsia="zh-CN"/>
        </w:rPr>
        <w:t>08</w:t>
      </w:r>
      <w:r>
        <w:rPr>
          <w:rStyle w:val="22"/>
          <w:rFonts w:hint="eastAsia" w:cs="仿宋" w:asciiTheme="majorEastAsia" w:hAnsiTheme="majorEastAsia" w:eastAsiaTheme="majorEastAsia"/>
          <w:snapToGrid/>
          <w:color w:val="auto"/>
          <w:kern w:val="2"/>
          <w:sz w:val="24"/>
          <w:szCs w:val="24"/>
          <w:highlight w:val="none"/>
        </w:rPr>
        <w:t>月</w:t>
      </w:r>
      <w:r>
        <w:rPr>
          <w:rStyle w:val="22"/>
          <w:rFonts w:hint="eastAsia" w:cs="仿宋" w:asciiTheme="majorEastAsia" w:hAnsiTheme="majorEastAsia" w:eastAsiaTheme="majorEastAsia"/>
          <w:snapToGrid/>
          <w:color w:val="auto"/>
          <w:kern w:val="2"/>
          <w:sz w:val="24"/>
          <w:szCs w:val="24"/>
          <w:highlight w:val="none"/>
          <w:lang w:val="en-US" w:eastAsia="zh-CN"/>
        </w:rPr>
        <w:t>04</w:t>
      </w:r>
      <w:r>
        <w:rPr>
          <w:rStyle w:val="22"/>
          <w:rFonts w:hint="eastAsia" w:cs="仿宋" w:asciiTheme="majorEastAsia" w:hAnsiTheme="majorEastAsia" w:eastAsiaTheme="majorEastAsia"/>
          <w:snapToGrid/>
          <w:color w:val="auto"/>
          <w:kern w:val="2"/>
          <w:sz w:val="24"/>
          <w:szCs w:val="24"/>
          <w:highlight w:val="none"/>
        </w:rPr>
        <w:t>日</w:t>
      </w:r>
      <w:r>
        <w:rPr>
          <w:rStyle w:val="22"/>
          <w:rFonts w:hint="eastAsia" w:cs="仿宋" w:asciiTheme="majorEastAsia" w:hAnsiTheme="majorEastAsia" w:eastAsiaTheme="majorEastAsia"/>
          <w:snapToGrid/>
          <w:color w:val="auto"/>
          <w:kern w:val="2"/>
          <w:sz w:val="24"/>
          <w:szCs w:val="24"/>
          <w:highlight w:val="none"/>
          <w:lang w:val="en-US" w:eastAsia="zh-CN"/>
        </w:rPr>
        <w:t>14</w:t>
      </w:r>
      <w:r>
        <w:rPr>
          <w:rStyle w:val="22"/>
          <w:rFonts w:hint="eastAsia" w:cs="仿宋" w:asciiTheme="majorEastAsia" w:hAnsiTheme="majorEastAsia" w:eastAsiaTheme="majorEastAsia"/>
          <w:snapToGrid/>
          <w:color w:val="auto"/>
          <w:kern w:val="2"/>
          <w:sz w:val="24"/>
          <w:szCs w:val="24"/>
          <w:highlight w:val="none"/>
        </w:rPr>
        <w:t>点00分</w:t>
      </w:r>
      <w:r>
        <w:rPr>
          <w:rStyle w:val="22"/>
          <w:rFonts w:hint="eastAsia" w:cs="仿宋" w:asciiTheme="majorEastAsia" w:hAnsiTheme="majorEastAsia" w:eastAsiaTheme="majorEastAsia"/>
          <w:bCs/>
          <w:snapToGrid/>
          <w:color w:val="auto"/>
          <w:kern w:val="2"/>
          <w:sz w:val="24"/>
          <w:szCs w:val="24"/>
          <w:highlight w:val="none"/>
        </w:rPr>
        <w:t>00秒</w:t>
      </w:r>
      <w:r>
        <w:rPr>
          <w:rStyle w:val="22"/>
          <w:rFonts w:hint="eastAsia" w:cs="仿宋" w:asciiTheme="majorEastAsia" w:hAnsiTheme="majorEastAsia" w:eastAsiaTheme="majorEastAsia"/>
          <w:bCs/>
          <w:snapToGrid/>
          <w:color w:val="auto"/>
          <w:kern w:val="2"/>
          <w:sz w:val="24"/>
          <w:szCs w:val="24"/>
          <w:highlight w:val="none"/>
        </w:rPr>
        <w:fldChar w:fldCharType="end"/>
      </w:r>
      <w:r>
        <w:rPr>
          <w:rFonts w:hint="eastAsia" w:cs="仿宋" w:asciiTheme="majorEastAsia" w:hAnsiTheme="majorEastAsia" w:eastAsiaTheme="majorEastAsia"/>
          <w:bCs/>
          <w:color w:val="auto"/>
          <w:sz w:val="24"/>
          <w:highlight w:val="none"/>
        </w:rPr>
        <w:t>（北京时间）前</w:t>
      </w:r>
      <w:r>
        <w:rPr>
          <w:rFonts w:hint="eastAsia" w:cs="仿宋" w:asciiTheme="majorEastAsia" w:hAnsiTheme="majorEastAsia" w:eastAsiaTheme="majorEastAsia"/>
          <w:color w:val="auto"/>
          <w:sz w:val="24"/>
          <w:highlight w:val="none"/>
        </w:rPr>
        <w:t>递交（上传）投标文件。</w:t>
      </w:r>
    </w:p>
    <w:p w14:paraId="4D961438">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一、项目基本情况                                            </w:t>
      </w:r>
    </w:p>
    <w:p w14:paraId="391DE912">
      <w:pPr>
        <w:shd w:val="clear"/>
        <w:spacing w:line="360" w:lineRule="auto"/>
        <w:rPr>
          <w:rFonts w:hint="default"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项目编号：</w:t>
      </w:r>
      <w:r>
        <w:rPr>
          <w:rFonts w:cs="仿宋" w:asciiTheme="majorEastAsia" w:hAnsiTheme="majorEastAsia" w:eastAsiaTheme="majorEastAsia"/>
          <w:color w:val="auto"/>
          <w:sz w:val="24"/>
          <w:highlight w:val="none"/>
        </w:rPr>
        <w:t>FHZFCG(202</w:t>
      </w:r>
      <w:r>
        <w:rPr>
          <w:rFonts w:hint="eastAsia" w:cs="仿宋" w:asciiTheme="majorEastAsia" w:hAnsiTheme="majorEastAsia" w:eastAsiaTheme="majorEastAsia"/>
          <w:color w:val="auto"/>
          <w:sz w:val="24"/>
          <w:highlight w:val="none"/>
        </w:rPr>
        <w:t>5</w:t>
      </w:r>
      <w:r>
        <w:rPr>
          <w:rFonts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lang w:val="en-US" w:eastAsia="zh-CN"/>
        </w:rPr>
        <w:t>151</w:t>
      </w:r>
      <w:r>
        <w:rPr>
          <w:rFonts w:cs="仿宋" w:asciiTheme="majorEastAsia" w:hAnsiTheme="majorEastAsia" w:eastAsiaTheme="majorEastAsia"/>
          <w:color w:val="auto"/>
          <w:sz w:val="24"/>
          <w:highlight w:val="none"/>
        </w:rPr>
        <w:t>D</w:t>
      </w:r>
    </w:p>
    <w:p w14:paraId="7AA10FE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档案编号：</w:t>
      </w:r>
      <w:r>
        <w:rPr>
          <w:rFonts w:hint="eastAsia" w:cs="仿宋" w:asciiTheme="majorEastAsia" w:hAnsiTheme="majorEastAsia" w:eastAsiaTheme="majorEastAsia"/>
          <w:bCs/>
          <w:color w:val="auto"/>
          <w:sz w:val="24"/>
          <w:highlight w:val="none"/>
        </w:rPr>
        <w:t>JX-25110</w:t>
      </w:r>
    </w:p>
    <w:p w14:paraId="079AA37D">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项目名称：</w:t>
      </w:r>
      <w:r>
        <w:rPr>
          <w:rFonts w:hint="eastAsia" w:cs="仿宋" w:asciiTheme="majorEastAsia" w:hAnsiTheme="majorEastAsia" w:eastAsiaTheme="majorEastAsia"/>
          <w:color w:val="auto"/>
          <w:sz w:val="24"/>
          <w:highlight w:val="none"/>
        </w:rPr>
        <w:t>2025-2027年奉化莼湖街道渔船风险隐患普查项目</w:t>
      </w:r>
    </w:p>
    <w:p w14:paraId="3D26F72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预算金额（元）：1105500元/年</w:t>
      </w:r>
    </w:p>
    <w:p w14:paraId="052D2C42">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最高限价（元）：1105500元/年</w:t>
      </w:r>
    </w:p>
    <w:p w14:paraId="628C6D0E">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采购需求：（项目名称）主要内容：</w:t>
      </w:r>
      <w:r>
        <w:rPr>
          <w:rFonts w:hint="eastAsia" w:cs="仿宋" w:asciiTheme="majorEastAsia" w:hAnsiTheme="majorEastAsia" w:eastAsiaTheme="majorEastAsia"/>
          <w:color w:val="auto"/>
          <w:sz w:val="24"/>
          <w:highlight w:val="none"/>
        </w:rPr>
        <w:t>渔船风险隐患普查服务。详见招标文件第三部分采购需求。</w:t>
      </w:r>
    </w:p>
    <w:p w14:paraId="004E19F6">
      <w:pPr>
        <w:shd w:val="clear"/>
        <w:spacing w:line="360" w:lineRule="auto"/>
        <w:ind w:firstLine="48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合同履约期限：</w:t>
      </w:r>
      <w:r>
        <w:rPr>
          <w:rFonts w:hint="eastAsia" w:cs="仿宋" w:asciiTheme="majorEastAsia" w:hAnsiTheme="majorEastAsia" w:eastAsiaTheme="majorEastAsia"/>
          <w:color w:val="auto"/>
          <w:sz w:val="24"/>
          <w:highlight w:val="none"/>
        </w:rPr>
        <w:t>详见采购需求。</w:t>
      </w:r>
    </w:p>
    <w:p w14:paraId="17411226">
      <w:pPr>
        <w:pStyle w:val="6"/>
        <w:shd w:val="clear"/>
        <w:spacing w:line="360" w:lineRule="auto"/>
        <w:ind w:firstLine="48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本项目接受联合体投标：</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b/>
          <w:color w:val="auto"/>
          <w:sz w:val="24"/>
          <w:highlight w:val="none"/>
        </w:rPr>
        <w:t>是，</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b/>
          <w:color w:val="auto"/>
          <w:sz w:val="24"/>
          <w:highlight w:val="none"/>
        </w:rPr>
        <w:t>否</w:t>
      </w:r>
      <w:r>
        <w:rPr>
          <w:rFonts w:hint="eastAsia" w:cs="仿宋" w:asciiTheme="majorEastAsia" w:hAnsiTheme="majorEastAsia" w:eastAsiaTheme="majorEastAsia"/>
          <w:color w:val="auto"/>
          <w:kern w:val="0"/>
          <w:sz w:val="24"/>
          <w:highlight w:val="none"/>
        </w:rPr>
        <w:t>。</w:t>
      </w:r>
    </w:p>
    <w:p w14:paraId="7E1D7389">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二、申请人的资格要求：</w:t>
      </w:r>
    </w:p>
    <w:p w14:paraId="5179F547">
      <w:pPr>
        <w:shd w:val="clear"/>
        <w:spacing w:line="360" w:lineRule="auto"/>
        <w:ind w:firstLine="480"/>
        <w:rPr>
          <w:rFonts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00E143A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snapToGrid w:val="0"/>
          <w:color w:val="auto"/>
          <w:kern w:val="28"/>
          <w:sz w:val="24"/>
          <w:szCs w:val="20"/>
          <w:highlight w:val="none"/>
        </w:rPr>
        <w:t xml:space="preserve">    2.落实政府采购政策需满足的资格要求：</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color w:val="auto"/>
          <w:sz w:val="24"/>
          <w:highlight w:val="none"/>
        </w:rPr>
        <w:t>无；</w:t>
      </w:r>
    </w:p>
    <w:p w14:paraId="483F29C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3.本项目的特定资格要求：无</w:t>
      </w:r>
    </w:p>
    <w:p w14:paraId="0C6FC2C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B6B1325">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三、获取招标文件 </w:t>
      </w:r>
    </w:p>
    <w:p w14:paraId="24033328">
      <w:pPr>
        <w:shd w:val="clear"/>
        <w:spacing w:line="360" w:lineRule="auto"/>
        <w:ind w:firstLine="482" w:firstLineChars="200"/>
        <w:rPr>
          <w:rFonts w:hint="eastAsia" w:cs="仿宋" w:asciiTheme="majorEastAsia" w:hAnsiTheme="majorEastAsia" w:eastAsiaTheme="majorEastAsia"/>
          <w:b w:val="0"/>
          <w:bCs/>
          <w:color w:val="auto"/>
          <w:sz w:val="24"/>
          <w:highlight w:val="none"/>
        </w:rPr>
      </w:pPr>
      <w:bookmarkStart w:id="403" w:name="_GoBack"/>
      <w:r>
        <w:rPr>
          <w:rFonts w:hint="eastAsia" w:cs="仿宋" w:asciiTheme="majorEastAsia" w:hAnsiTheme="majorEastAsia" w:eastAsiaTheme="majorEastAsia"/>
          <w:b/>
          <w:color w:val="auto"/>
          <w:sz w:val="24"/>
          <w:highlight w:val="none"/>
        </w:rPr>
        <w:t>时间：</w:t>
      </w:r>
      <w:r>
        <w:rPr>
          <w:rFonts w:hint="eastAsia" w:cs="仿宋" w:asciiTheme="majorEastAsia" w:hAnsiTheme="majorEastAsia" w:eastAsiaTheme="majorEastAsia"/>
          <w:b w:val="0"/>
          <w:bCs/>
          <w:color w:val="auto"/>
          <w:sz w:val="24"/>
          <w:highlight w:val="none"/>
        </w:rPr>
        <w:t>2025年</w:t>
      </w:r>
      <w:r>
        <w:rPr>
          <w:rFonts w:hint="eastAsia" w:cs="仿宋" w:asciiTheme="majorEastAsia" w:hAnsiTheme="majorEastAsia" w:eastAsiaTheme="majorEastAsia"/>
          <w:b w:val="0"/>
          <w:bCs/>
          <w:color w:val="auto"/>
          <w:sz w:val="24"/>
          <w:highlight w:val="none"/>
          <w:lang w:val="en-US" w:eastAsia="zh-CN"/>
        </w:rPr>
        <w:t>07</w:t>
      </w:r>
      <w:r>
        <w:rPr>
          <w:rFonts w:hint="eastAsia" w:cs="仿宋" w:asciiTheme="majorEastAsia" w:hAnsiTheme="majorEastAsia" w:eastAsiaTheme="majorEastAsia"/>
          <w:b w:val="0"/>
          <w:bCs/>
          <w:color w:val="auto"/>
          <w:sz w:val="24"/>
          <w:highlight w:val="none"/>
        </w:rPr>
        <w:t>月</w:t>
      </w:r>
      <w:r>
        <w:rPr>
          <w:rFonts w:hint="eastAsia" w:cs="仿宋" w:asciiTheme="majorEastAsia" w:hAnsiTheme="majorEastAsia" w:eastAsiaTheme="majorEastAsia"/>
          <w:b w:val="0"/>
          <w:bCs/>
          <w:color w:val="auto"/>
          <w:sz w:val="24"/>
          <w:highlight w:val="none"/>
          <w:lang w:val="en-US" w:eastAsia="zh-CN"/>
        </w:rPr>
        <w:t>01</w:t>
      </w:r>
      <w:r>
        <w:rPr>
          <w:rFonts w:hint="eastAsia" w:cs="仿宋" w:asciiTheme="majorEastAsia" w:hAnsiTheme="majorEastAsia" w:eastAsiaTheme="majorEastAsia"/>
          <w:b w:val="0"/>
          <w:bCs/>
          <w:color w:val="auto"/>
          <w:sz w:val="24"/>
          <w:highlight w:val="none"/>
        </w:rPr>
        <w:t>日至2025年</w:t>
      </w:r>
      <w:r>
        <w:rPr>
          <w:rFonts w:hint="eastAsia" w:cs="仿宋" w:asciiTheme="majorEastAsia" w:hAnsiTheme="majorEastAsia" w:eastAsiaTheme="majorEastAsia"/>
          <w:b w:val="0"/>
          <w:bCs/>
          <w:color w:val="auto"/>
          <w:sz w:val="24"/>
          <w:highlight w:val="none"/>
          <w:lang w:val="en-US" w:eastAsia="zh-CN"/>
        </w:rPr>
        <w:t>07</w:t>
      </w:r>
      <w:r>
        <w:rPr>
          <w:rFonts w:hint="eastAsia" w:cs="仿宋" w:asciiTheme="majorEastAsia" w:hAnsiTheme="majorEastAsia" w:eastAsiaTheme="majorEastAsia"/>
          <w:b w:val="0"/>
          <w:bCs/>
          <w:color w:val="auto"/>
          <w:sz w:val="24"/>
          <w:highlight w:val="none"/>
        </w:rPr>
        <w:t>月</w:t>
      </w:r>
      <w:r>
        <w:rPr>
          <w:rFonts w:hint="eastAsia" w:cs="仿宋" w:asciiTheme="majorEastAsia" w:hAnsiTheme="majorEastAsia" w:eastAsiaTheme="majorEastAsia"/>
          <w:b w:val="0"/>
          <w:bCs/>
          <w:color w:val="auto"/>
          <w:sz w:val="24"/>
          <w:highlight w:val="none"/>
          <w:lang w:val="en-US" w:eastAsia="zh-CN"/>
        </w:rPr>
        <w:t>25</w:t>
      </w:r>
      <w:r>
        <w:rPr>
          <w:rFonts w:hint="eastAsia" w:cs="仿宋" w:asciiTheme="majorEastAsia" w:hAnsiTheme="majorEastAsia" w:eastAsiaTheme="majorEastAsia"/>
          <w:b w:val="0"/>
          <w:bCs/>
          <w:color w:val="auto"/>
          <w:sz w:val="24"/>
          <w:highlight w:val="none"/>
        </w:rPr>
        <w:t>日，每天上午00:00至12:00 ，下午12:00至23:59（北京时间）。</w:t>
      </w:r>
    </w:p>
    <w:bookmarkEnd w:id="403"/>
    <w:p w14:paraId="0C0F9A8A">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地点（网址）：</w:t>
      </w:r>
      <w:r>
        <w:rPr>
          <w:rFonts w:hint="eastAsia" w:cs="仿宋" w:asciiTheme="majorEastAsia" w:hAnsiTheme="majorEastAsia" w:eastAsiaTheme="majorEastAsia"/>
          <w:color w:val="auto"/>
          <w:sz w:val="24"/>
          <w:highlight w:val="none"/>
        </w:rPr>
        <w:t>政采云平台（https://www.zcygov.cn/）。</w:t>
      </w:r>
    </w:p>
    <w:p w14:paraId="7164BF1C">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方式：</w:t>
      </w:r>
      <w:r>
        <w:rPr>
          <w:rFonts w:hint="eastAsia" w:cs="仿宋" w:asciiTheme="majorEastAsia" w:hAnsiTheme="majorEastAsia" w:eastAsiaTheme="majorEastAsia"/>
          <w:color w:val="auto"/>
          <w:sz w:val="24"/>
          <w:highlight w:val="none"/>
        </w:rPr>
        <w:t xml:space="preserve">供应商登录政采云平台https://www.zcygov.cn/在线申请获取招标文件（进入“项目采购”应用，在获取采购文件菜单中选择项目，申请获取招标文件）。 </w:t>
      </w:r>
    </w:p>
    <w:p w14:paraId="14130E06">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售价（元）：</w:t>
      </w:r>
      <w:r>
        <w:rPr>
          <w:rFonts w:hint="eastAsia" w:cs="仿宋" w:asciiTheme="majorEastAsia" w:hAnsiTheme="majorEastAsia" w:eastAsiaTheme="majorEastAsia"/>
          <w:color w:val="auto"/>
          <w:sz w:val="24"/>
          <w:highlight w:val="none"/>
        </w:rPr>
        <w:t xml:space="preserve">0 </w:t>
      </w:r>
      <w:r>
        <w:rPr>
          <w:rFonts w:hint="eastAsia" w:cs="仿宋" w:asciiTheme="majorEastAsia" w:hAnsiTheme="majorEastAsia" w:eastAsiaTheme="majorEastAsia"/>
          <w:color w:val="auto"/>
          <w:sz w:val="24"/>
          <w:highlight w:val="none"/>
        </w:rPr>
        <w:tab/>
      </w:r>
    </w:p>
    <w:p w14:paraId="28EC9C8D">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四、提交投标文件截止时间、开标时间和地点</w:t>
      </w:r>
    </w:p>
    <w:p w14:paraId="653E02A1">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提交投标文件截止时间：</w:t>
      </w:r>
      <w:r>
        <w:rPr>
          <w:rFonts w:hint="eastAsia" w:cs="仿宋" w:asciiTheme="majorEastAsia" w:hAnsiTheme="majorEastAsia" w:eastAsiaTheme="majorEastAsia"/>
          <w:color w:val="auto"/>
          <w:sz w:val="24"/>
          <w:highlight w:val="none"/>
          <w:u w:val="single"/>
        </w:rPr>
        <w:t xml:space="preserve"> 2025年</w:t>
      </w:r>
      <w:r>
        <w:rPr>
          <w:rFonts w:hint="eastAsia" w:cs="仿宋" w:asciiTheme="majorEastAsia" w:hAnsiTheme="majorEastAsia" w:eastAsiaTheme="majorEastAsia"/>
          <w:color w:val="auto"/>
          <w:sz w:val="24"/>
          <w:highlight w:val="none"/>
          <w:u w:val="single"/>
          <w:lang w:val="en-US" w:eastAsia="zh-CN"/>
        </w:rPr>
        <w:t>08</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04</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14</w:t>
      </w:r>
      <w:r>
        <w:rPr>
          <w:rFonts w:hint="eastAsia" w:cs="仿宋" w:asciiTheme="majorEastAsia" w:hAnsiTheme="majorEastAsia" w:eastAsiaTheme="majorEastAsia"/>
          <w:color w:val="auto"/>
          <w:sz w:val="24"/>
          <w:highlight w:val="none"/>
          <w:u w:val="single"/>
        </w:rPr>
        <w:t>点00分</w:t>
      </w:r>
      <w:r>
        <w:rPr>
          <w:rFonts w:hint="eastAsia" w:cs="仿宋" w:asciiTheme="majorEastAsia" w:hAnsiTheme="majorEastAsia" w:eastAsiaTheme="majorEastAsia"/>
          <w:bCs/>
          <w:color w:val="auto"/>
          <w:sz w:val="24"/>
          <w:highlight w:val="none"/>
          <w:u w:val="single"/>
        </w:rPr>
        <w:t xml:space="preserve"> </w:t>
      </w:r>
      <w:r>
        <w:rPr>
          <w:rFonts w:hint="eastAsia" w:cs="仿宋" w:asciiTheme="majorEastAsia" w:hAnsiTheme="majorEastAsia" w:eastAsiaTheme="majorEastAsia"/>
          <w:color w:val="auto"/>
          <w:sz w:val="24"/>
          <w:highlight w:val="none"/>
        </w:rPr>
        <w:t>（北京时间）。</w:t>
      </w:r>
    </w:p>
    <w:p w14:paraId="136A3524">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投标地点（网址）：</w:t>
      </w:r>
      <w:r>
        <w:rPr>
          <w:rFonts w:hint="eastAsia" w:cs="仿宋" w:asciiTheme="majorEastAsia" w:hAnsiTheme="majorEastAsia" w:eastAsiaTheme="majorEastAsia"/>
          <w:color w:val="auto"/>
          <w:sz w:val="24"/>
          <w:highlight w:val="none"/>
        </w:rPr>
        <w:t>政采云平台（https://www.zcygov.cn/）。</w:t>
      </w:r>
    </w:p>
    <w:p w14:paraId="501E81CC">
      <w:pPr>
        <w:shd w:val="clear"/>
        <w:spacing w:line="360" w:lineRule="auto"/>
        <w:ind w:firstLine="482" w:firstLineChars="200"/>
        <w:rPr>
          <w:rFonts w:cs="仿宋" w:asciiTheme="majorEastAsia" w:hAnsiTheme="majorEastAsia" w:eastAsiaTheme="majorEastAsia"/>
          <w:bCs/>
          <w:color w:val="auto"/>
          <w:sz w:val="24"/>
          <w:highlight w:val="none"/>
          <w:u w:val="single"/>
        </w:rPr>
      </w:pPr>
      <w:r>
        <w:rPr>
          <w:rFonts w:hint="eastAsia" w:cs="仿宋" w:asciiTheme="majorEastAsia" w:hAnsiTheme="majorEastAsia" w:eastAsiaTheme="majorEastAsia"/>
          <w:b/>
          <w:color w:val="auto"/>
          <w:sz w:val="24"/>
          <w:highlight w:val="none"/>
        </w:rPr>
        <w:t>开标时间：</w:t>
      </w:r>
      <w:r>
        <w:rPr>
          <w:rFonts w:hint="eastAsia" w:cs="仿宋" w:asciiTheme="majorEastAsia" w:hAnsiTheme="majorEastAsia" w:eastAsiaTheme="majorEastAsia"/>
          <w:color w:val="auto"/>
          <w:sz w:val="24"/>
          <w:highlight w:val="none"/>
          <w:u w:val="single"/>
        </w:rPr>
        <w:t xml:space="preserve"> 2025年</w:t>
      </w:r>
      <w:r>
        <w:rPr>
          <w:rFonts w:hint="eastAsia" w:cs="仿宋" w:asciiTheme="majorEastAsia" w:hAnsiTheme="majorEastAsia" w:eastAsiaTheme="majorEastAsia"/>
          <w:color w:val="auto"/>
          <w:sz w:val="24"/>
          <w:highlight w:val="none"/>
          <w:u w:val="single"/>
          <w:lang w:val="en-US" w:eastAsia="zh-CN"/>
        </w:rPr>
        <w:t>08</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04</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14</w:t>
      </w:r>
      <w:r>
        <w:rPr>
          <w:rFonts w:hint="eastAsia" w:cs="仿宋" w:asciiTheme="majorEastAsia" w:hAnsiTheme="majorEastAsia" w:eastAsiaTheme="majorEastAsia"/>
          <w:color w:val="auto"/>
          <w:sz w:val="24"/>
          <w:highlight w:val="none"/>
          <w:u w:val="single"/>
        </w:rPr>
        <w:t>点00分</w:t>
      </w:r>
      <w:r>
        <w:rPr>
          <w:rFonts w:hint="eastAsia" w:cs="仿宋" w:asciiTheme="majorEastAsia" w:hAnsiTheme="majorEastAsia" w:eastAsiaTheme="majorEastAsia"/>
          <w:bCs/>
          <w:color w:val="auto"/>
          <w:sz w:val="24"/>
          <w:highlight w:val="none"/>
        </w:rPr>
        <w:t>。</w:t>
      </w:r>
    </w:p>
    <w:p w14:paraId="2E20F832">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开标地点（网址）：</w:t>
      </w:r>
      <w:r>
        <w:rPr>
          <w:rFonts w:hint="eastAsia" w:cs="仿宋" w:asciiTheme="majorEastAsia" w:hAnsiTheme="majorEastAsia" w:eastAsiaTheme="majorEastAsia"/>
          <w:color w:val="auto"/>
          <w:sz w:val="24"/>
          <w:highlight w:val="none"/>
        </w:rPr>
        <w:t>政采云平台（https://www.zcygov.cn/）。</w:t>
      </w:r>
    </w:p>
    <w:p w14:paraId="34383147">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开标地点（线下）：</w:t>
      </w:r>
      <w:r>
        <w:rPr>
          <w:rFonts w:hint="eastAsia" w:cs="仿宋" w:asciiTheme="majorEastAsia" w:hAnsiTheme="majorEastAsia" w:eastAsiaTheme="majorEastAsia"/>
          <w:bCs/>
          <w:color w:val="auto"/>
          <w:sz w:val="24"/>
          <w:highlight w:val="none"/>
        </w:rPr>
        <w:t>宁波市奉化区公共资源交易中心开标厅</w:t>
      </w:r>
      <w:r>
        <w:rPr>
          <w:rFonts w:hint="eastAsia" w:cs="仿宋" w:asciiTheme="majorEastAsia" w:hAnsiTheme="majorEastAsia" w:eastAsiaTheme="majorEastAsia"/>
          <w:bCs/>
          <w:color w:val="auto"/>
          <w:sz w:val="24"/>
          <w:highlight w:val="none"/>
          <w:lang w:val="en-US" w:eastAsia="zh-CN"/>
        </w:rPr>
        <w:t>二</w:t>
      </w:r>
      <w:r>
        <w:rPr>
          <w:rFonts w:hint="eastAsia" w:cs="仿宋" w:asciiTheme="majorEastAsia" w:hAnsiTheme="majorEastAsia" w:eastAsiaTheme="majorEastAsia"/>
          <w:bCs/>
          <w:color w:val="auto"/>
          <w:sz w:val="24"/>
          <w:highlight w:val="none"/>
        </w:rPr>
        <w:t>（宁波市奉化区大成东路277号4楼）</w:t>
      </w:r>
    </w:p>
    <w:p w14:paraId="0AA3A5DD">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 xml:space="preserve">五、公告期限 </w:t>
      </w:r>
    </w:p>
    <w:p w14:paraId="28D4A2F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自本公告发布之日起5个工作日。</w:t>
      </w:r>
    </w:p>
    <w:p w14:paraId="27A66C6F">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六、其他补充事宜</w:t>
      </w:r>
    </w:p>
    <w:p w14:paraId="0B7DCC9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329EDBA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按照平台提示和招标文件的规定在半小时内完成在线解密。⑨具体操作指南：详见政采云平台“服务中心-帮助文档-项目采购-操作流程-电子招投标-政府采购项目电子交易管理操作指南-供应商”。</w:t>
      </w:r>
    </w:p>
    <w:p w14:paraId="70EC2AB8">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七、对本次采购提出询问、质疑、投诉，请按以下方式联系</w:t>
      </w:r>
    </w:p>
    <w:p w14:paraId="2821410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1.采购人信息</w:t>
      </w:r>
    </w:p>
    <w:p w14:paraId="1F9F363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名    称：</w:t>
      </w:r>
      <w:r>
        <w:rPr>
          <w:rFonts w:hint="eastAsia" w:ascii="宋体" w:hAnsi="宋体" w:cs="宋体" w:eastAsiaTheme="majorEastAsia"/>
          <w:color w:val="auto"/>
          <w:sz w:val="24"/>
          <w:szCs w:val="22"/>
          <w:highlight w:val="none"/>
        </w:rPr>
        <w:t xml:space="preserve">宁波市奉化区人民政府莼湖街道办事处   </w:t>
      </w:r>
    </w:p>
    <w:p w14:paraId="16374B0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地    址：</w:t>
      </w:r>
      <w:r>
        <w:rPr>
          <w:rFonts w:hint="eastAsia" w:ascii="宋体" w:hAnsi="宋体" w:cs="宋体"/>
          <w:color w:val="auto"/>
          <w:sz w:val="24"/>
          <w:highlight w:val="none"/>
        </w:rPr>
        <w:t>奉化区莼湖街道东盛路306号</w:t>
      </w:r>
    </w:p>
    <w:p w14:paraId="28B4FDE3">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传    真：/</w:t>
      </w:r>
    </w:p>
    <w:p w14:paraId="6A9CA952">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项目联系人（询问）：邱先生</w:t>
      </w:r>
    </w:p>
    <w:p w14:paraId="75805503">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项目联系方式（询问）：15867810667</w:t>
      </w:r>
    </w:p>
    <w:p w14:paraId="596C319D">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质疑联系人：吴女士</w:t>
      </w:r>
    </w:p>
    <w:p w14:paraId="2C11788B">
      <w:pPr>
        <w:shd w:val="clear"/>
        <w:spacing w:line="360" w:lineRule="auto"/>
        <w:ind w:firstLine="480"/>
        <w:rPr>
          <w:rFonts w:ascii="宋体" w:hAnsi="宋体" w:cs="仿宋"/>
          <w:color w:val="auto"/>
          <w:sz w:val="24"/>
          <w:highlight w:val="none"/>
        </w:rPr>
      </w:pPr>
      <w:r>
        <w:rPr>
          <w:rFonts w:hint="eastAsia" w:ascii="宋体" w:hAnsi="宋体" w:cs="仿宋"/>
          <w:color w:val="auto"/>
          <w:sz w:val="24"/>
          <w:highlight w:val="none"/>
        </w:rPr>
        <w:t>质疑联系方式：13968300305</w:t>
      </w:r>
    </w:p>
    <w:p w14:paraId="6C15E39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2.采购代理机构信息            </w:t>
      </w:r>
    </w:p>
    <w:p w14:paraId="4F22DBEB">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    称：宁波敬信项目管理咨询有限公司</w:t>
      </w:r>
    </w:p>
    <w:p w14:paraId="5C799AF7">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    址：</w:t>
      </w:r>
      <w:r>
        <w:rPr>
          <w:rFonts w:hint="eastAsia" w:cs="宋体" w:asciiTheme="majorEastAsia" w:hAnsiTheme="majorEastAsia" w:eastAsiaTheme="majorEastAsia"/>
          <w:bCs/>
          <w:color w:val="auto"/>
          <w:sz w:val="24"/>
          <w:highlight w:val="none"/>
        </w:rPr>
        <w:t>宁波市奉化区岳林东路商业二16幢502室（惠政丽都北门）</w:t>
      </w:r>
    </w:p>
    <w:p w14:paraId="0696BC4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传    真：</w:t>
      </w:r>
      <w:r>
        <w:rPr>
          <w:rFonts w:hint="eastAsia" w:ascii="宋体" w:hAnsi="宋体" w:cs="宋体"/>
          <w:bCs/>
          <w:color w:val="auto"/>
          <w:sz w:val="24"/>
          <w:highlight w:val="none"/>
        </w:rPr>
        <w:t>0574-88986381</w:t>
      </w:r>
      <w:r>
        <w:rPr>
          <w:rFonts w:hint="eastAsia" w:cs="仿宋" w:asciiTheme="majorEastAsia" w:hAnsiTheme="majorEastAsia" w:eastAsiaTheme="majorEastAsia"/>
          <w:color w:val="auto"/>
          <w:sz w:val="24"/>
          <w:highlight w:val="none"/>
        </w:rPr>
        <w:t xml:space="preserve">             </w:t>
      </w:r>
    </w:p>
    <w:p w14:paraId="2185079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项目联系人（询问）：丁先生</w:t>
      </w:r>
    </w:p>
    <w:p w14:paraId="015A319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项目联系方式（询问）： </w:t>
      </w:r>
      <w:r>
        <w:rPr>
          <w:rFonts w:hint="eastAsia" w:ascii="宋体" w:hAnsi="宋体" w:cs="宋体"/>
          <w:bCs/>
          <w:color w:val="auto"/>
          <w:sz w:val="24"/>
          <w:highlight w:val="none"/>
        </w:rPr>
        <w:t>0574-88986381</w:t>
      </w:r>
    </w:p>
    <w:p w14:paraId="651F237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质疑联系人：</w:t>
      </w:r>
      <w:r>
        <w:rPr>
          <w:rFonts w:hint="eastAsia" w:ascii="宋体" w:hAnsi="宋体" w:cs="宋体" w:eastAsiaTheme="majorEastAsia"/>
          <w:color w:val="auto"/>
          <w:sz w:val="24"/>
          <w:highlight w:val="none"/>
        </w:rPr>
        <w:t>罗女士</w:t>
      </w:r>
      <w:r>
        <w:rPr>
          <w:rFonts w:hint="eastAsia" w:cs="仿宋" w:asciiTheme="majorEastAsia" w:hAnsiTheme="majorEastAsia" w:eastAsiaTheme="majorEastAsia"/>
          <w:color w:val="auto"/>
          <w:sz w:val="24"/>
          <w:highlight w:val="none"/>
        </w:rPr>
        <w:t xml:space="preserve">  </w:t>
      </w:r>
    </w:p>
    <w:p w14:paraId="3FE4CD25">
      <w:pPr>
        <w:shd w:val="clear"/>
        <w:spacing w:line="360" w:lineRule="auto"/>
        <w:rPr>
          <w:rFonts w:cs="仿宋" w:asciiTheme="majorEastAsia" w:hAnsiTheme="majorEastAsia"/>
          <w:color w:val="auto"/>
          <w:sz w:val="24"/>
          <w:highlight w:val="none"/>
        </w:rPr>
      </w:pPr>
      <w:r>
        <w:rPr>
          <w:rFonts w:hint="eastAsia" w:cs="仿宋" w:asciiTheme="majorEastAsia" w:hAnsiTheme="majorEastAsia" w:eastAsiaTheme="majorEastAsia"/>
          <w:color w:val="auto"/>
          <w:sz w:val="24"/>
          <w:highlight w:val="none"/>
        </w:rPr>
        <w:t xml:space="preserve">    质疑联系方式：</w:t>
      </w:r>
      <w:r>
        <w:rPr>
          <w:rFonts w:hint="eastAsia" w:ascii="宋体" w:hAnsi="宋体" w:cs="宋体"/>
          <w:bCs/>
          <w:color w:val="auto"/>
          <w:sz w:val="24"/>
          <w:highlight w:val="none"/>
        </w:rPr>
        <w:t>0574-88986386</w:t>
      </w:r>
    </w:p>
    <w:p w14:paraId="0C0AE7B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3.同级监督管理部门            </w:t>
      </w:r>
    </w:p>
    <w:p w14:paraId="758AA1C1">
      <w:pPr>
        <w:shd w:val="clear"/>
        <w:spacing w:line="360" w:lineRule="auto"/>
        <w:rPr>
          <w:rFonts w:ascii="宋体" w:hAnsi="宋体" w:cs="仿宋"/>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ascii="宋体" w:hAnsi="宋体" w:cs="仿宋"/>
          <w:color w:val="auto"/>
          <w:sz w:val="24"/>
          <w:highlight w:val="none"/>
        </w:rPr>
        <w:t xml:space="preserve">  名    称： 宁波市奉化区财政局政府采购监管科</w:t>
      </w:r>
    </w:p>
    <w:p w14:paraId="615FFD95">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地    址： 宁波市奉化区大成东路275号1015办公室</w:t>
      </w:r>
    </w:p>
    <w:p w14:paraId="7C14B6A9">
      <w:pPr>
        <w:shd w:val="clear"/>
        <w:spacing w:line="360" w:lineRule="auto"/>
        <w:ind w:firstLine="240" w:firstLineChars="100"/>
        <w:rPr>
          <w:rFonts w:ascii="宋体" w:hAnsi="宋体" w:cs="仿宋"/>
          <w:color w:val="auto"/>
          <w:sz w:val="24"/>
          <w:highlight w:val="none"/>
        </w:rPr>
      </w:pPr>
      <w:r>
        <w:rPr>
          <w:rFonts w:hint="eastAsia" w:ascii="宋体" w:hAnsi="宋体" w:cs="仿宋"/>
          <w:color w:val="auto"/>
          <w:sz w:val="24"/>
          <w:highlight w:val="none"/>
        </w:rPr>
        <w:t xml:space="preserve">  传    真：  0574-89285326 </w:t>
      </w:r>
    </w:p>
    <w:p w14:paraId="003365AF">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联 系 人 ： 何老师 </w:t>
      </w:r>
    </w:p>
    <w:p w14:paraId="5C54D4C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ascii="宋体" w:hAnsi="宋体" w:cs="仿宋"/>
          <w:color w:val="auto"/>
          <w:sz w:val="24"/>
          <w:highlight w:val="none"/>
        </w:rPr>
        <w:t xml:space="preserve">监督投诉电话：13906846318    </w:t>
      </w:r>
      <w:r>
        <w:rPr>
          <w:rFonts w:hint="eastAsia" w:cs="仿宋" w:asciiTheme="majorEastAsia" w:hAnsiTheme="majorEastAsia" w:eastAsiaTheme="majorEastAsia"/>
          <w:color w:val="auto"/>
          <w:sz w:val="24"/>
          <w:highlight w:val="none"/>
        </w:rPr>
        <w:t xml:space="preserve">         </w:t>
      </w:r>
    </w:p>
    <w:p w14:paraId="29177CB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38A96FE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CA问题联系电话（人工）：汇信CA 400-888-4636；天谷CA 400-087-8198。</w:t>
      </w:r>
    </w:p>
    <w:p w14:paraId="59E7596E">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highlight w:val="none"/>
        </w:rPr>
        <w:t xml:space="preserve">                              </w:t>
      </w:r>
    </w:p>
    <w:p w14:paraId="431033DD">
      <w:pPr>
        <w:shd w:val="clear"/>
        <w:spacing w:line="360" w:lineRule="auto"/>
        <w:jc w:val="center"/>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br w:type="page"/>
      </w:r>
      <w:r>
        <w:rPr>
          <w:rFonts w:hint="eastAsia" w:cs="仿宋" w:asciiTheme="majorEastAsia" w:hAnsiTheme="majorEastAsia" w:eastAsiaTheme="majorEastAsia"/>
          <w:b/>
          <w:color w:val="auto"/>
          <w:sz w:val="36"/>
          <w:szCs w:val="20"/>
          <w:highlight w:val="none"/>
        </w:rPr>
        <w:t>第二部分</w:t>
      </w:r>
      <w:bookmarkEnd w:id="10"/>
      <w:r>
        <w:rPr>
          <w:rFonts w:hint="eastAsia" w:cs="仿宋" w:asciiTheme="majorEastAsia" w:hAnsiTheme="majorEastAsia" w:eastAsiaTheme="majorEastAsia"/>
          <w:b/>
          <w:color w:val="auto"/>
          <w:sz w:val="36"/>
          <w:szCs w:val="20"/>
          <w:highlight w:val="none"/>
        </w:rPr>
        <w:t xml:space="preserve"> 投标须知</w:t>
      </w:r>
      <w:bookmarkEnd w:id="11"/>
    </w:p>
    <w:p w14:paraId="158D229D">
      <w:pPr>
        <w:shd w:val="clea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前附表</w:t>
      </w:r>
    </w:p>
    <w:tbl>
      <w:tblPr>
        <w:tblStyle w:val="18"/>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4F6DA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C946600">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F8AB366">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057324F8">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本项目的特别规定</w:t>
            </w:r>
          </w:p>
        </w:tc>
      </w:tr>
      <w:tr w14:paraId="03268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13A99485">
            <w:pPr>
              <w:shd w:val="clear"/>
              <w:snapToGrid w:val="0"/>
              <w:spacing w:line="360" w:lineRule="auto"/>
              <w:jc w:val="center"/>
              <w:rPr>
                <w:rFonts w:cs="仿宋" w:asciiTheme="majorEastAsia" w:hAnsiTheme="majorEastAsia" w:eastAsiaTheme="majorEastAsia"/>
                <w:color w:val="auto"/>
                <w:sz w:val="24"/>
                <w:highlight w:val="none"/>
              </w:rPr>
            </w:pPr>
          </w:p>
          <w:p w14:paraId="23A0F89D">
            <w:pPr>
              <w:shd w:val="clear"/>
              <w:snapToGrid w:val="0"/>
              <w:spacing w:line="360" w:lineRule="auto"/>
              <w:jc w:val="center"/>
              <w:rPr>
                <w:rFonts w:cs="仿宋" w:asciiTheme="majorEastAsia" w:hAnsiTheme="majorEastAsia" w:eastAsiaTheme="majorEastAsia"/>
                <w:color w:val="auto"/>
                <w:sz w:val="24"/>
                <w:highlight w:val="none"/>
              </w:rPr>
            </w:pPr>
          </w:p>
          <w:p w14:paraId="547D7BA0">
            <w:pPr>
              <w:shd w:val="clear"/>
              <w:snapToGrid w:val="0"/>
              <w:spacing w:line="360" w:lineRule="auto"/>
              <w:jc w:val="center"/>
              <w:rPr>
                <w:rFonts w:cs="仿宋" w:asciiTheme="majorEastAsia" w:hAnsiTheme="majorEastAsia" w:eastAsiaTheme="majorEastAsia"/>
                <w:color w:val="auto"/>
                <w:sz w:val="24"/>
                <w:highlight w:val="none"/>
              </w:rPr>
            </w:pPr>
          </w:p>
          <w:p w14:paraId="349E8A94">
            <w:pPr>
              <w:shd w:val="clear"/>
              <w:snapToGrid w:val="0"/>
              <w:spacing w:line="360" w:lineRule="auto"/>
              <w:jc w:val="center"/>
              <w:rPr>
                <w:rFonts w:cs="仿宋" w:asciiTheme="majorEastAsia" w:hAnsiTheme="majorEastAsia" w:eastAsiaTheme="majorEastAsia"/>
                <w:color w:val="auto"/>
                <w:sz w:val="24"/>
                <w:highlight w:val="none"/>
              </w:rPr>
            </w:pPr>
          </w:p>
          <w:p w14:paraId="7AD820D0">
            <w:pPr>
              <w:shd w:val="clear"/>
              <w:snapToGrid w:val="0"/>
              <w:spacing w:line="360" w:lineRule="auto"/>
              <w:jc w:val="center"/>
              <w:rPr>
                <w:rFonts w:cs="仿宋" w:asciiTheme="majorEastAsia" w:hAnsiTheme="majorEastAsia" w:eastAsiaTheme="majorEastAsia"/>
                <w:color w:val="auto"/>
                <w:sz w:val="24"/>
                <w:highlight w:val="none"/>
              </w:rPr>
            </w:pPr>
          </w:p>
          <w:p w14:paraId="4C612E49">
            <w:pPr>
              <w:shd w:val="clear"/>
              <w:snapToGrid w:val="0"/>
              <w:spacing w:line="360" w:lineRule="auto"/>
              <w:jc w:val="center"/>
              <w:rPr>
                <w:rFonts w:cs="仿宋" w:asciiTheme="majorEastAsia" w:hAnsiTheme="majorEastAsia" w:eastAsiaTheme="majorEastAsia"/>
                <w:color w:val="auto"/>
                <w:sz w:val="24"/>
                <w:highlight w:val="none"/>
              </w:rPr>
            </w:pPr>
          </w:p>
          <w:p w14:paraId="0D7EC51B">
            <w:pPr>
              <w:shd w:val="clear"/>
              <w:snapToGrid w:val="0"/>
              <w:spacing w:line="360" w:lineRule="auto"/>
              <w:jc w:val="center"/>
              <w:rPr>
                <w:rFonts w:cs="仿宋" w:asciiTheme="majorEastAsia" w:hAnsiTheme="majorEastAsia" w:eastAsiaTheme="majorEastAsia"/>
                <w:color w:val="auto"/>
                <w:sz w:val="24"/>
                <w:highlight w:val="none"/>
              </w:rPr>
            </w:pPr>
          </w:p>
          <w:p w14:paraId="46C39464">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5200E93">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721CB358">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有关本项目实施所需的所有费用（含税费）均计入报价。</w:t>
            </w:r>
            <w:r>
              <w:rPr>
                <w:rFonts w:hint="eastAsia" w:cs="仿宋" w:asciiTheme="majorEastAsia" w:hAnsiTheme="majorEastAsia" w:eastAsiaTheme="majorEastAsia"/>
                <w:color w:val="auto"/>
                <w:sz w:val="24"/>
                <w:highlight w:val="none"/>
              </w:rPr>
              <w:t>开标一览表是报价的唯一载体</w:t>
            </w:r>
            <w:r>
              <w:rPr>
                <w:rFonts w:hint="eastAsia" w:cs="仿宋" w:asciiTheme="majorEastAsia" w:hAnsiTheme="majorEastAsia" w:eastAsiaTheme="majorEastAsia"/>
                <w:color w:val="auto"/>
                <w:kern w:val="0"/>
                <w:sz w:val="24"/>
                <w:highlight w:val="none"/>
                <w:lang w:val="zh-CN"/>
              </w:rPr>
              <w:t>。投标文件中价格全部采用人民币报价。招标文件未列明，而供应商认为必需的费用也需列入报价。</w:t>
            </w:r>
          </w:p>
          <w:p w14:paraId="6B89B51A">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投标报价出现下列情形的，投标无效：</w:t>
            </w:r>
          </w:p>
          <w:p w14:paraId="68ABE07E">
            <w:pPr>
              <w:shd w:val="clear"/>
              <w:snapToGrid w:val="0"/>
              <w:spacing w:line="360" w:lineRule="auto"/>
              <w:ind w:firstLine="241" w:firstLineChars="100"/>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投标文件出现不是唯一的、有选择性投标报价的；</w:t>
            </w:r>
          </w:p>
          <w:p w14:paraId="58C388B8">
            <w:pPr>
              <w:shd w:val="clear"/>
              <w:snapToGrid w:val="0"/>
              <w:spacing w:line="360" w:lineRule="auto"/>
              <w:ind w:firstLine="241" w:firstLineChars="1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投标报价超过招标文件中规定的预算金额或者最高限价的;</w:t>
            </w:r>
          </w:p>
          <w:p w14:paraId="31C31E8C">
            <w:pPr>
              <w:shd w:val="clear"/>
              <w:spacing w:line="360" w:lineRule="auto"/>
              <w:ind w:firstLine="241" w:firstLineChars="1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color w:val="auto"/>
                <w:sz w:val="24"/>
                <w:szCs w:val="21"/>
                <w:highlight w:val="none"/>
              </w:rPr>
              <w:t>;</w:t>
            </w:r>
          </w:p>
          <w:p w14:paraId="34213511">
            <w:pPr>
              <w:shd w:val="clear"/>
              <w:spacing w:line="360" w:lineRule="auto"/>
              <w:ind w:firstLine="241"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kern w:val="0"/>
                <w:sz w:val="24"/>
                <w:highlight w:val="none"/>
              </w:rPr>
              <w:t>供应商对根据修正原则修正后的报价不确认的</w:t>
            </w:r>
            <w:r>
              <w:rPr>
                <w:rFonts w:hint="eastAsia" w:cs="仿宋" w:asciiTheme="majorEastAsia" w:hAnsiTheme="majorEastAsia" w:eastAsiaTheme="majorEastAsia"/>
                <w:b/>
                <w:color w:val="auto"/>
                <w:sz w:val="24"/>
                <w:highlight w:val="none"/>
              </w:rPr>
              <w:t>。</w:t>
            </w:r>
          </w:p>
        </w:tc>
      </w:tr>
      <w:tr w14:paraId="41BA3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EFC75F">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C88BBD">
            <w:pPr>
              <w:pStyle w:val="11"/>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28"/>
                <w:sz w:val="24"/>
                <w:szCs w:val="24"/>
                <w:highlight w:val="none"/>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60FF75D0">
            <w:pPr>
              <w:pStyle w:val="6"/>
              <w:shd w:val="clear"/>
              <w:spacing w:line="360" w:lineRule="auto"/>
              <w:ind w:firstLine="0"/>
              <w:jc w:val="left"/>
              <w:rPr>
                <w:rFonts w:cs="仿宋" w:asciiTheme="majorEastAsia" w:hAnsiTheme="majorEastAsia" w:eastAsiaTheme="majorEastAsia"/>
                <w:b/>
                <w:color w:val="auto"/>
                <w:kern w:val="0"/>
                <w:sz w:val="24"/>
                <w:highlight w:val="none"/>
              </w:rPr>
            </w:pPr>
            <w:r>
              <w:rPr>
                <w:rFonts w:hint="eastAsia" w:hAnsi="宋体" w:cs="宋体"/>
                <w:snapToGrid/>
                <w:color w:val="auto"/>
                <w:kern w:val="2"/>
                <w:sz w:val="24"/>
                <w:szCs w:val="24"/>
                <w:highlight w:val="none"/>
              </w:rPr>
              <w:t>不适用</w:t>
            </w:r>
          </w:p>
        </w:tc>
      </w:tr>
      <w:tr w14:paraId="7A15D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BD5D82">
            <w:pPr>
              <w:shd w:val="clea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271DCED">
            <w:pPr>
              <w:shd w:val="clear"/>
              <w:snapToGrid w:val="0"/>
              <w:spacing w:line="360" w:lineRule="auto"/>
              <w:ind w:firstLine="482" w:firstLineChars="20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23076D07">
            <w:pPr>
              <w:shd w:val="clear"/>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不同意分包。</w:t>
            </w:r>
          </w:p>
        </w:tc>
      </w:tr>
      <w:tr w14:paraId="45415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DDCDA2">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DDB8C2C">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6BFE45E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资格证明文件：见招标文件第二部分9.1。</w:t>
            </w:r>
          </w:p>
          <w:p w14:paraId="50CC38AC">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资格证明文件不全的或者不符合招标文件标明的资格要求的</w:t>
            </w:r>
            <w:r>
              <w:rPr>
                <w:rFonts w:hint="eastAsia" w:cs="仿宋" w:asciiTheme="majorEastAsia" w:hAnsiTheme="majorEastAsia" w:eastAsiaTheme="majorEastAsia"/>
                <w:color w:val="auto"/>
                <w:sz w:val="24"/>
                <w:highlight w:val="none"/>
                <w:lang w:val="zh-CN"/>
              </w:rPr>
              <w:t>，视为供应商不具备招标文件中规定的资格要求，投标无效。</w:t>
            </w:r>
          </w:p>
        </w:tc>
      </w:tr>
      <w:tr w14:paraId="161EA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AEA823">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E12923E">
            <w:pPr>
              <w:shd w:val="clear"/>
              <w:snapToGrid w:val="0"/>
              <w:spacing w:line="360" w:lineRule="auto"/>
              <w:jc w:val="center"/>
              <w:rPr>
                <w:rFonts w:cs="仿宋" w:asciiTheme="majorEastAsia" w:hAnsiTheme="majorEastAsia" w:eastAsiaTheme="majorEastAsia"/>
                <w:b/>
                <w:color w:val="auto"/>
                <w:sz w:val="24"/>
                <w:highlight w:val="none"/>
              </w:rPr>
            </w:pPr>
            <w:r>
              <w:rPr>
                <w:rFonts w:hint="eastAsia" w:ascii="宋体" w:hAnsi="宋体" w:cs="仿宋"/>
                <w:b/>
                <w:color w:val="auto"/>
                <w:sz w:val="24"/>
                <w:highlight w:val="none"/>
              </w:rPr>
              <w:t>开标前答疑会或现场考察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3C550F2F">
            <w:pPr>
              <w:shd w:val="clear"/>
              <w:spacing w:line="360" w:lineRule="auto"/>
              <w:rPr>
                <w:rFonts w:cs="仿宋" w:asciiTheme="majorEastAsia" w:hAnsiTheme="majorEastAsia" w:eastAsiaTheme="majorEastAsia"/>
                <w:color w:val="auto"/>
                <w:sz w:val="24"/>
                <w:szCs w:val="20"/>
                <w:highlight w:val="none"/>
              </w:rPr>
            </w:pPr>
            <w:r>
              <w:rPr>
                <w:rFonts w:hint="eastAsia" w:ascii="宋体" w:hAnsi="宋体" w:cs="仿宋"/>
                <w:color w:val="auto"/>
                <w:sz w:val="24"/>
                <w:highlight w:val="none"/>
              </w:rPr>
              <w:t>不组织。</w:t>
            </w:r>
          </w:p>
        </w:tc>
      </w:tr>
      <w:tr w14:paraId="64A05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45DEDE">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C29A2AF">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18EBAEC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不要求提供。</w:t>
            </w:r>
          </w:p>
        </w:tc>
      </w:tr>
      <w:tr w14:paraId="23990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18608B7">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67DF4FD">
            <w:pPr>
              <w:shd w:val="clear"/>
              <w:snapToGrid w:val="0"/>
              <w:spacing w:line="360" w:lineRule="auto"/>
              <w:jc w:val="center"/>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
                <w:color w:val="auto"/>
                <w:sz w:val="24"/>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42C4D87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不组织。</w:t>
            </w:r>
          </w:p>
        </w:tc>
      </w:tr>
      <w:tr w14:paraId="3D0CC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FBB780">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1E8E41DC">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7D0B2E18">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本项目不允许采购进口产品。</w:t>
            </w:r>
          </w:p>
        </w:tc>
      </w:tr>
      <w:tr w14:paraId="4440A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874355">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D469C76">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1CF5F11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服务类。</w:t>
            </w:r>
          </w:p>
        </w:tc>
      </w:tr>
      <w:tr w14:paraId="58197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8560E6">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B1B43BD">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4F1482A3">
            <w:pPr>
              <w:shd w:val="clea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标的：</w:t>
            </w:r>
            <w:r>
              <w:rPr>
                <w:rFonts w:hint="eastAsia" w:cs="仿宋" w:asciiTheme="majorEastAsia" w:hAnsiTheme="majorEastAsia" w:eastAsiaTheme="majorEastAsia"/>
                <w:color w:val="auto"/>
                <w:sz w:val="24"/>
                <w:highlight w:val="none"/>
                <w:u w:val="single"/>
              </w:rPr>
              <w:t>渔船风险隐患普查</w:t>
            </w:r>
            <w:r>
              <w:rPr>
                <w:rFonts w:hint="eastAsia" w:cs="仿宋" w:asciiTheme="majorEastAsia" w:hAnsiTheme="majorEastAsia" w:eastAsiaTheme="majorEastAsia"/>
                <w:color w:val="auto"/>
                <w:kern w:val="0"/>
                <w:sz w:val="24"/>
                <w:highlight w:val="none"/>
              </w:rPr>
              <w:t>，属于</w:t>
            </w:r>
            <w:r>
              <w:rPr>
                <w:rFonts w:hint="eastAsia" w:cs="仿宋" w:asciiTheme="majorEastAsia" w:hAnsiTheme="majorEastAsia" w:eastAsiaTheme="majorEastAsia"/>
                <w:color w:val="auto"/>
                <w:kern w:val="0"/>
                <w:sz w:val="24"/>
                <w:highlight w:val="none"/>
                <w:u w:val="single"/>
              </w:rPr>
              <w:t>其他未列明</w:t>
            </w:r>
            <w:r>
              <w:rPr>
                <w:rFonts w:hint="eastAsia" w:cs="仿宋" w:asciiTheme="majorEastAsia" w:hAnsiTheme="majorEastAsia" w:eastAsiaTheme="majorEastAsia"/>
                <w:color w:val="auto"/>
                <w:kern w:val="0"/>
                <w:sz w:val="24"/>
                <w:highlight w:val="none"/>
              </w:rPr>
              <w:t>行业；</w:t>
            </w:r>
          </w:p>
          <w:p w14:paraId="13B038C2">
            <w:pPr>
              <w:pStyle w:val="2"/>
              <w:shd w:val="clear"/>
              <w:ind w:firstLine="0" w:firstLineChars="0"/>
              <w:rPr>
                <w:color w:val="auto"/>
                <w:highlight w:val="none"/>
              </w:rPr>
            </w:pPr>
            <w:r>
              <w:rPr>
                <w:rFonts w:hint="eastAsia" w:cs="仿宋" w:asciiTheme="majorEastAsia" w:hAnsiTheme="majorEastAsia" w:eastAsiaTheme="majorEastAsia"/>
                <w:color w:val="auto"/>
                <w:kern w:val="0"/>
                <w:sz w:val="24"/>
                <w:highlight w:val="none"/>
              </w:rPr>
              <w:t>具体根据</w:t>
            </w:r>
            <w:r>
              <w:rPr>
                <w:rFonts w:cs="仿宋" w:asciiTheme="majorEastAsia" w:hAnsiTheme="majorEastAsia" w:eastAsiaTheme="majorEastAsia"/>
                <w:color w:val="auto"/>
                <w:kern w:val="0"/>
                <w:sz w:val="24"/>
                <w:highlight w:val="none"/>
              </w:rPr>
              <w:t>《中小企业划型标准规定》</w:t>
            </w:r>
            <w:r>
              <w:rPr>
                <w:rFonts w:hint="eastAsia" w:cs="仿宋" w:asciiTheme="majorEastAsia" w:hAnsiTheme="majorEastAsia" w:eastAsiaTheme="majorEastAsia"/>
                <w:color w:val="auto"/>
                <w:kern w:val="0"/>
                <w:sz w:val="24"/>
                <w:highlight w:val="none"/>
              </w:rPr>
              <w:t>执行</w:t>
            </w:r>
          </w:p>
        </w:tc>
      </w:tr>
      <w:tr w14:paraId="4E18F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tcPr>
          <w:p w14:paraId="30724F83">
            <w:pPr>
              <w:shd w:val="clear"/>
              <w:snapToGrid w:val="0"/>
              <w:spacing w:line="360" w:lineRule="auto"/>
              <w:jc w:val="center"/>
              <w:rPr>
                <w:rFonts w:cs="仿宋" w:asciiTheme="majorEastAsia" w:hAnsiTheme="majorEastAsia" w:eastAsiaTheme="majorEastAsia"/>
                <w:color w:val="auto"/>
                <w:sz w:val="24"/>
                <w:highlight w:val="none"/>
              </w:rPr>
            </w:pPr>
          </w:p>
          <w:p w14:paraId="53D07831">
            <w:pPr>
              <w:shd w:val="clear"/>
              <w:snapToGrid w:val="0"/>
              <w:spacing w:line="360" w:lineRule="auto"/>
              <w:jc w:val="center"/>
              <w:rPr>
                <w:rFonts w:cs="仿宋" w:asciiTheme="majorEastAsia" w:hAnsiTheme="majorEastAsia" w:eastAsiaTheme="majorEastAsia"/>
                <w:color w:val="auto"/>
                <w:sz w:val="24"/>
                <w:highlight w:val="none"/>
              </w:rPr>
            </w:pPr>
          </w:p>
          <w:p w14:paraId="290CA1F0">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4297520">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中小企业信用融资</w:t>
            </w:r>
          </w:p>
        </w:tc>
        <w:tc>
          <w:tcPr>
            <w:tcW w:w="6662" w:type="dxa"/>
            <w:tcBorders>
              <w:top w:val="single" w:color="000000" w:sz="8" w:space="0"/>
              <w:left w:val="single" w:color="000000" w:sz="2" w:space="0"/>
              <w:bottom w:val="single" w:color="000000" w:sz="8" w:space="0"/>
              <w:right w:val="single" w:color="000000" w:sz="8" w:space="0"/>
            </w:tcBorders>
            <w:vAlign w:val="center"/>
          </w:tcPr>
          <w:p w14:paraId="386C157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71EE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20DD0EC2">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12</w:t>
            </w:r>
          </w:p>
        </w:tc>
        <w:tc>
          <w:tcPr>
            <w:tcW w:w="1843" w:type="dxa"/>
            <w:tcBorders>
              <w:top w:val="single" w:color="000000" w:sz="8" w:space="0"/>
              <w:left w:val="single" w:color="000000" w:sz="2" w:space="0"/>
              <w:right w:val="single" w:color="000000" w:sz="8" w:space="0"/>
            </w:tcBorders>
            <w:vAlign w:val="center"/>
          </w:tcPr>
          <w:p w14:paraId="2206BD62">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中标服务费</w:t>
            </w:r>
          </w:p>
        </w:tc>
        <w:tc>
          <w:tcPr>
            <w:tcW w:w="6662"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3F0279A">
            <w:pPr>
              <w:shd w:val="clear"/>
              <w:tabs>
                <w:tab w:val="left" w:pos="360"/>
              </w:tabs>
              <w:spacing w:line="240" w:lineRule="atLeast"/>
              <w:rPr>
                <w:color w:val="auto"/>
                <w:sz w:val="24"/>
                <w:highlight w:val="none"/>
              </w:rPr>
            </w:pPr>
            <w:r>
              <w:rPr>
                <w:rFonts w:hint="eastAsia"/>
                <w:color w:val="auto"/>
                <w:sz w:val="24"/>
                <w:highlight w:val="none"/>
              </w:rPr>
              <w:t>1、收费标准</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1302"/>
              <w:gridCol w:w="1410"/>
              <w:gridCol w:w="1627"/>
            </w:tblGrid>
            <w:tr w14:paraId="6A09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708" w:type="pct"/>
                  <w:tcBorders>
                    <w:tl2br w:val="single" w:color="auto" w:sz="4" w:space="0"/>
                  </w:tcBorders>
                  <w:vAlign w:val="center"/>
                </w:tcPr>
                <w:p w14:paraId="1EE6F7A3">
                  <w:pPr>
                    <w:shd w:val="clear"/>
                    <w:tabs>
                      <w:tab w:val="center" w:pos="4153"/>
                      <w:tab w:val="right" w:pos="8306"/>
                    </w:tabs>
                    <w:snapToGrid w:val="0"/>
                    <w:jc w:val="right"/>
                    <w:rPr>
                      <w:color w:val="auto"/>
                      <w:w w:val="80"/>
                      <w:sz w:val="24"/>
                      <w:highlight w:val="none"/>
                    </w:rPr>
                  </w:pPr>
                  <w:r>
                    <w:rPr>
                      <w:color w:val="auto"/>
                      <w:w w:val="80"/>
                      <w:sz w:val="24"/>
                      <w:highlight w:val="none"/>
                    </w:rPr>
                    <w:t>费率</w:t>
                  </w:r>
                </w:p>
                <w:p w14:paraId="04A0DB0E">
                  <w:pPr>
                    <w:shd w:val="clear"/>
                    <w:tabs>
                      <w:tab w:val="center" w:pos="4153"/>
                      <w:tab w:val="right" w:pos="8306"/>
                    </w:tabs>
                    <w:snapToGrid w:val="0"/>
                    <w:rPr>
                      <w:color w:val="auto"/>
                      <w:w w:val="80"/>
                      <w:sz w:val="24"/>
                      <w:highlight w:val="none"/>
                    </w:rPr>
                  </w:pPr>
                  <w:r>
                    <w:rPr>
                      <w:rFonts w:hint="eastAsia"/>
                      <w:color w:val="auto"/>
                      <w:w w:val="80"/>
                      <w:sz w:val="24"/>
                      <w:highlight w:val="none"/>
                    </w:rPr>
                    <w:t>基准价</w:t>
                  </w:r>
                </w:p>
              </w:tc>
              <w:tc>
                <w:tcPr>
                  <w:tcW w:w="987" w:type="pct"/>
                  <w:vAlign w:val="center"/>
                </w:tcPr>
                <w:p w14:paraId="2C5CECA3">
                  <w:pPr>
                    <w:shd w:val="clear"/>
                    <w:tabs>
                      <w:tab w:val="center" w:pos="4153"/>
                      <w:tab w:val="right" w:pos="8306"/>
                    </w:tabs>
                    <w:snapToGrid w:val="0"/>
                    <w:ind w:leftChars="-23" w:hanging="48" w:hangingChars="25"/>
                    <w:jc w:val="center"/>
                    <w:rPr>
                      <w:color w:val="auto"/>
                      <w:w w:val="80"/>
                      <w:sz w:val="24"/>
                      <w:highlight w:val="none"/>
                    </w:rPr>
                  </w:pPr>
                  <w:r>
                    <w:rPr>
                      <w:color w:val="auto"/>
                      <w:w w:val="80"/>
                      <w:sz w:val="24"/>
                      <w:highlight w:val="none"/>
                    </w:rPr>
                    <w:t>货物招标</w:t>
                  </w:r>
                </w:p>
              </w:tc>
              <w:tc>
                <w:tcPr>
                  <w:tcW w:w="1069" w:type="pct"/>
                  <w:vAlign w:val="center"/>
                </w:tcPr>
                <w:p w14:paraId="50BA8823">
                  <w:pPr>
                    <w:shd w:val="clear"/>
                    <w:tabs>
                      <w:tab w:val="center" w:pos="4153"/>
                      <w:tab w:val="right" w:pos="8306"/>
                    </w:tabs>
                    <w:snapToGrid w:val="0"/>
                    <w:jc w:val="center"/>
                    <w:rPr>
                      <w:color w:val="auto"/>
                      <w:w w:val="80"/>
                      <w:sz w:val="24"/>
                      <w:highlight w:val="none"/>
                    </w:rPr>
                  </w:pPr>
                  <w:r>
                    <w:rPr>
                      <w:color w:val="auto"/>
                      <w:w w:val="80"/>
                      <w:sz w:val="24"/>
                      <w:highlight w:val="none"/>
                    </w:rPr>
                    <w:t>服务招标</w:t>
                  </w:r>
                </w:p>
              </w:tc>
              <w:tc>
                <w:tcPr>
                  <w:tcW w:w="1234" w:type="pct"/>
                  <w:vAlign w:val="center"/>
                </w:tcPr>
                <w:p w14:paraId="2D89E78F">
                  <w:pPr>
                    <w:shd w:val="clear"/>
                    <w:tabs>
                      <w:tab w:val="center" w:pos="4153"/>
                      <w:tab w:val="right" w:pos="8306"/>
                    </w:tabs>
                    <w:snapToGrid w:val="0"/>
                    <w:jc w:val="center"/>
                    <w:rPr>
                      <w:color w:val="auto"/>
                      <w:w w:val="80"/>
                      <w:sz w:val="24"/>
                      <w:highlight w:val="none"/>
                    </w:rPr>
                  </w:pPr>
                  <w:r>
                    <w:rPr>
                      <w:color w:val="auto"/>
                      <w:w w:val="80"/>
                      <w:sz w:val="24"/>
                      <w:highlight w:val="none"/>
                    </w:rPr>
                    <w:t>工程招标</w:t>
                  </w:r>
                </w:p>
              </w:tc>
            </w:tr>
            <w:tr w14:paraId="3D4A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708" w:type="pct"/>
                  <w:vAlign w:val="center"/>
                </w:tcPr>
                <w:p w14:paraId="4442C08A">
                  <w:pPr>
                    <w:shd w:val="clear"/>
                    <w:tabs>
                      <w:tab w:val="center" w:pos="4153"/>
                      <w:tab w:val="right" w:pos="8306"/>
                    </w:tabs>
                    <w:snapToGrid w:val="0"/>
                    <w:jc w:val="left"/>
                    <w:rPr>
                      <w:snapToGrid w:val="0"/>
                      <w:color w:val="auto"/>
                      <w:sz w:val="24"/>
                      <w:highlight w:val="none"/>
                    </w:rPr>
                  </w:pPr>
                  <w:r>
                    <w:rPr>
                      <w:snapToGrid w:val="0"/>
                      <w:color w:val="auto"/>
                      <w:sz w:val="24"/>
                      <w:highlight w:val="none"/>
                    </w:rPr>
                    <w:t>100万以下</w:t>
                  </w:r>
                  <w:r>
                    <w:rPr>
                      <w:rFonts w:hint="eastAsia"/>
                      <w:snapToGrid w:val="0"/>
                      <w:color w:val="auto"/>
                      <w:sz w:val="24"/>
                      <w:highlight w:val="none"/>
                    </w:rPr>
                    <w:t>（含）</w:t>
                  </w:r>
                </w:p>
              </w:tc>
              <w:tc>
                <w:tcPr>
                  <w:tcW w:w="987" w:type="pct"/>
                  <w:vAlign w:val="center"/>
                </w:tcPr>
                <w:p w14:paraId="216E2B5A">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1.5 %</w:t>
                  </w:r>
                </w:p>
              </w:tc>
              <w:tc>
                <w:tcPr>
                  <w:tcW w:w="1069" w:type="pct"/>
                  <w:vAlign w:val="center"/>
                </w:tcPr>
                <w:p w14:paraId="4D5A9466">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1.5 %</w:t>
                  </w:r>
                </w:p>
              </w:tc>
              <w:tc>
                <w:tcPr>
                  <w:tcW w:w="1234" w:type="pct"/>
                  <w:vAlign w:val="center"/>
                </w:tcPr>
                <w:p w14:paraId="5B978CA9">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1.0%</w:t>
                  </w:r>
                </w:p>
              </w:tc>
            </w:tr>
            <w:tr w14:paraId="0050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708" w:type="pct"/>
                  <w:vAlign w:val="center"/>
                </w:tcPr>
                <w:p w14:paraId="548D8F54">
                  <w:pPr>
                    <w:shd w:val="clear"/>
                    <w:tabs>
                      <w:tab w:val="center" w:pos="4153"/>
                      <w:tab w:val="right" w:pos="8306"/>
                    </w:tabs>
                    <w:snapToGrid w:val="0"/>
                    <w:jc w:val="left"/>
                    <w:rPr>
                      <w:snapToGrid w:val="0"/>
                      <w:color w:val="auto"/>
                      <w:sz w:val="24"/>
                      <w:highlight w:val="none"/>
                    </w:rPr>
                  </w:pPr>
                  <w:r>
                    <w:rPr>
                      <w:snapToGrid w:val="0"/>
                      <w:color w:val="auto"/>
                      <w:sz w:val="24"/>
                      <w:highlight w:val="none"/>
                    </w:rPr>
                    <w:t>100～500万</w:t>
                  </w:r>
                  <w:r>
                    <w:rPr>
                      <w:rFonts w:hint="eastAsia"/>
                      <w:snapToGrid w:val="0"/>
                      <w:color w:val="auto"/>
                      <w:sz w:val="24"/>
                      <w:highlight w:val="none"/>
                    </w:rPr>
                    <w:t>（含）</w:t>
                  </w:r>
                </w:p>
              </w:tc>
              <w:tc>
                <w:tcPr>
                  <w:tcW w:w="987" w:type="pct"/>
                  <w:vAlign w:val="center"/>
                </w:tcPr>
                <w:p w14:paraId="06E5C8F7">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1.1 %</w:t>
                  </w:r>
                </w:p>
              </w:tc>
              <w:tc>
                <w:tcPr>
                  <w:tcW w:w="1069" w:type="pct"/>
                  <w:vAlign w:val="center"/>
                </w:tcPr>
                <w:p w14:paraId="35CFAC6D">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0.8 %</w:t>
                  </w:r>
                </w:p>
              </w:tc>
              <w:tc>
                <w:tcPr>
                  <w:tcW w:w="1234" w:type="pct"/>
                  <w:vAlign w:val="center"/>
                </w:tcPr>
                <w:p w14:paraId="68222880">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0.7%</w:t>
                  </w:r>
                </w:p>
              </w:tc>
            </w:tr>
            <w:tr w14:paraId="2B94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708" w:type="pct"/>
                  <w:vAlign w:val="center"/>
                </w:tcPr>
                <w:p w14:paraId="2D6EF905">
                  <w:pPr>
                    <w:shd w:val="clear"/>
                    <w:tabs>
                      <w:tab w:val="center" w:pos="4153"/>
                      <w:tab w:val="right" w:pos="8306"/>
                    </w:tabs>
                    <w:snapToGrid w:val="0"/>
                    <w:jc w:val="left"/>
                    <w:rPr>
                      <w:snapToGrid w:val="0"/>
                      <w:color w:val="auto"/>
                      <w:sz w:val="24"/>
                      <w:highlight w:val="none"/>
                    </w:rPr>
                  </w:pPr>
                  <w:r>
                    <w:rPr>
                      <w:snapToGrid w:val="0"/>
                      <w:color w:val="auto"/>
                      <w:sz w:val="24"/>
                      <w:highlight w:val="none"/>
                    </w:rPr>
                    <w:t>500～1000万</w:t>
                  </w:r>
                  <w:r>
                    <w:rPr>
                      <w:rFonts w:hint="eastAsia"/>
                      <w:snapToGrid w:val="0"/>
                      <w:color w:val="auto"/>
                      <w:sz w:val="24"/>
                      <w:highlight w:val="none"/>
                    </w:rPr>
                    <w:t>（含）</w:t>
                  </w:r>
                </w:p>
              </w:tc>
              <w:tc>
                <w:tcPr>
                  <w:tcW w:w="987" w:type="pct"/>
                  <w:vAlign w:val="center"/>
                </w:tcPr>
                <w:p w14:paraId="75BD28C8">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0.8 %</w:t>
                  </w:r>
                </w:p>
              </w:tc>
              <w:tc>
                <w:tcPr>
                  <w:tcW w:w="1069" w:type="pct"/>
                  <w:vAlign w:val="center"/>
                </w:tcPr>
                <w:p w14:paraId="5AF7D206">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0.45 %</w:t>
                  </w:r>
                </w:p>
              </w:tc>
              <w:tc>
                <w:tcPr>
                  <w:tcW w:w="1234" w:type="pct"/>
                  <w:vAlign w:val="center"/>
                </w:tcPr>
                <w:p w14:paraId="6720A79D">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0.55%</w:t>
                  </w:r>
                </w:p>
              </w:tc>
            </w:tr>
            <w:tr w14:paraId="44F7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708" w:type="pct"/>
                  <w:vAlign w:val="center"/>
                </w:tcPr>
                <w:p w14:paraId="78E8BE1F">
                  <w:pPr>
                    <w:shd w:val="clear"/>
                    <w:tabs>
                      <w:tab w:val="center" w:pos="4153"/>
                      <w:tab w:val="right" w:pos="8306"/>
                    </w:tabs>
                    <w:snapToGrid w:val="0"/>
                    <w:jc w:val="left"/>
                    <w:rPr>
                      <w:snapToGrid w:val="0"/>
                      <w:color w:val="auto"/>
                      <w:sz w:val="24"/>
                      <w:highlight w:val="none"/>
                    </w:rPr>
                  </w:pPr>
                  <w:r>
                    <w:rPr>
                      <w:snapToGrid w:val="0"/>
                      <w:color w:val="auto"/>
                      <w:sz w:val="24"/>
                      <w:highlight w:val="none"/>
                    </w:rPr>
                    <w:t>1000～5000万</w:t>
                  </w:r>
                  <w:r>
                    <w:rPr>
                      <w:rFonts w:hint="eastAsia"/>
                      <w:snapToGrid w:val="0"/>
                      <w:color w:val="auto"/>
                      <w:sz w:val="24"/>
                      <w:highlight w:val="none"/>
                    </w:rPr>
                    <w:t>（含）</w:t>
                  </w:r>
                </w:p>
              </w:tc>
              <w:tc>
                <w:tcPr>
                  <w:tcW w:w="987" w:type="pct"/>
                  <w:vAlign w:val="center"/>
                </w:tcPr>
                <w:p w14:paraId="3919E8F3">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0.5 %</w:t>
                  </w:r>
                </w:p>
              </w:tc>
              <w:tc>
                <w:tcPr>
                  <w:tcW w:w="1069" w:type="pct"/>
                  <w:vAlign w:val="center"/>
                </w:tcPr>
                <w:p w14:paraId="22F921AA">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0.25 %</w:t>
                  </w:r>
                </w:p>
              </w:tc>
              <w:tc>
                <w:tcPr>
                  <w:tcW w:w="1234" w:type="pct"/>
                  <w:vAlign w:val="center"/>
                </w:tcPr>
                <w:p w14:paraId="6B217FFE">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0.35%</w:t>
                  </w:r>
                </w:p>
              </w:tc>
            </w:tr>
            <w:tr w14:paraId="4F8E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708" w:type="pct"/>
                  <w:vAlign w:val="center"/>
                </w:tcPr>
                <w:p w14:paraId="7ACC32D8">
                  <w:pPr>
                    <w:shd w:val="clear"/>
                    <w:tabs>
                      <w:tab w:val="center" w:pos="4153"/>
                      <w:tab w:val="right" w:pos="8306"/>
                    </w:tabs>
                    <w:snapToGrid w:val="0"/>
                    <w:jc w:val="left"/>
                    <w:rPr>
                      <w:snapToGrid w:val="0"/>
                      <w:color w:val="auto"/>
                      <w:sz w:val="24"/>
                      <w:highlight w:val="none"/>
                    </w:rPr>
                  </w:pPr>
                  <w:r>
                    <w:rPr>
                      <w:snapToGrid w:val="0"/>
                      <w:color w:val="auto"/>
                      <w:sz w:val="24"/>
                      <w:highlight w:val="none"/>
                    </w:rPr>
                    <w:t>5000万～1亿</w:t>
                  </w:r>
                  <w:r>
                    <w:rPr>
                      <w:rFonts w:hint="eastAsia"/>
                      <w:snapToGrid w:val="0"/>
                      <w:color w:val="auto"/>
                      <w:sz w:val="24"/>
                      <w:highlight w:val="none"/>
                    </w:rPr>
                    <w:t>（含）</w:t>
                  </w:r>
                </w:p>
              </w:tc>
              <w:tc>
                <w:tcPr>
                  <w:tcW w:w="987" w:type="pct"/>
                  <w:vAlign w:val="center"/>
                </w:tcPr>
                <w:p w14:paraId="679EF9E2">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0.25 %</w:t>
                  </w:r>
                </w:p>
              </w:tc>
              <w:tc>
                <w:tcPr>
                  <w:tcW w:w="1069" w:type="pct"/>
                  <w:vAlign w:val="center"/>
                </w:tcPr>
                <w:p w14:paraId="3209CF94">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0.1 %</w:t>
                  </w:r>
                </w:p>
              </w:tc>
              <w:tc>
                <w:tcPr>
                  <w:tcW w:w="1234" w:type="pct"/>
                  <w:vAlign w:val="center"/>
                </w:tcPr>
                <w:p w14:paraId="18271EAC">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0.2%</w:t>
                  </w:r>
                </w:p>
              </w:tc>
            </w:tr>
            <w:tr w14:paraId="4867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708" w:type="pct"/>
                  <w:vAlign w:val="center"/>
                </w:tcPr>
                <w:p w14:paraId="63169AE4">
                  <w:pPr>
                    <w:shd w:val="clear"/>
                    <w:tabs>
                      <w:tab w:val="center" w:pos="4153"/>
                      <w:tab w:val="right" w:pos="8306"/>
                    </w:tabs>
                    <w:snapToGrid w:val="0"/>
                    <w:jc w:val="left"/>
                    <w:rPr>
                      <w:snapToGrid w:val="0"/>
                      <w:color w:val="auto"/>
                      <w:sz w:val="24"/>
                      <w:highlight w:val="none"/>
                    </w:rPr>
                  </w:pPr>
                  <w:r>
                    <w:rPr>
                      <w:snapToGrid w:val="0"/>
                      <w:color w:val="auto"/>
                      <w:sz w:val="24"/>
                      <w:highlight w:val="none"/>
                    </w:rPr>
                    <w:t>1～</w:t>
                  </w:r>
                  <w:r>
                    <w:rPr>
                      <w:rFonts w:hint="eastAsia"/>
                      <w:snapToGrid w:val="0"/>
                      <w:color w:val="auto"/>
                      <w:sz w:val="24"/>
                      <w:highlight w:val="none"/>
                    </w:rPr>
                    <w:t>10</w:t>
                  </w:r>
                  <w:r>
                    <w:rPr>
                      <w:snapToGrid w:val="0"/>
                      <w:color w:val="auto"/>
                      <w:sz w:val="24"/>
                      <w:highlight w:val="none"/>
                    </w:rPr>
                    <w:t>亿</w:t>
                  </w:r>
                  <w:r>
                    <w:rPr>
                      <w:rFonts w:hint="eastAsia"/>
                      <w:snapToGrid w:val="0"/>
                      <w:color w:val="auto"/>
                      <w:sz w:val="24"/>
                      <w:highlight w:val="none"/>
                    </w:rPr>
                    <w:t>（含）</w:t>
                  </w:r>
                </w:p>
              </w:tc>
              <w:tc>
                <w:tcPr>
                  <w:tcW w:w="987" w:type="pct"/>
                  <w:vAlign w:val="center"/>
                </w:tcPr>
                <w:p w14:paraId="17BACFDF">
                  <w:pPr>
                    <w:shd w:val="clear"/>
                    <w:tabs>
                      <w:tab w:val="center" w:pos="4153"/>
                      <w:tab w:val="right" w:pos="8306"/>
                    </w:tabs>
                    <w:snapToGrid w:val="0"/>
                    <w:jc w:val="center"/>
                    <w:rPr>
                      <w:snapToGrid w:val="0"/>
                      <w:color w:val="auto"/>
                      <w:sz w:val="24"/>
                      <w:highlight w:val="none"/>
                    </w:rPr>
                  </w:pPr>
                  <w:r>
                    <w:rPr>
                      <w:snapToGrid w:val="0"/>
                      <w:color w:val="auto"/>
                      <w:sz w:val="24"/>
                      <w:highlight w:val="none"/>
                    </w:rPr>
                    <w:t>0.05%</w:t>
                  </w:r>
                </w:p>
              </w:tc>
              <w:tc>
                <w:tcPr>
                  <w:tcW w:w="1069" w:type="pct"/>
                  <w:vAlign w:val="center"/>
                </w:tcPr>
                <w:p w14:paraId="50531DC2">
                  <w:pPr>
                    <w:shd w:val="clear"/>
                    <w:tabs>
                      <w:tab w:val="center" w:pos="4153"/>
                      <w:tab w:val="right" w:pos="8306"/>
                    </w:tabs>
                    <w:snapToGrid w:val="0"/>
                    <w:jc w:val="center"/>
                    <w:rPr>
                      <w:snapToGrid w:val="0"/>
                      <w:color w:val="auto"/>
                      <w:sz w:val="24"/>
                      <w:highlight w:val="none"/>
                    </w:rPr>
                  </w:pPr>
                  <w:r>
                    <w:rPr>
                      <w:snapToGrid w:val="0"/>
                      <w:color w:val="auto"/>
                      <w:sz w:val="24"/>
                      <w:highlight w:val="none"/>
                    </w:rPr>
                    <w:t>0.05%</w:t>
                  </w:r>
                </w:p>
              </w:tc>
              <w:tc>
                <w:tcPr>
                  <w:tcW w:w="1234" w:type="pct"/>
                  <w:vAlign w:val="center"/>
                </w:tcPr>
                <w:p w14:paraId="253CD9FA">
                  <w:pPr>
                    <w:shd w:val="clear"/>
                    <w:tabs>
                      <w:tab w:val="center" w:pos="4153"/>
                      <w:tab w:val="right" w:pos="8306"/>
                    </w:tabs>
                    <w:snapToGrid w:val="0"/>
                    <w:jc w:val="center"/>
                    <w:rPr>
                      <w:snapToGrid w:val="0"/>
                      <w:color w:val="auto"/>
                      <w:sz w:val="24"/>
                      <w:highlight w:val="none"/>
                    </w:rPr>
                  </w:pPr>
                  <w:r>
                    <w:rPr>
                      <w:snapToGrid w:val="0"/>
                      <w:color w:val="auto"/>
                      <w:kern w:val="0"/>
                      <w:sz w:val="24"/>
                      <w:highlight w:val="none"/>
                    </w:rPr>
                    <w:t>0.05%</w:t>
                  </w:r>
                </w:p>
              </w:tc>
            </w:tr>
            <w:tr w14:paraId="06F5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708" w:type="pct"/>
                  <w:vAlign w:val="center"/>
                </w:tcPr>
                <w:p w14:paraId="0E040EE4">
                  <w:pPr>
                    <w:shd w:val="clear"/>
                    <w:tabs>
                      <w:tab w:val="center" w:pos="4153"/>
                      <w:tab w:val="right" w:pos="8306"/>
                    </w:tabs>
                    <w:snapToGrid w:val="0"/>
                    <w:jc w:val="left"/>
                    <w:rPr>
                      <w:snapToGrid w:val="0"/>
                      <w:color w:val="auto"/>
                      <w:sz w:val="24"/>
                      <w:highlight w:val="none"/>
                    </w:rPr>
                  </w:pPr>
                  <w:r>
                    <w:rPr>
                      <w:snapToGrid w:val="0"/>
                      <w:color w:val="auto"/>
                      <w:sz w:val="24"/>
                      <w:highlight w:val="none"/>
                    </w:rPr>
                    <w:t>10亿</w:t>
                  </w:r>
                  <w:r>
                    <w:rPr>
                      <w:rFonts w:hint="eastAsia"/>
                      <w:snapToGrid w:val="0"/>
                      <w:color w:val="auto"/>
                      <w:sz w:val="24"/>
                      <w:highlight w:val="none"/>
                    </w:rPr>
                    <w:t>以上</w:t>
                  </w:r>
                </w:p>
              </w:tc>
              <w:tc>
                <w:tcPr>
                  <w:tcW w:w="987" w:type="pct"/>
                  <w:vAlign w:val="center"/>
                </w:tcPr>
                <w:p w14:paraId="67CF6734">
                  <w:pPr>
                    <w:shd w:val="clear"/>
                    <w:tabs>
                      <w:tab w:val="center" w:pos="4153"/>
                      <w:tab w:val="right" w:pos="8306"/>
                    </w:tabs>
                    <w:snapToGrid w:val="0"/>
                    <w:jc w:val="center"/>
                    <w:rPr>
                      <w:snapToGrid w:val="0"/>
                      <w:color w:val="auto"/>
                      <w:sz w:val="24"/>
                      <w:highlight w:val="none"/>
                    </w:rPr>
                  </w:pPr>
                  <w:r>
                    <w:rPr>
                      <w:snapToGrid w:val="0"/>
                      <w:color w:val="auto"/>
                      <w:sz w:val="24"/>
                      <w:highlight w:val="none"/>
                    </w:rPr>
                    <w:t>0.0</w:t>
                  </w:r>
                  <w:r>
                    <w:rPr>
                      <w:rFonts w:hint="eastAsia"/>
                      <w:snapToGrid w:val="0"/>
                      <w:color w:val="auto"/>
                      <w:sz w:val="24"/>
                      <w:highlight w:val="none"/>
                    </w:rPr>
                    <w:t>1</w:t>
                  </w:r>
                  <w:r>
                    <w:rPr>
                      <w:snapToGrid w:val="0"/>
                      <w:color w:val="auto"/>
                      <w:sz w:val="24"/>
                      <w:highlight w:val="none"/>
                    </w:rPr>
                    <w:t>%</w:t>
                  </w:r>
                </w:p>
              </w:tc>
              <w:tc>
                <w:tcPr>
                  <w:tcW w:w="1069" w:type="pct"/>
                  <w:vAlign w:val="center"/>
                </w:tcPr>
                <w:p w14:paraId="2E4E646D">
                  <w:pPr>
                    <w:shd w:val="clear"/>
                    <w:tabs>
                      <w:tab w:val="center" w:pos="4153"/>
                      <w:tab w:val="right" w:pos="8306"/>
                    </w:tabs>
                    <w:snapToGrid w:val="0"/>
                    <w:jc w:val="center"/>
                    <w:rPr>
                      <w:snapToGrid w:val="0"/>
                      <w:color w:val="auto"/>
                      <w:sz w:val="24"/>
                      <w:highlight w:val="none"/>
                    </w:rPr>
                  </w:pPr>
                  <w:r>
                    <w:rPr>
                      <w:snapToGrid w:val="0"/>
                      <w:color w:val="auto"/>
                      <w:sz w:val="24"/>
                      <w:highlight w:val="none"/>
                    </w:rPr>
                    <w:t>0.0</w:t>
                  </w:r>
                  <w:r>
                    <w:rPr>
                      <w:rFonts w:hint="eastAsia"/>
                      <w:snapToGrid w:val="0"/>
                      <w:color w:val="auto"/>
                      <w:sz w:val="24"/>
                      <w:highlight w:val="none"/>
                    </w:rPr>
                    <w:t>1</w:t>
                  </w:r>
                  <w:r>
                    <w:rPr>
                      <w:snapToGrid w:val="0"/>
                      <w:color w:val="auto"/>
                      <w:sz w:val="24"/>
                      <w:highlight w:val="none"/>
                    </w:rPr>
                    <w:t>%</w:t>
                  </w:r>
                </w:p>
              </w:tc>
              <w:tc>
                <w:tcPr>
                  <w:tcW w:w="1234" w:type="pct"/>
                  <w:vAlign w:val="center"/>
                </w:tcPr>
                <w:p w14:paraId="285103D4">
                  <w:pPr>
                    <w:shd w:val="clear"/>
                    <w:tabs>
                      <w:tab w:val="center" w:pos="4153"/>
                      <w:tab w:val="right" w:pos="8306"/>
                    </w:tabs>
                    <w:snapToGrid w:val="0"/>
                    <w:jc w:val="center"/>
                    <w:rPr>
                      <w:snapToGrid w:val="0"/>
                      <w:color w:val="auto"/>
                      <w:sz w:val="24"/>
                      <w:highlight w:val="none"/>
                    </w:rPr>
                  </w:pPr>
                  <w:r>
                    <w:rPr>
                      <w:snapToGrid w:val="0"/>
                      <w:color w:val="auto"/>
                      <w:sz w:val="24"/>
                      <w:highlight w:val="none"/>
                    </w:rPr>
                    <w:t>0.0</w:t>
                  </w:r>
                  <w:r>
                    <w:rPr>
                      <w:rFonts w:hint="eastAsia"/>
                      <w:snapToGrid w:val="0"/>
                      <w:color w:val="auto"/>
                      <w:sz w:val="24"/>
                      <w:highlight w:val="none"/>
                    </w:rPr>
                    <w:t>1</w:t>
                  </w:r>
                  <w:r>
                    <w:rPr>
                      <w:snapToGrid w:val="0"/>
                      <w:color w:val="auto"/>
                      <w:sz w:val="24"/>
                      <w:highlight w:val="none"/>
                    </w:rPr>
                    <w:t>%</w:t>
                  </w:r>
                </w:p>
              </w:tc>
            </w:tr>
          </w:tbl>
          <w:p w14:paraId="7F321D78">
            <w:pPr>
              <w:shd w:val="clear"/>
              <w:tabs>
                <w:tab w:val="left" w:pos="360"/>
              </w:tabs>
              <w:spacing w:line="360" w:lineRule="auto"/>
              <w:rPr>
                <w:rFonts w:hint="eastAsia" w:ascii="宋体" w:hAnsi="宋体" w:cs="仿宋"/>
                <w:snapToGrid w:val="0"/>
                <w:color w:val="auto"/>
                <w:kern w:val="28"/>
                <w:sz w:val="24"/>
                <w:highlight w:val="none"/>
              </w:rPr>
            </w:pPr>
            <w:r>
              <w:rPr>
                <w:rFonts w:hint="eastAsia"/>
                <w:color w:val="auto"/>
                <w:sz w:val="24"/>
                <w:highlight w:val="none"/>
              </w:rPr>
              <w:t>2</w:t>
            </w:r>
            <w:r>
              <w:rPr>
                <w:rFonts w:hint="eastAsia" w:ascii="宋体" w:hAnsi="宋体" w:cs="仿宋"/>
                <w:snapToGrid w:val="0"/>
                <w:color w:val="auto"/>
                <w:kern w:val="28"/>
                <w:sz w:val="24"/>
                <w:highlight w:val="none"/>
              </w:rPr>
              <w:t>、计算方法：预算</w:t>
            </w:r>
            <w:r>
              <w:rPr>
                <w:rFonts w:hint="eastAsia" w:ascii="宋体" w:hAnsi="宋体" w:cs="仿宋"/>
                <w:snapToGrid w:val="0"/>
                <w:color w:val="auto"/>
                <w:kern w:val="28"/>
                <w:sz w:val="24"/>
                <w:highlight w:val="none"/>
                <w:lang w:val="en-US" w:eastAsia="zh-CN"/>
              </w:rPr>
              <w:t>总</w:t>
            </w:r>
            <w:r>
              <w:rPr>
                <w:rFonts w:hint="eastAsia" w:ascii="宋体" w:hAnsi="宋体" w:cs="仿宋"/>
                <w:snapToGrid w:val="0"/>
                <w:color w:val="auto"/>
                <w:kern w:val="28"/>
                <w:sz w:val="24"/>
                <w:highlight w:val="none"/>
              </w:rPr>
              <w:t>价为计算基准价，按差额定率累进法计算代理服务费收取金额。</w:t>
            </w:r>
          </w:p>
          <w:p w14:paraId="6E951F39">
            <w:pPr>
              <w:shd w:val="clear"/>
              <w:tabs>
                <w:tab w:val="left" w:pos="360"/>
              </w:tabs>
              <w:spacing w:line="360" w:lineRule="auto"/>
              <w:rPr>
                <w:color w:val="auto"/>
                <w:sz w:val="24"/>
                <w:highlight w:val="none"/>
              </w:rPr>
            </w:pPr>
            <w:r>
              <w:rPr>
                <w:rFonts w:hint="eastAsia"/>
                <w:color w:val="auto"/>
                <w:sz w:val="24"/>
                <w:highlight w:val="none"/>
              </w:rPr>
              <w:t>3、</w:t>
            </w:r>
            <w:r>
              <w:rPr>
                <w:rFonts w:hint="eastAsia" w:ascii="宋体" w:hAnsi="宋体" w:cs="仿宋"/>
                <w:snapToGrid w:val="0"/>
                <w:color w:val="auto"/>
                <w:kern w:val="28"/>
                <w:sz w:val="24"/>
                <w:highlight w:val="none"/>
              </w:rPr>
              <w:t>中标服务费金额</w:t>
            </w:r>
            <w:r>
              <w:rPr>
                <w:rFonts w:hint="eastAsia"/>
                <w:color w:val="auto"/>
                <w:sz w:val="24"/>
                <w:highlight w:val="none"/>
              </w:rPr>
              <w:t>：</w:t>
            </w:r>
            <w:r>
              <w:rPr>
                <w:rFonts w:hint="eastAsia" w:ascii="宋体" w:hAnsi="宋体" w:cs="仿宋"/>
                <w:snapToGrid w:val="0"/>
                <w:color w:val="auto"/>
                <w:kern w:val="28"/>
                <w:sz w:val="24"/>
                <w:highlight w:val="none"/>
                <w:u w:val="single"/>
              </w:rPr>
              <w:t>33532</w:t>
            </w:r>
            <w:r>
              <w:rPr>
                <w:rFonts w:hint="eastAsia" w:ascii="宋体" w:hAnsi="宋体" w:cs="仿宋"/>
                <w:snapToGrid w:val="0"/>
                <w:color w:val="auto"/>
                <w:kern w:val="28"/>
                <w:sz w:val="24"/>
                <w:highlight w:val="none"/>
              </w:rPr>
              <w:t>元</w:t>
            </w:r>
          </w:p>
          <w:p w14:paraId="00AF1E3B">
            <w:pPr>
              <w:shd w:val="clear"/>
              <w:spacing w:line="360" w:lineRule="auto"/>
              <w:rPr>
                <w:rFonts w:cs="仿宋" w:asciiTheme="majorEastAsia" w:hAnsiTheme="majorEastAsia" w:eastAsiaTheme="majorEastAsia"/>
                <w:snapToGrid w:val="0"/>
                <w:color w:val="auto"/>
                <w:kern w:val="28"/>
                <w:sz w:val="24"/>
                <w:highlight w:val="none"/>
              </w:rPr>
            </w:pPr>
            <w:r>
              <w:rPr>
                <w:rFonts w:hint="eastAsia"/>
                <w:color w:val="auto"/>
                <w:sz w:val="24"/>
                <w:highlight w:val="none"/>
              </w:rPr>
              <w:t>4、中标人应在本公司发出中标通知书5个工作日内向本招标公司支付中标服务费。招标服务费只收现金、银行票汇款、电汇款。</w:t>
            </w:r>
          </w:p>
        </w:tc>
      </w:tr>
      <w:tr w14:paraId="7C4B8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F88EED">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3FAE255">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特别说明</w:t>
            </w:r>
          </w:p>
        </w:tc>
        <w:tc>
          <w:tcPr>
            <w:tcW w:w="6662" w:type="dxa"/>
            <w:tcBorders>
              <w:top w:val="single" w:color="000000" w:sz="8" w:space="0"/>
              <w:left w:val="single" w:color="000000" w:sz="2" w:space="0"/>
              <w:bottom w:val="single" w:color="000000" w:sz="8" w:space="0"/>
              <w:right w:val="single" w:color="000000" w:sz="8" w:space="0"/>
            </w:tcBorders>
            <w:vAlign w:val="center"/>
          </w:tcPr>
          <w:p w14:paraId="071D9FF0">
            <w:pPr>
              <w:shd w:val="clear"/>
              <w:spacing w:line="360" w:lineRule="auto"/>
              <w:rPr>
                <w:rFonts w:cs="仿宋" w:asciiTheme="majorEastAsia" w:hAnsiTheme="majorEastAsia" w:eastAsiaTheme="majorEastAsia"/>
                <w:snapToGrid w:val="0"/>
                <w:color w:val="auto"/>
                <w:kern w:val="28"/>
                <w:sz w:val="24"/>
                <w:highlight w:val="none"/>
              </w:rPr>
            </w:pPr>
            <w:r>
              <w:rPr>
                <w:rFonts w:hint="eastAsia" w:cs="仿宋" w:asciiTheme="majorEastAsia" w:hAnsiTheme="majorEastAsia" w:eastAsiaTheme="majorEastAsia"/>
                <w:snapToGrid w:val="0"/>
                <w:color w:val="auto"/>
                <w:kern w:val="28"/>
                <w:sz w:val="24"/>
                <w:highlight w:val="none"/>
              </w:rPr>
              <w:t>1.公益一类事业单位不属于政府购买服务的承接主体，不得参与承接政府购买服务。</w:t>
            </w:r>
          </w:p>
          <w:p w14:paraId="29B3585A">
            <w:pPr>
              <w:shd w:val="clear"/>
              <w:spacing w:line="360" w:lineRule="auto"/>
              <w:rPr>
                <w:rFonts w:cs="仿宋" w:asciiTheme="majorEastAsia" w:hAnsiTheme="majorEastAsia" w:eastAsiaTheme="majorEastAsia"/>
                <w:snapToGrid w:val="0"/>
                <w:color w:val="auto"/>
                <w:kern w:val="28"/>
                <w:sz w:val="24"/>
                <w:highlight w:val="none"/>
              </w:rPr>
            </w:pPr>
            <w:r>
              <w:rPr>
                <w:rFonts w:hint="eastAsia" w:cs="仿宋" w:asciiTheme="majorEastAsia" w:hAnsiTheme="majorEastAsia" w:eastAsiaTheme="majorEastAsia"/>
                <w:snapToGrid w:val="0"/>
                <w:color w:val="auto"/>
                <w:kern w:val="28"/>
                <w:sz w:val="24"/>
                <w:highlight w:val="none"/>
              </w:rPr>
              <w:t>2.鼓励供应商依据《住房公积金管理条例》，为单位职工规范缴存住房公积金。</w:t>
            </w:r>
          </w:p>
        </w:tc>
      </w:tr>
    </w:tbl>
    <w:p w14:paraId="241CCF2D">
      <w:pPr>
        <w:shd w:val="clear"/>
        <w:snapToGrid w:val="0"/>
        <w:spacing w:line="360" w:lineRule="auto"/>
        <w:jc w:val="center"/>
        <w:rPr>
          <w:rFonts w:cs="仿宋" w:asciiTheme="majorEastAsia" w:hAnsiTheme="majorEastAsia" w:eastAsiaTheme="majorEastAsia"/>
          <w:b/>
          <w:color w:val="auto"/>
          <w:sz w:val="32"/>
          <w:szCs w:val="20"/>
          <w:highlight w:val="none"/>
        </w:rPr>
      </w:pPr>
    </w:p>
    <w:p w14:paraId="58B2F6E2">
      <w:pPr>
        <w:pStyle w:val="8"/>
        <w:shd w:val="clear"/>
        <w:ind w:firstLine="240"/>
        <w:rPr>
          <w:color w:val="auto"/>
          <w:highlight w:val="none"/>
        </w:rPr>
      </w:pPr>
      <w:r>
        <w:rPr>
          <w:color w:val="auto"/>
          <w:highlight w:val="none"/>
        </w:rPr>
        <w:br w:type="page"/>
      </w:r>
    </w:p>
    <w:p w14:paraId="79F1C90C">
      <w:pPr>
        <w:shd w:val="clear"/>
        <w:snapToGrid w:val="0"/>
        <w:spacing w:line="360" w:lineRule="auto"/>
        <w:jc w:val="center"/>
        <w:rPr>
          <w:rFonts w:cs="仿宋" w:asciiTheme="majorEastAsia" w:hAnsiTheme="majorEastAsia" w:eastAsiaTheme="majorEastAsia"/>
          <w:b/>
          <w:color w:val="auto"/>
          <w:sz w:val="32"/>
          <w:szCs w:val="20"/>
          <w:highlight w:val="none"/>
        </w:rPr>
      </w:pPr>
    </w:p>
    <w:bookmarkEnd w:id="12"/>
    <w:p w14:paraId="1D2E182B">
      <w:pPr>
        <w:shd w:val="clear"/>
        <w:spacing w:line="360" w:lineRule="auto"/>
        <w:ind w:firstLine="3845" w:firstLineChars="1197"/>
        <w:outlineLvl w:val="0"/>
        <w:rPr>
          <w:rFonts w:cs="仿宋" w:asciiTheme="majorEastAsia" w:hAnsiTheme="majorEastAsia" w:eastAsiaTheme="majorEastAsia"/>
          <w:b/>
          <w:color w:val="auto"/>
          <w:sz w:val="32"/>
          <w:szCs w:val="20"/>
          <w:highlight w:val="none"/>
        </w:rPr>
      </w:pPr>
      <w:bookmarkStart w:id="13" w:name="第三部分"/>
      <w:bookmarkStart w:id="14" w:name="_Toc164416483"/>
      <w:r>
        <w:rPr>
          <w:rFonts w:hint="eastAsia" w:cs="仿宋" w:asciiTheme="majorEastAsia" w:hAnsiTheme="majorEastAsia" w:eastAsiaTheme="majorEastAsia"/>
          <w:b/>
          <w:color w:val="auto"/>
          <w:sz w:val="32"/>
          <w:szCs w:val="20"/>
          <w:highlight w:val="none"/>
        </w:rPr>
        <w:t>一、总则</w:t>
      </w:r>
    </w:p>
    <w:p w14:paraId="079E27FA">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适用范围</w:t>
      </w:r>
    </w:p>
    <w:p w14:paraId="2902C590">
      <w:pPr>
        <w:shd w:val="clear"/>
        <w:snapToGrid w:val="0"/>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本招标文件适用于该项目的招标、投标、开标、资格审查及信用信息查询、评标、定标、合同、验收等行为（法律、法规另有规定的，从其规定）。</w:t>
      </w:r>
    </w:p>
    <w:p w14:paraId="637C8F9E">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定义</w:t>
      </w:r>
    </w:p>
    <w:p w14:paraId="5C2DBEA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 “采购人”系指招标公告中载明的本项目的采购人。</w:t>
      </w:r>
    </w:p>
    <w:p w14:paraId="60EDBDF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 “采购代理机构”系指招标公告中载明的本项目的采购代理机构。</w:t>
      </w:r>
    </w:p>
    <w:p w14:paraId="65D2F1C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”系指是指响应招标、参加投标竞争的法人、其他组织或者自然人。</w:t>
      </w:r>
    </w:p>
    <w:p w14:paraId="33B9DFB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14:paraId="3B2EB7E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2.5“电子签名”系指数据电文中以电子形式所含、所附用于识别签名人身份并表明签名人认可其中内容的数据；“公章”系指单位法定名称章。</w:t>
      </w:r>
    </w:p>
    <w:p w14:paraId="60A705A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2.6“电子交易平台”是指本项目政府采购活动所依托的政府采购云平台（https://www.zcygov.cn/）。</w:t>
      </w:r>
    </w:p>
    <w:p w14:paraId="09538AA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2.7 “▲” 系指实质性要求条款，“</w:t>
      </w:r>
      <w:r>
        <w:rPr>
          <w:rFonts w:ascii="Wingdings" w:hAnsi="Wingdings" w:eastAsia="仿宋" w:cs="仿宋"/>
          <w:color w:val="auto"/>
          <w:kern w:val="0"/>
          <w:sz w:val="24"/>
          <w:highlight w:val="none"/>
        </w:rPr>
        <w:t></w:t>
      </w:r>
      <w:r>
        <w:rPr>
          <w:rFonts w:hint="eastAsia" w:cs="仿宋" w:asciiTheme="majorEastAsia" w:hAnsiTheme="majorEastAsia" w:eastAsiaTheme="majorEastAsia"/>
          <w:color w:val="auto"/>
          <w:sz w:val="24"/>
          <w:highlight w:val="none"/>
        </w:rPr>
        <w:t>” 系指适用本项目的要求，“</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color w:val="auto"/>
          <w:sz w:val="24"/>
          <w:highlight w:val="none"/>
        </w:rPr>
        <w:t>” 系指不适用本项目的要求。</w:t>
      </w:r>
    </w:p>
    <w:p w14:paraId="44BCC86C">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采购项目需要落实的政府采购政策</w:t>
      </w:r>
    </w:p>
    <w:p w14:paraId="2FC2E03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F925F6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3.2 支持绿色发展</w:t>
      </w:r>
    </w:p>
    <w:p w14:paraId="1BE4525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3.3支持中小企业发展</w:t>
      </w:r>
    </w:p>
    <w:p w14:paraId="7602596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A012C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符合中小企业划分标准的个体工商户，在政府采购活动中视同中小企业。</w:t>
      </w:r>
    </w:p>
    <w:p w14:paraId="3FFB2ADE">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Cs/>
          <w:color w:val="auto"/>
          <w:sz w:val="24"/>
          <w:highlight w:val="none"/>
        </w:rPr>
        <w:t>3.3.2</w:t>
      </w:r>
      <w:r>
        <w:rPr>
          <w:rFonts w:hint="eastAsia" w:cs="仿宋" w:asciiTheme="majorEastAsia" w:hAnsiTheme="majorEastAsia" w:eastAsiaTheme="majorEastAsia"/>
          <w:color w:val="auto"/>
          <w:kern w:val="0"/>
          <w:sz w:val="24"/>
          <w:highlight w:val="none"/>
        </w:rPr>
        <w:t>在政府采购活动中，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提供的货物、工程或者服务符合下列情形的，享受中小企业扶持政策：</w:t>
      </w:r>
    </w:p>
    <w:p w14:paraId="46F712F7">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3.3.2.1在货物采购项目中，货物由中小企业制造，即货物由中小企业生产且使用该中小企业商号或者注册商标；</w:t>
      </w:r>
    </w:p>
    <w:p w14:paraId="64E709E3">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3.3.2.2在工程采购项目中，工程由中小企业承建，即工程施工单位为中小企业；</w:t>
      </w:r>
    </w:p>
    <w:p w14:paraId="6EB7BD96">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3.3.2.3在服务采购项目中，服务由中小企业承接，即提供服务的人员为中小企业依照《中华人民共和国劳动合同法》订立劳动合同的从业人员。</w:t>
      </w:r>
    </w:p>
    <w:p w14:paraId="1683A577">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在货物采购项目中，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提供的货物既有中小企业制造货物，也有大型企业制造货物的，不享受中小企业扶持政策。</w:t>
      </w:r>
    </w:p>
    <w:p w14:paraId="50A2896C">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6AA443F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C1A473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3.3.4符合《关于促进残疾人就业政府采购政策的通知》（财库〔2017〕141号）规定的条件并提供《残疾人福利性单位声明函》的残疾人福利性单位视同小型、微型企业；</w:t>
      </w:r>
    </w:p>
    <w:p w14:paraId="172976C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F6FF47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3.3.6可享受中小企业扶持政策的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应按照招标文件格式要求提供《中小企业声明函》，</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提供的《中小企业声明函》与实际情况不符的，不享受中小企业扶持政策。声明内容不实的，属于提供虚假材料谋取中标、成交的，依法承担法律责任。</w:t>
      </w:r>
    </w:p>
    <w:p w14:paraId="40E6A9E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3.3.7中小企业享受扶持政策获得政府采购合同的，小微企业不得将合同分包给大中型企业，中型企业不得将合同分包给大型企业。</w:t>
      </w:r>
    </w:p>
    <w:p w14:paraId="0A1495DE">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特别说明</w:t>
      </w:r>
    </w:p>
    <w:p w14:paraId="4583A7A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4.1关于分公司投标</w:t>
      </w:r>
    </w:p>
    <w:p w14:paraId="6AC1999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除银行、保险、石油石化、电力、电信等特殊行业外。法人的分支机构由于不能独立承担民事责任，不能以分支机构的身份参加政府采购，只能以法人身份参加。 </w:t>
      </w:r>
    </w:p>
    <w:p w14:paraId="7523086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4.2关于知识产权</w:t>
      </w:r>
    </w:p>
    <w:p w14:paraId="3A5E629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w:t>
      </w:r>
    </w:p>
    <w:p w14:paraId="30000CE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4.2.2 投标报价应包含所有应向所有权人支付的专利权、商标权或其它知识产权的一切相关费用。</w:t>
      </w:r>
    </w:p>
    <w:p w14:paraId="0F9ABC5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承担所有责任及费用。</w:t>
      </w:r>
    </w:p>
    <w:p w14:paraId="6EA62BD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的风险</w:t>
      </w:r>
    </w:p>
    <w:p w14:paraId="4882856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承担,并对所提供的全部资料的真实性承担法律责任。</w:t>
      </w:r>
    </w:p>
    <w:p w14:paraId="71C4E2D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4.3.2 无论因何种原因导致本次采购活动终止致</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损失的，相关责任人均不承担任何责任。</w:t>
      </w:r>
    </w:p>
    <w:p w14:paraId="0060BB93">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询问、质疑、投诉</w:t>
      </w:r>
    </w:p>
    <w:p w14:paraId="00BDA67D">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.1供应商询问</w:t>
      </w:r>
    </w:p>
    <w:p w14:paraId="763A0A8B">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16840F">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.2供应商质疑</w:t>
      </w:r>
    </w:p>
    <w:p w14:paraId="6D920DF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.1提出质疑的供应商应当是参与所质疑项目采购活动的供应商。潜在供应商已依法获取其可质疑的招标文件的，可以对该文件提出质疑。</w:t>
      </w:r>
    </w:p>
    <w:p w14:paraId="17C428F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4B2108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5.2.2.1对招标文件提出质疑的，质疑期限为供应商获得招标文件之日或者招标文件公告期限届满之日起计算。</w:t>
      </w:r>
    </w:p>
    <w:p w14:paraId="6F1F349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5.2.2.2对采购过程提出质疑的，质疑期限为各采购程序环节结束之日起计算。</w:t>
      </w:r>
    </w:p>
    <w:p w14:paraId="6CD32C2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5.2.2.3对采购结果提出质疑的，质疑期限自采购结果公告期限届满之日起计算。</w:t>
      </w:r>
    </w:p>
    <w:p w14:paraId="122A61B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5.2.2.4对同一采购程序环节的质疑，供应商须一次性提出。</w:t>
      </w:r>
    </w:p>
    <w:p w14:paraId="3DBC61B9">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w:t>
      </w:r>
      <w:r>
        <w:rPr>
          <w:rFonts w:hint="eastAsia" w:cs="仿宋" w:asciiTheme="majorEastAsia" w:hAnsiTheme="majorEastAsia" w:eastAsiaTheme="majorEastAsia"/>
          <w:color w:val="auto"/>
          <w:sz w:val="24"/>
          <w:highlight w:val="none"/>
        </w:rPr>
        <w:t>供应商提出质疑应当提交质疑函和必要的证明材料。质疑函应当包括下列内容：</w:t>
      </w:r>
    </w:p>
    <w:p w14:paraId="11957B18">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.2.3.1供应商的姓名或者名称、地址、邮编、联系人及联系电话；</w:t>
      </w:r>
    </w:p>
    <w:p w14:paraId="568F6491">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.2.3.2质疑项目的名称、编号；</w:t>
      </w:r>
    </w:p>
    <w:p w14:paraId="58A2D81F">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.2.3.3具体、明确的质疑事项和与质疑事项相关的请求；</w:t>
      </w:r>
    </w:p>
    <w:p w14:paraId="417AD352">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.2.3.4事实依据；</w:t>
      </w:r>
    </w:p>
    <w:p w14:paraId="19219232">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.2.3.5必要的法律依据；</w:t>
      </w:r>
    </w:p>
    <w:p w14:paraId="454E7304">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.2.3.6提出质疑的日期。</w:t>
      </w:r>
    </w:p>
    <w:p w14:paraId="0D45AB8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5.2.3.7对招标文件提出质疑的需要提供在政采云平台获取招标文件的截图。</w:t>
      </w:r>
    </w:p>
    <w:p w14:paraId="73D6FC3D">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805387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质疑函范本请到浙江政府采购网下载专区下载。</w:t>
      </w:r>
    </w:p>
    <w:p w14:paraId="5379BA8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15F9B5E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.5询问或者质疑事项可能影响采购结果的，采购人应当暂停签订合同，已经签订合同的，应当中止履行合同。</w:t>
      </w:r>
    </w:p>
    <w:p w14:paraId="02821746">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.3供应商投诉</w:t>
      </w:r>
    </w:p>
    <w:p w14:paraId="7494CB9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5.3.1质疑供应商对采购人、采购代理机构的答复不满意或者采购人、采购代理机构未在规定的时间内作出答复的，可以在答复期满后十五个工作日内向同级政府采购监督管理部门提出投诉。</w:t>
      </w:r>
    </w:p>
    <w:p w14:paraId="773E8EF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供应商投诉的事项不得超出已质疑事项的范围，基于质疑答复内容提出的投诉事项除外。</w:t>
      </w:r>
    </w:p>
    <w:p w14:paraId="09B936A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5.3.3供应商投诉应当有明确的请求和必要的证明材料。</w:t>
      </w:r>
    </w:p>
    <w:p w14:paraId="728C1B6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5.3.5 以联合体形式参加政府采购活动的，其投诉应当由组成联合体的所有供应商共同提出。</w:t>
      </w:r>
    </w:p>
    <w:p w14:paraId="17360A4F">
      <w:pPr>
        <w:shd w:val="clear"/>
        <w:spacing w:line="360" w:lineRule="auto"/>
        <w:ind w:firstLine="480" w:firstLineChars="200"/>
        <w:rPr>
          <w:rFonts w:cs="仿宋" w:asciiTheme="majorEastAsia" w:hAnsiTheme="majorEastAsia" w:eastAsiaTheme="majorEastAsia"/>
          <w:color w:val="auto"/>
          <w:sz w:val="18"/>
          <w:szCs w:val="18"/>
          <w:highlight w:val="none"/>
        </w:rPr>
      </w:pPr>
      <w:r>
        <w:rPr>
          <w:rFonts w:hint="eastAsia" w:cs="仿宋" w:asciiTheme="majorEastAsia" w:hAnsiTheme="majorEastAsia" w:eastAsiaTheme="majorEastAsia"/>
          <w:color w:val="auto"/>
          <w:sz w:val="24"/>
          <w:highlight w:val="none"/>
        </w:rPr>
        <w:t>投诉书范本请到浙江政府采购网下载专区下载。</w:t>
      </w:r>
    </w:p>
    <w:p w14:paraId="4917B38D">
      <w:pPr>
        <w:shd w:val="clear"/>
        <w:spacing w:line="360" w:lineRule="auto"/>
        <w:jc w:val="center"/>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二、招标文件的构成、澄清、修改</w:t>
      </w:r>
    </w:p>
    <w:p w14:paraId="0984F75C">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招标文件的构成</w:t>
      </w:r>
    </w:p>
    <w:p w14:paraId="5D943D7D">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 招标文件包括下列文件及附件：</w:t>
      </w:r>
    </w:p>
    <w:p w14:paraId="409F4457">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6.1.1 招标公告；</w:t>
      </w:r>
    </w:p>
    <w:p w14:paraId="6AE7765A">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6.1.2 </w:t>
      </w:r>
      <w:r>
        <w:rPr>
          <w:rFonts w:hint="eastAsia" w:cs="仿宋" w:asciiTheme="majorEastAsia" w:hAnsiTheme="majorEastAsia" w:eastAsiaTheme="majorEastAsia"/>
          <w:color w:val="auto"/>
          <w:sz w:val="24"/>
          <w:szCs w:val="24"/>
          <w:highlight w:val="none"/>
          <w:lang w:val="zh-CN"/>
        </w:rPr>
        <w:t>投标</w:t>
      </w:r>
      <w:r>
        <w:rPr>
          <w:rFonts w:hint="eastAsia" w:cs="仿宋" w:asciiTheme="majorEastAsia" w:hAnsiTheme="majorEastAsia" w:eastAsiaTheme="majorEastAsia"/>
          <w:color w:val="auto"/>
          <w:sz w:val="24"/>
          <w:szCs w:val="24"/>
          <w:highlight w:val="none"/>
        </w:rPr>
        <w:t>须知；</w:t>
      </w:r>
    </w:p>
    <w:p w14:paraId="738D6C80">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6.1.3 采购需求；</w:t>
      </w:r>
    </w:p>
    <w:p w14:paraId="01EA466E">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6.1.4 评标办法；</w:t>
      </w:r>
    </w:p>
    <w:p w14:paraId="3AFF8F16">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6.1.5 拟签订的合同文本；</w:t>
      </w:r>
    </w:p>
    <w:p w14:paraId="1C490323">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6.1.6 应提交的有关格式范例。</w:t>
      </w:r>
    </w:p>
    <w:p w14:paraId="1D87E2F9">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6.1.7 附件（如有）</w:t>
      </w:r>
    </w:p>
    <w:p w14:paraId="7D43E59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6.2与本项目有关的</w:t>
      </w:r>
      <w:r>
        <w:rPr>
          <w:rFonts w:hint="eastAsia" w:cs="仿宋" w:asciiTheme="majorEastAsia" w:hAnsiTheme="majorEastAsia" w:eastAsiaTheme="majorEastAsia"/>
          <w:bCs/>
          <w:color w:val="auto"/>
          <w:sz w:val="24"/>
          <w:highlight w:val="none"/>
        </w:rPr>
        <w:t>澄清或者修改的内容为招标文件的组成部分</w:t>
      </w:r>
      <w:r>
        <w:rPr>
          <w:rFonts w:hint="eastAsia" w:cs="仿宋" w:asciiTheme="majorEastAsia" w:hAnsiTheme="majorEastAsia" w:eastAsiaTheme="majorEastAsia"/>
          <w:color w:val="auto"/>
          <w:sz w:val="24"/>
          <w:highlight w:val="none"/>
        </w:rPr>
        <w:t>。</w:t>
      </w:r>
    </w:p>
    <w:p w14:paraId="7A0DBB24">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招标文件的澄清、修改</w:t>
      </w:r>
    </w:p>
    <w:p w14:paraId="43AE171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3801727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0D6A7F5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7.3 如更正公告有重新发布电子招标文件的，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应下载最新发布的电子招标文件制作投标文件。</w:t>
      </w:r>
    </w:p>
    <w:p w14:paraId="5155B31B">
      <w:pPr>
        <w:shd w:val="clear"/>
        <w:spacing w:line="360" w:lineRule="auto"/>
        <w:ind w:firstLine="480" w:firstLineChars="200"/>
        <w:rPr>
          <w:rFonts w:cs="仿宋" w:asciiTheme="majorEastAsia" w:hAnsiTheme="majorEastAsia" w:eastAsiaTheme="majorEastAsia"/>
          <w:b/>
          <w:color w:val="auto"/>
          <w:sz w:val="30"/>
          <w:szCs w:val="20"/>
          <w:highlight w:val="none"/>
        </w:rPr>
      </w:pPr>
      <w:r>
        <w:rPr>
          <w:rFonts w:hint="eastAsia" w:cs="仿宋" w:asciiTheme="majorEastAsia" w:hAnsiTheme="majorEastAsia" w:eastAsiaTheme="majorEastAsia"/>
          <w:color w:val="auto"/>
          <w:sz w:val="24"/>
          <w:highlight w:val="none"/>
        </w:rPr>
        <w:t>7.4 已获取招标文件的潜在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，若有问题需要澄清，应于投标截止时间前，以书面形式向采购代理机构提出。</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w:t>
      </w:r>
    </w:p>
    <w:p w14:paraId="5B3861AB">
      <w:pPr>
        <w:shd w:val="clear"/>
        <w:spacing w:line="360" w:lineRule="auto"/>
        <w:jc w:val="center"/>
        <w:outlineLvl w:val="0"/>
        <w:rPr>
          <w:rFonts w:cs="仿宋" w:asciiTheme="majorEastAsia" w:hAnsiTheme="majorEastAsia" w:eastAsiaTheme="majorEastAsia"/>
          <w:b/>
          <w:color w:val="auto"/>
          <w:sz w:val="30"/>
          <w:szCs w:val="20"/>
          <w:highlight w:val="none"/>
        </w:rPr>
      </w:pPr>
      <w:r>
        <w:rPr>
          <w:rFonts w:hint="eastAsia" w:cs="仿宋" w:asciiTheme="majorEastAsia" w:hAnsiTheme="majorEastAsia" w:eastAsiaTheme="majorEastAsia"/>
          <w:b/>
          <w:color w:val="auto"/>
          <w:sz w:val="30"/>
          <w:szCs w:val="20"/>
          <w:highlight w:val="none"/>
        </w:rPr>
        <w:br w:type="page"/>
      </w:r>
      <w:r>
        <w:rPr>
          <w:rFonts w:hint="eastAsia" w:cs="仿宋" w:asciiTheme="majorEastAsia" w:hAnsiTheme="majorEastAsia" w:eastAsiaTheme="majorEastAsia"/>
          <w:b/>
          <w:color w:val="auto"/>
          <w:sz w:val="30"/>
          <w:szCs w:val="20"/>
          <w:highlight w:val="none"/>
        </w:rPr>
        <w:t>三、投标</w:t>
      </w:r>
    </w:p>
    <w:p w14:paraId="5513E1E9">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投标文件的语言</w:t>
      </w:r>
    </w:p>
    <w:p w14:paraId="2C4037EE">
      <w:pPr>
        <w:shd w:val="clear"/>
        <w:autoSpaceDE w:val="0"/>
        <w:autoSpaceDN w:val="0"/>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投标文件及</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与采购有关的来往通知、函件和文件均应使用中文。</w:t>
      </w:r>
    </w:p>
    <w:p w14:paraId="7A112B47">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投标文件的组成</w:t>
      </w:r>
    </w:p>
    <w:p w14:paraId="15AE36F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9.1 </w:t>
      </w:r>
      <w:r>
        <w:rPr>
          <w:rFonts w:hint="eastAsia" w:cs="仿宋" w:asciiTheme="majorEastAsia" w:hAnsiTheme="majorEastAsia" w:eastAsiaTheme="majorEastAsia"/>
          <w:b/>
          <w:color w:val="auto"/>
          <w:sz w:val="24"/>
          <w:highlight w:val="none"/>
        </w:rPr>
        <w:t>资格文件</w:t>
      </w:r>
      <w:r>
        <w:rPr>
          <w:rFonts w:hint="eastAsia" w:cs="仿宋" w:asciiTheme="majorEastAsia" w:hAnsiTheme="majorEastAsia" w:eastAsiaTheme="majorEastAsia"/>
          <w:color w:val="auto"/>
          <w:sz w:val="24"/>
          <w:highlight w:val="none"/>
        </w:rPr>
        <w:t>：</w:t>
      </w:r>
    </w:p>
    <w:p w14:paraId="5F4A6A4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9.1.1有效的企业法人营业执照（或事业法人登记证）、其他组织（个体工商户）的营业执照或者民办非企业单位登记证书；</w:t>
      </w:r>
    </w:p>
    <w:p w14:paraId="24708F7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9.1.2符合参加政府采购活动应当具备的一般条件的承诺函(格式见第六部分)；</w:t>
      </w:r>
    </w:p>
    <w:p w14:paraId="2E945C9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9.1.3落实政府采购政策需满足的资格要求（如适用）；</w:t>
      </w:r>
    </w:p>
    <w:p w14:paraId="3F622D8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9.1.4本项目的特定资格要求（如有）。</w:t>
      </w:r>
    </w:p>
    <w:p w14:paraId="6643DA43">
      <w:pPr>
        <w:shd w:val="clear"/>
        <w:snapToGrid w:val="0"/>
        <w:spacing w:line="360" w:lineRule="auto"/>
        <w:ind w:firstLine="480" w:firstLineChars="200"/>
        <w:rPr>
          <w:rFonts w:cs="仿宋" w:asciiTheme="majorEastAsia" w:hAnsiTheme="majorEastAsia" w:eastAsiaTheme="majorEastAsia"/>
          <w:b/>
          <w:bCs/>
          <w:color w:val="auto"/>
          <w:sz w:val="24"/>
          <w:highlight w:val="none"/>
          <w:lang w:val="zh-CN"/>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b/>
          <w:bCs/>
          <w:color w:val="auto"/>
          <w:sz w:val="24"/>
          <w:highlight w:val="none"/>
        </w:rPr>
        <w:t>商务技术</w:t>
      </w:r>
      <w:r>
        <w:rPr>
          <w:rFonts w:hint="eastAsia" w:cs="仿宋" w:asciiTheme="majorEastAsia" w:hAnsiTheme="majorEastAsia" w:eastAsiaTheme="majorEastAsia"/>
          <w:b/>
          <w:bCs/>
          <w:color w:val="auto"/>
          <w:sz w:val="24"/>
          <w:highlight w:val="none"/>
          <w:lang w:val="zh-CN"/>
        </w:rPr>
        <w:t>文件：</w:t>
      </w:r>
    </w:p>
    <w:p w14:paraId="2262C55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9.2.1评分索引表</w:t>
      </w:r>
    </w:p>
    <w:p w14:paraId="5A8797E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9.2.2 符合性自查表；</w:t>
      </w:r>
    </w:p>
    <w:p w14:paraId="584E9CC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9.2.3 投标函；</w:t>
      </w:r>
      <w:r>
        <w:rPr>
          <w:rFonts w:hint="eastAsia" w:cs="仿宋" w:asciiTheme="majorEastAsia" w:hAnsiTheme="majorEastAsia" w:eastAsiaTheme="majorEastAsia"/>
          <w:color w:val="auto"/>
          <w:sz w:val="24"/>
          <w:highlight w:val="none"/>
          <w:lang w:val="zh-CN"/>
        </w:rPr>
        <w:t xml:space="preserve"> </w:t>
      </w:r>
    </w:p>
    <w:p w14:paraId="7BB30D9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9.2.4授权委托书或法定代表人（单位负责人、自然人本人）身份证明；</w:t>
      </w:r>
    </w:p>
    <w:p w14:paraId="5903315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9.2.5投标人基本情况表；</w:t>
      </w:r>
    </w:p>
    <w:p w14:paraId="738320D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9.2.6 距采购人最近或者能为本项目提供最优服务的网点情况表；</w:t>
      </w:r>
    </w:p>
    <w:p w14:paraId="3C37723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7 评标标准相应的商务技术资料；</w:t>
      </w:r>
    </w:p>
    <w:p w14:paraId="1E261D54">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9.2.8 商务响应表；</w:t>
      </w:r>
    </w:p>
    <w:p w14:paraId="47B7CE24">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9.2.9 服务响应表；</w:t>
      </w:r>
    </w:p>
    <w:p w14:paraId="6DFD1D2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9.2.10项目实施人员一览表；</w:t>
      </w:r>
    </w:p>
    <w:p w14:paraId="76C6A43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9.2.11 同类业绩情况一览表；</w:t>
      </w:r>
    </w:p>
    <w:p w14:paraId="14947F9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9.2.12</w:t>
      </w:r>
      <w:r>
        <w:rPr>
          <w:rFonts w:hint="eastAsia" w:cs="仿宋" w:asciiTheme="majorEastAsia" w:hAnsiTheme="majorEastAsia" w:eastAsiaTheme="majorEastAsia"/>
          <w:color w:val="auto"/>
          <w:sz w:val="24"/>
          <w:highlight w:val="none"/>
          <w:lang w:val="zh-CN"/>
        </w:rPr>
        <w:t>政府采购供应商廉洁自律承诺书；</w:t>
      </w:r>
    </w:p>
    <w:p w14:paraId="3AFEE8D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9.2.13其他资料（如有）。</w:t>
      </w:r>
    </w:p>
    <w:p w14:paraId="5A0F93F4">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kern w:val="0"/>
          <w:sz w:val="24"/>
          <w:highlight w:val="none"/>
        </w:rPr>
        <w:t>9</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rPr>
        <w:t xml:space="preserve">3 </w:t>
      </w:r>
      <w:r>
        <w:rPr>
          <w:rFonts w:hint="eastAsia" w:cs="仿宋" w:asciiTheme="majorEastAsia" w:hAnsiTheme="majorEastAsia" w:eastAsiaTheme="majorEastAsia"/>
          <w:b/>
          <w:color w:val="auto"/>
          <w:sz w:val="24"/>
          <w:highlight w:val="none"/>
        </w:rPr>
        <w:t>报价文件：</w:t>
      </w:r>
      <w:r>
        <w:rPr>
          <w:rFonts w:hint="eastAsia" w:cs="仿宋" w:asciiTheme="majorEastAsia" w:hAnsiTheme="majorEastAsia" w:eastAsiaTheme="majorEastAsia"/>
          <w:color w:val="auto"/>
          <w:sz w:val="24"/>
          <w:highlight w:val="none"/>
        </w:rPr>
        <w:t xml:space="preserve"> </w:t>
      </w:r>
    </w:p>
    <w:p w14:paraId="6D5E0AA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9.3.1 开标一览表；</w:t>
      </w:r>
    </w:p>
    <w:p w14:paraId="6FBE93B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9.3.2 投标报价明细表；</w:t>
      </w:r>
    </w:p>
    <w:p w14:paraId="3738037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9.3.3 中小企业声明函（如有）；</w:t>
      </w:r>
    </w:p>
    <w:p w14:paraId="36E28CE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9.3.4 残疾人福利性单位声明函（如有）；</w:t>
      </w:r>
    </w:p>
    <w:p w14:paraId="451CB94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9.3.5 监狱企业的证明文件（如有）；</w:t>
      </w:r>
    </w:p>
    <w:p w14:paraId="66894A4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9.3.6 政府采购统计基础信息表；</w:t>
      </w:r>
    </w:p>
    <w:p w14:paraId="3F54893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9.3.7其他资料（如有）。</w:t>
      </w:r>
    </w:p>
    <w:p w14:paraId="5734FAD5">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投标文件的编制</w:t>
      </w:r>
    </w:p>
    <w:p w14:paraId="0254735D">
      <w:pPr>
        <w:shd w:val="clear"/>
        <w:spacing w:line="360" w:lineRule="auto"/>
        <w:ind w:firstLine="480"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highlight w:val="none"/>
        </w:rPr>
        <w:t>未有规定格式的资料，</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应自行编制，但至少须包含9.投标文件组成中的内容。</w:t>
      </w:r>
      <w:r>
        <w:rPr>
          <w:rFonts w:hint="eastAsia" w:cs="仿宋" w:asciiTheme="majorEastAsia" w:hAnsiTheme="majorEastAsia" w:eastAsiaTheme="majorEastAsia"/>
          <w:color w:val="auto"/>
          <w:kern w:val="0"/>
          <w:sz w:val="24"/>
          <w:highlight w:val="none"/>
          <w:lang w:val="zh-CN"/>
        </w:rPr>
        <w:t>混乱的编排导致投标文件被误读或评标委员会查找不到有效文件是供应商的风险。</w:t>
      </w:r>
    </w:p>
    <w:p w14:paraId="25D8CA91">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.2供应商进行电子投标应安装客户端软件—“政采云电子交易客户端”，并按照招标文件和电子交易平台的要求编制并加密投标文件。供应商未按规定加密的投标文件，电子交易平台将拒收并提示。</w:t>
      </w:r>
    </w:p>
    <w:p w14:paraId="49CCF028">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6BDC5529">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投标文件的签署、盖章</w:t>
      </w:r>
    </w:p>
    <w:p w14:paraId="41791CED">
      <w:pPr>
        <w:pStyle w:val="37"/>
        <w:shd w:val="clear"/>
        <w:snapToGrid w:val="0"/>
        <w:spacing w:before="0"/>
        <w:ind w:firstLine="480"/>
        <w:rPr>
          <w:rFonts w:cs="仿宋" w:asciiTheme="majorEastAsia" w:hAnsiTheme="majorEastAsia" w:eastAsiaTheme="majorEastAsia"/>
          <w:b/>
          <w:color w:val="auto"/>
          <w:highlight w:val="none"/>
        </w:rPr>
      </w:pPr>
      <w:r>
        <w:rPr>
          <w:rFonts w:hint="eastAsia" w:cs="仿宋" w:asciiTheme="majorEastAsia" w:hAnsiTheme="majorEastAsia" w:eastAsiaTheme="majorEastAsia"/>
          <w:color w:val="auto"/>
          <w:szCs w:val="24"/>
          <w:highlight w:val="none"/>
        </w:rPr>
        <w:t>11.1投标文件按照招标文件第六部分格式要</w:t>
      </w:r>
      <w:r>
        <w:rPr>
          <w:rFonts w:hint="eastAsia" w:cs="仿宋" w:asciiTheme="majorEastAsia" w:hAnsiTheme="majorEastAsia" w:eastAsiaTheme="majorEastAsia"/>
          <w:color w:val="auto"/>
          <w:highlight w:val="none"/>
        </w:rPr>
        <w:t>求进行签署、盖章。</w:t>
      </w:r>
      <w:r>
        <w:rPr>
          <w:rFonts w:hint="eastAsia" w:cs="仿宋" w:asciiTheme="majorEastAsia" w:hAnsiTheme="majorEastAsia" w:eastAsiaTheme="majorEastAsia"/>
          <w:b/>
          <w:color w:val="auto"/>
          <w:highlight w:val="none"/>
        </w:rPr>
        <w:t>▲供应商的投标文件未按照招标文件要求签署、盖章的，其投标无效</w:t>
      </w:r>
      <w:r>
        <w:rPr>
          <w:rFonts w:hint="eastAsia" w:cs="仿宋" w:asciiTheme="majorEastAsia" w:hAnsiTheme="majorEastAsia" w:eastAsiaTheme="majorEastAsia"/>
          <w:color w:val="auto"/>
          <w:szCs w:val="24"/>
          <w:highlight w:val="none"/>
        </w:rPr>
        <w:t>。</w:t>
      </w:r>
    </w:p>
    <w:p w14:paraId="13EC567F">
      <w:pPr>
        <w:pStyle w:val="37"/>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11.2为确保网上操作合法、有效和安全，</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应当在投标截止时间前完成在“政府采购云平台”的身份认证，确保在电子投标过程中能够对相关数据电文进行加密和使用电子签名。</w:t>
      </w:r>
    </w:p>
    <w:p w14:paraId="3146634D">
      <w:pPr>
        <w:pStyle w:val="37"/>
        <w:shd w:val="clear"/>
        <w:snapToGrid w:val="0"/>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highlight w:val="none"/>
        </w:rPr>
        <w:t>11.3招标文件对投标文件签署、盖章的要求适用于电子签名。</w:t>
      </w:r>
    </w:p>
    <w:p w14:paraId="3458FB02">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投标文件的提交、补充、修改、撤回</w:t>
      </w:r>
    </w:p>
    <w:p w14:paraId="37AA579C">
      <w:pPr>
        <w:pStyle w:val="37"/>
        <w:shd w:val="clear"/>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DCFA548">
      <w:pPr>
        <w:pStyle w:val="37"/>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03647014">
      <w:pPr>
        <w:pStyle w:val="37"/>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szCs w:val="24"/>
          <w:highlight w:val="none"/>
        </w:rPr>
        <w:t>以前在投标截止期方面的全部权利、责任和义务，将适用于延长至新的投标截止期。</w:t>
      </w:r>
    </w:p>
    <w:p w14:paraId="543D37CC">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投标有效期</w:t>
      </w:r>
    </w:p>
    <w:p w14:paraId="669E0885">
      <w:pPr>
        <w:shd w:val="clear"/>
        <w:spacing w:line="360" w:lineRule="auto"/>
        <w:ind w:firstLine="480" w:firstLineChars="200"/>
        <w:rPr>
          <w:rFonts w:cs="仿宋" w:asciiTheme="majorEastAsia" w:hAnsiTheme="majorEastAsia" w:eastAsiaTheme="majorEastAsia"/>
          <w:b/>
          <w:color w:val="auto"/>
          <w:sz w:val="24"/>
          <w:szCs w:val="21"/>
          <w:highlight w:val="none"/>
        </w:rPr>
      </w:pPr>
      <w:r>
        <w:rPr>
          <w:rFonts w:hint="eastAsia" w:cs="仿宋" w:asciiTheme="majorEastAsia" w:hAnsiTheme="majorEastAsia" w:eastAsiaTheme="majorEastAsia"/>
          <w:color w:val="auto"/>
          <w:sz w:val="24"/>
          <w:szCs w:val="20"/>
          <w:highlight w:val="none"/>
        </w:rPr>
        <w:t>投标有效期为从提交投标文件的截止之日起90天。▲</w:t>
      </w:r>
      <w:r>
        <w:rPr>
          <w:rFonts w:hint="eastAsia" w:cs="仿宋" w:asciiTheme="majorEastAsia" w:hAnsiTheme="majorEastAsia" w:eastAsiaTheme="majorEastAsia"/>
          <w:b/>
          <w:color w:val="auto"/>
          <w:sz w:val="24"/>
          <w:szCs w:val="20"/>
          <w:highlight w:val="none"/>
        </w:rPr>
        <w:t>供应商的投标文件中承</w:t>
      </w:r>
      <w:r>
        <w:rPr>
          <w:rFonts w:hint="eastAsia" w:cs="仿宋" w:asciiTheme="majorEastAsia" w:hAnsiTheme="majorEastAsia" w:eastAsiaTheme="majorEastAsia"/>
          <w:b/>
          <w:color w:val="auto"/>
          <w:sz w:val="24"/>
          <w:szCs w:val="21"/>
          <w:highlight w:val="none"/>
        </w:rPr>
        <w:t>诺的投标有效期少于招标文件中载明的投标有效期的，投标无效。</w:t>
      </w:r>
    </w:p>
    <w:p w14:paraId="1E611B3B">
      <w:pPr>
        <w:pStyle w:val="37"/>
        <w:shd w:val="clear"/>
        <w:spacing w:before="0"/>
        <w:ind w:firstLine="643"/>
        <w:rPr>
          <w:rFonts w:cs="仿宋" w:asciiTheme="majorEastAsia" w:hAnsiTheme="majorEastAsia" w:eastAsiaTheme="majorEastAsia"/>
          <w:b/>
          <w:color w:val="auto"/>
          <w:sz w:val="32"/>
          <w:highlight w:val="none"/>
        </w:rPr>
      </w:pPr>
    </w:p>
    <w:p w14:paraId="390CC059">
      <w:pPr>
        <w:pStyle w:val="37"/>
        <w:shd w:val="clear"/>
        <w:spacing w:before="0"/>
        <w:ind w:firstLine="1928" w:firstLineChars="600"/>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四、开标、资格审查与信用信息查询</w:t>
      </w:r>
    </w:p>
    <w:p w14:paraId="2542C464">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开标 </w:t>
      </w:r>
    </w:p>
    <w:p w14:paraId="057E4D59">
      <w:pPr>
        <w:pStyle w:val="32"/>
        <w:shd w:val="clear"/>
        <w:spacing w:before="0" w:line="360" w:lineRule="auto"/>
        <w:ind w:left="0" w:firstLine="480" w:firstLineChars="2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14.1采购代理机构按照招标文件规定的时间通过电子交易平台组织开标，所有</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均应当准时在线参加。</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不足3家的，不得开标。</w:t>
      </w:r>
    </w:p>
    <w:p w14:paraId="380C4690">
      <w:pPr>
        <w:pStyle w:val="32"/>
        <w:shd w:val="clear"/>
        <w:spacing w:before="0" w:line="360" w:lineRule="auto"/>
        <w:ind w:left="0" w:firstLine="240" w:firstLineChars="1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w:t>
      </w:r>
    </w:p>
    <w:p w14:paraId="51B93D1B">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资格审查</w:t>
      </w:r>
    </w:p>
    <w:p w14:paraId="1AEA6D49">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15.1开标后，采购人或采购代理机构依据法律法规和招标文件的规定，对供应商的资格条件进行审查。</w:t>
      </w:r>
    </w:p>
    <w:p w14:paraId="75FAEBB4">
      <w:pPr>
        <w:pStyle w:val="37"/>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2对未通过资格审查的供应商，采购人或采购代理机构告知其未通过的原因。</w:t>
      </w:r>
    </w:p>
    <w:p w14:paraId="2324BD73">
      <w:pPr>
        <w:pStyle w:val="37"/>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3合格供应商不足3家的，不再评标。</w:t>
      </w:r>
    </w:p>
    <w:p w14:paraId="63D4EA3B">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信用信息查询</w:t>
      </w:r>
    </w:p>
    <w:p w14:paraId="40CFA33B">
      <w:pPr>
        <w:pStyle w:val="37"/>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16.1信用信息查询渠道及截止时间：采购代理机构将通过“信用中国”网站(www.creditchina.gov.cn)、中国政府采购网(www.ccgp.gov.cn)渠道查询供应商投标截止时间当天的信用记录。</w:t>
      </w:r>
    </w:p>
    <w:p w14:paraId="3D8F64C7">
      <w:pPr>
        <w:pStyle w:val="37"/>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16.2信用信息的使用规则：经查询列入失信被执行人名单、重大税收违法失信主体、政府采购严重违法失信行为记录名单的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将被拒绝参与政府采购活动。</w:t>
      </w:r>
    </w:p>
    <w:p w14:paraId="5227DA29">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highlight w:val="none"/>
        </w:rPr>
        <w:t>。</w:t>
      </w:r>
    </w:p>
    <w:p w14:paraId="54C55F69">
      <w:pPr>
        <w:shd w:val="clear"/>
        <w:snapToGrid w:val="0"/>
        <w:spacing w:line="360" w:lineRule="auto"/>
        <w:jc w:val="center"/>
        <w:outlineLvl w:val="0"/>
        <w:rPr>
          <w:rFonts w:cs="仿宋" w:asciiTheme="majorEastAsia" w:hAnsiTheme="majorEastAsia" w:eastAsiaTheme="majorEastAsia"/>
          <w:b/>
          <w:color w:val="auto"/>
          <w:sz w:val="36"/>
          <w:szCs w:val="36"/>
          <w:highlight w:val="none"/>
        </w:rPr>
      </w:pPr>
    </w:p>
    <w:p w14:paraId="5E2DF764">
      <w:pPr>
        <w:shd w:val="clea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五、评标</w:t>
      </w:r>
    </w:p>
    <w:p w14:paraId="473C9E3B">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bookmarkStart w:id="15" w:name="_Toc91899903"/>
      <w:r>
        <w:rPr>
          <w:rFonts w:hint="eastAsia" w:cs="仿宋" w:asciiTheme="majorEastAsia" w:hAnsiTheme="majorEastAsia" w:eastAsiaTheme="majorEastAsia"/>
          <w:b/>
          <w:color w:val="auto"/>
          <w:sz w:val="24"/>
          <w:highlight w:val="none"/>
        </w:rPr>
        <w:t>评标委员会</w:t>
      </w:r>
    </w:p>
    <w:p w14:paraId="6EE15F17">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17.1 本次招标依法组建评标委员会。评标委员会由采购人代表和评审专家组成，评审专家从专家库随机抽取。</w:t>
      </w:r>
    </w:p>
    <w:p w14:paraId="60158291">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476B9267">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 评审专家有下列情形之一的，应主动提出回避，采购当事人也可以要求该评审专家回避：</w:t>
      </w:r>
    </w:p>
    <w:p w14:paraId="7C75AA12">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17.3.1 参加采购活动前3年内与供应商存在劳动关系；</w:t>
      </w:r>
    </w:p>
    <w:p w14:paraId="3C6BCC2A">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17.3.2 参加采购活动前3年内担任供应商的董事、监事；</w:t>
      </w:r>
    </w:p>
    <w:p w14:paraId="1441284D">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17.3.3 参加采购活动前3年内是供应商的控股股东或者实际控制人；</w:t>
      </w:r>
    </w:p>
    <w:p w14:paraId="2DB5ED6E">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17.3.4 与供应商的法定代表人或者负责人有夫妻、直系血亲、三代以内旁系血亲或者近姻亲关系；</w:t>
      </w:r>
    </w:p>
    <w:p w14:paraId="01C55F4E">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17.3.5 与供应商有其他可能影响政府采购活动公平、公正进行的关系。</w:t>
      </w:r>
    </w:p>
    <w:p w14:paraId="12C17A2C">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98E4609">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17.4 评标委员会判断投标文件的有效性、合格性和响应情况，仅依据投标人所递交一切文件的真实表述，不受与本项目无直接关联的外部信息、传言而影响自身的专业判断。</w:t>
      </w:r>
    </w:p>
    <w:p w14:paraId="08D4C810">
      <w:pPr>
        <w:pStyle w:val="37"/>
        <w:shd w:val="clear"/>
        <w:spacing w:before="0"/>
        <w:ind w:firstLine="480"/>
        <w:rPr>
          <w:rFonts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5E08430D">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评标</w:t>
      </w:r>
    </w:p>
    <w:p w14:paraId="6BFB5A40">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对招标文件的响应情况。对实质上响应招标文件的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，按照评审因素的量化指标推荐综合得分排名第一的为中标候选人。</w:t>
      </w:r>
    </w:p>
    <w:p w14:paraId="1D559F49">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为排名第一的中标候选人。</w:t>
      </w:r>
    </w:p>
    <w:p w14:paraId="6EA7B636">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详见招标文件第四部分评标办法。</w:t>
      </w:r>
    </w:p>
    <w:p w14:paraId="1A88AB54">
      <w:pPr>
        <w:shd w:val="clear"/>
        <w:spacing w:line="360" w:lineRule="auto"/>
        <w:rPr>
          <w:rFonts w:cs="仿宋" w:asciiTheme="majorEastAsia" w:hAnsiTheme="majorEastAsia" w:eastAsiaTheme="majorEastAsia"/>
          <w:b/>
          <w:color w:val="auto"/>
          <w:sz w:val="24"/>
          <w:highlight w:val="none"/>
        </w:rPr>
      </w:pPr>
    </w:p>
    <w:p w14:paraId="5C8FB1E3">
      <w:pPr>
        <w:shd w:val="clea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六、定 标</w:t>
      </w:r>
    </w:p>
    <w:p w14:paraId="350D15ED">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确定中标供应商</w:t>
      </w:r>
    </w:p>
    <w:p w14:paraId="466341DD">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本项目由评标委员会推荐一个中标候选人，采购人不得在评标委员会推荐的中标候选人以外确定中标候选人。</w:t>
      </w:r>
    </w:p>
    <w:p w14:paraId="45475EA9">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中标通知与中标结果公告</w:t>
      </w:r>
    </w:p>
    <w:p w14:paraId="5599C938">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14:paraId="0040552B">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14:paraId="676B78DD">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20.3公告期限为1个工作日。</w:t>
      </w:r>
    </w:p>
    <w:p w14:paraId="6E9562F8">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p>
    <w:p w14:paraId="57AD0433">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七、合同授予</w:t>
      </w:r>
    </w:p>
    <w:p w14:paraId="2374BC74">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合同授予</w:t>
      </w:r>
    </w:p>
    <w:p w14:paraId="05EEFB72">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合同主要条款详见第五部分拟签订的合同文本。</w:t>
      </w:r>
    </w:p>
    <w:p w14:paraId="74C31298">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合同的签订</w:t>
      </w:r>
    </w:p>
    <w:p w14:paraId="02B20094">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213BD6A3">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lang w:val="zh-CN"/>
        </w:rPr>
        <w:t>2</w:t>
      </w:r>
      <w:r>
        <w:rPr>
          <w:rFonts w:hint="eastAsia" w:cs="仿宋" w:asciiTheme="majorEastAsia" w:hAnsiTheme="majorEastAsia" w:eastAsiaTheme="majorEastAsia"/>
          <w:color w:val="auto"/>
          <w:kern w:val="0"/>
          <w:szCs w:val="24"/>
          <w:highlight w:val="none"/>
        </w:rPr>
        <w:t>2</w:t>
      </w:r>
      <w:r>
        <w:rPr>
          <w:rFonts w:hint="eastAsia" w:cs="仿宋" w:asciiTheme="majorEastAsia" w:hAnsiTheme="majorEastAsia" w:eastAsiaTheme="majorEastAsia"/>
          <w:color w:val="auto"/>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31230FDE">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22.3如签订合同并生效后，供应商无故拒绝或延期，除按照合同条款处理外，列入不良行为记录名单，并给予通报。</w:t>
      </w:r>
    </w:p>
    <w:p w14:paraId="68F56305">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22.4中标供应商拒绝与采购人签订合同的，列入不良行为记录名单，采购人、采购代理机构重新开展政府采购活动。</w:t>
      </w:r>
    </w:p>
    <w:p w14:paraId="28DBCAFD">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22.5采购合同由采购人与中标供应商根据招标文件、投标文件等内容通过政府采购电子交易平台在线签订，自动备案。</w:t>
      </w:r>
    </w:p>
    <w:p w14:paraId="7286D4FA">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履约保证金</w:t>
      </w:r>
    </w:p>
    <w:p w14:paraId="01CB0781">
      <w:pPr>
        <w:shd w:val="clear"/>
        <w:tabs>
          <w:tab w:val="left" w:pos="0"/>
        </w:tabs>
        <w:spacing w:line="360" w:lineRule="auto"/>
        <w:ind w:firstLine="482"/>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color w:val="auto"/>
          <w:sz w:val="24"/>
          <w:highlight w:val="none"/>
        </w:rPr>
        <w:t>。履约保证金的数额不得超过政府采购合同金额的1%。鼓励和支持供应商以银行、保险公司出具的保函形式提供履约保证金。</w:t>
      </w:r>
      <w:r>
        <w:rPr>
          <w:rFonts w:hint="eastAsia" w:cs="仿宋" w:asciiTheme="majorEastAsia" w:hAnsiTheme="majorEastAsia" w:eastAsiaTheme="majorEastAsia"/>
          <w:b/>
          <w:color w:val="auto"/>
          <w:sz w:val="24"/>
          <w:highlight w:val="none"/>
        </w:rPr>
        <w:t>采购人不得拒收履约保函。</w:t>
      </w:r>
    </w:p>
    <w:p w14:paraId="56A2616E">
      <w:pPr>
        <w:pStyle w:val="7"/>
        <w:shd w:val="clear"/>
        <w:rPr>
          <w:rFonts w:asciiTheme="majorEastAsia" w:hAnsiTheme="majorEastAsia" w:eastAsiaTheme="majorEastAsia"/>
          <w:color w:val="auto"/>
          <w:highlight w:val="none"/>
        </w:rPr>
      </w:pPr>
    </w:p>
    <w:p w14:paraId="24694530">
      <w:pPr>
        <w:shd w:val="clear"/>
        <w:snapToGrid w:val="0"/>
        <w:spacing w:line="360" w:lineRule="auto"/>
        <w:ind w:firstLine="3357" w:firstLineChars="1045"/>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32"/>
          <w:highlight w:val="none"/>
        </w:rPr>
        <w:t>八、电子交易活动的中止</w:t>
      </w:r>
    </w:p>
    <w:p w14:paraId="57EEE960">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电子交易活动的中止</w:t>
      </w:r>
    </w:p>
    <w:p w14:paraId="2450132A">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采购过程中出现以下情形，导致电子交易平台无法正常运行，或者无法保证电子交易的公平、公正和安全时，采购代理机构可中止电子交易活动：</w:t>
      </w:r>
    </w:p>
    <w:p w14:paraId="1B24A7D1">
      <w:pPr>
        <w:pStyle w:val="37"/>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24.1电子交易平台发生故障而无法登录访问的； </w:t>
      </w:r>
    </w:p>
    <w:p w14:paraId="37697871">
      <w:pPr>
        <w:pStyle w:val="37"/>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24.2电子交易平台应用或数据库出现错误，不能进行正常操作的；</w:t>
      </w:r>
    </w:p>
    <w:p w14:paraId="5D34327C">
      <w:pPr>
        <w:pStyle w:val="37"/>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24.3电子交易平台发现严重安全漏洞，有潜在泄密危险的；</w:t>
      </w:r>
    </w:p>
    <w:p w14:paraId="1DD8D12B">
      <w:pPr>
        <w:pStyle w:val="37"/>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24.4病毒发作导致不能进行正常操作的； </w:t>
      </w:r>
    </w:p>
    <w:p w14:paraId="1AEC6666">
      <w:pPr>
        <w:pStyle w:val="37"/>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24.5其他无法保证电子交易的公平、公正和安全的情况。</w:t>
      </w:r>
    </w:p>
    <w:p w14:paraId="18404E20">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九、验收</w:t>
      </w:r>
    </w:p>
    <w:p w14:paraId="33CB7C7D">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验收</w:t>
      </w:r>
    </w:p>
    <w:p w14:paraId="001CE216">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FFB091C">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25.2采购预算100万元（含）以上的采购项目履约完成后，采购人必须成立验收小组进行验收，并出具验收报告，作为财务货款支出的原始凭证。采购预算300万元（含）以上的采购项目履约完成后，未中标供应商可以参加项目验收活动，但不属于验收小组成员，中标供应商须积极配合未中标供应商参与项目验收。</w:t>
      </w:r>
    </w:p>
    <w:p w14:paraId="431C59F6">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25.3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F295EC">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End w:id="14"/>
      <w:bookmarkEnd w:id="15"/>
      <w:bookmarkStart w:id="16" w:name="_Hlt75236290"/>
      <w:bookmarkEnd w:id="16"/>
      <w:bookmarkStart w:id="17" w:name="_Hlt74729768"/>
      <w:bookmarkEnd w:id="17"/>
      <w:bookmarkStart w:id="18" w:name="_Hlt75236101"/>
      <w:bookmarkEnd w:id="18"/>
      <w:bookmarkStart w:id="19" w:name="_Hlt68072998"/>
      <w:bookmarkEnd w:id="19"/>
      <w:bookmarkStart w:id="20" w:name="_Hlt68057669"/>
      <w:bookmarkEnd w:id="20"/>
      <w:bookmarkStart w:id="21" w:name="_Hlt74714665"/>
      <w:bookmarkEnd w:id="21"/>
      <w:bookmarkStart w:id="22" w:name="_Hlt68403820"/>
      <w:bookmarkEnd w:id="22"/>
      <w:bookmarkStart w:id="23" w:name="_Hlt74730295"/>
      <w:bookmarkEnd w:id="23"/>
      <w:bookmarkStart w:id="24" w:name="_Hlt68073093"/>
      <w:bookmarkEnd w:id="24"/>
      <w:bookmarkStart w:id="25" w:name="_Hlt75236011"/>
      <w:bookmarkEnd w:id="25"/>
      <w:bookmarkStart w:id="26" w:name="_Hlt68072990"/>
      <w:bookmarkEnd w:id="26"/>
      <w:bookmarkStart w:id="27" w:name="_Hlt74707468"/>
      <w:bookmarkEnd w:id="27"/>
      <w:bookmarkStart w:id="28" w:name="第四部分"/>
    </w:p>
    <w:p w14:paraId="0AB12037">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br w:type="page"/>
      </w:r>
    </w:p>
    <w:p w14:paraId="68DE38ED">
      <w:pPr>
        <w:shd w:val="clear"/>
        <w:tabs>
          <w:tab w:val="left" w:pos="0"/>
        </w:tabs>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第三部分   采购需求</w:t>
      </w:r>
    </w:p>
    <w:p w14:paraId="5924E9AB">
      <w:pPr>
        <w:shd w:val="clear"/>
        <w:spacing w:line="312" w:lineRule="auto"/>
        <w:rPr>
          <w:rFonts w:ascii="宋体" w:hAnsi="宋体" w:cs="宋体"/>
          <w:b/>
          <w:color w:val="auto"/>
          <w:sz w:val="24"/>
          <w:highlight w:val="none"/>
        </w:rPr>
      </w:pPr>
      <w:r>
        <w:rPr>
          <w:rFonts w:hint="eastAsia" w:ascii="宋体" w:hAnsi="宋体" w:cs="宋体"/>
          <w:b/>
          <w:color w:val="auto"/>
          <w:sz w:val="24"/>
          <w:highlight w:val="none"/>
        </w:rPr>
        <w:t>一、总体要求</w:t>
      </w:r>
    </w:p>
    <w:p w14:paraId="5F67E19B">
      <w:pPr>
        <w:shd w:val="clea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奉化区莼湖街道当前在册的约737艘大中型在役海洋捕捞渔船、辅助渔船（新建投用不足半年和在建渔船除外，以下统称“渔船”）为底数（具体数量以实际为准），聚焦易造成重大生产安全事故的渔船自沉、火灾和商渔船碰撞等事故类型，从“人的不安全行为、物的不安全状态、环境的不利因素和管理上的缺陷”四个方面，进行渔船概况、船员适任情况、船舶构造、安全设施设备、安全管理情况、其他特殊情况等方面内容的风险隐患排查，开展全方位、无死角的安全生产风险排查，查清风险点的数量、种类、分布及相关风险信息，并以书面或信息化等方式向相关渔船提供对应技术指导和建议，辅导完成必要的整改。合同期内，常年不定时协助业主进行对停泊在码头的渔船进行巡查和本项目相关工作支持；阶段任务结束后，中标人须向采购人提供电子和书面检查台账资料，并根据采购人要求提供安全检查报告。</w:t>
      </w:r>
    </w:p>
    <w:p w14:paraId="7C3BC881">
      <w:pPr>
        <w:shd w:val="clear"/>
        <w:spacing w:line="312" w:lineRule="auto"/>
        <w:rPr>
          <w:rFonts w:ascii="宋体" w:hAnsi="宋体" w:cs="宋体"/>
          <w:color w:val="auto"/>
          <w:sz w:val="24"/>
          <w:highlight w:val="none"/>
        </w:rPr>
      </w:pPr>
      <w:r>
        <w:rPr>
          <w:rFonts w:hint="eastAsia" w:ascii="宋体" w:hAnsi="宋体" w:cs="宋体"/>
          <w:color w:val="auto"/>
          <w:sz w:val="24"/>
          <w:highlight w:val="none"/>
        </w:rPr>
        <w:t xml:space="preserve">    供应商须严格按照采购人要求完成所有在册渔船的安全检查事项。</w:t>
      </w:r>
    </w:p>
    <w:p w14:paraId="33516B45">
      <w:pPr>
        <w:shd w:val="clear"/>
        <w:spacing w:line="312" w:lineRule="auto"/>
        <w:rPr>
          <w:rFonts w:ascii="宋体" w:hAnsi="宋体" w:cs="宋体"/>
          <w:b/>
          <w:color w:val="auto"/>
          <w:sz w:val="24"/>
          <w:highlight w:val="none"/>
        </w:rPr>
      </w:pPr>
      <w:r>
        <w:rPr>
          <w:rFonts w:hint="eastAsia" w:ascii="宋体" w:hAnsi="宋体" w:cs="宋体"/>
          <w:b/>
          <w:color w:val="auto"/>
          <w:sz w:val="24"/>
          <w:highlight w:val="none"/>
        </w:rPr>
        <w:t>二、检查频次和工作要求</w:t>
      </w:r>
    </w:p>
    <w:p w14:paraId="3640C88C">
      <w:pPr>
        <w:shd w:val="clea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每年对奉化籍24米大型渔船进行综合性安全生产检查全覆盖1次，包括初查与复查各一次；初查结束后1周内，将发现的问题及时通报给被检查方。并开展单船生产10人以上船舶（渔运船、渔冷船等）在作业期间每月1-2次登船检查。在检查服务中如发现重大安全隐患，应立即向采购人报告。每阶段服务项目结束2周内，提交相关台账资料并进行总结报告，梳理渔船存在的安全生产重点问题，提出工作思路建议。</w:t>
      </w:r>
    </w:p>
    <w:p w14:paraId="741D8F8A">
      <w:pPr>
        <w:shd w:val="clea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各级主管部门下发的整改指令和检查发现的事故隐患，供应商应负责在通知规定的时间内提供书面整改技术指导方案；如问题复杂超出中标人专业能力无法解决，需及时反馈信息给被检查方，同时向采购人说明；</w:t>
      </w:r>
    </w:p>
    <w:p w14:paraId="326A6BD1">
      <w:pPr>
        <w:shd w:val="clea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在服务期间发生安全生产事故，按照“四不放过”的原则（即事故原因未查清不放过、责任人员未处理不放过、整改措施未落实不放过、有关人员未受到教育不放过），协助有关单位完成事故处理。事故处理完成后，须自行单独编制事故处理报告，提交给采购人。</w:t>
      </w:r>
    </w:p>
    <w:p w14:paraId="3C17BB7F">
      <w:pPr>
        <w:shd w:val="clea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（4）在服务过程中如采购人有需求，在接到采购方通知后2小时内到达指定地点处理。</w:t>
      </w:r>
    </w:p>
    <w:p w14:paraId="07C05010">
      <w:pPr>
        <w:shd w:val="clea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（5）对渔船信息保密。在开展检查工作，采购人提供的渔船基本信息仅限于查询工作需要使用，不得外泄。</w:t>
      </w:r>
    </w:p>
    <w:p w14:paraId="6C752C54">
      <w:pPr>
        <w:shd w:val="clea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（6）对于发现的现场易改隐患，供应商应现场指导其整改或协助其整改。</w:t>
      </w:r>
    </w:p>
    <w:p w14:paraId="22F51603">
      <w:pPr>
        <w:shd w:val="clea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（7）检查人员须恪守职业道德、维护政府和自身形象，做到公正廉洁、有利有节、科学合理地开展工作，严禁搭配销售、商业推销等行为。</w:t>
      </w:r>
    </w:p>
    <w:p w14:paraId="55A25662">
      <w:pPr>
        <w:shd w:val="clea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（8）检查人员须穿戴符合采购方要求的工作服，精神面貌良好。</w:t>
      </w:r>
    </w:p>
    <w:p w14:paraId="2DD8A523">
      <w:pPr>
        <w:shd w:val="clear"/>
        <w:spacing w:line="312" w:lineRule="auto"/>
        <w:rPr>
          <w:rFonts w:ascii="宋体" w:hAnsi="宋体" w:cs="宋体"/>
          <w:b/>
          <w:color w:val="auto"/>
          <w:sz w:val="24"/>
          <w:highlight w:val="none"/>
        </w:rPr>
      </w:pPr>
      <w:r>
        <w:rPr>
          <w:rFonts w:hint="eastAsia" w:ascii="宋体" w:hAnsi="宋体" w:cs="宋体"/>
          <w:b/>
          <w:color w:val="auto"/>
          <w:sz w:val="24"/>
          <w:highlight w:val="none"/>
        </w:rPr>
        <w:t>三、现场检查工作内容</w:t>
      </w:r>
    </w:p>
    <w:p w14:paraId="54A962B6">
      <w:pPr>
        <w:shd w:val="clear"/>
        <w:jc w:val="center"/>
        <w:rPr>
          <w:b/>
          <w:bCs/>
          <w:color w:val="auto"/>
          <w:sz w:val="36"/>
          <w:szCs w:val="36"/>
          <w:highlight w:val="none"/>
        </w:rPr>
      </w:pPr>
      <w:r>
        <w:rPr>
          <w:rFonts w:eastAsia="方正小标宋简体"/>
          <w:bCs/>
          <w:color w:val="auto"/>
          <w:sz w:val="36"/>
          <w:szCs w:val="36"/>
          <w:highlight w:val="none"/>
        </w:rPr>
        <w:t>渔业船舶安全隐患标准化检查表</w:t>
      </w:r>
    </w:p>
    <w:p w14:paraId="7BEDBD53">
      <w:pPr>
        <w:shd w:val="clear"/>
        <w:spacing w:after="120" w:line="600" w:lineRule="exact"/>
        <w:ind w:firstLine="240" w:firstLineChars="100"/>
        <w:jc w:val="center"/>
        <w:rPr>
          <w:rFonts w:eastAsia="仿宋_GB2312"/>
          <w:b/>
          <w:bCs/>
          <w:color w:val="auto"/>
          <w:sz w:val="24"/>
          <w:highlight w:val="none"/>
        </w:rPr>
      </w:pPr>
      <w:r>
        <w:rPr>
          <w:rFonts w:eastAsia="仿宋_GB2312"/>
          <w:b/>
          <w:bCs/>
          <w:color w:val="auto"/>
          <w:sz w:val="24"/>
          <w:highlight w:val="none"/>
        </w:rPr>
        <w:t>检查部门：</w:t>
      </w:r>
      <w:r>
        <w:rPr>
          <w:rFonts w:eastAsia="仿宋_GB2312"/>
          <w:b/>
          <w:bCs/>
          <w:color w:val="auto"/>
          <w:sz w:val="24"/>
          <w:highlight w:val="none"/>
          <w:u w:val="single"/>
        </w:rPr>
        <w:t xml:space="preserve">    </w:t>
      </w:r>
      <w:r>
        <w:rPr>
          <w:rFonts w:eastAsia="仿宋_GB2312"/>
          <w:b/>
          <w:bCs/>
          <w:color w:val="auto"/>
          <w:sz w:val="24"/>
          <w:highlight w:val="none"/>
        </w:rPr>
        <w:t>检查人员：</w:t>
      </w:r>
      <w:r>
        <w:rPr>
          <w:rFonts w:eastAsia="仿宋_GB2312"/>
          <w:b/>
          <w:bCs/>
          <w:color w:val="auto"/>
          <w:sz w:val="24"/>
          <w:highlight w:val="none"/>
          <w:u w:val="single"/>
        </w:rPr>
        <w:t xml:space="preserve">    </w:t>
      </w:r>
      <w:r>
        <w:rPr>
          <w:rFonts w:eastAsia="仿宋_GB2312"/>
          <w:b/>
          <w:bCs/>
          <w:color w:val="auto"/>
          <w:sz w:val="24"/>
          <w:highlight w:val="none"/>
        </w:rPr>
        <w:t>检查时间：</w:t>
      </w:r>
    </w:p>
    <w:tbl>
      <w:tblPr>
        <w:tblStyle w:val="18"/>
        <w:tblW w:w="89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8"/>
        <w:gridCol w:w="743"/>
        <w:gridCol w:w="844"/>
        <w:gridCol w:w="2430"/>
        <w:gridCol w:w="1678"/>
        <w:gridCol w:w="1424"/>
        <w:gridCol w:w="914"/>
      </w:tblGrid>
      <w:tr w14:paraId="67257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 w:hRule="atLeast"/>
          <w:tblHeader/>
          <w:jc w:val="center"/>
        </w:trPr>
        <w:tc>
          <w:tcPr>
            <w:tcW w:w="918" w:type="dxa"/>
            <w:vAlign w:val="center"/>
          </w:tcPr>
          <w:p w14:paraId="1E372829">
            <w:pPr>
              <w:shd w:val="clear"/>
              <w:spacing w:line="320" w:lineRule="exact"/>
              <w:jc w:val="center"/>
              <w:rPr>
                <w:rFonts w:eastAsia="黑体"/>
                <w:color w:val="auto"/>
                <w:sz w:val="24"/>
                <w:highlight w:val="none"/>
              </w:rPr>
            </w:pPr>
            <w:r>
              <w:rPr>
                <w:rFonts w:eastAsia="黑体"/>
                <w:color w:val="auto"/>
                <w:sz w:val="24"/>
                <w:highlight w:val="none"/>
              </w:rPr>
              <w:t>类别</w:t>
            </w:r>
          </w:p>
        </w:tc>
        <w:tc>
          <w:tcPr>
            <w:tcW w:w="743" w:type="dxa"/>
            <w:vAlign w:val="center"/>
          </w:tcPr>
          <w:p w14:paraId="0EC02FDE">
            <w:pPr>
              <w:shd w:val="clear"/>
              <w:spacing w:line="320" w:lineRule="exact"/>
              <w:jc w:val="center"/>
              <w:rPr>
                <w:rFonts w:eastAsia="黑体"/>
                <w:color w:val="auto"/>
                <w:sz w:val="24"/>
                <w:highlight w:val="none"/>
              </w:rPr>
            </w:pPr>
            <w:r>
              <w:rPr>
                <w:rFonts w:eastAsia="黑体"/>
                <w:color w:val="auto"/>
                <w:sz w:val="24"/>
                <w:highlight w:val="none"/>
              </w:rPr>
              <w:t>检查对象</w:t>
            </w:r>
          </w:p>
        </w:tc>
        <w:tc>
          <w:tcPr>
            <w:tcW w:w="844" w:type="dxa"/>
            <w:vAlign w:val="center"/>
          </w:tcPr>
          <w:p w14:paraId="32305C0B">
            <w:pPr>
              <w:shd w:val="clear"/>
              <w:spacing w:line="320" w:lineRule="exact"/>
              <w:jc w:val="center"/>
              <w:rPr>
                <w:rFonts w:eastAsia="黑体"/>
                <w:color w:val="auto"/>
                <w:sz w:val="24"/>
                <w:highlight w:val="none"/>
              </w:rPr>
            </w:pPr>
            <w:r>
              <w:rPr>
                <w:rFonts w:eastAsia="黑体"/>
                <w:color w:val="auto"/>
                <w:sz w:val="24"/>
                <w:highlight w:val="none"/>
              </w:rPr>
              <w:t>检查内容</w:t>
            </w:r>
          </w:p>
        </w:tc>
        <w:tc>
          <w:tcPr>
            <w:tcW w:w="2430" w:type="dxa"/>
            <w:noWrap/>
            <w:vAlign w:val="center"/>
          </w:tcPr>
          <w:p w14:paraId="7593FE17">
            <w:pPr>
              <w:shd w:val="clear"/>
              <w:spacing w:line="320" w:lineRule="exact"/>
              <w:jc w:val="center"/>
              <w:rPr>
                <w:rFonts w:eastAsia="黑体"/>
                <w:color w:val="auto"/>
                <w:sz w:val="24"/>
                <w:highlight w:val="none"/>
              </w:rPr>
            </w:pPr>
            <w:r>
              <w:rPr>
                <w:rFonts w:eastAsia="黑体"/>
                <w:color w:val="auto"/>
                <w:sz w:val="24"/>
                <w:highlight w:val="none"/>
              </w:rPr>
              <w:t>典型隐患描述</w:t>
            </w:r>
          </w:p>
        </w:tc>
        <w:tc>
          <w:tcPr>
            <w:tcW w:w="1678" w:type="dxa"/>
            <w:noWrap/>
            <w:vAlign w:val="center"/>
          </w:tcPr>
          <w:p w14:paraId="1055DCB9">
            <w:pPr>
              <w:shd w:val="clear"/>
              <w:spacing w:line="320" w:lineRule="exact"/>
              <w:jc w:val="center"/>
              <w:rPr>
                <w:rFonts w:eastAsia="黑体"/>
                <w:color w:val="auto"/>
                <w:sz w:val="24"/>
                <w:highlight w:val="none"/>
              </w:rPr>
            </w:pPr>
            <w:r>
              <w:rPr>
                <w:rFonts w:eastAsia="黑体"/>
                <w:color w:val="auto"/>
                <w:sz w:val="24"/>
                <w:highlight w:val="none"/>
              </w:rPr>
              <w:t>检查结果</w:t>
            </w:r>
          </w:p>
        </w:tc>
        <w:tc>
          <w:tcPr>
            <w:tcW w:w="1424" w:type="dxa"/>
            <w:noWrap/>
            <w:vAlign w:val="center"/>
          </w:tcPr>
          <w:p w14:paraId="7A539649">
            <w:pPr>
              <w:shd w:val="clear"/>
              <w:spacing w:line="320" w:lineRule="exact"/>
              <w:jc w:val="center"/>
              <w:rPr>
                <w:rFonts w:eastAsia="黑体"/>
                <w:color w:val="auto"/>
                <w:sz w:val="24"/>
                <w:highlight w:val="none"/>
              </w:rPr>
            </w:pPr>
            <w:r>
              <w:rPr>
                <w:rFonts w:eastAsia="黑体"/>
                <w:color w:val="auto"/>
                <w:sz w:val="24"/>
                <w:highlight w:val="none"/>
              </w:rPr>
              <w:t>主要依据</w:t>
            </w:r>
          </w:p>
        </w:tc>
        <w:tc>
          <w:tcPr>
            <w:tcW w:w="914" w:type="dxa"/>
            <w:vAlign w:val="center"/>
          </w:tcPr>
          <w:p w14:paraId="7566FF20">
            <w:pPr>
              <w:shd w:val="clear"/>
              <w:spacing w:line="320" w:lineRule="exact"/>
              <w:jc w:val="center"/>
              <w:rPr>
                <w:rFonts w:eastAsia="黑体"/>
                <w:color w:val="auto"/>
                <w:sz w:val="24"/>
                <w:highlight w:val="none"/>
              </w:rPr>
            </w:pPr>
            <w:r>
              <w:rPr>
                <w:rFonts w:eastAsia="黑体"/>
                <w:color w:val="auto"/>
                <w:sz w:val="24"/>
                <w:highlight w:val="none"/>
              </w:rPr>
              <w:t>检查方式</w:t>
            </w:r>
          </w:p>
        </w:tc>
      </w:tr>
      <w:tr w14:paraId="5F0412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18" w:type="dxa"/>
            <w:vMerge w:val="restart"/>
            <w:vAlign w:val="center"/>
          </w:tcPr>
          <w:p w14:paraId="7E365039">
            <w:pPr>
              <w:shd w:val="clear"/>
              <w:spacing w:line="320" w:lineRule="exact"/>
              <w:jc w:val="center"/>
              <w:rPr>
                <w:rFonts w:eastAsia="仿宋_GB2312"/>
                <w:color w:val="auto"/>
                <w:sz w:val="24"/>
                <w:highlight w:val="none"/>
              </w:rPr>
            </w:pPr>
            <w:r>
              <w:rPr>
                <w:rFonts w:eastAsia="仿宋_GB2312"/>
                <w:color w:val="auto"/>
                <w:sz w:val="24"/>
                <w:highlight w:val="none"/>
              </w:rPr>
              <w:t>机械</w:t>
            </w:r>
          </w:p>
        </w:tc>
        <w:tc>
          <w:tcPr>
            <w:tcW w:w="743" w:type="dxa"/>
            <w:vMerge w:val="restart"/>
            <w:vAlign w:val="center"/>
          </w:tcPr>
          <w:p w14:paraId="110DB4EB">
            <w:pPr>
              <w:shd w:val="clear"/>
              <w:spacing w:line="320" w:lineRule="exact"/>
              <w:jc w:val="center"/>
              <w:rPr>
                <w:rFonts w:eastAsia="仿宋_GB2312"/>
                <w:color w:val="auto"/>
                <w:sz w:val="24"/>
                <w:highlight w:val="none"/>
              </w:rPr>
            </w:pPr>
            <w:r>
              <w:rPr>
                <w:rFonts w:eastAsia="仿宋_GB2312"/>
                <w:color w:val="auto"/>
                <w:sz w:val="24"/>
                <w:highlight w:val="none"/>
              </w:rPr>
              <w:t>装备设施</w:t>
            </w:r>
          </w:p>
        </w:tc>
        <w:tc>
          <w:tcPr>
            <w:tcW w:w="844" w:type="dxa"/>
            <w:vMerge w:val="restart"/>
            <w:vAlign w:val="center"/>
          </w:tcPr>
          <w:p w14:paraId="28FDCFD4">
            <w:pPr>
              <w:shd w:val="clear"/>
              <w:spacing w:line="320" w:lineRule="exact"/>
              <w:jc w:val="center"/>
              <w:rPr>
                <w:rFonts w:eastAsia="仿宋_GB2312"/>
                <w:color w:val="auto"/>
                <w:sz w:val="24"/>
                <w:highlight w:val="none"/>
              </w:rPr>
            </w:pPr>
            <w:r>
              <w:rPr>
                <w:rFonts w:eastAsia="仿宋_GB2312"/>
                <w:color w:val="auto"/>
                <w:sz w:val="24"/>
                <w:highlight w:val="none"/>
              </w:rPr>
              <w:t>渔船构造</w:t>
            </w:r>
          </w:p>
        </w:tc>
        <w:tc>
          <w:tcPr>
            <w:tcW w:w="2430" w:type="dxa"/>
            <w:vAlign w:val="center"/>
          </w:tcPr>
          <w:p w14:paraId="3E456902">
            <w:pPr>
              <w:shd w:val="clear"/>
              <w:spacing w:line="320" w:lineRule="exact"/>
              <w:rPr>
                <w:rFonts w:eastAsia="仿宋_GB2312"/>
                <w:color w:val="auto"/>
                <w:sz w:val="24"/>
                <w:highlight w:val="none"/>
              </w:rPr>
            </w:pPr>
            <w:r>
              <w:rPr>
                <w:rFonts w:eastAsia="仿宋_GB2312"/>
                <w:color w:val="auto"/>
                <w:sz w:val="24"/>
                <w:highlight w:val="none"/>
              </w:rPr>
              <w:t>*</w:t>
            </w:r>
            <w:r>
              <w:rPr>
                <w:rFonts w:hint="eastAsia" w:eastAsia="仿宋_GB2312"/>
                <w:color w:val="auto"/>
                <w:sz w:val="24"/>
                <w:highlight w:val="none"/>
              </w:rPr>
              <w:t>1.船舶水密结构存在严重缺陷的（防撞舱壁开孔、机舱前后舱壁开孔、外板破损）</w:t>
            </w:r>
          </w:p>
        </w:tc>
        <w:tc>
          <w:tcPr>
            <w:tcW w:w="1678" w:type="dxa"/>
            <w:vAlign w:val="center"/>
          </w:tcPr>
          <w:p w14:paraId="5ABE0849">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4D3318A0">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08E0DBDF">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restart"/>
            <w:vAlign w:val="center"/>
          </w:tcPr>
          <w:p w14:paraId="0CC20BC5">
            <w:pPr>
              <w:shd w:val="clear"/>
              <w:spacing w:line="320" w:lineRule="exact"/>
              <w:rPr>
                <w:rFonts w:eastAsia="仿宋_GB2312"/>
                <w:color w:val="auto"/>
                <w:sz w:val="24"/>
                <w:highlight w:val="none"/>
              </w:rPr>
            </w:pPr>
            <w:r>
              <w:rPr>
                <w:rFonts w:eastAsia="仿宋_GB2312"/>
                <w:color w:val="auto"/>
                <w:sz w:val="24"/>
                <w:highlight w:val="none"/>
              </w:rPr>
              <w:t>1.《国内海洋渔船法定检验技术规则》</w:t>
            </w:r>
          </w:p>
          <w:p w14:paraId="41045485">
            <w:pPr>
              <w:shd w:val="clear"/>
              <w:spacing w:line="320" w:lineRule="exact"/>
              <w:rPr>
                <w:rFonts w:eastAsia="仿宋_GB2312"/>
                <w:color w:val="auto"/>
                <w:sz w:val="24"/>
                <w:highlight w:val="none"/>
              </w:rPr>
            </w:pPr>
            <w:r>
              <w:rPr>
                <w:rFonts w:eastAsia="仿宋_GB2312"/>
                <w:color w:val="auto"/>
                <w:sz w:val="24"/>
                <w:highlight w:val="none"/>
              </w:rPr>
              <w:t>2.《渔业船舶重大事故隐患判定标准》</w:t>
            </w:r>
          </w:p>
        </w:tc>
        <w:tc>
          <w:tcPr>
            <w:tcW w:w="914" w:type="dxa"/>
            <w:vAlign w:val="center"/>
          </w:tcPr>
          <w:p w14:paraId="69E96626">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507BF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918" w:type="dxa"/>
            <w:vMerge w:val="continue"/>
            <w:vAlign w:val="center"/>
          </w:tcPr>
          <w:p w14:paraId="5B834954">
            <w:pPr>
              <w:shd w:val="clear"/>
              <w:spacing w:line="320" w:lineRule="exact"/>
              <w:jc w:val="center"/>
              <w:rPr>
                <w:rFonts w:eastAsia="仿宋_GB2312"/>
                <w:color w:val="auto"/>
                <w:sz w:val="24"/>
                <w:highlight w:val="none"/>
              </w:rPr>
            </w:pPr>
          </w:p>
        </w:tc>
        <w:tc>
          <w:tcPr>
            <w:tcW w:w="743" w:type="dxa"/>
            <w:vMerge w:val="continue"/>
            <w:vAlign w:val="center"/>
          </w:tcPr>
          <w:p w14:paraId="3581CB6B">
            <w:pPr>
              <w:shd w:val="clear"/>
              <w:spacing w:line="320" w:lineRule="exact"/>
              <w:jc w:val="center"/>
              <w:rPr>
                <w:rFonts w:eastAsia="仿宋_GB2312"/>
                <w:color w:val="auto"/>
                <w:sz w:val="24"/>
                <w:highlight w:val="none"/>
              </w:rPr>
            </w:pPr>
          </w:p>
        </w:tc>
        <w:tc>
          <w:tcPr>
            <w:tcW w:w="844" w:type="dxa"/>
            <w:vMerge w:val="continue"/>
            <w:vAlign w:val="center"/>
          </w:tcPr>
          <w:p w14:paraId="6FC2037A">
            <w:pPr>
              <w:shd w:val="clear"/>
              <w:spacing w:line="320" w:lineRule="exact"/>
              <w:jc w:val="center"/>
              <w:rPr>
                <w:rFonts w:eastAsia="仿宋_GB2312"/>
                <w:color w:val="auto"/>
                <w:sz w:val="24"/>
                <w:highlight w:val="none"/>
              </w:rPr>
            </w:pPr>
          </w:p>
        </w:tc>
        <w:tc>
          <w:tcPr>
            <w:tcW w:w="2430" w:type="dxa"/>
            <w:vAlign w:val="center"/>
          </w:tcPr>
          <w:p w14:paraId="6A91A3BD">
            <w:pPr>
              <w:shd w:val="clear"/>
              <w:spacing w:line="320" w:lineRule="exact"/>
              <w:rPr>
                <w:rFonts w:eastAsia="仿宋_GB2312"/>
                <w:color w:val="auto"/>
                <w:sz w:val="24"/>
                <w:highlight w:val="none"/>
              </w:rPr>
            </w:pPr>
            <w:r>
              <w:rPr>
                <w:rFonts w:eastAsia="仿宋_GB2312"/>
                <w:color w:val="auto"/>
                <w:sz w:val="24"/>
                <w:highlight w:val="none"/>
              </w:rPr>
              <w:t>★</w:t>
            </w:r>
            <w:r>
              <w:rPr>
                <w:rFonts w:hint="eastAsia" w:eastAsia="仿宋_GB2312"/>
                <w:color w:val="auto"/>
                <w:sz w:val="24"/>
                <w:highlight w:val="none"/>
              </w:rPr>
              <w:t>2</w:t>
            </w:r>
            <w:r>
              <w:rPr>
                <w:rFonts w:eastAsia="仿宋_GB2312"/>
                <w:color w:val="auto"/>
                <w:sz w:val="24"/>
                <w:highlight w:val="none"/>
              </w:rPr>
              <w:t>.排水舷口未能有效排水，</w:t>
            </w:r>
            <w:r>
              <w:rPr>
                <w:rFonts w:hint="eastAsia" w:eastAsia="仿宋_GB2312"/>
                <w:color w:val="auto"/>
                <w:sz w:val="24"/>
                <w:highlight w:val="none"/>
              </w:rPr>
              <w:t>鱼舱盖未达到风雨密要求</w:t>
            </w:r>
          </w:p>
        </w:tc>
        <w:tc>
          <w:tcPr>
            <w:tcW w:w="1678" w:type="dxa"/>
            <w:vAlign w:val="center"/>
          </w:tcPr>
          <w:p w14:paraId="258035A0">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3C1717D3">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4F0958CB">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45E6E610">
            <w:pPr>
              <w:shd w:val="clear"/>
              <w:spacing w:line="320" w:lineRule="exact"/>
              <w:rPr>
                <w:rFonts w:eastAsia="仿宋_GB2312"/>
                <w:color w:val="auto"/>
                <w:sz w:val="24"/>
                <w:highlight w:val="none"/>
              </w:rPr>
            </w:pPr>
          </w:p>
        </w:tc>
        <w:tc>
          <w:tcPr>
            <w:tcW w:w="914" w:type="dxa"/>
          </w:tcPr>
          <w:p w14:paraId="7C5E5540">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633D2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918" w:type="dxa"/>
            <w:vMerge w:val="continue"/>
            <w:vAlign w:val="center"/>
          </w:tcPr>
          <w:p w14:paraId="2E7DFCF4">
            <w:pPr>
              <w:shd w:val="clear"/>
              <w:spacing w:line="320" w:lineRule="exact"/>
              <w:jc w:val="center"/>
              <w:rPr>
                <w:rFonts w:eastAsia="仿宋_GB2312"/>
                <w:color w:val="auto"/>
                <w:sz w:val="24"/>
                <w:highlight w:val="none"/>
              </w:rPr>
            </w:pPr>
          </w:p>
        </w:tc>
        <w:tc>
          <w:tcPr>
            <w:tcW w:w="743" w:type="dxa"/>
            <w:vMerge w:val="continue"/>
            <w:vAlign w:val="center"/>
          </w:tcPr>
          <w:p w14:paraId="079F614C">
            <w:pPr>
              <w:shd w:val="clear"/>
              <w:spacing w:line="320" w:lineRule="exact"/>
              <w:jc w:val="center"/>
              <w:rPr>
                <w:rFonts w:eastAsia="仿宋_GB2312"/>
                <w:color w:val="auto"/>
                <w:sz w:val="24"/>
                <w:highlight w:val="none"/>
              </w:rPr>
            </w:pPr>
          </w:p>
        </w:tc>
        <w:tc>
          <w:tcPr>
            <w:tcW w:w="844" w:type="dxa"/>
            <w:vMerge w:val="continue"/>
            <w:vAlign w:val="center"/>
          </w:tcPr>
          <w:p w14:paraId="78630068">
            <w:pPr>
              <w:shd w:val="clear"/>
              <w:spacing w:line="320" w:lineRule="exact"/>
              <w:jc w:val="center"/>
              <w:rPr>
                <w:rFonts w:eastAsia="仿宋_GB2312"/>
                <w:color w:val="auto"/>
                <w:sz w:val="24"/>
                <w:highlight w:val="none"/>
              </w:rPr>
            </w:pPr>
          </w:p>
        </w:tc>
        <w:tc>
          <w:tcPr>
            <w:tcW w:w="2430" w:type="dxa"/>
            <w:vAlign w:val="center"/>
          </w:tcPr>
          <w:p w14:paraId="2819E128">
            <w:pPr>
              <w:shd w:val="clear"/>
              <w:spacing w:line="320" w:lineRule="exact"/>
              <w:rPr>
                <w:rFonts w:eastAsia="仿宋_GB2312"/>
                <w:color w:val="auto"/>
                <w:sz w:val="24"/>
                <w:highlight w:val="none"/>
              </w:rPr>
            </w:pPr>
            <w:r>
              <w:rPr>
                <w:rFonts w:hint="eastAsia" w:eastAsia="仿宋_GB2312"/>
                <w:color w:val="auto"/>
                <w:sz w:val="24"/>
                <w:highlight w:val="none"/>
              </w:rPr>
              <w:t>3</w:t>
            </w:r>
            <w:r>
              <w:rPr>
                <w:rFonts w:eastAsia="仿宋_GB2312"/>
                <w:color w:val="auto"/>
                <w:sz w:val="24"/>
                <w:highlight w:val="none"/>
              </w:rPr>
              <w:t>.防火门未有效安装及使用</w:t>
            </w:r>
          </w:p>
        </w:tc>
        <w:tc>
          <w:tcPr>
            <w:tcW w:w="1678" w:type="dxa"/>
            <w:vAlign w:val="center"/>
          </w:tcPr>
          <w:p w14:paraId="1096CF3D">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2BEBE5E2">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3B4AE8FC">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6C3278FE">
            <w:pPr>
              <w:shd w:val="clear"/>
              <w:spacing w:line="320" w:lineRule="exact"/>
              <w:rPr>
                <w:rFonts w:eastAsia="仿宋_GB2312"/>
                <w:color w:val="auto"/>
                <w:sz w:val="24"/>
                <w:highlight w:val="none"/>
              </w:rPr>
            </w:pPr>
          </w:p>
        </w:tc>
        <w:tc>
          <w:tcPr>
            <w:tcW w:w="914" w:type="dxa"/>
          </w:tcPr>
          <w:p w14:paraId="04C415BC">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5CDB5F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918" w:type="dxa"/>
            <w:vMerge w:val="continue"/>
            <w:vAlign w:val="center"/>
          </w:tcPr>
          <w:p w14:paraId="3A6DC635">
            <w:pPr>
              <w:shd w:val="clear"/>
              <w:spacing w:line="320" w:lineRule="exact"/>
              <w:jc w:val="center"/>
              <w:rPr>
                <w:rFonts w:eastAsia="仿宋_GB2312"/>
                <w:color w:val="auto"/>
                <w:sz w:val="24"/>
                <w:highlight w:val="none"/>
              </w:rPr>
            </w:pPr>
          </w:p>
        </w:tc>
        <w:tc>
          <w:tcPr>
            <w:tcW w:w="743" w:type="dxa"/>
            <w:vMerge w:val="continue"/>
            <w:vAlign w:val="center"/>
          </w:tcPr>
          <w:p w14:paraId="5468779C">
            <w:pPr>
              <w:shd w:val="clear"/>
              <w:spacing w:line="320" w:lineRule="exact"/>
              <w:jc w:val="center"/>
              <w:rPr>
                <w:rFonts w:eastAsia="仿宋_GB2312"/>
                <w:color w:val="auto"/>
                <w:sz w:val="24"/>
                <w:highlight w:val="none"/>
              </w:rPr>
            </w:pPr>
          </w:p>
        </w:tc>
        <w:tc>
          <w:tcPr>
            <w:tcW w:w="844" w:type="dxa"/>
            <w:vMerge w:val="continue"/>
            <w:vAlign w:val="center"/>
          </w:tcPr>
          <w:p w14:paraId="106CA352">
            <w:pPr>
              <w:shd w:val="clear"/>
              <w:spacing w:line="320" w:lineRule="exact"/>
              <w:jc w:val="center"/>
              <w:rPr>
                <w:rFonts w:eastAsia="仿宋_GB2312"/>
                <w:color w:val="auto"/>
                <w:sz w:val="24"/>
                <w:highlight w:val="none"/>
              </w:rPr>
            </w:pPr>
          </w:p>
        </w:tc>
        <w:tc>
          <w:tcPr>
            <w:tcW w:w="2430" w:type="dxa"/>
            <w:vAlign w:val="center"/>
          </w:tcPr>
          <w:p w14:paraId="26AB3258">
            <w:pPr>
              <w:shd w:val="clear"/>
              <w:spacing w:line="320" w:lineRule="exact"/>
              <w:rPr>
                <w:rFonts w:eastAsia="仿宋_GB2312"/>
                <w:color w:val="auto"/>
                <w:sz w:val="24"/>
                <w:highlight w:val="none"/>
              </w:rPr>
            </w:pPr>
            <w:r>
              <w:rPr>
                <w:rFonts w:hint="eastAsia" w:eastAsia="仿宋_GB2312"/>
                <w:color w:val="auto"/>
                <w:sz w:val="24"/>
                <w:highlight w:val="none"/>
              </w:rPr>
              <w:t>4</w:t>
            </w:r>
            <w:r>
              <w:rPr>
                <w:rFonts w:eastAsia="仿宋_GB2312"/>
                <w:color w:val="auto"/>
                <w:sz w:val="24"/>
                <w:highlight w:val="none"/>
              </w:rPr>
              <w:t>.舷墙、机舱等工作危险区域防护保护装置未有效安装</w:t>
            </w:r>
          </w:p>
        </w:tc>
        <w:tc>
          <w:tcPr>
            <w:tcW w:w="1678" w:type="dxa"/>
            <w:vAlign w:val="center"/>
          </w:tcPr>
          <w:p w14:paraId="3A2FA7C4">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04117614">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3EE33E65">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64C4C84F">
            <w:pPr>
              <w:shd w:val="clear"/>
              <w:spacing w:line="320" w:lineRule="exact"/>
              <w:rPr>
                <w:rFonts w:eastAsia="仿宋_GB2312"/>
                <w:color w:val="auto"/>
                <w:sz w:val="24"/>
                <w:highlight w:val="none"/>
              </w:rPr>
            </w:pPr>
          </w:p>
        </w:tc>
        <w:tc>
          <w:tcPr>
            <w:tcW w:w="914" w:type="dxa"/>
            <w:vAlign w:val="center"/>
          </w:tcPr>
          <w:p w14:paraId="785BB38B">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0CE0BA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918" w:type="dxa"/>
            <w:vMerge w:val="continue"/>
            <w:vAlign w:val="center"/>
          </w:tcPr>
          <w:p w14:paraId="02267922">
            <w:pPr>
              <w:shd w:val="clear"/>
              <w:spacing w:line="320" w:lineRule="exact"/>
              <w:jc w:val="center"/>
              <w:rPr>
                <w:rFonts w:eastAsia="仿宋_GB2312"/>
                <w:color w:val="auto"/>
                <w:sz w:val="24"/>
                <w:highlight w:val="none"/>
              </w:rPr>
            </w:pPr>
          </w:p>
        </w:tc>
        <w:tc>
          <w:tcPr>
            <w:tcW w:w="743" w:type="dxa"/>
            <w:vMerge w:val="continue"/>
            <w:vAlign w:val="center"/>
          </w:tcPr>
          <w:p w14:paraId="7C73C86A">
            <w:pPr>
              <w:shd w:val="clear"/>
              <w:spacing w:line="320" w:lineRule="exact"/>
              <w:jc w:val="center"/>
              <w:rPr>
                <w:rFonts w:eastAsia="仿宋_GB2312"/>
                <w:color w:val="auto"/>
                <w:sz w:val="24"/>
                <w:highlight w:val="none"/>
              </w:rPr>
            </w:pPr>
          </w:p>
        </w:tc>
        <w:tc>
          <w:tcPr>
            <w:tcW w:w="844" w:type="dxa"/>
            <w:vMerge w:val="continue"/>
            <w:vAlign w:val="center"/>
          </w:tcPr>
          <w:p w14:paraId="1EC9E983">
            <w:pPr>
              <w:shd w:val="clear"/>
              <w:spacing w:line="320" w:lineRule="exact"/>
              <w:jc w:val="center"/>
              <w:rPr>
                <w:rFonts w:eastAsia="仿宋_GB2312"/>
                <w:color w:val="auto"/>
                <w:sz w:val="24"/>
                <w:highlight w:val="none"/>
              </w:rPr>
            </w:pPr>
          </w:p>
        </w:tc>
        <w:tc>
          <w:tcPr>
            <w:tcW w:w="2430" w:type="dxa"/>
            <w:vAlign w:val="center"/>
          </w:tcPr>
          <w:p w14:paraId="4B621AE2">
            <w:pPr>
              <w:shd w:val="clear"/>
              <w:spacing w:line="320" w:lineRule="exact"/>
              <w:rPr>
                <w:rFonts w:eastAsia="仿宋_GB2312"/>
                <w:color w:val="auto"/>
                <w:sz w:val="24"/>
                <w:highlight w:val="none"/>
              </w:rPr>
            </w:pPr>
            <w:r>
              <w:rPr>
                <w:rFonts w:eastAsia="仿宋_GB2312"/>
                <w:color w:val="auto"/>
                <w:sz w:val="24"/>
                <w:highlight w:val="none"/>
              </w:rPr>
              <w:t>*</w:t>
            </w:r>
            <w:r>
              <w:rPr>
                <w:rFonts w:hint="eastAsia" w:eastAsia="仿宋_GB2312"/>
                <w:color w:val="auto"/>
                <w:sz w:val="24"/>
                <w:highlight w:val="none"/>
              </w:rPr>
              <w:t>5.渔业船舶（机舱）逃生通道受到永久封堵的</w:t>
            </w:r>
          </w:p>
        </w:tc>
        <w:tc>
          <w:tcPr>
            <w:tcW w:w="1678" w:type="dxa"/>
            <w:vAlign w:val="center"/>
          </w:tcPr>
          <w:p w14:paraId="6F39967F">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5152E50D">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1EE85ED8">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4124348C">
            <w:pPr>
              <w:shd w:val="clear"/>
              <w:spacing w:line="320" w:lineRule="exact"/>
              <w:rPr>
                <w:rFonts w:eastAsia="仿宋_GB2312"/>
                <w:color w:val="auto"/>
                <w:sz w:val="24"/>
                <w:highlight w:val="none"/>
              </w:rPr>
            </w:pPr>
          </w:p>
        </w:tc>
        <w:tc>
          <w:tcPr>
            <w:tcW w:w="914" w:type="dxa"/>
            <w:vAlign w:val="center"/>
          </w:tcPr>
          <w:p w14:paraId="4E5467A9">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791234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918" w:type="dxa"/>
            <w:vMerge w:val="continue"/>
            <w:vAlign w:val="center"/>
          </w:tcPr>
          <w:p w14:paraId="75C88266">
            <w:pPr>
              <w:shd w:val="clear"/>
              <w:spacing w:line="320" w:lineRule="exact"/>
              <w:jc w:val="center"/>
              <w:rPr>
                <w:rFonts w:eastAsia="仿宋_GB2312"/>
                <w:color w:val="auto"/>
                <w:sz w:val="24"/>
                <w:highlight w:val="none"/>
              </w:rPr>
            </w:pPr>
          </w:p>
        </w:tc>
        <w:tc>
          <w:tcPr>
            <w:tcW w:w="743" w:type="dxa"/>
            <w:vMerge w:val="continue"/>
            <w:vAlign w:val="center"/>
          </w:tcPr>
          <w:p w14:paraId="3B62E0A8">
            <w:pPr>
              <w:shd w:val="clear"/>
              <w:spacing w:line="320" w:lineRule="exact"/>
              <w:jc w:val="center"/>
              <w:rPr>
                <w:rFonts w:eastAsia="仿宋_GB2312"/>
                <w:color w:val="auto"/>
                <w:sz w:val="24"/>
                <w:highlight w:val="none"/>
              </w:rPr>
            </w:pPr>
          </w:p>
        </w:tc>
        <w:tc>
          <w:tcPr>
            <w:tcW w:w="844" w:type="dxa"/>
            <w:vMerge w:val="continue"/>
            <w:vAlign w:val="center"/>
          </w:tcPr>
          <w:p w14:paraId="5ACF6559">
            <w:pPr>
              <w:shd w:val="clear"/>
              <w:spacing w:line="320" w:lineRule="exact"/>
              <w:jc w:val="center"/>
              <w:rPr>
                <w:rFonts w:eastAsia="仿宋_GB2312"/>
                <w:color w:val="auto"/>
                <w:sz w:val="24"/>
                <w:highlight w:val="none"/>
              </w:rPr>
            </w:pPr>
          </w:p>
        </w:tc>
        <w:tc>
          <w:tcPr>
            <w:tcW w:w="2430" w:type="dxa"/>
            <w:vAlign w:val="center"/>
          </w:tcPr>
          <w:p w14:paraId="2CFD175D">
            <w:pPr>
              <w:shd w:val="clear"/>
              <w:spacing w:line="320" w:lineRule="exact"/>
              <w:rPr>
                <w:rFonts w:eastAsia="仿宋_GB2312"/>
                <w:color w:val="auto"/>
                <w:sz w:val="24"/>
                <w:highlight w:val="none"/>
              </w:rPr>
            </w:pPr>
            <w:r>
              <w:rPr>
                <w:rFonts w:hint="eastAsia" w:eastAsia="仿宋_GB2312"/>
                <w:color w:val="auto"/>
                <w:sz w:val="24"/>
                <w:highlight w:val="none"/>
              </w:rPr>
              <w:t>6</w:t>
            </w:r>
            <w:r>
              <w:rPr>
                <w:rFonts w:eastAsia="仿宋_GB2312"/>
                <w:color w:val="auto"/>
                <w:sz w:val="24"/>
                <w:highlight w:val="none"/>
              </w:rPr>
              <w:t>.逃生通道及其楼梯、护栏、扶手存在破损或未安装</w:t>
            </w:r>
          </w:p>
        </w:tc>
        <w:tc>
          <w:tcPr>
            <w:tcW w:w="1678" w:type="dxa"/>
            <w:vAlign w:val="center"/>
          </w:tcPr>
          <w:p w14:paraId="6F701523">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2437BD0C">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5EB18719">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4E2E62EF">
            <w:pPr>
              <w:shd w:val="clear"/>
              <w:spacing w:line="320" w:lineRule="exact"/>
              <w:rPr>
                <w:rFonts w:eastAsia="仿宋_GB2312"/>
                <w:color w:val="auto"/>
                <w:sz w:val="24"/>
                <w:highlight w:val="none"/>
              </w:rPr>
            </w:pPr>
          </w:p>
        </w:tc>
        <w:tc>
          <w:tcPr>
            <w:tcW w:w="914" w:type="dxa"/>
            <w:vAlign w:val="center"/>
          </w:tcPr>
          <w:p w14:paraId="1367C8FD">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5C1817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918" w:type="dxa"/>
            <w:vMerge w:val="continue"/>
            <w:vAlign w:val="center"/>
          </w:tcPr>
          <w:p w14:paraId="28E79ED5">
            <w:pPr>
              <w:shd w:val="clear"/>
              <w:spacing w:line="320" w:lineRule="exact"/>
              <w:jc w:val="center"/>
              <w:rPr>
                <w:rFonts w:eastAsia="仿宋_GB2312"/>
                <w:color w:val="auto"/>
                <w:sz w:val="24"/>
                <w:highlight w:val="none"/>
              </w:rPr>
            </w:pPr>
          </w:p>
        </w:tc>
        <w:tc>
          <w:tcPr>
            <w:tcW w:w="743" w:type="dxa"/>
            <w:vMerge w:val="continue"/>
            <w:vAlign w:val="center"/>
          </w:tcPr>
          <w:p w14:paraId="17D230CF">
            <w:pPr>
              <w:shd w:val="clear"/>
              <w:spacing w:line="320" w:lineRule="exact"/>
              <w:jc w:val="center"/>
              <w:rPr>
                <w:rFonts w:eastAsia="仿宋_GB2312"/>
                <w:color w:val="auto"/>
                <w:sz w:val="24"/>
                <w:highlight w:val="none"/>
              </w:rPr>
            </w:pPr>
          </w:p>
        </w:tc>
        <w:tc>
          <w:tcPr>
            <w:tcW w:w="844" w:type="dxa"/>
            <w:vMerge w:val="continue"/>
            <w:vAlign w:val="center"/>
          </w:tcPr>
          <w:p w14:paraId="6E767EFC">
            <w:pPr>
              <w:shd w:val="clear"/>
              <w:spacing w:line="320" w:lineRule="exact"/>
              <w:jc w:val="center"/>
              <w:rPr>
                <w:rFonts w:eastAsia="仿宋_GB2312"/>
                <w:color w:val="auto"/>
                <w:sz w:val="24"/>
                <w:highlight w:val="none"/>
              </w:rPr>
            </w:pPr>
          </w:p>
        </w:tc>
        <w:tc>
          <w:tcPr>
            <w:tcW w:w="2430" w:type="dxa"/>
            <w:vAlign w:val="center"/>
          </w:tcPr>
          <w:p w14:paraId="183D0BBB">
            <w:pPr>
              <w:shd w:val="clear"/>
              <w:spacing w:line="320" w:lineRule="exact"/>
              <w:rPr>
                <w:rFonts w:eastAsia="仿宋_GB2312"/>
                <w:color w:val="auto"/>
                <w:sz w:val="24"/>
                <w:highlight w:val="none"/>
              </w:rPr>
            </w:pPr>
            <w:r>
              <w:rPr>
                <w:rFonts w:hint="eastAsia" w:eastAsia="仿宋_GB2312"/>
                <w:color w:val="auto"/>
                <w:sz w:val="24"/>
                <w:highlight w:val="none"/>
              </w:rPr>
              <w:t>7</w:t>
            </w:r>
            <w:r>
              <w:rPr>
                <w:rFonts w:eastAsia="仿宋_GB2312"/>
                <w:color w:val="auto"/>
                <w:sz w:val="24"/>
                <w:highlight w:val="none"/>
              </w:rPr>
              <w:t>.逃生通道、安全出口等被堵塞、占用，处于不畅通状态</w:t>
            </w:r>
          </w:p>
        </w:tc>
        <w:tc>
          <w:tcPr>
            <w:tcW w:w="1678" w:type="dxa"/>
            <w:vAlign w:val="center"/>
          </w:tcPr>
          <w:p w14:paraId="44554CB1">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23D066E1">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293DC1E6">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restart"/>
            <w:vAlign w:val="center"/>
          </w:tcPr>
          <w:p w14:paraId="22E4732B">
            <w:pPr>
              <w:shd w:val="clear"/>
              <w:spacing w:line="320" w:lineRule="exact"/>
              <w:rPr>
                <w:rFonts w:eastAsia="仿宋_GB2312"/>
                <w:color w:val="auto"/>
                <w:sz w:val="24"/>
                <w:highlight w:val="none"/>
              </w:rPr>
            </w:pPr>
            <w:r>
              <w:rPr>
                <w:rFonts w:eastAsia="仿宋_GB2312"/>
                <w:color w:val="auto"/>
                <w:sz w:val="24"/>
                <w:highlight w:val="none"/>
              </w:rPr>
              <w:t>《国内海洋渔船法定检验技术规则》</w:t>
            </w:r>
          </w:p>
        </w:tc>
        <w:tc>
          <w:tcPr>
            <w:tcW w:w="914" w:type="dxa"/>
            <w:vAlign w:val="center"/>
          </w:tcPr>
          <w:p w14:paraId="38E3D8CE">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5CE13E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918" w:type="dxa"/>
            <w:vMerge w:val="continue"/>
            <w:vAlign w:val="center"/>
          </w:tcPr>
          <w:p w14:paraId="2E75CA49">
            <w:pPr>
              <w:shd w:val="clear"/>
              <w:spacing w:line="320" w:lineRule="exact"/>
              <w:jc w:val="center"/>
              <w:rPr>
                <w:rFonts w:eastAsia="仿宋_GB2312"/>
                <w:color w:val="auto"/>
                <w:sz w:val="24"/>
                <w:highlight w:val="none"/>
              </w:rPr>
            </w:pPr>
          </w:p>
        </w:tc>
        <w:tc>
          <w:tcPr>
            <w:tcW w:w="743" w:type="dxa"/>
            <w:vMerge w:val="continue"/>
            <w:vAlign w:val="center"/>
          </w:tcPr>
          <w:p w14:paraId="4DFA5477">
            <w:pPr>
              <w:shd w:val="clear"/>
              <w:spacing w:line="320" w:lineRule="exact"/>
              <w:jc w:val="center"/>
              <w:rPr>
                <w:rFonts w:eastAsia="仿宋_GB2312"/>
                <w:color w:val="auto"/>
                <w:sz w:val="24"/>
                <w:highlight w:val="none"/>
              </w:rPr>
            </w:pPr>
          </w:p>
        </w:tc>
        <w:tc>
          <w:tcPr>
            <w:tcW w:w="844" w:type="dxa"/>
            <w:vMerge w:val="continue"/>
            <w:vAlign w:val="center"/>
          </w:tcPr>
          <w:p w14:paraId="214B5FD1">
            <w:pPr>
              <w:shd w:val="clear"/>
              <w:spacing w:line="320" w:lineRule="exact"/>
              <w:jc w:val="center"/>
              <w:rPr>
                <w:rFonts w:eastAsia="仿宋_GB2312"/>
                <w:color w:val="auto"/>
                <w:sz w:val="24"/>
                <w:highlight w:val="none"/>
              </w:rPr>
            </w:pPr>
          </w:p>
        </w:tc>
        <w:tc>
          <w:tcPr>
            <w:tcW w:w="2430" w:type="dxa"/>
            <w:vAlign w:val="center"/>
          </w:tcPr>
          <w:p w14:paraId="64DF5470">
            <w:pPr>
              <w:shd w:val="clear"/>
              <w:spacing w:line="320" w:lineRule="exact"/>
              <w:rPr>
                <w:rFonts w:eastAsia="仿宋_GB2312"/>
                <w:color w:val="auto"/>
                <w:sz w:val="24"/>
                <w:highlight w:val="none"/>
              </w:rPr>
            </w:pPr>
            <w:r>
              <w:rPr>
                <w:rFonts w:hint="eastAsia" w:eastAsia="仿宋_GB2312"/>
                <w:color w:val="auto"/>
                <w:sz w:val="24"/>
                <w:highlight w:val="none"/>
              </w:rPr>
              <w:t>8</w:t>
            </w:r>
            <w:r>
              <w:rPr>
                <w:rFonts w:eastAsia="仿宋_GB2312"/>
                <w:color w:val="auto"/>
                <w:sz w:val="24"/>
                <w:highlight w:val="none"/>
              </w:rPr>
              <w:t>.船体老旧，外板腐蚀严重未修复</w:t>
            </w:r>
          </w:p>
        </w:tc>
        <w:tc>
          <w:tcPr>
            <w:tcW w:w="1678" w:type="dxa"/>
            <w:vAlign w:val="center"/>
          </w:tcPr>
          <w:p w14:paraId="7ED01B70">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4A909E15">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19662403">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60699E9F">
            <w:pPr>
              <w:shd w:val="clear"/>
              <w:spacing w:line="320" w:lineRule="exact"/>
              <w:jc w:val="center"/>
              <w:rPr>
                <w:rFonts w:eastAsia="仿宋_GB2312"/>
                <w:color w:val="auto"/>
                <w:sz w:val="24"/>
                <w:highlight w:val="none"/>
              </w:rPr>
            </w:pPr>
          </w:p>
        </w:tc>
        <w:tc>
          <w:tcPr>
            <w:tcW w:w="914" w:type="dxa"/>
            <w:vAlign w:val="center"/>
          </w:tcPr>
          <w:p w14:paraId="29C70ECE">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563CE1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18" w:type="dxa"/>
            <w:vMerge w:val="continue"/>
            <w:vAlign w:val="center"/>
          </w:tcPr>
          <w:p w14:paraId="7AA6DEAE">
            <w:pPr>
              <w:shd w:val="clear"/>
              <w:spacing w:line="320" w:lineRule="exact"/>
              <w:jc w:val="center"/>
              <w:rPr>
                <w:rFonts w:eastAsia="仿宋_GB2312"/>
                <w:color w:val="auto"/>
                <w:sz w:val="24"/>
                <w:highlight w:val="none"/>
              </w:rPr>
            </w:pPr>
          </w:p>
        </w:tc>
        <w:tc>
          <w:tcPr>
            <w:tcW w:w="743" w:type="dxa"/>
            <w:vMerge w:val="continue"/>
            <w:vAlign w:val="center"/>
          </w:tcPr>
          <w:p w14:paraId="38973B97">
            <w:pPr>
              <w:shd w:val="clear"/>
              <w:spacing w:line="320" w:lineRule="exact"/>
              <w:jc w:val="center"/>
              <w:rPr>
                <w:rFonts w:eastAsia="仿宋_GB2312"/>
                <w:color w:val="auto"/>
                <w:sz w:val="24"/>
                <w:highlight w:val="none"/>
              </w:rPr>
            </w:pPr>
          </w:p>
        </w:tc>
        <w:tc>
          <w:tcPr>
            <w:tcW w:w="844" w:type="dxa"/>
            <w:vMerge w:val="restart"/>
            <w:vAlign w:val="center"/>
          </w:tcPr>
          <w:p w14:paraId="27CE9027">
            <w:pPr>
              <w:shd w:val="clear"/>
              <w:spacing w:line="320" w:lineRule="exact"/>
              <w:jc w:val="center"/>
              <w:rPr>
                <w:rFonts w:eastAsia="仿宋_GB2312"/>
                <w:color w:val="auto"/>
                <w:sz w:val="24"/>
                <w:highlight w:val="none"/>
              </w:rPr>
            </w:pPr>
            <w:r>
              <w:rPr>
                <w:rFonts w:hint="eastAsia" w:eastAsia="仿宋_GB2312"/>
                <w:color w:val="auto"/>
                <w:sz w:val="24"/>
                <w:highlight w:val="none"/>
              </w:rPr>
              <w:t>船舶稳性</w:t>
            </w:r>
          </w:p>
        </w:tc>
        <w:tc>
          <w:tcPr>
            <w:tcW w:w="2430" w:type="dxa"/>
            <w:vAlign w:val="center"/>
          </w:tcPr>
          <w:p w14:paraId="6D91AB2F">
            <w:pPr>
              <w:shd w:val="clear"/>
              <w:spacing w:line="320" w:lineRule="exact"/>
              <w:rPr>
                <w:rFonts w:eastAsia="仿宋_GB2312"/>
                <w:color w:val="auto"/>
                <w:sz w:val="24"/>
                <w:highlight w:val="none"/>
              </w:rPr>
            </w:pPr>
            <w:r>
              <w:rPr>
                <w:rFonts w:eastAsia="仿宋_GB2312"/>
                <w:color w:val="auto"/>
                <w:sz w:val="24"/>
                <w:highlight w:val="none"/>
              </w:rPr>
              <w:t>*</w:t>
            </w:r>
            <w:r>
              <w:rPr>
                <w:rFonts w:hint="eastAsia" w:eastAsia="仿宋_GB2312"/>
                <w:color w:val="auto"/>
                <w:sz w:val="24"/>
                <w:highlight w:val="none"/>
              </w:rPr>
              <w:t>9.擅自改装、改建（船舶主尺度、渔货舱、上层建筑、作业方式、遮阳棚、暂养池、水桶），对稳性有严重影响的</w:t>
            </w:r>
          </w:p>
        </w:tc>
        <w:tc>
          <w:tcPr>
            <w:tcW w:w="1678" w:type="dxa"/>
            <w:vAlign w:val="center"/>
          </w:tcPr>
          <w:p w14:paraId="1106F1AB">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09850D19">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5E8581AC">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restart"/>
            <w:vAlign w:val="center"/>
          </w:tcPr>
          <w:p w14:paraId="46C3DE18">
            <w:pPr>
              <w:shd w:val="clear"/>
              <w:spacing w:line="320" w:lineRule="exact"/>
              <w:rPr>
                <w:rFonts w:eastAsia="仿宋_GB2312"/>
                <w:color w:val="auto"/>
                <w:sz w:val="24"/>
                <w:highlight w:val="none"/>
              </w:rPr>
            </w:pPr>
            <w:r>
              <w:rPr>
                <w:rFonts w:eastAsia="仿宋_GB2312"/>
                <w:color w:val="auto"/>
                <w:sz w:val="24"/>
                <w:highlight w:val="none"/>
              </w:rPr>
              <w:t>1.《国内海洋渔船法定检验技术规则》</w:t>
            </w:r>
          </w:p>
          <w:p w14:paraId="64285519">
            <w:pPr>
              <w:shd w:val="clear"/>
              <w:spacing w:line="320" w:lineRule="exact"/>
              <w:rPr>
                <w:rFonts w:eastAsia="仿宋_GB2312"/>
                <w:color w:val="auto"/>
                <w:sz w:val="24"/>
                <w:highlight w:val="none"/>
              </w:rPr>
            </w:pPr>
            <w:r>
              <w:rPr>
                <w:rFonts w:eastAsia="仿宋_GB2312"/>
                <w:color w:val="auto"/>
                <w:sz w:val="24"/>
                <w:highlight w:val="none"/>
              </w:rPr>
              <w:t>2.《渔业船舶重大事故隐患判定标准》</w:t>
            </w:r>
          </w:p>
        </w:tc>
        <w:tc>
          <w:tcPr>
            <w:tcW w:w="914" w:type="dxa"/>
          </w:tcPr>
          <w:p w14:paraId="7125262B">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7D279C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918" w:type="dxa"/>
            <w:vMerge w:val="continue"/>
            <w:vAlign w:val="center"/>
          </w:tcPr>
          <w:p w14:paraId="1B56440C">
            <w:pPr>
              <w:shd w:val="clear"/>
              <w:spacing w:line="320" w:lineRule="exact"/>
              <w:jc w:val="center"/>
              <w:rPr>
                <w:rFonts w:eastAsia="仿宋_GB2312"/>
                <w:color w:val="auto"/>
                <w:sz w:val="24"/>
                <w:highlight w:val="none"/>
              </w:rPr>
            </w:pPr>
          </w:p>
        </w:tc>
        <w:tc>
          <w:tcPr>
            <w:tcW w:w="743" w:type="dxa"/>
            <w:vMerge w:val="continue"/>
            <w:vAlign w:val="center"/>
          </w:tcPr>
          <w:p w14:paraId="7254185C">
            <w:pPr>
              <w:shd w:val="clear"/>
              <w:spacing w:line="320" w:lineRule="exact"/>
              <w:jc w:val="center"/>
              <w:rPr>
                <w:rFonts w:eastAsia="仿宋_GB2312"/>
                <w:color w:val="auto"/>
                <w:sz w:val="24"/>
                <w:highlight w:val="none"/>
              </w:rPr>
            </w:pPr>
          </w:p>
        </w:tc>
        <w:tc>
          <w:tcPr>
            <w:tcW w:w="844" w:type="dxa"/>
            <w:vMerge w:val="continue"/>
            <w:vAlign w:val="center"/>
          </w:tcPr>
          <w:p w14:paraId="72ECABBB">
            <w:pPr>
              <w:shd w:val="clear"/>
              <w:spacing w:line="320" w:lineRule="exact"/>
              <w:jc w:val="center"/>
              <w:rPr>
                <w:rFonts w:eastAsia="仿宋_GB2312"/>
                <w:color w:val="auto"/>
                <w:sz w:val="24"/>
                <w:highlight w:val="none"/>
              </w:rPr>
            </w:pPr>
          </w:p>
        </w:tc>
        <w:tc>
          <w:tcPr>
            <w:tcW w:w="2430" w:type="dxa"/>
            <w:vAlign w:val="center"/>
          </w:tcPr>
          <w:p w14:paraId="65CA8D1A">
            <w:pPr>
              <w:shd w:val="clear"/>
              <w:spacing w:line="320" w:lineRule="exact"/>
              <w:rPr>
                <w:rFonts w:ascii="宋体" w:hAnsi="宋体"/>
                <w:color w:val="auto"/>
                <w:sz w:val="28"/>
                <w:szCs w:val="32"/>
                <w:highlight w:val="none"/>
              </w:rPr>
            </w:pPr>
            <w:r>
              <w:rPr>
                <w:rFonts w:eastAsia="仿宋_GB2312"/>
                <w:color w:val="auto"/>
                <w:sz w:val="24"/>
                <w:highlight w:val="none"/>
              </w:rPr>
              <w:t>*</w:t>
            </w:r>
            <w:r>
              <w:rPr>
                <w:rFonts w:hint="eastAsia" w:eastAsia="仿宋_GB2312"/>
                <w:color w:val="auto"/>
                <w:sz w:val="24"/>
                <w:highlight w:val="none"/>
              </w:rPr>
              <w:t>10.</w:t>
            </w:r>
            <w:r>
              <w:rPr>
                <w:rFonts w:eastAsia="仿宋_GB2312"/>
                <w:color w:val="auto"/>
                <w:sz w:val="24"/>
                <w:highlight w:val="none"/>
              </w:rPr>
              <w:t>渔业船舶超载或配载不当，对稳性有严重影响的</w:t>
            </w:r>
          </w:p>
        </w:tc>
        <w:tc>
          <w:tcPr>
            <w:tcW w:w="1678" w:type="dxa"/>
            <w:vAlign w:val="center"/>
          </w:tcPr>
          <w:p w14:paraId="535FEA1C">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0BE4BA27">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140F2FF0">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0A70D0F0">
            <w:pPr>
              <w:shd w:val="clear"/>
              <w:spacing w:line="320" w:lineRule="exact"/>
              <w:jc w:val="center"/>
              <w:rPr>
                <w:rFonts w:eastAsia="仿宋_GB2312"/>
                <w:color w:val="auto"/>
                <w:sz w:val="24"/>
                <w:highlight w:val="none"/>
              </w:rPr>
            </w:pPr>
          </w:p>
        </w:tc>
        <w:tc>
          <w:tcPr>
            <w:tcW w:w="914" w:type="dxa"/>
          </w:tcPr>
          <w:p w14:paraId="6626DE5C">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604C54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18" w:type="dxa"/>
            <w:vMerge w:val="continue"/>
            <w:vAlign w:val="center"/>
          </w:tcPr>
          <w:p w14:paraId="06B0E3EF">
            <w:pPr>
              <w:shd w:val="clear"/>
              <w:spacing w:line="320" w:lineRule="exact"/>
              <w:jc w:val="center"/>
              <w:rPr>
                <w:rFonts w:eastAsia="仿宋_GB2312"/>
                <w:color w:val="auto"/>
                <w:sz w:val="24"/>
                <w:highlight w:val="none"/>
              </w:rPr>
            </w:pPr>
          </w:p>
        </w:tc>
        <w:tc>
          <w:tcPr>
            <w:tcW w:w="743" w:type="dxa"/>
            <w:vMerge w:val="continue"/>
            <w:vAlign w:val="center"/>
          </w:tcPr>
          <w:p w14:paraId="2E7BDD7D">
            <w:pPr>
              <w:shd w:val="clear"/>
              <w:spacing w:line="320" w:lineRule="exact"/>
              <w:jc w:val="center"/>
              <w:rPr>
                <w:rFonts w:eastAsia="仿宋_GB2312"/>
                <w:color w:val="auto"/>
                <w:sz w:val="24"/>
                <w:highlight w:val="none"/>
              </w:rPr>
            </w:pPr>
          </w:p>
        </w:tc>
        <w:tc>
          <w:tcPr>
            <w:tcW w:w="844" w:type="dxa"/>
            <w:vAlign w:val="center"/>
          </w:tcPr>
          <w:p w14:paraId="3B6550D0">
            <w:pPr>
              <w:shd w:val="clear"/>
              <w:spacing w:line="320" w:lineRule="exact"/>
              <w:jc w:val="center"/>
              <w:rPr>
                <w:rFonts w:eastAsia="仿宋_GB2312"/>
                <w:color w:val="auto"/>
                <w:sz w:val="24"/>
                <w:highlight w:val="none"/>
              </w:rPr>
            </w:pPr>
            <w:r>
              <w:rPr>
                <w:rFonts w:eastAsia="仿宋_GB2312"/>
                <w:color w:val="auto"/>
                <w:sz w:val="24"/>
                <w:highlight w:val="none"/>
              </w:rPr>
              <w:t>厨房设施设备</w:t>
            </w:r>
          </w:p>
        </w:tc>
        <w:tc>
          <w:tcPr>
            <w:tcW w:w="2430" w:type="dxa"/>
            <w:vAlign w:val="center"/>
          </w:tcPr>
          <w:p w14:paraId="4852AD4E">
            <w:pPr>
              <w:shd w:val="clear"/>
              <w:spacing w:line="320" w:lineRule="exact"/>
              <w:textAlignment w:val="center"/>
              <w:rPr>
                <w:rFonts w:eastAsia="仿宋_GB2312"/>
                <w:color w:val="auto"/>
                <w:sz w:val="24"/>
                <w:highlight w:val="none"/>
              </w:rPr>
            </w:pPr>
            <w:r>
              <w:rPr>
                <w:rFonts w:eastAsia="仿宋_GB2312"/>
                <w:color w:val="auto"/>
                <w:sz w:val="24"/>
                <w:highlight w:val="none"/>
              </w:rPr>
              <w:t>★</w:t>
            </w:r>
            <w:r>
              <w:rPr>
                <w:rFonts w:hint="eastAsia" w:eastAsia="仿宋_GB2312"/>
                <w:color w:val="auto"/>
                <w:sz w:val="24"/>
                <w:highlight w:val="none"/>
              </w:rPr>
              <w:t>11</w:t>
            </w:r>
            <w:r>
              <w:rPr>
                <w:rFonts w:eastAsia="仿宋_GB2312"/>
                <w:color w:val="auto"/>
                <w:sz w:val="24"/>
                <w:highlight w:val="none"/>
              </w:rPr>
              <w:t>.</w:t>
            </w:r>
            <w:r>
              <w:rPr>
                <w:rFonts w:hint="eastAsia"/>
                <w:color w:val="auto"/>
                <w:highlight w:val="none"/>
              </w:rPr>
              <w:t xml:space="preserve"> </w:t>
            </w:r>
            <w:r>
              <w:rPr>
                <w:rFonts w:hint="eastAsia" w:eastAsia="仿宋_GB2312"/>
                <w:color w:val="auto"/>
                <w:sz w:val="24"/>
                <w:highlight w:val="none"/>
              </w:rPr>
              <w:t>厨房煤气瓶、调压器、燃气连接管等燃器具配件老化、破损、超期使用、违规连接、软管中间有接口或三通，摆放、设置不合理。</w:t>
            </w:r>
          </w:p>
        </w:tc>
        <w:tc>
          <w:tcPr>
            <w:tcW w:w="1678" w:type="dxa"/>
            <w:vAlign w:val="center"/>
          </w:tcPr>
          <w:p w14:paraId="5A0376C3">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1FB605ED">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158A827F">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Align w:val="center"/>
          </w:tcPr>
          <w:p w14:paraId="38A7DA40">
            <w:pPr>
              <w:shd w:val="clear"/>
              <w:spacing w:line="320" w:lineRule="exact"/>
              <w:textAlignment w:val="center"/>
              <w:rPr>
                <w:rFonts w:eastAsia="仿宋_GB2312"/>
                <w:color w:val="auto"/>
                <w:sz w:val="24"/>
                <w:highlight w:val="none"/>
              </w:rPr>
            </w:pPr>
            <w:r>
              <w:rPr>
                <w:rFonts w:eastAsia="仿宋_GB2312"/>
                <w:color w:val="auto"/>
                <w:sz w:val="24"/>
                <w:highlight w:val="none"/>
              </w:rPr>
              <w:t xml:space="preserve">1.《城镇燃气管理条例》 </w:t>
            </w:r>
          </w:p>
          <w:p w14:paraId="654CD9CD">
            <w:pPr>
              <w:shd w:val="clear"/>
              <w:spacing w:line="320" w:lineRule="exact"/>
              <w:textAlignment w:val="center"/>
              <w:rPr>
                <w:rFonts w:eastAsia="仿宋_GB2312"/>
                <w:color w:val="auto"/>
                <w:sz w:val="24"/>
                <w:highlight w:val="none"/>
              </w:rPr>
            </w:pPr>
            <w:r>
              <w:rPr>
                <w:rFonts w:eastAsia="仿宋_GB2312"/>
                <w:color w:val="auto"/>
                <w:sz w:val="24"/>
                <w:highlight w:val="none"/>
              </w:rPr>
              <w:t>2.《国内海洋渔船法定检验技术规则》</w:t>
            </w:r>
          </w:p>
        </w:tc>
        <w:tc>
          <w:tcPr>
            <w:tcW w:w="914" w:type="dxa"/>
            <w:vAlign w:val="center"/>
          </w:tcPr>
          <w:p w14:paraId="173C8EF0">
            <w:pPr>
              <w:shd w:val="clear"/>
              <w:spacing w:line="320" w:lineRule="exact"/>
              <w:jc w:val="center"/>
              <w:textAlignment w:val="center"/>
              <w:rPr>
                <w:rFonts w:eastAsia="仿宋_GB2312"/>
                <w:color w:val="auto"/>
                <w:sz w:val="24"/>
                <w:highlight w:val="none"/>
              </w:rPr>
            </w:pPr>
            <w:r>
              <w:rPr>
                <w:rFonts w:eastAsia="仿宋_GB2312"/>
                <w:color w:val="auto"/>
                <w:sz w:val="24"/>
                <w:highlight w:val="none"/>
              </w:rPr>
              <w:t>现场检查</w:t>
            </w:r>
          </w:p>
        </w:tc>
      </w:tr>
      <w:tr w14:paraId="58376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918" w:type="dxa"/>
            <w:vMerge w:val="continue"/>
            <w:vAlign w:val="center"/>
          </w:tcPr>
          <w:p w14:paraId="3917CE08">
            <w:pPr>
              <w:shd w:val="clear"/>
              <w:spacing w:line="320" w:lineRule="exact"/>
              <w:jc w:val="center"/>
              <w:rPr>
                <w:rFonts w:eastAsia="仿宋_GB2312"/>
                <w:color w:val="auto"/>
                <w:sz w:val="24"/>
                <w:highlight w:val="none"/>
              </w:rPr>
            </w:pPr>
          </w:p>
        </w:tc>
        <w:tc>
          <w:tcPr>
            <w:tcW w:w="743" w:type="dxa"/>
            <w:vMerge w:val="continue"/>
            <w:vAlign w:val="center"/>
          </w:tcPr>
          <w:p w14:paraId="5759E9F0">
            <w:pPr>
              <w:shd w:val="clear"/>
              <w:spacing w:line="320" w:lineRule="exact"/>
              <w:jc w:val="center"/>
              <w:rPr>
                <w:rFonts w:eastAsia="仿宋_GB2312"/>
                <w:color w:val="auto"/>
                <w:sz w:val="24"/>
                <w:highlight w:val="none"/>
              </w:rPr>
            </w:pPr>
          </w:p>
        </w:tc>
        <w:tc>
          <w:tcPr>
            <w:tcW w:w="844" w:type="dxa"/>
            <w:vMerge w:val="restart"/>
            <w:vAlign w:val="center"/>
          </w:tcPr>
          <w:p w14:paraId="4CBE23E3">
            <w:pPr>
              <w:shd w:val="clear"/>
              <w:spacing w:line="320" w:lineRule="exact"/>
              <w:jc w:val="center"/>
              <w:rPr>
                <w:rFonts w:eastAsia="仿宋_GB2312"/>
                <w:color w:val="auto"/>
                <w:sz w:val="24"/>
                <w:highlight w:val="none"/>
              </w:rPr>
            </w:pPr>
            <w:r>
              <w:rPr>
                <w:rFonts w:eastAsia="仿宋_GB2312"/>
                <w:color w:val="auto"/>
                <w:sz w:val="24"/>
                <w:highlight w:val="none"/>
              </w:rPr>
              <w:t>消防、救生设施</w:t>
            </w:r>
          </w:p>
        </w:tc>
        <w:tc>
          <w:tcPr>
            <w:tcW w:w="2430" w:type="dxa"/>
            <w:vAlign w:val="center"/>
          </w:tcPr>
          <w:p w14:paraId="6092B583">
            <w:pPr>
              <w:shd w:val="clear"/>
              <w:spacing w:line="320" w:lineRule="exact"/>
              <w:rPr>
                <w:rFonts w:eastAsia="仿宋_GB2312"/>
                <w:color w:val="auto"/>
                <w:sz w:val="24"/>
                <w:highlight w:val="none"/>
              </w:rPr>
            </w:pPr>
            <w:r>
              <w:rPr>
                <w:rFonts w:eastAsia="仿宋_GB2312"/>
                <w:color w:val="auto"/>
                <w:sz w:val="24"/>
                <w:highlight w:val="none"/>
              </w:rPr>
              <w:t>*</w:t>
            </w:r>
            <w:r>
              <w:rPr>
                <w:rFonts w:hint="eastAsia" w:eastAsia="仿宋_GB2312"/>
                <w:color w:val="auto"/>
                <w:sz w:val="24"/>
                <w:highlight w:val="none"/>
              </w:rPr>
              <w:t>12</w:t>
            </w:r>
            <w:r>
              <w:rPr>
                <w:rFonts w:eastAsia="仿宋_GB2312"/>
                <w:color w:val="auto"/>
                <w:sz w:val="24"/>
                <w:highlight w:val="none"/>
              </w:rPr>
              <w:t>.灭火器、消防栓、消防水带、消防水枪数量和类型与检验证书核准不一致；消防泵启动，消防栓未能有效出水</w:t>
            </w:r>
            <w:r>
              <w:rPr>
                <w:rFonts w:hint="eastAsia" w:eastAsia="仿宋_GB2312"/>
                <w:color w:val="auto"/>
                <w:sz w:val="24"/>
                <w:highlight w:val="none"/>
              </w:rPr>
              <w:t>，自动失火报警和探火系统、消防员装备未有效配备</w:t>
            </w:r>
          </w:p>
        </w:tc>
        <w:tc>
          <w:tcPr>
            <w:tcW w:w="1678" w:type="dxa"/>
            <w:vAlign w:val="center"/>
          </w:tcPr>
          <w:p w14:paraId="63D0D83E">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44EAF60A">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63B714F1">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restart"/>
            <w:vAlign w:val="center"/>
          </w:tcPr>
          <w:p w14:paraId="54882C52">
            <w:pPr>
              <w:shd w:val="clear"/>
              <w:spacing w:line="320" w:lineRule="exact"/>
              <w:rPr>
                <w:rFonts w:eastAsia="仿宋_GB2312"/>
                <w:color w:val="auto"/>
                <w:sz w:val="24"/>
                <w:highlight w:val="none"/>
              </w:rPr>
            </w:pPr>
            <w:r>
              <w:rPr>
                <w:rFonts w:eastAsia="仿宋_GB2312"/>
                <w:color w:val="auto"/>
                <w:sz w:val="24"/>
                <w:highlight w:val="none"/>
              </w:rPr>
              <w:t>1.《国内海洋渔船法定检验技术规则》</w:t>
            </w:r>
          </w:p>
          <w:p w14:paraId="524248C4">
            <w:pPr>
              <w:shd w:val="clear"/>
              <w:spacing w:line="320" w:lineRule="exact"/>
              <w:rPr>
                <w:rFonts w:eastAsia="仿宋_GB2312"/>
                <w:color w:val="auto"/>
                <w:sz w:val="24"/>
                <w:highlight w:val="none"/>
              </w:rPr>
            </w:pPr>
            <w:r>
              <w:rPr>
                <w:rFonts w:eastAsia="仿宋_GB2312"/>
                <w:color w:val="auto"/>
                <w:sz w:val="24"/>
                <w:highlight w:val="none"/>
              </w:rPr>
              <w:t>2.《渔业船舶重大事故隐患判定标准》</w:t>
            </w:r>
          </w:p>
        </w:tc>
        <w:tc>
          <w:tcPr>
            <w:tcW w:w="914" w:type="dxa"/>
            <w:vAlign w:val="center"/>
          </w:tcPr>
          <w:p w14:paraId="1A19834E">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7D5B7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918" w:type="dxa"/>
            <w:vMerge w:val="continue"/>
            <w:vAlign w:val="center"/>
          </w:tcPr>
          <w:p w14:paraId="2D37FD8F">
            <w:pPr>
              <w:shd w:val="clear"/>
              <w:spacing w:line="320" w:lineRule="exact"/>
              <w:jc w:val="center"/>
              <w:rPr>
                <w:rFonts w:eastAsia="仿宋_GB2312"/>
                <w:color w:val="auto"/>
                <w:sz w:val="24"/>
                <w:highlight w:val="none"/>
              </w:rPr>
            </w:pPr>
          </w:p>
        </w:tc>
        <w:tc>
          <w:tcPr>
            <w:tcW w:w="743" w:type="dxa"/>
            <w:vMerge w:val="continue"/>
            <w:vAlign w:val="center"/>
          </w:tcPr>
          <w:p w14:paraId="150D2224">
            <w:pPr>
              <w:shd w:val="clear"/>
              <w:spacing w:line="320" w:lineRule="exact"/>
              <w:jc w:val="center"/>
              <w:rPr>
                <w:rFonts w:eastAsia="仿宋_GB2312"/>
                <w:color w:val="auto"/>
                <w:sz w:val="24"/>
                <w:highlight w:val="none"/>
              </w:rPr>
            </w:pPr>
          </w:p>
        </w:tc>
        <w:tc>
          <w:tcPr>
            <w:tcW w:w="844" w:type="dxa"/>
            <w:vMerge w:val="continue"/>
            <w:vAlign w:val="center"/>
          </w:tcPr>
          <w:p w14:paraId="5B2B8EC6">
            <w:pPr>
              <w:shd w:val="clear"/>
              <w:spacing w:line="320" w:lineRule="exact"/>
              <w:jc w:val="center"/>
              <w:rPr>
                <w:rFonts w:eastAsia="仿宋_GB2312"/>
                <w:color w:val="auto"/>
                <w:sz w:val="24"/>
                <w:highlight w:val="none"/>
              </w:rPr>
            </w:pPr>
          </w:p>
        </w:tc>
        <w:tc>
          <w:tcPr>
            <w:tcW w:w="2430" w:type="dxa"/>
            <w:vAlign w:val="center"/>
          </w:tcPr>
          <w:p w14:paraId="79BBE45D">
            <w:pPr>
              <w:shd w:val="clear"/>
              <w:spacing w:line="320" w:lineRule="exact"/>
              <w:rPr>
                <w:rFonts w:eastAsia="仿宋_GB2312"/>
                <w:color w:val="auto"/>
                <w:sz w:val="24"/>
                <w:highlight w:val="none"/>
              </w:rPr>
            </w:pPr>
            <w:r>
              <w:rPr>
                <w:rFonts w:eastAsia="仿宋_GB2312"/>
                <w:color w:val="auto"/>
                <w:sz w:val="24"/>
                <w:highlight w:val="none"/>
              </w:rPr>
              <w:t>*</w:t>
            </w:r>
            <w:r>
              <w:rPr>
                <w:rFonts w:hint="eastAsia" w:eastAsia="仿宋_GB2312"/>
                <w:color w:val="auto"/>
                <w:sz w:val="24"/>
                <w:highlight w:val="none"/>
              </w:rPr>
              <w:t>13</w:t>
            </w:r>
            <w:r>
              <w:rPr>
                <w:rFonts w:eastAsia="仿宋_GB2312"/>
                <w:color w:val="auto"/>
                <w:sz w:val="24"/>
                <w:highlight w:val="none"/>
              </w:rPr>
              <w:t>.救生筏、救生衣、救生圈</w:t>
            </w:r>
            <w:r>
              <w:rPr>
                <w:rFonts w:hint="eastAsia" w:eastAsia="仿宋_GB2312"/>
                <w:color w:val="auto"/>
                <w:sz w:val="24"/>
                <w:highlight w:val="none"/>
              </w:rPr>
              <w:t>、信号弹</w:t>
            </w:r>
            <w:r>
              <w:rPr>
                <w:rFonts w:eastAsia="仿宋_GB2312"/>
                <w:color w:val="auto"/>
                <w:sz w:val="24"/>
                <w:highlight w:val="none"/>
              </w:rPr>
              <w:t>数量与检验证书核准不一致，救生衣灯、口哨等附件不齐全</w:t>
            </w:r>
          </w:p>
        </w:tc>
        <w:tc>
          <w:tcPr>
            <w:tcW w:w="1678" w:type="dxa"/>
            <w:vAlign w:val="center"/>
          </w:tcPr>
          <w:p w14:paraId="6498EDDE">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320F42D4">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34BAF0B8">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32123D8C">
            <w:pPr>
              <w:shd w:val="clear"/>
              <w:spacing w:line="320" w:lineRule="exact"/>
              <w:jc w:val="center"/>
              <w:rPr>
                <w:rFonts w:eastAsia="仿宋_GB2312"/>
                <w:color w:val="auto"/>
                <w:sz w:val="24"/>
                <w:highlight w:val="none"/>
              </w:rPr>
            </w:pPr>
          </w:p>
        </w:tc>
        <w:tc>
          <w:tcPr>
            <w:tcW w:w="914" w:type="dxa"/>
            <w:vAlign w:val="center"/>
          </w:tcPr>
          <w:p w14:paraId="3C055E6C">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015DBE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918" w:type="dxa"/>
            <w:vMerge w:val="continue"/>
            <w:vAlign w:val="center"/>
          </w:tcPr>
          <w:p w14:paraId="12869AC3">
            <w:pPr>
              <w:shd w:val="clear"/>
              <w:spacing w:line="320" w:lineRule="exact"/>
              <w:jc w:val="center"/>
              <w:rPr>
                <w:rFonts w:eastAsia="仿宋_GB2312"/>
                <w:color w:val="auto"/>
                <w:sz w:val="24"/>
                <w:highlight w:val="none"/>
              </w:rPr>
            </w:pPr>
          </w:p>
        </w:tc>
        <w:tc>
          <w:tcPr>
            <w:tcW w:w="743" w:type="dxa"/>
            <w:vMerge w:val="continue"/>
            <w:vAlign w:val="center"/>
          </w:tcPr>
          <w:p w14:paraId="2BD0F955">
            <w:pPr>
              <w:shd w:val="clear"/>
              <w:spacing w:line="320" w:lineRule="exact"/>
              <w:jc w:val="center"/>
              <w:rPr>
                <w:rFonts w:eastAsia="仿宋_GB2312"/>
                <w:color w:val="auto"/>
                <w:sz w:val="24"/>
                <w:highlight w:val="none"/>
              </w:rPr>
            </w:pPr>
          </w:p>
        </w:tc>
        <w:tc>
          <w:tcPr>
            <w:tcW w:w="844" w:type="dxa"/>
            <w:vMerge w:val="restart"/>
            <w:vAlign w:val="center"/>
          </w:tcPr>
          <w:p w14:paraId="58262944">
            <w:pPr>
              <w:shd w:val="clear"/>
              <w:spacing w:line="320" w:lineRule="exact"/>
              <w:jc w:val="center"/>
              <w:rPr>
                <w:rFonts w:eastAsia="仿宋_GB2312"/>
                <w:color w:val="auto"/>
                <w:sz w:val="24"/>
                <w:highlight w:val="none"/>
              </w:rPr>
            </w:pPr>
            <w:r>
              <w:rPr>
                <w:rFonts w:hint="eastAsia" w:eastAsia="仿宋_GB2312"/>
                <w:color w:val="auto"/>
                <w:sz w:val="24"/>
                <w:highlight w:val="none"/>
              </w:rPr>
              <w:t>航行</w:t>
            </w:r>
            <w:r>
              <w:rPr>
                <w:rFonts w:eastAsia="仿宋_GB2312"/>
                <w:color w:val="auto"/>
                <w:sz w:val="24"/>
                <w:highlight w:val="none"/>
              </w:rPr>
              <w:t>、信号</w:t>
            </w:r>
            <w:r>
              <w:rPr>
                <w:rFonts w:hint="eastAsia" w:eastAsia="仿宋_GB2312"/>
                <w:color w:val="auto"/>
                <w:sz w:val="24"/>
                <w:highlight w:val="none"/>
              </w:rPr>
              <w:t>、无线电通信</w:t>
            </w:r>
            <w:r>
              <w:rPr>
                <w:rFonts w:eastAsia="仿宋_GB2312"/>
                <w:color w:val="auto"/>
                <w:sz w:val="24"/>
                <w:highlight w:val="none"/>
              </w:rPr>
              <w:t>设备</w:t>
            </w:r>
          </w:p>
        </w:tc>
        <w:tc>
          <w:tcPr>
            <w:tcW w:w="2430" w:type="dxa"/>
            <w:vAlign w:val="center"/>
          </w:tcPr>
          <w:p w14:paraId="2539B9C7">
            <w:pPr>
              <w:shd w:val="clear"/>
              <w:spacing w:line="32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4</w:t>
            </w:r>
            <w:r>
              <w:rPr>
                <w:rFonts w:eastAsia="仿宋_GB2312"/>
                <w:color w:val="auto"/>
                <w:sz w:val="24"/>
                <w:highlight w:val="none"/>
              </w:rPr>
              <w:t>.航行类设备（</w:t>
            </w:r>
            <w:r>
              <w:rPr>
                <w:rFonts w:hint="eastAsia" w:eastAsia="仿宋_GB2312"/>
                <w:color w:val="auto"/>
                <w:sz w:val="24"/>
                <w:highlight w:val="none"/>
              </w:rPr>
              <w:t>罗经、雷达、北斗</w:t>
            </w:r>
            <w:r>
              <w:rPr>
                <w:rFonts w:eastAsia="仿宋_GB2312"/>
                <w:color w:val="auto"/>
                <w:sz w:val="24"/>
                <w:highlight w:val="none"/>
              </w:rPr>
              <w:t>）及其天线未有效安装和正常运行</w:t>
            </w:r>
            <w:r>
              <w:rPr>
                <w:rFonts w:hint="eastAsia" w:eastAsia="仿宋_GB2312"/>
                <w:color w:val="auto"/>
                <w:sz w:val="24"/>
                <w:highlight w:val="none"/>
              </w:rPr>
              <w:t>，</w:t>
            </w:r>
            <w:r>
              <w:rPr>
                <w:rFonts w:eastAsia="仿宋_GB2312"/>
                <w:color w:val="auto"/>
                <w:sz w:val="24"/>
                <w:highlight w:val="none"/>
              </w:rPr>
              <w:t>AIS设备静态信息与证书不一致，MMSI码、船名号与证书不一致，存在“一船多码”的情况</w:t>
            </w:r>
          </w:p>
        </w:tc>
        <w:tc>
          <w:tcPr>
            <w:tcW w:w="1678" w:type="dxa"/>
            <w:vAlign w:val="center"/>
          </w:tcPr>
          <w:p w14:paraId="38EC5D17">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5A5E51B0">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5D4783A2">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restart"/>
            <w:vAlign w:val="center"/>
          </w:tcPr>
          <w:p w14:paraId="0E3335F1">
            <w:pPr>
              <w:shd w:val="clear"/>
              <w:spacing w:line="320" w:lineRule="exact"/>
              <w:rPr>
                <w:rFonts w:eastAsia="仿宋_GB2312"/>
                <w:color w:val="auto"/>
                <w:sz w:val="24"/>
                <w:highlight w:val="none"/>
              </w:rPr>
            </w:pPr>
            <w:r>
              <w:rPr>
                <w:rFonts w:eastAsia="仿宋_GB2312"/>
                <w:color w:val="auto"/>
                <w:sz w:val="24"/>
                <w:highlight w:val="none"/>
              </w:rPr>
              <w:t>1.《国内海洋渔船法定检验技术规则》</w:t>
            </w:r>
          </w:p>
          <w:p w14:paraId="13CAF8F4">
            <w:pPr>
              <w:shd w:val="clear"/>
              <w:spacing w:line="320" w:lineRule="exact"/>
              <w:rPr>
                <w:rFonts w:eastAsia="仿宋_GB2312"/>
                <w:color w:val="auto"/>
                <w:sz w:val="24"/>
                <w:highlight w:val="none"/>
              </w:rPr>
            </w:pPr>
            <w:r>
              <w:rPr>
                <w:rFonts w:eastAsia="仿宋_GB2312"/>
                <w:color w:val="auto"/>
                <w:sz w:val="24"/>
                <w:highlight w:val="none"/>
              </w:rPr>
              <w:t>2.《渔业船舶重大事故隐患判定标准》</w:t>
            </w:r>
          </w:p>
        </w:tc>
        <w:tc>
          <w:tcPr>
            <w:tcW w:w="914" w:type="dxa"/>
            <w:vAlign w:val="center"/>
          </w:tcPr>
          <w:p w14:paraId="4768B12D">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1669BD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918" w:type="dxa"/>
            <w:vMerge w:val="continue"/>
            <w:vAlign w:val="center"/>
          </w:tcPr>
          <w:p w14:paraId="300FCF40">
            <w:pPr>
              <w:shd w:val="clear"/>
              <w:spacing w:line="320" w:lineRule="exact"/>
              <w:jc w:val="center"/>
              <w:rPr>
                <w:rFonts w:eastAsia="仿宋_GB2312"/>
                <w:color w:val="auto"/>
                <w:sz w:val="24"/>
                <w:highlight w:val="none"/>
              </w:rPr>
            </w:pPr>
          </w:p>
        </w:tc>
        <w:tc>
          <w:tcPr>
            <w:tcW w:w="743" w:type="dxa"/>
            <w:vMerge w:val="continue"/>
            <w:vAlign w:val="center"/>
          </w:tcPr>
          <w:p w14:paraId="5FFF9D16">
            <w:pPr>
              <w:shd w:val="clear"/>
              <w:spacing w:line="320" w:lineRule="exact"/>
              <w:jc w:val="center"/>
              <w:rPr>
                <w:rFonts w:eastAsia="仿宋_GB2312"/>
                <w:color w:val="auto"/>
                <w:sz w:val="24"/>
                <w:highlight w:val="none"/>
              </w:rPr>
            </w:pPr>
          </w:p>
        </w:tc>
        <w:tc>
          <w:tcPr>
            <w:tcW w:w="844" w:type="dxa"/>
            <w:vMerge w:val="continue"/>
            <w:vAlign w:val="center"/>
          </w:tcPr>
          <w:p w14:paraId="64442C64">
            <w:pPr>
              <w:shd w:val="clear"/>
              <w:spacing w:line="320" w:lineRule="exact"/>
              <w:jc w:val="center"/>
              <w:rPr>
                <w:rFonts w:eastAsia="仿宋_GB2312"/>
                <w:color w:val="auto"/>
                <w:sz w:val="24"/>
                <w:highlight w:val="none"/>
              </w:rPr>
            </w:pPr>
          </w:p>
        </w:tc>
        <w:tc>
          <w:tcPr>
            <w:tcW w:w="2430" w:type="dxa"/>
            <w:vAlign w:val="center"/>
          </w:tcPr>
          <w:p w14:paraId="4BE7D39B">
            <w:pPr>
              <w:shd w:val="clear"/>
              <w:spacing w:line="32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5</w:t>
            </w:r>
            <w:r>
              <w:rPr>
                <w:rFonts w:eastAsia="仿宋_GB2312"/>
                <w:color w:val="auto"/>
                <w:sz w:val="24"/>
                <w:highlight w:val="none"/>
              </w:rPr>
              <w:t>.</w:t>
            </w:r>
            <w:r>
              <w:rPr>
                <w:rFonts w:hint="eastAsia" w:eastAsia="仿宋_GB2312"/>
                <w:color w:val="auto"/>
                <w:sz w:val="24"/>
                <w:highlight w:val="none"/>
              </w:rPr>
              <w:t>信号类设备（号灯、号型、号钟、号笛）不能正常使用</w:t>
            </w:r>
          </w:p>
        </w:tc>
        <w:tc>
          <w:tcPr>
            <w:tcW w:w="1678" w:type="dxa"/>
            <w:vAlign w:val="center"/>
          </w:tcPr>
          <w:p w14:paraId="49312C4A">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03642D22">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478D2B16">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643E151A">
            <w:pPr>
              <w:shd w:val="clear"/>
              <w:spacing w:line="320" w:lineRule="exact"/>
              <w:jc w:val="center"/>
              <w:rPr>
                <w:rFonts w:eastAsia="仿宋_GB2312"/>
                <w:color w:val="auto"/>
                <w:sz w:val="24"/>
                <w:highlight w:val="none"/>
              </w:rPr>
            </w:pPr>
          </w:p>
        </w:tc>
        <w:tc>
          <w:tcPr>
            <w:tcW w:w="914" w:type="dxa"/>
            <w:vAlign w:val="center"/>
          </w:tcPr>
          <w:p w14:paraId="25B56CB6">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1DE02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18" w:type="dxa"/>
            <w:vMerge w:val="continue"/>
            <w:vAlign w:val="center"/>
          </w:tcPr>
          <w:p w14:paraId="7C9FBB4C">
            <w:pPr>
              <w:shd w:val="clear"/>
              <w:spacing w:line="320" w:lineRule="exact"/>
              <w:jc w:val="center"/>
              <w:rPr>
                <w:rFonts w:eastAsia="仿宋_GB2312"/>
                <w:color w:val="auto"/>
                <w:sz w:val="24"/>
                <w:highlight w:val="none"/>
              </w:rPr>
            </w:pPr>
          </w:p>
        </w:tc>
        <w:tc>
          <w:tcPr>
            <w:tcW w:w="743" w:type="dxa"/>
            <w:vMerge w:val="continue"/>
            <w:vAlign w:val="center"/>
          </w:tcPr>
          <w:p w14:paraId="1D956342">
            <w:pPr>
              <w:shd w:val="clear"/>
              <w:spacing w:line="320" w:lineRule="exact"/>
              <w:jc w:val="center"/>
              <w:rPr>
                <w:rFonts w:eastAsia="仿宋_GB2312"/>
                <w:color w:val="auto"/>
                <w:sz w:val="24"/>
                <w:highlight w:val="none"/>
              </w:rPr>
            </w:pPr>
          </w:p>
        </w:tc>
        <w:tc>
          <w:tcPr>
            <w:tcW w:w="844" w:type="dxa"/>
            <w:vMerge w:val="continue"/>
            <w:vAlign w:val="center"/>
          </w:tcPr>
          <w:p w14:paraId="2E771551">
            <w:pPr>
              <w:shd w:val="clear"/>
              <w:spacing w:line="320" w:lineRule="exact"/>
              <w:jc w:val="center"/>
              <w:rPr>
                <w:rFonts w:eastAsia="仿宋_GB2312"/>
                <w:color w:val="auto"/>
                <w:sz w:val="24"/>
                <w:highlight w:val="none"/>
              </w:rPr>
            </w:pPr>
          </w:p>
        </w:tc>
        <w:tc>
          <w:tcPr>
            <w:tcW w:w="2430" w:type="dxa"/>
            <w:vAlign w:val="center"/>
          </w:tcPr>
          <w:p w14:paraId="4E2FC09A">
            <w:pPr>
              <w:shd w:val="clear"/>
              <w:spacing w:line="32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6</w:t>
            </w:r>
            <w:r>
              <w:rPr>
                <w:rFonts w:eastAsia="仿宋_GB2312"/>
                <w:color w:val="auto"/>
                <w:sz w:val="24"/>
                <w:highlight w:val="none"/>
              </w:rPr>
              <w:t xml:space="preserve">. </w:t>
            </w:r>
            <w:r>
              <w:rPr>
                <w:rFonts w:hint="eastAsia" w:eastAsia="仿宋_GB2312"/>
                <w:color w:val="auto"/>
                <w:sz w:val="24"/>
                <w:highlight w:val="none"/>
              </w:rPr>
              <w:t>无线电通信设备</w:t>
            </w:r>
            <w:r>
              <w:rPr>
                <w:rFonts w:eastAsia="仿宋_GB2312"/>
                <w:color w:val="auto"/>
                <w:sz w:val="24"/>
                <w:highlight w:val="none"/>
              </w:rPr>
              <w:t>（</w:t>
            </w:r>
            <w:r>
              <w:rPr>
                <w:rFonts w:hint="eastAsia" w:eastAsia="仿宋_GB2312"/>
                <w:color w:val="auto"/>
                <w:sz w:val="24"/>
                <w:highlight w:val="none"/>
              </w:rPr>
              <w:t>NAVTEX、</w:t>
            </w:r>
            <w:r>
              <w:rPr>
                <w:rFonts w:eastAsia="仿宋_GB2312"/>
                <w:color w:val="auto"/>
                <w:sz w:val="24"/>
                <w:highlight w:val="none"/>
              </w:rPr>
              <w:t>应急无线示位标、应答器、</w:t>
            </w:r>
            <w:r>
              <w:rPr>
                <w:rFonts w:hint="eastAsia" w:eastAsia="仿宋_GB2312"/>
                <w:color w:val="auto"/>
                <w:sz w:val="24"/>
                <w:highlight w:val="none"/>
              </w:rPr>
              <w:t>中/高频、甚高频、</w:t>
            </w:r>
            <w:r>
              <w:rPr>
                <w:rFonts w:eastAsia="仿宋_GB2312"/>
                <w:color w:val="auto"/>
                <w:sz w:val="24"/>
                <w:highlight w:val="none"/>
              </w:rPr>
              <w:t>双向甚高频无线电话等）及其天线未有效安装和正常运行</w:t>
            </w:r>
          </w:p>
        </w:tc>
        <w:tc>
          <w:tcPr>
            <w:tcW w:w="1678" w:type="dxa"/>
            <w:vAlign w:val="center"/>
          </w:tcPr>
          <w:p w14:paraId="6840910B">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38AA969C">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567BF7F0">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786AEDDA">
            <w:pPr>
              <w:shd w:val="clear"/>
              <w:spacing w:line="320" w:lineRule="exact"/>
              <w:jc w:val="center"/>
              <w:rPr>
                <w:rFonts w:eastAsia="仿宋_GB2312"/>
                <w:color w:val="auto"/>
                <w:sz w:val="24"/>
                <w:highlight w:val="none"/>
              </w:rPr>
            </w:pPr>
          </w:p>
        </w:tc>
        <w:tc>
          <w:tcPr>
            <w:tcW w:w="914" w:type="dxa"/>
            <w:vAlign w:val="center"/>
          </w:tcPr>
          <w:p w14:paraId="1148A819">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11251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18" w:type="dxa"/>
            <w:vMerge w:val="continue"/>
            <w:vAlign w:val="center"/>
          </w:tcPr>
          <w:p w14:paraId="7B9433D4">
            <w:pPr>
              <w:shd w:val="clear"/>
              <w:spacing w:line="320" w:lineRule="exact"/>
              <w:jc w:val="center"/>
              <w:rPr>
                <w:rFonts w:eastAsia="仿宋_GB2312"/>
                <w:color w:val="auto"/>
                <w:sz w:val="24"/>
                <w:highlight w:val="none"/>
              </w:rPr>
            </w:pPr>
          </w:p>
        </w:tc>
        <w:tc>
          <w:tcPr>
            <w:tcW w:w="743" w:type="dxa"/>
            <w:vMerge w:val="continue"/>
            <w:vAlign w:val="center"/>
          </w:tcPr>
          <w:p w14:paraId="13626BA8">
            <w:pPr>
              <w:shd w:val="clear"/>
              <w:spacing w:line="320" w:lineRule="exact"/>
              <w:jc w:val="center"/>
              <w:rPr>
                <w:rFonts w:eastAsia="仿宋_GB2312"/>
                <w:color w:val="auto"/>
                <w:sz w:val="24"/>
                <w:highlight w:val="none"/>
              </w:rPr>
            </w:pPr>
          </w:p>
        </w:tc>
        <w:tc>
          <w:tcPr>
            <w:tcW w:w="844" w:type="dxa"/>
            <w:vMerge w:val="restart"/>
            <w:vAlign w:val="center"/>
          </w:tcPr>
          <w:p w14:paraId="3DE7A6F8">
            <w:pPr>
              <w:shd w:val="clear"/>
              <w:spacing w:line="320" w:lineRule="exact"/>
              <w:jc w:val="center"/>
              <w:rPr>
                <w:rFonts w:eastAsia="仿宋_GB2312"/>
                <w:color w:val="auto"/>
                <w:sz w:val="24"/>
                <w:highlight w:val="none"/>
              </w:rPr>
            </w:pPr>
            <w:r>
              <w:rPr>
                <w:rFonts w:eastAsia="仿宋_GB2312"/>
                <w:color w:val="auto"/>
                <w:sz w:val="24"/>
                <w:highlight w:val="none"/>
              </w:rPr>
              <w:t>用电安全</w:t>
            </w:r>
          </w:p>
        </w:tc>
        <w:tc>
          <w:tcPr>
            <w:tcW w:w="2430" w:type="dxa"/>
            <w:vAlign w:val="center"/>
          </w:tcPr>
          <w:p w14:paraId="773B1B7D">
            <w:pPr>
              <w:shd w:val="clear"/>
              <w:spacing w:line="32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7</w:t>
            </w:r>
            <w:r>
              <w:rPr>
                <w:rFonts w:eastAsia="仿宋_GB2312"/>
                <w:color w:val="auto"/>
                <w:sz w:val="24"/>
                <w:highlight w:val="none"/>
              </w:rPr>
              <w:t>.</w:t>
            </w:r>
            <w:r>
              <w:rPr>
                <w:rFonts w:hint="eastAsia"/>
                <w:color w:val="auto"/>
                <w:highlight w:val="none"/>
              </w:rPr>
              <w:t xml:space="preserve"> </w:t>
            </w:r>
            <w:r>
              <w:rPr>
                <w:rFonts w:hint="eastAsia" w:eastAsia="仿宋_GB2312"/>
                <w:color w:val="auto"/>
                <w:sz w:val="24"/>
                <w:highlight w:val="none"/>
              </w:rPr>
              <w:t>电气线路未使用绝缘保护，违规使用双绞线。</w:t>
            </w:r>
          </w:p>
        </w:tc>
        <w:tc>
          <w:tcPr>
            <w:tcW w:w="1678" w:type="dxa"/>
            <w:vAlign w:val="center"/>
          </w:tcPr>
          <w:p w14:paraId="21827A64">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3BDF171A">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1D0D8DA0">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27348C78">
            <w:pPr>
              <w:shd w:val="clear"/>
              <w:spacing w:line="320" w:lineRule="exact"/>
              <w:jc w:val="center"/>
              <w:rPr>
                <w:rFonts w:eastAsia="仿宋_GB2312"/>
                <w:color w:val="auto"/>
                <w:sz w:val="24"/>
                <w:highlight w:val="none"/>
              </w:rPr>
            </w:pPr>
          </w:p>
        </w:tc>
        <w:tc>
          <w:tcPr>
            <w:tcW w:w="914" w:type="dxa"/>
            <w:vAlign w:val="center"/>
          </w:tcPr>
          <w:p w14:paraId="2187F726">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4814EE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18" w:type="dxa"/>
            <w:vMerge w:val="continue"/>
            <w:vAlign w:val="center"/>
          </w:tcPr>
          <w:p w14:paraId="220E85AB">
            <w:pPr>
              <w:shd w:val="clear"/>
              <w:spacing w:line="320" w:lineRule="exact"/>
              <w:jc w:val="center"/>
              <w:rPr>
                <w:rFonts w:eastAsia="仿宋_GB2312"/>
                <w:color w:val="auto"/>
                <w:sz w:val="24"/>
                <w:highlight w:val="none"/>
              </w:rPr>
            </w:pPr>
          </w:p>
        </w:tc>
        <w:tc>
          <w:tcPr>
            <w:tcW w:w="743" w:type="dxa"/>
            <w:vMerge w:val="continue"/>
            <w:vAlign w:val="center"/>
          </w:tcPr>
          <w:p w14:paraId="3BA501E3">
            <w:pPr>
              <w:shd w:val="clear"/>
              <w:spacing w:line="320" w:lineRule="exact"/>
              <w:jc w:val="center"/>
              <w:rPr>
                <w:rFonts w:eastAsia="仿宋_GB2312"/>
                <w:color w:val="auto"/>
                <w:sz w:val="24"/>
                <w:highlight w:val="none"/>
              </w:rPr>
            </w:pPr>
          </w:p>
        </w:tc>
        <w:tc>
          <w:tcPr>
            <w:tcW w:w="844" w:type="dxa"/>
            <w:vMerge w:val="continue"/>
            <w:vAlign w:val="center"/>
          </w:tcPr>
          <w:p w14:paraId="18506E2F">
            <w:pPr>
              <w:shd w:val="clear"/>
              <w:spacing w:line="320" w:lineRule="exact"/>
              <w:jc w:val="center"/>
              <w:rPr>
                <w:rFonts w:eastAsia="仿宋_GB2312"/>
                <w:color w:val="auto"/>
                <w:sz w:val="24"/>
                <w:highlight w:val="none"/>
              </w:rPr>
            </w:pPr>
          </w:p>
        </w:tc>
        <w:tc>
          <w:tcPr>
            <w:tcW w:w="2430" w:type="dxa"/>
            <w:vAlign w:val="center"/>
          </w:tcPr>
          <w:p w14:paraId="1211B6EF">
            <w:pPr>
              <w:shd w:val="clear"/>
              <w:spacing w:line="32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8</w:t>
            </w:r>
            <w:r>
              <w:rPr>
                <w:rFonts w:eastAsia="仿宋_GB2312"/>
                <w:color w:val="auto"/>
                <w:sz w:val="24"/>
                <w:highlight w:val="none"/>
              </w:rPr>
              <w:t>.配电箱破损或无法保护内部开关和线路</w:t>
            </w:r>
          </w:p>
        </w:tc>
        <w:tc>
          <w:tcPr>
            <w:tcW w:w="1678" w:type="dxa"/>
            <w:vAlign w:val="center"/>
          </w:tcPr>
          <w:p w14:paraId="4548A934">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47D9673C">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0D7962C7">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0B187655">
            <w:pPr>
              <w:shd w:val="clear"/>
              <w:spacing w:line="320" w:lineRule="exact"/>
              <w:jc w:val="center"/>
              <w:rPr>
                <w:rFonts w:eastAsia="仿宋_GB2312"/>
                <w:color w:val="auto"/>
                <w:sz w:val="24"/>
                <w:highlight w:val="none"/>
              </w:rPr>
            </w:pPr>
          </w:p>
        </w:tc>
        <w:tc>
          <w:tcPr>
            <w:tcW w:w="914" w:type="dxa"/>
            <w:vAlign w:val="center"/>
          </w:tcPr>
          <w:p w14:paraId="1BEE6A52">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396C9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918" w:type="dxa"/>
            <w:vMerge w:val="restart"/>
            <w:vAlign w:val="center"/>
          </w:tcPr>
          <w:p w14:paraId="52ABB46D">
            <w:pPr>
              <w:shd w:val="clear"/>
              <w:spacing w:line="320" w:lineRule="exact"/>
              <w:jc w:val="center"/>
              <w:rPr>
                <w:rFonts w:eastAsia="仿宋_GB2312"/>
                <w:color w:val="auto"/>
                <w:sz w:val="24"/>
                <w:highlight w:val="none"/>
              </w:rPr>
            </w:pPr>
            <w:r>
              <w:rPr>
                <w:rFonts w:eastAsia="仿宋_GB2312"/>
                <w:color w:val="auto"/>
                <w:sz w:val="24"/>
                <w:highlight w:val="none"/>
              </w:rPr>
              <w:t>机械</w:t>
            </w:r>
          </w:p>
        </w:tc>
        <w:tc>
          <w:tcPr>
            <w:tcW w:w="743" w:type="dxa"/>
            <w:vMerge w:val="restart"/>
            <w:vAlign w:val="center"/>
          </w:tcPr>
          <w:p w14:paraId="49BFFCDE">
            <w:pPr>
              <w:shd w:val="clear"/>
              <w:spacing w:line="320" w:lineRule="exact"/>
              <w:jc w:val="center"/>
              <w:rPr>
                <w:rFonts w:eastAsia="仿宋_GB2312"/>
                <w:color w:val="auto"/>
                <w:sz w:val="24"/>
                <w:highlight w:val="none"/>
              </w:rPr>
            </w:pPr>
            <w:r>
              <w:rPr>
                <w:rFonts w:eastAsia="仿宋_GB2312"/>
                <w:color w:val="auto"/>
                <w:sz w:val="24"/>
                <w:highlight w:val="none"/>
              </w:rPr>
              <w:t>装备设施</w:t>
            </w:r>
          </w:p>
        </w:tc>
        <w:tc>
          <w:tcPr>
            <w:tcW w:w="844" w:type="dxa"/>
            <w:vMerge w:val="restart"/>
            <w:vAlign w:val="center"/>
          </w:tcPr>
          <w:p w14:paraId="5969ADD3">
            <w:pPr>
              <w:shd w:val="clear"/>
              <w:spacing w:line="320" w:lineRule="exact"/>
              <w:jc w:val="center"/>
              <w:rPr>
                <w:rFonts w:eastAsia="仿宋_GB2312"/>
                <w:color w:val="auto"/>
                <w:sz w:val="24"/>
                <w:highlight w:val="none"/>
              </w:rPr>
            </w:pPr>
            <w:r>
              <w:rPr>
                <w:rFonts w:eastAsia="仿宋_GB2312"/>
                <w:color w:val="auto"/>
                <w:sz w:val="24"/>
                <w:highlight w:val="none"/>
              </w:rPr>
              <w:t>机械设施</w:t>
            </w:r>
          </w:p>
        </w:tc>
        <w:tc>
          <w:tcPr>
            <w:tcW w:w="2430" w:type="dxa"/>
            <w:vAlign w:val="center"/>
          </w:tcPr>
          <w:p w14:paraId="4F8E2544">
            <w:pPr>
              <w:shd w:val="clear"/>
              <w:spacing w:line="32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9</w:t>
            </w:r>
            <w:r>
              <w:rPr>
                <w:rFonts w:eastAsia="仿宋_GB2312"/>
                <w:color w:val="auto"/>
                <w:sz w:val="24"/>
                <w:highlight w:val="none"/>
              </w:rPr>
              <w:t>.通用报警及警铃、舱底水位报警等未有效安装</w:t>
            </w:r>
          </w:p>
        </w:tc>
        <w:tc>
          <w:tcPr>
            <w:tcW w:w="1678" w:type="dxa"/>
            <w:vAlign w:val="center"/>
          </w:tcPr>
          <w:p w14:paraId="0356BB9A">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1CEF6B16">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3D0E568C">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restart"/>
            <w:vAlign w:val="center"/>
          </w:tcPr>
          <w:p w14:paraId="03D45955">
            <w:pPr>
              <w:shd w:val="clear"/>
              <w:spacing w:line="320" w:lineRule="exact"/>
              <w:rPr>
                <w:rFonts w:eastAsia="仿宋_GB2312"/>
                <w:color w:val="auto"/>
                <w:sz w:val="24"/>
                <w:highlight w:val="none"/>
              </w:rPr>
            </w:pPr>
            <w:r>
              <w:rPr>
                <w:rFonts w:eastAsia="仿宋_GB2312"/>
                <w:color w:val="auto"/>
                <w:sz w:val="24"/>
                <w:highlight w:val="none"/>
              </w:rPr>
              <w:t>《国内海洋渔船法定检验技术规则》</w:t>
            </w:r>
          </w:p>
        </w:tc>
        <w:tc>
          <w:tcPr>
            <w:tcW w:w="914" w:type="dxa"/>
            <w:vAlign w:val="center"/>
          </w:tcPr>
          <w:p w14:paraId="15306038">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50101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918" w:type="dxa"/>
            <w:vMerge w:val="continue"/>
            <w:vAlign w:val="center"/>
          </w:tcPr>
          <w:p w14:paraId="268C004F">
            <w:pPr>
              <w:shd w:val="clear"/>
              <w:spacing w:line="320" w:lineRule="exact"/>
              <w:jc w:val="center"/>
              <w:rPr>
                <w:rFonts w:eastAsia="仿宋_GB2312"/>
                <w:color w:val="auto"/>
                <w:sz w:val="24"/>
                <w:highlight w:val="none"/>
              </w:rPr>
            </w:pPr>
          </w:p>
        </w:tc>
        <w:tc>
          <w:tcPr>
            <w:tcW w:w="743" w:type="dxa"/>
            <w:vMerge w:val="continue"/>
            <w:vAlign w:val="center"/>
          </w:tcPr>
          <w:p w14:paraId="53AA8CE2">
            <w:pPr>
              <w:shd w:val="clear"/>
              <w:spacing w:line="320" w:lineRule="exact"/>
              <w:jc w:val="center"/>
              <w:rPr>
                <w:rFonts w:eastAsia="仿宋_GB2312"/>
                <w:color w:val="auto"/>
                <w:sz w:val="24"/>
                <w:highlight w:val="none"/>
              </w:rPr>
            </w:pPr>
          </w:p>
        </w:tc>
        <w:tc>
          <w:tcPr>
            <w:tcW w:w="844" w:type="dxa"/>
            <w:vMerge w:val="continue"/>
            <w:vAlign w:val="center"/>
          </w:tcPr>
          <w:p w14:paraId="4AF0A597">
            <w:pPr>
              <w:shd w:val="clear"/>
              <w:spacing w:line="320" w:lineRule="exact"/>
              <w:jc w:val="center"/>
              <w:rPr>
                <w:rFonts w:eastAsia="仿宋_GB2312"/>
                <w:color w:val="auto"/>
                <w:sz w:val="24"/>
                <w:highlight w:val="none"/>
              </w:rPr>
            </w:pPr>
          </w:p>
        </w:tc>
        <w:tc>
          <w:tcPr>
            <w:tcW w:w="2430" w:type="dxa"/>
            <w:vAlign w:val="center"/>
          </w:tcPr>
          <w:p w14:paraId="02B1BBAF">
            <w:pPr>
              <w:shd w:val="clear"/>
              <w:spacing w:line="320" w:lineRule="exact"/>
              <w:rPr>
                <w:rFonts w:eastAsia="仿宋_GB2312"/>
                <w:color w:val="auto"/>
                <w:sz w:val="24"/>
                <w:highlight w:val="none"/>
              </w:rPr>
            </w:pPr>
            <w:r>
              <w:rPr>
                <w:rFonts w:hint="eastAsia" w:eastAsia="仿宋_GB2312"/>
                <w:color w:val="auto"/>
                <w:sz w:val="24"/>
                <w:highlight w:val="none"/>
              </w:rPr>
              <w:t>20</w:t>
            </w:r>
            <w:r>
              <w:rPr>
                <w:rFonts w:eastAsia="仿宋_GB2312"/>
                <w:color w:val="auto"/>
                <w:sz w:val="24"/>
                <w:highlight w:val="none"/>
              </w:rPr>
              <w:t>.燃油速闭阀未安装或零件缺失（钢丝绳、滑轮、阀体）</w:t>
            </w:r>
          </w:p>
        </w:tc>
        <w:tc>
          <w:tcPr>
            <w:tcW w:w="1678" w:type="dxa"/>
            <w:vAlign w:val="center"/>
          </w:tcPr>
          <w:p w14:paraId="0249A530">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0E121BB4">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5F9F29E4">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79D541AE">
            <w:pPr>
              <w:shd w:val="clear"/>
              <w:spacing w:line="320" w:lineRule="exact"/>
              <w:jc w:val="center"/>
              <w:rPr>
                <w:rFonts w:eastAsia="仿宋_GB2312"/>
                <w:color w:val="auto"/>
                <w:sz w:val="24"/>
                <w:highlight w:val="none"/>
              </w:rPr>
            </w:pPr>
          </w:p>
        </w:tc>
        <w:tc>
          <w:tcPr>
            <w:tcW w:w="914" w:type="dxa"/>
            <w:vAlign w:val="center"/>
          </w:tcPr>
          <w:p w14:paraId="1D7C0BEA">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12520F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918" w:type="dxa"/>
            <w:vMerge w:val="continue"/>
            <w:vAlign w:val="center"/>
          </w:tcPr>
          <w:p w14:paraId="215D03A8">
            <w:pPr>
              <w:shd w:val="clear"/>
              <w:spacing w:line="320" w:lineRule="exact"/>
              <w:jc w:val="center"/>
              <w:rPr>
                <w:rFonts w:eastAsia="仿宋_GB2312"/>
                <w:color w:val="auto"/>
                <w:sz w:val="24"/>
                <w:highlight w:val="none"/>
              </w:rPr>
            </w:pPr>
          </w:p>
        </w:tc>
        <w:tc>
          <w:tcPr>
            <w:tcW w:w="743" w:type="dxa"/>
            <w:vMerge w:val="continue"/>
            <w:vAlign w:val="center"/>
          </w:tcPr>
          <w:p w14:paraId="23389C72">
            <w:pPr>
              <w:shd w:val="clear"/>
              <w:spacing w:line="320" w:lineRule="exact"/>
              <w:jc w:val="center"/>
              <w:rPr>
                <w:rFonts w:eastAsia="仿宋_GB2312"/>
                <w:color w:val="auto"/>
                <w:sz w:val="24"/>
                <w:highlight w:val="none"/>
              </w:rPr>
            </w:pPr>
          </w:p>
        </w:tc>
        <w:tc>
          <w:tcPr>
            <w:tcW w:w="844" w:type="dxa"/>
            <w:vMerge w:val="continue"/>
            <w:vAlign w:val="center"/>
          </w:tcPr>
          <w:p w14:paraId="18FBB178">
            <w:pPr>
              <w:shd w:val="clear"/>
              <w:spacing w:line="320" w:lineRule="exact"/>
              <w:jc w:val="center"/>
              <w:rPr>
                <w:rFonts w:eastAsia="仿宋_GB2312"/>
                <w:color w:val="auto"/>
                <w:sz w:val="24"/>
                <w:highlight w:val="none"/>
              </w:rPr>
            </w:pPr>
          </w:p>
        </w:tc>
        <w:tc>
          <w:tcPr>
            <w:tcW w:w="2430" w:type="dxa"/>
            <w:vAlign w:val="center"/>
          </w:tcPr>
          <w:p w14:paraId="66E89716">
            <w:pPr>
              <w:shd w:val="clear"/>
              <w:spacing w:line="320" w:lineRule="exact"/>
              <w:rPr>
                <w:rFonts w:eastAsia="仿宋_GB2312"/>
                <w:color w:val="auto"/>
                <w:sz w:val="24"/>
                <w:highlight w:val="none"/>
              </w:rPr>
            </w:pPr>
            <w:r>
              <w:rPr>
                <w:rFonts w:hint="eastAsia" w:eastAsia="仿宋_GB2312"/>
                <w:color w:val="auto"/>
                <w:sz w:val="24"/>
                <w:highlight w:val="none"/>
              </w:rPr>
              <w:t>21</w:t>
            </w:r>
            <w:r>
              <w:rPr>
                <w:rFonts w:eastAsia="仿宋_GB2312"/>
                <w:color w:val="auto"/>
                <w:sz w:val="24"/>
                <w:highlight w:val="none"/>
              </w:rPr>
              <w:t>.轴系密封装置存在漏油漏水</w:t>
            </w:r>
          </w:p>
        </w:tc>
        <w:tc>
          <w:tcPr>
            <w:tcW w:w="1678" w:type="dxa"/>
            <w:vAlign w:val="center"/>
          </w:tcPr>
          <w:p w14:paraId="11834087">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2B97AC18">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20445B28">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31727989">
            <w:pPr>
              <w:shd w:val="clear"/>
              <w:spacing w:line="320" w:lineRule="exact"/>
              <w:jc w:val="center"/>
              <w:rPr>
                <w:rFonts w:eastAsia="仿宋_GB2312"/>
                <w:color w:val="auto"/>
                <w:sz w:val="24"/>
                <w:highlight w:val="none"/>
              </w:rPr>
            </w:pPr>
          </w:p>
        </w:tc>
        <w:tc>
          <w:tcPr>
            <w:tcW w:w="914" w:type="dxa"/>
            <w:vAlign w:val="center"/>
          </w:tcPr>
          <w:p w14:paraId="710500C9">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510577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18" w:type="dxa"/>
            <w:vMerge w:val="continue"/>
            <w:vAlign w:val="center"/>
          </w:tcPr>
          <w:p w14:paraId="065DF4FF">
            <w:pPr>
              <w:shd w:val="clear"/>
              <w:spacing w:line="320" w:lineRule="exact"/>
              <w:jc w:val="center"/>
              <w:rPr>
                <w:rFonts w:eastAsia="仿宋_GB2312"/>
                <w:color w:val="auto"/>
                <w:sz w:val="24"/>
                <w:highlight w:val="none"/>
              </w:rPr>
            </w:pPr>
          </w:p>
        </w:tc>
        <w:tc>
          <w:tcPr>
            <w:tcW w:w="743" w:type="dxa"/>
            <w:vMerge w:val="continue"/>
            <w:vAlign w:val="center"/>
          </w:tcPr>
          <w:p w14:paraId="370F65F6">
            <w:pPr>
              <w:shd w:val="clear"/>
              <w:spacing w:line="320" w:lineRule="exact"/>
              <w:jc w:val="center"/>
              <w:rPr>
                <w:rFonts w:eastAsia="仿宋_GB2312"/>
                <w:color w:val="auto"/>
                <w:sz w:val="24"/>
                <w:highlight w:val="none"/>
              </w:rPr>
            </w:pPr>
          </w:p>
        </w:tc>
        <w:tc>
          <w:tcPr>
            <w:tcW w:w="844" w:type="dxa"/>
            <w:vMerge w:val="continue"/>
            <w:vAlign w:val="center"/>
          </w:tcPr>
          <w:p w14:paraId="327128BC">
            <w:pPr>
              <w:shd w:val="clear"/>
              <w:spacing w:line="320" w:lineRule="exact"/>
              <w:jc w:val="center"/>
              <w:rPr>
                <w:rFonts w:eastAsia="仿宋_GB2312"/>
                <w:color w:val="auto"/>
                <w:sz w:val="24"/>
                <w:highlight w:val="none"/>
              </w:rPr>
            </w:pPr>
          </w:p>
        </w:tc>
        <w:tc>
          <w:tcPr>
            <w:tcW w:w="2430" w:type="dxa"/>
            <w:vAlign w:val="center"/>
          </w:tcPr>
          <w:p w14:paraId="11A504B2">
            <w:pPr>
              <w:shd w:val="clear"/>
              <w:spacing w:line="32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2</w:t>
            </w:r>
            <w:r>
              <w:rPr>
                <w:rFonts w:eastAsia="仿宋_GB2312"/>
                <w:color w:val="auto"/>
                <w:sz w:val="24"/>
                <w:highlight w:val="none"/>
              </w:rPr>
              <w:t>.主机、辅机、舵机等设备未能正常启动</w:t>
            </w:r>
          </w:p>
        </w:tc>
        <w:tc>
          <w:tcPr>
            <w:tcW w:w="1678" w:type="dxa"/>
            <w:vAlign w:val="center"/>
          </w:tcPr>
          <w:p w14:paraId="4D5D518D">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704779FD">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5310E1F6">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37678A10">
            <w:pPr>
              <w:shd w:val="clear"/>
              <w:spacing w:line="320" w:lineRule="exact"/>
              <w:jc w:val="center"/>
              <w:rPr>
                <w:rFonts w:eastAsia="仿宋_GB2312"/>
                <w:color w:val="auto"/>
                <w:sz w:val="24"/>
                <w:highlight w:val="none"/>
              </w:rPr>
            </w:pPr>
          </w:p>
        </w:tc>
        <w:tc>
          <w:tcPr>
            <w:tcW w:w="914" w:type="dxa"/>
            <w:vAlign w:val="center"/>
          </w:tcPr>
          <w:p w14:paraId="448E7DC2">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287FC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18" w:type="dxa"/>
            <w:vMerge w:val="continue"/>
            <w:vAlign w:val="center"/>
          </w:tcPr>
          <w:p w14:paraId="3DACB34C">
            <w:pPr>
              <w:shd w:val="clear"/>
              <w:spacing w:line="320" w:lineRule="exact"/>
              <w:jc w:val="center"/>
              <w:rPr>
                <w:rFonts w:eastAsia="仿宋_GB2312"/>
                <w:color w:val="auto"/>
                <w:sz w:val="24"/>
                <w:highlight w:val="none"/>
              </w:rPr>
            </w:pPr>
          </w:p>
        </w:tc>
        <w:tc>
          <w:tcPr>
            <w:tcW w:w="743" w:type="dxa"/>
            <w:vMerge w:val="continue"/>
            <w:vAlign w:val="center"/>
          </w:tcPr>
          <w:p w14:paraId="5C88653D">
            <w:pPr>
              <w:shd w:val="clear"/>
              <w:spacing w:line="320" w:lineRule="exact"/>
              <w:jc w:val="center"/>
              <w:rPr>
                <w:rFonts w:eastAsia="仿宋_GB2312"/>
                <w:color w:val="auto"/>
                <w:sz w:val="24"/>
                <w:highlight w:val="none"/>
              </w:rPr>
            </w:pPr>
          </w:p>
        </w:tc>
        <w:tc>
          <w:tcPr>
            <w:tcW w:w="844" w:type="dxa"/>
            <w:vMerge w:val="continue"/>
            <w:vAlign w:val="center"/>
          </w:tcPr>
          <w:p w14:paraId="7629F098">
            <w:pPr>
              <w:shd w:val="clear"/>
              <w:spacing w:line="320" w:lineRule="exact"/>
              <w:jc w:val="center"/>
              <w:rPr>
                <w:rFonts w:eastAsia="仿宋_GB2312"/>
                <w:color w:val="auto"/>
                <w:sz w:val="24"/>
                <w:highlight w:val="none"/>
              </w:rPr>
            </w:pPr>
          </w:p>
        </w:tc>
        <w:tc>
          <w:tcPr>
            <w:tcW w:w="2430" w:type="dxa"/>
            <w:vAlign w:val="center"/>
          </w:tcPr>
          <w:p w14:paraId="77D7F726">
            <w:pPr>
              <w:shd w:val="clear"/>
              <w:spacing w:line="32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3</w:t>
            </w:r>
            <w:r>
              <w:rPr>
                <w:rFonts w:eastAsia="仿宋_GB2312"/>
                <w:color w:val="auto"/>
                <w:sz w:val="24"/>
                <w:highlight w:val="none"/>
              </w:rPr>
              <w:t>.排气管未包隔热材料（防火棉）</w:t>
            </w:r>
          </w:p>
        </w:tc>
        <w:tc>
          <w:tcPr>
            <w:tcW w:w="1678" w:type="dxa"/>
            <w:vAlign w:val="center"/>
          </w:tcPr>
          <w:p w14:paraId="5EEB170C">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3900F443">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6324E932">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19FE938E">
            <w:pPr>
              <w:shd w:val="clear"/>
              <w:spacing w:line="320" w:lineRule="exact"/>
              <w:jc w:val="center"/>
              <w:rPr>
                <w:rFonts w:eastAsia="仿宋_GB2312"/>
                <w:color w:val="auto"/>
                <w:sz w:val="24"/>
                <w:highlight w:val="none"/>
              </w:rPr>
            </w:pPr>
          </w:p>
        </w:tc>
        <w:tc>
          <w:tcPr>
            <w:tcW w:w="914" w:type="dxa"/>
            <w:vAlign w:val="center"/>
          </w:tcPr>
          <w:p w14:paraId="2BF0CE19">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30F0B3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18" w:type="dxa"/>
            <w:vMerge w:val="continue"/>
            <w:vAlign w:val="center"/>
          </w:tcPr>
          <w:p w14:paraId="0CBE3EE1">
            <w:pPr>
              <w:shd w:val="clear"/>
              <w:spacing w:line="320" w:lineRule="exact"/>
              <w:jc w:val="center"/>
              <w:rPr>
                <w:rFonts w:eastAsia="仿宋_GB2312"/>
                <w:color w:val="auto"/>
                <w:sz w:val="24"/>
                <w:highlight w:val="none"/>
              </w:rPr>
            </w:pPr>
          </w:p>
        </w:tc>
        <w:tc>
          <w:tcPr>
            <w:tcW w:w="743" w:type="dxa"/>
            <w:vMerge w:val="continue"/>
            <w:vAlign w:val="center"/>
          </w:tcPr>
          <w:p w14:paraId="76B7E671">
            <w:pPr>
              <w:shd w:val="clear"/>
              <w:spacing w:line="320" w:lineRule="exact"/>
              <w:jc w:val="center"/>
              <w:rPr>
                <w:rFonts w:eastAsia="仿宋_GB2312"/>
                <w:color w:val="auto"/>
                <w:sz w:val="24"/>
                <w:highlight w:val="none"/>
              </w:rPr>
            </w:pPr>
          </w:p>
        </w:tc>
        <w:tc>
          <w:tcPr>
            <w:tcW w:w="844" w:type="dxa"/>
            <w:vMerge w:val="continue"/>
            <w:vAlign w:val="center"/>
          </w:tcPr>
          <w:p w14:paraId="13501918">
            <w:pPr>
              <w:shd w:val="clear"/>
              <w:spacing w:line="320" w:lineRule="exact"/>
              <w:jc w:val="center"/>
              <w:rPr>
                <w:rFonts w:eastAsia="仿宋_GB2312"/>
                <w:color w:val="auto"/>
                <w:sz w:val="24"/>
                <w:highlight w:val="none"/>
              </w:rPr>
            </w:pPr>
          </w:p>
        </w:tc>
        <w:tc>
          <w:tcPr>
            <w:tcW w:w="2430" w:type="dxa"/>
            <w:vAlign w:val="center"/>
          </w:tcPr>
          <w:p w14:paraId="1E8ABD90">
            <w:pPr>
              <w:shd w:val="clear"/>
              <w:spacing w:line="32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4</w:t>
            </w:r>
            <w:r>
              <w:rPr>
                <w:rFonts w:eastAsia="仿宋_GB2312"/>
                <w:color w:val="auto"/>
                <w:sz w:val="24"/>
                <w:highlight w:val="none"/>
              </w:rPr>
              <w:t>.锚机、渔捞等设备未能正常启动</w:t>
            </w:r>
          </w:p>
        </w:tc>
        <w:tc>
          <w:tcPr>
            <w:tcW w:w="1678" w:type="dxa"/>
            <w:vAlign w:val="center"/>
          </w:tcPr>
          <w:p w14:paraId="5B10569A">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17C89E2E">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19B2F641">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Merge w:val="continue"/>
            <w:vAlign w:val="center"/>
          </w:tcPr>
          <w:p w14:paraId="7DE329E4">
            <w:pPr>
              <w:shd w:val="clear"/>
              <w:spacing w:line="320" w:lineRule="exact"/>
              <w:jc w:val="center"/>
              <w:rPr>
                <w:rFonts w:eastAsia="仿宋_GB2312"/>
                <w:color w:val="auto"/>
                <w:sz w:val="24"/>
                <w:highlight w:val="none"/>
              </w:rPr>
            </w:pPr>
          </w:p>
        </w:tc>
        <w:tc>
          <w:tcPr>
            <w:tcW w:w="914" w:type="dxa"/>
            <w:vAlign w:val="center"/>
          </w:tcPr>
          <w:p w14:paraId="5864D1B9">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1FB100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918" w:type="dxa"/>
            <w:vMerge w:val="restart"/>
            <w:vAlign w:val="center"/>
          </w:tcPr>
          <w:p w14:paraId="374D4695">
            <w:pPr>
              <w:shd w:val="clear"/>
              <w:spacing w:line="320" w:lineRule="exact"/>
              <w:jc w:val="center"/>
              <w:rPr>
                <w:rFonts w:eastAsia="仿宋_GB2312"/>
                <w:color w:val="auto"/>
                <w:sz w:val="24"/>
                <w:highlight w:val="none"/>
              </w:rPr>
            </w:pPr>
          </w:p>
          <w:p w14:paraId="5B5F005C">
            <w:pPr>
              <w:shd w:val="clear"/>
              <w:spacing w:line="320" w:lineRule="exact"/>
              <w:jc w:val="center"/>
              <w:rPr>
                <w:rFonts w:eastAsia="仿宋_GB2312"/>
                <w:color w:val="auto"/>
                <w:sz w:val="24"/>
                <w:highlight w:val="none"/>
              </w:rPr>
            </w:pPr>
            <w:r>
              <w:rPr>
                <w:rFonts w:eastAsia="仿宋_GB2312"/>
                <w:color w:val="auto"/>
                <w:sz w:val="24"/>
                <w:highlight w:val="none"/>
              </w:rPr>
              <w:t>管理</w:t>
            </w:r>
          </w:p>
        </w:tc>
        <w:tc>
          <w:tcPr>
            <w:tcW w:w="743" w:type="dxa"/>
            <w:vMerge w:val="restart"/>
            <w:vAlign w:val="center"/>
          </w:tcPr>
          <w:p w14:paraId="1BF790A5">
            <w:pPr>
              <w:shd w:val="clear"/>
              <w:spacing w:line="320" w:lineRule="exact"/>
              <w:jc w:val="center"/>
              <w:rPr>
                <w:rFonts w:eastAsia="仿宋_GB2312"/>
                <w:color w:val="auto"/>
                <w:sz w:val="24"/>
                <w:highlight w:val="none"/>
              </w:rPr>
            </w:pPr>
            <w:r>
              <w:rPr>
                <w:rFonts w:eastAsia="仿宋_GB2312"/>
                <w:color w:val="auto"/>
                <w:sz w:val="24"/>
                <w:highlight w:val="none"/>
              </w:rPr>
              <w:t>船舶</w:t>
            </w:r>
          </w:p>
        </w:tc>
        <w:tc>
          <w:tcPr>
            <w:tcW w:w="844" w:type="dxa"/>
            <w:vAlign w:val="center"/>
          </w:tcPr>
          <w:p w14:paraId="0E309A26">
            <w:pPr>
              <w:shd w:val="clear"/>
              <w:spacing w:line="320" w:lineRule="exact"/>
              <w:jc w:val="center"/>
              <w:rPr>
                <w:rFonts w:eastAsia="仿宋_GB2312"/>
                <w:color w:val="auto"/>
                <w:sz w:val="24"/>
                <w:highlight w:val="none"/>
              </w:rPr>
            </w:pPr>
            <w:r>
              <w:rPr>
                <w:rFonts w:eastAsia="仿宋_GB2312"/>
                <w:color w:val="auto"/>
                <w:sz w:val="24"/>
                <w:highlight w:val="none"/>
              </w:rPr>
              <w:t>安全</w:t>
            </w:r>
          </w:p>
        </w:tc>
        <w:tc>
          <w:tcPr>
            <w:tcW w:w="2430" w:type="dxa"/>
            <w:vAlign w:val="center"/>
          </w:tcPr>
          <w:p w14:paraId="4BE82907">
            <w:pPr>
              <w:shd w:val="clear"/>
              <w:spacing w:line="32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5</w:t>
            </w:r>
            <w:r>
              <w:rPr>
                <w:rFonts w:eastAsia="仿宋_GB2312"/>
                <w:color w:val="auto"/>
                <w:sz w:val="24"/>
                <w:highlight w:val="none"/>
              </w:rPr>
              <w:t>.船长24米以上渔船精密智控系统</w:t>
            </w:r>
            <w:r>
              <w:rPr>
                <w:rFonts w:hint="eastAsia" w:eastAsia="仿宋_GB2312"/>
                <w:color w:val="auto"/>
                <w:sz w:val="24"/>
                <w:highlight w:val="none"/>
              </w:rPr>
              <w:t>未</w:t>
            </w:r>
            <w:r>
              <w:rPr>
                <w:rFonts w:eastAsia="仿宋_GB2312"/>
                <w:color w:val="auto"/>
                <w:sz w:val="24"/>
                <w:highlight w:val="none"/>
              </w:rPr>
              <w:t>安装及有效使用</w:t>
            </w:r>
          </w:p>
        </w:tc>
        <w:tc>
          <w:tcPr>
            <w:tcW w:w="1678" w:type="dxa"/>
            <w:vAlign w:val="center"/>
          </w:tcPr>
          <w:p w14:paraId="32DF1764">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4B84EF90">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7EE7B2BA">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Align w:val="center"/>
          </w:tcPr>
          <w:p w14:paraId="35A8FA6E">
            <w:pPr>
              <w:shd w:val="clear"/>
              <w:spacing w:line="320" w:lineRule="exact"/>
              <w:rPr>
                <w:rFonts w:eastAsia="仿宋_GB2312"/>
                <w:color w:val="auto"/>
                <w:sz w:val="24"/>
                <w:highlight w:val="none"/>
              </w:rPr>
            </w:pPr>
            <w:r>
              <w:rPr>
                <w:rFonts w:eastAsia="仿宋_GB2312"/>
                <w:color w:val="auto"/>
                <w:sz w:val="24"/>
                <w:highlight w:val="none"/>
              </w:rPr>
              <w:t>《中华人民共和国海上交通安全法》第八条</w:t>
            </w:r>
          </w:p>
        </w:tc>
        <w:tc>
          <w:tcPr>
            <w:tcW w:w="914" w:type="dxa"/>
            <w:vAlign w:val="center"/>
          </w:tcPr>
          <w:p w14:paraId="4996EEB2">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6BA5D5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918" w:type="dxa"/>
            <w:vMerge w:val="continue"/>
            <w:vAlign w:val="center"/>
          </w:tcPr>
          <w:p w14:paraId="2EEC0A15">
            <w:pPr>
              <w:shd w:val="clear"/>
              <w:spacing w:line="320" w:lineRule="exact"/>
              <w:jc w:val="center"/>
              <w:rPr>
                <w:rFonts w:eastAsia="仿宋_GB2312"/>
                <w:color w:val="auto"/>
                <w:sz w:val="24"/>
                <w:highlight w:val="none"/>
              </w:rPr>
            </w:pPr>
          </w:p>
        </w:tc>
        <w:tc>
          <w:tcPr>
            <w:tcW w:w="743" w:type="dxa"/>
            <w:vMerge w:val="continue"/>
            <w:vAlign w:val="center"/>
          </w:tcPr>
          <w:p w14:paraId="2A98C57D">
            <w:pPr>
              <w:shd w:val="clear"/>
              <w:spacing w:line="320" w:lineRule="exact"/>
              <w:jc w:val="center"/>
              <w:rPr>
                <w:rFonts w:eastAsia="仿宋_GB2312"/>
                <w:color w:val="auto"/>
                <w:sz w:val="24"/>
                <w:highlight w:val="none"/>
              </w:rPr>
            </w:pPr>
          </w:p>
        </w:tc>
        <w:tc>
          <w:tcPr>
            <w:tcW w:w="844" w:type="dxa"/>
            <w:vAlign w:val="center"/>
          </w:tcPr>
          <w:p w14:paraId="123A905A">
            <w:pPr>
              <w:shd w:val="clear"/>
              <w:spacing w:line="320" w:lineRule="exact"/>
              <w:jc w:val="center"/>
              <w:rPr>
                <w:rFonts w:eastAsia="仿宋_GB2312"/>
                <w:color w:val="auto"/>
                <w:sz w:val="24"/>
                <w:highlight w:val="none"/>
              </w:rPr>
            </w:pPr>
            <w:r>
              <w:rPr>
                <w:rFonts w:eastAsia="仿宋_GB2312"/>
                <w:color w:val="auto"/>
                <w:sz w:val="24"/>
                <w:highlight w:val="none"/>
              </w:rPr>
              <w:t>安全</w:t>
            </w:r>
          </w:p>
        </w:tc>
        <w:tc>
          <w:tcPr>
            <w:tcW w:w="2430" w:type="dxa"/>
            <w:vAlign w:val="center"/>
          </w:tcPr>
          <w:p w14:paraId="0AB9F3D2">
            <w:pPr>
              <w:shd w:val="clear"/>
              <w:spacing w:line="320" w:lineRule="exact"/>
              <w:rPr>
                <w:rFonts w:eastAsia="仿宋_GB2312"/>
                <w:color w:val="auto"/>
                <w:sz w:val="24"/>
                <w:highlight w:val="none"/>
              </w:rPr>
            </w:pPr>
            <w:r>
              <w:rPr>
                <w:rFonts w:eastAsia="仿宋_GB2312"/>
                <w:color w:val="auto"/>
                <w:sz w:val="24"/>
                <w:highlight w:val="none"/>
              </w:rPr>
              <w:t>*</w:t>
            </w:r>
            <w:r>
              <w:rPr>
                <w:rFonts w:hint="eastAsia" w:eastAsia="仿宋_GB2312"/>
                <w:color w:val="auto"/>
                <w:sz w:val="24"/>
                <w:highlight w:val="none"/>
              </w:rPr>
              <w:t>26.擅自拆卸、关闭北斗、AIS等无线电设备，篡改信息或屏蔽信号的</w:t>
            </w:r>
          </w:p>
        </w:tc>
        <w:tc>
          <w:tcPr>
            <w:tcW w:w="1678" w:type="dxa"/>
            <w:vAlign w:val="center"/>
          </w:tcPr>
          <w:p w14:paraId="7576D2D1">
            <w:pPr>
              <w:shd w:val="clear"/>
              <w:spacing w:after="80" w:line="280" w:lineRule="exact"/>
              <w:jc w:val="center"/>
              <w:rPr>
                <w:rFonts w:eastAsia="仿宋_GB2312"/>
                <w:color w:val="auto"/>
                <w:sz w:val="24"/>
                <w:highlight w:val="none"/>
              </w:rPr>
            </w:pPr>
            <w:r>
              <w:rPr>
                <w:rFonts w:eastAsia="仿宋_GB2312"/>
                <w:color w:val="auto"/>
                <w:sz w:val="24"/>
                <w:highlight w:val="none"/>
              </w:rPr>
              <w:t>是□</w:t>
            </w:r>
          </w:p>
          <w:p w14:paraId="5F56F03B">
            <w:pPr>
              <w:shd w:val="clear"/>
              <w:spacing w:after="80" w:line="280" w:lineRule="exact"/>
              <w:jc w:val="center"/>
              <w:rPr>
                <w:rFonts w:eastAsia="仿宋_GB2312"/>
                <w:color w:val="auto"/>
                <w:sz w:val="24"/>
                <w:highlight w:val="none"/>
              </w:rPr>
            </w:pPr>
            <w:r>
              <w:rPr>
                <w:rFonts w:eastAsia="仿宋_GB2312"/>
                <w:color w:val="auto"/>
                <w:sz w:val="24"/>
                <w:highlight w:val="none"/>
              </w:rPr>
              <w:t>否□</w:t>
            </w:r>
          </w:p>
          <w:p w14:paraId="024E319F">
            <w:pPr>
              <w:shd w:val="clear"/>
              <w:spacing w:after="80" w:line="280" w:lineRule="exact"/>
              <w:jc w:val="center"/>
              <w:rPr>
                <w:rFonts w:eastAsia="仿宋_GB2312"/>
                <w:color w:val="auto"/>
                <w:sz w:val="24"/>
                <w:highlight w:val="none"/>
              </w:rPr>
            </w:pPr>
            <w:r>
              <w:rPr>
                <w:rFonts w:hint="eastAsia" w:eastAsia="仿宋_GB2312"/>
                <w:color w:val="auto"/>
                <w:sz w:val="24"/>
                <w:highlight w:val="none"/>
              </w:rPr>
              <w:t>不涉及</w:t>
            </w:r>
            <w:r>
              <w:rPr>
                <w:rFonts w:eastAsia="仿宋_GB2312"/>
                <w:color w:val="auto"/>
                <w:sz w:val="24"/>
                <w:highlight w:val="none"/>
              </w:rPr>
              <w:t>□</w:t>
            </w:r>
          </w:p>
        </w:tc>
        <w:tc>
          <w:tcPr>
            <w:tcW w:w="1424" w:type="dxa"/>
            <w:vAlign w:val="center"/>
          </w:tcPr>
          <w:p w14:paraId="362506BE">
            <w:pPr>
              <w:shd w:val="clear"/>
              <w:spacing w:line="320" w:lineRule="exact"/>
              <w:rPr>
                <w:rFonts w:eastAsia="仿宋_GB2312"/>
                <w:color w:val="auto"/>
                <w:sz w:val="24"/>
                <w:highlight w:val="none"/>
              </w:rPr>
            </w:pPr>
            <w:r>
              <w:rPr>
                <w:rFonts w:eastAsia="仿宋_GB2312"/>
                <w:color w:val="auto"/>
                <w:sz w:val="24"/>
                <w:highlight w:val="none"/>
              </w:rPr>
              <w:t>1.《国内海洋渔船法定检验技术规则》</w:t>
            </w:r>
          </w:p>
          <w:p w14:paraId="77C078F1">
            <w:pPr>
              <w:shd w:val="clear"/>
              <w:spacing w:line="320" w:lineRule="exact"/>
              <w:rPr>
                <w:rFonts w:eastAsia="仿宋_GB2312"/>
                <w:color w:val="auto"/>
                <w:sz w:val="24"/>
                <w:highlight w:val="none"/>
              </w:rPr>
            </w:pPr>
            <w:r>
              <w:rPr>
                <w:rFonts w:eastAsia="仿宋_GB2312"/>
                <w:color w:val="auto"/>
                <w:sz w:val="24"/>
                <w:highlight w:val="none"/>
              </w:rPr>
              <w:t>2.《渔业船舶重大事故隐患判定标准》</w:t>
            </w:r>
          </w:p>
        </w:tc>
        <w:tc>
          <w:tcPr>
            <w:tcW w:w="914" w:type="dxa"/>
            <w:vAlign w:val="center"/>
          </w:tcPr>
          <w:p w14:paraId="52A52471">
            <w:pPr>
              <w:shd w:val="clear"/>
              <w:spacing w:line="320" w:lineRule="exact"/>
              <w:jc w:val="center"/>
              <w:rPr>
                <w:rFonts w:eastAsia="仿宋_GB2312"/>
                <w:color w:val="auto"/>
                <w:sz w:val="24"/>
                <w:highlight w:val="none"/>
              </w:rPr>
            </w:pPr>
            <w:r>
              <w:rPr>
                <w:rFonts w:eastAsia="仿宋_GB2312"/>
                <w:color w:val="auto"/>
                <w:sz w:val="24"/>
                <w:highlight w:val="none"/>
              </w:rPr>
              <w:t>现场检查</w:t>
            </w:r>
          </w:p>
        </w:tc>
      </w:tr>
      <w:tr w14:paraId="0647D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951" w:type="dxa"/>
            <w:gridSpan w:val="7"/>
            <w:vAlign w:val="center"/>
          </w:tcPr>
          <w:p w14:paraId="015A92F7">
            <w:pPr>
              <w:shd w:val="clear"/>
              <w:spacing w:line="320" w:lineRule="exact"/>
              <w:textAlignment w:val="center"/>
              <w:rPr>
                <w:color w:val="auto"/>
                <w:sz w:val="24"/>
                <w:highlight w:val="none"/>
              </w:rPr>
            </w:pPr>
            <w:r>
              <w:rPr>
                <w:rFonts w:eastAsia="仿宋_GB2312"/>
                <w:color w:val="auto"/>
                <w:sz w:val="24"/>
                <w:highlight w:val="none"/>
                <w:lang w:bidi="ar"/>
              </w:rPr>
              <w:t>备注：</w:t>
            </w:r>
            <w:r>
              <w:rPr>
                <w:rFonts w:eastAsia="仿宋_GB2312"/>
                <w:color w:val="auto"/>
                <w:sz w:val="24"/>
                <w:highlight w:val="none"/>
              </w:rPr>
              <w:t>1.隐患描述按照正向描述，即检查结果“是”为存在隐患，“否”为不存在，“不涉及”即不存在</w:t>
            </w:r>
            <w:r>
              <w:rPr>
                <w:rFonts w:hint="eastAsia" w:eastAsia="仿宋_GB2312"/>
                <w:color w:val="auto"/>
                <w:sz w:val="24"/>
                <w:highlight w:val="none"/>
              </w:rPr>
              <w:t>或不适用</w:t>
            </w:r>
            <w:r>
              <w:rPr>
                <w:rFonts w:eastAsia="仿宋_GB2312"/>
                <w:color w:val="auto"/>
                <w:sz w:val="24"/>
                <w:highlight w:val="none"/>
              </w:rPr>
              <w:t>该项内容；2.加★代表重点问题，加*代表满足两项为重大隐患。</w:t>
            </w:r>
          </w:p>
        </w:tc>
      </w:tr>
    </w:tbl>
    <w:p w14:paraId="24813FDD">
      <w:pPr>
        <w:shd w:val="clear"/>
        <w:spacing w:line="312" w:lineRule="auto"/>
        <w:ind w:firstLine="480" w:firstLineChars="200"/>
        <w:rPr>
          <w:rFonts w:ascii="宋体" w:hAnsi="宋体" w:cs="宋体"/>
          <w:b/>
          <w:color w:val="auto"/>
          <w:sz w:val="24"/>
          <w:highlight w:val="none"/>
        </w:rPr>
      </w:pPr>
      <w:r>
        <w:rPr>
          <w:rFonts w:hint="eastAsia" w:ascii="宋体" w:hAnsi="宋体" w:cs="宋体"/>
          <w:bCs/>
          <w:color w:val="auto"/>
          <w:sz w:val="24"/>
          <w:highlight w:val="none"/>
        </w:rPr>
        <w:t>注：采购人有权根据实际情况对检查内容进行调整，中标人需无条件执行</w:t>
      </w:r>
      <w:r>
        <w:rPr>
          <w:rFonts w:hint="eastAsia" w:ascii="宋体" w:hAnsi="宋体" w:cs="宋体"/>
          <w:b/>
          <w:color w:val="auto"/>
          <w:sz w:val="24"/>
          <w:highlight w:val="none"/>
        </w:rPr>
        <w:t>。</w:t>
      </w:r>
    </w:p>
    <w:p w14:paraId="5AE8DB83">
      <w:pPr>
        <w:shd w:val="clear"/>
        <w:spacing w:line="312"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四、检查安排</w:t>
      </w:r>
    </w:p>
    <w:p w14:paraId="7CD602E5">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4.1 中标后15天内，向采购人提交《渔船隐患普查工作实施方案》。</w:t>
      </w:r>
    </w:p>
    <w:p w14:paraId="74BEAD2D">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4.2现场检查结束后1周内，向被检查方转达书面整改技术指导方案，针对发现的问题对被检查方进行通报讲评。</w:t>
      </w:r>
    </w:p>
    <w:p w14:paraId="203AA11F">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4.3针对检查出的问题，逐家复查。直至隐患整改完毕，拒不整改的除外（须上报莼湖街道）。</w:t>
      </w:r>
    </w:p>
    <w:p w14:paraId="303FF6CB">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4.4本次服务项目结束2周内，提交被检渔船综合检查报告清单；并对本次综合检查进行总结报告，对存在的重点问题和共性问题进行汇总和分析。</w:t>
      </w:r>
    </w:p>
    <w:p w14:paraId="1BCF5012">
      <w:pPr>
        <w:shd w:val="clear"/>
        <w:spacing w:line="312"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五、人员配置基本要求</w:t>
      </w:r>
    </w:p>
    <w:p w14:paraId="0982CFA8">
      <w:pPr>
        <w:pStyle w:val="8"/>
        <w:shd w:val="clear"/>
        <w:ind w:firstLine="240"/>
        <w:rPr>
          <w:color w:val="auto"/>
          <w:highlight w:val="none"/>
        </w:rPr>
      </w:pPr>
      <w:r>
        <w:rPr>
          <w:rFonts w:hint="eastAsia" w:hAnsi="宋体" w:cs="宋体"/>
          <w:color w:val="auto"/>
          <w:szCs w:val="24"/>
          <w:highlight w:val="none"/>
        </w:rPr>
        <w:t>5.1本项目小组需配备人员不少于</w:t>
      </w:r>
      <w:r>
        <w:rPr>
          <w:rFonts w:hint="eastAsia" w:hAnsi="宋体" w:cs="宋体"/>
          <w:color w:val="auto"/>
          <w:szCs w:val="24"/>
          <w:highlight w:val="none"/>
          <w:lang w:val="en-US"/>
        </w:rPr>
        <w:t>9</w:t>
      </w:r>
      <w:r>
        <w:rPr>
          <w:rFonts w:hint="eastAsia" w:hAnsi="宋体" w:cs="宋体"/>
          <w:color w:val="auto"/>
          <w:szCs w:val="24"/>
          <w:highlight w:val="none"/>
        </w:rPr>
        <w:t>名；项目负责人1名，技术负责人1名，资料员1名，具有中国海事局或国家交通部颁发的</w:t>
      </w:r>
      <w:r>
        <w:rPr>
          <w:rFonts w:hint="eastAsia" w:hAnsi="宋体" w:cs="宋体"/>
          <w:color w:val="auto"/>
          <w:szCs w:val="24"/>
          <w:highlight w:val="none"/>
          <w:lang w:val="en-US"/>
        </w:rPr>
        <w:t>验船师资质证书</w:t>
      </w:r>
      <w:r>
        <w:rPr>
          <w:rFonts w:hint="eastAsia" w:hAnsi="宋体" w:cs="宋体"/>
          <w:color w:val="auto"/>
          <w:szCs w:val="24"/>
          <w:highlight w:val="none"/>
        </w:rPr>
        <w:t>专业安全服务技术人员不少于</w:t>
      </w:r>
      <w:r>
        <w:rPr>
          <w:rFonts w:hint="eastAsia" w:hAnsi="宋体" w:cs="宋体"/>
          <w:color w:val="auto"/>
          <w:szCs w:val="24"/>
          <w:highlight w:val="none"/>
          <w:lang w:val="en-US"/>
        </w:rPr>
        <w:t>6</w:t>
      </w:r>
      <w:r>
        <w:rPr>
          <w:rFonts w:hint="eastAsia" w:hAnsi="宋体" w:cs="宋体"/>
          <w:color w:val="auto"/>
          <w:szCs w:val="24"/>
          <w:highlight w:val="none"/>
        </w:rPr>
        <w:t>名，日常2名现场常驻人员（</w:t>
      </w:r>
      <w:r>
        <w:rPr>
          <w:rFonts w:hint="eastAsia" w:hAnsi="宋体" w:cs="宋体"/>
          <w:color w:val="auto"/>
          <w:szCs w:val="24"/>
          <w:highlight w:val="none"/>
          <w:lang w:val="en-US" w:eastAsia="zh-CN"/>
        </w:rPr>
        <w:t>投标文件中提供</w:t>
      </w:r>
      <w:r>
        <w:rPr>
          <w:rFonts w:hint="eastAsia" w:ascii="宋体" w:hAnsi="宋体" w:eastAsia="宋体" w:cs="宋体"/>
          <w:color w:val="auto"/>
          <w:sz w:val="24"/>
          <w:szCs w:val="24"/>
          <w:highlight w:val="none"/>
        </w:rPr>
        <w:t>2025年04月或05月社保缴纳证明复印件</w:t>
      </w:r>
      <w:r>
        <w:rPr>
          <w:rFonts w:hint="eastAsia" w:hAnsi="宋体" w:cs="宋体"/>
          <w:color w:val="auto"/>
          <w:szCs w:val="24"/>
          <w:highlight w:val="none"/>
        </w:rPr>
        <w:t>）。未经采购人许可，人员不得随意更换。（人员数量配置为最基本配置，投标人可根据项目实际情况适当增加，</w:t>
      </w:r>
      <w:r>
        <w:rPr>
          <w:rFonts w:hint="eastAsia" w:hAnsi="宋体" w:cs="宋体"/>
          <w:color w:val="auto"/>
          <w:szCs w:val="24"/>
          <w:highlight w:val="none"/>
          <w:lang w:val="en-US"/>
        </w:rPr>
        <w:t>中标后须为服务人员购买</w:t>
      </w:r>
      <w:r>
        <w:rPr>
          <w:rFonts w:hint="eastAsia" w:hAnsi="宋体" w:cs="宋体"/>
          <w:color w:val="auto"/>
          <w:szCs w:val="24"/>
          <w:highlight w:val="none"/>
        </w:rPr>
        <w:t>人身意外保险、保额不低于100万</w:t>
      </w:r>
      <w:r>
        <w:rPr>
          <w:rFonts w:hint="eastAsia" w:hAnsi="宋体" w:cs="宋体"/>
          <w:color w:val="auto"/>
          <w:szCs w:val="24"/>
          <w:highlight w:val="none"/>
          <w:lang w:val="en-US"/>
        </w:rPr>
        <w:t>元</w:t>
      </w:r>
      <w:r>
        <w:rPr>
          <w:rFonts w:hint="eastAsia" w:hAnsi="宋体" w:cs="宋体"/>
          <w:color w:val="auto"/>
          <w:szCs w:val="24"/>
          <w:highlight w:val="none"/>
        </w:rPr>
        <w:t>）</w:t>
      </w:r>
    </w:p>
    <w:p w14:paraId="37630260">
      <w:pPr>
        <w:shd w:val="clear"/>
        <w:spacing w:line="312"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六、常驻人员要求</w:t>
      </w:r>
    </w:p>
    <w:p w14:paraId="0BFF98D8">
      <w:pPr>
        <w:pStyle w:val="7"/>
        <w:shd w:val="clear"/>
        <w:ind w:firstLine="480" w:firstLineChars="200"/>
        <w:rPr>
          <w:rFonts w:hAnsi="宋体" w:cs="宋体"/>
          <w:color w:val="auto"/>
          <w:szCs w:val="24"/>
          <w:highlight w:val="none"/>
        </w:rPr>
      </w:pPr>
      <w:r>
        <w:rPr>
          <w:rFonts w:hint="eastAsia" w:hAnsi="宋体" w:cs="宋体"/>
          <w:color w:val="auto"/>
          <w:szCs w:val="24"/>
          <w:highlight w:val="none"/>
        </w:rPr>
        <w:t>6.1投标人</w:t>
      </w:r>
      <w:r>
        <w:rPr>
          <w:rFonts w:hint="eastAsia" w:hAnsi="宋体" w:cs="宋体"/>
          <w:color w:val="auto"/>
          <w:szCs w:val="24"/>
          <w:highlight w:val="none"/>
          <w:lang w:val="en-US"/>
        </w:rPr>
        <w:t>在中标后一周内需</w:t>
      </w:r>
      <w:r>
        <w:rPr>
          <w:rFonts w:hint="eastAsia" w:hAnsi="宋体" w:cs="宋体"/>
          <w:color w:val="auto"/>
          <w:szCs w:val="24"/>
          <w:highlight w:val="none"/>
        </w:rPr>
        <w:t>在</w:t>
      </w:r>
      <w:r>
        <w:rPr>
          <w:rFonts w:hint="eastAsia" w:hAnsi="宋体" w:cs="宋体"/>
          <w:color w:val="auto"/>
          <w:szCs w:val="24"/>
          <w:highlight w:val="none"/>
          <w:lang w:val="en-US"/>
        </w:rPr>
        <w:t>渔船停靠码头周边设立及应急服务点，并配备不少于2名以上服务人员提供7×24小时服务，由此产生的办公场所</w:t>
      </w:r>
      <w:r>
        <w:rPr>
          <w:rFonts w:hint="eastAsia" w:hAnsi="宋体" w:cs="宋体"/>
          <w:color w:val="auto"/>
          <w:szCs w:val="24"/>
          <w:highlight w:val="none"/>
        </w:rPr>
        <w:t>及办公设施等所有费用由中标人自行负责。</w:t>
      </w:r>
    </w:p>
    <w:p w14:paraId="7D6CB73C">
      <w:pPr>
        <w:pStyle w:val="7"/>
        <w:shd w:val="clear"/>
        <w:ind w:firstLine="480" w:firstLineChars="200"/>
        <w:rPr>
          <w:rFonts w:hAnsi="宋体" w:cs="宋体"/>
          <w:color w:val="auto"/>
          <w:szCs w:val="24"/>
          <w:highlight w:val="none"/>
        </w:rPr>
      </w:pPr>
      <w:r>
        <w:rPr>
          <w:rFonts w:hint="eastAsia" w:hAnsi="宋体" w:cs="宋体"/>
          <w:color w:val="auto"/>
          <w:szCs w:val="24"/>
          <w:highlight w:val="none"/>
        </w:rPr>
        <w:t>6.2工作内容（常年不定时）</w:t>
      </w:r>
    </w:p>
    <w:p w14:paraId="1CABE90E">
      <w:pPr>
        <w:pStyle w:val="7"/>
        <w:shd w:val="clear"/>
        <w:ind w:firstLine="480" w:firstLineChars="200"/>
        <w:rPr>
          <w:rFonts w:hAnsi="宋体" w:cs="宋体"/>
          <w:color w:val="auto"/>
          <w:szCs w:val="24"/>
          <w:highlight w:val="none"/>
        </w:rPr>
      </w:pPr>
      <w:r>
        <w:rPr>
          <w:rFonts w:hint="eastAsia" w:hAnsi="宋体" w:cs="宋体"/>
          <w:color w:val="auto"/>
          <w:szCs w:val="24"/>
          <w:highlight w:val="none"/>
        </w:rPr>
        <w:t>（1）协助采购人做好报表台账和汇报资料。</w:t>
      </w:r>
    </w:p>
    <w:p w14:paraId="05AD0F7F">
      <w:pPr>
        <w:pStyle w:val="7"/>
        <w:shd w:val="clear"/>
        <w:ind w:firstLine="480" w:firstLineChars="200"/>
        <w:rPr>
          <w:rFonts w:hAnsi="宋体" w:cs="宋体"/>
          <w:color w:val="auto"/>
          <w:szCs w:val="24"/>
          <w:highlight w:val="none"/>
        </w:rPr>
      </w:pPr>
      <w:r>
        <w:rPr>
          <w:rFonts w:hint="eastAsia" w:hAnsi="宋体" w:cs="宋体"/>
          <w:color w:val="auto"/>
          <w:szCs w:val="24"/>
          <w:highlight w:val="none"/>
        </w:rPr>
        <w:t>（2）协助采购人起草有关管理制度和考核办法。</w:t>
      </w:r>
    </w:p>
    <w:p w14:paraId="2585C055">
      <w:pPr>
        <w:pStyle w:val="7"/>
        <w:shd w:val="clear"/>
        <w:ind w:firstLine="480" w:firstLineChars="200"/>
        <w:rPr>
          <w:rFonts w:hAnsi="宋体" w:cs="宋体"/>
          <w:color w:val="auto"/>
          <w:szCs w:val="24"/>
          <w:highlight w:val="none"/>
        </w:rPr>
      </w:pPr>
      <w:r>
        <w:rPr>
          <w:rFonts w:hint="eastAsia" w:hAnsi="宋体" w:cs="宋体"/>
          <w:color w:val="auto"/>
          <w:szCs w:val="24"/>
          <w:highlight w:val="none"/>
        </w:rPr>
        <w:t>（3）协助采购人迎接上级部门检查及交流。</w:t>
      </w:r>
    </w:p>
    <w:p w14:paraId="00DD8931">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6.3如有应急及特殊情况，需按采购人要求无条件做好应急服务及相关配合工作。</w:t>
      </w:r>
    </w:p>
    <w:p w14:paraId="72210EFC">
      <w:pPr>
        <w:shd w:val="clear"/>
        <w:spacing w:line="312"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七、阶段性工作要求</w:t>
      </w:r>
    </w:p>
    <w:p w14:paraId="5837553D">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7.1 初查阶段工作要求</w:t>
      </w:r>
    </w:p>
    <w:p w14:paraId="3CCD2FA6">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（1）正式初查前三天，须与到港渔船联系人进行检查预约；</w:t>
      </w:r>
    </w:p>
    <w:p w14:paraId="1FAB1468">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（2）现场发现一般隐患、应指导“即查即改”，发现严重隐患、应代采购人下达“限期整改通知单”、并最晚与次日下班时将整改单意见汇总给采购人。</w:t>
      </w:r>
    </w:p>
    <w:p w14:paraId="6F693DCD">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（3）现场发现渔船存在重大违法行为且符合执法要求的，首先应固定证据，其次应立即通知业主方和执法方、交由有关部门执法。</w:t>
      </w:r>
    </w:p>
    <w:p w14:paraId="77D44F87">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（4）完成现场检查后，应督促船上人员在检查表单或整改单上签字确认，并告知复查时间段和“如未整改将面临行政执法”等事项。</w:t>
      </w:r>
    </w:p>
    <w:p w14:paraId="411B717F">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（5）定期进行安全隐患问题统计和分析，探讨动态管控新举措。</w:t>
      </w:r>
    </w:p>
    <w:p w14:paraId="2E67109A">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（6）按照“一船一报告”方式，编制每条渔船的初查报告。</w:t>
      </w:r>
    </w:p>
    <w:p w14:paraId="5533574B">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7.2 复查阶段工作要求</w:t>
      </w:r>
    </w:p>
    <w:p w14:paraId="21395575">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（1）复查阶段须对全部渔船进行第二次全面检查，同时重点对初查发现的问题进行闭环检查。</w:t>
      </w:r>
    </w:p>
    <w:p w14:paraId="276A9765">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（2）对初查发现问题的闭环检查，应按照“逐条核对、物证审查、逐条销号”的方式进行检查，如还未进行整改的、在取证后，应告知业主方、移交有关部门执法。</w:t>
      </w:r>
    </w:p>
    <w:p w14:paraId="23EB2BA9">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（3）在复查现场新发现的问题，应督促和指导船上人员整改，并要求船上人员在检查表单或整改单上签字确认。</w:t>
      </w:r>
    </w:p>
    <w:p w14:paraId="1778DACD">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（4）建立安全隐患数据库，提出分类分层管理建议。</w:t>
      </w:r>
    </w:p>
    <w:p w14:paraId="3544ABB9">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（5）按照“一船一报告”方式，编制每条渔船的复查报告。</w:t>
      </w:r>
    </w:p>
    <w:p w14:paraId="091C9380">
      <w:pPr>
        <w:shd w:val="clear"/>
        <w:spacing w:line="312"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八、服务成果要求</w:t>
      </w:r>
    </w:p>
    <w:p w14:paraId="50B6052E">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（1）渔船隐患排查表、渔船安全隐患整改通知单；</w:t>
      </w:r>
    </w:p>
    <w:p w14:paraId="3A1768F2">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（2）渔船初检报告/渔船复检报告；</w:t>
      </w:r>
    </w:p>
    <w:p w14:paraId="754F50C0">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（3）渔船隐患变化趋势研判报告；</w:t>
      </w:r>
    </w:p>
    <w:p w14:paraId="0575901D">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（4）年度总结报告；</w:t>
      </w:r>
    </w:p>
    <w:p w14:paraId="7460622B">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（5) 其他采购人要求的现场单项服务的总结报告等。</w:t>
      </w:r>
    </w:p>
    <w:p w14:paraId="1587FC8B">
      <w:pPr>
        <w:pStyle w:val="50"/>
        <w:shd w:val="clear"/>
        <w:spacing w:after="0" w:line="360" w:lineRule="auto"/>
        <w:rPr>
          <w:rFonts w:ascii="Calibri" w:hAnsi="Calibri"/>
          <w:b/>
          <w:bCs/>
          <w:color w:val="auto"/>
          <w:sz w:val="24"/>
          <w:szCs w:val="24"/>
          <w:highlight w:val="none"/>
        </w:rPr>
      </w:pPr>
      <w:r>
        <w:rPr>
          <w:rFonts w:hint="eastAsia" w:ascii="Calibri" w:hAnsi="Calibri"/>
          <w:b/>
          <w:bCs/>
          <w:color w:val="auto"/>
          <w:sz w:val="24"/>
          <w:szCs w:val="24"/>
          <w:highlight w:val="none"/>
        </w:rPr>
        <w:t>▲</w:t>
      </w:r>
      <w:r>
        <w:rPr>
          <w:rFonts w:hint="eastAsia"/>
          <w:b/>
          <w:bCs/>
          <w:color w:val="auto"/>
          <w:sz w:val="24"/>
          <w:szCs w:val="24"/>
          <w:highlight w:val="none"/>
        </w:rPr>
        <w:t>九</w:t>
      </w:r>
      <w:r>
        <w:rPr>
          <w:rFonts w:hint="eastAsia" w:ascii="Calibri" w:hAnsi="Calibri"/>
          <w:b/>
          <w:bCs/>
          <w:color w:val="auto"/>
          <w:sz w:val="24"/>
          <w:szCs w:val="24"/>
          <w:highlight w:val="none"/>
        </w:rPr>
        <w:t>、特别说明</w:t>
      </w:r>
    </w:p>
    <w:p w14:paraId="4D6311FD">
      <w:pPr>
        <w:pStyle w:val="50"/>
        <w:shd w:val="clear"/>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需对以上服务内容（一、总体要求，二、检查频次和工作要求，三、现场检查工作内容，四、检查安排，五、人员配置基本要求，六、常驻人员要求，七、阶段性工作要求，八、服务成果要求。）完全响应，不得有负偏离，否则作无效投标处理。</w:t>
      </w:r>
    </w:p>
    <w:p w14:paraId="733E633E">
      <w:pPr>
        <w:pStyle w:val="50"/>
        <w:shd w:val="clear"/>
        <w:spacing w:after="0" w:line="360" w:lineRule="auto"/>
        <w:rPr>
          <w:rFonts w:ascii="Calibri" w:hAnsi="Calibri"/>
          <w:b/>
          <w:bCs/>
          <w:color w:val="auto"/>
          <w:sz w:val="24"/>
          <w:szCs w:val="24"/>
          <w:highlight w:val="none"/>
        </w:rPr>
      </w:pPr>
      <w:r>
        <w:rPr>
          <w:rFonts w:hint="eastAsia" w:ascii="Calibri" w:hAnsi="Calibri"/>
          <w:b/>
          <w:bCs/>
          <w:color w:val="auto"/>
          <w:sz w:val="24"/>
          <w:szCs w:val="24"/>
          <w:highlight w:val="none"/>
        </w:rPr>
        <w:t>十、商务要求</w:t>
      </w:r>
    </w:p>
    <w:tbl>
      <w:tblPr>
        <w:tblStyle w:val="18"/>
        <w:tblW w:w="0" w:type="auto"/>
        <w:tblInd w:w="0" w:type="dxa"/>
        <w:tblLayout w:type="fixed"/>
        <w:tblCellMar>
          <w:top w:w="0" w:type="dxa"/>
          <w:left w:w="108" w:type="dxa"/>
          <w:bottom w:w="0" w:type="dxa"/>
          <w:right w:w="108" w:type="dxa"/>
        </w:tblCellMar>
      </w:tblPr>
      <w:tblGrid>
        <w:gridCol w:w="1936"/>
        <w:gridCol w:w="7186"/>
      </w:tblGrid>
      <w:tr w14:paraId="7EA12A0E">
        <w:tblPrEx>
          <w:tblCellMar>
            <w:top w:w="0" w:type="dxa"/>
            <w:left w:w="108" w:type="dxa"/>
            <w:bottom w:w="0" w:type="dxa"/>
            <w:right w:w="108" w:type="dxa"/>
          </w:tblCellMar>
        </w:tblPrEx>
        <w:trPr>
          <w:trHeight w:val="747"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6715A343">
            <w:pPr>
              <w:shd w:val="clear"/>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w:t>
            </w:r>
          </w:p>
        </w:tc>
        <w:tc>
          <w:tcPr>
            <w:tcW w:w="7186" w:type="dxa"/>
            <w:tcBorders>
              <w:top w:val="single" w:color="000000" w:sz="4" w:space="0"/>
              <w:left w:val="single" w:color="000000" w:sz="4" w:space="0"/>
              <w:bottom w:val="single" w:color="000000" w:sz="4" w:space="0"/>
              <w:right w:val="single" w:color="000000" w:sz="4" w:space="0"/>
            </w:tcBorders>
            <w:vAlign w:val="center"/>
          </w:tcPr>
          <w:p w14:paraId="634B9DAF">
            <w:pPr>
              <w:shd w:val="clear"/>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要 求</w:t>
            </w:r>
          </w:p>
        </w:tc>
      </w:tr>
      <w:tr w14:paraId="3498C439">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7E488469">
            <w:pPr>
              <w:shd w:val="clear"/>
              <w:tabs>
                <w:tab w:val="left" w:pos="0"/>
              </w:tabs>
              <w:adjustRightInd w:val="0"/>
              <w:snapToGrid w:val="0"/>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投标报价</w:t>
            </w:r>
          </w:p>
        </w:tc>
        <w:tc>
          <w:tcPr>
            <w:tcW w:w="7186" w:type="dxa"/>
            <w:tcBorders>
              <w:top w:val="single" w:color="000000" w:sz="4" w:space="0"/>
              <w:left w:val="single" w:color="000000" w:sz="4" w:space="0"/>
              <w:bottom w:val="single" w:color="000000" w:sz="4" w:space="0"/>
              <w:right w:val="single" w:color="000000" w:sz="4" w:space="0"/>
            </w:tcBorders>
            <w:vAlign w:val="center"/>
          </w:tcPr>
          <w:p w14:paraId="07DAFC04">
            <w:pPr>
              <w:pStyle w:val="2"/>
              <w:shd w:val="clear"/>
              <w:ind w:firstLine="0" w:firstLineChars="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（1）投标报价是履行合同的最终价格，包含购买服务需交纳的所有税费及其他一切相关费用，投标人少报或漏报的工作量，采购人将视为已包含在投标总价中，并不予调整。</w:t>
            </w:r>
          </w:p>
          <w:p w14:paraId="7F33618A">
            <w:pPr>
              <w:pStyle w:val="2"/>
              <w:shd w:val="clear"/>
              <w:ind w:firstLine="0" w:firstLineChars="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（2）投标文件只允许有一个报价，有选择的或有条件的报价将不予接受。</w:t>
            </w:r>
          </w:p>
          <w:p w14:paraId="496CB0D9">
            <w:pPr>
              <w:pStyle w:val="2"/>
              <w:shd w:val="clear"/>
              <w:ind w:firstLine="0" w:firstLineChars="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（3）电子交易平台客户端里开标一览表录入的投标报价和优惠率与扫描上传的报价文件不一致的，以扫描上传的报价文件为准。</w:t>
            </w:r>
          </w:p>
        </w:tc>
      </w:tr>
      <w:tr w14:paraId="04D903B4">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52532C8D">
            <w:pPr>
              <w:shd w:val="clear"/>
              <w:tabs>
                <w:tab w:val="left" w:pos="0"/>
              </w:tabs>
              <w:adjustRightInd w:val="0"/>
              <w:snapToGrid w:val="0"/>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付款条件</w:t>
            </w:r>
          </w:p>
        </w:tc>
        <w:tc>
          <w:tcPr>
            <w:tcW w:w="7186" w:type="dxa"/>
            <w:tcBorders>
              <w:top w:val="single" w:color="000000" w:sz="4" w:space="0"/>
              <w:left w:val="single" w:color="000000" w:sz="4" w:space="0"/>
              <w:bottom w:val="single" w:color="000000" w:sz="4" w:space="0"/>
              <w:right w:val="single" w:color="000000" w:sz="4" w:space="0"/>
            </w:tcBorders>
            <w:vAlign w:val="center"/>
          </w:tcPr>
          <w:p w14:paraId="426D690C">
            <w:pPr>
              <w:pStyle w:val="2"/>
              <w:shd w:val="clear"/>
              <w:ind w:firstLine="0" w:firstLineChars="0"/>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合同签订后15天内支付合同价款的40%作为预付款；</w:t>
            </w:r>
            <w:r>
              <w:rPr>
                <w:rFonts w:hint="eastAsia" w:asciiTheme="minorEastAsia" w:hAnsiTheme="minorEastAsia" w:eastAsiaTheme="minorEastAsia" w:cstheme="minorEastAsia"/>
                <w:color w:val="auto"/>
                <w:kern w:val="0"/>
                <w:sz w:val="24"/>
                <w:highlight w:val="none"/>
                <w:lang w:val="en-US" w:eastAsia="zh-CN"/>
              </w:rPr>
              <w:t>年度合同服务结束后1</w:t>
            </w:r>
            <w:r>
              <w:rPr>
                <w:rFonts w:hint="eastAsia" w:asciiTheme="minorEastAsia" w:hAnsiTheme="minorEastAsia" w:eastAsiaTheme="minorEastAsia" w:cstheme="minorEastAsia"/>
                <w:color w:val="auto"/>
                <w:kern w:val="0"/>
                <w:sz w:val="24"/>
                <w:highlight w:val="none"/>
              </w:rPr>
              <w:t>5天内支付合同价款的</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0%</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项目年度验收完成后付清余款。</w:t>
            </w:r>
          </w:p>
        </w:tc>
      </w:tr>
      <w:tr w14:paraId="1B86F241">
        <w:tblPrEx>
          <w:tblCellMar>
            <w:top w:w="0" w:type="dxa"/>
            <w:left w:w="108" w:type="dxa"/>
            <w:bottom w:w="0" w:type="dxa"/>
            <w:right w:w="108" w:type="dxa"/>
          </w:tblCellMar>
        </w:tblPrEx>
        <w:trPr>
          <w:trHeight w:val="342"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3E67B88D">
            <w:pPr>
              <w:pStyle w:val="2"/>
              <w:shd w:val="clear"/>
              <w:ind w:firstLine="0" w:firstLineChars="0"/>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服务期限及地点</w:t>
            </w:r>
          </w:p>
        </w:tc>
        <w:tc>
          <w:tcPr>
            <w:tcW w:w="7186" w:type="dxa"/>
            <w:tcBorders>
              <w:top w:val="single" w:color="000000" w:sz="4" w:space="0"/>
              <w:left w:val="single" w:color="000000" w:sz="4" w:space="0"/>
              <w:bottom w:val="single" w:color="000000" w:sz="4" w:space="0"/>
              <w:right w:val="single" w:color="000000" w:sz="4" w:space="0"/>
            </w:tcBorders>
            <w:vAlign w:val="center"/>
          </w:tcPr>
          <w:p w14:paraId="211770AC">
            <w:pPr>
              <w:pStyle w:val="2"/>
              <w:shd w:val="clear"/>
              <w:ind w:firstLine="0" w:firstLineChars="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服务期限：自合同签订之日起三年，合同一年一签。</w:t>
            </w:r>
          </w:p>
          <w:p w14:paraId="10A79D28">
            <w:pPr>
              <w:pStyle w:val="2"/>
              <w:shd w:val="clear"/>
              <w:ind w:firstLine="0" w:firstLineChars="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服务地点：业主指定地点。</w:t>
            </w:r>
          </w:p>
        </w:tc>
      </w:tr>
      <w:tr w14:paraId="30ED3120">
        <w:tblPrEx>
          <w:tblCellMar>
            <w:top w:w="0" w:type="dxa"/>
            <w:left w:w="108" w:type="dxa"/>
            <w:bottom w:w="0" w:type="dxa"/>
            <w:right w:w="108" w:type="dxa"/>
          </w:tblCellMar>
        </w:tblPrEx>
        <w:tc>
          <w:tcPr>
            <w:tcW w:w="1936" w:type="dxa"/>
            <w:tcBorders>
              <w:top w:val="single" w:color="000000" w:sz="4" w:space="0"/>
              <w:left w:val="single" w:color="000000" w:sz="4" w:space="0"/>
              <w:bottom w:val="single" w:color="000000" w:sz="4" w:space="0"/>
              <w:right w:val="single" w:color="000000" w:sz="4" w:space="0"/>
            </w:tcBorders>
            <w:vAlign w:val="center"/>
          </w:tcPr>
          <w:p w14:paraId="5629F792">
            <w:pPr>
              <w:pStyle w:val="2"/>
              <w:shd w:val="clear"/>
              <w:ind w:firstLine="0" w:firstLineChars="0"/>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合同终止</w:t>
            </w:r>
          </w:p>
        </w:tc>
        <w:tc>
          <w:tcPr>
            <w:tcW w:w="7186" w:type="dxa"/>
            <w:tcBorders>
              <w:top w:val="single" w:color="000000" w:sz="4" w:space="0"/>
              <w:left w:val="single" w:color="000000" w:sz="4" w:space="0"/>
              <w:bottom w:val="single" w:color="000000" w:sz="4" w:space="0"/>
              <w:right w:val="single" w:color="000000" w:sz="4" w:space="0"/>
            </w:tcBorders>
            <w:vAlign w:val="center"/>
          </w:tcPr>
          <w:p w14:paraId="228BAF65">
            <w:pPr>
              <w:pStyle w:val="2"/>
              <w:shd w:val="clear"/>
              <w:ind w:firstLine="0" w:firstLineChars="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标人在合同有效期内，不得以任何理由终止合同，确有特殊情况的，须提前2个月向采购人提出书面申请，经采购人同意后，方可终止合同。因中标人不能保证工作质量，或发生重大差错事故的，采购人有权终止合同，中标人承担全部责任。</w:t>
            </w:r>
          </w:p>
        </w:tc>
      </w:tr>
    </w:tbl>
    <w:p w14:paraId="65D48F08">
      <w:pPr>
        <w:shd w:val="clear"/>
        <w:snapToGrid w:val="0"/>
        <w:spacing w:line="360" w:lineRule="auto"/>
        <w:jc w:val="center"/>
        <w:rPr>
          <w:rFonts w:cs="仿宋" w:asciiTheme="majorEastAsia" w:hAnsiTheme="majorEastAsia" w:eastAsiaTheme="majorEastAsia"/>
          <w:b/>
          <w:color w:val="auto"/>
          <w:sz w:val="36"/>
          <w:szCs w:val="36"/>
          <w:highlight w:val="none"/>
        </w:rPr>
      </w:pPr>
      <w:r>
        <w:rPr>
          <w:rFonts w:hint="eastAsia" w:asciiTheme="minorEastAsia" w:hAnsiTheme="minorEastAsia" w:eastAsiaTheme="minorEastAsia" w:cstheme="minorEastAsia"/>
          <w:b/>
          <w:color w:val="auto"/>
          <w:sz w:val="24"/>
          <w:highlight w:val="none"/>
        </w:rPr>
        <w:br w:type="page"/>
      </w:r>
      <w:r>
        <w:rPr>
          <w:rFonts w:hint="eastAsia" w:cs="仿宋" w:asciiTheme="majorEastAsia" w:hAnsiTheme="majorEastAsia" w:eastAsiaTheme="majorEastAsia"/>
          <w:b/>
          <w:color w:val="auto"/>
          <w:sz w:val="36"/>
          <w:szCs w:val="36"/>
          <w:highlight w:val="none"/>
        </w:rPr>
        <w:t xml:space="preserve">第四部分   </w:t>
      </w:r>
      <w:bookmarkStart w:id="29" w:name="_Toc184312092"/>
      <w:bookmarkEnd w:id="29"/>
      <w:bookmarkStart w:id="30" w:name="_Toc184314429"/>
      <w:bookmarkEnd w:id="30"/>
      <w:bookmarkStart w:id="31" w:name="_Toc184312110"/>
      <w:bookmarkEnd w:id="31"/>
      <w:bookmarkStart w:id="32" w:name="_Toc184310316"/>
      <w:bookmarkEnd w:id="32"/>
      <w:bookmarkStart w:id="33" w:name="_Toc184310296"/>
      <w:bookmarkEnd w:id="33"/>
      <w:bookmarkStart w:id="34" w:name="_Toc184310287"/>
      <w:bookmarkEnd w:id="34"/>
      <w:bookmarkStart w:id="35" w:name="_Toc184312131"/>
      <w:bookmarkEnd w:id="35"/>
      <w:bookmarkStart w:id="36" w:name="_Toc184310303"/>
      <w:bookmarkEnd w:id="36"/>
      <w:bookmarkStart w:id="37" w:name="_Toc184313299"/>
      <w:bookmarkEnd w:id="37"/>
      <w:bookmarkStart w:id="38" w:name="_Toc184314422"/>
      <w:bookmarkEnd w:id="38"/>
      <w:bookmarkStart w:id="39" w:name="_Toc184312067"/>
      <w:bookmarkEnd w:id="39"/>
      <w:bookmarkStart w:id="40" w:name="_Toc184310321"/>
      <w:bookmarkEnd w:id="40"/>
      <w:bookmarkStart w:id="41" w:name="_Toc184312082"/>
      <w:bookmarkEnd w:id="41"/>
      <w:bookmarkStart w:id="42" w:name="_Toc184312120"/>
      <w:bookmarkEnd w:id="42"/>
      <w:bookmarkStart w:id="43" w:name="_Toc184308065"/>
      <w:bookmarkEnd w:id="43"/>
      <w:bookmarkStart w:id="44" w:name="_Toc184313290"/>
      <w:bookmarkEnd w:id="44"/>
      <w:bookmarkStart w:id="45" w:name="_Toc184308088"/>
      <w:bookmarkEnd w:id="45"/>
      <w:bookmarkStart w:id="46" w:name="_Toc184313298"/>
      <w:bookmarkEnd w:id="46"/>
      <w:bookmarkStart w:id="47" w:name="_Toc184308076"/>
      <w:bookmarkEnd w:id="47"/>
      <w:bookmarkStart w:id="48" w:name="_Toc184310299"/>
      <w:bookmarkEnd w:id="48"/>
      <w:bookmarkStart w:id="49" w:name="_Toc184312116"/>
      <w:bookmarkEnd w:id="49"/>
      <w:bookmarkStart w:id="50" w:name="_Toc184312076"/>
      <w:bookmarkEnd w:id="50"/>
      <w:bookmarkStart w:id="51" w:name="_Toc184310324"/>
      <w:bookmarkEnd w:id="51"/>
      <w:bookmarkStart w:id="52" w:name="_Toc184312137"/>
      <w:bookmarkEnd w:id="52"/>
      <w:bookmarkStart w:id="53" w:name="_Toc184312075"/>
      <w:bookmarkEnd w:id="53"/>
      <w:bookmarkStart w:id="54" w:name="_Toc184308040"/>
      <w:bookmarkEnd w:id="54"/>
      <w:bookmarkStart w:id="55" w:name="_Toc184312115"/>
      <w:bookmarkEnd w:id="55"/>
      <w:bookmarkStart w:id="56" w:name="_Toc184313258"/>
      <w:bookmarkEnd w:id="56"/>
      <w:bookmarkStart w:id="57" w:name="_Toc184312103"/>
      <w:bookmarkEnd w:id="57"/>
      <w:bookmarkStart w:id="58" w:name="_Toc184308081"/>
      <w:bookmarkEnd w:id="58"/>
      <w:bookmarkStart w:id="59" w:name="_Toc184313303"/>
      <w:bookmarkEnd w:id="59"/>
      <w:bookmarkStart w:id="60" w:name="_Toc184310292"/>
      <w:bookmarkEnd w:id="60"/>
      <w:bookmarkStart w:id="61" w:name="_Toc184308042"/>
      <w:bookmarkEnd w:id="61"/>
      <w:bookmarkStart w:id="62" w:name="_Toc184314412"/>
      <w:bookmarkEnd w:id="62"/>
      <w:bookmarkStart w:id="63" w:name="_Toc184312087"/>
      <w:bookmarkEnd w:id="63"/>
      <w:bookmarkStart w:id="64" w:name="_Toc184310305"/>
      <w:bookmarkEnd w:id="64"/>
      <w:bookmarkStart w:id="65" w:name="_Toc184314475"/>
      <w:bookmarkEnd w:id="65"/>
      <w:bookmarkStart w:id="66" w:name="_Toc184314455"/>
      <w:bookmarkEnd w:id="66"/>
      <w:bookmarkStart w:id="67" w:name="_Toc184310330"/>
      <w:bookmarkEnd w:id="67"/>
      <w:bookmarkStart w:id="68" w:name="_Toc184308098"/>
      <w:bookmarkEnd w:id="68"/>
      <w:bookmarkStart w:id="69" w:name="_Toc184310279"/>
      <w:bookmarkEnd w:id="69"/>
      <w:bookmarkStart w:id="70" w:name="_Toc184313282"/>
      <w:bookmarkEnd w:id="70"/>
      <w:bookmarkStart w:id="71" w:name="_Toc184314465"/>
      <w:bookmarkEnd w:id="71"/>
      <w:bookmarkStart w:id="72" w:name="_Toc184310274"/>
      <w:bookmarkEnd w:id="72"/>
      <w:bookmarkStart w:id="73" w:name="_Toc184312086"/>
      <w:bookmarkEnd w:id="73"/>
      <w:bookmarkStart w:id="74" w:name="_Toc184314447"/>
      <w:bookmarkEnd w:id="74"/>
      <w:bookmarkStart w:id="75" w:name="_Toc184314482"/>
      <w:bookmarkEnd w:id="75"/>
      <w:bookmarkStart w:id="76" w:name="_Toc184314438"/>
      <w:bookmarkEnd w:id="76"/>
      <w:bookmarkStart w:id="77" w:name="_Toc184313296"/>
      <w:bookmarkEnd w:id="77"/>
      <w:bookmarkStart w:id="78" w:name="_Toc184308107"/>
      <w:bookmarkEnd w:id="78"/>
      <w:bookmarkStart w:id="79" w:name="_Toc184308093"/>
      <w:bookmarkEnd w:id="79"/>
      <w:bookmarkStart w:id="80" w:name="_Toc184314421"/>
      <w:bookmarkEnd w:id="80"/>
      <w:bookmarkStart w:id="81" w:name="_Toc184314477"/>
      <w:bookmarkEnd w:id="81"/>
      <w:bookmarkStart w:id="82" w:name="_Toc184308061"/>
      <w:bookmarkEnd w:id="82"/>
      <w:bookmarkStart w:id="83" w:name="_Toc184310308"/>
      <w:bookmarkEnd w:id="83"/>
      <w:bookmarkStart w:id="84" w:name="_Toc184312088"/>
      <w:bookmarkEnd w:id="84"/>
      <w:bookmarkStart w:id="85" w:name="_Toc184313306"/>
      <w:bookmarkEnd w:id="85"/>
      <w:bookmarkStart w:id="86" w:name="_Toc184312127"/>
      <w:bookmarkEnd w:id="86"/>
      <w:bookmarkStart w:id="87" w:name="_Toc184308090"/>
      <w:bookmarkEnd w:id="87"/>
      <w:bookmarkStart w:id="88" w:name="_Toc184314435"/>
      <w:bookmarkEnd w:id="88"/>
      <w:bookmarkStart w:id="89" w:name="_Toc184314440"/>
      <w:bookmarkEnd w:id="89"/>
      <w:bookmarkStart w:id="90" w:name="_Toc184312084"/>
      <w:bookmarkEnd w:id="90"/>
      <w:bookmarkStart w:id="91" w:name="_Toc184310323"/>
      <w:bookmarkEnd w:id="91"/>
      <w:bookmarkStart w:id="92" w:name="_Toc184314481"/>
      <w:bookmarkEnd w:id="92"/>
      <w:bookmarkStart w:id="93" w:name="_Toc184313277"/>
      <w:bookmarkEnd w:id="93"/>
      <w:bookmarkStart w:id="94" w:name="_Toc184308062"/>
      <w:bookmarkEnd w:id="94"/>
      <w:bookmarkStart w:id="95" w:name="_Toc184308066"/>
      <w:bookmarkEnd w:id="95"/>
      <w:bookmarkStart w:id="96" w:name="_Toc184308082"/>
      <w:bookmarkEnd w:id="96"/>
      <w:bookmarkStart w:id="97" w:name="_Toc184312100"/>
      <w:bookmarkEnd w:id="97"/>
      <w:bookmarkStart w:id="98" w:name="_Toc184314461"/>
      <w:bookmarkEnd w:id="98"/>
      <w:bookmarkStart w:id="99" w:name="_Toc184312085"/>
      <w:bookmarkEnd w:id="99"/>
      <w:bookmarkStart w:id="100" w:name="_Toc184313253"/>
      <w:bookmarkEnd w:id="100"/>
      <w:bookmarkStart w:id="101" w:name="_Toc184312139"/>
      <w:bookmarkEnd w:id="101"/>
      <w:bookmarkStart w:id="102" w:name="_Toc184310290"/>
      <w:bookmarkEnd w:id="102"/>
      <w:bookmarkStart w:id="103" w:name="_Toc184313280"/>
      <w:bookmarkEnd w:id="103"/>
      <w:bookmarkStart w:id="104" w:name="_Toc184313276"/>
      <w:bookmarkEnd w:id="104"/>
      <w:bookmarkStart w:id="105" w:name="_Toc184313254"/>
      <w:bookmarkEnd w:id="105"/>
      <w:bookmarkStart w:id="106" w:name="_Toc184313259"/>
      <w:bookmarkEnd w:id="106"/>
      <w:bookmarkStart w:id="107" w:name="_Toc184314436"/>
      <w:bookmarkEnd w:id="107"/>
      <w:bookmarkStart w:id="108" w:name="_Toc184312068"/>
      <w:bookmarkEnd w:id="108"/>
      <w:bookmarkStart w:id="109" w:name="_Toc184308074"/>
      <w:bookmarkEnd w:id="109"/>
      <w:bookmarkStart w:id="110" w:name="_Toc184310336"/>
      <w:bookmarkEnd w:id="110"/>
      <w:bookmarkStart w:id="111" w:name="_Toc184312102"/>
      <w:bookmarkEnd w:id="111"/>
      <w:bookmarkStart w:id="112" w:name="_Toc184313245"/>
      <w:bookmarkEnd w:id="112"/>
      <w:bookmarkStart w:id="113" w:name="_Toc184313297"/>
      <w:bookmarkEnd w:id="113"/>
      <w:bookmarkStart w:id="114" w:name="_Toc184308101"/>
      <w:bookmarkEnd w:id="114"/>
      <w:bookmarkStart w:id="115" w:name="_Toc184314453"/>
      <w:bookmarkEnd w:id="115"/>
      <w:bookmarkStart w:id="116" w:name="_Toc184312069"/>
      <w:bookmarkEnd w:id="116"/>
      <w:bookmarkStart w:id="117" w:name="_Toc184310293"/>
      <w:bookmarkEnd w:id="117"/>
      <w:bookmarkStart w:id="118" w:name="_Toc184308094"/>
      <w:bookmarkEnd w:id="118"/>
      <w:bookmarkStart w:id="119" w:name="_Toc184314426"/>
      <w:bookmarkEnd w:id="119"/>
      <w:bookmarkStart w:id="120" w:name="_Toc184310280"/>
      <w:bookmarkEnd w:id="120"/>
      <w:bookmarkStart w:id="121" w:name="_Toc184313301"/>
      <w:bookmarkEnd w:id="121"/>
      <w:bookmarkStart w:id="122" w:name="_Toc184314466"/>
      <w:bookmarkEnd w:id="122"/>
      <w:bookmarkStart w:id="123" w:name="_Toc184310298"/>
      <w:bookmarkEnd w:id="123"/>
      <w:bookmarkStart w:id="124" w:name="_Toc184313251"/>
      <w:bookmarkEnd w:id="124"/>
      <w:bookmarkStart w:id="125" w:name="_Toc184310322"/>
      <w:bookmarkEnd w:id="125"/>
      <w:bookmarkStart w:id="126" w:name="_Toc184312129"/>
      <w:bookmarkEnd w:id="126"/>
      <w:bookmarkStart w:id="127" w:name="_Toc184314418"/>
      <w:bookmarkEnd w:id="127"/>
      <w:bookmarkStart w:id="128" w:name="_Toc184314444"/>
      <w:bookmarkEnd w:id="128"/>
      <w:bookmarkStart w:id="129" w:name="_Toc184314441"/>
      <w:bookmarkEnd w:id="129"/>
      <w:bookmarkStart w:id="130" w:name="_Toc184310275"/>
      <w:bookmarkEnd w:id="130"/>
      <w:bookmarkStart w:id="131" w:name="_Toc184310327"/>
      <w:bookmarkEnd w:id="131"/>
      <w:bookmarkStart w:id="132" w:name="_Toc184310278"/>
      <w:bookmarkEnd w:id="132"/>
      <w:bookmarkStart w:id="133" w:name="_Toc184312114"/>
      <w:bookmarkEnd w:id="133"/>
      <w:bookmarkStart w:id="134" w:name="_Toc184310326"/>
      <w:bookmarkEnd w:id="134"/>
      <w:bookmarkStart w:id="135" w:name="_Toc184312097"/>
      <w:bookmarkEnd w:id="135"/>
      <w:bookmarkStart w:id="136" w:name="_Toc184312121"/>
      <w:bookmarkEnd w:id="136"/>
      <w:bookmarkStart w:id="137" w:name="_Toc184308079"/>
      <w:bookmarkEnd w:id="137"/>
      <w:bookmarkStart w:id="138" w:name="_Toc184310310"/>
      <w:bookmarkEnd w:id="138"/>
      <w:bookmarkStart w:id="139" w:name="_Toc184310315"/>
      <w:bookmarkEnd w:id="139"/>
      <w:bookmarkStart w:id="140" w:name="_Toc184308084"/>
      <w:bookmarkEnd w:id="140"/>
      <w:bookmarkStart w:id="141" w:name="_Toc184312133"/>
      <w:bookmarkEnd w:id="141"/>
      <w:bookmarkStart w:id="142" w:name="_Toc184313249"/>
      <w:bookmarkEnd w:id="142"/>
      <w:bookmarkStart w:id="143" w:name="_Toc184308055"/>
      <w:bookmarkEnd w:id="143"/>
      <w:bookmarkStart w:id="144" w:name="_Toc184314451"/>
      <w:bookmarkEnd w:id="144"/>
      <w:bookmarkStart w:id="145" w:name="_Toc184312095"/>
      <w:bookmarkEnd w:id="145"/>
      <w:bookmarkStart w:id="146" w:name="_Toc184314445"/>
      <w:bookmarkEnd w:id="146"/>
      <w:bookmarkStart w:id="147" w:name="_Toc184313294"/>
      <w:bookmarkEnd w:id="147"/>
      <w:bookmarkStart w:id="148" w:name="_Toc184313302"/>
      <w:bookmarkEnd w:id="148"/>
      <w:bookmarkStart w:id="149" w:name="_Toc184313239"/>
      <w:bookmarkEnd w:id="149"/>
      <w:bookmarkStart w:id="150" w:name="_Toc184308072"/>
      <w:bookmarkEnd w:id="150"/>
      <w:bookmarkStart w:id="151" w:name="_Toc184314474"/>
      <w:bookmarkEnd w:id="151"/>
      <w:bookmarkStart w:id="152" w:name="_Toc184312083"/>
      <w:bookmarkEnd w:id="152"/>
      <w:bookmarkStart w:id="153" w:name="_Toc184310325"/>
      <w:bookmarkEnd w:id="153"/>
      <w:bookmarkStart w:id="154" w:name="_Toc184310318"/>
      <w:bookmarkEnd w:id="154"/>
      <w:bookmarkStart w:id="155" w:name="_Toc184313268"/>
      <w:bookmarkEnd w:id="155"/>
      <w:bookmarkStart w:id="156" w:name="_Toc184312117"/>
      <w:bookmarkEnd w:id="156"/>
      <w:bookmarkStart w:id="157" w:name="_Toc184314473"/>
      <w:bookmarkEnd w:id="157"/>
      <w:bookmarkStart w:id="158" w:name="_Toc184310284"/>
      <w:bookmarkEnd w:id="158"/>
      <w:bookmarkStart w:id="159" w:name="_Toc184313289"/>
      <w:bookmarkEnd w:id="159"/>
      <w:bookmarkStart w:id="160" w:name="_Toc184308048"/>
      <w:bookmarkEnd w:id="160"/>
      <w:bookmarkStart w:id="161" w:name="_Toc184314454"/>
      <w:bookmarkEnd w:id="161"/>
      <w:bookmarkStart w:id="162" w:name="_Toc184312089"/>
      <w:bookmarkEnd w:id="162"/>
      <w:bookmarkStart w:id="163" w:name="_Toc184308080"/>
      <w:bookmarkEnd w:id="163"/>
      <w:bookmarkStart w:id="164" w:name="_Toc184308099"/>
      <w:bookmarkEnd w:id="164"/>
      <w:bookmarkStart w:id="165" w:name="_Toc184312099"/>
      <w:bookmarkEnd w:id="165"/>
      <w:bookmarkStart w:id="166" w:name="_Toc184310291"/>
      <w:bookmarkEnd w:id="166"/>
      <w:bookmarkStart w:id="167" w:name="_Toc184308070"/>
      <w:bookmarkEnd w:id="167"/>
      <w:bookmarkStart w:id="168" w:name="_Toc184310329"/>
      <w:bookmarkEnd w:id="168"/>
      <w:bookmarkStart w:id="169" w:name="_Toc184310320"/>
      <w:bookmarkEnd w:id="169"/>
      <w:bookmarkStart w:id="170" w:name="_Toc184313287"/>
      <w:bookmarkEnd w:id="170"/>
      <w:bookmarkStart w:id="171" w:name="_Toc184313305"/>
      <w:bookmarkEnd w:id="171"/>
      <w:bookmarkStart w:id="172" w:name="_Toc184314443"/>
      <w:bookmarkEnd w:id="172"/>
      <w:bookmarkStart w:id="173" w:name="_Toc184314470"/>
      <w:bookmarkEnd w:id="173"/>
      <w:bookmarkStart w:id="174" w:name="_Toc184314462"/>
      <w:bookmarkEnd w:id="174"/>
      <w:bookmarkStart w:id="175" w:name="_Toc184308038"/>
      <w:bookmarkEnd w:id="175"/>
      <w:bookmarkStart w:id="176" w:name="_Toc184310286"/>
      <w:bookmarkEnd w:id="176"/>
      <w:bookmarkStart w:id="177" w:name="_Toc184314471"/>
      <w:bookmarkEnd w:id="177"/>
      <w:bookmarkStart w:id="178" w:name="_Toc184308102"/>
      <w:bookmarkEnd w:id="178"/>
      <w:bookmarkStart w:id="179" w:name="_Toc184312090"/>
      <w:bookmarkEnd w:id="179"/>
      <w:bookmarkStart w:id="180" w:name="_Toc184312106"/>
      <w:bookmarkEnd w:id="180"/>
      <w:bookmarkStart w:id="181" w:name="_Toc184313263"/>
      <w:bookmarkEnd w:id="181"/>
      <w:bookmarkStart w:id="182" w:name="_Toc184312079"/>
      <w:bookmarkEnd w:id="182"/>
      <w:bookmarkStart w:id="183" w:name="_Toc184308106"/>
      <w:bookmarkEnd w:id="183"/>
      <w:bookmarkStart w:id="184" w:name="_Toc184310343"/>
      <w:bookmarkEnd w:id="184"/>
      <w:bookmarkStart w:id="185" w:name="_Toc184313261"/>
      <w:bookmarkEnd w:id="185"/>
      <w:bookmarkStart w:id="186" w:name="_Toc184308083"/>
      <w:bookmarkEnd w:id="186"/>
      <w:bookmarkStart w:id="187" w:name="_Toc184308097"/>
      <w:bookmarkEnd w:id="187"/>
      <w:bookmarkStart w:id="188" w:name="_Toc184313309"/>
      <w:bookmarkEnd w:id="188"/>
      <w:bookmarkStart w:id="189" w:name="_Toc184308052"/>
      <w:bookmarkEnd w:id="189"/>
      <w:bookmarkStart w:id="190" w:name="_Toc184312107"/>
      <w:bookmarkEnd w:id="190"/>
      <w:bookmarkStart w:id="191" w:name="_Toc184312109"/>
      <w:bookmarkEnd w:id="191"/>
      <w:bookmarkStart w:id="192" w:name="_Toc184314468"/>
      <w:bookmarkEnd w:id="192"/>
      <w:bookmarkStart w:id="193" w:name="_Toc184314456"/>
      <w:bookmarkEnd w:id="193"/>
      <w:bookmarkStart w:id="194" w:name="_Toc184308064"/>
      <w:bookmarkEnd w:id="194"/>
      <w:bookmarkStart w:id="195" w:name="_Toc184313285"/>
      <w:bookmarkEnd w:id="195"/>
      <w:bookmarkStart w:id="196" w:name="_Toc184308078"/>
      <w:bookmarkEnd w:id="196"/>
      <w:bookmarkStart w:id="197" w:name="_Toc184313256"/>
      <w:bookmarkEnd w:id="197"/>
      <w:bookmarkStart w:id="198" w:name="_Toc184314430"/>
      <w:bookmarkEnd w:id="198"/>
      <w:bookmarkStart w:id="199" w:name="_Toc184314463"/>
      <w:bookmarkEnd w:id="199"/>
      <w:bookmarkStart w:id="200" w:name="_Toc184312077"/>
      <w:bookmarkEnd w:id="200"/>
      <w:bookmarkStart w:id="201" w:name="_Toc184310294"/>
      <w:bookmarkEnd w:id="201"/>
      <w:bookmarkStart w:id="202" w:name="_Toc184314416"/>
      <w:bookmarkEnd w:id="202"/>
      <w:bookmarkStart w:id="203" w:name="_Toc184314424"/>
      <w:bookmarkEnd w:id="203"/>
      <w:bookmarkStart w:id="204" w:name="_Toc184312091"/>
      <w:bookmarkEnd w:id="204"/>
      <w:bookmarkStart w:id="205" w:name="_Toc184313252"/>
      <w:bookmarkEnd w:id="205"/>
      <w:bookmarkStart w:id="206" w:name="_Toc184312073"/>
      <w:bookmarkEnd w:id="206"/>
      <w:bookmarkStart w:id="207" w:name="_Toc184314431"/>
      <w:bookmarkEnd w:id="207"/>
      <w:bookmarkStart w:id="208" w:name="_Toc184314476"/>
      <w:bookmarkEnd w:id="208"/>
      <w:bookmarkStart w:id="209" w:name="_Toc184314437"/>
      <w:bookmarkEnd w:id="209"/>
      <w:bookmarkStart w:id="210" w:name="_Toc184308047"/>
      <w:bookmarkEnd w:id="210"/>
      <w:bookmarkStart w:id="211" w:name="_Toc184313246"/>
      <w:bookmarkEnd w:id="211"/>
      <w:bookmarkStart w:id="212" w:name="_Toc184310317"/>
      <w:bookmarkEnd w:id="212"/>
      <w:bookmarkStart w:id="213" w:name="_Toc184314467"/>
      <w:bookmarkEnd w:id="213"/>
      <w:bookmarkStart w:id="214" w:name="_Toc184310301"/>
      <w:bookmarkEnd w:id="214"/>
      <w:bookmarkStart w:id="215" w:name="_Toc184312122"/>
      <w:bookmarkEnd w:id="215"/>
      <w:bookmarkStart w:id="216" w:name="_Toc184308050"/>
      <w:bookmarkEnd w:id="216"/>
      <w:bookmarkStart w:id="217" w:name="_Toc184308036"/>
      <w:bookmarkEnd w:id="217"/>
      <w:bookmarkStart w:id="218" w:name="_Toc184308059"/>
      <w:bookmarkEnd w:id="218"/>
      <w:bookmarkStart w:id="219" w:name="_Toc184308067"/>
      <w:bookmarkEnd w:id="219"/>
      <w:bookmarkStart w:id="220" w:name="_Toc184313284"/>
      <w:bookmarkEnd w:id="220"/>
      <w:bookmarkStart w:id="221" w:name="_Toc184314433"/>
      <w:bookmarkEnd w:id="221"/>
      <w:bookmarkStart w:id="222" w:name="_Toc184313247"/>
      <w:bookmarkEnd w:id="222"/>
      <w:bookmarkStart w:id="223" w:name="_Toc184310273"/>
      <w:bookmarkEnd w:id="223"/>
      <w:bookmarkStart w:id="224" w:name="_Toc184312118"/>
      <w:bookmarkEnd w:id="224"/>
      <w:bookmarkStart w:id="225" w:name="_Toc184308054"/>
      <w:bookmarkEnd w:id="225"/>
      <w:bookmarkStart w:id="226" w:name="_Toc184314469"/>
      <w:bookmarkEnd w:id="226"/>
      <w:bookmarkStart w:id="227" w:name="_Toc184310314"/>
      <w:bookmarkEnd w:id="227"/>
      <w:bookmarkStart w:id="228" w:name="_Toc184312123"/>
      <w:bookmarkEnd w:id="228"/>
      <w:bookmarkStart w:id="229" w:name="_Toc184310307"/>
      <w:bookmarkEnd w:id="229"/>
      <w:bookmarkStart w:id="230" w:name="_Toc184313262"/>
      <w:bookmarkEnd w:id="230"/>
      <w:bookmarkStart w:id="231" w:name="_Toc184313275"/>
      <w:bookmarkEnd w:id="231"/>
      <w:bookmarkStart w:id="232" w:name="_Toc184312125"/>
      <w:bookmarkEnd w:id="232"/>
      <w:bookmarkStart w:id="233" w:name="_Toc184313283"/>
      <w:bookmarkEnd w:id="233"/>
      <w:bookmarkStart w:id="234" w:name="_Toc184312094"/>
      <w:bookmarkEnd w:id="234"/>
      <w:bookmarkStart w:id="235" w:name="_Toc184313241"/>
      <w:bookmarkEnd w:id="235"/>
      <w:bookmarkStart w:id="236" w:name="_Toc184313281"/>
      <w:bookmarkEnd w:id="236"/>
      <w:bookmarkStart w:id="237" w:name="_Toc184312136"/>
      <w:bookmarkEnd w:id="237"/>
      <w:bookmarkStart w:id="238" w:name="_Toc184308085"/>
      <w:bookmarkEnd w:id="238"/>
      <w:bookmarkStart w:id="239" w:name="_Toc184308039"/>
      <w:bookmarkEnd w:id="239"/>
      <w:bookmarkStart w:id="240" w:name="_Toc184310309"/>
      <w:bookmarkEnd w:id="240"/>
      <w:bookmarkStart w:id="241" w:name="_Toc184314450"/>
      <w:bookmarkEnd w:id="241"/>
      <w:bookmarkStart w:id="242" w:name="_Toc184312070"/>
      <w:bookmarkEnd w:id="242"/>
      <w:bookmarkStart w:id="243" w:name="_Toc184313292"/>
      <w:bookmarkEnd w:id="243"/>
      <w:bookmarkStart w:id="244" w:name="_Toc184308045"/>
      <w:bookmarkEnd w:id="244"/>
      <w:bookmarkStart w:id="245" w:name="_Toc184310272"/>
      <w:bookmarkEnd w:id="245"/>
      <w:bookmarkStart w:id="246" w:name="_Toc184310335"/>
      <w:bookmarkEnd w:id="246"/>
      <w:bookmarkStart w:id="247" w:name="_Toc184312098"/>
      <w:bookmarkEnd w:id="247"/>
      <w:bookmarkStart w:id="248" w:name="_Toc184312071"/>
      <w:bookmarkEnd w:id="248"/>
      <w:bookmarkStart w:id="249" w:name="_Toc184312081"/>
      <w:bookmarkEnd w:id="249"/>
      <w:bookmarkStart w:id="250" w:name="_Toc184313243"/>
      <w:bookmarkEnd w:id="250"/>
      <w:bookmarkStart w:id="251" w:name="_Toc184308073"/>
      <w:bookmarkEnd w:id="251"/>
      <w:bookmarkStart w:id="252" w:name="_Toc184314428"/>
      <w:bookmarkEnd w:id="252"/>
      <w:bookmarkStart w:id="253" w:name="_Toc184313278"/>
      <w:bookmarkEnd w:id="253"/>
      <w:bookmarkStart w:id="254" w:name="_Toc184310288"/>
      <w:bookmarkEnd w:id="254"/>
      <w:bookmarkStart w:id="255" w:name="_Toc184313272"/>
      <w:bookmarkEnd w:id="255"/>
      <w:bookmarkStart w:id="256" w:name="_Toc184310282"/>
      <w:bookmarkEnd w:id="256"/>
      <w:bookmarkStart w:id="257" w:name="_Toc184308056"/>
      <w:bookmarkEnd w:id="257"/>
      <w:bookmarkStart w:id="258" w:name="_Toc184310295"/>
      <w:bookmarkEnd w:id="258"/>
      <w:bookmarkStart w:id="259" w:name="_Toc184313238"/>
      <w:bookmarkEnd w:id="259"/>
      <w:bookmarkStart w:id="260" w:name="_Toc184310338"/>
      <w:bookmarkEnd w:id="260"/>
      <w:bookmarkStart w:id="261" w:name="_Toc184310302"/>
      <w:bookmarkEnd w:id="261"/>
      <w:bookmarkStart w:id="262" w:name="_Toc184314459"/>
      <w:bookmarkEnd w:id="262"/>
      <w:bookmarkStart w:id="263" w:name="_Toc184313260"/>
      <w:bookmarkEnd w:id="263"/>
      <w:bookmarkStart w:id="264" w:name="_Toc184308053"/>
      <w:bookmarkEnd w:id="264"/>
      <w:bookmarkStart w:id="265" w:name="_Toc184310341"/>
      <w:bookmarkEnd w:id="265"/>
      <w:bookmarkStart w:id="266" w:name="_Toc184314478"/>
      <w:bookmarkEnd w:id="266"/>
      <w:bookmarkStart w:id="267" w:name="_Toc184313270"/>
      <w:bookmarkEnd w:id="267"/>
      <w:bookmarkStart w:id="268" w:name="_Toc184314458"/>
      <w:bookmarkEnd w:id="268"/>
      <w:bookmarkStart w:id="269" w:name="_Toc184313266"/>
      <w:bookmarkEnd w:id="269"/>
      <w:bookmarkStart w:id="270" w:name="_Toc184308108"/>
      <w:bookmarkEnd w:id="270"/>
      <w:bookmarkStart w:id="271" w:name="_Toc184310319"/>
      <w:bookmarkEnd w:id="271"/>
      <w:bookmarkStart w:id="272" w:name="_Toc184313242"/>
      <w:bookmarkEnd w:id="272"/>
      <w:bookmarkStart w:id="273" w:name="_Toc184312112"/>
      <w:bookmarkEnd w:id="273"/>
      <w:bookmarkStart w:id="274" w:name="_Toc184314415"/>
      <w:bookmarkEnd w:id="274"/>
      <w:bookmarkStart w:id="275" w:name="_Toc184308068"/>
      <w:bookmarkEnd w:id="275"/>
      <w:bookmarkStart w:id="276" w:name="_Toc184308077"/>
      <w:bookmarkEnd w:id="276"/>
      <w:bookmarkStart w:id="277" w:name="_Toc184314419"/>
      <w:bookmarkEnd w:id="277"/>
      <w:bookmarkStart w:id="278" w:name="_Toc184310331"/>
      <w:bookmarkEnd w:id="278"/>
      <w:bookmarkStart w:id="279" w:name="_Toc184308096"/>
      <w:bookmarkEnd w:id="279"/>
      <w:bookmarkStart w:id="280" w:name="_Toc184308089"/>
      <w:bookmarkEnd w:id="280"/>
      <w:bookmarkStart w:id="281" w:name="_Toc184310306"/>
      <w:bookmarkEnd w:id="281"/>
      <w:bookmarkStart w:id="282" w:name="_Toc184308086"/>
      <w:bookmarkEnd w:id="282"/>
      <w:bookmarkStart w:id="283" w:name="_Toc184308063"/>
      <w:bookmarkEnd w:id="283"/>
      <w:bookmarkStart w:id="284" w:name="_Toc184310344"/>
      <w:bookmarkEnd w:id="284"/>
      <w:bookmarkStart w:id="285" w:name="_Toc184308069"/>
      <w:bookmarkEnd w:id="285"/>
      <w:bookmarkStart w:id="286" w:name="_Toc184313295"/>
      <w:bookmarkEnd w:id="286"/>
      <w:bookmarkStart w:id="287" w:name="_Toc184313250"/>
      <w:bookmarkEnd w:id="287"/>
      <w:bookmarkStart w:id="288" w:name="_Toc184312138"/>
      <w:bookmarkEnd w:id="288"/>
      <w:bookmarkStart w:id="289" w:name="_Toc184313269"/>
      <w:bookmarkEnd w:id="289"/>
      <w:bookmarkStart w:id="290" w:name="_Toc184312078"/>
      <w:bookmarkEnd w:id="290"/>
      <w:bookmarkStart w:id="291" w:name="_Toc184312128"/>
      <w:bookmarkEnd w:id="291"/>
      <w:bookmarkStart w:id="292" w:name="_Toc184312113"/>
      <w:bookmarkEnd w:id="292"/>
      <w:bookmarkStart w:id="293" w:name="_Toc184312119"/>
      <w:bookmarkEnd w:id="293"/>
      <w:bookmarkStart w:id="294" w:name="_Toc184314480"/>
      <w:bookmarkEnd w:id="294"/>
      <w:bookmarkStart w:id="295" w:name="_Toc184313288"/>
      <w:bookmarkEnd w:id="295"/>
      <w:bookmarkStart w:id="296" w:name="_Toc184314420"/>
      <w:bookmarkEnd w:id="296"/>
      <w:bookmarkStart w:id="297" w:name="_Toc184314432"/>
      <w:bookmarkEnd w:id="297"/>
      <w:bookmarkStart w:id="298" w:name="_Toc184308043"/>
      <w:bookmarkEnd w:id="298"/>
      <w:bookmarkStart w:id="299" w:name="_Toc184314464"/>
      <w:bookmarkEnd w:id="299"/>
      <w:bookmarkStart w:id="300" w:name="_Toc184314449"/>
      <w:bookmarkEnd w:id="300"/>
      <w:bookmarkStart w:id="301" w:name="_Toc184313293"/>
      <w:bookmarkEnd w:id="301"/>
      <w:bookmarkStart w:id="302" w:name="_Toc184312135"/>
      <w:bookmarkEnd w:id="302"/>
      <w:bookmarkStart w:id="303" w:name="_Toc184308071"/>
      <w:bookmarkEnd w:id="303"/>
      <w:bookmarkStart w:id="304" w:name="_Toc184313310"/>
      <w:bookmarkEnd w:id="304"/>
      <w:bookmarkStart w:id="305" w:name="_Toc184314448"/>
      <w:bookmarkEnd w:id="305"/>
      <w:bookmarkStart w:id="306" w:name="_Toc184313307"/>
      <w:bookmarkEnd w:id="306"/>
      <w:bookmarkStart w:id="307" w:name="_Toc184310312"/>
      <w:bookmarkEnd w:id="307"/>
      <w:bookmarkStart w:id="308" w:name="_Toc184313244"/>
      <w:bookmarkEnd w:id="308"/>
      <w:bookmarkStart w:id="309" w:name="_Toc184308060"/>
      <w:bookmarkEnd w:id="309"/>
      <w:bookmarkStart w:id="310" w:name="_Toc184314411"/>
      <w:bookmarkEnd w:id="310"/>
      <w:bookmarkStart w:id="311" w:name="_Toc184312074"/>
      <w:bookmarkEnd w:id="311"/>
      <w:bookmarkStart w:id="312" w:name="_Toc184312080"/>
      <w:bookmarkEnd w:id="312"/>
      <w:bookmarkStart w:id="313" w:name="_Toc184308037"/>
      <w:bookmarkEnd w:id="313"/>
      <w:bookmarkStart w:id="314" w:name="_Toc184313279"/>
      <w:bookmarkEnd w:id="314"/>
      <w:bookmarkStart w:id="315" w:name="_Toc184313255"/>
      <w:bookmarkEnd w:id="315"/>
      <w:bookmarkStart w:id="316" w:name="_Toc184310313"/>
      <w:bookmarkEnd w:id="316"/>
      <w:bookmarkStart w:id="317" w:name="_Toc184308095"/>
      <w:bookmarkEnd w:id="317"/>
      <w:bookmarkStart w:id="318" w:name="_Toc184310304"/>
      <w:bookmarkEnd w:id="318"/>
      <w:bookmarkStart w:id="319" w:name="_Toc184314425"/>
      <w:bookmarkEnd w:id="319"/>
      <w:bookmarkStart w:id="320" w:name="_Toc184308100"/>
      <w:bookmarkEnd w:id="320"/>
      <w:bookmarkStart w:id="321" w:name="_Toc184314439"/>
      <w:bookmarkEnd w:id="321"/>
      <w:bookmarkStart w:id="322" w:name="_Toc184313257"/>
      <w:bookmarkEnd w:id="322"/>
      <w:bookmarkStart w:id="323" w:name="_Toc184312072"/>
      <w:bookmarkEnd w:id="323"/>
      <w:bookmarkStart w:id="324" w:name="_Toc184312124"/>
      <w:bookmarkEnd w:id="324"/>
      <w:bookmarkStart w:id="325" w:name="_Toc184313248"/>
      <w:bookmarkEnd w:id="325"/>
      <w:bookmarkStart w:id="326" w:name="_Toc184308057"/>
      <w:bookmarkEnd w:id="326"/>
      <w:bookmarkStart w:id="327" w:name="_Toc184310285"/>
      <w:bookmarkEnd w:id="327"/>
      <w:bookmarkStart w:id="328" w:name="_Toc184308091"/>
      <w:bookmarkEnd w:id="328"/>
      <w:bookmarkStart w:id="329" w:name="_Toc184308044"/>
      <w:bookmarkEnd w:id="329"/>
      <w:bookmarkStart w:id="330" w:name="_Toc184308041"/>
      <w:bookmarkEnd w:id="330"/>
      <w:bookmarkStart w:id="331" w:name="_Toc184314434"/>
      <w:bookmarkEnd w:id="331"/>
      <w:bookmarkStart w:id="332" w:name="_Toc184308049"/>
      <w:bookmarkEnd w:id="332"/>
      <w:bookmarkStart w:id="333" w:name="_Toc184310333"/>
      <w:bookmarkEnd w:id="333"/>
      <w:bookmarkStart w:id="334" w:name="_Toc184310283"/>
      <w:bookmarkEnd w:id="334"/>
      <w:bookmarkStart w:id="335" w:name="_Toc184314417"/>
      <w:bookmarkEnd w:id="335"/>
      <w:bookmarkStart w:id="336" w:name="_Toc184310334"/>
      <w:bookmarkEnd w:id="336"/>
      <w:bookmarkStart w:id="337" w:name="_Toc184312108"/>
      <w:bookmarkEnd w:id="337"/>
      <w:bookmarkStart w:id="338" w:name="_Toc184314414"/>
      <w:bookmarkEnd w:id="338"/>
      <w:bookmarkStart w:id="339" w:name="_Toc184308046"/>
      <w:bookmarkEnd w:id="339"/>
      <w:bookmarkStart w:id="340" w:name="_Toc184310337"/>
      <w:bookmarkEnd w:id="340"/>
      <w:bookmarkStart w:id="341" w:name="_Toc184313308"/>
      <w:bookmarkEnd w:id="341"/>
      <w:bookmarkStart w:id="342" w:name="_Toc184312093"/>
      <w:bookmarkEnd w:id="342"/>
      <w:bookmarkStart w:id="343" w:name="_Toc184314442"/>
      <w:bookmarkEnd w:id="343"/>
      <w:bookmarkStart w:id="344" w:name="_Toc184313264"/>
      <w:bookmarkEnd w:id="344"/>
      <w:bookmarkStart w:id="345" w:name="_Toc184310339"/>
      <w:bookmarkEnd w:id="345"/>
      <w:bookmarkStart w:id="346" w:name="_Toc184308058"/>
      <w:bookmarkEnd w:id="346"/>
      <w:bookmarkStart w:id="347" w:name="_Toc184314427"/>
      <w:bookmarkEnd w:id="347"/>
      <w:bookmarkStart w:id="348" w:name="_Toc184310281"/>
      <w:bookmarkEnd w:id="348"/>
      <w:bookmarkStart w:id="349" w:name="_Toc184308103"/>
      <w:bookmarkEnd w:id="349"/>
      <w:bookmarkStart w:id="350" w:name="_Toc184313240"/>
      <w:bookmarkEnd w:id="350"/>
      <w:bookmarkStart w:id="351" w:name="_Toc184314460"/>
      <w:bookmarkEnd w:id="351"/>
      <w:bookmarkStart w:id="352" w:name="_Toc184310332"/>
      <w:bookmarkEnd w:id="352"/>
      <w:bookmarkStart w:id="353" w:name="_Toc184310297"/>
      <w:bookmarkEnd w:id="353"/>
      <w:bookmarkStart w:id="354" w:name="_Toc184308051"/>
      <w:bookmarkEnd w:id="354"/>
      <w:bookmarkStart w:id="355" w:name="_Toc184312111"/>
      <w:bookmarkEnd w:id="355"/>
      <w:bookmarkStart w:id="356" w:name="_Toc184314472"/>
      <w:bookmarkEnd w:id="356"/>
      <w:bookmarkStart w:id="357" w:name="_Toc184312134"/>
      <w:bookmarkEnd w:id="357"/>
      <w:bookmarkStart w:id="358" w:name="_Toc184313271"/>
      <w:bookmarkEnd w:id="358"/>
      <w:bookmarkStart w:id="359" w:name="_Toc184313286"/>
      <w:bookmarkEnd w:id="359"/>
      <w:bookmarkStart w:id="360" w:name="_Toc184314410"/>
      <w:bookmarkEnd w:id="360"/>
      <w:bookmarkStart w:id="361" w:name="_Toc184313274"/>
      <w:bookmarkEnd w:id="361"/>
      <w:bookmarkStart w:id="362" w:name="_Toc184308092"/>
      <w:bookmarkEnd w:id="362"/>
      <w:bookmarkStart w:id="363" w:name="_Toc184310311"/>
      <w:bookmarkEnd w:id="363"/>
      <w:bookmarkStart w:id="364" w:name="_Toc184312132"/>
      <w:bookmarkEnd w:id="364"/>
      <w:bookmarkStart w:id="365" w:name="_Toc184310276"/>
      <w:bookmarkEnd w:id="365"/>
      <w:bookmarkStart w:id="366" w:name="_Toc184312126"/>
      <w:bookmarkEnd w:id="366"/>
      <w:bookmarkStart w:id="367" w:name="_Toc184312104"/>
      <w:bookmarkEnd w:id="367"/>
      <w:bookmarkStart w:id="368" w:name="_Toc184312130"/>
      <w:bookmarkEnd w:id="368"/>
      <w:bookmarkStart w:id="369" w:name="_Toc184310289"/>
      <w:bookmarkEnd w:id="369"/>
      <w:bookmarkStart w:id="370" w:name="_Toc184308087"/>
      <w:bookmarkEnd w:id="370"/>
      <w:bookmarkStart w:id="371" w:name="_Toc184313265"/>
      <w:bookmarkEnd w:id="371"/>
      <w:bookmarkStart w:id="372" w:name="_Toc184314452"/>
      <w:bookmarkEnd w:id="372"/>
      <w:bookmarkStart w:id="373" w:name="_Toc184308104"/>
      <w:bookmarkEnd w:id="373"/>
      <w:bookmarkStart w:id="374" w:name="_Toc184312105"/>
      <w:bookmarkEnd w:id="374"/>
      <w:bookmarkStart w:id="375" w:name="_Toc184310340"/>
      <w:bookmarkEnd w:id="375"/>
      <w:bookmarkStart w:id="376" w:name="_Toc184313304"/>
      <w:bookmarkEnd w:id="376"/>
      <w:bookmarkStart w:id="377" w:name="_Toc184313300"/>
      <w:bookmarkEnd w:id="377"/>
      <w:bookmarkStart w:id="378" w:name="_Toc184310277"/>
      <w:bookmarkEnd w:id="378"/>
      <w:bookmarkStart w:id="379" w:name="_Toc184313273"/>
      <w:bookmarkEnd w:id="379"/>
      <w:bookmarkStart w:id="380" w:name="_Toc184308075"/>
      <w:bookmarkEnd w:id="380"/>
      <w:bookmarkStart w:id="381" w:name="_Toc184312096"/>
      <w:bookmarkEnd w:id="381"/>
      <w:bookmarkStart w:id="382" w:name="_Toc184310300"/>
      <w:bookmarkEnd w:id="382"/>
      <w:bookmarkStart w:id="383" w:name="_Toc184314423"/>
      <w:bookmarkEnd w:id="383"/>
      <w:bookmarkStart w:id="384" w:name="_Toc184310328"/>
      <w:bookmarkEnd w:id="384"/>
      <w:bookmarkStart w:id="385" w:name="_Toc184310342"/>
      <w:bookmarkEnd w:id="385"/>
      <w:bookmarkStart w:id="386" w:name="_Toc184313267"/>
      <w:bookmarkEnd w:id="386"/>
      <w:bookmarkStart w:id="387" w:name="_Toc184314457"/>
      <w:bookmarkEnd w:id="387"/>
      <w:bookmarkStart w:id="388" w:name="_Toc184313291"/>
      <w:bookmarkEnd w:id="388"/>
      <w:bookmarkStart w:id="389" w:name="_Toc184312101"/>
      <w:bookmarkEnd w:id="389"/>
      <w:bookmarkStart w:id="390" w:name="_Toc184314479"/>
      <w:bookmarkEnd w:id="390"/>
      <w:bookmarkStart w:id="391" w:name="_Toc184314446"/>
      <w:bookmarkEnd w:id="391"/>
      <w:bookmarkStart w:id="392" w:name="_Toc184308105"/>
      <w:bookmarkEnd w:id="392"/>
      <w:bookmarkStart w:id="393" w:name="_Toc184314413"/>
      <w:bookmarkEnd w:id="393"/>
      <w:r>
        <w:rPr>
          <w:rFonts w:hint="eastAsia" w:cs="仿宋" w:asciiTheme="majorEastAsia" w:hAnsiTheme="majorEastAsia" w:eastAsiaTheme="majorEastAsia"/>
          <w:b/>
          <w:color w:val="auto"/>
          <w:sz w:val="36"/>
          <w:szCs w:val="36"/>
          <w:highlight w:val="none"/>
        </w:rPr>
        <w:t>评标办法</w:t>
      </w:r>
    </w:p>
    <w:p w14:paraId="2FCAF21D">
      <w:pPr>
        <w:shd w:val="clear"/>
        <w:snapToGrid w:val="0"/>
        <w:spacing w:line="360" w:lineRule="auto"/>
        <w:jc w:val="center"/>
        <w:rPr>
          <w:rFonts w:cs="仿宋" w:asciiTheme="majorEastAsia" w:hAnsiTheme="majorEastAsia" w:eastAsiaTheme="majorEastAsia"/>
          <w:color w:val="auto"/>
          <w:sz w:val="20"/>
          <w:szCs w:val="20"/>
          <w:highlight w:val="none"/>
        </w:rPr>
      </w:pPr>
      <w:r>
        <w:rPr>
          <w:rFonts w:hint="eastAsia" w:cs="仿宋" w:asciiTheme="majorEastAsia" w:hAnsiTheme="majorEastAsia" w:eastAsiaTheme="majorEastAsia"/>
          <w:b/>
          <w:color w:val="auto"/>
          <w:sz w:val="32"/>
          <w:szCs w:val="20"/>
          <w:highlight w:val="none"/>
        </w:rPr>
        <w:t>评标办法前附表</w:t>
      </w:r>
    </w:p>
    <w:tbl>
      <w:tblPr>
        <w:tblStyle w:val="18"/>
        <w:tblW w:w="992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849"/>
        <w:gridCol w:w="7020"/>
      </w:tblGrid>
      <w:tr w14:paraId="78A4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58" w:type="dxa"/>
            <w:tcBorders>
              <w:top w:val="single" w:color="auto" w:sz="4" w:space="0"/>
              <w:left w:val="single" w:color="auto" w:sz="4" w:space="0"/>
              <w:bottom w:val="single" w:color="auto" w:sz="4" w:space="0"/>
              <w:right w:val="single" w:color="auto" w:sz="4" w:space="0"/>
            </w:tcBorders>
            <w:vAlign w:val="center"/>
          </w:tcPr>
          <w:p w14:paraId="6FD20173">
            <w:pPr>
              <w:shd w:val="clea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w:t>
            </w:r>
          </w:p>
        </w:tc>
        <w:tc>
          <w:tcPr>
            <w:tcW w:w="8869" w:type="dxa"/>
            <w:gridSpan w:val="2"/>
            <w:tcBorders>
              <w:top w:val="single" w:color="auto" w:sz="4" w:space="0"/>
              <w:left w:val="single" w:color="auto" w:sz="4" w:space="0"/>
              <w:bottom w:val="single" w:color="auto" w:sz="4" w:space="0"/>
              <w:right w:val="single" w:color="auto" w:sz="4" w:space="0"/>
            </w:tcBorders>
            <w:vAlign w:val="center"/>
          </w:tcPr>
          <w:p w14:paraId="0E6BD249">
            <w:pPr>
              <w:shd w:val="clea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评分标准</w:t>
            </w:r>
          </w:p>
        </w:tc>
      </w:tr>
      <w:tr w14:paraId="0340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58" w:type="dxa"/>
            <w:vMerge w:val="restart"/>
            <w:tcBorders>
              <w:top w:val="single" w:color="auto" w:sz="4" w:space="0"/>
              <w:left w:val="single" w:color="auto" w:sz="4" w:space="0"/>
              <w:right w:val="single" w:color="auto" w:sz="4" w:space="0"/>
            </w:tcBorders>
            <w:vAlign w:val="center"/>
          </w:tcPr>
          <w:p w14:paraId="7A49C97E">
            <w:pPr>
              <w:shd w:val="clear"/>
              <w:rPr>
                <w:rFonts w:asciiTheme="minorEastAsia" w:hAnsiTheme="minorEastAsia" w:eastAsiaTheme="minorEastAsia" w:cstheme="minorEastAsia"/>
                <w:color w:val="auto"/>
                <w:sz w:val="24"/>
                <w:highlight w:val="none"/>
              </w:rPr>
            </w:pPr>
          </w:p>
          <w:p w14:paraId="1503EE9C">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技术资信</w:t>
            </w:r>
          </w:p>
          <w:p w14:paraId="4F65FED3">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分（80分）</w:t>
            </w:r>
          </w:p>
        </w:tc>
        <w:tc>
          <w:tcPr>
            <w:tcW w:w="1849" w:type="dxa"/>
            <w:vMerge w:val="restart"/>
            <w:tcBorders>
              <w:top w:val="single" w:color="auto" w:sz="4" w:space="0"/>
              <w:left w:val="single" w:color="auto" w:sz="4" w:space="0"/>
              <w:right w:val="single" w:color="auto" w:sz="4" w:space="0"/>
            </w:tcBorders>
            <w:vAlign w:val="center"/>
          </w:tcPr>
          <w:p w14:paraId="00B67C15">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1、服务方案（42分）</w:t>
            </w:r>
          </w:p>
        </w:tc>
        <w:tc>
          <w:tcPr>
            <w:tcW w:w="7020" w:type="dxa"/>
            <w:tcBorders>
              <w:top w:val="single" w:color="auto" w:sz="4" w:space="0"/>
              <w:left w:val="single" w:color="auto" w:sz="4" w:space="0"/>
              <w:right w:val="single" w:color="auto" w:sz="4" w:space="0"/>
            </w:tcBorders>
            <w:vAlign w:val="center"/>
          </w:tcPr>
          <w:p w14:paraId="6DCB83E9">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①根据投标人对渔船安全检查整体方案全面、具体详细的得2分；方案思路清晰的得2分；针对性强的得2分；以上内容有所欠缺的对应项得1分；未提供的或内容不合理的对应项不得分；最高得6分。</w:t>
            </w:r>
          </w:p>
        </w:tc>
      </w:tr>
      <w:tr w14:paraId="1D3D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58" w:type="dxa"/>
            <w:vMerge w:val="continue"/>
            <w:tcBorders>
              <w:left w:val="single" w:color="auto" w:sz="4" w:space="0"/>
              <w:right w:val="single" w:color="auto" w:sz="4" w:space="0"/>
            </w:tcBorders>
            <w:vAlign w:val="center"/>
          </w:tcPr>
          <w:p w14:paraId="075D45F3">
            <w:pPr>
              <w:shd w:val="clear"/>
              <w:rPr>
                <w:rFonts w:asciiTheme="minorEastAsia" w:hAnsiTheme="minorEastAsia" w:eastAsiaTheme="minorEastAsia" w:cstheme="minorEastAsia"/>
                <w:color w:val="auto"/>
                <w:sz w:val="24"/>
                <w:highlight w:val="none"/>
              </w:rPr>
            </w:pPr>
          </w:p>
        </w:tc>
        <w:tc>
          <w:tcPr>
            <w:tcW w:w="1849" w:type="dxa"/>
            <w:vMerge w:val="continue"/>
            <w:tcBorders>
              <w:left w:val="single" w:color="auto" w:sz="4" w:space="0"/>
              <w:right w:val="single" w:color="auto" w:sz="4" w:space="0"/>
            </w:tcBorders>
            <w:vAlign w:val="center"/>
          </w:tcPr>
          <w:p w14:paraId="292C253B">
            <w:pPr>
              <w:shd w:val="clear"/>
              <w:rPr>
                <w:rFonts w:asciiTheme="minorEastAsia" w:hAnsiTheme="minorEastAsia" w:eastAsiaTheme="minorEastAsia" w:cstheme="minorEastAsia"/>
                <w:color w:val="auto"/>
                <w:sz w:val="24"/>
                <w:highlight w:val="none"/>
              </w:rPr>
            </w:pPr>
          </w:p>
        </w:tc>
        <w:tc>
          <w:tcPr>
            <w:tcW w:w="7020" w:type="dxa"/>
            <w:vAlign w:val="center"/>
          </w:tcPr>
          <w:p w14:paraId="233C6222">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②根据投标人对渔船安全检查</w:t>
            </w:r>
            <w:r>
              <w:rPr>
                <w:rFonts w:hint="eastAsia" w:asciiTheme="minorEastAsia" w:hAnsiTheme="minorEastAsia" w:eastAsiaTheme="minorEastAsia" w:cstheme="minorEastAsia"/>
                <w:color w:val="auto"/>
                <w:sz w:val="24"/>
                <w:highlight w:val="none"/>
                <w:lang w:val="en-US" w:eastAsia="zh-CN"/>
              </w:rPr>
              <w:t>流程</w:t>
            </w:r>
            <w:r>
              <w:rPr>
                <w:rFonts w:hint="eastAsia" w:asciiTheme="minorEastAsia" w:hAnsiTheme="minorEastAsia" w:eastAsiaTheme="minorEastAsia" w:cstheme="minorEastAsia"/>
                <w:color w:val="auto"/>
                <w:sz w:val="24"/>
                <w:highlight w:val="none"/>
              </w:rPr>
              <w:t>方案全面、具体详细的得2分；方案思路清晰的得2分；针对性强的得2分；以上内容有所欠缺的对应项得1分；未提供的或内容不合理的对应项不得分；最高得6分。</w:t>
            </w:r>
          </w:p>
        </w:tc>
      </w:tr>
      <w:tr w14:paraId="0F6D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58" w:type="dxa"/>
            <w:vMerge w:val="continue"/>
            <w:tcBorders>
              <w:left w:val="single" w:color="auto" w:sz="4" w:space="0"/>
              <w:right w:val="single" w:color="auto" w:sz="4" w:space="0"/>
            </w:tcBorders>
            <w:vAlign w:val="center"/>
          </w:tcPr>
          <w:p w14:paraId="59AB367D">
            <w:pPr>
              <w:shd w:val="clear"/>
              <w:rPr>
                <w:rFonts w:asciiTheme="minorEastAsia" w:hAnsiTheme="minorEastAsia" w:eastAsiaTheme="minorEastAsia" w:cstheme="minorEastAsia"/>
                <w:color w:val="auto"/>
                <w:sz w:val="24"/>
                <w:highlight w:val="none"/>
              </w:rPr>
            </w:pPr>
          </w:p>
        </w:tc>
        <w:tc>
          <w:tcPr>
            <w:tcW w:w="1849" w:type="dxa"/>
            <w:vMerge w:val="continue"/>
            <w:tcBorders>
              <w:left w:val="single" w:color="auto" w:sz="4" w:space="0"/>
              <w:right w:val="single" w:color="auto" w:sz="4" w:space="0"/>
            </w:tcBorders>
            <w:vAlign w:val="center"/>
          </w:tcPr>
          <w:p w14:paraId="01AEAEAF">
            <w:pPr>
              <w:shd w:val="clear"/>
              <w:rPr>
                <w:rFonts w:asciiTheme="minorEastAsia" w:hAnsiTheme="minorEastAsia" w:eastAsiaTheme="minorEastAsia" w:cstheme="minorEastAsia"/>
                <w:color w:val="auto"/>
                <w:sz w:val="24"/>
                <w:highlight w:val="none"/>
              </w:rPr>
            </w:pPr>
          </w:p>
        </w:tc>
        <w:tc>
          <w:tcPr>
            <w:tcW w:w="7020" w:type="dxa"/>
            <w:vAlign w:val="center"/>
          </w:tcPr>
          <w:p w14:paraId="2F26C1FA">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③根据投标人对渔船安全检查质量保障措施全面、具体详细的得2分；质量保障措施有利于项目实施的得2分；针对性强的得2分；以上内容有所欠缺的对应项得1分；未提供的或内容不合理的对应项不得分；最高得6分。</w:t>
            </w:r>
          </w:p>
        </w:tc>
      </w:tr>
      <w:tr w14:paraId="4BF2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58" w:type="dxa"/>
            <w:vMerge w:val="continue"/>
            <w:tcBorders>
              <w:left w:val="single" w:color="auto" w:sz="4" w:space="0"/>
              <w:right w:val="single" w:color="auto" w:sz="4" w:space="0"/>
            </w:tcBorders>
            <w:vAlign w:val="center"/>
          </w:tcPr>
          <w:p w14:paraId="33A7ED8D">
            <w:pPr>
              <w:shd w:val="clear"/>
              <w:rPr>
                <w:rFonts w:asciiTheme="minorEastAsia" w:hAnsiTheme="minorEastAsia" w:eastAsiaTheme="minorEastAsia" w:cstheme="minorEastAsia"/>
                <w:color w:val="auto"/>
                <w:sz w:val="24"/>
                <w:highlight w:val="none"/>
              </w:rPr>
            </w:pPr>
          </w:p>
        </w:tc>
        <w:tc>
          <w:tcPr>
            <w:tcW w:w="1849" w:type="dxa"/>
            <w:vMerge w:val="continue"/>
            <w:tcBorders>
              <w:left w:val="single" w:color="auto" w:sz="4" w:space="0"/>
              <w:right w:val="single" w:color="auto" w:sz="4" w:space="0"/>
            </w:tcBorders>
            <w:vAlign w:val="center"/>
          </w:tcPr>
          <w:p w14:paraId="35AC77C6">
            <w:pPr>
              <w:shd w:val="clear"/>
              <w:rPr>
                <w:rFonts w:asciiTheme="minorEastAsia" w:hAnsiTheme="minorEastAsia" w:eastAsiaTheme="minorEastAsia" w:cstheme="minorEastAsia"/>
                <w:color w:val="auto"/>
                <w:sz w:val="24"/>
                <w:highlight w:val="none"/>
              </w:rPr>
            </w:pPr>
          </w:p>
        </w:tc>
        <w:tc>
          <w:tcPr>
            <w:tcW w:w="7020" w:type="dxa"/>
            <w:vAlign w:val="center"/>
          </w:tcPr>
          <w:p w14:paraId="5990C27E">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④根据投标人对渔船安全检查安全保障措施全面、具体详细的得2分；方案思路清晰的得2分；针对性强的得2分；以上内容有所欠缺的对应项得1分；未提供的或内容不合理的对应项不得分；最高得6分。</w:t>
            </w:r>
          </w:p>
        </w:tc>
      </w:tr>
      <w:tr w14:paraId="3BB8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58" w:type="dxa"/>
            <w:vMerge w:val="continue"/>
            <w:tcBorders>
              <w:left w:val="single" w:color="auto" w:sz="4" w:space="0"/>
              <w:right w:val="single" w:color="auto" w:sz="4" w:space="0"/>
            </w:tcBorders>
            <w:vAlign w:val="center"/>
          </w:tcPr>
          <w:p w14:paraId="7DC777D9">
            <w:pPr>
              <w:shd w:val="clear"/>
              <w:rPr>
                <w:rFonts w:asciiTheme="minorEastAsia" w:hAnsiTheme="minorEastAsia" w:eastAsiaTheme="minorEastAsia" w:cstheme="minorEastAsia"/>
                <w:color w:val="auto"/>
                <w:sz w:val="24"/>
                <w:highlight w:val="none"/>
              </w:rPr>
            </w:pPr>
          </w:p>
        </w:tc>
        <w:tc>
          <w:tcPr>
            <w:tcW w:w="1849" w:type="dxa"/>
            <w:vMerge w:val="continue"/>
            <w:tcBorders>
              <w:left w:val="single" w:color="auto" w:sz="4" w:space="0"/>
              <w:right w:val="single" w:color="auto" w:sz="4" w:space="0"/>
            </w:tcBorders>
            <w:vAlign w:val="center"/>
          </w:tcPr>
          <w:p w14:paraId="18CBB777">
            <w:pPr>
              <w:shd w:val="clear"/>
              <w:rPr>
                <w:rFonts w:asciiTheme="minorEastAsia" w:hAnsiTheme="minorEastAsia" w:eastAsiaTheme="minorEastAsia" w:cstheme="minorEastAsia"/>
                <w:color w:val="auto"/>
                <w:sz w:val="24"/>
                <w:highlight w:val="none"/>
              </w:rPr>
            </w:pPr>
          </w:p>
        </w:tc>
        <w:tc>
          <w:tcPr>
            <w:tcW w:w="7020" w:type="dxa"/>
            <w:vAlign w:val="center"/>
          </w:tcPr>
          <w:p w14:paraId="07DFE516">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⑤根据投标人对渔船安全检查服务质量承诺内容具体详细的得2分；服务质量承诺有利于项目实施的得2分；针对性强的得2分；以上内容有所欠缺的对应项得1分；未提供的或内容不合理的对应项不得分；最高得6分。</w:t>
            </w:r>
          </w:p>
        </w:tc>
      </w:tr>
      <w:tr w14:paraId="4C0C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58" w:type="dxa"/>
            <w:vMerge w:val="continue"/>
            <w:tcBorders>
              <w:left w:val="single" w:color="auto" w:sz="4" w:space="0"/>
              <w:right w:val="single" w:color="auto" w:sz="4" w:space="0"/>
            </w:tcBorders>
            <w:vAlign w:val="center"/>
          </w:tcPr>
          <w:p w14:paraId="58993604">
            <w:pPr>
              <w:shd w:val="clear"/>
              <w:rPr>
                <w:rFonts w:asciiTheme="minorEastAsia" w:hAnsiTheme="minorEastAsia" w:eastAsiaTheme="minorEastAsia" w:cstheme="minorEastAsia"/>
                <w:color w:val="auto"/>
                <w:sz w:val="24"/>
                <w:highlight w:val="none"/>
              </w:rPr>
            </w:pPr>
          </w:p>
        </w:tc>
        <w:tc>
          <w:tcPr>
            <w:tcW w:w="1849" w:type="dxa"/>
            <w:vMerge w:val="continue"/>
            <w:tcBorders>
              <w:left w:val="single" w:color="auto" w:sz="4" w:space="0"/>
              <w:right w:val="single" w:color="auto" w:sz="4" w:space="0"/>
            </w:tcBorders>
            <w:vAlign w:val="center"/>
          </w:tcPr>
          <w:p w14:paraId="7E71EAC6">
            <w:pPr>
              <w:shd w:val="clear"/>
              <w:rPr>
                <w:rFonts w:asciiTheme="minorEastAsia" w:hAnsiTheme="minorEastAsia" w:eastAsiaTheme="minorEastAsia" w:cstheme="minorEastAsia"/>
                <w:color w:val="auto"/>
                <w:sz w:val="24"/>
                <w:highlight w:val="none"/>
              </w:rPr>
            </w:pPr>
          </w:p>
        </w:tc>
        <w:tc>
          <w:tcPr>
            <w:tcW w:w="7020" w:type="dxa"/>
            <w:vAlign w:val="center"/>
          </w:tcPr>
          <w:p w14:paraId="2454BC80">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⑥根据投标人对目前所有渔船安全情况现状分析全面、具体详细的得2分；设施设备调查全面的得2分；针对性强的得2分；以上内容有所欠缺的对应项得1分；未提供的或内容不合理的对应项不得分；最高得6分。</w:t>
            </w:r>
          </w:p>
        </w:tc>
      </w:tr>
      <w:tr w14:paraId="23BC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58" w:type="dxa"/>
            <w:vMerge w:val="continue"/>
            <w:tcBorders>
              <w:left w:val="single" w:color="auto" w:sz="4" w:space="0"/>
              <w:right w:val="single" w:color="auto" w:sz="4" w:space="0"/>
            </w:tcBorders>
            <w:vAlign w:val="center"/>
          </w:tcPr>
          <w:p w14:paraId="5812C364">
            <w:pPr>
              <w:shd w:val="clear"/>
              <w:rPr>
                <w:rFonts w:asciiTheme="minorEastAsia" w:hAnsiTheme="minorEastAsia" w:eastAsiaTheme="minorEastAsia" w:cstheme="minorEastAsia"/>
                <w:color w:val="auto"/>
                <w:sz w:val="24"/>
                <w:highlight w:val="none"/>
              </w:rPr>
            </w:pPr>
          </w:p>
        </w:tc>
        <w:tc>
          <w:tcPr>
            <w:tcW w:w="1849" w:type="dxa"/>
            <w:vMerge w:val="continue"/>
            <w:tcBorders>
              <w:left w:val="single" w:color="auto" w:sz="4" w:space="0"/>
              <w:right w:val="single" w:color="auto" w:sz="4" w:space="0"/>
            </w:tcBorders>
            <w:vAlign w:val="center"/>
          </w:tcPr>
          <w:p w14:paraId="3AF2D5DD">
            <w:pPr>
              <w:shd w:val="clear"/>
              <w:rPr>
                <w:rFonts w:asciiTheme="minorEastAsia" w:hAnsiTheme="minorEastAsia" w:eastAsiaTheme="minorEastAsia" w:cstheme="minorEastAsia"/>
                <w:color w:val="auto"/>
                <w:sz w:val="24"/>
                <w:highlight w:val="none"/>
              </w:rPr>
            </w:pPr>
          </w:p>
        </w:tc>
        <w:tc>
          <w:tcPr>
            <w:tcW w:w="7020" w:type="dxa"/>
            <w:vAlign w:val="center"/>
          </w:tcPr>
          <w:p w14:paraId="7296A899">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⑦</w:t>
            </w:r>
            <w:r>
              <w:rPr>
                <w:rFonts w:hint="eastAsia" w:asciiTheme="minorEastAsia" w:hAnsiTheme="minorEastAsia" w:eastAsiaTheme="minorEastAsia" w:cstheme="minorEastAsia"/>
                <w:color w:val="auto"/>
                <w:sz w:val="24"/>
                <w:highlight w:val="none"/>
              </w:rPr>
              <w:t>根据投标人对服务过程中重难点分析全面、具体详细的得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分；解决方案科学规范的得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分；保障措施描述详细且针对性强的得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分；以上内容有所欠缺的对应项得</w:t>
            </w:r>
            <w:r>
              <w:rPr>
                <w:rFonts w:hint="eastAsia" w:asciiTheme="minorEastAsia" w:hAnsiTheme="minorEastAsia" w:eastAsiaTheme="minorEastAsia" w:cstheme="minorEastAsia"/>
                <w:color w:val="auto"/>
                <w:sz w:val="24"/>
                <w:highlight w:val="none"/>
                <w:lang w:val="en-US" w:eastAsia="zh-CN"/>
              </w:rPr>
              <w:t>0.5</w:t>
            </w:r>
            <w:r>
              <w:rPr>
                <w:rFonts w:hint="eastAsia" w:asciiTheme="minorEastAsia" w:hAnsiTheme="minorEastAsia" w:eastAsiaTheme="minorEastAsia" w:cstheme="minorEastAsia"/>
                <w:color w:val="auto"/>
                <w:sz w:val="24"/>
                <w:highlight w:val="none"/>
              </w:rPr>
              <w:t>分；未提供的或内容不合理的对应项不得分；最高得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tc>
      </w:tr>
      <w:tr w14:paraId="3744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continue"/>
            <w:tcBorders>
              <w:left w:val="single" w:color="auto" w:sz="4" w:space="0"/>
              <w:right w:val="single" w:color="auto" w:sz="4" w:space="0"/>
            </w:tcBorders>
            <w:vAlign w:val="center"/>
          </w:tcPr>
          <w:p w14:paraId="38DCF7BD">
            <w:pPr>
              <w:shd w:val="clear"/>
              <w:rPr>
                <w:rFonts w:asciiTheme="minorEastAsia" w:hAnsiTheme="minorEastAsia" w:eastAsiaTheme="minorEastAsia" w:cstheme="minorEastAsia"/>
                <w:color w:val="auto"/>
                <w:sz w:val="24"/>
                <w:highlight w:val="none"/>
              </w:rPr>
            </w:pPr>
          </w:p>
        </w:tc>
        <w:tc>
          <w:tcPr>
            <w:tcW w:w="1849" w:type="dxa"/>
            <w:vMerge w:val="continue"/>
            <w:tcBorders>
              <w:left w:val="single" w:color="auto" w:sz="4" w:space="0"/>
              <w:right w:val="single" w:color="auto" w:sz="4" w:space="0"/>
            </w:tcBorders>
            <w:vAlign w:val="center"/>
          </w:tcPr>
          <w:p w14:paraId="3E39D7F5">
            <w:pPr>
              <w:shd w:val="clear"/>
              <w:rPr>
                <w:rFonts w:asciiTheme="minorEastAsia" w:hAnsiTheme="minorEastAsia" w:eastAsiaTheme="minorEastAsia" w:cstheme="minorEastAsia"/>
                <w:color w:val="auto"/>
                <w:sz w:val="24"/>
                <w:highlight w:val="none"/>
              </w:rPr>
            </w:pPr>
          </w:p>
        </w:tc>
        <w:tc>
          <w:tcPr>
            <w:tcW w:w="7020" w:type="dxa"/>
            <w:vAlign w:val="center"/>
          </w:tcPr>
          <w:p w14:paraId="1CFAFA4A">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⑧</w:t>
            </w:r>
            <w:r>
              <w:rPr>
                <w:rFonts w:hint="eastAsia" w:asciiTheme="minorEastAsia" w:hAnsiTheme="minorEastAsia" w:eastAsiaTheme="minorEastAsia" w:cstheme="minorEastAsia"/>
                <w:color w:val="auto"/>
                <w:sz w:val="24"/>
                <w:highlight w:val="none"/>
              </w:rPr>
              <w:t>根据投标人对本项目服务成果保障方案全面、具体详细的得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分；方案思路清晰的得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分；保障措施描述详细且针对性强的得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分；以上内容有所欠缺的对应项得</w:t>
            </w:r>
            <w:r>
              <w:rPr>
                <w:rFonts w:hint="eastAsia" w:asciiTheme="minorEastAsia" w:hAnsiTheme="minorEastAsia" w:eastAsiaTheme="minorEastAsia" w:cstheme="minorEastAsia"/>
                <w:color w:val="auto"/>
                <w:sz w:val="24"/>
                <w:highlight w:val="none"/>
                <w:lang w:val="en-US" w:eastAsia="zh-CN"/>
              </w:rPr>
              <w:t>0.5</w:t>
            </w:r>
            <w:r>
              <w:rPr>
                <w:rFonts w:hint="eastAsia" w:asciiTheme="minorEastAsia" w:hAnsiTheme="minorEastAsia" w:eastAsiaTheme="minorEastAsia" w:cstheme="minorEastAsia"/>
                <w:color w:val="auto"/>
                <w:sz w:val="24"/>
                <w:highlight w:val="none"/>
              </w:rPr>
              <w:t>分；未提供的或内容不合理的对应项不得分；最高得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tc>
      </w:tr>
      <w:tr w14:paraId="2A55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1058" w:type="dxa"/>
            <w:vMerge w:val="continue"/>
            <w:tcBorders>
              <w:left w:val="single" w:color="auto" w:sz="4" w:space="0"/>
              <w:right w:val="single" w:color="auto" w:sz="4" w:space="0"/>
            </w:tcBorders>
            <w:vAlign w:val="center"/>
          </w:tcPr>
          <w:p w14:paraId="7CE72097">
            <w:pPr>
              <w:shd w:val="clear"/>
              <w:rPr>
                <w:rFonts w:asciiTheme="minorEastAsia" w:hAnsiTheme="minorEastAsia" w:eastAsiaTheme="minorEastAsia" w:cstheme="minorEastAsia"/>
                <w:color w:val="auto"/>
                <w:sz w:val="24"/>
                <w:highlight w:val="none"/>
              </w:rPr>
            </w:pPr>
          </w:p>
        </w:tc>
        <w:tc>
          <w:tcPr>
            <w:tcW w:w="1849" w:type="dxa"/>
            <w:tcBorders>
              <w:left w:val="single" w:color="auto" w:sz="4" w:space="0"/>
              <w:right w:val="single" w:color="auto" w:sz="4" w:space="0"/>
            </w:tcBorders>
            <w:vAlign w:val="center"/>
          </w:tcPr>
          <w:p w14:paraId="31475931">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、工作进度安排（8分）</w:t>
            </w:r>
          </w:p>
        </w:tc>
        <w:tc>
          <w:tcPr>
            <w:tcW w:w="7020" w:type="dxa"/>
            <w:vAlign w:val="center"/>
          </w:tcPr>
          <w:p w14:paraId="5FB93F72">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人对本项目的全年工作进度安排具体详细的得2分；全年工作进度安排思路清晰的得2分；针对性强的得2分；工作进度安排有利于项目实施的得2分；以上内容有所欠缺的对应项得1分；未提供的或内容不合理的对应项不得分；最高得8分。</w:t>
            </w:r>
          </w:p>
        </w:tc>
      </w:tr>
      <w:tr w14:paraId="4C35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58" w:type="dxa"/>
            <w:vMerge w:val="continue"/>
            <w:tcBorders>
              <w:left w:val="single" w:color="auto" w:sz="4" w:space="0"/>
              <w:right w:val="single" w:color="auto" w:sz="4" w:space="0"/>
            </w:tcBorders>
            <w:vAlign w:val="center"/>
          </w:tcPr>
          <w:p w14:paraId="1F126F8F">
            <w:pPr>
              <w:shd w:val="clear"/>
              <w:rPr>
                <w:rFonts w:asciiTheme="minorEastAsia" w:hAnsiTheme="minorEastAsia" w:eastAsiaTheme="minorEastAsia" w:cstheme="minorEastAsia"/>
                <w:color w:val="auto"/>
                <w:sz w:val="24"/>
                <w:highlight w:val="none"/>
              </w:rPr>
            </w:pPr>
          </w:p>
        </w:tc>
        <w:tc>
          <w:tcPr>
            <w:tcW w:w="1849" w:type="dxa"/>
            <w:vMerge w:val="restart"/>
            <w:tcBorders>
              <w:left w:val="single" w:color="auto" w:sz="4" w:space="0"/>
              <w:right w:val="single" w:color="auto" w:sz="4" w:space="0"/>
            </w:tcBorders>
            <w:vAlign w:val="center"/>
          </w:tcPr>
          <w:p w14:paraId="524A5C49">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、人员配备（18分）注：所配备的人员须提供2025年04月或05月社保缴纳证明复印件，否则不得分。</w:t>
            </w:r>
          </w:p>
        </w:tc>
        <w:tc>
          <w:tcPr>
            <w:tcW w:w="7020" w:type="dxa"/>
            <w:vAlign w:val="center"/>
          </w:tcPr>
          <w:p w14:paraId="3DB98A86">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①根据投标人对本项目配备的项目负责人具有高级及以上职称的得2分；具有同类项目工作经验的得2分；共4分。（投标文件中提供证书等相关证明材料）</w:t>
            </w:r>
          </w:p>
        </w:tc>
      </w:tr>
      <w:tr w14:paraId="4E07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58" w:type="dxa"/>
            <w:vMerge w:val="continue"/>
            <w:tcBorders>
              <w:left w:val="single" w:color="auto" w:sz="4" w:space="0"/>
              <w:right w:val="single" w:color="auto" w:sz="4" w:space="0"/>
            </w:tcBorders>
            <w:vAlign w:val="center"/>
          </w:tcPr>
          <w:p w14:paraId="21A580BC">
            <w:pPr>
              <w:shd w:val="clear"/>
              <w:rPr>
                <w:rFonts w:asciiTheme="minorEastAsia" w:hAnsiTheme="minorEastAsia" w:eastAsiaTheme="minorEastAsia" w:cstheme="minorEastAsia"/>
                <w:color w:val="auto"/>
                <w:sz w:val="24"/>
                <w:highlight w:val="none"/>
              </w:rPr>
            </w:pPr>
          </w:p>
        </w:tc>
        <w:tc>
          <w:tcPr>
            <w:tcW w:w="1849" w:type="dxa"/>
            <w:vMerge w:val="continue"/>
            <w:tcBorders>
              <w:left w:val="single" w:color="auto" w:sz="4" w:space="0"/>
              <w:right w:val="single" w:color="auto" w:sz="4" w:space="0"/>
            </w:tcBorders>
            <w:vAlign w:val="center"/>
          </w:tcPr>
          <w:p w14:paraId="3500F467">
            <w:pPr>
              <w:shd w:val="clear"/>
              <w:rPr>
                <w:rFonts w:asciiTheme="minorEastAsia" w:hAnsiTheme="minorEastAsia" w:eastAsiaTheme="minorEastAsia" w:cstheme="minorEastAsia"/>
                <w:color w:val="auto"/>
                <w:sz w:val="24"/>
                <w:highlight w:val="none"/>
              </w:rPr>
            </w:pPr>
          </w:p>
        </w:tc>
        <w:tc>
          <w:tcPr>
            <w:tcW w:w="7020" w:type="dxa"/>
            <w:vAlign w:val="center"/>
          </w:tcPr>
          <w:p w14:paraId="1A85169A">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②根据投标人对本项目配备的技术负责人具有高级及以上职称的得2分；具有同类项目工作经验的得2分；共4分。（投标文件中提供证书等相关证明材料）</w:t>
            </w:r>
          </w:p>
        </w:tc>
      </w:tr>
      <w:tr w14:paraId="2FF1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58" w:type="dxa"/>
            <w:vMerge w:val="continue"/>
            <w:tcBorders>
              <w:left w:val="single" w:color="auto" w:sz="4" w:space="0"/>
              <w:right w:val="single" w:color="auto" w:sz="4" w:space="0"/>
            </w:tcBorders>
            <w:vAlign w:val="center"/>
          </w:tcPr>
          <w:p w14:paraId="0ACB142C">
            <w:pPr>
              <w:shd w:val="clear"/>
              <w:rPr>
                <w:rFonts w:asciiTheme="minorEastAsia" w:hAnsiTheme="minorEastAsia" w:eastAsiaTheme="minorEastAsia" w:cstheme="minorEastAsia"/>
                <w:color w:val="auto"/>
                <w:sz w:val="24"/>
                <w:highlight w:val="none"/>
              </w:rPr>
            </w:pPr>
          </w:p>
        </w:tc>
        <w:tc>
          <w:tcPr>
            <w:tcW w:w="1849" w:type="dxa"/>
            <w:vMerge w:val="continue"/>
            <w:tcBorders>
              <w:left w:val="single" w:color="auto" w:sz="4" w:space="0"/>
              <w:right w:val="single" w:color="auto" w:sz="4" w:space="0"/>
            </w:tcBorders>
            <w:vAlign w:val="center"/>
          </w:tcPr>
          <w:p w14:paraId="22A12E2C">
            <w:pPr>
              <w:shd w:val="clear"/>
              <w:rPr>
                <w:rFonts w:asciiTheme="minorEastAsia" w:hAnsiTheme="minorEastAsia" w:eastAsiaTheme="minorEastAsia" w:cstheme="minorEastAsia"/>
                <w:color w:val="auto"/>
                <w:sz w:val="24"/>
                <w:highlight w:val="none"/>
              </w:rPr>
            </w:pPr>
          </w:p>
        </w:tc>
        <w:tc>
          <w:tcPr>
            <w:tcW w:w="7020" w:type="dxa"/>
            <w:vAlign w:val="center"/>
          </w:tcPr>
          <w:p w14:paraId="4298EE70">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③根据投标人对本项目拟配备的专业安全服务技术人员</w:t>
            </w:r>
            <w:r>
              <w:rPr>
                <w:rFonts w:hint="eastAsia" w:ascii="宋体" w:hAnsi="宋体" w:cs="仿宋"/>
                <w:color w:val="auto"/>
                <w:sz w:val="24"/>
                <w:highlight w:val="none"/>
              </w:rPr>
              <w:t>全面充足的得2分；综合技术能力强的得2分；同类项目工作经验丰富的得2分；</w:t>
            </w:r>
            <w:r>
              <w:rPr>
                <w:rFonts w:hint="eastAsia" w:ascii="宋体" w:hAnsi="宋体" w:cs="宋体"/>
                <w:color w:val="auto"/>
                <w:sz w:val="24"/>
                <w:highlight w:val="none"/>
              </w:rPr>
              <w:t>以上内容有所欠缺的对应项得1分；未提供的或内容不合理的对应项不得分；</w:t>
            </w:r>
            <w:r>
              <w:rPr>
                <w:rFonts w:hint="eastAsia" w:ascii="宋体" w:hAnsi="宋体" w:cs="仿宋"/>
                <w:color w:val="auto"/>
                <w:sz w:val="24"/>
                <w:highlight w:val="none"/>
              </w:rPr>
              <w:t>最高得6分。</w:t>
            </w:r>
          </w:p>
        </w:tc>
      </w:tr>
      <w:tr w14:paraId="6314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058" w:type="dxa"/>
            <w:vMerge w:val="continue"/>
            <w:tcBorders>
              <w:left w:val="single" w:color="auto" w:sz="4" w:space="0"/>
              <w:right w:val="single" w:color="auto" w:sz="4" w:space="0"/>
            </w:tcBorders>
            <w:vAlign w:val="center"/>
          </w:tcPr>
          <w:p w14:paraId="189E1F23">
            <w:pPr>
              <w:shd w:val="clear"/>
              <w:rPr>
                <w:rFonts w:asciiTheme="minorEastAsia" w:hAnsiTheme="minorEastAsia" w:eastAsiaTheme="minorEastAsia" w:cstheme="minorEastAsia"/>
                <w:color w:val="auto"/>
                <w:sz w:val="24"/>
                <w:highlight w:val="none"/>
              </w:rPr>
            </w:pPr>
          </w:p>
        </w:tc>
        <w:tc>
          <w:tcPr>
            <w:tcW w:w="1849" w:type="dxa"/>
            <w:vMerge w:val="continue"/>
            <w:tcBorders>
              <w:left w:val="single" w:color="auto" w:sz="4" w:space="0"/>
              <w:right w:val="single" w:color="auto" w:sz="4" w:space="0"/>
            </w:tcBorders>
            <w:vAlign w:val="center"/>
          </w:tcPr>
          <w:p w14:paraId="1A593A93">
            <w:pPr>
              <w:shd w:val="clear"/>
              <w:rPr>
                <w:rFonts w:asciiTheme="minorEastAsia" w:hAnsiTheme="minorEastAsia" w:eastAsiaTheme="minorEastAsia" w:cstheme="minorEastAsia"/>
                <w:color w:val="auto"/>
                <w:sz w:val="24"/>
                <w:highlight w:val="none"/>
              </w:rPr>
            </w:pPr>
          </w:p>
        </w:tc>
        <w:tc>
          <w:tcPr>
            <w:tcW w:w="7020" w:type="dxa"/>
            <w:vAlign w:val="center"/>
          </w:tcPr>
          <w:p w14:paraId="15B9F7BB">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④根据投标人对本项目拟配备的资料员</w:t>
            </w:r>
            <w:r>
              <w:rPr>
                <w:rFonts w:hint="eastAsia" w:ascii="宋体" w:hAnsi="宋体" w:cs="仿宋"/>
                <w:color w:val="auto"/>
                <w:sz w:val="24"/>
                <w:highlight w:val="none"/>
              </w:rPr>
              <w:t>综合技术能力强的得2分；同类项目工作经验丰富的得2分；</w:t>
            </w:r>
            <w:r>
              <w:rPr>
                <w:rFonts w:hint="eastAsia" w:ascii="宋体" w:hAnsi="宋体" w:cs="宋体"/>
                <w:color w:val="auto"/>
                <w:sz w:val="24"/>
                <w:highlight w:val="none"/>
              </w:rPr>
              <w:t>以上内容有所欠缺的对应项得1分；未提供的或内容不合理的对应项不得分；</w:t>
            </w:r>
            <w:r>
              <w:rPr>
                <w:rFonts w:hint="eastAsia" w:ascii="宋体" w:hAnsi="宋体" w:cs="仿宋"/>
                <w:color w:val="auto"/>
                <w:sz w:val="24"/>
                <w:highlight w:val="none"/>
              </w:rPr>
              <w:t>最高得4分。</w:t>
            </w:r>
          </w:p>
        </w:tc>
      </w:tr>
      <w:tr w14:paraId="20D9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tcBorders>
              <w:left w:val="single" w:color="auto" w:sz="4" w:space="0"/>
              <w:right w:val="single" w:color="auto" w:sz="4" w:space="0"/>
            </w:tcBorders>
            <w:vAlign w:val="center"/>
          </w:tcPr>
          <w:p w14:paraId="1A74581D">
            <w:pPr>
              <w:shd w:val="clear"/>
              <w:rPr>
                <w:rFonts w:asciiTheme="minorEastAsia" w:hAnsiTheme="minorEastAsia" w:eastAsiaTheme="minorEastAsia" w:cstheme="minorEastAsia"/>
                <w:color w:val="auto"/>
                <w:sz w:val="24"/>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14:paraId="1092A061">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、应急服务方案（8分）</w:t>
            </w:r>
          </w:p>
        </w:tc>
        <w:tc>
          <w:tcPr>
            <w:tcW w:w="7020" w:type="dxa"/>
            <w:tcBorders>
              <w:top w:val="single" w:color="auto" w:sz="4" w:space="0"/>
              <w:left w:val="single" w:color="auto" w:sz="4" w:space="0"/>
              <w:bottom w:val="single" w:color="auto" w:sz="4" w:space="0"/>
              <w:right w:val="single" w:color="auto" w:sz="4" w:space="0"/>
            </w:tcBorders>
          </w:tcPr>
          <w:p w14:paraId="05497B88">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根据投标人提供的应急服务方案（包含防台防汛及检查时期）具体详细的得2分；</w:t>
            </w:r>
            <w:r>
              <w:rPr>
                <w:rFonts w:hint="eastAsia" w:ascii="宋体" w:hAnsi="宋体" w:cs="仿宋"/>
                <w:color w:val="auto"/>
                <w:sz w:val="24"/>
                <w:highlight w:val="none"/>
              </w:rPr>
              <w:t>应急服务方案有利于项目实施的得2分；应急服务点位置便捷的得2分；应急人员及物资配备充足的得2分；</w:t>
            </w:r>
            <w:r>
              <w:rPr>
                <w:rFonts w:hint="eastAsia" w:asciiTheme="minorEastAsia" w:hAnsiTheme="minorEastAsia" w:eastAsiaTheme="minorEastAsia" w:cstheme="minorEastAsia"/>
                <w:color w:val="auto"/>
                <w:sz w:val="24"/>
                <w:highlight w:val="none"/>
              </w:rPr>
              <w:t>以上内容有所欠缺的对应项得1分；未提供的或内容不合理的对应项不得分；最高得8分。</w:t>
            </w:r>
          </w:p>
        </w:tc>
      </w:tr>
      <w:tr w14:paraId="08AC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058" w:type="dxa"/>
            <w:vMerge w:val="continue"/>
            <w:tcBorders>
              <w:left w:val="single" w:color="auto" w:sz="4" w:space="0"/>
              <w:right w:val="single" w:color="auto" w:sz="4" w:space="0"/>
            </w:tcBorders>
            <w:vAlign w:val="center"/>
          </w:tcPr>
          <w:p w14:paraId="2FF99EA6">
            <w:pPr>
              <w:shd w:val="clear"/>
              <w:rPr>
                <w:rFonts w:asciiTheme="minorEastAsia" w:hAnsiTheme="minorEastAsia" w:eastAsiaTheme="minorEastAsia" w:cstheme="minorEastAsia"/>
                <w:color w:val="auto"/>
                <w:sz w:val="24"/>
                <w:highlight w:val="none"/>
              </w:rPr>
            </w:pPr>
          </w:p>
        </w:tc>
        <w:tc>
          <w:tcPr>
            <w:tcW w:w="1849" w:type="dxa"/>
            <w:tcBorders>
              <w:top w:val="single" w:color="auto" w:sz="4" w:space="0"/>
              <w:left w:val="single" w:color="auto" w:sz="4" w:space="0"/>
              <w:right w:val="single" w:color="auto" w:sz="4" w:space="0"/>
            </w:tcBorders>
            <w:vAlign w:val="center"/>
          </w:tcPr>
          <w:p w14:paraId="274AF5E4">
            <w:pPr>
              <w:shd w:val="clear"/>
              <w:adjustRightInd w:val="0"/>
              <w:spacing w:line="32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、业绩（2分）</w:t>
            </w:r>
          </w:p>
        </w:tc>
        <w:tc>
          <w:tcPr>
            <w:tcW w:w="7020" w:type="dxa"/>
            <w:tcBorders>
              <w:top w:val="single" w:color="auto" w:sz="4" w:space="0"/>
              <w:left w:val="single" w:color="auto" w:sz="4" w:space="0"/>
              <w:bottom w:val="single" w:color="auto" w:sz="4" w:space="0"/>
              <w:right w:val="single" w:color="auto" w:sz="4" w:space="0"/>
            </w:tcBorders>
            <w:vAlign w:val="center"/>
          </w:tcPr>
          <w:p w14:paraId="065BA6F4">
            <w:pPr>
              <w:shd w:val="clear"/>
              <w:adjustRightInd w:val="0"/>
              <w:spacing w:line="32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w:t>
            </w:r>
            <w:r>
              <w:rPr>
                <w:rFonts w:hint="eastAsia" w:asciiTheme="minorEastAsia" w:hAnsiTheme="minorEastAsia" w:eastAsiaTheme="minorEastAsia" w:cstheme="minorEastAsia"/>
                <w:color w:val="auto"/>
                <w:kern w:val="0"/>
                <w:sz w:val="24"/>
                <w:highlight w:val="none"/>
              </w:rPr>
              <w:t>自2022年01月01日以来（合同签订时间为准）承担过同类安全检查项目业绩的每提供一个得0.5分，最多得2分。（投标文件中提供合同的复印件）。</w:t>
            </w:r>
          </w:p>
        </w:tc>
      </w:tr>
      <w:tr w14:paraId="63F1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vMerge w:val="continue"/>
            <w:tcBorders>
              <w:left w:val="single" w:color="auto" w:sz="4" w:space="0"/>
              <w:right w:val="single" w:color="auto" w:sz="4" w:space="0"/>
            </w:tcBorders>
            <w:vAlign w:val="center"/>
          </w:tcPr>
          <w:p w14:paraId="796A683F">
            <w:pPr>
              <w:shd w:val="clear"/>
              <w:rPr>
                <w:rFonts w:asciiTheme="minorEastAsia" w:hAnsiTheme="minorEastAsia" w:eastAsiaTheme="minorEastAsia" w:cstheme="minorEastAsia"/>
                <w:color w:val="auto"/>
                <w:sz w:val="24"/>
                <w:highlight w:val="none"/>
              </w:rPr>
            </w:pPr>
          </w:p>
        </w:tc>
        <w:tc>
          <w:tcPr>
            <w:tcW w:w="1849" w:type="dxa"/>
            <w:tcBorders>
              <w:top w:val="single" w:color="auto" w:sz="4" w:space="0"/>
              <w:left w:val="single" w:color="auto" w:sz="4" w:space="0"/>
              <w:bottom w:val="single" w:color="auto" w:sz="4" w:space="0"/>
              <w:right w:val="single" w:color="auto" w:sz="4" w:space="0"/>
            </w:tcBorders>
            <w:vAlign w:val="center"/>
          </w:tcPr>
          <w:p w14:paraId="1EA55AA7">
            <w:pPr>
              <w:shd w:val="clear"/>
              <w:adjustRightInd w:val="0"/>
              <w:spacing w:line="32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、政府采购政策加分（</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w:t>
            </w:r>
          </w:p>
        </w:tc>
        <w:tc>
          <w:tcPr>
            <w:tcW w:w="7020" w:type="dxa"/>
            <w:tcBorders>
              <w:top w:val="single" w:color="auto" w:sz="4" w:space="0"/>
              <w:left w:val="single" w:color="auto" w:sz="4" w:space="0"/>
              <w:bottom w:val="single" w:color="auto" w:sz="4" w:space="0"/>
              <w:right w:val="single" w:color="auto" w:sz="4" w:space="0"/>
            </w:tcBorders>
            <w:vAlign w:val="center"/>
          </w:tcPr>
          <w:p w14:paraId="2C147ACA">
            <w:pPr>
              <w:shd w:val="clear"/>
              <w:spacing w:line="3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供应商是国家认定的不发达地区或少数民族地区企业的加</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w:t>
            </w:r>
          </w:p>
        </w:tc>
      </w:tr>
      <w:tr w14:paraId="67B3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8" w:type="dxa"/>
            <w:tcBorders>
              <w:left w:val="single" w:color="auto" w:sz="4" w:space="0"/>
              <w:right w:val="single" w:color="auto" w:sz="4" w:space="0"/>
            </w:tcBorders>
            <w:vAlign w:val="center"/>
          </w:tcPr>
          <w:p w14:paraId="4BEEE9DB">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价格分（20分）</w:t>
            </w:r>
          </w:p>
        </w:tc>
        <w:tc>
          <w:tcPr>
            <w:tcW w:w="8869" w:type="dxa"/>
            <w:gridSpan w:val="2"/>
            <w:tcBorders>
              <w:top w:val="single" w:color="auto" w:sz="4" w:space="0"/>
              <w:left w:val="single" w:color="auto" w:sz="4" w:space="0"/>
              <w:bottom w:val="single" w:color="auto" w:sz="4" w:space="0"/>
              <w:right w:val="single" w:color="auto" w:sz="4" w:space="0"/>
            </w:tcBorders>
            <w:vAlign w:val="center"/>
          </w:tcPr>
          <w:p w14:paraId="02EA8A03">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满足采购文件要求且参与评审价格最低为评标基准价，其价格分为满分，其余投标人的价格分以下列公式计算：</w:t>
            </w:r>
          </w:p>
          <w:p w14:paraId="27701D57">
            <w:pPr>
              <w:shd w:val="clea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投标报价得分=（评标基准价/参与评审的价格）×价格权值×100</w:t>
            </w:r>
          </w:p>
          <w:p w14:paraId="7C85F052">
            <w:pPr>
              <w:shd w:val="clear"/>
              <w:adjustRightInd w:val="0"/>
              <w:spacing w:line="3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参与评审价格=投标价格×（1-价格折扣率）</w:t>
            </w:r>
          </w:p>
        </w:tc>
      </w:tr>
    </w:tbl>
    <w:p w14:paraId="77BDB878">
      <w:pPr>
        <w:shd w:val="clear"/>
        <w:snapToGrid w:val="0"/>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备注：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编制投标文件（商务技术文件部分）时，建议按此目录（序号和内容）提供评标标准相应的商务技术资料。 </w:t>
      </w:r>
    </w:p>
    <w:p w14:paraId="6D731D9D">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一、评标方法</w:t>
      </w:r>
    </w:p>
    <w:p w14:paraId="4CF54C0C">
      <w:pPr>
        <w:shd w:val="clear"/>
        <w:spacing w:line="360" w:lineRule="auto"/>
        <w:ind w:firstLine="472" w:firstLineChars="196"/>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1.本项目采用综合评分法。</w:t>
      </w:r>
      <w:r>
        <w:rPr>
          <w:rFonts w:hint="eastAsia" w:cs="仿宋" w:asciiTheme="majorEastAsia" w:hAnsiTheme="majorEastAsia" w:eastAsiaTheme="majorEastAsia"/>
          <w:color w:val="auto"/>
          <w:kern w:val="0"/>
          <w:sz w:val="24"/>
          <w:highlight w:val="none"/>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为中标候选人的评标方法。</w:t>
      </w:r>
    </w:p>
    <w:p w14:paraId="5265380C">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二、评标标准</w:t>
      </w:r>
    </w:p>
    <w:p w14:paraId="2D309613">
      <w:pPr>
        <w:shd w:val="clear"/>
        <w:spacing w:line="360" w:lineRule="auto"/>
        <w:ind w:firstLine="472" w:firstLineChars="196"/>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2.</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b/>
          <w:color w:val="auto"/>
          <w:sz w:val="24"/>
          <w:highlight w:val="none"/>
        </w:rPr>
        <w:t>评标标准：</w:t>
      </w:r>
      <w:r>
        <w:rPr>
          <w:rFonts w:hint="eastAsia" w:cs="仿宋" w:asciiTheme="majorEastAsia" w:hAnsiTheme="majorEastAsia" w:eastAsiaTheme="majorEastAsia"/>
          <w:color w:val="auto"/>
          <w:kern w:val="0"/>
          <w:sz w:val="24"/>
          <w:highlight w:val="none"/>
        </w:rPr>
        <w:t>见评标办法前附表。</w:t>
      </w:r>
    </w:p>
    <w:p w14:paraId="310CD4D3">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三、评标程序</w:t>
      </w:r>
    </w:p>
    <w:p w14:paraId="1CB5B0AB">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3.1 符合性审查。</w:t>
      </w:r>
      <w:r>
        <w:rPr>
          <w:rFonts w:hint="eastAsia" w:cs="仿宋" w:asciiTheme="majorEastAsia" w:hAnsiTheme="majorEastAsia" w:eastAsiaTheme="majorEastAsia"/>
          <w:color w:val="auto"/>
          <w:kern w:val="0"/>
          <w:sz w:val="24"/>
          <w:highlight w:val="none"/>
        </w:rPr>
        <w:t>评标委员会应当对符合资格的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的投标文件进行符合性审查，以确定其是否满足招标文件的实质性要求。不满足招标文件的实质性要求的，投标无效。</w:t>
      </w:r>
    </w:p>
    <w:p w14:paraId="736536C2">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3.2 商务技术评审。</w:t>
      </w:r>
      <w:r>
        <w:rPr>
          <w:rFonts w:hint="eastAsia" w:cs="仿宋" w:asciiTheme="majorEastAsia" w:hAnsiTheme="majorEastAsia" w:eastAsiaTheme="majorEastAsia"/>
          <w:color w:val="auto"/>
          <w:kern w:val="0"/>
          <w:sz w:val="24"/>
          <w:highlight w:val="none"/>
        </w:rPr>
        <w:t>评标委员会应当按照招标文件中规定的评标方法和标准，对符合性审查合格的投标文件进行商务和技术评估。</w:t>
      </w:r>
    </w:p>
    <w:p w14:paraId="2664C759">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3.3 汇总商务技术得分。</w:t>
      </w:r>
      <w:r>
        <w:rPr>
          <w:rFonts w:hint="eastAsia" w:cs="仿宋" w:asciiTheme="majorEastAsia" w:hAnsiTheme="majorEastAsia" w:eastAsiaTheme="majorEastAsia"/>
          <w:color w:val="auto"/>
          <w:kern w:val="0"/>
          <w:sz w:val="24"/>
          <w:highlight w:val="none"/>
        </w:rPr>
        <w:t>评标委员会各成员应当独立对每个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的商务和技术文件进行评价，并汇总商务技术得分情况。</w:t>
      </w:r>
    </w:p>
    <w:p w14:paraId="7D0BBD4D">
      <w:pPr>
        <w:shd w:val="clear"/>
        <w:spacing w:line="360" w:lineRule="auto"/>
        <w:ind w:firstLine="482" w:firstLineChars="200"/>
        <w:rPr>
          <w:rFonts w:cs="仿宋" w:asciiTheme="majorEastAsia" w:hAnsiTheme="majorEastAsia" w:eastAsiaTheme="majorEastAsia"/>
          <w:b/>
          <w:color w:val="auto"/>
          <w:kern w:val="0"/>
          <w:sz w:val="24"/>
          <w:highlight w:val="none"/>
        </w:rPr>
      </w:pPr>
      <w:r>
        <w:rPr>
          <w:rFonts w:hint="eastAsia" w:cs="仿宋" w:asciiTheme="majorEastAsia" w:hAnsiTheme="majorEastAsia" w:eastAsiaTheme="majorEastAsia"/>
          <w:b/>
          <w:color w:val="auto"/>
          <w:kern w:val="0"/>
          <w:sz w:val="24"/>
          <w:highlight w:val="none"/>
        </w:rPr>
        <w:t>3.4 报价评审。</w:t>
      </w:r>
    </w:p>
    <w:p w14:paraId="6FAEA9FF">
      <w:pPr>
        <w:pStyle w:val="37"/>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3.4.1投标文件报价出现前后不一致的，按照下列规定修正：</w:t>
      </w:r>
    </w:p>
    <w:p w14:paraId="4A2F941A">
      <w:pPr>
        <w:pStyle w:val="37"/>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3.4.1.1电子交易平台生成的开标记录表(报价表)内容与投标文件中开标一览表(报价表)不一致的，以投标文件中开标一览表(报价表)为准；</w:t>
      </w:r>
    </w:p>
    <w:p w14:paraId="29EAB399">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3.4.1.2</w:t>
      </w:r>
      <w:r>
        <w:rPr>
          <w:rFonts w:hint="eastAsia" w:cs="仿宋" w:asciiTheme="majorEastAsia" w:hAnsiTheme="majorEastAsia" w:eastAsiaTheme="majorEastAsia"/>
          <w:color w:val="auto"/>
          <w:kern w:val="0"/>
          <w:highlight w:val="none"/>
        </w:rPr>
        <w:t>投标文件中开标一览表(报价表)内容与投标文件中相应内容不一致的，以开标一览表(报价表)为准；</w:t>
      </w:r>
    </w:p>
    <w:p w14:paraId="4AA9DBEC">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3.4.1.3 大写金额和小写金额不一致的，以大写金额为准;</w:t>
      </w:r>
    </w:p>
    <w:p w14:paraId="0C380FAC">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3.4.1.4 单价金额小数点或者百分比有明显错位的，以开标一览表的总价为准，并修改单价;</w:t>
      </w:r>
    </w:p>
    <w:p w14:paraId="66C0FCE8">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3.4.1.5 总价金额与按单价汇总金额不一致的，以单价金额计算结果为准；</w:t>
      </w:r>
    </w:p>
    <w:p w14:paraId="22D5A70D">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确认后产生约束力。</w:t>
      </w:r>
    </w:p>
    <w:p w14:paraId="58914E17">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3.4.2投标文件出现不是唯一的、有选择性投标报价的，投标无效。</w:t>
      </w:r>
    </w:p>
    <w:p w14:paraId="3461061F">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3.4.3投标报价超过招标文件中规定的预算金额或者最高限价的，投标无效。</w:t>
      </w:r>
    </w:p>
    <w:p w14:paraId="51801834">
      <w:pPr>
        <w:pStyle w:val="37"/>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3.4.4评标委员会认为</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的报价明显低于其他通过符合性审查</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不能证明其报价合理性的，评标委员会应当将其作为无效投标处理。</w:t>
      </w:r>
    </w:p>
    <w:p w14:paraId="6F8C1BC0">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3.5编写评标报告。</w:t>
      </w:r>
      <w:r>
        <w:rPr>
          <w:rFonts w:hint="eastAsia" w:cs="仿宋" w:asciiTheme="majorEastAsia" w:hAnsiTheme="majorEastAsia" w:eastAsia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5E78D51">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四、评标中的其他事项</w:t>
      </w:r>
    </w:p>
    <w:p w14:paraId="4FD62621">
      <w:pPr>
        <w:pStyle w:val="37"/>
        <w:shd w:val="clear"/>
        <w:spacing w:before="0"/>
        <w:ind w:firstLine="482"/>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b/>
          <w:color w:val="auto"/>
          <w:kern w:val="0"/>
          <w:szCs w:val="24"/>
          <w:highlight w:val="none"/>
        </w:rPr>
        <w:t>4.1投标澄清、说明或者补正。</w:t>
      </w:r>
      <w:r>
        <w:rPr>
          <w:rFonts w:hint="eastAsia" w:cs="仿宋" w:asciiTheme="majorEastAsia" w:hAnsiTheme="majorEastAsia" w:eastAsiaTheme="majorEastAsia"/>
          <w:color w:val="auto"/>
          <w:kern w:val="0"/>
          <w:szCs w:val="24"/>
          <w:highlight w:val="none"/>
        </w:rPr>
        <w:t>对于投标文件中含义不明确、同类问题表述不一致或者有明显文字和计算错误的内容需要</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作出必要的澄清、说明或者补正的，评标委员会和</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通过电子交易平台交换数据电文，</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提交使用电子签名的相关数据电文或通过平台上传加盖公章的扫描件。给予</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提交澄清、说明或补正的时间不得少于半小时，</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已经明确表示澄清说明或补正完毕的除外。</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的澄清、说明或者补正不得超出投标文件的范围或者改变投标文件的实质性内容。</w:t>
      </w:r>
    </w:p>
    <w:p w14:paraId="32E65E35">
      <w:pPr>
        <w:pStyle w:val="9"/>
        <w:shd w:val="clear"/>
        <w:spacing w:line="360" w:lineRule="auto"/>
        <w:ind w:firstLine="482"/>
        <w:rPr>
          <w:rFonts w:cs="仿宋" w:asciiTheme="majorEastAsia" w:hAnsiTheme="majorEastAsia" w:eastAsiaTheme="majorEastAsia"/>
          <w:color w:val="auto"/>
          <w:szCs w:val="21"/>
          <w:highlight w:val="none"/>
        </w:rPr>
      </w:pPr>
      <w:r>
        <w:rPr>
          <w:rFonts w:hint="eastAsia" w:cs="仿宋" w:asciiTheme="majorEastAsia" w:hAnsiTheme="majorEastAsia" w:eastAsiaTheme="majorEastAsia"/>
          <w:b/>
          <w:color w:val="auto"/>
          <w:kern w:val="0"/>
          <w:highlight w:val="none"/>
        </w:rPr>
        <w:t>4.2投标无效的情形。</w:t>
      </w:r>
    </w:p>
    <w:p w14:paraId="159DB23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4.2.1 没有响应招标文件实质性要求的投标将被视为无效投标。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不得通过修正或撤消不合要求的偏离或保留从而使其投标成为实质上响应的投标，但经评标委员会认定属于</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修改、补正投标文件后，不影响评标委员会对其投标文件所作的评价和评分结果。</w:t>
      </w:r>
    </w:p>
    <w:p w14:paraId="72510F86">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 在电子开评标时，如发现下列情形之一的，将被视为无效投标文件：</w:t>
      </w:r>
    </w:p>
    <w:p w14:paraId="0C47DCF0">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4.2.2.1电子投标文件解密失败的；</w:t>
      </w:r>
    </w:p>
    <w:p w14:paraId="4C00BF7F">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4.2.2.2投标文件未按招标文件要求加密、签字、盖章的；（投标文件中加盖</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公章部分均须CA签章。）</w:t>
      </w:r>
    </w:p>
    <w:p w14:paraId="7EF7E525">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 在资格审查、符合性审查和商务评审时，如发现下列情形之一的，将被视为无效投标文件：</w:t>
      </w:r>
    </w:p>
    <w:p w14:paraId="62F4440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 资格证明文件不全的或者不符合招标文件标明的资格要求的；</w:t>
      </w:r>
    </w:p>
    <w:p w14:paraId="5AFA9818">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4.2.3.2 投标文件未按招标文件要求签署、盖章的；</w:t>
      </w:r>
    </w:p>
    <w:p w14:paraId="05B58FE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4.2.3.3 投标代表人未能出具身份证明或身份证明与法定代表授权委托书不符的。</w:t>
      </w:r>
    </w:p>
    <w:p w14:paraId="232E50C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4.2.3.4 投标文件格式不规范、项目不齐全或者内容虚假的；</w:t>
      </w:r>
    </w:p>
    <w:p w14:paraId="1AA1BBA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4.2.3.5 投标文件的实质性内容未使用中文表述、意思表述不明确、前后矛盾或者使用计量单位不符合招标文件要求的（经评标委员会认定并允许其当场更正的笔误除外）；</w:t>
      </w:r>
    </w:p>
    <w:p w14:paraId="3945491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4.2.3.6 投标有效期、交货时间、质保期等商务条款不能满足招标文件要求的；</w:t>
      </w:r>
    </w:p>
    <w:p w14:paraId="4E1C593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4.2.3.7 带“▲”的条款不能满足招标文件要求、未实质性响应招标文件要求或者投标文件有采购人不能接受的附加条件的；</w:t>
      </w:r>
    </w:p>
    <w:p w14:paraId="0C1A9B4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4.2.3.8 单位负责人为同一人或者存在直接控股、管理关系的不同供应商参加同一合同项下的政府采购活动的；</w:t>
      </w:r>
    </w:p>
    <w:p w14:paraId="30DECA7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4.2.3.9 为采购项目提供整体设计、规范编制或者项目管理、监理、检测等服务的供应商参加该采购项目的其他采购活动的；</w:t>
      </w:r>
    </w:p>
    <w:p w14:paraId="001EEA7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4.2.3.10 商务技术文件中出现本项目投标报价或单价的。</w:t>
      </w:r>
    </w:p>
    <w:p w14:paraId="1EDEA0E0">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4.3.在技术评审时，如发现下列情形之一的，将被视为无效投标文件：</w:t>
      </w:r>
    </w:p>
    <w:p w14:paraId="01F95080">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4.3.1或者投标文件标明的响应或偏离与事实不符或虚假投标的；</w:t>
      </w:r>
    </w:p>
    <w:p w14:paraId="417C2AB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4.3.2 明显不符合招标文件要求的规格型号、质量标准，或者与招标文件中标“▲”的技术指标、主要功能项目发生实质性偏离的；</w:t>
      </w:r>
    </w:p>
    <w:p w14:paraId="1A4EED0E">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4.3.3 允许偏离的技术、性能指标或辅助功能项目发生负偏离达/项（含）以上的；</w:t>
      </w:r>
    </w:p>
    <w:p w14:paraId="5519C1B3">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4.3.4 投标技术方案不明确，存在一个或一个以上备选（替代）投标方案的；</w:t>
      </w:r>
    </w:p>
    <w:p w14:paraId="27BC7BC6">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4.3.5 与其他参加本次投标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的投标文件（技术文件）的文字表述内容差错相同2处以上的；</w:t>
      </w:r>
    </w:p>
    <w:p w14:paraId="0506DFE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 在报价评审时，如发现下列情形之一的，投标文件将被视为无效：</w:t>
      </w:r>
    </w:p>
    <w:p w14:paraId="1B09E568">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4.4.1 未采用人民币报价或者未按照招标文件标明的币种报价的；</w:t>
      </w:r>
    </w:p>
    <w:p w14:paraId="367E5EA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4.4.2 报价超出最高限价，或者超出采购预算金额的；</w:t>
      </w:r>
    </w:p>
    <w:p w14:paraId="479A4C65">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4.4.3 投标报价具有选择性的；</w:t>
      </w:r>
    </w:p>
    <w:p w14:paraId="55EA99C5">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4.4.4 投标报价中出现缺项、漏项或被评标委员会认定为有可能影响产品质量或者不能诚信履约的且不能在合理的时间内证明其报价合理性的；</w:t>
      </w:r>
    </w:p>
    <w:p w14:paraId="30416A8F">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4.4.5供应商对根据修正原则修正后的报价不确认的。</w:t>
      </w:r>
    </w:p>
    <w:p w14:paraId="5ECF8CF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4.5其他无效情形：</w:t>
      </w:r>
    </w:p>
    <w:p w14:paraId="29EC341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4.5.1 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的投标文件出自同一终端设备或在相同Internet主机分配地址（相同IP地址）进行网上报名、投标的；</w:t>
      </w:r>
    </w:p>
    <w:p w14:paraId="0F16E476">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4.5.2 法律、法规、规章（适用本市的）及省级以上规范性文件（适用本市的）规定的其他无效情形。</w:t>
      </w:r>
    </w:p>
    <w:p w14:paraId="6749935B">
      <w:pPr>
        <w:pStyle w:val="9"/>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5.废标。</w:t>
      </w:r>
      <w:r>
        <w:rPr>
          <w:rFonts w:hint="eastAsia" w:cs="仿宋" w:asciiTheme="majorEastAsia" w:hAnsiTheme="majorEastAsia" w:eastAsiaTheme="majorEastAsia"/>
          <w:color w:val="auto"/>
          <w:highlight w:val="none"/>
        </w:rPr>
        <w:t>根据《中华人民共和国政府采购法》第三十六条之规定，在采购中，出现下列情形之一的，应予废标：</w:t>
      </w:r>
    </w:p>
    <w:p w14:paraId="37D74C6B">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5.1符合专业条件的供应商或者对招标文件作实质响应的供应商不足3家的；</w:t>
      </w:r>
    </w:p>
    <w:p w14:paraId="6EC58817">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5.2出现影响采购公正的违法、违规行为的；</w:t>
      </w:r>
    </w:p>
    <w:p w14:paraId="66D01730">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5.3</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的报价均超过了采购预算，采购人不能支付的；</w:t>
      </w:r>
    </w:p>
    <w:p w14:paraId="659B21E6">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5.4因重大变故，采购任务取消的。</w:t>
      </w:r>
    </w:p>
    <w:p w14:paraId="52509355">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废标后，采购代理机构应当将废标理由通知所有</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w:t>
      </w:r>
    </w:p>
    <w:p w14:paraId="6FB8DB25">
      <w:pPr>
        <w:pStyle w:val="9"/>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6.修改招标文件，重新组织采购活动。</w:t>
      </w:r>
      <w:r>
        <w:rPr>
          <w:rFonts w:hint="eastAsia" w:cs="仿宋" w:asciiTheme="majorEastAsia" w:hAnsiTheme="majorEastAsia" w:eastAsia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E841510">
      <w:pPr>
        <w:pStyle w:val="9"/>
        <w:shd w:val="clear"/>
        <w:adjustRightInd w:val="0"/>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kern w:val="0"/>
          <w:highlight w:val="none"/>
        </w:rPr>
        <w:t>7.重新开展采购。</w:t>
      </w:r>
      <w:r>
        <w:rPr>
          <w:rFonts w:hint="eastAsia" w:cs="仿宋" w:asciiTheme="majorEastAsia" w:hAnsiTheme="majorEastAsia" w:eastAsiaTheme="majorEastAsia"/>
          <w:color w:val="auto"/>
          <w:highlight w:val="none"/>
        </w:rPr>
        <w:t>有政府采购法第七十一条、第七十二条规定的违法行为之一，影响或者可能影响中标、成交结果的，依照下列规定处理：</w:t>
      </w:r>
    </w:p>
    <w:p w14:paraId="5C9C14DE">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7.1未确定中标或者中标人的，终止本次政府采购活动，重新开展政府采购活动。</w:t>
      </w:r>
    </w:p>
    <w:p w14:paraId="1BC9C4E0">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7.2已确定中标或者中标人但尚未签订政府采购合同的，中标或者成交结果无效，重新开展政府采购活动。</w:t>
      </w:r>
    </w:p>
    <w:p w14:paraId="3BBB2DA6">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7.3政府采购合同已签订但尚未履行的，撤销合同，重新开展政府采购活动。</w:t>
      </w:r>
    </w:p>
    <w:p w14:paraId="48F892C7">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7.4政府采购合同已经履行，给采购人、供应商造成损失的，由责任人承担赔偿责任。</w:t>
      </w:r>
    </w:p>
    <w:p w14:paraId="548FF742">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7.5政府采购当事人有其他违反政府采购法</w:t>
      </w:r>
      <w:r>
        <w:rPr>
          <w:rFonts w:hint="eastAsia" w:cs="仿宋" w:asciiTheme="majorEastAsia" w:hAnsiTheme="majorEastAsia" w:eastAsiaTheme="majorEastAsia"/>
          <w:color w:val="auto"/>
          <w:kern w:val="0"/>
          <w:highlight w:val="none"/>
        </w:rPr>
        <w:t>或者政府采购法实施条例等法律法规规定</w:t>
      </w:r>
      <w:r>
        <w:rPr>
          <w:rFonts w:hint="eastAsia" w:cs="仿宋" w:asciiTheme="majorEastAsia" w:hAnsiTheme="majorEastAsia" w:eastAsiaTheme="majorEastAsia"/>
          <w:color w:val="auto"/>
          <w:highlight w:val="none"/>
        </w:rPr>
        <w:t>的行为，经改正后仍然影响或者可能影响中标、成交结果或者依法被认定为中标、成交无效的，依照7.1-7.4规定处理。</w:t>
      </w:r>
      <w:bookmarkEnd w:id="28"/>
      <w:bookmarkStart w:id="394" w:name="第五部分"/>
      <w:bookmarkStart w:id="395" w:name="_Toc86217003"/>
    </w:p>
    <w:p w14:paraId="2833463E">
      <w:pPr>
        <w:shd w:val="clear"/>
        <w:spacing w:line="360" w:lineRule="auto"/>
        <w:rPr>
          <w:rFonts w:cs="仿宋" w:asciiTheme="majorEastAsia" w:hAnsiTheme="majorEastAsia" w:eastAsiaTheme="majorEastAsia"/>
          <w:b/>
          <w:color w:val="auto"/>
          <w:sz w:val="36"/>
          <w:szCs w:val="36"/>
          <w:highlight w:val="none"/>
        </w:rPr>
      </w:pPr>
    </w:p>
    <w:p w14:paraId="6B7C54EF">
      <w:pPr>
        <w:pStyle w:val="9"/>
        <w:numPr>
          <w:ilvl w:val="0"/>
          <w:numId w:val="2"/>
        </w:numPr>
        <w:shd w:val="clear"/>
        <w:adjustRightInd w:val="0"/>
        <w:snapToGrid w:val="0"/>
        <w:spacing w:line="360" w:lineRule="auto"/>
        <w:ind w:firstLine="0" w:firstLineChars="0"/>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br w:type="page"/>
      </w:r>
      <w:r>
        <w:rPr>
          <w:rFonts w:hint="eastAsia" w:cs="仿宋" w:asciiTheme="majorEastAsia" w:hAnsiTheme="majorEastAsia" w:eastAsiaTheme="majorEastAsia"/>
          <w:b/>
          <w:color w:val="auto"/>
          <w:sz w:val="36"/>
          <w:szCs w:val="36"/>
          <w:highlight w:val="none"/>
        </w:rPr>
        <w:t>拟签订的合同文本</w:t>
      </w:r>
    </w:p>
    <w:p w14:paraId="7A160C44">
      <w:pPr>
        <w:pStyle w:val="9"/>
        <w:shd w:val="clear"/>
        <w:adjustRightInd w:val="0"/>
        <w:snapToGrid w:val="0"/>
        <w:spacing w:line="360" w:lineRule="auto"/>
        <w:ind w:firstLine="0" w:firstLineChars="0"/>
        <w:rPr>
          <w:rFonts w:cs="仿宋" w:asciiTheme="majorEastAsia" w:hAnsiTheme="majorEastAsia" w:eastAsiaTheme="majorEastAsia"/>
          <w:b/>
          <w:color w:val="auto"/>
          <w:sz w:val="36"/>
          <w:szCs w:val="36"/>
          <w:highlight w:val="none"/>
        </w:rPr>
      </w:pPr>
    </w:p>
    <w:p w14:paraId="4845F9FC">
      <w:pPr>
        <w:shd w:val="clear"/>
        <w:spacing w:line="360" w:lineRule="auto"/>
        <w:rPr>
          <w:rFonts w:ascii="宋体" w:hAnsi="宋体" w:cs="仿宋"/>
          <w:color w:val="auto"/>
          <w:sz w:val="24"/>
          <w:highlight w:val="none"/>
          <w:u w:val="single"/>
        </w:rPr>
      </w:pPr>
      <w:r>
        <w:rPr>
          <w:rFonts w:hint="eastAsia" w:ascii="宋体" w:hAnsi="宋体" w:cs="仿宋"/>
          <w:color w:val="auto"/>
          <w:sz w:val="24"/>
          <w:highlight w:val="none"/>
        </w:rPr>
        <w:t>合同编号：</w:t>
      </w:r>
      <w:r>
        <w:rPr>
          <w:rFonts w:hint="eastAsia" w:ascii="宋体" w:hAnsi="宋体" w:cs="仿宋"/>
          <w:color w:val="auto"/>
          <w:sz w:val="24"/>
          <w:highlight w:val="none"/>
          <w:u w:val="single"/>
        </w:rPr>
        <w:t xml:space="preserve">           </w:t>
      </w:r>
    </w:p>
    <w:p w14:paraId="2D243574">
      <w:pPr>
        <w:shd w:val="clear"/>
        <w:spacing w:line="360" w:lineRule="auto"/>
        <w:jc w:val="center"/>
        <w:rPr>
          <w:rFonts w:ascii="宋体" w:hAnsi="宋体" w:cs="仿宋"/>
          <w:b/>
          <w:color w:val="auto"/>
          <w:sz w:val="28"/>
          <w:szCs w:val="28"/>
          <w:highlight w:val="none"/>
        </w:rPr>
      </w:pPr>
    </w:p>
    <w:p w14:paraId="7A75216C">
      <w:pPr>
        <w:shd w:val="clear"/>
        <w:spacing w:line="360" w:lineRule="auto"/>
        <w:jc w:val="center"/>
        <w:rPr>
          <w:rFonts w:ascii="宋体" w:hAnsi="宋体" w:cs="仿宋"/>
          <w:b/>
          <w:color w:val="auto"/>
          <w:sz w:val="24"/>
          <w:highlight w:val="none"/>
        </w:rPr>
      </w:pPr>
    </w:p>
    <w:p w14:paraId="42D6AC0A">
      <w:pPr>
        <w:shd w:val="clear"/>
        <w:spacing w:line="360" w:lineRule="auto"/>
        <w:jc w:val="center"/>
        <w:rPr>
          <w:rFonts w:ascii="宋体" w:hAnsi="宋体" w:cs="仿宋"/>
          <w:b/>
          <w:color w:val="auto"/>
          <w:sz w:val="24"/>
          <w:highlight w:val="none"/>
        </w:rPr>
      </w:pPr>
    </w:p>
    <w:p w14:paraId="647F4CA1">
      <w:pPr>
        <w:shd w:val="clear"/>
        <w:spacing w:line="360" w:lineRule="auto"/>
        <w:jc w:val="center"/>
        <w:rPr>
          <w:rFonts w:ascii="宋体" w:hAnsi="宋体" w:cs="仿宋"/>
          <w:b/>
          <w:color w:val="auto"/>
          <w:sz w:val="36"/>
          <w:szCs w:val="36"/>
          <w:highlight w:val="none"/>
        </w:rPr>
      </w:pPr>
      <w:r>
        <w:rPr>
          <w:rFonts w:hint="eastAsia" w:ascii="宋体" w:hAnsi="宋体" w:cs="仿宋"/>
          <w:b/>
          <w:color w:val="auto"/>
          <w:sz w:val="36"/>
          <w:szCs w:val="36"/>
          <w:highlight w:val="none"/>
        </w:rPr>
        <w:t>政府采购合同文本</w:t>
      </w:r>
    </w:p>
    <w:p w14:paraId="7D786DED">
      <w:pPr>
        <w:shd w:val="clea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49A7B43">
      <w:pPr>
        <w:pStyle w:val="2"/>
        <w:shd w:val="clear"/>
        <w:ind w:firstLine="560"/>
        <w:rPr>
          <w:color w:val="auto"/>
          <w:highlight w:val="none"/>
        </w:rPr>
      </w:pPr>
    </w:p>
    <w:p w14:paraId="6589F3FE">
      <w:pPr>
        <w:pStyle w:val="2"/>
        <w:shd w:val="clear"/>
        <w:ind w:firstLine="560"/>
        <w:rPr>
          <w:color w:val="auto"/>
          <w:highlight w:val="none"/>
        </w:rPr>
      </w:pPr>
    </w:p>
    <w:p w14:paraId="771667D5">
      <w:pPr>
        <w:pStyle w:val="2"/>
        <w:shd w:val="clear"/>
        <w:ind w:firstLine="560"/>
        <w:rPr>
          <w:color w:val="auto"/>
          <w:highlight w:val="none"/>
        </w:rPr>
      </w:pPr>
    </w:p>
    <w:p w14:paraId="02A39F93">
      <w:pPr>
        <w:shd w:val="clear"/>
        <w:spacing w:before="120" w:line="360" w:lineRule="auto"/>
        <w:ind w:left="960" w:firstLine="720" w:firstLineChars="300"/>
        <w:rPr>
          <w:rFonts w:ascii="宋体" w:hAnsi="宋体" w:cs="仿宋"/>
          <w:color w:val="auto"/>
          <w:sz w:val="24"/>
          <w:highlight w:val="none"/>
        </w:rPr>
      </w:pPr>
      <w:r>
        <w:rPr>
          <w:rFonts w:hint="eastAsia" w:ascii="宋体" w:hAnsi="宋体" w:cs="仿宋"/>
          <w:color w:val="auto"/>
          <w:sz w:val="24"/>
          <w:highlight w:val="none"/>
        </w:rPr>
        <w:t>项目名称：</w:t>
      </w:r>
      <w:r>
        <w:rPr>
          <w:rFonts w:hint="eastAsia" w:ascii="宋体" w:hAnsi="宋体" w:cs="仿宋"/>
          <w:color w:val="auto"/>
          <w:sz w:val="24"/>
          <w:highlight w:val="none"/>
          <w:u w:val="single"/>
        </w:rPr>
        <w:t xml:space="preserve">                                   </w:t>
      </w:r>
    </w:p>
    <w:p w14:paraId="59907565">
      <w:pPr>
        <w:pStyle w:val="30"/>
        <w:shd w:val="clear"/>
        <w:spacing w:before="120"/>
        <w:rPr>
          <w:rFonts w:ascii="宋体" w:hAnsi="宋体" w:eastAsia="宋体" w:cs="仿宋"/>
          <w:color w:val="auto"/>
          <w:szCs w:val="24"/>
          <w:highlight w:val="none"/>
        </w:rPr>
      </w:pPr>
    </w:p>
    <w:p w14:paraId="376ACA98">
      <w:pPr>
        <w:pStyle w:val="30"/>
        <w:shd w:val="clear"/>
        <w:spacing w:before="120"/>
        <w:rPr>
          <w:rFonts w:ascii="宋体" w:hAnsi="宋体" w:eastAsia="宋体" w:cs="仿宋"/>
          <w:color w:val="auto"/>
          <w:szCs w:val="24"/>
          <w:highlight w:val="none"/>
        </w:rPr>
      </w:pPr>
    </w:p>
    <w:p w14:paraId="6E4374C2">
      <w:pPr>
        <w:shd w:val="clear"/>
        <w:spacing w:line="360" w:lineRule="auto"/>
        <w:rPr>
          <w:rFonts w:ascii="宋体" w:hAnsi="宋体" w:cs="仿宋"/>
          <w:color w:val="auto"/>
          <w:sz w:val="24"/>
          <w:highlight w:val="none"/>
        </w:rPr>
      </w:pPr>
    </w:p>
    <w:p w14:paraId="3953FD55">
      <w:pPr>
        <w:shd w:val="clear"/>
        <w:spacing w:before="120" w:line="480" w:lineRule="auto"/>
        <w:ind w:left="960" w:firstLine="720" w:firstLineChars="300"/>
        <w:rPr>
          <w:rFonts w:ascii="宋体" w:hAnsi="宋体" w:cs="仿宋"/>
          <w:color w:val="auto"/>
          <w:sz w:val="24"/>
          <w:highlight w:val="none"/>
        </w:rPr>
      </w:pPr>
      <w:r>
        <w:rPr>
          <w:rFonts w:hint="eastAsia" w:ascii="宋体" w:hAnsi="宋体" w:cs="仿宋"/>
          <w:color w:val="auto"/>
          <w:sz w:val="24"/>
          <w:highlight w:val="none"/>
        </w:rPr>
        <w:t>甲方：</w:t>
      </w:r>
      <w:r>
        <w:rPr>
          <w:rFonts w:hint="eastAsia" w:ascii="宋体" w:hAnsi="宋体" w:cs="仿宋"/>
          <w:color w:val="auto"/>
          <w:sz w:val="24"/>
          <w:highlight w:val="none"/>
          <w:u w:val="single"/>
        </w:rPr>
        <w:t xml:space="preserve">   </w:t>
      </w:r>
      <w:r>
        <w:rPr>
          <w:rFonts w:hint="eastAsia" w:cs="仿宋_GB2312" w:asciiTheme="majorEastAsia" w:hAnsiTheme="majorEastAsia" w:eastAsiaTheme="majorEastAsia"/>
          <w:color w:val="auto"/>
          <w:sz w:val="32"/>
          <w:szCs w:val="32"/>
          <w:highlight w:val="none"/>
        </w:rPr>
        <w:t>宁波市奉化区人民政府莼湖街道办事处</w:t>
      </w:r>
      <w:r>
        <w:rPr>
          <w:rFonts w:hint="eastAsia" w:ascii="宋体" w:hAnsi="宋体" w:cs="仿宋"/>
          <w:color w:val="auto"/>
          <w:sz w:val="24"/>
          <w:highlight w:val="none"/>
          <w:u w:val="single"/>
        </w:rPr>
        <w:t xml:space="preserve">  </w:t>
      </w:r>
    </w:p>
    <w:p w14:paraId="01028A37">
      <w:pPr>
        <w:shd w:val="clear"/>
        <w:spacing w:before="120" w:line="480" w:lineRule="auto"/>
        <w:ind w:left="960" w:firstLine="720" w:firstLineChars="300"/>
        <w:rPr>
          <w:rFonts w:ascii="宋体" w:hAnsi="宋体" w:cs="仿宋"/>
          <w:color w:val="auto"/>
          <w:sz w:val="24"/>
          <w:highlight w:val="none"/>
        </w:rPr>
      </w:pPr>
      <w:r>
        <w:rPr>
          <w:rFonts w:hint="eastAsia" w:ascii="宋体" w:hAnsi="宋体" w:cs="仿宋"/>
          <w:color w:val="auto"/>
          <w:sz w:val="24"/>
          <w:highlight w:val="none"/>
        </w:rPr>
        <w:t>乙方：</w:t>
      </w:r>
      <w:r>
        <w:rPr>
          <w:rFonts w:hint="eastAsia" w:ascii="宋体" w:hAnsi="宋体" w:cs="仿宋"/>
          <w:color w:val="auto"/>
          <w:sz w:val="24"/>
          <w:highlight w:val="none"/>
          <w:u w:val="single"/>
        </w:rPr>
        <w:t xml:space="preserve">                                       </w:t>
      </w:r>
    </w:p>
    <w:p w14:paraId="6E7A918F">
      <w:pPr>
        <w:shd w:val="clear"/>
        <w:spacing w:before="120" w:line="480" w:lineRule="auto"/>
        <w:ind w:firstLine="1680" w:firstLineChars="700"/>
        <w:rPr>
          <w:rFonts w:ascii="宋体" w:hAnsi="宋体" w:cs="仿宋"/>
          <w:color w:val="auto"/>
          <w:sz w:val="24"/>
          <w:highlight w:val="none"/>
        </w:rPr>
      </w:pPr>
      <w:r>
        <w:rPr>
          <w:rFonts w:hint="eastAsia" w:ascii="宋体" w:hAnsi="宋体" w:cs="仿宋"/>
          <w:color w:val="auto"/>
          <w:sz w:val="24"/>
          <w:highlight w:val="none"/>
        </w:rPr>
        <w:t>签订地：</w:t>
      </w:r>
      <w:r>
        <w:rPr>
          <w:rFonts w:hint="eastAsia" w:ascii="宋体" w:hAnsi="宋体" w:cs="仿宋"/>
          <w:color w:val="auto"/>
          <w:sz w:val="24"/>
          <w:highlight w:val="none"/>
          <w:u w:val="single"/>
        </w:rPr>
        <w:t xml:space="preserve">                                     </w:t>
      </w:r>
    </w:p>
    <w:p w14:paraId="51F8BEF7">
      <w:pPr>
        <w:shd w:val="clear"/>
        <w:spacing w:before="120" w:line="480" w:lineRule="auto"/>
        <w:ind w:firstLine="1680" w:firstLineChars="700"/>
        <w:rPr>
          <w:rFonts w:ascii="宋体" w:hAnsi="宋体" w:cs="仿宋"/>
          <w:color w:val="auto"/>
          <w:sz w:val="24"/>
          <w:highlight w:val="none"/>
        </w:rPr>
      </w:pPr>
      <w:r>
        <w:rPr>
          <w:rFonts w:hint="eastAsia" w:ascii="宋体" w:hAnsi="宋体" w:cs="仿宋"/>
          <w:color w:val="auto"/>
          <w:sz w:val="24"/>
          <w:highlight w:val="none"/>
        </w:rPr>
        <w:t>签订日期：</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6BC5F5E4">
      <w:pPr>
        <w:shd w:val="clear"/>
        <w:spacing w:line="360" w:lineRule="auto"/>
        <w:ind w:firstLine="480" w:firstLineChars="200"/>
        <w:rPr>
          <w:rFonts w:ascii="仿宋" w:hAnsi="仿宋" w:eastAsia="仿宋" w:cs="仿宋"/>
          <w:color w:val="auto"/>
          <w:sz w:val="24"/>
          <w:highlight w:val="none"/>
          <w:lang w:val="zh-CN"/>
        </w:rPr>
      </w:pPr>
      <w:r>
        <w:rPr>
          <w:rFonts w:hint="eastAsia" w:ascii="宋体" w:hAnsi="宋体" w:cs="仿宋"/>
          <w:color w:val="auto"/>
          <w:sz w:val="24"/>
          <w:highlight w:val="none"/>
          <w:u w:val="single"/>
          <w:lang w:val="zh-CN"/>
        </w:rPr>
        <w:br w:type="page"/>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u w:val="single"/>
          <w:lang w:val="zh-CN"/>
        </w:rPr>
        <w:t xml:space="preserve">   （采购人）   </w:t>
      </w:r>
      <w:r>
        <w:rPr>
          <w:rFonts w:hint="eastAsia" w:ascii="仿宋" w:hAnsi="仿宋" w:eastAsia="仿宋" w:cs="仿宋"/>
          <w:color w:val="auto"/>
          <w:sz w:val="24"/>
          <w:highlight w:val="none"/>
          <w:lang w:val="zh-CN"/>
        </w:rPr>
        <w:t>以</w:t>
      </w:r>
      <w:r>
        <w:rPr>
          <w:rFonts w:hint="eastAsia" w:ascii="仿宋" w:hAnsi="仿宋" w:eastAsia="仿宋" w:cs="仿宋"/>
          <w:color w:val="auto"/>
          <w:sz w:val="24"/>
          <w:highlight w:val="none"/>
          <w:u w:val="single"/>
          <w:lang w:val="zh-CN"/>
        </w:rPr>
        <w:t xml:space="preserve">   （政府采购方式）  </w:t>
      </w:r>
      <w:r>
        <w:rPr>
          <w:rFonts w:hint="eastAsia" w:ascii="仿宋" w:hAnsi="仿宋" w:eastAsia="仿宋" w:cs="仿宋"/>
          <w:color w:val="auto"/>
          <w:sz w:val="24"/>
          <w:highlight w:val="none"/>
          <w:lang w:val="zh-CN"/>
        </w:rPr>
        <w:t>对</w:t>
      </w:r>
      <w:r>
        <w:rPr>
          <w:rFonts w:hint="eastAsia" w:ascii="仿宋" w:hAnsi="仿宋" w:eastAsia="仿宋" w:cs="仿宋"/>
          <w:color w:val="auto"/>
          <w:sz w:val="24"/>
          <w:highlight w:val="none"/>
          <w:u w:val="single"/>
          <w:lang w:val="zh-CN"/>
        </w:rPr>
        <w:t xml:space="preserve">   （同前页项目名称）   </w:t>
      </w:r>
      <w:r>
        <w:rPr>
          <w:rFonts w:hint="eastAsia" w:ascii="仿宋" w:hAnsi="仿宋" w:eastAsia="仿宋" w:cs="仿宋"/>
          <w:color w:val="auto"/>
          <w:sz w:val="24"/>
          <w:highlight w:val="none"/>
          <w:lang w:val="zh-CN"/>
        </w:rPr>
        <w:t>项目进行了采购。经</w:t>
      </w:r>
      <w:r>
        <w:rPr>
          <w:rFonts w:hint="eastAsia" w:ascii="仿宋" w:hAnsi="仿宋" w:eastAsia="仿宋" w:cs="仿宋"/>
          <w:color w:val="auto"/>
          <w:sz w:val="24"/>
          <w:highlight w:val="none"/>
          <w:u w:val="single"/>
          <w:lang w:val="zh-CN"/>
        </w:rPr>
        <w:t xml:space="preserve">   （相关评定主体名称）   </w:t>
      </w:r>
      <w:r>
        <w:rPr>
          <w:rFonts w:hint="eastAsia" w:ascii="仿宋" w:hAnsi="仿宋" w:eastAsia="仿宋" w:cs="仿宋"/>
          <w:color w:val="auto"/>
          <w:sz w:val="24"/>
          <w:highlight w:val="none"/>
          <w:lang w:val="zh-CN"/>
        </w:rPr>
        <w:t>评定，</w:t>
      </w:r>
      <w:r>
        <w:rPr>
          <w:rFonts w:hint="eastAsia" w:ascii="仿宋" w:hAnsi="仿宋" w:eastAsia="仿宋" w:cs="仿宋"/>
          <w:color w:val="auto"/>
          <w:sz w:val="24"/>
          <w:highlight w:val="none"/>
          <w:u w:val="single"/>
          <w:lang w:val="zh-CN"/>
        </w:rPr>
        <w:t xml:space="preserve">   （中标供应商名称）</w:t>
      </w:r>
      <w:r>
        <w:rPr>
          <w:rFonts w:hint="eastAsia" w:ascii="仿宋" w:hAnsi="仿宋" w:eastAsia="仿宋" w:cs="仿宋"/>
          <w:color w:val="auto"/>
          <w:sz w:val="24"/>
          <w:highlight w:val="none"/>
          <w:lang w:val="zh-CN"/>
        </w:rPr>
        <w:t>为该项目中标供应商。现于中标通知书发出之日起三十日内，按照采购文件确定的事项签订本合同。</w:t>
      </w:r>
    </w:p>
    <w:p w14:paraId="6952874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47B3006">
      <w:pPr>
        <w:shd w:val="clear"/>
        <w:adjustRightInd w:val="0"/>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 定义</w:t>
      </w:r>
    </w:p>
    <w:p w14:paraId="0A24029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3B22B25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 “合同”系指采购人和中标供应商签订的载明双方当事人所达成的协议，并包括所有的附件、附录和构成合同的其他文件。</w:t>
      </w:r>
    </w:p>
    <w:p w14:paraId="6B50904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 “合同价”系指根据合同约定，中标供应商在完全履行合同义务后，采购人应支付给中标供应商的价格。</w:t>
      </w:r>
    </w:p>
    <w:p w14:paraId="0C56A67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 “服务”系指中标供应商根据合同约定应为采购人提供的一切服务。</w:t>
      </w:r>
    </w:p>
    <w:p w14:paraId="2D1BDBD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 “甲方”系指与中标供应商签署合同的采购人；采购人委托采购代理机构代表其与乙方签订合同的，采购人的授权委托书作为合同附件。</w:t>
      </w:r>
    </w:p>
    <w:p w14:paraId="43CFC4D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B662166">
      <w:pPr>
        <w:shd w:val="clea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1.6 “现场”系指合同约定中标供应商为采购人提供服务的地点。</w:t>
      </w:r>
    </w:p>
    <w:p w14:paraId="5E93F4FD">
      <w:pPr>
        <w:shd w:val="clear"/>
        <w:adjustRightInd w:val="0"/>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 合同组成部分</w:t>
      </w:r>
    </w:p>
    <w:p w14:paraId="7C84034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D9D9BD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本合同及其附件、补充合同、变更协议；</w:t>
      </w:r>
    </w:p>
    <w:p w14:paraId="60197E3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中标通知书；</w:t>
      </w:r>
    </w:p>
    <w:p w14:paraId="12E841A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投标文件（含澄清或者说明文件）；</w:t>
      </w:r>
    </w:p>
    <w:p w14:paraId="3B5817D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招标文件（含澄清或者修改文件）；</w:t>
      </w:r>
    </w:p>
    <w:p w14:paraId="0E0FDED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 其他相关采购文件。</w:t>
      </w:r>
    </w:p>
    <w:p w14:paraId="13473443">
      <w:pPr>
        <w:shd w:val="clear"/>
        <w:adjustRightInd w:val="0"/>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3 服务内容（与招标文件一致）</w:t>
      </w:r>
    </w:p>
    <w:p w14:paraId="1B5FD08B">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EFCD4E3">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3.2 服务要求与标准：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FDF535E">
      <w:pPr>
        <w:shd w:val="clear"/>
        <w:adjustRightInd w:val="0"/>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4 价款</w:t>
      </w:r>
    </w:p>
    <w:p w14:paraId="6BC9F69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1AF0FAB8">
      <w:pPr>
        <w:shd w:val="clear"/>
        <w:adjustRightInd w:val="0"/>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5 付款方式、时间和条件</w:t>
      </w:r>
    </w:p>
    <w:p w14:paraId="586A3FAB">
      <w:pPr>
        <w:widowControl/>
        <w:shd w:val="clear"/>
        <w:spacing w:line="360" w:lineRule="auto"/>
        <w:ind w:firstLine="480"/>
        <w:jc w:val="left"/>
        <w:rPr>
          <w:rFonts w:ascii="仿宋" w:hAnsi="仿宋" w:eastAsia="仿宋" w:cs="仿宋"/>
          <w:b/>
          <w:bCs/>
          <w:i/>
          <w:iCs/>
          <w:color w:val="auto"/>
          <w:sz w:val="24"/>
          <w:highlight w:val="none"/>
          <w:u w:val="single"/>
        </w:rPr>
      </w:pPr>
      <w:r>
        <w:rPr>
          <w:rFonts w:hint="eastAsia" w:ascii="仿宋" w:hAnsi="仿宋" w:eastAsia="仿宋" w:cs="仿宋"/>
          <w:color w:val="auto"/>
          <w:sz w:val="24"/>
          <w:highlight w:val="none"/>
        </w:rPr>
        <w:t>5.1 资金支付的方式、时间和条件：</w:t>
      </w:r>
      <w:r>
        <w:rPr>
          <w:rFonts w:hint="eastAsia" w:ascii="仿宋" w:hAnsi="仿宋" w:eastAsia="仿宋" w:cs="仿宋"/>
          <w:b/>
          <w:bCs/>
          <w:i/>
          <w:iCs/>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合同签订后15天内支付合同价款的40%作为预付款；剩余费用在合同履行完毕后一次性付清。</w:t>
      </w:r>
      <w:r>
        <w:rPr>
          <w:rFonts w:hint="eastAsia" w:ascii="仿宋" w:hAnsi="仿宋" w:eastAsia="仿宋" w:cs="仿宋"/>
          <w:b/>
          <w:bCs/>
          <w:i/>
          <w:iCs/>
          <w:color w:val="auto"/>
          <w:sz w:val="24"/>
          <w:highlight w:val="none"/>
          <w:u w:val="single"/>
        </w:rPr>
        <w:t xml:space="preserve"> </w:t>
      </w:r>
    </w:p>
    <w:p w14:paraId="5E4C8EBB">
      <w:pPr>
        <w:widowControl/>
        <w:shd w:val="clear"/>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5.2 乙方收款账户：</w:t>
      </w:r>
    </w:p>
    <w:p w14:paraId="377577B6">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014E57AB">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开户名称：</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40045BEC">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lang w:val="zh-CN"/>
        </w:rPr>
        <w:t xml:space="preserve">                             </w:t>
      </w:r>
    </w:p>
    <w:p w14:paraId="78DEF132">
      <w:pPr>
        <w:shd w:val="clear"/>
        <w:adjustRightInd w:val="0"/>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6 服务期限、地点和服务人员要求</w:t>
      </w:r>
    </w:p>
    <w:p w14:paraId="004641BB">
      <w:pPr>
        <w:shd w:val="clear"/>
        <w:adjustRightIn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6.1 服务期限：</w:t>
      </w:r>
      <w:r>
        <w:rPr>
          <w:rFonts w:hint="eastAsia" w:ascii="仿宋" w:hAnsi="仿宋" w:eastAsia="仿宋" w:cs="仿宋"/>
          <w:b/>
          <w:i/>
          <w:color w:val="auto"/>
          <w:highlight w:val="none"/>
          <w:u w:val="single"/>
        </w:rPr>
        <w:t xml:space="preserve"> </w:t>
      </w:r>
      <w:r>
        <w:rPr>
          <w:rFonts w:hint="eastAsia" w:asciiTheme="minorEastAsia" w:hAnsiTheme="minorEastAsia" w:eastAsiaTheme="minorEastAsia" w:cstheme="minorEastAsia"/>
          <w:color w:val="auto"/>
          <w:kern w:val="0"/>
          <w:sz w:val="24"/>
          <w:highlight w:val="none"/>
        </w:rPr>
        <w:t>自合同签订之日起三年，合同一年一签。</w:t>
      </w:r>
      <w:r>
        <w:rPr>
          <w:rFonts w:hint="eastAsia" w:ascii="仿宋" w:hAnsi="仿宋" w:eastAsia="仿宋" w:cs="仿宋"/>
          <w:b/>
          <w:i/>
          <w:color w:val="auto"/>
          <w:highlight w:val="none"/>
          <w:u w:val="single"/>
        </w:rPr>
        <w:t xml:space="preserve"> </w:t>
      </w:r>
    </w:p>
    <w:p w14:paraId="3AD35D12">
      <w:pPr>
        <w:shd w:val="clear"/>
        <w:adjustRightInd w:val="0"/>
        <w:spacing w:line="360" w:lineRule="auto"/>
        <w:ind w:firstLine="480" w:firstLineChars="200"/>
        <w:rPr>
          <w:color w:val="auto"/>
          <w:highlight w:val="none"/>
        </w:rPr>
      </w:pPr>
      <w:r>
        <w:rPr>
          <w:rFonts w:hint="eastAsia" w:ascii="仿宋" w:hAnsi="仿宋" w:eastAsia="仿宋" w:cs="仿宋"/>
          <w:color w:val="auto"/>
          <w:sz w:val="24"/>
          <w:highlight w:val="none"/>
        </w:rPr>
        <w:t>6.2 服务地点：</w:t>
      </w:r>
      <w:r>
        <w:rPr>
          <w:rFonts w:hint="eastAsia" w:ascii="仿宋" w:hAnsi="仿宋" w:eastAsia="仿宋" w:cs="仿宋"/>
          <w:b/>
          <w:i/>
          <w:color w:val="auto"/>
          <w:highlight w:val="none"/>
          <w:u w:val="single"/>
        </w:rPr>
        <w:t xml:space="preserve">  </w:t>
      </w:r>
      <w:r>
        <w:rPr>
          <w:rFonts w:hint="eastAsia" w:asciiTheme="minorEastAsia" w:hAnsiTheme="minorEastAsia" w:eastAsiaTheme="minorEastAsia" w:cstheme="minorEastAsia"/>
          <w:color w:val="auto"/>
          <w:kern w:val="0"/>
          <w:sz w:val="24"/>
          <w:highlight w:val="none"/>
        </w:rPr>
        <w:t>业主指定地点。</w:t>
      </w:r>
      <w:r>
        <w:rPr>
          <w:rFonts w:hint="eastAsia" w:ascii="仿宋" w:hAnsi="仿宋" w:eastAsia="仿宋" w:cs="仿宋"/>
          <w:b/>
          <w:i/>
          <w:color w:val="auto"/>
          <w:highlight w:val="none"/>
          <w:u w:val="single"/>
        </w:rPr>
        <w:t xml:space="preserve"> </w:t>
      </w:r>
    </w:p>
    <w:p w14:paraId="541CBCB7">
      <w:pPr>
        <w:shd w:val="clear"/>
        <w:adjustRightIn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6.3 服务人员：</w:t>
      </w:r>
      <w:r>
        <w:rPr>
          <w:rFonts w:hint="eastAsia" w:ascii="仿宋" w:hAnsi="仿宋" w:eastAsia="仿宋" w:cs="仿宋"/>
          <w:b/>
          <w:i/>
          <w:color w:val="auto"/>
          <w:highlight w:val="none"/>
          <w:u w:val="single"/>
        </w:rPr>
        <w:t xml:space="preserve">                   </w:t>
      </w:r>
    </w:p>
    <w:p w14:paraId="0B168B3D">
      <w:pPr>
        <w:shd w:val="clear"/>
        <w:adjustRightInd w:val="0"/>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7 技术规范</w:t>
      </w:r>
    </w:p>
    <w:p w14:paraId="7572D90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4ACF01BE">
      <w:pPr>
        <w:shd w:val="clear"/>
        <w:adjustRightInd w:val="0"/>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8 知识产权</w:t>
      </w:r>
    </w:p>
    <w:p w14:paraId="19FD0AE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14:paraId="14E4327F">
      <w:pPr>
        <w:shd w:val="clear"/>
        <w:adjustRightInd w:val="0"/>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9 包装和装运</w:t>
      </w:r>
    </w:p>
    <w:p w14:paraId="128C3EC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乙方为履行服务合同提供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E511BEB">
      <w:pPr>
        <w:shd w:val="clea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01AAFFBC">
      <w:pPr>
        <w:shd w:val="clear"/>
        <w:adjustRightInd w:val="0"/>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10 定期考核和问题反馈</w:t>
      </w:r>
    </w:p>
    <w:p w14:paraId="1A5AF0E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10.1甲方有权定期对乙方提供的服务履约情况进行检查与考核，以确保乙方所提供的服务能够依约满足甲方之项目需求，但不得因履约检查妨碍乙方的正常工作，乙方应予积极配合；</w:t>
      </w:r>
    </w:p>
    <w:p w14:paraId="12A4723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 合同履行期间，甲方有权将履行过程中出现的问题反馈给乙方，双方当事人应以书面形式约定需要完善和改进的内容。</w:t>
      </w:r>
    </w:p>
    <w:p w14:paraId="756B1552">
      <w:pPr>
        <w:shd w:val="clear"/>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11 项目验收</w:t>
      </w:r>
    </w:p>
    <w:p w14:paraId="4D73E835">
      <w:pPr>
        <w:shd w:val="clear"/>
        <w:tabs>
          <w:tab w:val="left" w:pos="360"/>
          <w:tab w:val="left" w:pos="54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74C2822A">
      <w:pPr>
        <w:shd w:val="clear"/>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12 技术资料和保密义务</w:t>
      </w:r>
    </w:p>
    <w:p w14:paraId="73933EF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12.1 乙方有权依据合同约定和项目需要，向甲方了解有关情况，调阅有关资料等，甲方应予积极配合；</w:t>
      </w:r>
    </w:p>
    <w:p w14:paraId="6C636D8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12.2 乙方有义务妥善保管和保护由甲方提供的前款信息和资料等；</w:t>
      </w:r>
    </w:p>
    <w:p w14:paraId="29B5CDF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A26127B">
      <w:pPr>
        <w:shd w:val="clear"/>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质量保证</w:t>
      </w:r>
    </w:p>
    <w:p w14:paraId="1C5E7FF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 乙方应建立和完善履行合同的内部质量保证体系，并提供相关内部规章制度给甲方，以便甲方进行监督检查；</w:t>
      </w:r>
    </w:p>
    <w:p w14:paraId="75A3960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 乙方应保证履行合同的人员数量和素质、软件和硬件设备的配置、场地、环境和设施等满足全面履行合同的要求，并应接受甲方的监督检查。</w:t>
      </w:r>
    </w:p>
    <w:p w14:paraId="49450E96">
      <w:pPr>
        <w:shd w:val="clear"/>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14 履约的风险负担</w:t>
      </w:r>
    </w:p>
    <w:p w14:paraId="01953147">
      <w:pPr>
        <w:shd w:val="clea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在履行合同时，乙方服务人员及设备的相关风险均由乙方自行承担。</w:t>
      </w:r>
    </w:p>
    <w:p w14:paraId="08965032">
      <w:pPr>
        <w:shd w:val="clear"/>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 延迟交货</w:t>
      </w:r>
    </w:p>
    <w:p w14:paraId="4255D4D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完成服务的情况，应及时以书面形式将不能按时完成的理由、预期延误时间通知甲方；甲方收到乙方通知后，认为其理由正当的，可以书面形式酌情同意乙方可以延长交货的具体时间。</w:t>
      </w:r>
    </w:p>
    <w:p w14:paraId="2F3099E0">
      <w:pPr>
        <w:shd w:val="clear"/>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16 合同变更</w:t>
      </w:r>
    </w:p>
    <w:p w14:paraId="3572B98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58C924E">
      <w:pPr>
        <w:shd w:val="clear"/>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合同转让和分包</w:t>
      </w:r>
    </w:p>
    <w:p w14:paraId="1F5FACA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92F428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17.2乙方采取分包方式履行合同的，由乙方向分包供应商支付款项，但不得因分包影响履行合同义务。</w:t>
      </w:r>
    </w:p>
    <w:p w14:paraId="2EB615B3">
      <w:pPr>
        <w:shd w:val="clear"/>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18 违约责任</w:t>
      </w:r>
    </w:p>
    <w:p w14:paraId="7AD4B7B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除不可抗力外，如果乙方拒绝履行合同，或没有按照本合同约定的期限、标准和成果展现方式完成服务，那么甲方可要求乙方支付违约金，违约金按每日计合同总价的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%；迟延完成服务的违约金计算数额达到前述最高限额之日起，甲方有权在要求乙方支付违约金的同时，书面通知乙方解除本合同；</w:t>
      </w:r>
    </w:p>
    <w:p w14:paraId="56917F0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52EF302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C31009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4D720F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7788D3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 如果出现政府采购监督管理部门在处理投诉事项期间，书面通知甲方暂停采购活动的情形，或者询问或质疑事项可能影响中标结果的，导致甲方中止履行合同的情形，均不视为甲方违约。</w:t>
      </w:r>
    </w:p>
    <w:p w14:paraId="3ED89BDD">
      <w:pPr>
        <w:shd w:val="clear"/>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19 不可抗力</w:t>
      </w:r>
    </w:p>
    <w:p w14:paraId="296BE3F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19.1如果任何一方遭遇法律规定的不可抗力，致使合同履行受阻时，履行合同的期限应予延长，延长的期限应相当于不可抗力所影响的时间；</w:t>
      </w:r>
    </w:p>
    <w:p w14:paraId="2709E1C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 因不可抗力致使不能实现合同目的的，当事人可以解除合同；</w:t>
      </w:r>
    </w:p>
    <w:p w14:paraId="5281740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19.3 因不可抗力致使合同有变更必要的，双方当事人应在不可抗力发生后</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日内以书面形式变更合同；</w:t>
      </w:r>
    </w:p>
    <w:p w14:paraId="11B74E6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19.4受不可抗力影响的一方在不可抗力发生后，应在</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日内以书面形式通知对方当事人，并在</w:t>
      </w:r>
      <w:r>
        <w:rPr>
          <w:rFonts w:hint="eastAsia" w:ascii="仿宋" w:hAnsi="仿宋" w:eastAsia="仿宋" w:cs="仿宋"/>
          <w:color w:val="auto"/>
          <w:sz w:val="24"/>
          <w:highlight w:val="none"/>
          <w:u w:val="single"/>
        </w:rPr>
        <w:t xml:space="preserve">  15  </w:t>
      </w:r>
      <w:r>
        <w:rPr>
          <w:rFonts w:hint="eastAsia" w:ascii="仿宋" w:hAnsi="仿宋" w:eastAsia="仿宋" w:cs="仿宋"/>
          <w:color w:val="auto"/>
          <w:sz w:val="24"/>
          <w:highlight w:val="none"/>
        </w:rPr>
        <w:t>日内，将有关部门出具的证明文件送达对方当事人。</w:t>
      </w:r>
    </w:p>
    <w:p w14:paraId="4A69BB09">
      <w:pPr>
        <w:shd w:val="clear"/>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20 税费</w:t>
      </w:r>
    </w:p>
    <w:p w14:paraId="3B26847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31E61803">
      <w:pPr>
        <w:shd w:val="clear"/>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 乙方破产</w:t>
      </w:r>
    </w:p>
    <w:p w14:paraId="7E8813A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904C83E">
      <w:pPr>
        <w:shd w:val="clear"/>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22 合同争议的解决</w:t>
      </w:r>
    </w:p>
    <w:p w14:paraId="1732791C">
      <w:pPr>
        <w:shd w:val="clear"/>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本合同履行过程中发生的任何争议，双方当事人均可通过和解或者调解解决；不愿和解、调解或者和解、调解不成的，可以向宁波市奉化区人民法院提起诉讼。</w:t>
      </w:r>
    </w:p>
    <w:p w14:paraId="1C575128">
      <w:pPr>
        <w:shd w:val="clear"/>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23 合同中止、终止</w:t>
      </w:r>
    </w:p>
    <w:p w14:paraId="7ADC85E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双方当事人不得擅自中止或者终止合同；</w:t>
      </w:r>
    </w:p>
    <w:p w14:paraId="4FAD7DE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23.2合同继续履行将损害国家利益和社会公共利益的，双方当事人应当中止或者终止合同。有过错的一方应当承担赔偿责任，双方当事人都有过错的，各自承担相应的责任。</w:t>
      </w:r>
    </w:p>
    <w:p w14:paraId="28AB4F06">
      <w:pPr>
        <w:shd w:val="clear"/>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24 通知和送达</w:t>
      </w:r>
    </w:p>
    <w:p w14:paraId="38603F0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24.1任何一方因履行合同而以合同第一部分尾部所列明的传真或电子邮件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61C3FAD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以当面交付方式送达的，交付之时视为送达；以电子邮件方式送达的，发出电子邮件之时视为送达；以传真方式送达的，发出传真之时视为送达；以邮寄方式送达的，邮件挂号寄出或者交邮之日之次日视为送达。</w:t>
      </w:r>
    </w:p>
    <w:p w14:paraId="0C4754D4">
      <w:pPr>
        <w:shd w:val="clear"/>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25 计量单位</w:t>
      </w:r>
    </w:p>
    <w:p w14:paraId="6BFDCF3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05ADC63F">
      <w:pPr>
        <w:shd w:val="clear"/>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26合同使用的文字和适用的法律</w:t>
      </w:r>
    </w:p>
    <w:p w14:paraId="039D6E3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合同使用汉语书就、变更和解释；</w:t>
      </w:r>
    </w:p>
    <w:p w14:paraId="479C0C0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合同适用中华人民共和国法律。</w:t>
      </w:r>
    </w:p>
    <w:p w14:paraId="526E16AD">
      <w:pPr>
        <w:shd w:val="clear"/>
        <w:spacing w:line="360" w:lineRule="auto"/>
        <w:ind w:firstLine="480"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27合同效力</w:t>
      </w:r>
    </w:p>
    <w:p w14:paraId="32C78F2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本合同一式四份，甲乙双方各两份，每份均具有同等法律效力。本合同自双方当事人签字并盖章时生效。</w:t>
      </w:r>
    </w:p>
    <w:p w14:paraId="3E3DAAE3">
      <w:pPr>
        <w:shd w:val="clear"/>
        <w:autoSpaceDE w:val="0"/>
        <w:autoSpaceDN w:val="0"/>
        <w:spacing w:line="360" w:lineRule="auto"/>
        <w:rPr>
          <w:rFonts w:ascii="仿宋" w:hAnsi="仿宋" w:eastAsia="仿宋" w:cs="仿宋"/>
          <w:b/>
          <w:color w:val="auto"/>
          <w:sz w:val="24"/>
          <w:highlight w:val="none"/>
          <w:lang w:val="zh-CN"/>
        </w:rPr>
      </w:pPr>
    </w:p>
    <w:p w14:paraId="4401E458">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甲方名称（公章）</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乙方名称（公章）</w:t>
      </w:r>
      <w:r>
        <w:rPr>
          <w:rFonts w:hint="eastAsia" w:ascii="仿宋" w:hAnsi="仿宋" w:eastAsia="仿宋" w:cs="仿宋"/>
          <w:color w:val="auto"/>
          <w:sz w:val="24"/>
          <w:highlight w:val="none"/>
          <w:lang w:val="zh-CN"/>
        </w:rPr>
        <w:t>：</w:t>
      </w:r>
    </w:p>
    <w:p w14:paraId="29963B72">
      <w:pPr>
        <w:shd w:val="clear"/>
        <w:autoSpaceDE w:val="0"/>
        <w:autoSpaceDN w:val="0"/>
        <w:spacing w:line="360" w:lineRule="auto"/>
        <w:rPr>
          <w:rFonts w:ascii="仿宋" w:hAnsi="仿宋" w:eastAsia="仿宋" w:cs="仿宋"/>
          <w:color w:val="auto"/>
          <w:sz w:val="24"/>
          <w:highlight w:val="none"/>
          <w:lang w:val="zh-CN"/>
        </w:rPr>
      </w:pPr>
    </w:p>
    <w:p w14:paraId="66DC8DD1">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7F364CBE">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DBB11E1">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法定代表人或授权代表（签字）: </w:t>
      </w:r>
    </w:p>
    <w:p w14:paraId="5FD0AA4B">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648322A">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52DDD52">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4EE28D1B">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42AA7846">
      <w:pPr>
        <w:shd w:val="clea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传真:                                    传真:</w:t>
      </w:r>
    </w:p>
    <w:p w14:paraId="64FB1149">
      <w:pPr>
        <w:pStyle w:val="2"/>
        <w:shd w:val="clear"/>
        <w:spacing w:line="360" w:lineRule="auto"/>
        <w:ind w:firstLine="0" w:firstLineChars="0"/>
        <w:rPr>
          <w:rFonts w:ascii="仿宋" w:hAnsi="仿宋" w:eastAsia="仿宋" w:cs="仿宋"/>
          <w:b/>
          <w:bCs/>
          <w:color w:val="auto"/>
          <w:sz w:val="24"/>
          <w:highlight w:val="none"/>
        </w:rPr>
      </w:pPr>
      <w:r>
        <w:rPr>
          <w:rFonts w:hint="eastAsia" w:ascii="仿宋" w:hAnsi="仿宋" w:eastAsia="仿宋" w:cs="仿宋"/>
          <w:b/>
          <w:bCs/>
          <w:color w:val="auto"/>
          <w:sz w:val="24"/>
          <w:highlight w:val="none"/>
        </w:rPr>
        <w:t>见证人（公章）：宁波敬信项目管理咨询有限公司</w:t>
      </w:r>
    </w:p>
    <w:p w14:paraId="7632B16E">
      <w:pPr>
        <w:shd w:val="clea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住所：宁波市奉化区岳林东路商业二</w:t>
      </w:r>
      <w:r>
        <w:rPr>
          <w:rFonts w:ascii="仿宋" w:hAnsi="仿宋" w:eastAsia="仿宋" w:cs="仿宋"/>
          <w:color w:val="auto"/>
          <w:sz w:val="24"/>
          <w:highlight w:val="none"/>
        </w:rPr>
        <w:t>16</w:t>
      </w:r>
      <w:r>
        <w:rPr>
          <w:rFonts w:hint="eastAsia" w:ascii="仿宋" w:hAnsi="仿宋" w:eastAsia="仿宋" w:cs="仿宋"/>
          <w:color w:val="auto"/>
          <w:sz w:val="24"/>
          <w:highlight w:val="none"/>
        </w:rPr>
        <w:t>幢</w:t>
      </w:r>
      <w:r>
        <w:rPr>
          <w:rFonts w:ascii="仿宋" w:hAnsi="仿宋" w:eastAsia="仿宋" w:cs="仿宋"/>
          <w:color w:val="auto"/>
          <w:sz w:val="24"/>
          <w:highlight w:val="none"/>
        </w:rPr>
        <w:t>502</w:t>
      </w:r>
      <w:r>
        <w:rPr>
          <w:rFonts w:hint="eastAsia" w:ascii="仿宋" w:hAnsi="仿宋" w:eastAsia="仿宋" w:cs="仿宋"/>
          <w:color w:val="auto"/>
          <w:sz w:val="24"/>
          <w:highlight w:val="none"/>
        </w:rPr>
        <w:t xml:space="preserve">室（惠政丽都北门）                             </w:t>
      </w:r>
    </w:p>
    <w:p w14:paraId="73693179">
      <w:pPr>
        <w:shd w:val="clea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法定代表人或授权代表（签字）：        </w:t>
      </w:r>
    </w:p>
    <w:p w14:paraId="5460F6A3">
      <w:pPr>
        <w:shd w:val="clea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联系人：                                                                  </w:t>
      </w:r>
    </w:p>
    <w:p w14:paraId="1DED8177">
      <w:pPr>
        <w:shd w:val="clea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电话:</w:t>
      </w:r>
    </w:p>
    <w:p w14:paraId="3BC1B972">
      <w:pPr>
        <w:shd w:val="clear"/>
        <w:spacing w:line="360" w:lineRule="auto"/>
        <w:jc w:val="center"/>
        <w:rPr>
          <w:rFonts w:cs="仿宋" w:asciiTheme="majorEastAsia" w:hAnsiTheme="majorEastAsia" w:eastAsiaTheme="majorEastAsia"/>
          <w:b/>
          <w:color w:val="auto"/>
          <w:sz w:val="24"/>
          <w:highlight w:val="none"/>
        </w:rPr>
      </w:pPr>
    </w:p>
    <w:p w14:paraId="215D07AE">
      <w:pPr>
        <w:widowControl/>
        <w:shd w:val="clear"/>
        <w:jc w:val="left"/>
        <w:rPr>
          <w:rFonts w:cs="仿宋" w:asciiTheme="majorEastAsia" w:hAnsiTheme="majorEastAsia" w:eastAsiaTheme="majorEastAsia"/>
          <w:b/>
          <w:color w:val="auto"/>
          <w:sz w:val="24"/>
          <w:highlight w:val="none"/>
        </w:rPr>
      </w:pPr>
      <w:r>
        <w:rPr>
          <w:rFonts w:cs="仿宋" w:asciiTheme="majorEastAsia" w:hAnsiTheme="majorEastAsia" w:eastAsiaTheme="majorEastAsia"/>
          <w:b/>
          <w:color w:val="auto"/>
          <w:sz w:val="24"/>
          <w:highlight w:val="none"/>
        </w:rPr>
        <w:br w:type="page"/>
      </w:r>
    </w:p>
    <w:p w14:paraId="28538C45">
      <w:pPr>
        <w:shd w:val="clear"/>
        <w:spacing w:line="360" w:lineRule="auto"/>
        <w:jc w:val="center"/>
        <w:rPr>
          <w:rFonts w:cs="仿宋" w:asciiTheme="majorEastAsia" w:hAnsiTheme="majorEastAsia" w:eastAsiaTheme="majorEastAsia"/>
          <w:b/>
          <w:color w:val="auto"/>
          <w:sz w:val="24"/>
          <w:highlight w:val="none"/>
        </w:rPr>
      </w:pPr>
    </w:p>
    <w:p w14:paraId="6E4BA1A6">
      <w:pPr>
        <w:shd w:val="clear"/>
        <w:spacing w:line="360" w:lineRule="auto"/>
        <w:ind w:left="720" w:firstLine="723" w:firstLineChars="200"/>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t>第六部分</w:t>
      </w:r>
      <w:bookmarkEnd w:id="394"/>
      <w:r>
        <w:rPr>
          <w:rFonts w:hint="eastAsia" w:cs="仿宋" w:asciiTheme="majorEastAsia" w:hAnsiTheme="majorEastAsia" w:eastAsiaTheme="majorEastAsia"/>
          <w:b/>
          <w:color w:val="auto"/>
          <w:sz w:val="36"/>
          <w:szCs w:val="20"/>
          <w:highlight w:val="none"/>
        </w:rPr>
        <w:t xml:space="preserve"> </w:t>
      </w:r>
      <w:bookmarkEnd w:id="395"/>
      <w:r>
        <w:rPr>
          <w:rFonts w:hint="eastAsia" w:cs="仿宋" w:asciiTheme="majorEastAsia" w:hAnsiTheme="majorEastAsia" w:eastAsiaTheme="majorEastAsia"/>
          <w:b/>
          <w:color w:val="auto"/>
          <w:sz w:val="36"/>
          <w:szCs w:val="20"/>
          <w:highlight w:val="none"/>
        </w:rPr>
        <w:t>应提交的有关格式范例</w:t>
      </w:r>
    </w:p>
    <w:p w14:paraId="6BC1C341">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7E134681">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资格文件部分</w:t>
      </w:r>
    </w:p>
    <w:p w14:paraId="3649EDE6">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5883C070">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11CE3178">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有效的企业法人营业执照（或事业法人登记证）、其他组织（个体工商户）的营业执照或者民办非企业单位登记证书；</w:t>
      </w:r>
    </w:p>
    <w:p w14:paraId="3AFFE2D4">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符合参加政府采购活动应当具备的一般条件的承诺函；</w:t>
      </w:r>
    </w:p>
    <w:p w14:paraId="77364BED">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落实政府采购政策需满足的资格要求；</w:t>
      </w:r>
    </w:p>
    <w:p w14:paraId="5B690A2D">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本项目的特定资格要求。</w:t>
      </w:r>
    </w:p>
    <w:p w14:paraId="03F5CB03">
      <w:pPr>
        <w:pStyle w:val="2"/>
        <w:shd w:val="clear"/>
        <w:spacing w:line="360" w:lineRule="auto"/>
        <w:ind w:firstLine="480"/>
        <w:rPr>
          <w:rFonts w:cs="仿宋" w:asciiTheme="majorEastAsia" w:hAnsiTheme="majorEastAsia" w:eastAsiaTheme="majorEastAsia"/>
          <w:color w:val="auto"/>
          <w:sz w:val="24"/>
          <w:highlight w:val="none"/>
        </w:rPr>
      </w:pPr>
    </w:p>
    <w:p w14:paraId="042CE390">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43511443">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一、 符合参加政府采购活动应当具备的一般条件的承诺函</w:t>
      </w:r>
    </w:p>
    <w:p w14:paraId="3C4A64AF">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1BC4B0E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我方参与（项目名称）【项目编号：      】政府采购活动，郑重承诺：</w:t>
      </w:r>
    </w:p>
    <w:p w14:paraId="1A369CEC">
      <w:pPr>
        <w:shd w:val="clear"/>
        <w:snapToGrid w:val="0"/>
        <w:spacing w:line="360" w:lineRule="auto"/>
        <w:ind w:firstLine="360" w:firstLineChars="15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（一）具备《中华人民共和国政府采购法》第二十二条第一款规定的条件：</w:t>
      </w:r>
    </w:p>
    <w:p w14:paraId="0814C1F4">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1、具有独立承担民事责任的能力；</w:t>
      </w:r>
    </w:p>
    <w:p w14:paraId="6BC8AB6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2、具有良好的商业信誉和健全的财务会计制度； </w:t>
      </w:r>
    </w:p>
    <w:p w14:paraId="43B2A1E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3、具有履行合同所必需的设备和专业技术能力；</w:t>
      </w:r>
    </w:p>
    <w:p w14:paraId="134992A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4、有依法缴纳税收和社会保障资金的良好记录；</w:t>
      </w:r>
    </w:p>
    <w:p w14:paraId="5D59713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5、参加政府采购活动前三年内，在经营活动中没有重大违法记录；</w:t>
      </w:r>
    </w:p>
    <w:p w14:paraId="1B4F46C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6、具有法律、行政法规规定的其他条件。</w:t>
      </w:r>
    </w:p>
    <w:p w14:paraId="78BF4E4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（二）未被信用中国（www.creditchina.gov.cn)、中国政府采购网（www.ccgp.gov.cn）列入失信被执行人、重大税收违法失信主体、政府采购严重违法失信行为记录名单。</w:t>
      </w:r>
    </w:p>
    <w:p w14:paraId="3006EE7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（三）不存在以下情况：</w:t>
      </w:r>
    </w:p>
    <w:p w14:paraId="1B39130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1、单位负责人为同一人或者存在直接控股、管理关系的不同供应商参加同一合同项下的政府采购活动的；</w:t>
      </w:r>
    </w:p>
    <w:p w14:paraId="5BB81B1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2、为采购项目提供整体设计、规范编制或者项目管理、监理、检测等服务后再参加该采购项目的其他采购活动的。</w:t>
      </w:r>
    </w:p>
    <w:p w14:paraId="3C98B8DE">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1AC47785">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1C3F2097">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0E6A5F58">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73F2722F">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5B41A6F8">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75E49CA2">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7C4D5643">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二、落实政府采购政策需满足的资格要求</w:t>
      </w:r>
    </w:p>
    <w:p w14:paraId="31CCA5A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（根据招标公告落实政府采购政策需满足的资格要求选择提供相应的材料；未要求的，无需提供）</w:t>
      </w:r>
    </w:p>
    <w:p w14:paraId="5F51B8E3">
      <w:pPr>
        <w:shd w:val="clear"/>
        <w:snapToGrid w:val="0"/>
        <w:spacing w:before="50" w:after="50"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A</w:t>
      </w:r>
      <w:r>
        <w:rPr>
          <w:rFonts w:hint="eastAsia" w:cs="仿宋" w:asciiTheme="majorEastAsia" w:hAnsiTheme="majorEastAsia" w:eastAsiaTheme="maj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193B7584">
      <w:pPr>
        <w:widowControl/>
        <w:shd w:val="clear"/>
        <w:spacing w:line="360" w:lineRule="auto"/>
        <w:ind w:firstLine="480"/>
        <w:jc w:val="left"/>
        <w:rPr>
          <w:rFonts w:cs="仿宋" w:asciiTheme="majorEastAsia" w:hAnsiTheme="majorEastAsia" w:eastAsiaTheme="majorEastAsia"/>
          <w:color w:val="auto"/>
          <w:sz w:val="24"/>
          <w:highlight w:val="none"/>
        </w:rPr>
      </w:pPr>
    </w:p>
    <w:p w14:paraId="375D7614">
      <w:pPr>
        <w:widowControl/>
        <w:shd w:val="clear"/>
        <w:spacing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B.</w:t>
      </w:r>
      <w:r>
        <w:rPr>
          <w:rFonts w:hint="eastAsia" w:cs="仿宋" w:asciiTheme="majorEastAsia" w:hAnsiTheme="majorEastAsia" w:eastAsiaTheme="majorEastAsia"/>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4BBE20E">
      <w:pPr>
        <w:shd w:val="clear"/>
        <w:spacing w:line="360" w:lineRule="auto"/>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rPr>
        <w:t>三、本项目的特定资格要求</w:t>
      </w:r>
    </w:p>
    <w:p w14:paraId="235D1D75">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（根据招标公告本项目的特定资格要求提供相应的材料；未要求的，无需提供）</w:t>
      </w:r>
    </w:p>
    <w:p w14:paraId="33188487">
      <w:pPr>
        <w:shd w:val="clear"/>
        <w:spacing w:line="360" w:lineRule="auto"/>
        <w:rPr>
          <w:rFonts w:cs="仿宋" w:asciiTheme="majorEastAsia" w:hAnsiTheme="majorEastAsia" w:eastAsiaTheme="majorEastAsia"/>
          <w:color w:val="auto"/>
          <w:highlight w:val="none"/>
        </w:rPr>
      </w:pPr>
    </w:p>
    <w:p w14:paraId="5156299D">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6CC109C9">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65B966C9">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7775BE61">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58E27B08">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7391D6A3">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68F1B411">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186E5C86">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4F357AB4">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6BBB3275">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1A60B848">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63F96141">
      <w:pPr>
        <w:shd w:val="clear"/>
        <w:spacing w:line="360" w:lineRule="auto"/>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br w:type="page"/>
      </w:r>
    </w:p>
    <w:p w14:paraId="454439BB">
      <w:pPr>
        <w:shd w:val="clear"/>
        <w:spacing w:line="360" w:lineRule="auto"/>
        <w:ind w:right="420"/>
        <w:jc w:val="center"/>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商务技术文件部分</w:t>
      </w:r>
    </w:p>
    <w:p w14:paraId="4F8786D2">
      <w:pPr>
        <w:shd w:val="clear"/>
        <w:spacing w:line="360" w:lineRule="auto"/>
        <w:jc w:val="center"/>
        <w:outlineLvl w:val="0"/>
        <w:rPr>
          <w:rFonts w:cs="仿宋" w:asciiTheme="majorEastAsia" w:hAnsiTheme="majorEastAsia" w:eastAsiaTheme="majorEastAsia"/>
          <w:b/>
          <w:color w:val="auto"/>
          <w:kern w:val="0"/>
          <w:sz w:val="24"/>
          <w:highlight w:val="none"/>
        </w:rPr>
      </w:pPr>
    </w:p>
    <w:p w14:paraId="4F449899">
      <w:pPr>
        <w:shd w:val="clear"/>
        <w:spacing w:line="360" w:lineRule="auto"/>
        <w:ind w:left="3990" w:leftChars="1900"/>
        <w:outlineLvl w:val="0"/>
        <w:rPr>
          <w:rFonts w:cs="仿宋" w:asciiTheme="majorEastAsia" w:hAnsiTheme="majorEastAsia" w:eastAsiaTheme="majorEastAsia"/>
          <w:b/>
          <w:color w:val="auto"/>
          <w:kern w:val="0"/>
          <w:sz w:val="28"/>
          <w:szCs w:val="28"/>
          <w:highlight w:val="none"/>
        </w:rPr>
      </w:pPr>
      <w:r>
        <w:rPr>
          <w:rFonts w:hint="eastAsia" w:cs="仿宋" w:asciiTheme="majorEastAsia" w:hAnsiTheme="majorEastAsia" w:eastAsiaTheme="majorEastAsia"/>
          <w:b/>
          <w:color w:val="auto"/>
          <w:kern w:val="0"/>
          <w:sz w:val="28"/>
          <w:szCs w:val="28"/>
          <w:highlight w:val="none"/>
        </w:rPr>
        <w:t>目 录</w:t>
      </w:r>
    </w:p>
    <w:p w14:paraId="2A9EFDAA">
      <w:pPr>
        <w:shd w:val="clear"/>
        <w:snapToGrid w:val="0"/>
        <w:spacing w:line="360" w:lineRule="auto"/>
        <w:ind w:firstLine="960" w:firstLineChars="400"/>
        <w:rPr>
          <w:rFonts w:cs="仿宋" w:asciiTheme="majorEastAsia" w:hAnsiTheme="majorEastAsia" w:eastAsiaTheme="majorEastAsia"/>
          <w:color w:val="auto"/>
          <w:sz w:val="24"/>
          <w:highlight w:val="none"/>
        </w:rPr>
      </w:pPr>
    </w:p>
    <w:p w14:paraId="03358C4F">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评分索引表</w:t>
      </w:r>
    </w:p>
    <w:p w14:paraId="025C8CDE">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符合性自查表；</w:t>
      </w:r>
    </w:p>
    <w:p w14:paraId="502BB6E6">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投标函；</w:t>
      </w:r>
      <w:r>
        <w:rPr>
          <w:rFonts w:hint="eastAsia" w:cs="仿宋" w:asciiTheme="majorEastAsia" w:hAnsiTheme="majorEastAsia" w:eastAsiaTheme="majorEastAsia"/>
          <w:color w:val="auto"/>
          <w:sz w:val="28"/>
          <w:szCs w:val="28"/>
          <w:highlight w:val="none"/>
          <w:lang w:val="zh-CN"/>
        </w:rPr>
        <w:t xml:space="preserve"> </w:t>
      </w:r>
    </w:p>
    <w:p w14:paraId="1F41C6EF">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授权委托书或法定代表人（单位负责人、自然人本人）身份证明；</w:t>
      </w:r>
    </w:p>
    <w:p w14:paraId="01FD9613">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投标人基本情况表；</w:t>
      </w:r>
    </w:p>
    <w:p w14:paraId="3996DE13">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距采购人最近或者能为本项目提供最优服务的网点情况表；</w:t>
      </w:r>
    </w:p>
    <w:p w14:paraId="59155DD4">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评标标准相应的商务技术资料；</w:t>
      </w:r>
    </w:p>
    <w:p w14:paraId="6DA54FBA">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8 商务响应表；</w:t>
      </w:r>
    </w:p>
    <w:p w14:paraId="1A8A016B">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9 服务响应表；</w:t>
      </w:r>
    </w:p>
    <w:p w14:paraId="5DA59D7E">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10 项目实施人员一览表；</w:t>
      </w:r>
    </w:p>
    <w:p w14:paraId="30F85D0B">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11 同类业绩情况一览表；</w:t>
      </w:r>
    </w:p>
    <w:p w14:paraId="7F9F2803">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lang w:val="zh-CN"/>
        </w:rPr>
      </w:pPr>
      <w:r>
        <w:rPr>
          <w:rFonts w:hint="eastAsia" w:cs="仿宋" w:asciiTheme="majorEastAsia" w:hAnsiTheme="majorEastAsia" w:eastAsiaTheme="majorEastAsia"/>
          <w:color w:val="auto"/>
          <w:sz w:val="28"/>
          <w:szCs w:val="28"/>
          <w:highlight w:val="none"/>
        </w:rPr>
        <w:t xml:space="preserve">12 </w:t>
      </w:r>
      <w:r>
        <w:rPr>
          <w:rFonts w:hint="eastAsia" w:cs="仿宋" w:asciiTheme="majorEastAsia" w:hAnsiTheme="majorEastAsia" w:eastAsiaTheme="majorEastAsia"/>
          <w:color w:val="auto"/>
          <w:sz w:val="28"/>
          <w:szCs w:val="28"/>
          <w:highlight w:val="none"/>
          <w:lang w:val="zh-CN"/>
        </w:rPr>
        <w:t>政府采购供应商廉洁自律承诺书；</w:t>
      </w:r>
    </w:p>
    <w:p w14:paraId="5CD33D32">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13 其他资料。</w:t>
      </w:r>
    </w:p>
    <w:p w14:paraId="29DFD9EA">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color w:val="auto"/>
          <w:kern w:val="0"/>
          <w:sz w:val="24"/>
          <w:highlight w:val="none"/>
        </w:rPr>
        <w:br w:type="page"/>
      </w:r>
      <w:r>
        <w:rPr>
          <w:rFonts w:hint="eastAsia" w:cs="仿宋" w:asciiTheme="majorEastAsia" w:hAnsiTheme="majorEastAsia" w:eastAsiaTheme="majorEastAsia"/>
          <w:b/>
          <w:color w:val="auto"/>
          <w:kern w:val="0"/>
          <w:sz w:val="32"/>
          <w:szCs w:val="32"/>
          <w:highlight w:val="none"/>
        </w:rPr>
        <w:t>评分索引表</w:t>
      </w:r>
    </w:p>
    <w:p w14:paraId="268CEC5C">
      <w:pPr>
        <w:shd w:val="clear"/>
        <w:snapToGrid w:val="0"/>
        <w:spacing w:before="50" w:after="50"/>
        <w:rPr>
          <w:rFonts w:ascii="宋体" w:hAnsi="宋体"/>
          <w:b/>
          <w:color w:val="auto"/>
          <w:sz w:val="24"/>
          <w:highlight w:val="none"/>
        </w:rPr>
      </w:pPr>
    </w:p>
    <w:p w14:paraId="574050D6">
      <w:pPr>
        <w:shd w:val="clear"/>
        <w:snapToGrid w:val="0"/>
        <w:spacing w:before="50" w:after="50" w:line="360" w:lineRule="auto"/>
        <w:rPr>
          <w:rFonts w:ascii="宋体" w:hAnsi="宋体"/>
          <w:b/>
          <w:color w:val="auto"/>
          <w:sz w:val="24"/>
          <w:highlight w:val="none"/>
          <w:u w:val="single"/>
        </w:rPr>
      </w:pPr>
      <w:r>
        <w:rPr>
          <w:rFonts w:hint="eastAsia" w:ascii="宋体" w:hAnsi="宋体"/>
          <w:b/>
          <w:color w:val="auto"/>
          <w:sz w:val="24"/>
          <w:highlight w:val="none"/>
        </w:rPr>
        <w:t>投标单位名称：</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4771F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D5603E1">
            <w:pPr>
              <w:pStyle w:val="17"/>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1F681BB6">
            <w:pPr>
              <w:pStyle w:val="17"/>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74024A16">
            <w:pPr>
              <w:pStyle w:val="17"/>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页码</w:t>
            </w:r>
          </w:p>
        </w:tc>
      </w:tr>
      <w:tr w14:paraId="699EE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45E7635">
            <w:pPr>
              <w:widowControl/>
              <w:shd w:val="clear"/>
              <w:jc w:val="center"/>
              <w:rPr>
                <w:rFonts w:ascii="宋体" w:hAnsi="宋体"/>
                <w:color w:val="auto"/>
                <w:sz w:val="24"/>
                <w:highlight w:val="none"/>
              </w:rPr>
            </w:pPr>
            <w:r>
              <w:rPr>
                <w:rFonts w:hint="eastAsia" w:ascii="宋体" w:hAnsi="宋体"/>
                <w:color w:val="auto"/>
                <w:sz w:val="24"/>
                <w:highlight w:val="none"/>
              </w:rPr>
              <w:t>1</w:t>
            </w:r>
          </w:p>
        </w:tc>
        <w:tc>
          <w:tcPr>
            <w:tcW w:w="5819" w:type="dxa"/>
            <w:tcBorders>
              <w:top w:val="single" w:color="auto" w:sz="4" w:space="0"/>
              <w:left w:val="single" w:color="auto" w:sz="4" w:space="0"/>
              <w:right w:val="single" w:color="auto" w:sz="4" w:space="0"/>
            </w:tcBorders>
            <w:vAlign w:val="center"/>
          </w:tcPr>
          <w:p w14:paraId="1B27C446">
            <w:pPr>
              <w:shd w:val="clear"/>
              <w:jc w:val="center"/>
              <w:rPr>
                <w:rFonts w:ascii="宋体" w:hAnsi="宋体"/>
                <w:color w:val="auto"/>
                <w:sz w:val="24"/>
                <w:highlight w:val="none"/>
              </w:rPr>
            </w:pPr>
            <w:r>
              <w:rPr>
                <w:rFonts w:hint="eastAsia" w:ascii="宋体" w:hAnsi="宋体"/>
                <w:color w:val="auto"/>
                <w:sz w:val="24"/>
                <w:highlight w:val="none"/>
              </w:rPr>
              <w:t>（报价除外）</w:t>
            </w:r>
          </w:p>
        </w:tc>
        <w:tc>
          <w:tcPr>
            <w:tcW w:w="1627" w:type="dxa"/>
            <w:tcBorders>
              <w:top w:val="single" w:color="auto" w:sz="4" w:space="0"/>
              <w:left w:val="single" w:color="auto" w:sz="4" w:space="0"/>
              <w:right w:val="single" w:color="auto" w:sz="4" w:space="0"/>
            </w:tcBorders>
            <w:vAlign w:val="center"/>
          </w:tcPr>
          <w:p w14:paraId="4297C886">
            <w:pPr>
              <w:shd w:val="clear"/>
              <w:jc w:val="center"/>
              <w:rPr>
                <w:rFonts w:ascii="宋体" w:hAnsi="宋体"/>
                <w:bCs/>
                <w:color w:val="auto"/>
                <w:sz w:val="24"/>
                <w:highlight w:val="none"/>
              </w:rPr>
            </w:pPr>
          </w:p>
        </w:tc>
      </w:tr>
      <w:tr w14:paraId="054E0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D6FB2E7">
            <w:pPr>
              <w:widowControl/>
              <w:shd w:val="clear"/>
              <w:jc w:val="center"/>
              <w:rPr>
                <w:rFonts w:ascii="宋体" w:hAnsi="宋体"/>
                <w:color w:val="auto"/>
                <w:sz w:val="24"/>
                <w:highlight w:val="none"/>
              </w:rPr>
            </w:pPr>
            <w:r>
              <w:rPr>
                <w:rFonts w:hint="eastAsia" w:ascii="宋体" w:hAnsi="宋体"/>
                <w:color w:val="auto"/>
                <w:sz w:val="24"/>
                <w:highlight w:val="none"/>
              </w:rPr>
              <w:t>2</w:t>
            </w:r>
          </w:p>
        </w:tc>
        <w:tc>
          <w:tcPr>
            <w:tcW w:w="5819" w:type="dxa"/>
            <w:tcBorders>
              <w:top w:val="single" w:color="auto" w:sz="4" w:space="0"/>
              <w:left w:val="single" w:color="auto" w:sz="4" w:space="0"/>
              <w:right w:val="single" w:color="auto" w:sz="4" w:space="0"/>
            </w:tcBorders>
            <w:vAlign w:val="center"/>
          </w:tcPr>
          <w:p w14:paraId="3BE0001E">
            <w:pPr>
              <w:widowControl/>
              <w:shd w:val="clear"/>
              <w:jc w:val="center"/>
              <w:rPr>
                <w:rFonts w:ascii="宋体" w:hAnsi="宋体" w:cs="宋体"/>
                <w:color w:val="auto"/>
                <w:kern w:val="0"/>
                <w:sz w:val="24"/>
                <w:highlight w:val="none"/>
              </w:rPr>
            </w:pPr>
          </w:p>
        </w:tc>
        <w:tc>
          <w:tcPr>
            <w:tcW w:w="1627" w:type="dxa"/>
            <w:tcBorders>
              <w:top w:val="single" w:color="auto" w:sz="4" w:space="0"/>
              <w:left w:val="single" w:color="auto" w:sz="4" w:space="0"/>
              <w:right w:val="single" w:color="auto" w:sz="4" w:space="0"/>
            </w:tcBorders>
            <w:vAlign w:val="center"/>
          </w:tcPr>
          <w:p w14:paraId="6E1CE64F">
            <w:pPr>
              <w:shd w:val="clear"/>
              <w:jc w:val="center"/>
              <w:rPr>
                <w:rFonts w:ascii="宋体" w:hAnsi="宋体"/>
                <w:bCs/>
                <w:color w:val="auto"/>
                <w:sz w:val="24"/>
                <w:highlight w:val="none"/>
              </w:rPr>
            </w:pPr>
          </w:p>
        </w:tc>
      </w:tr>
      <w:tr w14:paraId="4E344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6B4DD138">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473415F0">
            <w:pPr>
              <w:shd w:val="clear"/>
              <w:ind w:left="55" w:leftChars="26"/>
              <w:rPr>
                <w:rFonts w:ascii="宋体" w:hAnsi="宋体" w:cs="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3FD520F">
            <w:pPr>
              <w:shd w:val="clear"/>
              <w:jc w:val="center"/>
              <w:rPr>
                <w:rFonts w:ascii="宋体" w:hAnsi="宋体"/>
                <w:bCs/>
                <w:color w:val="auto"/>
                <w:sz w:val="24"/>
                <w:highlight w:val="none"/>
              </w:rPr>
            </w:pPr>
          </w:p>
        </w:tc>
      </w:tr>
      <w:tr w14:paraId="75753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609A9D4">
            <w:pPr>
              <w:widowControl/>
              <w:shd w:val="clear"/>
              <w:rPr>
                <w:rFonts w:ascii="宋体" w:hAnsi="宋体"/>
                <w:b/>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100ED4EA">
            <w:pPr>
              <w:pStyle w:val="17"/>
              <w:shd w:val="clear"/>
              <w:ind w:firstLine="422"/>
              <w:rPr>
                <w:rFonts w:ascii="宋体"/>
                <w:b/>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3ABEF41">
            <w:pPr>
              <w:pStyle w:val="17"/>
              <w:shd w:val="clear"/>
              <w:ind w:firstLine="422"/>
              <w:jc w:val="center"/>
              <w:rPr>
                <w:rFonts w:ascii="宋体"/>
                <w:b/>
                <w:color w:val="auto"/>
                <w:highlight w:val="none"/>
              </w:rPr>
            </w:pPr>
          </w:p>
        </w:tc>
      </w:tr>
      <w:tr w14:paraId="7831B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7E30C60">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1513694">
            <w:pPr>
              <w:shd w:val="clear"/>
              <w:spacing w:line="320" w:lineRule="exact"/>
              <w:rPr>
                <w:rFonts w:ascii="宋体" w:hAnsi="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7B44F115">
            <w:pPr>
              <w:shd w:val="clear"/>
              <w:jc w:val="center"/>
              <w:rPr>
                <w:rFonts w:ascii="宋体" w:hAnsi="宋体"/>
                <w:bCs/>
                <w:color w:val="auto"/>
                <w:sz w:val="24"/>
                <w:highlight w:val="none"/>
              </w:rPr>
            </w:pPr>
          </w:p>
        </w:tc>
      </w:tr>
      <w:tr w14:paraId="56D67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27A8583">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1D7381A4">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50432CB">
            <w:pPr>
              <w:pStyle w:val="17"/>
              <w:shd w:val="clear"/>
              <w:ind w:firstLine="420"/>
              <w:jc w:val="center"/>
              <w:rPr>
                <w:rFonts w:ascii="宋体"/>
                <w:color w:val="auto"/>
                <w:highlight w:val="none"/>
              </w:rPr>
            </w:pPr>
          </w:p>
        </w:tc>
      </w:tr>
      <w:tr w14:paraId="6191B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2B7183F">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FB2130C">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6BB6710">
            <w:pPr>
              <w:pStyle w:val="17"/>
              <w:shd w:val="clear"/>
              <w:ind w:firstLine="420"/>
              <w:jc w:val="center"/>
              <w:rPr>
                <w:rFonts w:ascii="宋体"/>
                <w:color w:val="auto"/>
                <w:highlight w:val="none"/>
              </w:rPr>
            </w:pPr>
          </w:p>
        </w:tc>
      </w:tr>
      <w:tr w14:paraId="1C319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639A13B6">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02C40018">
            <w:pPr>
              <w:pStyle w:val="17"/>
              <w:shd w:val="clear"/>
              <w:ind w:firstLine="420"/>
              <w:rPr>
                <w:rFonts w:ascii="宋体"/>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758757A9">
            <w:pPr>
              <w:widowControl/>
              <w:shd w:val="clear"/>
              <w:jc w:val="center"/>
              <w:rPr>
                <w:rFonts w:ascii="宋体" w:hAnsi="宋体"/>
                <w:b/>
                <w:color w:val="auto"/>
                <w:sz w:val="24"/>
                <w:highlight w:val="none"/>
              </w:rPr>
            </w:pPr>
          </w:p>
        </w:tc>
      </w:tr>
      <w:tr w14:paraId="00C1B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6A0DABB6">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72CE260D">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09EB5642">
            <w:pPr>
              <w:shd w:val="clear"/>
              <w:jc w:val="center"/>
              <w:rPr>
                <w:rFonts w:ascii="宋体" w:hAnsi="宋体"/>
                <w:bCs/>
                <w:color w:val="auto"/>
                <w:sz w:val="24"/>
                <w:highlight w:val="none"/>
              </w:rPr>
            </w:pPr>
          </w:p>
        </w:tc>
      </w:tr>
      <w:tr w14:paraId="2856B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A1407F5">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0C949735">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FF41481">
            <w:pPr>
              <w:shd w:val="clear"/>
              <w:jc w:val="center"/>
              <w:rPr>
                <w:rFonts w:ascii="宋体" w:hAnsi="宋体"/>
                <w:bCs/>
                <w:color w:val="auto"/>
                <w:sz w:val="24"/>
                <w:highlight w:val="none"/>
              </w:rPr>
            </w:pPr>
          </w:p>
        </w:tc>
      </w:tr>
      <w:tr w14:paraId="6A5F0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64F10E7">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7456B0E0">
            <w:pPr>
              <w:shd w:val="clear"/>
              <w:rPr>
                <w:rFonts w:ascii="宋体" w:hAnsi="宋体"/>
                <w:bCs/>
                <w:color w:val="auto"/>
                <w:sz w:val="24"/>
                <w:highlight w:val="none"/>
              </w:rPr>
            </w:pPr>
          </w:p>
        </w:tc>
        <w:tc>
          <w:tcPr>
            <w:tcW w:w="1627" w:type="dxa"/>
            <w:tcBorders>
              <w:top w:val="single" w:color="auto" w:sz="4" w:space="0"/>
              <w:left w:val="single" w:color="auto" w:sz="4" w:space="0"/>
              <w:right w:val="single" w:color="auto" w:sz="4" w:space="0"/>
            </w:tcBorders>
            <w:vAlign w:val="center"/>
          </w:tcPr>
          <w:p w14:paraId="42F8E5B7">
            <w:pPr>
              <w:shd w:val="clear"/>
              <w:jc w:val="center"/>
              <w:rPr>
                <w:rFonts w:ascii="宋体" w:hAnsi="宋体"/>
                <w:bCs/>
                <w:color w:val="auto"/>
                <w:sz w:val="24"/>
                <w:highlight w:val="none"/>
              </w:rPr>
            </w:pPr>
          </w:p>
        </w:tc>
      </w:tr>
    </w:tbl>
    <w:p w14:paraId="4CC71579">
      <w:pPr>
        <w:shd w:val="clear"/>
        <w:snapToGrid w:val="0"/>
        <w:spacing w:line="360" w:lineRule="auto"/>
        <w:outlineLvl w:val="0"/>
        <w:rPr>
          <w:rFonts w:cs="仿宋" w:asciiTheme="majorEastAsia" w:hAnsiTheme="majorEastAsia" w:eastAsiaTheme="majorEastAsia"/>
          <w:b/>
          <w:color w:val="auto"/>
          <w:kern w:val="0"/>
          <w:sz w:val="32"/>
          <w:szCs w:val="32"/>
          <w:highlight w:val="none"/>
        </w:rPr>
      </w:pPr>
      <w:r>
        <w:rPr>
          <w:rFonts w:cs="仿宋" w:asciiTheme="majorEastAsia" w:hAnsiTheme="majorEastAsia" w:eastAsiaTheme="majorEastAsia"/>
          <w:b/>
          <w:color w:val="auto"/>
          <w:kern w:val="0"/>
          <w:sz w:val="32"/>
          <w:szCs w:val="32"/>
          <w:highlight w:val="none"/>
        </w:rPr>
        <w:br w:type="page"/>
      </w:r>
    </w:p>
    <w:p w14:paraId="2FED0020">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符合性自查表</w:t>
      </w:r>
    </w:p>
    <w:tbl>
      <w:tblPr>
        <w:tblStyle w:val="1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4FC54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0AFDB0EC">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4103" w:type="dxa"/>
            <w:vAlign w:val="center"/>
          </w:tcPr>
          <w:p w14:paraId="083F8284">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实质性要求</w:t>
            </w:r>
          </w:p>
        </w:tc>
        <w:tc>
          <w:tcPr>
            <w:tcW w:w="2518" w:type="dxa"/>
            <w:vAlign w:val="center"/>
          </w:tcPr>
          <w:p w14:paraId="7F2923D2">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需要提供的符合性审查资料</w:t>
            </w:r>
          </w:p>
        </w:tc>
        <w:tc>
          <w:tcPr>
            <w:tcW w:w="1185" w:type="dxa"/>
            <w:vAlign w:val="center"/>
          </w:tcPr>
          <w:p w14:paraId="5085A0C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自查结论</w:t>
            </w:r>
          </w:p>
        </w:tc>
        <w:tc>
          <w:tcPr>
            <w:tcW w:w="1785" w:type="dxa"/>
            <w:vAlign w:val="center"/>
          </w:tcPr>
          <w:p w14:paraId="294BE44F">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投标文件中的</w:t>
            </w:r>
          </w:p>
          <w:p w14:paraId="12B25D23">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页码位置</w:t>
            </w:r>
          </w:p>
        </w:tc>
      </w:tr>
      <w:tr w14:paraId="49E4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5C82A2D3">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4103" w:type="dxa"/>
            <w:vAlign w:val="center"/>
          </w:tcPr>
          <w:p w14:paraId="480F724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投标文件按照招标文件要求签署、盖章。</w:t>
            </w:r>
          </w:p>
        </w:tc>
        <w:tc>
          <w:tcPr>
            <w:tcW w:w="2518" w:type="dxa"/>
            <w:vAlign w:val="center"/>
          </w:tcPr>
          <w:p w14:paraId="5B5F0D21">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需要使用电子签名或者签字盖章的投标文件的组成部分</w:t>
            </w:r>
          </w:p>
        </w:tc>
        <w:tc>
          <w:tcPr>
            <w:tcW w:w="1185" w:type="dxa"/>
            <w:vAlign w:val="center"/>
          </w:tcPr>
          <w:p w14:paraId="683CD700">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031FDA3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21780A18">
            <w:pPr>
              <w:shd w:val="clear"/>
              <w:spacing w:line="360" w:lineRule="auto"/>
              <w:rPr>
                <w:rFonts w:cs="仿宋" w:asciiTheme="majorEastAsia" w:hAnsiTheme="majorEastAsia" w:eastAsiaTheme="majorEastAsia"/>
                <w:color w:val="auto"/>
                <w:sz w:val="24"/>
                <w:highlight w:val="none"/>
              </w:rPr>
            </w:pPr>
          </w:p>
          <w:p w14:paraId="717CF6E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w:t>
            </w:r>
          </w:p>
          <w:p w14:paraId="377B9DDA">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2142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031EE41E">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4103" w:type="dxa"/>
            <w:vAlign w:val="center"/>
          </w:tcPr>
          <w:p w14:paraId="47E212A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投标文件中承诺的投标有效期不少于招标文件中载明的投标有效期。</w:t>
            </w:r>
          </w:p>
        </w:tc>
        <w:tc>
          <w:tcPr>
            <w:tcW w:w="2518" w:type="dxa"/>
            <w:vAlign w:val="center"/>
          </w:tcPr>
          <w:p w14:paraId="13A7806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投标函</w:t>
            </w:r>
          </w:p>
        </w:tc>
        <w:tc>
          <w:tcPr>
            <w:tcW w:w="1185" w:type="dxa"/>
            <w:vAlign w:val="center"/>
          </w:tcPr>
          <w:p w14:paraId="713CEE3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72113383">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30861310">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378E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78FCC455">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4103" w:type="dxa"/>
            <w:vAlign w:val="center"/>
          </w:tcPr>
          <w:p w14:paraId="5E8356D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投标文件满足招标文件的其它实质性要求。</w:t>
            </w:r>
          </w:p>
        </w:tc>
        <w:tc>
          <w:tcPr>
            <w:tcW w:w="2518" w:type="dxa"/>
            <w:vAlign w:val="center"/>
          </w:tcPr>
          <w:p w14:paraId="0C1F72B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招标文件其它实质性要求相应的材料（“▲” 系指实质性要求条款，招标文件无其它实质性要求的，无需提供）</w:t>
            </w:r>
          </w:p>
        </w:tc>
        <w:tc>
          <w:tcPr>
            <w:tcW w:w="1185" w:type="dxa"/>
            <w:vAlign w:val="center"/>
          </w:tcPr>
          <w:p w14:paraId="4DB0C3B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229E4CB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133EBB5E">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776A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52862C2B">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4103" w:type="dxa"/>
            <w:vAlign w:val="center"/>
          </w:tcPr>
          <w:p w14:paraId="4EA55264">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投标文件没有招标文件中规定的其它无效投标条款的。</w:t>
            </w:r>
          </w:p>
        </w:tc>
        <w:tc>
          <w:tcPr>
            <w:tcW w:w="2518" w:type="dxa"/>
            <w:vAlign w:val="center"/>
          </w:tcPr>
          <w:p w14:paraId="75D0F27C">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74B23A63">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3411F2A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3F826E0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5094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39B27776">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4103" w:type="dxa"/>
            <w:vAlign w:val="center"/>
          </w:tcPr>
          <w:p w14:paraId="31D5F73E">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按有关法律、法规、规章不属于投标无效的。</w:t>
            </w:r>
          </w:p>
        </w:tc>
        <w:tc>
          <w:tcPr>
            <w:tcW w:w="2518" w:type="dxa"/>
            <w:vAlign w:val="center"/>
          </w:tcPr>
          <w:p w14:paraId="10AC51DF">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3583481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06EC04B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4E08CAF3">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5B88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548F7F00">
            <w:pPr>
              <w:shd w:val="clear"/>
              <w:spacing w:line="360" w:lineRule="auto"/>
              <w:jc w:val="center"/>
              <w:rPr>
                <w:rFonts w:cs="仿宋" w:asciiTheme="majorEastAsia" w:hAnsiTheme="majorEastAsia" w:eastAsiaTheme="majorEastAsia"/>
                <w:color w:val="auto"/>
                <w:sz w:val="24"/>
                <w:highlight w:val="none"/>
              </w:rPr>
            </w:pPr>
          </w:p>
        </w:tc>
        <w:tc>
          <w:tcPr>
            <w:tcW w:w="4103" w:type="dxa"/>
            <w:vAlign w:val="center"/>
          </w:tcPr>
          <w:p w14:paraId="7B43CB6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tc>
        <w:tc>
          <w:tcPr>
            <w:tcW w:w="2518" w:type="dxa"/>
            <w:vAlign w:val="center"/>
          </w:tcPr>
          <w:p w14:paraId="01526551">
            <w:pPr>
              <w:shd w:val="clear"/>
              <w:spacing w:line="360" w:lineRule="auto"/>
              <w:rPr>
                <w:rFonts w:cs="仿宋" w:asciiTheme="majorEastAsia" w:hAnsiTheme="majorEastAsia" w:eastAsiaTheme="majorEastAsia"/>
                <w:color w:val="auto"/>
                <w:kern w:val="0"/>
                <w:sz w:val="24"/>
                <w:highlight w:val="none"/>
              </w:rPr>
            </w:pPr>
          </w:p>
        </w:tc>
        <w:tc>
          <w:tcPr>
            <w:tcW w:w="1185" w:type="dxa"/>
          </w:tcPr>
          <w:p w14:paraId="02777FBD">
            <w:pPr>
              <w:shd w:val="clear"/>
              <w:spacing w:line="360" w:lineRule="auto"/>
              <w:rPr>
                <w:rFonts w:cs="仿宋" w:asciiTheme="majorEastAsia" w:hAnsiTheme="majorEastAsia" w:eastAsiaTheme="majorEastAsia"/>
                <w:color w:val="auto"/>
                <w:sz w:val="24"/>
                <w:highlight w:val="none"/>
              </w:rPr>
            </w:pPr>
          </w:p>
        </w:tc>
        <w:tc>
          <w:tcPr>
            <w:tcW w:w="1785" w:type="dxa"/>
            <w:vAlign w:val="center"/>
          </w:tcPr>
          <w:p w14:paraId="2FCCA351">
            <w:pPr>
              <w:shd w:val="clear"/>
              <w:spacing w:line="360" w:lineRule="auto"/>
              <w:rPr>
                <w:rFonts w:cs="仿宋" w:asciiTheme="majorEastAsia" w:hAnsiTheme="majorEastAsia" w:eastAsiaTheme="majorEastAsia"/>
                <w:color w:val="auto"/>
                <w:sz w:val="24"/>
                <w:highlight w:val="none"/>
              </w:rPr>
            </w:pPr>
          </w:p>
        </w:tc>
      </w:tr>
    </w:tbl>
    <w:p w14:paraId="5F207C42">
      <w:pPr>
        <w:shd w:val="clear"/>
        <w:snapToGrid w:val="0"/>
        <w:spacing w:line="360" w:lineRule="auto"/>
        <w:jc w:val="left"/>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24"/>
          <w:highlight w:val="none"/>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66066669">
      <w:pPr>
        <w:numPr>
          <w:ilvl w:val="0"/>
          <w:numId w:val="3"/>
        </w:numPr>
        <w:shd w:val="clea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投标</w:t>
      </w:r>
      <w:r>
        <w:rPr>
          <w:rFonts w:hint="eastAsia" w:cs="仿宋" w:asciiTheme="majorEastAsia" w:hAnsiTheme="majorEastAsia" w:eastAsiaTheme="majorEastAsia"/>
          <w:b/>
          <w:color w:val="auto"/>
          <w:sz w:val="32"/>
          <w:szCs w:val="32"/>
          <w:highlight w:val="none"/>
        </w:rPr>
        <w:t>函</w:t>
      </w:r>
    </w:p>
    <w:p w14:paraId="3422EC59">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787B3D6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我方参加你方组织的（项目名称）【项目编号：     】招标的有关活动，并对此项目进行投标。为此：</w:t>
      </w:r>
    </w:p>
    <w:p w14:paraId="523F154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1、我方承诺投标有效期从提交投标文件的截止之日起</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天（不少于90天）</w:t>
      </w:r>
      <w:r>
        <w:rPr>
          <w:rFonts w:hint="eastAsia" w:cs="仿宋" w:asciiTheme="majorEastAsia" w:hAnsiTheme="majorEastAsia" w:eastAsiaTheme="majorEastAsia"/>
          <w:color w:val="auto"/>
          <w:highlight w:val="none"/>
        </w:rPr>
        <w:t>，</w:t>
      </w:r>
      <w:r>
        <w:rPr>
          <w:rFonts w:hint="eastAsia" w:cs="仿宋" w:asciiTheme="majorEastAsia" w:hAnsiTheme="majorEastAsia" w:eastAsiaTheme="majorEastAsia"/>
          <w:color w:val="auto"/>
          <w:sz w:val="24"/>
          <w:highlight w:val="none"/>
        </w:rPr>
        <w:t>本投标文件在投标有效期满之前均具有约束力。</w:t>
      </w:r>
    </w:p>
    <w:p w14:paraId="61FC6F1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2、我方的投标文件包括以下内容：</w:t>
      </w:r>
    </w:p>
    <w:p w14:paraId="088C5087">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2.1资格文件：</w:t>
      </w:r>
    </w:p>
    <w:p w14:paraId="5DD0787E">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2.1.1有效的企业法人营业执照（或事业法人登记证）、其他组织（个体工商户）的营业执照或者民办非企业单位登记证书；</w:t>
      </w:r>
    </w:p>
    <w:p w14:paraId="4AFE5615">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2.1.2符合参加政府采购活动应当具备的一般条件的承诺函；</w:t>
      </w:r>
    </w:p>
    <w:p w14:paraId="7852CE17">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2.1.3落实政府采购政策需满足的资格要求（如有）；</w:t>
      </w:r>
    </w:p>
    <w:p w14:paraId="5B1F13D1">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2.1.4联合协议（如有）；</w:t>
      </w:r>
    </w:p>
    <w:p w14:paraId="7F4C4E74">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2.1.5分包意向协议（如有）；</w:t>
      </w:r>
    </w:p>
    <w:p w14:paraId="00DB33DC">
      <w:pPr>
        <w:shd w:val="clear"/>
        <w:snapToGrid w:val="0"/>
        <w:spacing w:line="360" w:lineRule="auto"/>
        <w:ind w:firstLine="960" w:firstLineChars="4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2.1.6本项目的特定资格要求（如有）。</w:t>
      </w:r>
    </w:p>
    <w:p w14:paraId="57468612">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color w:val="auto"/>
          <w:sz w:val="24"/>
          <w:highlight w:val="none"/>
        </w:rPr>
        <w:t>商务技术</w:t>
      </w:r>
      <w:r>
        <w:rPr>
          <w:rFonts w:hint="eastAsia" w:cs="仿宋" w:asciiTheme="majorEastAsia" w:hAnsiTheme="majorEastAsia" w:eastAsiaTheme="majorEastAsia"/>
          <w:color w:val="auto"/>
          <w:sz w:val="24"/>
          <w:highlight w:val="none"/>
          <w:lang w:val="zh-CN"/>
        </w:rPr>
        <w:t>文件：</w:t>
      </w:r>
    </w:p>
    <w:p w14:paraId="033F4445">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2.2.1评分索引表</w:t>
      </w:r>
    </w:p>
    <w:p w14:paraId="047D145B">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2.2.2 符合性自查表；</w:t>
      </w:r>
    </w:p>
    <w:p w14:paraId="34E912F1">
      <w:pPr>
        <w:shd w:val="clear"/>
        <w:snapToGrid w:val="0"/>
        <w:spacing w:line="360" w:lineRule="auto"/>
        <w:ind w:left="420" w:leftChars="200" w:firstLine="480" w:firstLineChars="200"/>
        <w:rPr>
          <w:rFonts w:cs="仿宋" w:asciiTheme="majorEastAsia" w:hAnsiTheme="majorEastAsia" w:eastAsiaTheme="majorEastAsia"/>
          <w:color w:val="auto"/>
          <w:highlight w:val="none"/>
          <w:lang w:val="zh-CN"/>
        </w:rPr>
      </w:pPr>
      <w:r>
        <w:rPr>
          <w:rFonts w:hint="eastAsia" w:cs="仿宋" w:asciiTheme="majorEastAsia" w:hAnsiTheme="majorEastAsia" w:eastAsiaTheme="majorEastAsia"/>
          <w:color w:val="auto"/>
          <w:sz w:val="24"/>
          <w:highlight w:val="none"/>
        </w:rPr>
        <w:t>2.2.3 投标函；</w:t>
      </w:r>
      <w:r>
        <w:rPr>
          <w:rFonts w:hint="eastAsia" w:cs="仿宋" w:asciiTheme="majorEastAsia" w:hAnsiTheme="majorEastAsia" w:eastAsiaTheme="majorEastAsia"/>
          <w:color w:val="auto"/>
          <w:sz w:val="24"/>
          <w:highlight w:val="none"/>
          <w:lang w:val="zh-CN"/>
        </w:rPr>
        <w:t xml:space="preserve"> </w:t>
      </w:r>
    </w:p>
    <w:p w14:paraId="4DAA5C06">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2.2.4 授权委托书或法定代表人（单位负责人、自然人本人）身份证明；</w:t>
      </w:r>
    </w:p>
    <w:p w14:paraId="4AC935E1">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2.2.5 投标人基本情况表；</w:t>
      </w:r>
    </w:p>
    <w:p w14:paraId="7F1CC0C6">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2.2.6 距采购人最近或者能为本项目提供最优服务的网点情况表；</w:t>
      </w:r>
    </w:p>
    <w:p w14:paraId="5E5E690B">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2.2.7 评标标准相应的商务技术资料；</w:t>
      </w:r>
    </w:p>
    <w:p w14:paraId="1713CCDB">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8 商务响应表；</w:t>
      </w:r>
    </w:p>
    <w:p w14:paraId="5C3287F9">
      <w:pPr>
        <w:shd w:val="clear"/>
        <w:tabs>
          <w:tab w:val="left" w:pos="1890"/>
        </w:tabs>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9 服务响应表；</w:t>
      </w:r>
    </w:p>
    <w:p w14:paraId="33E74E41">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2.2.10项目实施人员一览表；</w:t>
      </w:r>
    </w:p>
    <w:p w14:paraId="4CC51920">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11 同类业绩情况一览表；</w:t>
      </w:r>
    </w:p>
    <w:p w14:paraId="540D545D">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 xml:space="preserve">2.2.12 </w:t>
      </w:r>
      <w:r>
        <w:rPr>
          <w:rFonts w:hint="eastAsia" w:cs="仿宋" w:asciiTheme="majorEastAsia" w:hAnsiTheme="majorEastAsia" w:eastAsiaTheme="majorEastAsia"/>
          <w:color w:val="auto"/>
          <w:sz w:val="24"/>
          <w:highlight w:val="none"/>
          <w:lang w:val="zh-CN"/>
        </w:rPr>
        <w:t>政府采购供应商廉洁自律承诺书；</w:t>
      </w:r>
    </w:p>
    <w:p w14:paraId="09EE1381">
      <w:pPr>
        <w:shd w:val="clear"/>
        <w:snapToGrid w:val="0"/>
        <w:spacing w:line="360" w:lineRule="auto"/>
        <w:ind w:left="420" w:leftChars="200" w:firstLine="480" w:firstLineChars="2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2.2.13 其他资料。</w:t>
      </w:r>
    </w:p>
    <w:p w14:paraId="1B48171A">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3报价文件</w:t>
      </w:r>
    </w:p>
    <w:p w14:paraId="303B6370">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2.3.1 开标一览表；</w:t>
      </w:r>
    </w:p>
    <w:p w14:paraId="1EF8F6AC">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2.3.2投标报价明细表；</w:t>
      </w:r>
    </w:p>
    <w:p w14:paraId="78497AE5">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2.3.3 中小企业声明函（如有）；</w:t>
      </w:r>
    </w:p>
    <w:p w14:paraId="07EE12D0">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2.3.4 残疾人福利性单位声明函（如有）；</w:t>
      </w:r>
    </w:p>
    <w:p w14:paraId="2EB3A3B3">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2.3.5 监狱企业的证明文件（如有）；</w:t>
      </w:r>
    </w:p>
    <w:p w14:paraId="1F201216">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2.3.6 政府采购统计基础信息表。</w:t>
      </w:r>
    </w:p>
    <w:p w14:paraId="3C85140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3、我方承诺除商务技术响应表列出的偏离外，我方响应招标文件的全部要求。</w:t>
      </w:r>
    </w:p>
    <w:p w14:paraId="7DCDE38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4、如我方中标，我方承诺：</w:t>
      </w:r>
    </w:p>
    <w:p w14:paraId="0AA11AE0">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4.1在收到中标通知书后，在中标通知书规定的期限内与你方签订合同； </w:t>
      </w:r>
    </w:p>
    <w:p w14:paraId="595D6D50">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4.2在签订合同时不向你方提出附加条件； </w:t>
      </w:r>
    </w:p>
    <w:p w14:paraId="75C5ED68">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4.3按照招标文件要求提交履约保证金； </w:t>
      </w:r>
    </w:p>
    <w:p w14:paraId="64AFFD87">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4.4在合同约定的期限内完成合同规定的全部义务。 </w:t>
      </w:r>
    </w:p>
    <w:p w14:paraId="249CDAD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5、其他补充说明: </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 xml:space="preserve"> 。</w:t>
      </w:r>
    </w:p>
    <w:p w14:paraId="74AF7880">
      <w:pPr>
        <w:shd w:val="clear"/>
        <w:spacing w:line="360" w:lineRule="auto"/>
        <w:ind w:firstLine="3600" w:firstLineChars="1500"/>
        <w:rPr>
          <w:rFonts w:cs="仿宋" w:asciiTheme="majorEastAsia" w:hAnsiTheme="majorEastAsia" w:eastAsiaTheme="majorEastAsia"/>
          <w:color w:val="auto"/>
          <w:sz w:val="24"/>
          <w:highlight w:val="none"/>
        </w:rPr>
      </w:pPr>
    </w:p>
    <w:p w14:paraId="0AF3BF5F">
      <w:pPr>
        <w:shd w:val="clear"/>
        <w:spacing w:line="360" w:lineRule="auto"/>
        <w:ind w:firstLine="3600" w:firstLineChars="1500"/>
        <w:rPr>
          <w:rFonts w:cs="仿宋" w:asciiTheme="majorEastAsia" w:hAnsiTheme="majorEastAsia" w:eastAsiaTheme="majorEastAsia"/>
          <w:color w:val="auto"/>
          <w:sz w:val="24"/>
          <w:highlight w:val="none"/>
        </w:rPr>
      </w:pPr>
    </w:p>
    <w:p w14:paraId="27BEDF77">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7096DC94">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6F29283D">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7FF14173">
      <w:pPr>
        <w:shd w:val="clear"/>
        <w:spacing w:line="360" w:lineRule="auto"/>
        <w:jc w:val="center"/>
        <w:rPr>
          <w:rFonts w:cs="仿宋" w:asciiTheme="majorEastAsia" w:hAnsiTheme="majorEastAsia" w:eastAsiaTheme="majorEastAsia"/>
          <w:b/>
          <w:color w:val="auto"/>
          <w:kern w:val="0"/>
          <w:sz w:val="32"/>
          <w:szCs w:val="32"/>
          <w:highlight w:val="none"/>
        </w:rPr>
      </w:pPr>
    </w:p>
    <w:p w14:paraId="0ACFBDDD">
      <w:pPr>
        <w:shd w:val="clear"/>
        <w:spacing w:line="360" w:lineRule="auto"/>
        <w:jc w:val="center"/>
        <w:rPr>
          <w:rFonts w:cs="仿宋" w:asciiTheme="majorEastAsia" w:hAnsiTheme="majorEastAsia" w:eastAsiaTheme="majorEastAsia"/>
          <w:b/>
          <w:color w:val="auto"/>
          <w:kern w:val="0"/>
          <w:sz w:val="32"/>
          <w:szCs w:val="32"/>
          <w:highlight w:val="none"/>
          <w:lang w:val="zh-CN"/>
        </w:rPr>
      </w:pPr>
    </w:p>
    <w:p w14:paraId="1D738F5E">
      <w:pPr>
        <w:shd w:val="clear"/>
        <w:spacing w:line="360" w:lineRule="auto"/>
        <w:rPr>
          <w:rFonts w:cs="仿宋" w:asciiTheme="majorEastAsia" w:hAnsiTheme="majorEastAsia" w:eastAsiaTheme="majorEastAsia"/>
          <w:b/>
          <w:color w:val="auto"/>
          <w:sz w:val="32"/>
          <w:szCs w:val="32"/>
          <w:highlight w:val="none"/>
        </w:rPr>
      </w:pPr>
      <w:bookmarkStart w:id="396" w:name="_Toc488936100"/>
      <w:bookmarkStart w:id="397" w:name="_Toc483379796"/>
      <w:bookmarkStart w:id="398" w:name="_Toc14746861"/>
      <w:bookmarkStart w:id="399" w:name="_Toc110393361"/>
      <w:bookmarkStart w:id="400" w:name="_Toc225223761"/>
      <w:bookmarkStart w:id="401" w:name="_Toc479927873"/>
    </w:p>
    <w:p w14:paraId="7FD9D636">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授权委托书或法定代表人（单位负责人、自然人本人）身份证明</w:t>
      </w:r>
    </w:p>
    <w:p w14:paraId="5DCDB90A">
      <w:pPr>
        <w:shd w:val="clear"/>
        <w:jc w:val="left"/>
        <w:rPr>
          <w:rFonts w:ascii="宋体" w:hAnsi="宋体" w:cs="宋体"/>
          <w:b/>
          <w:color w:val="auto"/>
          <w:sz w:val="32"/>
          <w:szCs w:val="32"/>
          <w:highlight w:val="none"/>
        </w:rPr>
      </w:pPr>
      <w:r>
        <w:rPr>
          <w:rFonts w:hint="eastAsia" w:cs="仿宋" w:asciiTheme="majorEastAsia" w:hAnsiTheme="majorEastAsia" w:eastAsiaTheme="majorEastAsia"/>
          <w:color w:val="auto"/>
          <w:sz w:val="24"/>
          <w:highlight w:val="none"/>
        </w:rPr>
        <w:t xml:space="preserve">                           </w:t>
      </w:r>
      <w:r>
        <w:rPr>
          <w:rFonts w:hint="eastAsia" w:ascii="宋体" w:hAnsi="宋体" w:cs="宋体"/>
          <w:b/>
          <w:color w:val="auto"/>
          <w:sz w:val="32"/>
          <w:szCs w:val="32"/>
          <w:highlight w:val="none"/>
        </w:rPr>
        <w:t>法定代表人授权委托书</w:t>
      </w:r>
    </w:p>
    <w:p w14:paraId="2F0F87E1">
      <w:pPr>
        <w:shd w:val="clear"/>
        <w:jc w:val="center"/>
        <w:rPr>
          <w:rFonts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14:paraId="2E135CB3">
      <w:pPr>
        <w:shd w:val="clear"/>
        <w:snapToGrid w:val="0"/>
        <w:spacing w:line="360" w:lineRule="auto"/>
        <w:rPr>
          <w:rFonts w:ascii="宋体" w:hAnsi="宋体" w:cs="宋体"/>
          <w:bCs/>
          <w:color w:val="auto"/>
          <w:sz w:val="24"/>
          <w:highlight w:val="none"/>
        </w:rPr>
      </w:pPr>
    </w:p>
    <w:p w14:paraId="01501A72">
      <w:pPr>
        <w:shd w:val="clea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（采购单位名称）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14:paraId="4489E6E6">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（投标人名称）的法定代表人，现授权委托本单位在职职工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政府采购 </w:t>
      </w:r>
      <w:r>
        <w:rPr>
          <w:rFonts w:hint="eastAsia" w:ascii="宋体" w:hAnsi="宋体" w:cs="宋体"/>
          <w:color w:val="auto"/>
          <w:szCs w:val="21"/>
          <w:highlight w:val="none"/>
        </w:rPr>
        <w:t>项目的投标活动，并代表我方全权办理针对上述项目的投标、开标、评标、签约等具体事务和签署相关文件。</w:t>
      </w:r>
    </w:p>
    <w:p w14:paraId="57F784BD">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14:paraId="1803623E">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14:paraId="2733FD64">
      <w:pPr>
        <w:shd w:val="clea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415F4040">
      <w:pPr>
        <w:shd w:val="clear"/>
        <w:snapToGrid w:val="0"/>
        <w:spacing w:line="360" w:lineRule="auto"/>
        <w:rPr>
          <w:rFonts w:ascii="宋体" w:hAnsi="宋体" w:cs="宋体"/>
          <w:color w:val="auto"/>
          <w:szCs w:val="21"/>
          <w:highlight w:val="none"/>
        </w:rPr>
      </w:pPr>
    </w:p>
    <w:p w14:paraId="503332EB">
      <w:pPr>
        <w:shd w:val="clear"/>
        <w:snapToGrid w:val="0"/>
        <w:spacing w:line="360" w:lineRule="auto"/>
        <w:rPr>
          <w:rFonts w:ascii="宋体" w:hAnsi="宋体" w:cs="宋体"/>
          <w:color w:val="auto"/>
          <w:szCs w:val="21"/>
          <w:highlight w:val="none"/>
        </w:rPr>
      </w:pPr>
    </w:p>
    <w:p w14:paraId="2BD4A48E">
      <w:pPr>
        <w:shd w:val="clea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法定代表人签名：</w:t>
      </w:r>
      <w:r>
        <w:rPr>
          <w:rFonts w:hint="eastAsia" w:ascii="宋体" w:hAnsi="宋体" w:cs="宋体"/>
          <w:color w:val="auto"/>
          <w:szCs w:val="21"/>
          <w:highlight w:val="none"/>
          <w:u w:val="single"/>
        </w:rPr>
        <w:t xml:space="preserve">          </w:t>
      </w:r>
    </w:p>
    <w:p w14:paraId="31996978">
      <w:pPr>
        <w:shd w:val="clea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040D194E">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AFD3CA6">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58965A35">
      <w:pPr>
        <w:shd w:val="clear"/>
        <w:snapToGrid w:val="0"/>
        <w:spacing w:line="360" w:lineRule="auto"/>
        <w:rPr>
          <w:rFonts w:ascii="宋体" w:hAnsi="宋体" w:cs="宋体"/>
          <w:color w:val="auto"/>
          <w:szCs w:val="21"/>
          <w:highlight w:val="none"/>
        </w:rPr>
      </w:pPr>
    </w:p>
    <w:p w14:paraId="513DF272">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3474A890">
      <w:pPr>
        <w:shd w:val="clear"/>
        <w:spacing w:line="360" w:lineRule="auto"/>
        <w:ind w:firstLine="1260" w:firstLineChars="600"/>
        <w:rPr>
          <w:rFonts w:ascii="宋体" w:hAnsi="宋体" w:cs="宋体"/>
          <w:color w:val="auto"/>
          <w:highlight w:val="none"/>
        </w:rPr>
      </w:pPr>
      <w:r>
        <w:rPr>
          <w:rFonts w:hint="eastAsia" w:ascii="宋体" w:hAnsi="宋体" w:cs="宋体"/>
          <w:color w:val="auto"/>
          <w:highlight w:val="none"/>
        </w:rPr>
        <w:t xml:space="preserve">                                  日期：</w:t>
      </w:r>
    </w:p>
    <w:p w14:paraId="3ADB9F61">
      <w:pPr>
        <w:shd w:val="clear"/>
        <w:spacing w:line="360" w:lineRule="auto"/>
        <w:rPr>
          <w:rFonts w:ascii="宋体" w:hAnsi="宋体" w:cs="宋体"/>
          <w:b/>
          <w:color w:val="auto"/>
          <w:szCs w:val="21"/>
          <w:highlight w:val="none"/>
        </w:rPr>
      </w:pPr>
    </w:p>
    <w:p w14:paraId="54FED3EA">
      <w:pPr>
        <w:shd w:val="clear"/>
        <w:spacing w:line="360" w:lineRule="auto"/>
        <w:rPr>
          <w:rFonts w:ascii="宋体" w:hAnsi="宋体" w:cs="宋体"/>
          <w:b/>
          <w:color w:val="auto"/>
          <w:szCs w:val="21"/>
          <w:highlight w:val="none"/>
        </w:rPr>
      </w:pPr>
    </w:p>
    <w:p w14:paraId="367BEFC1">
      <w:pPr>
        <w:shd w:val="clear"/>
        <w:spacing w:line="360" w:lineRule="auto"/>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附：法定代表人身份证复印件（正反面）、授权代表身份证复印件（正反面）：</w:t>
      </w:r>
    </w:p>
    <w:p w14:paraId="5E3BAF68">
      <w:pPr>
        <w:shd w:val="clear"/>
        <w:snapToGrid w:val="0"/>
        <w:spacing w:line="360" w:lineRule="auto"/>
        <w:rPr>
          <w:rFonts w:cs="仿宋" w:asciiTheme="majorEastAsia" w:hAnsiTheme="majorEastAsia" w:eastAsiaTheme="majorEastAsia"/>
          <w:color w:val="auto"/>
          <w:sz w:val="24"/>
          <w:highlight w:val="none"/>
        </w:rPr>
      </w:pPr>
    </w:p>
    <w:p w14:paraId="3AF5D019">
      <w:pPr>
        <w:shd w:val="clear"/>
        <w:spacing w:line="360" w:lineRule="auto"/>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32"/>
          <w:szCs w:val="32"/>
          <w:highlight w:val="none"/>
          <w:lang w:val="zh-CN"/>
        </w:rPr>
        <w:t xml:space="preserve">      </w:t>
      </w:r>
      <w:r>
        <w:rPr>
          <w:rFonts w:hint="eastAsia" w:cs="仿宋" w:asciiTheme="majorEastAsia" w:hAnsiTheme="majorEastAsia" w:eastAsiaTheme="majorEastAsia"/>
          <w:b/>
          <w:color w:val="auto"/>
          <w:kern w:val="0"/>
          <w:sz w:val="32"/>
          <w:szCs w:val="32"/>
          <w:highlight w:val="none"/>
        </w:rPr>
        <w:t xml:space="preserve"> </w:t>
      </w:r>
    </w:p>
    <w:p w14:paraId="13A8919D">
      <w:pPr>
        <w:shd w:val="clear"/>
        <w:jc w:val="center"/>
        <w:rPr>
          <w:rFonts w:ascii="宋体" w:hAnsi="宋体" w:cs="宋体"/>
          <w:b/>
          <w:color w:val="auto"/>
          <w:sz w:val="32"/>
          <w:szCs w:val="32"/>
          <w:highlight w:val="none"/>
        </w:rPr>
      </w:pPr>
      <w:r>
        <w:rPr>
          <w:rFonts w:hint="eastAsia" w:cs="仿宋" w:asciiTheme="majorEastAsia" w:hAnsiTheme="majorEastAsia" w:eastAsiaTheme="majorEastAsia"/>
          <w:b/>
          <w:color w:val="auto"/>
          <w:kern w:val="0"/>
          <w:sz w:val="32"/>
          <w:szCs w:val="32"/>
          <w:highlight w:val="none"/>
          <w:lang w:val="zh-CN"/>
        </w:rPr>
        <w:br w:type="page"/>
      </w:r>
      <w:r>
        <w:rPr>
          <w:rFonts w:hint="eastAsia" w:ascii="宋体" w:hAnsi="宋体" w:cs="宋体"/>
          <w:b/>
          <w:color w:val="auto"/>
          <w:sz w:val="32"/>
          <w:szCs w:val="32"/>
          <w:highlight w:val="none"/>
        </w:rPr>
        <w:t>法定代表人身份证明</w:t>
      </w:r>
    </w:p>
    <w:p w14:paraId="7C145707">
      <w:pPr>
        <w:shd w:val="clear"/>
        <w:spacing w:line="480" w:lineRule="auto"/>
        <w:jc w:val="center"/>
        <w:rPr>
          <w:rFonts w:ascii="宋体" w:hAnsi="宋体" w:cs="宋体"/>
          <w:bCs/>
          <w:color w:val="auto"/>
          <w:sz w:val="24"/>
          <w:highlight w:val="none"/>
        </w:rPr>
      </w:pPr>
    </w:p>
    <w:p w14:paraId="17B23867">
      <w:pPr>
        <w:shd w:val="clear"/>
        <w:spacing w:line="480" w:lineRule="auto"/>
        <w:jc w:val="center"/>
        <w:rPr>
          <w:rFonts w:ascii="宋体" w:hAnsi="宋体" w:cs="宋体"/>
          <w:b/>
          <w:color w:val="auto"/>
          <w:sz w:val="24"/>
          <w:highlight w:val="none"/>
        </w:rPr>
      </w:pPr>
      <w:r>
        <w:rPr>
          <w:rFonts w:hint="eastAsia" w:ascii="宋体" w:hAnsi="宋体" w:cs="宋体"/>
          <w:bCs/>
          <w:color w:val="auto"/>
          <w:sz w:val="24"/>
          <w:highlight w:val="none"/>
        </w:rPr>
        <w:t>（法定代表人不来投标的，此表不用）</w:t>
      </w:r>
    </w:p>
    <w:p w14:paraId="3B779B5F">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14:paraId="78463EDB">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064EFB0">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797E8304">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95A1BE0">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C0E90FC">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14:paraId="232DEC17">
      <w:pPr>
        <w:shd w:val="clea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35343E54">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w:t>
      </w:r>
    </w:p>
    <w:p w14:paraId="4A1589CC">
      <w:pPr>
        <w:shd w:val="clear"/>
        <w:spacing w:line="48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特此证明。</w:t>
      </w:r>
    </w:p>
    <w:p w14:paraId="3A90A16D">
      <w:pPr>
        <w:shd w:val="clear"/>
        <w:spacing w:line="360" w:lineRule="auto"/>
        <w:ind w:firstLine="420" w:firstLineChars="200"/>
        <w:rPr>
          <w:rFonts w:ascii="宋体" w:hAnsi="宋体" w:cs="宋体"/>
          <w:color w:val="auto"/>
          <w:szCs w:val="21"/>
          <w:highlight w:val="none"/>
        </w:rPr>
      </w:pPr>
    </w:p>
    <w:p w14:paraId="19988FE3">
      <w:pPr>
        <w:shd w:val="clear"/>
        <w:spacing w:line="360" w:lineRule="auto"/>
        <w:ind w:firstLine="420" w:firstLineChars="200"/>
        <w:rPr>
          <w:rFonts w:ascii="宋体" w:hAnsi="宋体" w:cs="宋体"/>
          <w:color w:val="auto"/>
          <w:szCs w:val="21"/>
          <w:highlight w:val="none"/>
        </w:rPr>
      </w:pPr>
    </w:p>
    <w:p w14:paraId="36E11EA4">
      <w:pPr>
        <w:shd w:val="clea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6FA8CEE2">
      <w:pPr>
        <w:shd w:val="clear"/>
        <w:spacing w:line="360" w:lineRule="auto"/>
        <w:ind w:firstLine="4515" w:firstLineChars="2150"/>
        <w:rPr>
          <w:rFonts w:ascii="宋体" w:hAnsi="宋体" w:cs="宋体"/>
          <w:color w:val="auto"/>
          <w:szCs w:val="21"/>
          <w:highlight w:val="none"/>
          <w:u w:val="single"/>
        </w:rPr>
      </w:pPr>
    </w:p>
    <w:p w14:paraId="4DEE0E3A">
      <w:pPr>
        <w:shd w:val="clea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FEB1065">
      <w:pPr>
        <w:shd w:val="clear"/>
        <w:spacing w:line="360" w:lineRule="auto"/>
        <w:rPr>
          <w:rFonts w:ascii="宋体" w:hAnsi="宋体" w:cs="宋体"/>
          <w:color w:val="auto"/>
          <w:sz w:val="24"/>
          <w:highlight w:val="none"/>
        </w:rPr>
      </w:pPr>
    </w:p>
    <w:p w14:paraId="0233D07C">
      <w:pPr>
        <w:shd w:val="clear"/>
        <w:spacing w:line="360" w:lineRule="auto"/>
        <w:rPr>
          <w:rFonts w:ascii="宋体" w:hAnsi="宋体" w:cs="宋体"/>
          <w:b/>
          <w:color w:val="auto"/>
          <w:szCs w:val="21"/>
          <w:highlight w:val="none"/>
        </w:rPr>
      </w:pPr>
    </w:p>
    <w:p w14:paraId="00D16556">
      <w:pPr>
        <w:shd w:val="clear"/>
        <w:spacing w:line="360" w:lineRule="auto"/>
        <w:rPr>
          <w:rFonts w:ascii="宋体" w:hAnsi="宋体" w:cs="宋体"/>
          <w:b/>
          <w:color w:val="auto"/>
          <w:szCs w:val="21"/>
          <w:highlight w:val="none"/>
        </w:rPr>
      </w:pPr>
    </w:p>
    <w:p w14:paraId="1EC9641D">
      <w:pPr>
        <w:shd w:val="clear"/>
        <w:spacing w:line="360" w:lineRule="auto"/>
        <w:jc w:val="left"/>
        <w:rPr>
          <w:rFonts w:cs="仿宋" w:asciiTheme="majorEastAsia" w:hAnsiTheme="majorEastAsia" w:eastAsiaTheme="majorEastAsia"/>
          <w:b/>
          <w:color w:val="auto"/>
          <w:kern w:val="0"/>
          <w:sz w:val="32"/>
          <w:szCs w:val="32"/>
          <w:highlight w:val="none"/>
          <w:lang w:val="zh-CN"/>
        </w:rPr>
      </w:pPr>
      <w:r>
        <w:rPr>
          <w:rFonts w:hint="eastAsia" w:ascii="宋体" w:hAnsi="宋体" w:cs="宋体"/>
          <w:b/>
          <w:color w:val="auto"/>
          <w:szCs w:val="21"/>
          <w:highlight w:val="none"/>
        </w:rPr>
        <w:t>附法定代表人身份证复印件（正反面）：</w:t>
      </w:r>
      <w:r>
        <w:rPr>
          <w:rFonts w:cs="仿宋" w:asciiTheme="majorEastAsia" w:hAnsiTheme="majorEastAsia" w:eastAsiaTheme="majorEastAsia"/>
          <w:b/>
          <w:color w:val="auto"/>
          <w:kern w:val="0"/>
          <w:sz w:val="32"/>
          <w:szCs w:val="32"/>
          <w:highlight w:val="none"/>
          <w:lang w:val="zh-CN"/>
        </w:rPr>
        <w:br w:type="page"/>
      </w:r>
    </w:p>
    <w:p w14:paraId="4BE491E6">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投标人基本情况</w:t>
      </w:r>
      <w:bookmarkEnd w:id="396"/>
      <w:bookmarkEnd w:id="397"/>
      <w:bookmarkEnd w:id="398"/>
      <w:bookmarkEnd w:id="399"/>
      <w:bookmarkEnd w:id="400"/>
      <w:bookmarkEnd w:id="401"/>
      <w:r>
        <w:rPr>
          <w:rFonts w:hint="eastAsia" w:cs="仿宋" w:asciiTheme="majorEastAsia" w:hAnsiTheme="majorEastAsia" w:eastAsiaTheme="majorEastAsia"/>
          <w:b/>
          <w:color w:val="auto"/>
          <w:kern w:val="0"/>
          <w:sz w:val="32"/>
          <w:szCs w:val="32"/>
          <w:highlight w:val="none"/>
          <w:lang w:val="zh-CN"/>
        </w:rPr>
        <w:t>表</w:t>
      </w:r>
    </w:p>
    <w:tbl>
      <w:tblPr>
        <w:tblStyle w:val="18"/>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120D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5801CA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投标人名称</w:t>
            </w:r>
          </w:p>
        </w:tc>
        <w:tc>
          <w:tcPr>
            <w:tcW w:w="7647" w:type="dxa"/>
            <w:gridSpan w:val="5"/>
            <w:vAlign w:val="center"/>
          </w:tcPr>
          <w:p w14:paraId="6975D07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530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D99EDF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注册地址</w:t>
            </w:r>
          </w:p>
        </w:tc>
        <w:tc>
          <w:tcPr>
            <w:tcW w:w="2809" w:type="dxa"/>
            <w:gridSpan w:val="2"/>
            <w:vAlign w:val="center"/>
          </w:tcPr>
          <w:p w14:paraId="0CC1B62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0D48FF1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成立时间</w:t>
            </w:r>
          </w:p>
        </w:tc>
        <w:tc>
          <w:tcPr>
            <w:tcW w:w="3052" w:type="dxa"/>
            <w:gridSpan w:val="2"/>
            <w:vAlign w:val="center"/>
          </w:tcPr>
          <w:p w14:paraId="52A1D73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DEF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9B3381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统一信用代码</w:t>
            </w:r>
          </w:p>
        </w:tc>
        <w:tc>
          <w:tcPr>
            <w:tcW w:w="2809" w:type="dxa"/>
            <w:gridSpan w:val="2"/>
            <w:vAlign w:val="center"/>
          </w:tcPr>
          <w:p w14:paraId="3214BCE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3C563F9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注册资金</w:t>
            </w:r>
          </w:p>
        </w:tc>
        <w:tc>
          <w:tcPr>
            <w:tcW w:w="3052" w:type="dxa"/>
            <w:gridSpan w:val="2"/>
            <w:vAlign w:val="center"/>
          </w:tcPr>
          <w:p w14:paraId="0E00A2F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D8B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FFD480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投标联系人姓名</w:t>
            </w:r>
          </w:p>
        </w:tc>
        <w:tc>
          <w:tcPr>
            <w:tcW w:w="1936" w:type="dxa"/>
            <w:vAlign w:val="center"/>
          </w:tcPr>
          <w:p w14:paraId="12BF9CE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359555E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05FDC04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630618B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124732A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DBA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271911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法定代表人姓名</w:t>
            </w:r>
          </w:p>
        </w:tc>
        <w:tc>
          <w:tcPr>
            <w:tcW w:w="1936" w:type="dxa"/>
            <w:vAlign w:val="center"/>
          </w:tcPr>
          <w:p w14:paraId="7BEEB2C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6E6E166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3F50626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29AEE5A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63BBDBC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9AA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814DB3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项目负责人姓名</w:t>
            </w:r>
          </w:p>
        </w:tc>
        <w:tc>
          <w:tcPr>
            <w:tcW w:w="1936" w:type="dxa"/>
            <w:vAlign w:val="center"/>
          </w:tcPr>
          <w:p w14:paraId="4D7946F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32F02C2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1633AE8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04E09B6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技术职称</w:t>
            </w:r>
          </w:p>
        </w:tc>
        <w:tc>
          <w:tcPr>
            <w:tcW w:w="1852" w:type="dxa"/>
            <w:vAlign w:val="center"/>
          </w:tcPr>
          <w:p w14:paraId="5A83D4E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25C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47DB9C2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936" w:type="dxa"/>
            <w:vMerge w:val="restart"/>
            <w:vAlign w:val="center"/>
          </w:tcPr>
          <w:p w14:paraId="645EA00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restart"/>
            <w:vAlign w:val="center"/>
          </w:tcPr>
          <w:p w14:paraId="597A552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w:t>
            </w:r>
          </w:p>
        </w:tc>
        <w:tc>
          <w:tcPr>
            <w:tcW w:w="1786" w:type="dxa"/>
            <w:vAlign w:val="center"/>
          </w:tcPr>
          <w:p w14:paraId="04A2B63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高级职称</w:t>
            </w:r>
          </w:p>
        </w:tc>
        <w:tc>
          <w:tcPr>
            <w:tcW w:w="3052" w:type="dxa"/>
            <w:gridSpan w:val="2"/>
            <w:vAlign w:val="center"/>
          </w:tcPr>
          <w:p w14:paraId="61E95C9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67E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700EE77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697EAB1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0254445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0234710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中级职称</w:t>
            </w:r>
          </w:p>
        </w:tc>
        <w:tc>
          <w:tcPr>
            <w:tcW w:w="3052" w:type="dxa"/>
            <w:gridSpan w:val="2"/>
            <w:vAlign w:val="center"/>
          </w:tcPr>
          <w:p w14:paraId="1A8D632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0E6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626E947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37A53FB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35F3D00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5EDA1A0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各类注册人员</w:t>
            </w:r>
          </w:p>
        </w:tc>
        <w:tc>
          <w:tcPr>
            <w:tcW w:w="3052" w:type="dxa"/>
            <w:gridSpan w:val="2"/>
            <w:vAlign w:val="center"/>
          </w:tcPr>
          <w:p w14:paraId="01B5B19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01A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F871B7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基本账户开户银行</w:t>
            </w:r>
          </w:p>
        </w:tc>
        <w:tc>
          <w:tcPr>
            <w:tcW w:w="7647" w:type="dxa"/>
            <w:gridSpan w:val="5"/>
            <w:vAlign w:val="center"/>
          </w:tcPr>
          <w:p w14:paraId="1E653F8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C04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1832E2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基本账户账号</w:t>
            </w:r>
          </w:p>
        </w:tc>
        <w:tc>
          <w:tcPr>
            <w:tcW w:w="7647" w:type="dxa"/>
            <w:gridSpan w:val="5"/>
            <w:vAlign w:val="center"/>
          </w:tcPr>
          <w:p w14:paraId="4F72D42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489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53BA036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经营范围</w:t>
            </w:r>
          </w:p>
        </w:tc>
        <w:tc>
          <w:tcPr>
            <w:tcW w:w="7647" w:type="dxa"/>
            <w:gridSpan w:val="5"/>
            <w:vAlign w:val="center"/>
          </w:tcPr>
          <w:p w14:paraId="2B2F091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6AB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7875E40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备注</w:t>
            </w:r>
          </w:p>
        </w:tc>
        <w:tc>
          <w:tcPr>
            <w:tcW w:w="7647" w:type="dxa"/>
            <w:gridSpan w:val="5"/>
            <w:vAlign w:val="center"/>
          </w:tcPr>
          <w:p w14:paraId="4DDE002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24A7F4E1">
      <w:pPr>
        <w:shd w:val="clear"/>
        <w:adjustRightInd w:val="0"/>
        <w:snapToGrid w:val="0"/>
        <w:spacing w:line="360" w:lineRule="auto"/>
        <w:ind w:firstLine="482" w:firstLineChars="200"/>
        <w:rPr>
          <w:rFonts w:cs="仿宋" w:asciiTheme="majorEastAsia" w:hAnsiTheme="majorEastAsia" w:eastAsiaTheme="majorEastAsia"/>
          <w:b/>
          <w:bCs/>
          <w:color w:val="auto"/>
          <w:kern w:val="0"/>
          <w:sz w:val="24"/>
          <w:highlight w:val="none"/>
          <w:lang w:val="zh-CN"/>
        </w:rPr>
      </w:pPr>
      <w:r>
        <w:rPr>
          <w:rFonts w:hint="eastAsia" w:cs="仿宋" w:asciiTheme="majorEastAsia" w:hAnsiTheme="majorEastAsia" w:eastAsiaTheme="majorEastAsia"/>
          <w:b/>
          <w:bCs/>
          <w:color w:val="auto"/>
          <w:kern w:val="0"/>
          <w:sz w:val="24"/>
          <w:highlight w:val="none"/>
          <w:lang w:val="zh-CN"/>
        </w:rPr>
        <w:t>兹证明上述声明是真实、正确的，并提供了全部能提供的资料和数据，我们同意遵照贵方要求出示有关证明文件。</w:t>
      </w:r>
    </w:p>
    <w:p w14:paraId="53A7650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p w14:paraId="729979DC">
      <w:pPr>
        <w:pStyle w:val="2"/>
        <w:shd w:val="clear"/>
        <w:spacing w:line="360" w:lineRule="auto"/>
        <w:ind w:firstLine="560"/>
        <w:rPr>
          <w:rFonts w:cs="仿宋" w:asciiTheme="majorEastAsia" w:hAnsiTheme="majorEastAsia" w:eastAsiaTheme="majorEastAsia"/>
          <w:color w:val="auto"/>
          <w:highlight w:val="none"/>
          <w:lang w:val="zh-CN"/>
        </w:rPr>
      </w:pPr>
    </w:p>
    <w:p w14:paraId="5C556667">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5E432E51">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0CF706DE">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p>
    <w:p w14:paraId="7D8692F6">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距采购人最近或者能为本项目提供最优服务的网点情况表</w:t>
      </w:r>
    </w:p>
    <w:p w14:paraId="7C1746AB">
      <w:pPr>
        <w:shd w:val="clear"/>
        <w:spacing w:line="360" w:lineRule="auto"/>
        <w:rPr>
          <w:rFonts w:cs="仿宋" w:asciiTheme="majorEastAsia" w:hAnsiTheme="majorEastAsia" w:eastAsiaTheme="majorEastAsia"/>
          <w:color w:val="auto"/>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75F90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EF59E0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180FAB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B0D7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43B3BE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308ECD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12A1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883E32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11FA9AF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2901731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1D8FD32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C28E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41FC27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6C1F478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271EA38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2D02B9A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823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05BFF9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6DD6002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7434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365103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8760E9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90CA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B7392F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DAE349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4403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BE5043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DED6BC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41A3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2148F1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D4469A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4DEB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D8B329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5B77D9E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278903D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6DDCF55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C02F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4B8CAF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34EE3BF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32F4DE8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1729406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0B888A9A">
      <w:pPr>
        <w:shd w:val="clear"/>
        <w:spacing w:line="360" w:lineRule="auto"/>
        <w:rPr>
          <w:rFonts w:cs="仿宋" w:asciiTheme="majorEastAsia" w:hAnsiTheme="majorEastAsia" w:eastAsiaTheme="majorEastAsia"/>
          <w:color w:val="auto"/>
          <w:highlight w:val="none"/>
        </w:rPr>
      </w:pPr>
    </w:p>
    <w:p w14:paraId="6B9C3B84">
      <w:pPr>
        <w:shd w:val="clear"/>
        <w:spacing w:line="360" w:lineRule="auto"/>
        <w:rPr>
          <w:rFonts w:cs="仿宋" w:asciiTheme="majorEastAsia" w:hAnsiTheme="majorEastAsia" w:eastAsiaTheme="majorEastAsia"/>
          <w:color w:val="auto"/>
          <w:highlight w:val="none"/>
        </w:rPr>
      </w:pPr>
    </w:p>
    <w:p w14:paraId="7F2069D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highlight w:val="none"/>
        </w:rPr>
        <w:t xml:space="preserve">       </w:t>
      </w:r>
    </w:p>
    <w:p w14:paraId="078C4555">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42C9D9EA">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09935674">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35A98A61">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评标标准相应的商务技术资料</w:t>
      </w:r>
    </w:p>
    <w:p w14:paraId="7366C367">
      <w:pPr>
        <w:shd w:val="clear"/>
        <w:snapToGrid w:val="0"/>
        <w:spacing w:line="360" w:lineRule="auto"/>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（按招标文件第四部分评标办法前附表中“投标文件中评标标准相应的商务技术资料目录”提供资料）</w:t>
      </w:r>
    </w:p>
    <w:p w14:paraId="3F3C3258">
      <w:pPr>
        <w:pStyle w:val="2"/>
        <w:shd w:val="clear"/>
        <w:ind w:firstLine="560"/>
        <w:rPr>
          <w:rFonts w:asciiTheme="majorEastAsia" w:hAnsiTheme="majorEastAsia" w:eastAsiaTheme="majorEastAsia"/>
          <w:color w:val="auto"/>
          <w:highlight w:val="none"/>
          <w:lang w:val="zh-CN"/>
        </w:rPr>
      </w:pPr>
    </w:p>
    <w:p w14:paraId="3BA06580">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商务响应表</w:t>
      </w:r>
    </w:p>
    <w:tbl>
      <w:tblPr>
        <w:tblStyle w:val="18"/>
        <w:tblW w:w="5172" w:type="pct"/>
        <w:tblInd w:w="0" w:type="dxa"/>
        <w:tblLayout w:type="autofit"/>
        <w:tblCellMar>
          <w:top w:w="0" w:type="dxa"/>
          <w:left w:w="108" w:type="dxa"/>
          <w:bottom w:w="0" w:type="dxa"/>
          <w:right w:w="108" w:type="dxa"/>
        </w:tblCellMar>
      </w:tblPr>
      <w:tblGrid>
        <w:gridCol w:w="764"/>
        <w:gridCol w:w="6147"/>
        <w:gridCol w:w="1276"/>
        <w:gridCol w:w="1418"/>
      </w:tblGrid>
      <w:tr w14:paraId="63E8D411">
        <w:tblPrEx>
          <w:tblCellMar>
            <w:top w:w="0" w:type="dxa"/>
            <w:left w:w="108" w:type="dxa"/>
            <w:bottom w:w="0" w:type="dxa"/>
            <w:right w:w="108" w:type="dxa"/>
          </w:tblCellMar>
        </w:tblPrEx>
        <w:trPr>
          <w:trHeight w:val="281"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7F26A51B">
            <w:pPr>
              <w:shd w:val="clear"/>
              <w:tabs>
                <w:tab w:val="left" w:pos="0"/>
              </w:tabs>
              <w:adjustRightInd w:val="0"/>
              <w:snapToGrid w:val="0"/>
              <w:spacing w:line="360" w:lineRule="auto"/>
              <w:jc w:val="center"/>
              <w:rPr>
                <w:rFonts w:cs="仿宋" w:asciiTheme="majorEastAsia" w:hAnsiTheme="majorEastAsia" w:eastAsiaTheme="majorEastAsia"/>
                <w:b/>
                <w:bCs/>
                <w:color w:val="auto"/>
                <w:kern w:val="0"/>
                <w:sz w:val="24"/>
                <w:highlight w:val="none"/>
              </w:rPr>
            </w:pPr>
            <w:r>
              <w:rPr>
                <w:rFonts w:hint="eastAsia" w:cs="仿宋" w:asciiTheme="majorEastAsia" w:hAnsiTheme="majorEastAsia" w:eastAsiaTheme="majorEastAsia"/>
                <w:b/>
                <w:bCs/>
                <w:color w:val="auto"/>
                <w:kern w:val="0"/>
                <w:sz w:val="24"/>
                <w:highlight w:val="none"/>
              </w:rPr>
              <w:t>项目</w:t>
            </w:r>
          </w:p>
        </w:tc>
        <w:tc>
          <w:tcPr>
            <w:tcW w:w="3200" w:type="pct"/>
            <w:tcBorders>
              <w:top w:val="single" w:color="000000" w:sz="4" w:space="0"/>
              <w:left w:val="single" w:color="000000" w:sz="4" w:space="0"/>
              <w:bottom w:val="single" w:color="000000" w:sz="4" w:space="0"/>
              <w:right w:val="single" w:color="000000" w:sz="4" w:space="0"/>
            </w:tcBorders>
            <w:vAlign w:val="center"/>
          </w:tcPr>
          <w:p w14:paraId="2339935F">
            <w:pPr>
              <w:shd w:val="clear"/>
              <w:tabs>
                <w:tab w:val="left" w:pos="0"/>
              </w:tabs>
              <w:adjustRightInd w:val="0"/>
              <w:snapToGrid w:val="0"/>
              <w:spacing w:line="360" w:lineRule="auto"/>
              <w:jc w:val="center"/>
              <w:rPr>
                <w:rFonts w:cs="仿宋" w:asciiTheme="majorEastAsia" w:hAnsiTheme="majorEastAsia" w:eastAsiaTheme="majorEastAsia"/>
                <w:b/>
                <w:bCs/>
                <w:color w:val="auto"/>
                <w:kern w:val="0"/>
                <w:sz w:val="24"/>
                <w:highlight w:val="none"/>
              </w:rPr>
            </w:pPr>
            <w:r>
              <w:rPr>
                <w:rFonts w:hint="eastAsia" w:cs="仿宋" w:asciiTheme="majorEastAsia" w:hAnsiTheme="majorEastAsia" w:eastAsiaTheme="majorEastAsia"/>
                <w:b/>
                <w:bCs/>
                <w:color w:val="auto"/>
                <w:kern w:val="0"/>
                <w:sz w:val="24"/>
                <w:highlight w:val="none"/>
              </w:rPr>
              <w:t>要 求</w:t>
            </w:r>
          </w:p>
        </w:tc>
        <w:tc>
          <w:tcPr>
            <w:tcW w:w="664" w:type="pct"/>
            <w:tcBorders>
              <w:top w:val="single" w:color="000000" w:sz="4" w:space="0"/>
              <w:left w:val="single" w:color="000000" w:sz="4" w:space="0"/>
              <w:bottom w:val="single" w:color="000000" w:sz="4" w:space="0"/>
              <w:right w:val="single" w:color="000000" w:sz="4" w:space="0"/>
            </w:tcBorders>
            <w:vAlign w:val="center"/>
          </w:tcPr>
          <w:p w14:paraId="11A15E24">
            <w:pPr>
              <w:pStyle w:val="2"/>
              <w:shd w:val="clear"/>
              <w:ind w:firstLine="0" w:firstLineChars="0"/>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偏离情况</w:t>
            </w:r>
          </w:p>
        </w:tc>
        <w:tc>
          <w:tcPr>
            <w:tcW w:w="738" w:type="pct"/>
            <w:tcBorders>
              <w:top w:val="single" w:color="000000" w:sz="4" w:space="0"/>
              <w:left w:val="single" w:color="000000" w:sz="4" w:space="0"/>
              <w:bottom w:val="single" w:color="000000" w:sz="4" w:space="0"/>
              <w:right w:val="single" w:color="000000" w:sz="4" w:space="0"/>
            </w:tcBorders>
            <w:vAlign w:val="center"/>
          </w:tcPr>
          <w:p w14:paraId="0C7137DD">
            <w:pPr>
              <w:pStyle w:val="2"/>
              <w:shd w:val="clear"/>
              <w:ind w:firstLine="0" w:firstLineChars="0"/>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投标人承诺或说明</w:t>
            </w:r>
          </w:p>
        </w:tc>
      </w:tr>
      <w:tr w14:paraId="532C52F9">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541B8C34">
            <w:pPr>
              <w:shd w:val="clear"/>
              <w:tabs>
                <w:tab w:val="left" w:pos="0"/>
              </w:tabs>
              <w:adjustRightInd w:val="0"/>
              <w:snapToGrid w:val="0"/>
              <w:spacing w:line="360" w:lineRule="auto"/>
              <w:rPr>
                <w:rFonts w:cs="仿宋" w:asciiTheme="majorEastAsia" w:hAnsiTheme="majorEastAsia" w:eastAsiaTheme="majorEastAsia"/>
                <w:color w:val="auto"/>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7AA2592C">
            <w:pPr>
              <w:pStyle w:val="2"/>
              <w:shd w:val="clear"/>
              <w:ind w:firstLine="0" w:firstLineChars="0"/>
              <w:rPr>
                <w:rFonts w:cs="仿宋" w:asciiTheme="majorEastAsia" w:hAnsiTheme="majorEastAsia" w:eastAsiaTheme="majorEastAsia"/>
                <w:color w:val="auto"/>
                <w:kern w:val="0"/>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59005EDD">
            <w:pPr>
              <w:pStyle w:val="2"/>
              <w:shd w:val="clear"/>
              <w:ind w:firstLine="0" w:firstLineChars="0"/>
              <w:rPr>
                <w:rFonts w:cs="仿宋" w:asciiTheme="majorEastAsia" w:hAnsiTheme="majorEastAsia" w:eastAsiaTheme="majorEastAsia"/>
                <w:color w:val="auto"/>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4823AC80">
            <w:pPr>
              <w:pStyle w:val="2"/>
              <w:shd w:val="clear"/>
              <w:ind w:firstLine="0" w:firstLineChars="0"/>
              <w:rPr>
                <w:rFonts w:cs="仿宋" w:asciiTheme="majorEastAsia" w:hAnsiTheme="majorEastAsia" w:eastAsiaTheme="majorEastAsia"/>
                <w:color w:val="auto"/>
                <w:kern w:val="0"/>
                <w:sz w:val="24"/>
                <w:highlight w:val="none"/>
              </w:rPr>
            </w:pPr>
          </w:p>
        </w:tc>
      </w:tr>
      <w:tr w14:paraId="037EED0C">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58CE8A2B">
            <w:pPr>
              <w:shd w:val="clear"/>
              <w:tabs>
                <w:tab w:val="left" w:pos="0"/>
              </w:tabs>
              <w:adjustRightInd w:val="0"/>
              <w:snapToGrid w:val="0"/>
              <w:spacing w:line="360" w:lineRule="auto"/>
              <w:rPr>
                <w:rFonts w:cs="仿宋" w:asciiTheme="majorEastAsia" w:hAnsiTheme="majorEastAsia" w:eastAsiaTheme="majorEastAsia"/>
                <w:color w:val="auto"/>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05EEF6FD">
            <w:pPr>
              <w:pStyle w:val="2"/>
              <w:shd w:val="clear"/>
              <w:ind w:firstLine="0" w:firstLineChars="0"/>
              <w:rPr>
                <w:color w:val="auto"/>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036032F9">
            <w:pPr>
              <w:pStyle w:val="2"/>
              <w:shd w:val="clear"/>
              <w:ind w:firstLine="0" w:firstLineChars="0"/>
              <w:jc w:val="left"/>
              <w:rPr>
                <w:rFonts w:cs="仿宋" w:asciiTheme="majorEastAsia" w:hAnsiTheme="majorEastAsia" w:eastAsiaTheme="majorEastAsia"/>
                <w:color w:val="auto"/>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1BFE83FC">
            <w:pPr>
              <w:pStyle w:val="2"/>
              <w:shd w:val="clear"/>
              <w:ind w:firstLine="0" w:firstLineChars="0"/>
              <w:jc w:val="left"/>
              <w:rPr>
                <w:rFonts w:cs="仿宋" w:asciiTheme="majorEastAsia" w:hAnsiTheme="majorEastAsia" w:eastAsiaTheme="majorEastAsia"/>
                <w:color w:val="auto"/>
                <w:kern w:val="0"/>
                <w:sz w:val="24"/>
                <w:highlight w:val="none"/>
              </w:rPr>
            </w:pPr>
          </w:p>
        </w:tc>
      </w:tr>
      <w:tr w14:paraId="2FF405D6">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4E28964D">
            <w:pPr>
              <w:shd w:val="clear"/>
              <w:tabs>
                <w:tab w:val="left" w:pos="0"/>
              </w:tabs>
              <w:adjustRightInd w:val="0"/>
              <w:snapToGrid w:val="0"/>
              <w:spacing w:line="360" w:lineRule="auto"/>
              <w:rPr>
                <w:rFonts w:cs="仿宋" w:asciiTheme="majorEastAsia" w:hAnsiTheme="majorEastAsia" w:eastAsiaTheme="majorEastAsia"/>
                <w:color w:val="auto"/>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2CCD592E">
            <w:pPr>
              <w:widowControl/>
              <w:shd w:val="clear"/>
              <w:spacing w:line="0" w:lineRule="atLeast"/>
              <w:ind w:left="-108" w:right="-120"/>
              <w:jc w:val="left"/>
              <w:rPr>
                <w:rFonts w:ascii="宋体" w:hAnsi="宋体" w:cs="宋体"/>
                <w:color w:val="auto"/>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175C933C">
            <w:pPr>
              <w:widowControl/>
              <w:shd w:val="clear"/>
              <w:spacing w:line="0" w:lineRule="atLeast"/>
              <w:ind w:left="-108" w:right="-120"/>
              <w:jc w:val="left"/>
              <w:rPr>
                <w:rFonts w:ascii="宋体" w:hAnsi="宋体" w:cs="宋体"/>
                <w:color w:val="auto"/>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0D6DB1A5">
            <w:pPr>
              <w:widowControl/>
              <w:shd w:val="clear"/>
              <w:spacing w:line="0" w:lineRule="atLeast"/>
              <w:ind w:left="-108" w:right="-120"/>
              <w:jc w:val="left"/>
              <w:rPr>
                <w:rFonts w:ascii="宋体" w:hAnsi="宋体" w:cs="宋体"/>
                <w:color w:val="auto"/>
                <w:sz w:val="24"/>
                <w:highlight w:val="none"/>
              </w:rPr>
            </w:pPr>
          </w:p>
        </w:tc>
      </w:tr>
      <w:tr w14:paraId="7E0CEDA8">
        <w:tblPrEx>
          <w:tblCellMar>
            <w:top w:w="0" w:type="dxa"/>
            <w:left w:w="108" w:type="dxa"/>
            <w:bottom w:w="0" w:type="dxa"/>
            <w:right w:w="108" w:type="dxa"/>
          </w:tblCellMar>
        </w:tblPrEx>
        <w:trPr>
          <w:trHeight w:val="342"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7E27F5D4">
            <w:pPr>
              <w:pStyle w:val="2"/>
              <w:shd w:val="clear"/>
              <w:ind w:firstLine="0" w:firstLineChars="0"/>
              <w:jc w:val="left"/>
              <w:rPr>
                <w:rFonts w:cs="仿宋" w:asciiTheme="majorEastAsia" w:hAnsiTheme="majorEastAsia" w:eastAsiaTheme="majorEastAsia"/>
                <w:color w:val="auto"/>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7961C607">
            <w:pPr>
              <w:pStyle w:val="2"/>
              <w:shd w:val="clear"/>
              <w:ind w:firstLine="0" w:firstLineChars="0"/>
              <w:jc w:val="left"/>
              <w:rPr>
                <w:rFonts w:cs="仿宋" w:asciiTheme="majorEastAsia" w:hAnsiTheme="majorEastAsia" w:eastAsiaTheme="majorEastAsia"/>
                <w:color w:val="auto"/>
                <w:kern w:val="0"/>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2F903789">
            <w:pPr>
              <w:pStyle w:val="2"/>
              <w:shd w:val="clear"/>
              <w:ind w:firstLine="0" w:firstLineChars="0"/>
              <w:jc w:val="left"/>
              <w:rPr>
                <w:rFonts w:cs="仿宋" w:asciiTheme="majorEastAsia" w:hAnsiTheme="majorEastAsia" w:eastAsiaTheme="majorEastAsia"/>
                <w:color w:val="auto"/>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67290AD2">
            <w:pPr>
              <w:pStyle w:val="2"/>
              <w:shd w:val="clear"/>
              <w:ind w:firstLine="0" w:firstLineChars="0"/>
              <w:jc w:val="left"/>
              <w:rPr>
                <w:rFonts w:cs="仿宋" w:asciiTheme="majorEastAsia" w:hAnsiTheme="majorEastAsia" w:eastAsiaTheme="majorEastAsia"/>
                <w:color w:val="auto"/>
                <w:kern w:val="0"/>
                <w:sz w:val="24"/>
                <w:highlight w:val="none"/>
              </w:rPr>
            </w:pPr>
          </w:p>
        </w:tc>
      </w:tr>
      <w:tr w14:paraId="29B8AF17">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623484C0">
            <w:pPr>
              <w:pStyle w:val="2"/>
              <w:shd w:val="clear"/>
              <w:ind w:firstLine="0" w:firstLineChars="0"/>
              <w:jc w:val="left"/>
              <w:rPr>
                <w:rFonts w:cs="仿宋" w:asciiTheme="majorEastAsia" w:hAnsiTheme="majorEastAsia" w:eastAsiaTheme="majorEastAsia"/>
                <w:color w:val="auto"/>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1604A965">
            <w:pPr>
              <w:pStyle w:val="2"/>
              <w:shd w:val="clear"/>
              <w:ind w:firstLine="0" w:firstLineChars="0"/>
              <w:jc w:val="left"/>
              <w:rPr>
                <w:rFonts w:cs="仿宋" w:asciiTheme="majorEastAsia" w:hAnsiTheme="majorEastAsia" w:eastAsiaTheme="majorEastAsia"/>
                <w:color w:val="auto"/>
                <w:kern w:val="0"/>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62D6F93C">
            <w:pPr>
              <w:pStyle w:val="2"/>
              <w:shd w:val="clear"/>
              <w:ind w:firstLine="0" w:firstLineChars="0"/>
              <w:jc w:val="left"/>
              <w:rPr>
                <w:rFonts w:cs="仿宋" w:asciiTheme="majorEastAsia" w:hAnsiTheme="majorEastAsia" w:eastAsiaTheme="majorEastAsia"/>
                <w:color w:val="auto"/>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0DBEB965">
            <w:pPr>
              <w:pStyle w:val="2"/>
              <w:shd w:val="clear"/>
              <w:ind w:firstLine="0" w:firstLineChars="0"/>
              <w:jc w:val="left"/>
              <w:rPr>
                <w:rFonts w:cs="仿宋" w:asciiTheme="majorEastAsia" w:hAnsiTheme="majorEastAsia" w:eastAsiaTheme="majorEastAsia"/>
                <w:color w:val="auto"/>
                <w:kern w:val="0"/>
                <w:sz w:val="24"/>
                <w:highlight w:val="none"/>
              </w:rPr>
            </w:pPr>
          </w:p>
        </w:tc>
      </w:tr>
      <w:tr w14:paraId="5549E9DB">
        <w:tblPrEx>
          <w:tblCellMar>
            <w:top w:w="0" w:type="dxa"/>
            <w:left w:w="108" w:type="dxa"/>
            <w:bottom w:w="0" w:type="dxa"/>
            <w:right w:w="108" w:type="dxa"/>
          </w:tblCellMar>
        </w:tblPrEx>
        <w:trPr>
          <w:trHeight w:val="54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05708A76">
            <w:pPr>
              <w:pStyle w:val="2"/>
              <w:shd w:val="clear"/>
              <w:ind w:firstLine="0" w:firstLineChars="0"/>
              <w:jc w:val="left"/>
              <w:rPr>
                <w:rFonts w:cs="仿宋" w:asciiTheme="majorEastAsia" w:hAnsiTheme="majorEastAsia" w:eastAsiaTheme="majorEastAsia"/>
                <w:color w:val="auto"/>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7C009B1D">
            <w:pPr>
              <w:pStyle w:val="2"/>
              <w:shd w:val="clear"/>
              <w:ind w:firstLine="0" w:firstLineChars="0"/>
              <w:jc w:val="left"/>
              <w:rPr>
                <w:rFonts w:cs="仿宋" w:asciiTheme="majorEastAsia" w:hAnsiTheme="majorEastAsia" w:eastAsiaTheme="majorEastAsia"/>
                <w:color w:val="auto"/>
                <w:kern w:val="0"/>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75CFC37C">
            <w:pPr>
              <w:pStyle w:val="2"/>
              <w:shd w:val="clear"/>
              <w:ind w:firstLine="0" w:firstLineChars="0"/>
              <w:jc w:val="left"/>
              <w:rPr>
                <w:rFonts w:cs="仿宋" w:asciiTheme="majorEastAsia" w:hAnsiTheme="majorEastAsia" w:eastAsiaTheme="majorEastAsia"/>
                <w:color w:val="auto"/>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18138300">
            <w:pPr>
              <w:pStyle w:val="2"/>
              <w:shd w:val="clear"/>
              <w:ind w:firstLine="0" w:firstLineChars="0"/>
              <w:jc w:val="left"/>
              <w:rPr>
                <w:rFonts w:cs="仿宋" w:asciiTheme="majorEastAsia" w:hAnsiTheme="majorEastAsia" w:eastAsiaTheme="majorEastAsia"/>
                <w:color w:val="auto"/>
                <w:kern w:val="0"/>
                <w:sz w:val="24"/>
                <w:highlight w:val="none"/>
              </w:rPr>
            </w:pPr>
          </w:p>
        </w:tc>
      </w:tr>
      <w:tr w14:paraId="1645B364">
        <w:tblPrEx>
          <w:tblCellMar>
            <w:top w:w="0" w:type="dxa"/>
            <w:left w:w="108" w:type="dxa"/>
            <w:bottom w:w="0" w:type="dxa"/>
            <w:right w:w="108" w:type="dxa"/>
          </w:tblCellMar>
        </w:tblPrEx>
        <w:trPr>
          <w:trHeight w:val="666"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0A2FDEEA">
            <w:pPr>
              <w:pStyle w:val="2"/>
              <w:shd w:val="clear"/>
              <w:ind w:firstLine="0" w:firstLineChars="0"/>
              <w:jc w:val="left"/>
              <w:rPr>
                <w:rFonts w:cs="仿宋" w:asciiTheme="majorEastAsia" w:hAnsiTheme="majorEastAsia" w:eastAsiaTheme="majorEastAsia"/>
                <w:color w:val="auto"/>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3B3D938F">
            <w:pPr>
              <w:pStyle w:val="2"/>
              <w:shd w:val="clear"/>
              <w:ind w:firstLine="0" w:firstLineChars="0"/>
              <w:jc w:val="left"/>
              <w:rPr>
                <w:rFonts w:cs="仿宋" w:asciiTheme="majorEastAsia" w:hAnsiTheme="majorEastAsia" w:eastAsiaTheme="majorEastAsia"/>
                <w:color w:val="auto"/>
                <w:kern w:val="0"/>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498ACAEF">
            <w:pPr>
              <w:pStyle w:val="2"/>
              <w:shd w:val="clear"/>
              <w:ind w:firstLine="0" w:firstLineChars="0"/>
              <w:jc w:val="left"/>
              <w:rPr>
                <w:rFonts w:cs="仿宋" w:asciiTheme="majorEastAsia" w:hAnsiTheme="majorEastAsia" w:eastAsiaTheme="majorEastAsia"/>
                <w:color w:val="auto"/>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2C4BDD9A">
            <w:pPr>
              <w:pStyle w:val="2"/>
              <w:shd w:val="clear"/>
              <w:ind w:firstLine="0" w:firstLineChars="0"/>
              <w:jc w:val="left"/>
              <w:rPr>
                <w:rFonts w:cs="仿宋" w:asciiTheme="majorEastAsia" w:hAnsiTheme="majorEastAsia" w:eastAsiaTheme="majorEastAsia"/>
                <w:color w:val="auto"/>
                <w:kern w:val="0"/>
                <w:sz w:val="24"/>
                <w:highlight w:val="none"/>
              </w:rPr>
            </w:pPr>
          </w:p>
        </w:tc>
      </w:tr>
      <w:tr w14:paraId="05F38FEC">
        <w:tblPrEx>
          <w:tblCellMar>
            <w:top w:w="0" w:type="dxa"/>
            <w:left w:w="108" w:type="dxa"/>
            <w:bottom w:w="0" w:type="dxa"/>
            <w:right w:w="108" w:type="dxa"/>
          </w:tblCellMar>
        </w:tblPrEx>
        <w:tc>
          <w:tcPr>
            <w:tcW w:w="398" w:type="pct"/>
            <w:tcBorders>
              <w:top w:val="single" w:color="000000" w:sz="4" w:space="0"/>
              <w:left w:val="single" w:color="000000" w:sz="4" w:space="0"/>
              <w:bottom w:val="single" w:color="000000" w:sz="4" w:space="0"/>
              <w:right w:val="single" w:color="000000" w:sz="4" w:space="0"/>
            </w:tcBorders>
            <w:vAlign w:val="center"/>
          </w:tcPr>
          <w:p w14:paraId="5B83C698">
            <w:pPr>
              <w:pStyle w:val="2"/>
              <w:shd w:val="clear"/>
              <w:ind w:firstLine="0" w:firstLineChars="0"/>
              <w:jc w:val="left"/>
              <w:rPr>
                <w:rFonts w:cs="仿宋" w:asciiTheme="majorEastAsia" w:hAnsiTheme="majorEastAsia" w:eastAsiaTheme="majorEastAsia"/>
                <w:color w:val="auto"/>
                <w:kern w:val="0"/>
                <w:sz w:val="24"/>
                <w:highlight w:val="none"/>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0E9797F6">
            <w:pPr>
              <w:pStyle w:val="2"/>
              <w:shd w:val="clear"/>
              <w:ind w:firstLine="0" w:firstLineChars="0"/>
              <w:jc w:val="left"/>
              <w:rPr>
                <w:rFonts w:cs="仿宋" w:asciiTheme="majorEastAsia" w:hAnsiTheme="majorEastAsia" w:eastAsiaTheme="majorEastAsia"/>
                <w:color w:val="auto"/>
                <w:kern w:val="0"/>
                <w:sz w:val="24"/>
                <w:highlight w:val="none"/>
              </w:rPr>
            </w:pPr>
          </w:p>
        </w:tc>
        <w:tc>
          <w:tcPr>
            <w:tcW w:w="664" w:type="pct"/>
            <w:tcBorders>
              <w:top w:val="single" w:color="000000" w:sz="4" w:space="0"/>
              <w:left w:val="single" w:color="000000" w:sz="4" w:space="0"/>
              <w:bottom w:val="single" w:color="000000" w:sz="4" w:space="0"/>
              <w:right w:val="single" w:color="000000" w:sz="4" w:space="0"/>
            </w:tcBorders>
          </w:tcPr>
          <w:p w14:paraId="0048D73B">
            <w:pPr>
              <w:pStyle w:val="2"/>
              <w:shd w:val="clear"/>
              <w:ind w:firstLine="0" w:firstLineChars="0"/>
              <w:jc w:val="left"/>
              <w:rPr>
                <w:rFonts w:cs="仿宋" w:asciiTheme="majorEastAsia" w:hAnsiTheme="majorEastAsia" w:eastAsiaTheme="majorEastAsia"/>
                <w:color w:val="auto"/>
                <w:kern w:val="0"/>
                <w:sz w:val="24"/>
                <w:highlight w:val="none"/>
              </w:rPr>
            </w:pPr>
          </w:p>
        </w:tc>
        <w:tc>
          <w:tcPr>
            <w:tcW w:w="738" w:type="pct"/>
            <w:tcBorders>
              <w:top w:val="single" w:color="000000" w:sz="4" w:space="0"/>
              <w:left w:val="single" w:color="000000" w:sz="4" w:space="0"/>
              <w:bottom w:val="single" w:color="000000" w:sz="4" w:space="0"/>
              <w:right w:val="single" w:color="000000" w:sz="4" w:space="0"/>
            </w:tcBorders>
          </w:tcPr>
          <w:p w14:paraId="3A807A8A">
            <w:pPr>
              <w:pStyle w:val="2"/>
              <w:shd w:val="clear"/>
              <w:ind w:firstLine="0" w:firstLineChars="0"/>
              <w:jc w:val="left"/>
              <w:rPr>
                <w:rFonts w:cs="仿宋" w:asciiTheme="majorEastAsia" w:hAnsiTheme="majorEastAsia" w:eastAsiaTheme="majorEastAsia"/>
                <w:color w:val="auto"/>
                <w:kern w:val="0"/>
                <w:sz w:val="24"/>
                <w:highlight w:val="none"/>
              </w:rPr>
            </w:pPr>
          </w:p>
        </w:tc>
      </w:tr>
    </w:tbl>
    <w:p w14:paraId="7595DACC">
      <w:pPr>
        <w:shd w:val="clear"/>
        <w:adjustRightInd w:val="0"/>
        <w:snapToGrid w:val="0"/>
        <w:spacing w:line="360" w:lineRule="auto"/>
        <w:jc w:val="right"/>
        <w:rPr>
          <w:rFonts w:cs="仿宋" w:asciiTheme="majorEastAsia" w:hAnsiTheme="majorEastAsia" w:eastAsiaTheme="majorEastAsia"/>
          <w:color w:val="auto"/>
          <w:kern w:val="0"/>
          <w:sz w:val="24"/>
          <w:highlight w:val="none"/>
        </w:rPr>
      </w:pPr>
    </w:p>
    <w:p w14:paraId="0DE717C2">
      <w:pPr>
        <w:shd w:val="clear"/>
        <w:adjustRightInd w:val="0"/>
        <w:snapToGrid w:val="0"/>
        <w:spacing w:line="360" w:lineRule="auto"/>
        <w:jc w:val="right"/>
        <w:rPr>
          <w:rFonts w:cs="仿宋" w:asciiTheme="majorEastAsia" w:hAnsiTheme="majorEastAsia" w:eastAsiaTheme="majorEastAsia"/>
          <w:color w:val="auto"/>
          <w:kern w:val="0"/>
          <w:sz w:val="24"/>
          <w:highlight w:val="none"/>
        </w:rPr>
      </w:pPr>
    </w:p>
    <w:p w14:paraId="7C3BED93">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3D8318B2">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14EBAAD9">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67E6EC40">
      <w:pPr>
        <w:widowControl/>
        <w:shd w:val="clear"/>
        <w:jc w:val="left"/>
        <w:rPr>
          <w:rFonts w:asciiTheme="majorEastAsia" w:hAnsiTheme="majorEastAsia" w:eastAsiaTheme="majorEastAsia"/>
          <w:color w:val="auto"/>
          <w:sz w:val="28"/>
          <w:highlight w:val="none"/>
          <w:lang w:val="zh-CN"/>
        </w:rPr>
      </w:pPr>
    </w:p>
    <w:p w14:paraId="6EC3B076">
      <w:pPr>
        <w:widowControl/>
        <w:shd w:val="clear"/>
        <w:jc w:val="left"/>
        <w:rPr>
          <w:rFonts w:asciiTheme="majorEastAsia" w:hAnsiTheme="majorEastAsia" w:eastAsiaTheme="majorEastAsia"/>
          <w:color w:val="auto"/>
          <w:sz w:val="28"/>
          <w:highlight w:val="none"/>
          <w:lang w:val="zh-CN"/>
        </w:rPr>
      </w:pPr>
      <w:r>
        <w:rPr>
          <w:rFonts w:asciiTheme="majorEastAsia" w:hAnsiTheme="majorEastAsia" w:eastAsiaTheme="majorEastAsia"/>
          <w:color w:val="auto"/>
          <w:highlight w:val="none"/>
          <w:lang w:val="zh-CN"/>
        </w:rPr>
        <w:br w:type="page"/>
      </w:r>
    </w:p>
    <w:p w14:paraId="0422DF70">
      <w:pPr>
        <w:pStyle w:val="2"/>
        <w:shd w:val="clear"/>
        <w:ind w:firstLine="560"/>
        <w:rPr>
          <w:rFonts w:asciiTheme="majorEastAsia" w:hAnsiTheme="majorEastAsia" w:eastAsiaTheme="majorEastAsia"/>
          <w:color w:val="auto"/>
          <w:highlight w:val="none"/>
          <w:lang w:val="zh-CN"/>
        </w:rPr>
      </w:pPr>
    </w:p>
    <w:p w14:paraId="09F51344">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rPr>
        <w:t>服务</w:t>
      </w:r>
      <w:r>
        <w:rPr>
          <w:rFonts w:hint="eastAsia" w:cs="仿宋" w:asciiTheme="majorEastAsia" w:hAnsiTheme="majorEastAsia" w:eastAsiaTheme="majorEastAsia"/>
          <w:b/>
          <w:color w:val="auto"/>
          <w:kern w:val="0"/>
          <w:sz w:val="32"/>
          <w:szCs w:val="32"/>
          <w:highlight w:val="none"/>
          <w:lang w:val="zh-CN"/>
        </w:rPr>
        <w:t>响应表</w:t>
      </w:r>
    </w:p>
    <w:p w14:paraId="535158AD">
      <w:pPr>
        <w:shd w:val="clear"/>
        <w:ind w:firstLine="210" w:firstLineChars="100"/>
        <w:rPr>
          <w:rFonts w:ascii="宋体" w:hAnsi="宋体" w:cs="宋体"/>
          <w:color w:val="auto"/>
          <w:highlight w:val="none"/>
        </w:rPr>
      </w:pPr>
      <w:r>
        <w:rPr>
          <w:rFonts w:hint="eastAsia" w:ascii="宋体" w:hAnsi="宋体" w:cs="宋体"/>
          <w:color w:val="auto"/>
          <w:highlight w:val="none"/>
        </w:rPr>
        <w:t xml:space="preserve">项目名称：       </w:t>
      </w:r>
    </w:p>
    <w:tbl>
      <w:tblPr>
        <w:tblStyle w:val="18"/>
        <w:tblW w:w="95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44"/>
        <w:gridCol w:w="2985"/>
        <w:gridCol w:w="2925"/>
      </w:tblGrid>
      <w:tr w14:paraId="2573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09" w:type="dxa"/>
            <w:noWrap w:val="0"/>
            <w:vAlign w:val="center"/>
          </w:tcPr>
          <w:p w14:paraId="7C3F7C99">
            <w:pPr>
              <w:shd w:val="clea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944" w:type="dxa"/>
            <w:noWrap w:val="0"/>
            <w:vAlign w:val="center"/>
          </w:tcPr>
          <w:p w14:paraId="41537E8F">
            <w:pPr>
              <w:shd w:val="clea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985" w:type="dxa"/>
            <w:noWrap w:val="0"/>
            <w:vAlign w:val="center"/>
          </w:tcPr>
          <w:p w14:paraId="4E684A31">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925" w:type="dxa"/>
            <w:noWrap w:val="0"/>
            <w:vAlign w:val="center"/>
          </w:tcPr>
          <w:p w14:paraId="0ED46A07">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041E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trPr>
        <w:tc>
          <w:tcPr>
            <w:tcW w:w="709" w:type="dxa"/>
            <w:noWrap w:val="0"/>
            <w:vAlign w:val="center"/>
          </w:tcPr>
          <w:p w14:paraId="016A47B1">
            <w:pPr>
              <w:shd w:val="clear"/>
              <w:jc w:val="center"/>
              <w:rPr>
                <w:rFonts w:hint="eastAsia" w:ascii="宋体" w:hAnsi="宋体" w:cs="宋体"/>
                <w:color w:val="auto"/>
                <w:sz w:val="28"/>
                <w:szCs w:val="36"/>
                <w:highlight w:val="none"/>
              </w:rPr>
            </w:pPr>
            <w:r>
              <w:rPr>
                <w:rFonts w:hint="eastAsia" w:ascii="宋体" w:hAnsi="宋体" w:cs="宋体"/>
                <w:color w:val="auto"/>
                <w:sz w:val="28"/>
                <w:szCs w:val="36"/>
                <w:highlight w:val="none"/>
              </w:rPr>
              <w:t>1</w:t>
            </w:r>
          </w:p>
        </w:tc>
        <w:tc>
          <w:tcPr>
            <w:tcW w:w="2944" w:type="dxa"/>
            <w:noWrap w:val="0"/>
            <w:vAlign w:val="center"/>
          </w:tcPr>
          <w:p w14:paraId="243BD9C4">
            <w:pPr>
              <w:shd w:val="clear"/>
              <w:ind w:firstLine="0" w:firstLineChars="0"/>
              <w:jc w:val="left"/>
              <w:rPr>
                <w:rFonts w:ascii="宋体" w:hAnsi="宋体" w:cs="宋体"/>
                <w:color w:val="auto"/>
                <w:sz w:val="28"/>
                <w:szCs w:val="36"/>
                <w:highlight w:val="none"/>
              </w:rPr>
            </w:pPr>
            <w:r>
              <w:rPr>
                <w:rFonts w:hint="eastAsia" w:ascii="宋体" w:hAnsi="宋体" w:cs="宋体"/>
                <w:color w:val="auto"/>
                <w:sz w:val="21"/>
                <w:szCs w:val="24"/>
                <w:highlight w:val="none"/>
              </w:rPr>
              <w:t>第三部分 采购需求所有条款</w:t>
            </w:r>
          </w:p>
        </w:tc>
        <w:tc>
          <w:tcPr>
            <w:tcW w:w="2985" w:type="dxa"/>
            <w:noWrap w:val="0"/>
            <w:vAlign w:val="center"/>
          </w:tcPr>
          <w:p w14:paraId="550E6B71">
            <w:pPr>
              <w:shd w:val="clear"/>
              <w:jc w:val="center"/>
              <w:rPr>
                <w:rFonts w:ascii="宋体" w:hAnsi="宋体" w:cs="宋体"/>
                <w:color w:val="auto"/>
                <w:sz w:val="28"/>
                <w:szCs w:val="36"/>
                <w:highlight w:val="none"/>
              </w:rPr>
            </w:pPr>
          </w:p>
        </w:tc>
        <w:tc>
          <w:tcPr>
            <w:tcW w:w="2925" w:type="dxa"/>
            <w:noWrap w:val="0"/>
            <w:vAlign w:val="top"/>
          </w:tcPr>
          <w:p w14:paraId="7B828300">
            <w:pPr>
              <w:shd w:val="clear"/>
              <w:rPr>
                <w:rFonts w:ascii="宋体" w:hAnsi="宋体" w:cs="宋体"/>
                <w:color w:val="auto"/>
                <w:highlight w:val="none"/>
              </w:rPr>
            </w:pPr>
          </w:p>
        </w:tc>
      </w:tr>
    </w:tbl>
    <w:p w14:paraId="2891C149">
      <w:pPr>
        <w:shd w:val="clear"/>
        <w:spacing w:line="360" w:lineRule="auto"/>
        <w:ind w:firstLine="210" w:firstLineChars="100"/>
        <w:rPr>
          <w:rFonts w:ascii="宋体" w:hAnsi="宋体" w:cs="宋体"/>
          <w:color w:val="auto"/>
          <w:highlight w:val="none"/>
        </w:rPr>
      </w:pPr>
      <w:r>
        <w:rPr>
          <w:rFonts w:hint="eastAsia" w:ascii="宋体" w:hAnsi="宋体" w:cs="宋体"/>
          <w:color w:val="auto"/>
          <w:highlight w:val="none"/>
        </w:rPr>
        <w:t>注：1、投标人完全满足招标文件全部要求的应在“投标人响应描述”中填写“完全响应”。</w:t>
      </w:r>
      <w:r>
        <w:rPr>
          <w:rFonts w:hint="eastAsia" w:ascii="宋体" w:hAnsi="宋体" w:cs="宋体"/>
          <w:b/>
          <w:bCs/>
          <w:color w:val="auto"/>
          <w:highlight w:val="none"/>
        </w:rPr>
        <w:t>采购需求中如要求提供相关证明资料的，投标人需根据要求提供相关证明材料，未提供或提供不满足的视为负偏离。</w:t>
      </w:r>
    </w:p>
    <w:p w14:paraId="6589F479">
      <w:pPr>
        <w:shd w:val="clear"/>
        <w:spacing w:line="360" w:lineRule="auto"/>
        <w:ind w:firstLine="210" w:firstLineChars="100"/>
        <w:rPr>
          <w:rFonts w:hint="eastAsia" w:ascii="宋体" w:hAnsi="宋体" w:cs="宋体"/>
          <w:color w:val="auto"/>
          <w:highlight w:val="none"/>
        </w:rPr>
      </w:pPr>
      <w:r>
        <w:rPr>
          <w:rFonts w:hint="eastAsia" w:ascii="宋体" w:hAnsi="宋体" w:cs="宋体"/>
          <w:color w:val="auto"/>
          <w:highlight w:val="none"/>
        </w:rPr>
        <w:t>2、投标文件响应内容对招标文件要求如有任何偏离（包括正偏离及负偏离）均应汇总并逐条填写在此表“差异”中，未填写部分视作完全响应招标文件要求。</w:t>
      </w:r>
    </w:p>
    <w:p w14:paraId="0F76EDA7">
      <w:pPr>
        <w:shd w:val="clear"/>
        <w:spacing w:line="360" w:lineRule="auto"/>
        <w:ind w:firstLine="3360" w:firstLineChars="1600"/>
        <w:rPr>
          <w:rFonts w:ascii="宋体" w:hAnsi="宋体" w:cs="宋体"/>
          <w:color w:val="auto"/>
          <w:highlight w:val="none"/>
        </w:rPr>
      </w:pPr>
      <w:r>
        <w:rPr>
          <w:rFonts w:hint="eastAsia" w:ascii="宋体" w:hAnsi="宋体" w:cs="宋体"/>
          <w:color w:val="auto"/>
          <w:highlight w:val="none"/>
        </w:rPr>
        <w:t>法定代表人或其授权委托人（签名或印章）：</w:t>
      </w:r>
    </w:p>
    <w:p w14:paraId="0A91EE80">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7528BF53">
      <w:pPr>
        <w:shd w:val="clear"/>
        <w:spacing w:line="360" w:lineRule="auto"/>
        <w:rPr>
          <w:rFonts w:ascii="宋体" w:hAnsi="宋体" w:cs="宋体"/>
          <w:color w:val="auto"/>
          <w:sz w:val="24"/>
          <w:highlight w:val="none"/>
        </w:rPr>
      </w:pPr>
      <w:r>
        <w:rPr>
          <w:rFonts w:hint="eastAsia" w:ascii="宋体" w:hAnsi="宋体" w:cs="宋体"/>
          <w:color w:val="auto"/>
          <w:highlight w:val="none"/>
        </w:rPr>
        <w:t xml:space="preserve">                                              日期：</w:t>
      </w:r>
    </w:p>
    <w:p w14:paraId="5A91DE4D">
      <w:pPr>
        <w:pStyle w:val="2"/>
        <w:shd w:val="clear"/>
        <w:ind w:firstLine="560"/>
        <w:rPr>
          <w:color w:val="auto"/>
          <w:highlight w:val="none"/>
        </w:rPr>
      </w:pPr>
    </w:p>
    <w:p w14:paraId="51D5BCB2">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同类业绩情况一览表</w:t>
      </w:r>
    </w:p>
    <w:p w14:paraId="259D46D8">
      <w:pPr>
        <w:shd w:val="clear"/>
        <w:spacing w:line="360" w:lineRule="auto"/>
        <w:jc w:val="center"/>
        <w:rPr>
          <w:rFonts w:cs="仿宋" w:asciiTheme="majorEastAsia" w:hAnsiTheme="majorEastAsia" w:eastAsiaTheme="majorEastAsia"/>
          <w:color w:val="auto"/>
          <w:highlight w:val="none"/>
        </w:rPr>
      </w:pPr>
    </w:p>
    <w:tbl>
      <w:tblPr>
        <w:tblStyle w:val="18"/>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209FC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556BAF02">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4915CA8B">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采购单位名称</w:t>
            </w:r>
          </w:p>
        </w:tc>
        <w:tc>
          <w:tcPr>
            <w:tcW w:w="1732" w:type="dxa"/>
            <w:tcBorders>
              <w:top w:val="single" w:color="auto" w:sz="4" w:space="0"/>
              <w:left w:val="single" w:color="auto" w:sz="4" w:space="0"/>
              <w:right w:val="single" w:color="auto" w:sz="4" w:space="0"/>
            </w:tcBorders>
            <w:vAlign w:val="center"/>
          </w:tcPr>
          <w:p w14:paraId="69DC9824">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2EDFEFE3">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合同金额</w:t>
            </w:r>
          </w:p>
          <w:p w14:paraId="09C78242">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3F82D942">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51A2A016">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合同签订时间</w:t>
            </w:r>
          </w:p>
        </w:tc>
      </w:tr>
      <w:tr w14:paraId="57B2E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2E7F72C2">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71B66F3F">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217A4919">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01B3B0AA">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E7AC87A">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44374D1B">
            <w:pPr>
              <w:shd w:val="clear"/>
              <w:spacing w:line="360" w:lineRule="auto"/>
              <w:jc w:val="left"/>
              <w:rPr>
                <w:rFonts w:cs="仿宋" w:asciiTheme="majorEastAsia" w:hAnsiTheme="majorEastAsia" w:eastAsiaTheme="majorEastAsia"/>
                <w:color w:val="auto"/>
                <w:kern w:val="0"/>
                <w:sz w:val="24"/>
                <w:highlight w:val="none"/>
              </w:rPr>
            </w:pPr>
          </w:p>
        </w:tc>
      </w:tr>
      <w:tr w14:paraId="3A408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BF5CEFA">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7D37F81A">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0A4313A5">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07B53B2C">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93AB8D3">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515EE8B">
            <w:pPr>
              <w:shd w:val="clear"/>
              <w:spacing w:line="360" w:lineRule="auto"/>
              <w:jc w:val="left"/>
              <w:rPr>
                <w:rFonts w:cs="仿宋" w:asciiTheme="majorEastAsia" w:hAnsiTheme="majorEastAsia" w:eastAsiaTheme="majorEastAsia"/>
                <w:color w:val="auto"/>
                <w:kern w:val="0"/>
                <w:sz w:val="24"/>
                <w:highlight w:val="none"/>
              </w:rPr>
            </w:pPr>
          </w:p>
        </w:tc>
      </w:tr>
      <w:tr w14:paraId="6D2E8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63B448F9">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200637F6">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520F98EB">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47252AD1">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1DC785C2">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6941A4B">
            <w:pPr>
              <w:shd w:val="clear"/>
              <w:spacing w:line="360" w:lineRule="auto"/>
              <w:jc w:val="left"/>
              <w:rPr>
                <w:rFonts w:cs="仿宋" w:asciiTheme="majorEastAsia" w:hAnsiTheme="majorEastAsia" w:eastAsiaTheme="majorEastAsia"/>
                <w:color w:val="auto"/>
                <w:kern w:val="0"/>
                <w:sz w:val="24"/>
                <w:highlight w:val="none"/>
              </w:rPr>
            </w:pPr>
          </w:p>
        </w:tc>
      </w:tr>
      <w:tr w14:paraId="03416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75200754">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14D31860">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6C883513">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29D84B3C">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339EC05">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052ADEB">
            <w:pPr>
              <w:shd w:val="clear"/>
              <w:spacing w:line="360" w:lineRule="auto"/>
              <w:jc w:val="left"/>
              <w:rPr>
                <w:rFonts w:cs="仿宋" w:asciiTheme="majorEastAsia" w:hAnsiTheme="majorEastAsia" w:eastAsiaTheme="majorEastAsia"/>
                <w:color w:val="auto"/>
                <w:kern w:val="0"/>
                <w:sz w:val="24"/>
                <w:highlight w:val="none"/>
              </w:rPr>
            </w:pPr>
          </w:p>
        </w:tc>
      </w:tr>
      <w:tr w14:paraId="303E7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4CDDE6D3">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2A317509">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544E1A32">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47DD8C93">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DEB22E1">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93BB415">
            <w:pPr>
              <w:shd w:val="clear"/>
              <w:spacing w:line="360" w:lineRule="auto"/>
              <w:jc w:val="left"/>
              <w:rPr>
                <w:rFonts w:cs="仿宋" w:asciiTheme="majorEastAsia" w:hAnsiTheme="majorEastAsia" w:eastAsiaTheme="majorEastAsia"/>
                <w:color w:val="auto"/>
                <w:kern w:val="0"/>
                <w:sz w:val="24"/>
                <w:highlight w:val="none"/>
              </w:rPr>
            </w:pPr>
          </w:p>
        </w:tc>
      </w:tr>
    </w:tbl>
    <w:p w14:paraId="0F195827">
      <w:pPr>
        <w:shd w:val="clear"/>
        <w:spacing w:line="360" w:lineRule="auto"/>
        <w:jc w:val="left"/>
        <w:rPr>
          <w:rFonts w:cs="仿宋" w:asciiTheme="majorEastAsia" w:hAnsiTheme="majorEastAsia" w:eastAsiaTheme="majorEastAsia"/>
          <w:color w:val="auto"/>
          <w:kern w:val="0"/>
          <w:sz w:val="24"/>
          <w:highlight w:val="none"/>
        </w:rPr>
      </w:pPr>
    </w:p>
    <w:p w14:paraId="01AE1803">
      <w:pPr>
        <w:shd w:val="clear"/>
        <w:spacing w:line="360" w:lineRule="auto"/>
        <w:jc w:val="left"/>
        <w:rPr>
          <w:rFonts w:cs="仿宋" w:asciiTheme="majorEastAsia" w:hAnsiTheme="majorEastAsia" w:eastAsiaTheme="majorEastAsia"/>
          <w:color w:val="auto"/>
          <w:kern w:val="0"/>
          <w:sz w:val="24"/>
          <w:highlight w:val="none"/>
        </w:rPr>
      </w:pPr>
    </w:p>
    <w:p w14:paraId="296B240C">
      <w:pPr>
        <w:shd w:val="clear"/>
        <w:spacing w:line="360" w:lineRule="auto"/>
        <w:jc w:val="left"/>
        <w:rPr>
          <w:rFonts w:cs="仿宋" w:asciiTheme="majorEastAsia" w:hAnsiTheme="majorEastAsia" w:eastAsiaTheme="majorEastAsia"/>
          <w:color w:val="auto"/>
          <w:kern w:val="0"/>
          <w:sz w:val="24"/>
          <w:highlight w:val="none"/>
        </w:rPr>
      </w:pPr>
    </w:p>
    <w:p w14:paraId="6AB800AA">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0C92CD37">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237BF51F">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1FCB435C">
      <w:pPr>
        <w:shd w:val="clear"/>
        <w:spacing w:line="360" w:lineRule="auto"/>
        <w:ind w:left="4620" w:leftChars="2200"/>
        <w:jc w:val="left"/>
        <w:rPr>
          <w:rFonts w:cs="仿宋" w:asciiTheme="majorEastAsia" w:hAnsiTheme="majorEastAsia" w:eastAsiaTheme="majorEastAsia"/>
          <w:b/>
          <w:color w:val="auto"/>
          <w:kern w:val="0"/>
          <w:sz w:val="32"/>
          <w:szCs w:val="32"/>
          <w:highlight w:val="none"/>
          <w:lang w:val="zh-CN"/>
        </w:rPr>
      </w:pPr>
      <w:r>
        <w:rPr>
          <w:rFonts w:cs="仿宋" w:asciiTheme="majorEastAsia" w:hAnsiTheme="majorEastAsia" w:eastAsiaTheme="majorEastAsia"/>
          <w:b/>
          <w:color w:val="auto"/>
          <w:kern w:val="0"/>
          <w:sz w:val="32"/>
          <w:szCs w:val="32"/>
          <w:highlight w:val="none"/>
          <w:lang w:val="zh-CN"/>
        </w:rPr>
        <w:br w:type="page"/>
      </w:r>
    </w:p>
    <w:p w14:paraId="7CB8AE30">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项目实施人员一览表</w:t>
      </w:r>
    </w:p>
    <w:p w14:paraId="6FF810A3">
      <w:pPr>
        <w:pStyle w:val="11"/>
        <w:shd w:val="clear"/>
        <w:ind w:left="632" w:hanging="632" w:hangingChars="300"/>
        <w:rPr>
          <w:rFonts w:hAnsi="宋体"/>
          <w:b/>
          <w:color w:val="auto"/>
          <w:highlight w:val="none"/>
        </w:rPr>
      </w:pPr>
      <w:r>
        <w:rPr>
          <w:rFonts w:hint="eastAsia" w:hAnsi="宋体"/>
          <w:b/>
          <w:color w:val="auto"/>
          <w:highlight w:val="none"/>
        </w:rPr>
        <w:t>项目名称：                                            项目编号：</w:t>
      </w:r>
    </w:p>
    <w:p w14:paraId="10AFFCA1">
      <w:pPr>
        <w:shd w:val="clear"/>
        <w:jc w:val="left"/>
        <w:rPr>
          <w:rFonts w:ascii="仿宋_GB2312" w:hAnsi="仿宋" w:eastAsia="仿宋_GB2312" w:cs="仿宋"/>
          <w:b/>
          <w:color w:val="auto"/>
          <w:sz w:val="24"/>
          <w:highlight w:val="none"/>
        </w:rPr>
      </w:pPr>
    </w:p>
    <w:p w14:paraId="1DAEEAB0">
      <w:pPr>
        <w:shd w:val="clear"/>
        <w:jc w:val="left"/>
        <w:rPr>
          <w:rFonts w:hAnsi="宋体"/>
          <w:b/>
          <w:color w:val="auto"/>
          <w:szCs w:val="21"/>
          <w:highlight w:val="none"/>
        </w:rPr>
      </w:pPr>
      <w:r>
        <w:rPr>
          <w:rFonts w:hint="eastAsia" w:ascii="仿宋_GB2312" w:hAnsi="仿宋" w:eastAsia="仿宋_GB2312" w:cs="仿宋"/>
          <w:b/>
          <w:color w:val="auto"/>
          <w:sz w:val="24"/>
          <w:highlight w:val="none"/>
        </w:rPr>
        <w:t>附表A:本项目的项目负责人情况表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14:paraId="0473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12" w:space="0"/>
              <w:left w:val="single" w:color="auto" w:sz="12" w:space="0"/>
              <w:bottom w:val="single" w:color="auto" w:sz="6" w:space="0"/>
              <w:right w:val="single" w:color="auto" w:sz="6" w:space="0"/>
            </w:tcBorders>
            <w:vAlign w:val="center"/>
          </w:tcPr>
          <w:p w14:paraId="0130D9E0">
            <w:pPr>
              <w:pStyle w:val="11"/>
              <w:shd w:val="clear"/>
              <w:ind w:left="630" w:hanging="630" w:hangingChars="300"/>
              <w:jc w:val="center"/>
              <w:rPr>
                <w:rFonts w:hAnsi="宋体"/>
                <w:color w:val="auto"/>
                <w:highlight w:val="none"/>
              </w:rPr>
            </w:pPr>
            <w:r>
              <w:rPr>
                <w:rFonts w:hint="eastAsia" w:hAnsi="宋体"/>
                <w:color w:val="auto"/>
                <w:highlight w:val="none"/>
              </w:rPr>
              <w:t>姓 名</w:t>
            </w:r>
          </w:p>
        </w:tc>
        <w:tc>
          <w:tcPr>
            <w:tcW w:w="1652" w:type="dxa"/>
            <w:tcBorders>
              <w:top w:val="single" w:color="auto" w:sz="12" w:space="0"/>
              <w:left w:val="single" w:color="auto" w:sz="6" w:space="0"/>
              <w:bottom w:val="single" w:color="auto" w:sz="6" w:space="0"/>
              <w:right w:val="single" w:color="auto" w:sz="6" w:space="0"/>
            </w:tcBorders>
            <w:vAlign w:val="center"/>
          </w:tcPr>
          <w:p w14:paraId="06DA1165">
            <w:pPr>
              <w:pStyle w:val="11"/>
              <w:shd w:val="clear"/>
              <w:ind w:left="630" w:hanging="630" w:hangingChars="300"/>
              <w:jc w:val="center"/>
              <w:rPr>
                <w:rFonts w:hAnsi="宋体"/>
                <w:color w:val="auto"/>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14:paraId="048306EC">
            <w:pPr>
              <w:pStyle w:val="11"/>
              <w:shd w:val="clear"/>
              <w:ind w:left="630" w:hanging="630" w:hangingChars="300"/>
              <w:jc w:val="center"/>
              <w:rPr>
                <w:rFonts w:hAnsi="宋体"/>
                <w:color w:val="auto"/>
                <w:highlight w:val="none"/>
              </w:rPr>
            </w:pPr>
            <w:r>
              <w:rPr>
                <w:rFonts w:hint="eastAsia" w:hAnsi="宋体"/>
                <w:color w:val="auto"/>
                <w:highlight w:val="none"/>
              </w:rPr>
              <w:t>性 别</w:t>
            </w:r>
          </w:p>
        </w:tc>
        <w:tc>
          <w:tcPr>
            <w:tcW w:w="1761" w:type="dxa"/>
            <w:tcBorders>
              <w:top w:val="single" w:color="auto" w:sz="12" w:space="0"/>
              <w:left w:val="single" w:color="auto" w:sz="6" w:space="0"/>
              <w:bottom w:val="single" w:color="auto" w:sz="6" w:space="0"/>
              <w:right w:val="single" w:color="auto" w:sz="6" w:space="0"/>
            </w:tcBorders>
            <w:vAlign w:val="center"/>
          </w:tcPr>
          <w:p w14:paraId="584BCFAF">
            <w:pPr>
              <w:pStyle w:val="11"/>
              <w:shd w:val="clear"/>
              <w:ind w:left="630" w:hanging="630" w:hangingChars="300"/>
              <w:jc w:val="center"/>
              <w:rPr>
                <w:rFonts w:hAnsi="宋体"/>
                <w:color w:val="auto"/>
                <w:highlight w:val="none"/>
              </w:rPr>
            </w:pPr>
          </w:p>
        </w:tc>
        <w:tc>
          <w:tcPr>
            <w:tcW w:w="1576" w:type="dxa"/>
            <w:tcBorders>
              <w:top w:val="single" w:color="auto" w:sz="12" w:space="0"/>
              <w:left w:val="single" w:color="auto" w:sz="6" w:space="0"/>
              <w:bottom w:val="single" w:color="auto" w:sz="6" w:space="0"/>
              <w:right w:val="single" w:color="auto" w:sz="6" w:space="0"/>
            </w:tcBorders>
            <w:vAlign w:val="center"/>
          </w:tcPr>
          <w:p w14:paraId="57926B75">
            <w:pPr>
              <w:pStyle w:val="11"/>
              <w:shd w:val="clear"/>
              <w:ind w:left="630" w:hanging="630" w:hangingChars="300"/>
              <w:jc w:val="center"/>
              <w:rPr>
                <w:rFonts w:hAnsi="宋体"/>
                <w:color w:val="auto"/>
                <w:highlight w:val="none"/>
              </w:rPr>
            </w:pPr>
            <w:r>
              <w:rPr>
                <w:rFonts w:hint="eastAsia" w:hAnsi="宋体"/>
                <w:color w:val="auto"/>
                <w:highlight w:val="none"/>
              </w:rPr>
              <w:t>年 龄</w:t>
            </w:r>
          </w:p>
        </w:tc>
        <w:tc>
          <w:tcPr>
            <w:tcW w:w="1693" w:type="dxa"/>
            <w:tcBorders>
              <w:top w:val="single" w:color="auto" w:sz="12" w:space="0"/>
              <w:left w:val="single" w:color="auto" w:sz="6" w:space="0"/>
              <w:bottom w:val="single" w:color="auto" w:sz="6" w:space="0"/>
              <w:right w:val="single" w:color="auto" w:sz="12" w:space="0"/>
            </w:tcBorders>
            <w:vAlign w:val="center"/>
          </w:tcPr>
          <w:p w14:paraId="4DA14F84">
            <w:pPr>
              <w:pStyle w:val="11"/>
              <w:shd w:val="clear"/>
              <w:ind w:left="630" w:hanging="630" w:hangingChars="300"/>
              <w:jc w:val="center"/>
              <w:rPr>
                <w:rFonts w:hAnsi="宋体"/>
                <w:color w:val="auto"/>
                <w:highlight w:val="none"/>
              </w:rPr>
            </w:pPr>
          </w:p>
        </w:tc>
      </w:tr>
      <w:tr w14:paraId="5635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6A92BBAB">
            <w:pPr>
              <w:pStyle w:val="11"/>
              <w:shd w:val="clear"/>
              <w:ind w:left="630" w:hanging="630" w:hangingChars="300"/>
              <w:jc w:val="center"/>
              <w:rPr>
                <w:rFonts w:hAnsi="宋体"/>
                <w:color w:val="auto"/>
                <w:highlight w:val="none"/>
              </w:rPr>
            </w:pPr>
            <w:r>
              <w:rPr>
                <w:rFonts w:hint="eastAsia" w:hAnsi="宋体"/>
                <w:color w:val="auto"/>
                <w:highlight w:val="none"/>
              </w:rPr>
              <w:t>学 历</w:t>
            </w:r>
          </w:p>
        </w:tc>
        <w:tc>
          <w:tcPr>
            <w:tcW w:w="1652" w:type="dxa"/>
            <w:tcBorders>
              <w:top w:val="single" w:color="auto" w:sz="6" w:space="0"/>
              <w:left w:val="single" w:color="auto" w:sz="6" w:space="0"/>
              <w:bottom w:val="single" w:color="auto" w:sz="6" w:space="0"/>
              <w:right w:val="single" w:color="auto" w:sz="6" w:space="0"/>
            </w:tcBorders>
            <w:vAlign w:val="center"/>
          </w:tcPr>
          <w:p w14:paraId="0D445A97">
            <w:pPr>
              <w:pStyle w:val="11"/>
              <w:shd w:val="clear"/>
              <w:ind w:left="630" w:hanging="630" w:hangingChars="300"/>
              <w:jc w:val="center"/>
              <w:rPr>
                <w:rFonts w:hAnsi="宋体"/>
                <w:color w:val="auto"/>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23E9DC62">
            <w:pPr>
              <w:pStyle w:val="11"/>
              <w:shd w:val="clear"/>
              <w:ind w:left="630" w:hanging="630" w:hangingChars="300"/>
              <w:jc w:val="center"/>
              <w:rPr>
                <w:rFonts w:hAnsi="宋体"/>
                <w:color w:val="auto"/>
                <w:highlight w:val="none"/>
              </w:rPr>
            </w:pPr>
            <w:r>
              <w:rPr>
                <w:rFonts w:hint="eastAsia" w:hAnsi="宋体"/>
                <w:color w:val="auto"/>
                <w:highlight w:val="none"/>
              </w:rPr>
              <w:t>职 称</w:t>
            </w:r>
          </w:p>
        </w:tc>
        <w:tc>
          <w:tcPr>
            <w:tcW w:w="1761" w:type="dxa"/>
            <w:tcBorders>
              <w:top w:val="single" w:color="auto" w:sz="6" w:space="0"/>
              <w:left w:val="single" w:color="auto" w:sz="6" w:space="0"/>
              <w:bottom w:val="single" w:color="auto" w:sz="6" w:space="0"/>
              <w:right w:val="single" w:color="auto" w:sz="6" w:space="0"/>
            </w:tcBorders>
            <w:vAlign w:val="center"/>
          </w:tcPr>
          <w:p w14:paraId="0E1CFEA1">
            <w:pPr>
              <w:pStyle w:val="11"/>
              <w:shd w:val="clear"/>
              <w:ind w:left="630" w:hanging="630" w:hangingChars="300"/>
              <w:jc w:val="center"/>
              <w:rPr>
                <w:rFonts w:hAnsi="宋体"/>
                <w:color w:val="auto"/>
                <w:highlight w:val="none"/>
              </w:rPr>
            </w:pPr>
          </w:p>
        </w:tc>
        <w:tc>
          <w:tcPr>
            <w:tcW w:w="1576" w:type="dxa"/>
            <w:tcBorders>
              <w:top w:val="single" w:color="auto" w:sz="6" w:space="0"/>
              <w:left w:val="single" w:color="auto" w:sz="6" w:space="0"/>
              <w:bottom w:val="single" w:color="auto" w:sz="6" w:space="0"/>
              <w:right w:val="single" w:color="auto" w:sz="6" w:space="0"/>
            </w:tcBorders>
            <w:vAlign w:val="center"/>
          </w:tcPr>
          <w:p w14:paraId="43428A22">
            <w:pPr>
              <w:pStyle w:val="11"/>
              <w:shd w:val="clear"/>
              <w:ind w:left="630" w:hanging="630" w:hangingChars="300"/>
              <w:jc w:val="center"/>
              <w:rPr>
                <w:rFonts w:hAnsi="宋体"/>
                <w:color w:val="auto"/>
                <w:highlight w:val="none"/>
              </w:rPr>
            </w:pPr>
            <w:r>
              <w:rPr>
                <w:rFonts w:hint="eastAsia" w:hAnsi="宋体"/>
                <w:color w:val="auto"/>
                <w:highlight w:val="none"/>
              </w:rPr>
              <w:t>职 务</w:t>
            </w:r>
          </w:p>
        </w:tc>
        <w:tc>
          <w:tcPr>
            <w:tcW w:w="1693" w:type="dxa"/>
            <w:tcBorders>
              <w:top w:val="single" w:color="auto" w:sz="6" w:space="0"/>
              <w:left w:val="single" w:color="auto" w:sz="6" w:space="0"/>
              <w:bottom w:val="single" w:color="auto" w:sz="6" w:space="0"/>
              <w:right w:val="single" w:color="auto" w:sz="12" w:space="0"/>
            </w:tcBorders>
            <w:vAlign w:val="center"/>
          </w:tcPr>
          <w:p w14:paraId="72F00D2F">
            <w:pPr>
              <w:pStyle w:val="11"/>
              <w:shd w:val="clear"/>
              <w:ind w:left="630" w:hanging="630" w:hangingChars="300"/>
              <w:jc w:val="center"/>
              <w:rPr>
                <w:rFonts w:hAnsi="宋体"/>
                <w:color w:val="auto"/>
                <w:highlight w:val="none"/>
              </w:rPr>
            </w:pPr>
          </w:p>
        </w:tc>
      </w:tr>
      <w:tr w14:paraId="156D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68982F4A">
            <w:pPr>
              <w:pStyle w:val="11"/>
              <w:shd w:val="clear"/>
              <w:ind w:left="630" w:hanging="630" w:hangingChars="300"/>
              <w:jc w:val="center"/>
              <w:rPr>
                <w:rFonts w:hAnsi="宋体"/>
                <w:color w:val="auto"/>
                <w:highlight w:val="none"/>
              </w:rPr>
            </w:pPr>
            <w:r>
              <w:rPr>
                <w:rFonts w:hint="eastAsia" w:hAnsi="宋体"/>
                <w:color w:val="auto"/>
                <w:highlight w:val="none"/>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030E73BC">
            <w:pPr>
              <w:pStyle w:val="11"/>
              <w:shd w:val="clear"/>
              <w:ind w:left="630" w:hanging="630" w:hangingChars="300"/>
              <w:jc w:val="center"/>
              <w:rPr>
                <w:rFonts w:hAnsi="宋体"/>
                <w:color w:val="auto"/>
                <w:highlight w:val="none"/>
              </w:rPr>
            </w:pPr>
          </w:p>
        </w:tc>
        <w:tc>
          <w:tcPr>
            <w:tcW w:w="1761" w:type="dxa"/>
            <w:tcBorders>
              <w:top w:val="single" w:color="auto" w:sz="6" w:space="0"/>
              <w:left w:val="single" w:color="auto" w:sz="6" w:space="0"/>
              <w:bottom w:val="single" w:color="auto" w:sz="6" w:space="0"/>
              <w:right w:val="single" w:color="auto" w:sz="6" w:space="0"/>
            </w:tcBorders>
            <w:vAlign w:val="center"/>
          </w:tcPr>
          <w:p w14:paraId="56C7F82B">
            <w:pPr>
              <w:pStyle w:val="11"/>
              <w:shd w:val="clear"/>
              <w:ind w:left="630" w:hanging="630" w:hangingChars="300"/>
              <w:jc w:val="center"/>
              <w:rPr>
                <w:rFonts w:hAnsi="宋体"/>
                <w:color w:val="auto"/>
                <w:highlight w:val="none"/>
              </w:rPr>
            </w:pPr>
            <w:r>
              <w:rPr>
                <w:rFonts w:hint="eastAsia" w:hAnsi="宋体"/>
                <w:color w:val="auto"/>
                <w:highlight w:val="none"/>
              </w:rPr>
              <w:t>手 机</w:t>
            </w:r>
          </w:p>
        </w:tc>
        <w:tc>
          <w:tcPr>
            <w:tcW w:w="3269" w:type="dxa"/>
            <w:gridSpan w:val="2"/>
            <w:tcBorders>
              <w:top w:val="single" w:color="auto" w:sz="6" w:space="0"/>
              <w:left w:val="single" w:color="auto" w:sz="6" w:space="0"/>
              <w:bottom w:val="single" w:color="auto" w:sz="6" w:space="0"/>
              <w:right w:val="single" w:color="auto" w:sz="12" w:space="0"/>
            </w:tcBorders>
            <w:vAlign w:val="center"/>
          </w:tcPr>
          <w:p w14:paraId="7FAE9CB5">
            <w:pPr>
              <w:pStyle w:val="11"/>
              <w:shd w:val="clear"/>
              <w:ind w:left="630" w:hanging="630" w:hangingChars="300"/>
              <w:jc w:val="center"/>
              <w:rPr>
                <w:rFonts w:hAnsi="宋体"/>
                <w:color w:val="auto"/>
                <w:highlight w:val="none"/>
              </w:rPr>
            </w:pPr>
          </w:p>
        </w:tc>
      </w:tr>
      <w:tr w14:paraId="3C87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9949" w:type="dxa"/>
            <w:gridSpan w:val="6"/>
            <w:tcBorders>
              <w:top w:val="single" w:color="auto" w:sz="6" w:space="0"/>
              <w:left w:val="single" w:color="auto" w:sz="12" w:space="0"/>
              <w:bottom w:val="single" w:color="auto" w:sz="12" w:space="0"/>
              <w:right w:val="single" w:color="auto" w:sz="12" w:space="0"/>
            </w:tcBorders>
          </w:tcPr>
          <w:p w14:paraId="76AD6D6C">
            <w:pPr>
              <w:pStyle w:val="11"/>
              <w:shd w:val="clear"/>
              <w:spacing w:before="120" w:after="120"/>
              <w:ind w:left="630" w:hanging="630" w:hangingChars="300"/>
              <w:rPr>
                <w:rFonts w:hAnsi="宋体"/>
                <w:color w:val="auto"/>
                <w:highlight w:val="none"/>
              </w:rPr>
            </w:pPr>
            <w:r>
              <w:rPr>
                <w:rFonts w:hint="eastAsia" w:ascii="仿宋_GB2312" w:hAnsi="仿宋" w:eastAsia="仿宋_GB2312" w:cs="仿宋"/>
                <w:color w:val="auto"/>
                <w:highlight w:val="none"/>
              </w:rPr>
              <w:t>投标截止时间前三年业绩及承担的主要工作情况，曾担任项目负责人的项目应列明细</w:t>
            </w:r>
          </w:p>
        </w:tc>
      </w:tr>
    </w:tbl>
    <w:p w14:paraId="24E9DA46">
      <w:pPr>
        <w:pStyle w:val="11"/>
        <w:shd w:val="clear"/>
        <w:spacing w:line="320" w:lineRule="exact"/>
        <w:ind w:left="630" w:hanging="630" w:hangingChars="300"/>
        <w:rPr>
          <w:rFonts w:hAnsi="宋体"/>
          <w:color w:val="auto"/>
          <w:highlight w:val="none"/>
        </w:rPr>
      </w:pPr>
      <w:r>
        <w:rPr>
          <w:rFonts w:hint="eastAsia" w:hAnsi="宋体"/>
          <w:color w:val="auto"/>
          <w:highlight w:val="none"/>
        </w:rPr>
        <w:t>注:1、与评分有关的证明材料附后。</w:t>
      </w:r>
    </w:p>
    <w:p w14:paraId="0362373C">
      <w:pPr>
        <w:pStyle w:val="11"/>
        <w:shd w:val="clear"/>
        <w:spacing w:line="320" w:lineRule="exact"/>
        <w:ind w:left="630" w:hanging="630" w:hangingChars="300"/>
        <w:rPr>
          <w:rFonts w:hAnsi="宋体"/>
          <w:color w:val="auto"/>
          <w:highlight w:val="none"/>
        </w:rPr>
      </w:pPr>
      <w:r>
        <w:rPr>
          <w:rFonts w:hint="eastAsia" w:hAnsi="宋体"/>
          <w:color w:val="auto"/>
          <w:highlight w:val="none"/>
        </w:rPr>
        <w:t>2、不得随意更换项目负责人，如不经采购人同意擅自更换，则招标人有权解除合同</w:t>
      </w:r>
      <w:r>
        <w:rPr>
          <w:rFonts w:hint="eastAsia" w:ascii="仿宋_GB2312" w:hAnsi="仿宋" w:eastAsia="仿宋_GB2312" w:cs="仿宋"/>
          <w:b/>
          <w:color w:val="auto"/>
          <w:highlight w:val="none"/>
        </w:rPr>
        <w:t xml:space="preserve">。 </w:t>
      </w:r>
      <w:r>
        <w:rPr>
          <w:rFonts w:hint="eastAsia" w:hAnsi="宋体" w:cs="新宋体"/>
          <w:b/>
          <w:bCs/>
          <w:color w:val="auto"/>
          <w:highlight w:val="none"/>
        </w:rPr>
        <w:t xml:space="preserve"> </w:t>
      </w:r>
      <w:r>
        <w:rPr>
          <w:rFonts w:hint="eastAsia" w:hAnsi="宋体"/>
          <w:color w:val="auto"/>
          <w:highlight w:val="none"/>
        </w:rPr>
        <w:t xml:space="preserve">      </w:t>
      </w:r>
      <w:bookmarkStart w:id="402" w:name="OLE_LINK9"/>
    </w:p>
    <w:p w14:paraId="63AA2E78">
      <w:pPr>
        <w:pStyle w:val="11"/>
        <w:shd w:val="clear"/>
        <w:spacing w:line="340" w:lineRule="exact"/>
        <w:jc w:val="left"/>
        <w:rPr>
          <w:rFonts w:ascii="仿宋_GB2312" w:hAnsi="仿宋" w:eastAsia="仿宋_GB2312" w:cs="仿宋"/>
          <w:b/>
          <w:color w:val="auto"/>
          <w:highlight w:val="none"/>
        </w:rPr>
      </w:pPr>
    </w:p>
    <w:p w14:paraId="47EE86F2">
      <w:pPr>
        <w:pStyle w:val="11"/>
        <w:shd w:val="clear"/>
        <w:spacing w:line="340" w:lineRule="exact"/>
        <w:jc w:val="left"/>
        <w:rPr>
          <w:rFonts w:ascii="仿宋_GB2312" w:hAnsi="仿宋" w:eastAsia="仿宋_GB2312" w:cs="仿宋"/>
          <w:b/>
          <w:color w:val="auto"/>
          <w:highlight w:val="none"/>
        </w:rPr>
      </w:pPr>
    </w:p>
    <w:p w14:paraId="417CE708">
      <w:pPr>
        <w:pStyle w:val="11"/>
        <w:shd w:val="clear"/>
        <w:spacing w:line="340" w:lineRule="exact"/>
        <w:jc w:val="left"/>
        <w:rPr>
          <w:rFonts w:hAnsi="宋体"/>
          <w:b/>
          <w:color w:val="auto"/>
          <w:highlight w:val="none"/>
        </w:rPr>
      </w:pPr>
      <w:r>
        <w:rPr>
          <w:rFonts w:hint="eastAsia" w:ascii="仿宋_GB2312" w:hAnsi="仿宋" w:eastAsia="仿宋_GB2312" w:cs="仿宋"/>
          <w:b/>
          <w:color w:val="auto"/>
          <w:highlight w:val="none"/>
        </w:rPr>
        <w:t>附表B:拟入的项目实施人员名单</w:t>
      </w:r>
      <w:bookmarkEnd w:id="402"/>
    </w:p>
    <w:tbl>
      <w:tblPr>
        <w:tblStyle w:val="18"/>
        <w:tblW w:w="95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742"/>
        <w:gridCol w:w="1297"/>
        <w:gridCol w:w="1284"/>
        <w:gridCol w:w="1766"/>
        <w:gridCol w:w="1112"/>
      </w:tblGrid>
      <w:tr w14:paraId="59152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42" w:type="dxa"/>
            <w:vAlign w:val="center"/>
          </w:tcPr>
          <w:p w14:paraId="3169F4D8">
            <w:pPr>
              <w:shd w:val="clea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927" w:type="dxa"/>
            <w:vAlign w:val="center"/>
          </w:tcPr>
          <w:p w14:paraId="7C1321A3">
            <w:pPr>
              <w:shd w:val="clea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927" w:type="dxa"/>
            <w:vAlign w:val="center"/>
          </w:tcPr>
          <w:p w14:paraId="3CA7EAE4">
            <w:pPr>
              <w:shd w:val="clea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742" w:type="dxa"/>
            <w:vAlign w:val="center"/>
          </w:tcPr>
          <w:p w14:paraId="2490EE4C">
            <w:pPr>
              <w:shd w:val="clea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742" w:type="dxa"/>
            <w:vAlign w:val="center"/>
          </w:tcPr>
          <w:p w14:paraId="4D3F6FC8">
            <w:pPr>
              <w:shd w:val="clea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297" w:type="dxa"/>
            <w:vAlign w:val="center"/>
          </w:tcPr>
          <w:p w14:paraId="13D6C503">
            <w:pPr>
              <w:shd w:val="clear"/>
              <w:spacing w:line="280" w:lineRule="exact"/>
              <w:jc w:val="center"/>
              <w:rPr>
                <w:rFonts w:ascii="宋体" w:hAnsi="宋体"/>
                <w:color w:val="auto"/>
                <w:szCs w:val="21"/>
                <w:highlight w:val="none"/>
              </w:rPr>
            </w:pPr>
            <w:r>
              <w:rPr>
                <w:rFonts w:hint="eastAsia" w:ascii="宋体" w:hAnsi="宋体"/>
                <w:color w:val="auto"/>
                <w:szCs w:val="21"/>
                <w:highlight w:val="none"/>
              </w:rPr>
              <w:t>职称/职务</w:t>
            </w:r>
          </w:p>
        </w:tc>
        <w:tc>
          <w:tcPr>
            <w:tcW w:w="1284" w:type="dxa"/>
            <w:vAlign w:val="center"/>
          </w:tcPr>
          <w:p w14:paraId="40076D04">
            <w:pPr>
              <w:shd w:val="clear"/>
              <w:spacing w:line="280" w:lineRule="exact"/>
              <w:jc w:val="center"/>
              <w:rPr>
                <w:rFonts w:ascii="宋体" w:hAnsi="宋体"/>
                <w:color w:val="auto"/>
                <w:szCs w:val="21"/>
                <w:highlight w:val="none"/>
              </w:rPr>
            </w:pPr>
            <w:r>
              <w:rPr>
                <w:rFonts w:hint="eastAsia" w:ascii="宋体" w:hAnsi="宋体"/>
                <w:color w:val="auto"/>
                <w:szCs w:val="21"/>
                <w:highlight w:val="none"/>
              </w:rPr>
              <w:t>本项目中的岗位</w:t>
            </w:r>
          </w:p>
        </w:tc>
        <w:tc>
          <w:tcPr>
            <w:tcW w:w="1766" w:type="dxa"/>
            <w:vAlign w:val="center"/>
          </w:tcPr>
          <w:p w14:paraId="513A393E">
            <w:pPr>
              <w:shd w:val="clear"/>
              <w:spacing w:line="360" w:lineRule="auto"/>
              <w:jc w:val="center"/>
              <w:rPr>
                <w:rFonts w:ascii="宋体" w:hAnsi="宋体"/>
                <w:color w:val="auto"/>
                <w:szCs w:val="21"/>
                <w:highlight w:val="none"/>
              </w:rPr>
            </w:pPr>
            <w:r>
              <w:rPr>
                <w:rFonts w:hint="eastAsia" w:ascii="宋体" w:hAnsi="宋体"/>
                <w:color w:val="auto"/>
                <w:szCs w:val="21"/>
                <w:highlight w:val="none"/>
              </w:rPr>
              <w:t>从事专业年限</w:t>
            </w:r>
          </w:p>
        </w:tc>
        <w:tc>
          <w:tcPr>
            <w:tcW w:w="1112" w:type="dxa"/>
            <w:vAlign w:val="center"/>
          </w:tcPr>
          <w:p w14:paraId="03F543D3">
            <w:pPr>
              <w:shd w:val="clea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7540A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318FD77D">
            <w:pPr>
              <w:shd w:val="clear"/>
              <w:spacing w:line="360" w:lineRule="auto"/>
              <w:jc w:val="center"/>
              <w:rPr>
                <w:rFonts w:ascii="宋体" w:hAnsi="宋体"/>
                <w:color w:val="auto"/>
                <w:szCs w:val="21"/>
                <w:highlight w:val="none"/>
              </w:rPr>
            </w:pPr>
          </w:p>
        </w:tc>
        <w:tc>
          <w:tcPr>
            <w:tcW w:w="927" w:type="dxa"/>
            <w:vAlign w:val="center"/>
          </w:tcPr>
          <w:p w14:paraId="24E9B2ED">
            <w:pPr>
              <w:shd w:val="clear"/>
              <w:spacing w:line="360" w:lineRule="auto"/>
              <w:jc w:val="center"/>
              <w:rPr>
                <w:rFonts w:ascii="宋体" w:hAnsi="宋体"/>
                <w:color w:val="auto"/>
                <w:szCs w:val="21"/>
                <w:highlight w:val="none"/>
              </w:rPr>
            </w:pPr>
          </w:p>
        </w:tc>
        <w:tc>
          <w:tcPr>
            <w:tcW w:w="927" w:type="dxa"/>
            <w:vAlign w:val="center"/>
          </w:tcPr>
          <w:p w14:paraId="3612ECF1">
            <w:pPr>
              <w:shd w:val="clear"/>
              <w:spacing w:line="360" w:lineRule="auto"/>
              <w:jc w:val="center"/>
              <w:rPr>
                <w:rFonts w:ascii="宋体" w:hAnsi="宋体"/>
                <w:color w:val="auto"/>
                <w:szCs w:val="21"/>
                <w:highlight w:val="none"/>
              </w:rPr>
            </w:pPr>
          </w:p>
        </w:tc>
        <w:tc>
          <w:tcPr>
            <w:tcW w:w="742" w:type="dxa"/>
            <w:vAlign w:val="center"/>
          </w:tcPr>
          <w:p w14:paraId="7046DD98">
            <w:pPr>
              <w:shd w:val="clear"/>
              <w:spacing w:line="360" w:lineRule="auto"/>
              <w:jc w:val="center"/>
              <w:rPr>
                <w:rFonts w:ascii="宋体" w:hAnsi="宋体"/>
                <w:color w:val="auto"/>
                <w:szCs w:val="21"/>
                <w:highlight w:val="none"/>
              </w:rPr>
            </w:pPr>
          </w:p>
        </w:tc>
        <w:tc>
          <w:tcPr>
            <w:tcW w:w="742" w:type="dxa"/>
            <w:vAlign w:val="center"/>
          </w:tcPr>
          <w:p w14:paraId="0D2EB8C3">
            <w:pPr>
              <w:shd w:val="clear"/>
              <w:spacing w:line="360" w:lineRule="auto"/>
              <w:jc w:val="center"/>
              <w:rPr>
                <w:rFonts w:ascii="宋体" w:hAnsi="宋体"/>
                <w:color w:val="auto"/>
                <w:szCs w:val="21"/>
                <w:highlight w:val="none"/>
              </w:rPr>
            </w:pPr>
          </w:p>
        </w:tc>
        <w:tc>
          <w:tcPr>
            <w:tcW w:w="1297" w:type="dxa"/>
            <w:vAlign w:val="center"/>
          </w:tcPr>
          <w:p w14:paraId="302A6C59">
            <w:pPr>
              <w:shd w:val="clear"/>
              <w:spacing w:line="360" w:lineRule="auto"/>
              <w:jc w:val="center"/>
              <w:rPr>
                <w:rFonts w:ascii="宋体" w:hAnsi="宋体"/>
                <w:color w:val="auto"/>
                <w:szCs w:val="21"/>
                <w:highlight w:val="none"/>
              </w:rPr>
            </w:pPr>
          </w:p>
        </w:tc>
        <w:tc>
          <w:tcPr>
            <w:tcW w:w="1284" w:type="dxa"/>
            <w:vAlign w:val="center"/>
          </w:tcPr>
          <w:p w14:paraId="1543717B">
            <w:pPr>
              <w:shd w:val="clear"/>
              <w:spacing w:line="360" w:lineRule="auto"/>
              <w:jc w:val="center"/>
              <w:rPr>
                <w:rFonts w:ascii="宋体" w:hAnsi="宋体"/>
                <w:color w:val="auto"/>
                <w:szCs w:val="21"/>
                <w:highlight w:val="none"/>
              </w:rPr>
            </w:pPr>
          </w:p>
        </w:tc>
        <w:tc>
          <w:tcPr>
            <w:tcW w:w="1766" w:type="dxa"/>
          </w:tcPr>
          <w:p w14:paraId="2DA40E73">
            <w:pPr>
              <w:shd w:val="clear"/>
              <w:spacing w:line="360" w:lineRule="auto"/>
              <w:jc w:val="center"/>
              <w:rPr>
                <w:rFonts w:ascii="宋体" w:hAnsi="宋体"/>
                <w:color w:val="auto"/>
                <w:szCs w:val="21"/>
                <w:highlight w:val="none"/>
              </w:rPr>
            </w:pPr>
          </w:p>
        </w:tc>
        <w:tc>
          <w:tcPr>
            <w:tcW w:w="1112" w:type="dxa"/>
            <w:vAlign w:val="center"/>
          </w:tcPr>
          <w:p w14:paraId="63072214">
            <w:pPr>
              <w:shd w:val="clear"/>
              <w:spacing w:line="360" w:lineRule="auto"/>
              <w:jc w:val="center"/>
              <w:rPr>
                <w:rFonts w:ascii="宋体" w:hAnsi="宋体"/>
                <w:color w:val="auto"/>
                <w:szCs w:val="21"/>
                <w:highlight w:val="none"/>
              </w:rPr>
            </w:pPr>
          </w:p>
        </w:tc>
      </w:tr>
      <w:tr w14:paraId="46E5D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4BE75FF1">
            <w:pPr>
              <w:shd w:val="clear"/>
              <w:spacing w:line="360" w:lineRule="auto"/>
              <w:jc w:val="center"/>
              <w:rPr>
                <w:rFonts w:ascii="宋体" w:hAnsi="宋体"/>
                <w:color w:val="auto"/>
                <w:szCs w:val="21"/>
                <w:highlight w:val="none"/>
              </w:rPr>
            </w:pPr>
          </w:p>
        </w:tc>
        <w:tc>
          <w:tcPr>
            <w:tcW w:w="927" w:type="dxa"/>
            <w:vAlign w:val="center"/>
          </w:tcPr>
          <w:p w14:paraId="0A97A906">
            <w:pPr>
              <w:shd w:val="clear"/>
              <w:spacing w:line="360" w:lineRule="auto"/>
              <w:jc w:val="center"/>
              <w:rPr>
                <w:rFonts w:ascii="宋体" w:hAnsi="宋体"/>
                <w:color w:val="auto"/>
                <w:szCs w:val="21"/>
                <w:highlight w:val="none"/>
              </w:rPr>
            </w:pPr>
          </w:p>
        </w:tc>
        <w:tc>
          <w:tcPr>
            <w:tcW w:w="927" w:type="dxa"/>
            <w:vAlign w:val="center"/>
          </w:tcPr>
          <w:p w14:paraId="638E407B">
            <w:pPr>
              <w:shd w:val="clear"/>
              <w:spacing w:line="360" w:lineRule="auto"/>
              <w:jc w:val="center"/>
              <w:rPr>
                <w:rFonts w:ascii="宋体" w:hAnsi="宋体"/>
                <w:color w:val="auto"/>
                <w:szCs w:val="21"/>
                <w:highlight w:val="none"/>
              </w:rPr>
            </w:pPr>
          </w:p>
        </w:tc>
        <w:tc>
          <w:tcPr>
            <w:tcW w:w="742" w:type="dxa"/>
            <w:vAlign w:val="center"/>
          </w:tcPr>
          <w:p w14:paraId="73E59F75">
            <w:pPr>
              <w:shd w:val="clear"/>
              <w:spacing w:line="360" w:lineRule="auto"/>
              <w:jc w:val="center"/>
              <w:rPr>
                <w:rFonts w:ascii="宋体" w:hAnsi="宋体"/>
                <w:color w:val="auto"/>
                <w:szCs w:val="21"/>
                <w:highlight w:val="none"/>
              </w:rPr>
            </w:pPr>
          </w:p>
        </w:tc>
        <w:tc>
          <w:tcPr>
            <w:tcW w:w="742" w:type="dxa"/>
            <w:vAlign w:val="center"/>
          </w:tcPr>
          <w:p w14:paraId="10438200">
            <w:pPr>
              <w:shd w:val="clear"/>
              <w:spacing w:line="360" w:lineRule="auto"/>
              <w:jc w:val="center"/>
              <w:rPr>
                <w:rFonts w:ascii="宋体" w:hAnsi="宋体"/>
                <w:color w:val="auto"/>
                <w:szCs w:val="21"/>
                <w:highlight w:val="none"/>
              </w:rPr>
            </w:pPr>
          </w:p>
        </w:tc>
        <w:tc>
          <w:tcPr>
            <w:tcW w:w="1297" w:type="dxa"/>
            <w:vAlign w:val="center"/>
          </w:tcPr>
          <w:p w14:paraId="13558062">
            <w:pPr>
              <w:shd w:val="clear"/>
              <w:spacing w:line="360" w:lineRule="auto"/>
              <w:jc w:val="center"/>
              <w:rPr>
                <w:rFonts w:ascii="宋体" w:hAnsi="宋体"/>
                <w:color w:val="auto"/>
                <w:szCs w:val="21"/>
                <w:highlight w:val="none"/>
              </w:rPr>
            </w:pPr>
          </w:p>
        </w:tc>
        <w:tc>
          <w:tcPr>
            <w:tcW w:w="1284" w:type="dxa"/>
            <w:vAlign w:val="center"/>
          </w:tcPr>
          <w:p w14:paraId="483DB233">
            <w:pPr>
              <w:shd w:val="clear"/>
              <w:spacing w:line="360" w:lineRule="auto"/>
              <w:jc w:val="center"/>
              <w:rPr>
                <w:rFonts w:ascii="宋体" w:hAnsi="宋体"/>
                <w:color w:val="auto"/>
                <w:szCs w:val="21"/>
                <w:highlight w:val="none"/>
              </w:rPr>
            </w:pPr>
          </w:p>
        </w:tc>
        <w:tc>
          <w:tcPr>
            <w:tcW w:w="1766" w:type="dxa"/>
          </w:tcPr>
          <w:p w14:paraId="7CDB80A1">
            <w:pPr>
              <w:shd w:val="clear"/>
              <w:spacing w:line="360" w:lineRule="auto"/>
              <w:jc w:val="center"/>
              <w:rPr>
                <w:rFonts w:ascii="宋体" w:hAnsi="宋体"/>
                <w:color w:val="auto"/>
                <w:szCs w:val="21"/>
                <w:highlight w:val="none"/>
              </w:rPr>
            </w:pPr>
          </w:p>
        </w:tc>
        <w:tc>
          <w:tcPr>
            <w:tcW w:w="1112" w:type="dxa"/>
            <w:vAlign w:val="center"/>
          </w:tcPr>
          <w:p w14:paraId="19475B4A">
            <w:pPr>
              <w:shd w:val="clear"/>
              <w:spacing w:line="360" w:lineRule="auto"/>
              <w:jc w:val="center"/>
              <w:rPr>
                <w:rFonts w:ascii="宋体" w:hAnsi="宋体"/>
                <w:color w:val="auto"/>
                <w:szCs w:val="21"/>
                <w:highlight w:val="none"/>
              </w:rPr>
            </w:pPr>
          </w:p>
        </w:tc>
      </w:tr>
      <w:tr w14:paraId="35772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2F963BFA">
            <w:pPr>
              <w:shd w:val="clear"/>
              <w:spacing w:line="360" w:lineRule="auto"/>
              <w:jc w:val="center"/>
              <w:rPr>
                <w:rFonts w:ascii="宋体" w:hAnsi="宋体"/>
                <w:color w:val="auto"/>
                <w:szCs w:val="21"/>
                <w:highlight w:val="none"/>
              </w:rPr>
            </w:pPr>
          </w:p>
        </w:tc>
        <w:tc>
          <w:tcPr>
            <w:tcW w:w="927" w:type="dxa"/>
            <w:vAlign w:val="center"/>
          </w:tcPr>
          <w:p w14:paraId="6BC1AC8E">
            <w:pPr>
              <w:shd w:val="clear"/>
              <w:spacing w:line="360" w:lineRule="auto"/>
              <w:jc w:val="center"/>
              <w:rPr>
                <w:rFonts w:ascii="宋体" w:hAnsi="宋体"/>
                <w:color w:val="auto"/>
                <w:szCs w:val="21"/>
                <w:highlight w:val="none"/>
              </w:rPr>
            </w:pPr>
          </w:p>
        </w:tc>
        <w:tc>
          <w:tcPr>
            <w:tcW w:w="927" w:type="dxa"/>
            <w:vAlign w:val="center"/>
          </w:tcPr>
          <w:p w14:paraId="0FDDBB18">
            <w:pPr>
              <w:shd w:val="clear"/>
              <w:spacing w:line="360" w:lineRule="auto"/>
              <w:jc w:val="center"/>
              <w:rPr>
                <w:rFonts w:ascii="宋体" w:hAnsi="宋体"/>
                <w:color w:val="auto"/>
                <w:szCs w:val="21"/>
                <w:highlight w:val="none"/>
              </w:rPr>
            </w:pPr>
          </w:p>
        </w:tc>
        <w:tc>
          <w:tcPr>
            <w:tcW w:w="742" w:type="dxa"/>
            <w:vAlign w:val="center"/>
          </w:tcPr>
          <w:p w14:paraId="74E9FBFC">
            <w:pPr>
              <w:shd w:val="clear"/>
              <w:spacing w:line="360" w:lineRule="auto"/>
              <w:jc w:val="center"/>
              <w:rPr>
                <w:rFonts w:ascii="宋体" w:hAnsi="宋体"/>
                <w:color w:val="auto"/>
                <w:szCs w:val="21"/>
                <w:highlight w:val="none"/>
              </w:rPr>
            </w:pPr>
          </w:p>
        </w:tc>
        <w:tc>
          <w:tcPr>
            <w:tcW w:w="742" w:type="dxa"/>
            <w:vAlign w:val="center"/>
          </w:tcPr>
          <w:p w14:paraId="579C3732">
            <w:pPr>
              <w:shd w:val="clear"/>
              <w:spacing w:line="360" w:lineRule="auto"/>
              <w:jc w:val="center"/>
              <w:rPr>
                <w:rFonts w:ascii="宋体" w:hAnsi="宋体"/>
                <w:color w:val="auto"/>
                <w:szCs w:val="21"/>
                <w:highlight w:val="none"/>
              </w:rPr>
            </w:pPr>
          </w:p>
        </w:tc>
        <w:tc>
          <w:tcPr>
            <w:tcW w:w="1297" w:type="dxa"/>
            <w:vAlign w:val="center"/>
          </w:tcPr>
          <w:p w14:paraId="7993C60E">
            <w:pPr>
              <w:shd w:val="clear"/>
              <w:spacing w:line="360" w:lineRule="auto"/>
              <w:jc w:val="center"/>
              <w:rPr>
                <w:rFonts w:ascii="宋体" w:hAnsi="宋体"/>
                <w:color w:val="auto"/>
                <w:szCs w:val="21"/>
                <w:highlight w:val="none"/>
              </w:rPr>
            </w:pPr>
          </w:p>
        </w:tc>
        <w:tc>
          <w:tcPr>
            <w:tcW w:w="1284" w:type="dxa"/>
            <w:vAlign w:val="center"/>
          </w:tcPr>
          <w:p w14:paraId="2133983A">
            <w:pPr>
              <w:shd w:val="clear"/>
              <w:spacing w:line="360" w:lineRule="auto"/>
              <w:jc w:val="center"/>
              <w:rPr>
                <w:rFonts w:ascii="宋体" w:hAnsi="宋体"/>
                <w:color w:val="auto"/>
                <w:szCs w:val="21"/>
                <w:highlight w:val="none"/>
              </w:rPr>
            </w:pPr>
          </w:p>
        </w:tc>
        <w:tc>
          <w:tcPr>
            <w:tcW w:w="1766" w:type="dxa"/>
          </w:tcPr>
          <w:p w14:paraId="1E33D331">
            <w:pPr>
              <w:shd w:val="clear"/>
              <w:spacing w:line="360" w:lineRule="auto"/>
              <w:jc w:val="center"/>
              <w:rPr>
                <w:rFonts w:ascii="宋体" w:hAnsi="宋体"/>
                <w:color w:val="auto"/>
                <w:szCs w:val="21"/>
                <w:highlight w:val="none"/>
              </w:rPr>
            </w:pPr>
          </w:p>
        </w:tc>
        <w:tc>
          <w:tcPr>
            <w:tcW w:w="1112" w:type="dxa"/>
            <w:vAlign w:val="center"/>
          </w:tcPr>
          <w:p w14:paraId="21EE1C24">
            <w:pPr>
              <w:shd w:val="clear"/>
              <w:spacing w:line="360" w:lineRule="auto"/>
              <w:jc w:val="center"/>
              <w:rPr>
                <w:rFonts w:ascii="宋体" w:hAnsi="宋体"/>
                <w:color w:val="auto"/>
                <w:szCs w:val="21"/>
                <w:highlight w:val="none"/>
              </w:rPr>
            </w:pPr>
          </w:p>
        </w:tc>
      </w:tr>
      <w:tr w14:paraId="18993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1C0D18F7">
            <w:pPr>
              <w:shd w:val="clear"/>
              <w:spacing w:line="360" w:lineRule="auto"/>
              <w:jc w:val="center"/>
              <w:rPr>
                <w:rFonts w:ascii="宋体" w:hAnsi="宋体"/>
                <w:color w:val="auto"/>
                <w:szCs w:val="21"/>
                <w:highlight w:val="none"/>
              </w:rPr>
            </w:pPr>
          </w:p>
        </w:tc>
        <w:tc>
          <w:tcPr>
            <w:tcW w:w="927" w:type="dxa"/>
            <w:vAlign w:val="center"/>
          </w:tcPr>
          <w:p w14:paraId="071E4152">
            <w:pPr>
              <w:shd w:val="clear"/>
              <w:spacing w:line="360" w:lineRule="auto"/>
              <w:jc w:val="center"/>
              <w:rPr>
                <w:rFonts w:ascii="宋体" w:hAnsi="宋体"/>
                <w:color w:val="auto"/>
                <w:szCs w:val="21"/>
                <w:highlight w:val="none"/>
              </w:rPr>
            </w:pPr>
          </w:p>
        </w:tc>
        <w:tc>
          <w:tcPr>
            <w:tcW w:w="927" w:type="dxa"/>
            <w:vAlign w:val="center"/>
          </w:tcPr>
          <w:p w14:paraId="3537C602">
            <w:pPr>
              <w:shd w:val="clear"/>
              <w:spacing w:line="360" w:lineRule="auto"/>
              <w:jc w:val="center"/>
              <w:rPr>
                <w:rFonts w:ascii="宋体" w:hAnsi="宋体"/>
                <w:color w:val="auto"/>
                <w:szCs w:val="21"/>
                <w:highlight w:val="none"/>
              </w:rPr>
            </w:pPr>
          </w:p>
        </w:tc>
        <w:tc>
          <w:tcPr>
            <w:tcW w:w="742" w:type="dxa"/>
            <w:vAlign w:val="center"/>
          </w:tcPr>
          <w:p w14:paraId="689080EA">
            <w:pPr>
              <w:shd w:val="clear"/>
              <w:spacing w:line="360" w:lineRule="auto"/>
              <w:jc w:val="center"/>
              <w:rPr>
                <w:rFonts w:ascii="宋体" w:hAnsi="宋体"/>
                <w:color w:val="auto"/>
                <w:szCs w:val="21"/>
                <w:highlight w:val="none"/>
              </w:rPr>
            </w:pPr>
          </w:p>
        </w:tc>
        <w:tc>
          <w:tcPr>
            <w:tcW w:w="742" w:type="dxa"/>
            <w:vAlign w:val="center"/>
          </w:tcPr>
          <w:p w14:paraId="682A92B8">
            <w:pPr>
              <w:shd w:val="clear"/>
              <w:spacing w:line="360" w:lineRule="auto"/>
              <w:jc w:val="center"/>
              <w:rPr>
                <w:rFonts w:ascii="宋体" w:hAnsi="宋体"/>
                <w:color w:val="auto"/>
                <w:szCs w:val="21"/>
                <w:highlight w:val="none"/>
              </w:rPr>
            </w:pPr>
          </w:p>
        </w:tc>
        <w:tc>
          <w:tcPr>
            <w:tcW w:w="1297" w:type="dxa"/>
            <w:vAlign w:val="center"/>
          </w:tcPr>
          <w:p w14:paraId="0005EABC">
            <w:pPr>
              <w:shd w:val="clear"/>
              <w:spacing w:line="360" w:lineRule="auto"/>
              <w:jc w:val="center"/>
              <w:rPr>
                <w:rFonts w:ascii="宋体" w:hAnsi="宋体"/>
                <w:color w:val="auto"/>
                <w:szCs w:val="21"/>
                <w:highlight w:val="none"/>
              </w:rPr>
            </w:pPr>
          </w:p>
        </w:tc>
        <w:tc>
          <w:tcPr>
            <w:tcW w:w="1284" w:type="dxa"/>
            <w:vAlign w:val="center"/>
          </w:tcPr>
          <w:p w14:paraId="58A431E6">
            <w:pPr>
              <w:shd w:val="clear"/>
              <w:spacing w:line="360" w:lineRule="auto"/>
              <w:jc w:val="center"/>
              <w:rPr>
                <w:rFonts w:ascii="宋体" w:hAnsi="宋体"/>
                <w:color w:val="auto"/>
                <w:szCs w:val="21"/>
                <w:highlight w:val="none"/>
              </w:rPr>
            </w:pPr>
          </w:p>
        </w:tc>
        <w:tc>
          <w:tcPr>
            <w:tcW w:w="1766" w:type="dxa"/>
          </w:tcPr>
          <w:p w14:paraId="3C3FBF85">
            <w:pPr>
              <w:shd w:val="clear"/>
              <w:spacing w:line="360" w:lineRule="auto"/>
              <w:jc w:val="center"/>
              <w:rPr>
                <w:rFonts w:ascii="宋体" w:hAnsi="宋体"/>
                <w:color w:val="auto"/>
                <w:szCs w:val="21"/>
                <w:highlight w:val="none"/>
              </w:rPr>
            </w:pPr>
          </w:p>
        </w:tc>
        <w:tc>
          <w:tcPr>
            <w:tcW w:w="1112" w:type="dxa"/>
            <w:vAlign w:val="center"/>
          </w:tcPr>
          <w:p w14:paraId="0F3469EB">
            <w:pPr>
              <w:shd w:val="clear"/>
              <w:spacing w:line="360" w:lineRule="auto"/>
              <w:jc w:val="center"/>
              <w:rPr>
                <w:rFonts w:ascii="宋体" w:hAnsi="宋体"/>
                <w:color w:val="auto"/>
                <w:szCs w:val="21"/>
                <w:highlight w:val="none"/>
              </w:rPr>
            </w:pPr>
          </w:p>
        </w:tc>
      </w:tr>
      <w:tr w14:paraId="2D028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3B2071C7">
            <w:pPr>
              <w:shd w:val="clear"/>
              <w:spacing w:line="360" w:lineRule="auto"/>
              <w:jc w:val="center"/>
              <w:rPr>
                <w:rFonts w:ascii="宋体" w:hAnsi="宋体"/>
                <w:color w:val="auto"/>
                <w:szCs w:val="21"/>
                <w:highlight w:val="none"/>
              </w:rPr>
            </w:pPr>
          </w:p>
        </w:tc>
        <w:tc>
          <w:tcPr>
            <w:tcW w:w="927" w:type="dxa"/>
            <w:vAlign w:val="center"/>
          </w:tcPr>
          <w:p w14:paraId="74570E9E">
            <w:pPr>
              <w:shd w:val="clear"/>
              <w:spacing w:line="360" w:lineRule="auto"/>
              <w:jc w:val="center"/>
              <w:rPr>
                <w:rFonts w:ascii="宋体" w:hAnsi="宋体"/>
                <w:color w:val="auto"/>
                <w:szCs w:val="21"/>
                <w:highlight w:val="none"/>
              </w:rPr>
            </w:pPr>
          </w:p>
        </w:tc>
        <w:tc>
          <w:tcPr>
            <w:tcW w:w="927" w:type="dxa"/>
            <w:vAlign w:val="center"/>
          </w:tcPr>
          <w:p w14:paraId="639FE270">
            <w:pPr>
              <w:shd w:val="clear"/>
              <w:spacing w:line="360" w:lineRule="auto"/>
              <w:jc w:val="center"/>
              <w:rPr>
                <w:rFonts w:ascii="宋体" w:hAnsi="宋体"/>
                <w:color w:val="auto"/>
                <w:szCs w:val="21"/>
                <w:highlight w:val="none"/>
              </w:rPr>
            </w:pPr>
          </w:p>
        </w:tc>
        <w:tc>
          <w:tcPr>
            <w:tcW w:w="742" w:type="dxa"/>
            <w:vAlign w:val="center"/>
          </w:tcPr>
          <w:p w14:paraId="6D8A92F8">
            <w:pPr>
              <w:shd w:val="clear"/>
              <w:spacing w:line="360" w:lineRule="auto"/>
              <w:jc w:val="center"/>
              <w:rPr>
                <w:rFonts w:ascii="宋体" w:hAnsi="宋体"/>
                <w:color w:val="auto"/>
                <w:szCs w:val="21"/>
                <w:highlight w:val="none"/>
              </w:rPr>
            </w:pPr>
          </w:p>
        </w:tc>
        <w:tc>
          <w:tcPr>
            <w:tcW w:w="742" w:type="dxa"/>
            <w:vAlign w:val="center"/>
          </w:tcPr>
          <w:p w14:paraId="1AA4D423">
            <w:pPr>
              <w:shd w:val="clear"/>
              <w:spacing w:line="360" w:lineRule="auto"/>
              <w:jc w:val="center"/>
              <w:rPr>
                <w:rFonts w:ascii="宋体" w:hAnsi="宋体"/>
                <w:color w:val="auto"/>
                <w:szCs w:val="21"/>
                <w:highlight w:val="none"/>
              </w:rPr>
            </w:pPr>
          </w:p>
        </w:tc>
        <w:tc>
          <w:tcPr>
            <w:tcW w:w="1297" w:type="dxa"/>
            <w:vAlign w:val="center"/>
          </w:tcPr>
          <w:p w14:paraId="62D9A2CD">
            <w:pPr>
              <w:shd w:val="clear"/>
              <w:spacing w:line="360" w:lineRule="auto"/>
              <w:jc w:val="center"/>
              <w:rPr>
                <w:rFonts w:ascii="宋体" w:hAnsi="宋体"/>
                <w:color w:val="auto"/>
                <w:szCs w:val="21"/>
                <w:highlight w:val="none"/>
              </w:rPr>
            </w:pPr>
          </w:p>
        </w:tc>
        <w:tc>
          <w:tcPr>
            <w:tcW w:w="1284" w:type="dxa"/>
            <w:vAlign w:val="center"/>
          </w:tcPr>
          <w:p w14:paraId="1579E222">
            <w:pPr>
              <w:shd w:val="clear"/>
              <w:spacing w:line="360" w:lineRule="auto"/>
              <w:jc w:val="center"/>
              <w:rPr>
                <w:rFonts w:ascii="宋体" w:hAnsi="宋体"/>
                <w:color w:val="auto"/>
                <w:szCs w:val="21"/>
                <w:highlight w:val="none"/>
              </w:rPr>
            </w:pPr>
          </w:p>
        </w:tc>
        <w:tc>
          <w:tcPr>
            <w:tcW w:w="1766" w:type="dxa"/>
          </w:tcPr>
          <w:p w14:paraId="665EAFED">
            <w:pPr>
              <w:shd w:val="clear"/>
              <w:spacing w:line="360" w:lineRule="auto"/>
              <w:jc w:val="center"/>
              <w:rPr>
                <w:rFonts w:ascii="宋体" w:hAnsi="宋体"/>
                <w:color w:val="auto"/>
                <w:szCs w:val="21"/>
                <w:highlight w:val="none"/>
              </w:rPr>
            </w:pPr>
          </w:p>
        </w:tc>
        <w:tc>
          <w:tcPr>
            <w:tcW w:w="1112" w:type="dxa"/>
            <w:vAlign w:val="center"/>
          </w:tcPr>
          <w:p w14:paraId="3D4193F6">
            <w:pPr>
              <w:shd w:val="clear"/>
              <w:spacing w:line="360" w:lineRule="auto"/>
              <w:jc w:val="center"/>
              <w:rPr>
                <w:rFonts w:ascii="宋体" w:hAnsi="宋体"/>
                <w:color w:val="auto"/>
                <w:szCs w:val="21"/>
                <w:highlight w:val="none"/>
              </w:rPr>
            </w:pPr>
          </w:p>
        </w:tc>
      </w:tr>
    </w:tbl>
    <w:p w14:paraId="5FF8FB36">
      <w:pPr>
        <w:pStyle w:val="11"/>
        <w:shd w:val="clear"/>
        <w:spacing w:before="120" w:after="120"/>
        <w:ind w:left="630" w:hanging="630" w:hangingChars="300"/>
        <w:rPr>
          <w:rFonts w:hAnsi="宋体"/>
          <w:color w:val="auto"/>
          <w:highlight w:val="none"/>
        </w:rPr>
      </w:pPr>
      <w:r>
        <w:rPr>
          <w:rFonts w:hint="eastAsia" w:hAnsi="宋体"/>
          <w:color w:val="auto"/>
          <w:highlight w:val="none"/>
        </w:rPr>
        <w:t>注：与评分有关的证明材料附后。</w:t>
      </w:r>
    </w:p>
    <w:p w14:paraId="41304036">
      <w:pPr>
        <w:shd w:val="clear"/>
        <w:spacing w:line="400" w:lineRule="exact"/>
        <w:ind w:firstLine="3360" w:firstLineChars="1400"/>
        <w:rPr>
          <w:rFonts w:ascii="宋体" w:hAnsi="宋体"/>
          <w:color w:val="auto"/>
          <w:sz w:val="24"/>
          <w:highlight w:val="none"/>
        </w:rPr>
      </w:pPr>
    </w:p>
    <w:p w14:paraId="25480AF0">
      <w:pPr>
        <w:shd w:val="clear"/>
        <w:spacing w:line="400" w:lineRule="exact"/>
        <w:ind w:firstLine="3360" w:firstLineChars="1400"/>
        <w:rPr>
          <w:rFonts w:ascii="宋体" w:hAnsi="宋体"/>
          <w:color w:val="auto"/>
          <w:sz w:val="24"/>
          <w:highlight w:val="none"/>
        </w:rPr>
      </w:pPr>
      <w:r>
        <w:rPr>
          <w:rFonts w:hint="eastAsia" w:ascii="宋体" w:hAnsi="宋体"/>
          <w:color w:val="auto"/>
          <w:sz w:val="24"/>
          <w:highlight w:val="none"/>
        </w:rPr>
        <w:t>法定代表人或其授权委托人（签名或印章）：</w:t>
      </w:r>
    </w:p>
    <w:p w14:paraId="48217902">
      <w:pPr>
        <w:shd w:val="clear"/>
        <w:spacing w:line="400" w:lineRule="exact"/>
        <w:ind w:firstLine="3360" w:firstLineChars="1400"/>
        <w:rPr>
          <w:rFonts w:ascii="宋体" w:hAnsi="宋体"/>
          <w:color w:val="auto"/>
          <w:sz w:val="24"/>
          <w:highlight w:val="none"/>
        </w:rPr>
      </w:pPr>
      <w:r>
        <w:rPr>
          <w:rFonts w:hint="eastAsia" w:ascii="宋体" w:hAnsi="宋体"/>
          <w:color w:val="auto"/>
          <w:sz w:val="24"/>
          <w:highlight w:val="none"/>
        </w:rPr>
        <w:t>投标人（盖章）：</w:t>
      </w:r>
    </w:p>
    <w:p w14:paraId="19E6E2CD">
      <w:pPr>
        <w:shd w:val="clear"/>
        <w:rPr>
          <w:color w:val="auto"/>
          <w:highlight w:val="none"/>
        </w:rPr>
      </w:pPr>
      <w:r>
        <w:rPr>
          <w:rFonts w:hint="eastAsia" w:ascii="宋体" w:hAnsi="宋体"/>
          <w:color w:val="auto"/>
          <w:sz w:val="24"/>
          <w:highlight w:val="none"/>
        </w:rPr>
        <w:t xml:space="preserve">                            日期：</w:t>
      </w:r>
    </w:p>
    <w:p w14:paraId="670A9D91">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政府采购供应商廉洁自律承诺书</w:t>
      </w:r>
    </w:p>
    <w:p w14:paraId="26E453ED">
      <w:pPr>
        <w:shd w:val="clear"/>
        <w:snapToGrid w:val="0"/>
        <w:spacing w:line="360" w:lineRule="auto"/>
        <w:rPr>
          <w:rFonts w:cs="仿宋" w:asciiTheme="majorEastAsia" w:hAnsiTheme="majorEastAsia" w:eastAsiaTheme="majorEastAsia"/>
          <w:color w:val="auto"/>
          <w:sz w:val="24"/>
          <w:highlight w:val="none"/>
        </w:rPr>
      </w:pPr>
    </w:p>
    <w:p w14:paraId="6B8CE3DB">
      <w:pPr>
        <w:shd w:val="clea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p>
    <w:p w14:paraId="7F9E3BB6">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我单位响应你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项目招标要求参加投标。在这次投标过程中和中标后，我们将严格遵守国家法律法规要求，并郑重承诺：</w:t>
      </w:r>
    </w:p>
    <w:p w14:paraId="10E9F3B4">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14:paraId="663A211B">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二、不为项目有关人员及部门报销应由你方单位或个人支付的费用； </w:t>
      </w:r>
    </w:p>
    <w:p w14:paraId="15EED833">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14:paraId="073EE2CA">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四、不为项目有关人员及部门出国（境）、旅游等提供方便；</w:t>
      </w:r>
    </w:p>
    <w:p w14:paraId="3D948A79">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五、不为项目有关人员个人装修住房、婚丧嫁娶、配偶子女工作安排等提供</w:t>
      </w:r>
    </w:p>
    <w:p w14:paraId="253F017D">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好处；</w:t>
      </w:r>
    </w:p>
    <w:p w14:paraId="219FF545">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六、严格遵守《</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政府采购法》《</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招标投标</w:t>
      </w:r>
    </w:p>
    <w:p w14:paraId="31FECF1A">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w:t>
      </w:r>
      <w:r>
        <w:rPr>
          <w:rFonts w:hint="eastAsia" w:cs="仿宋" w:asciiTheme="majorEastAsia" w:hAnsiTheme="majorEastAsia" w:eastAsiaTheme="majorEastAsia"/>
          <w:color w:val="auto"/>
          <w:sz w:val="24"/>
          <w:highlight w:val="none"/>
          <w:lang w:val="zh-CN"/>
        </w:rPr>
        <w:t>《中华人民共和国民法典》</w:t>
      </w:r>
      <w:r>
        <w:rPr>
          <w:rFonts w:hint="eastAsia" w:cs="仿宋" w:asciiTheme="majorEastAsia" w:hAnsiTheme="majorEastAsia" w:eastAsiaTheme="majorEastAsia"/>
          <w:color w:val="auto"/>
          <w:kern w:val="0"/>
          <w:sz w:val="24"/>
          <w:highlight w:val="none"/>
          <w:lang w:val="zh-CN"/>
        </w:rPr>
        <w:t xml:space="preserve">等法律法规，诚实守信，合法经营，坚决抵制各种违法违纪行为。 </w:t>
      </w:r>
    </w:p>
    <w:p w14:paraId="3AA59830">
      <w:pPr>
        <w:shd w:val="clear"/>
        <w:autoSpaceDE w:val="0"/>
        <w:autoSpaceDN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如违反上述承诺，你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进行项目建设或其他经营活动，并通报市财政局。由此引起的相应损失均由我单位承担。</w:t>
      </w:r>
    </w:p>
    <w:p w14:paraId="44882A4E">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43546082">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46BBDCC9">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09E0F71C">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1ACD1596">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62173387">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5FED486D">
      <w:pPr>
        <w:shd w:val="clear"/>
        <w:spacing w:line="360" w:lineRule="auto"/>
        <w:ind w:left="4620" w:leftChars="2200"/>
        <w:rPr>
          <w:rFonts w:cs="仿宋" w:asciiTheme="majorEastAsia" w:hAnsiTheme="majorEastAsia" w:eastAsiaTheme="majorEastAsia"/>
          <w:color w:val="auto"/>
          <w:sz w:val="24"/>
          <w:highlight w:val="none"/>
        </w:rPr>
      </w:pPr>
    </w:p>
    <w:p w14:paraId="15547746">
      <w:pPr>
        <w:shd w:val="clear"/>
        <w:spacing w:line="360" w:lineRule="auto"/>
        <w:jc w:val="center"/>
        <w:rPr>
          <w:rFonts w:cs="仿宋" w:asciiTheme="majorEastAsia" w:hAnsiTheme="majorEastAsia" w:eastAsiaTheme="majorEastAsia"/>
          <w:b/>
          <w:bCs/>
          <w:color w:val="auto"/>
          <w:sz w:val="24"/>
          <w:highlight w:val="none"/>
        </w:rPr>
      </w:pPr>
    </w:p>
    <w:p w14:paraId="10491EC9">
      <w:pPr>
        <w:shd w:val="clear"/>
        <w:spacing w:line="360" w:lineRule="auto"/>
        <w:jc w:val="center"/>
        <w:rPr>
          <w:rFonts w:cs="仿宋" w:asciiTheme="majorEastAsia" w:hAnsiTheme="majorEastAsia" w:eastAsiaTheme="majorEastAsia"/>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66C2D440">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3E8A939C">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报价文件部分</w:t>
      </w:r>
    </w:p>
    <w:p w14:paraId="1381539B">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06F84395">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sz w:val="24"/>
          <w:highlight w:val="none"/>
        </w:rPr>
        <w:t xml:space="preserve"> </w:t>
      </w:r>
    </w:p>
    <w:p w14:paraId="34707E77">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开标一览表；</w:t>
      </w:r>
    </w:p>
    <w:p w14:paraId="1291970C">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投标报价明细表；</w:t>
      </w:r>
    </w:p>
    <w:p w14:paraId="406BD6EB">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中小企业声明函（如有）；</w:t>
      </w:r>
    </w:p>
    <w:p w14:paraId="6B461AAC">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残疾人福利性单位声明函（如有）；</w:t>
      </w:r>
    </w:p>
    <w:p w14:paraId="0225A2CD">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监狱企业的证明文件（如有）；</w:t>
      </w:r>
    </w:p>
    <w:p w14:paraId="61C3C725">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政府采购统计基础信息表；</w:t>
      </w:r>
    </w:p>
    <w:p w14:paraId="090837AB">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其他资料（如有）。</w:t>
      </w:r>
    </w:p>
    <w:p w14:paraId="2600978B">
      <w:pPr>
        <w:shd w:val="clear"/>
        <w:snapToGrid w:val="0"/>
        <w:spacing w:line="360" w:lineRule="auto"/>
        <w:ind w:right="480"/>
        <w:rPr>
          <w:rFonts w:cs="仿宋" w:asciiTheme="majorEastAsia" w:hAnsiTheme="majorEastAsia" w:eastAsiaTheme="majorEastAsia"/>
          <w:b/>
          <w:color w:val="auto"/>
          <w:kern w:val="0"/>
          <w:sz w:val="32"/>
          <w:szCs w:val="32"/>
          <w:highlight w:val="none"/>
        </w:rPr>
      </w:pPr>
    </w:p>
    <w:p w14:paraId="5E595C5C">
      <w:pPr>
        <w:pStyle w:val="31"/>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6FD7001F">
      <w:pPr>
        <w:pStyle w:val="31"/>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一、开标一览表（报价表）</w:t>
      </w:r>
    </w:p>
    <w:p w14:paraId="44A8BA0D">
      <w:pPr>
        <w:shd w:val="clear"/>
        <w:snapToGrid w:val="0"/>
        <w:spacing w:line="360" w:lineRule="auto"/>
        <w:rPr>
          <w:rFonts w:cs="仿宋" w:asciiTheme="majorEastAsia" w:hAnsiTheme="majorEastAsia" w:eastAsiaTheme="majorEastAsia"/>
          <w:color w:val="auto"/>
          <w:kern w:val="0"/>
          <w:sz w:val="24"/>
          <w:highlight w:val="none"/>
          <w:u w:val="singl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u w:val="single"/>
        </w:rPr>
        <w:t xml:space="preserve">                                     </w:t>
      </w:r>
    </w:p>
    <w:p w14:paraId="4C514701">
      <w:pPr>
        <w:shd w:val="clear"/>
        <w:snapToGrid w:val="0"/>
        <w:spacing w:line="360" w:lineRule="auto"/>
        <w:ind w:firstLine="482"/>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highlight w:val="none"/>
        </w:rPr>
        <w:t>（项目名称）</w:t>
      </w:r>
      <w:r>
        <w:rPr>
          <w:rFonts w:hint="eastAsia" w:cs="仿宋" w:asciiTheme="majorEastAsia" w:hAnsiTheme="majorEastAsia" w:eastAsiaTheme="majorEastAsia"/>
          <w:color w:val="auto"/>
          <w:kern w:val="0"/>
          <w:sz w:val="24"/>
          <w:highlight w:val="none"/>
          <w:lang w:val="zh-CN"/>
        </w:rPr>
        <w:t>【项目编号：</w:t>
      </w:r>
      <w:r>
        <w:rPr>
          <w:rFonts w:hint="eastAsia" w:cs="仿宋" w:asciiTheme="majorEastAsia" w:hAnsiTheme="majorEastAsia" w:eastAsiaTheme="majorEastAsia"/>
          <w:color w:val="auto"/>
          <w:sz w:val="24"/>
          <w:highlight w:val="none"/>
        </w:rPr>
        <w:t xml:space="preserve">      】的实施</w:t>
      </w:r>
      <w:r>
        <w:rPr>
          <w:rFonts w:hint="eastAsia" w:cs="仿宋" w:asciiTheme="majorEastAsia" w:hAnsiTheme="majorEastAsia" w:eastAsiaTheme="majorEastAsia"/>
          <w:color w:val="auto"/>
          <w:kern w:val="0"/>
          <w:sz w:val="24"/>
          <w:highlight w:val="none"/>
          <w:lang w:val="zh-CN"/>
        </w:rPr>
        <w:t>。</w:t>
      </w:r>
    </w:p>
    <w:p w14:paraId="28F9D9FB">
      <w:pPr>
        <w:shd w:val="clear"/>
        <w:spacing w:line="360" w:lineRule="auto"/>
        <w:jc w:val="center"/>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开标一览表（报价表）(单位均为人民币元)</w:t>
      </w:r>
    </w:p>
    <w:tbl>
      <w:tblPr>
        <w:tblStyle w:val="18"/>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969"/>
        <w:gridCol w:w="3402"/>
        <w:gridCol w:w="1417"/>
        <w:gridCol w:w="1559"/>
        <w:gridCol w:w="3686"/>
      </w:tblGrid>
      <w:tr w14:paraId="7A73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8D56755">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3969" w:type="dxa"/>
            <w:vAlign w:val="center"/>
          </w:tcPr>
          <w:p w14:paraId="1EAA1495">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名称</w:t>
            </w:r>
          </w:p>
        </w:tc>
        <w:tc>
          <w:tcPr>
            <w:tcW w:w="3402" w:type="dxa"/>
            <w:vAlign w:val="center"/>
          </w:tcPr>
          <w:p w14:paraId="79D6A4D8">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具体</w:t>
            </w:r>
            <w:r>
              <w:rPr>
                <w:rFonts w:cs="仿宋" w:asciiTheme="majorEastAsia" w:hAnsiTheme="majorEastAsia" w:eastAsiaTheme="majorEastAsia"/>
                <w:b/>
                <w:color w:val="auto"/>
                <w:sz w:val="24"/>
                <w:highlight w:val="none"/>
              </w:rPr>
              <w:t>服务</w:t>
            </w:r>
          </w:p>
        </w:tc>
        <w:tc>
          <w:tcPr>
            <w:tcW w:w="1417" w:type="dxa"/>
            <w:vAlign w:val="center"/>
          </w:tcPr>
          <w:p w14:paraId="61FD6E52">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数量</w:t>
            </w:r>
          </w:p>
        </w:tc>
        <w:tc>
          <w:tcPr>
            <w:tcW w:w="1559" w:type="dxa"/>
            <w:vAlign w:val="center"/>
          </w:tcPr>
          <w:p w14:paraId="35351B4B">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单价</w:t>
            </w:r>
          </w:p>
        </w:tc>
        <w:tc>
          <w:tcPr>
            <w:tcW w:w="3686" w:type="dxa"/>
            <w:vAlign w:val="center"/>
          </w:tcPr>
          <w:p w14:paraId="1F264166">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总价</w:t>
            </w:r>
          </w:p>
        </w:tc>
      </w:tr>
      <w:tr w14:paraId="61B9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835636C">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3969" w:type="dxa"/>
            <w:vAlign w:val="center"/>
          </w:tcPr>
          <w:p w14:paraId="0A65B42E">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2025-2027年奉化莼湖街道渔船风险隐患普查项目</w:t>
            </w:r>
          </w:p>
        </w:tc>
        <w:tc>
          <w:tcPr>
            <w:tcW w:w="3402" w:type="dxa"/>
            <w:vAlign w:val="center"/>
          </w:tcPr>
          <w:p w14:paraId="147E251E">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渔船风险隐患普查</w:t>
            </w:r>
          </w:p>
        </w:tc>
        <w:tc>
          <w:tcPr>
            <w:tcW w:w="2976" w:type="dxa"/>
            <w:gridSpan w:val="2"/>
            <w:vAlign w:val="center"/>
          </w:tcPr>
          <w:p w14:paraId="405190D7">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详见“投标报价明细表”</w:t>
            </w:r>
          </w:p>
        </w:tc>
        <w:tc>
          <w:tcPr>
            <w:tcW w:w="3686" w:type="dxa"/>
            <w:vAlign w:val="center"/>
          </w:tcPr>
          <w:p w14:paraId="08627918">
            <w:pPr>
              <w:shd w:val="clear"/>
              <w:spacing w:line="360" w:lineRule="auto"/>
              <w:jc w:val="left"/>
              <w:rPr>
                <w:rFonts w:cs="仿宋" w:asciiTheme="majorEastAsia" w:hAnsiTheme="majorEastAsia" w:eastAsiaTheme="majorEastAsia"/>
                <w:color w:val="auto"/>
                <w:sz w:val="24"/>
                <w:highlight w:val="none"/>
                <w:u w:val="single"/>
              </w:rPr>
            </w:pPr>
            <w:r>
              <w:rPr>
                <w:rFonts w:hint="eastAsia" w:cs="仿宋" w:asciiTheme="majorEastAsia" w:hAnsiTheme="majorEastAsia" w:eastAsiaTheme="majorEastAsia"/>
                <w:b/>
                <w:color w:val="auto"/>
                <w:sz w:val="24"/>
                <w:highlight w:val="none"/>
              </w:rPr>
              <w:t>总价（小写）：</w:t>
            </w:r>
            <w:r>
              <w:rPr>
                <w:rFonts w:hint="eastAsia" w:cs="仿宋" w:asciiTheme="majorEastAsia" w:hAnsiTheme="majorEastAsia" w:eastAsiaTheme="majorEastAsia"/>
                <w:b/>
                <w:color w:val="auto"/>
                <w:sz w:val="24"/>
                <w:highlight w:val="none"/>
                <w:u w:val="single"/>
              </w:rPr>
              <w:t xml:space="preserve">           </w:t>
            </w:r>
          </w:p>
        </w:tc>
      </w:tr>
      <w:tr w14:paraId="3E36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905" w:type="dxa"/>
            <w:gridSpan w:val="3"/>
            <w:vAlign w:val="center"/>
          </w:tcPr>
          <w:p w14:paraId="14E0814A">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投标报价（小写）</w:t>
            </w:r>
          </w:p>
        </w:tc>
        <w:tc>
          <w:tcPr>
            <w:tcW w:w="6662" w:type="dxa"/>
            <w:gridSpan w:val="3"/>
            <w:vAlign w:val="center"/>
          </w:tcPr>
          <w:p w14:paraId="0DDC7C75">
            <w:pPr>
              <w:shd w:val="clear"/>
              <w:spacing w:line="360" w:lineRule="auto"/>
              <w:jc w:val="center"/>
              <w:rPr>
                <w:rFonts w:cs="仿宋" w:asciiTheme="majorEastAsia" w:hAnsiTheme="majorEastAsia" w:eastAsiaTheme="majorEastAsia"/>
                <w:color w:val="auto"/>
                <w:sz w:val="24"/>
                <w:highlight w:val="none"/>
              </w:rPr>
            </w:pPr>
          </w:p>
        </w:tc>
      </w:tr>
      <w:tr w14:paraId="5094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05" w:type="dxa"/>
            <w:gridSpan w:val="3"/>
            <w:vAlign w:val="center"/>
          </w:tcPr>
          <w:p w14:paraId="6C3FC05C">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投标报价（大写）</w:t>
            </w:r>
          </w:p>
        </w:tc>
        <w:tc>
          <w:tcPr>
            <w:tcW w:w="6662" w:type="dxa"/>
            <w:gridSpan w:val="3"/>
            <w:vAlign w:val="center"/>
          </w:tcPr>
          <w:p w14:paraId="465DA9A4">
            <w:pPr>
              <w:shd w:val="clear"/>
              <w:spacing w:line="360" w:lineRule="auto"/>
              <w:jc w:val="center"/>
              <w:rPr>
                <w:rFonts w:cs="仿宋" w:asciiTheme="majorEastAsia" w:hAnsiTheme="majorEastAsia" w:eastAsiaTheme="majorEastAsia"/>
                <w:color w:val="auto"/>
                <w:sz w:val="24"/>
                <w:highlight w:val="none"/>
              </w:rPr>
            </w:pPr>
          </w:p>
        </w:tc>
      </w:tr>
    </w:tbl>
    <w:p w14:paraId="32A89B16">
      <w:pPr>
        <w:shd w:val="clear"/>
        <w:snapToGrid w:val="0"/>
        <w:spacing w:line="360" w:lineRule="auto"/>
        <w:ind w:left="480"/>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注：</w:t>
      </w:r>
    </w:p>
    <w:p w14:paraId="384ED85E">
      <w:pPr>
        <w:shd w:val="clear"/>
        <w:spacing w:line="360" w:lineRule="auto"/>
        <w:ind w:left="-2" w:leftChars="-1"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1、投标人需按本表格式填写，不得自行更改。</w:t>
      </w:r>
    </w:p>
    <w:p w14:paraId="61289361">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2、有关本项目实施所涉及的一切费用均计入报价。</w:t>
      </w:r>
      <w:r>
        <w:rPr>
          <w:rFonts w:hint="eastAsia" w:cs="仿宋" w:asciiTheme="majorEastAsia" w:hAnsiTheme="majorEastAsia" w:eastAsiaTheme="majorEastAsia"/>
          <w:b/>
          <w:color w:val="auto"/>
          <w:kern w:val="0"/>
          <w:sz w:val="24"/>
          <w:highlight w:val="none"/>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b/>
          <w:color w:val="auto"/>
          <w:kern w:val="0"/>
          <w:sz w:val="24"/>
          <w:highlight w:val="none"/>
          <w:lang w:val="zh-CN"/>
        </w:rPr>
        <w:t>不得出现“0元”“免费赠送”等形式的无偿报价，</w:t>
      </w:r>
      <w:r>
        <w:rPr>
          <w:rFonts w:hint="eastAsia" w:cs="仿宋" w:asciiTheme="majorEastAsia" w:hAnsiTheme="majorEastAsia" w:eastAsiaTheme="majorEastAsia"/>
          <w:b/>
          <w:color w:val="auto"/>
          <w:kern w:val="0"/>
          <w:sz w:val="24"/>
          <w:highlight w:val="none"/>
        </w:rPr>
        <w:t>否则视为</w:t>
      </w:r>
      <w:r>
        <w:rPr>
          <w:rFonts w:hint="eastAsia" w:cs="仿宋" w:asciiTheme="majorEastAsia" w:hAnsiTheme="majorEastAsia" w:eastAsiaTheme="majorEastAsia"/>
          <w:b/>
          <w:color w:val="auto"/>
          <w:sz w:val="24"/>
          <w:highlight w:val="none"/>
        </w:rPr>
        <w:t>投标文件含有采购人不能接受的附加条件的，投标无效</w:t>
      </w:r>
      <w:r>
        <w:rPr>
          <w:rFonts w:hint="eastAsia" w:cs="仿宋" w:asciiTheme="majorEastAsia" w:hAnsiTheme="majorEastAsia" w:eastAsiaTheme="majorEastAsia"/>
          <w:b/>
          <w:color w:val="auto"/>
          <w:kern w:val="0"/>
          <w:sz w:val="24"/>
          <w:highlight w:val="none"/>
          <w:lang w:val="zh-CN"/>
        </w:rPr>
        <w:t>。</w:t>
      </w:r>
    </w:p>
    <w:p w14:paraId="2215DDCE">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3、以上表格要求细分项目及报价，在“具体服务”一栏中，服务类项目填写具体服务。</w:t>
      </w:r>
    </w:p>
    <w:p w14:paraId="4801BC16">
      <w:pPr>
        <w:shd w:val="clear"/>
        <w:spacing w:line="360" w:lineRule="auto"/>
        <w:ind w:left="3780" w:leftChars="1800"/>
        <w:rPr>
          <w:rFonts w:cs="仿宋" w:asciiTheme="majorEastAsia" w:hAnsiTheme="majorEastAsia" w:eastAsiaTheme="majorEastAsia"/>
          <w:color w:val="auto"/>
          <w:sz w:val="32"/>
          <w:szCs w:val="32"/>
          <w:highlight w:val="none"/>
        </w:rPr>
      </w:pPr>
    </w:p>
    <w:p w14:paraId="62A81D52">
      <w:pPr>
        <w:pStyle w:val="2"/>
        <w:shd w:val="clear"/>
        <w:spacing w:line="360" w:lineRule="auto"/>
        <w:ind w:firstLine="640"/>
        <w:rPr>
          <w:rFonts w:cs="仿宋" w:asciiTheme="majorEastAsia" w:hAnsiTheme="majorEastAsia" w:eastAsiaTheme="majorEastAsia"/>
          <w:color w:val="auto"/>
          <w:sz w:val="32"/>
          <w:szCs w:val="32"/>
          <w:highlight w:val="none"/>
        </w:rPr>
      </w:pPr>
    </w:p>
    <w:p w14:paraId="3D42454E">
      <w:pPr>
        <w:pStyle w:val="2"/>
        <w:shd w:val="clear"/>
        <w:spacing w:line="360" w:lineRule="auto"/>
        <w:ind w:firstLine="640"/>
        <w:rPr>
          <w:rFonts w:cs="仿宋" w:asciiTheme="majorEastAsia" w:hAnsiTheme="majorEastAsia" w:eastAsiaTheme="majorEastAsia"/>
          <w:color w:val="auto"/>
          <w:sz w:val="32"/>
          <w:szCs w:val="32"/>
          <w:highlight w:val="none"/>
        </w:rPr>
      </w:pPr>
    </w:p>
    <w:p w14:paraId="0D3FDCE0">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584B1B25">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42D12929">
      <w:pPr>
        <w:shd w:val="clear"/>
        <w:spacing w:line="360" w:lineRule="auto"/>
        <w:ind w:left="7560" w:leftChars="3600"/>
        <w:rPr>
          <w:rFonts w:asciiTheme="majorEastAsia" w:hAnsiTheme="majorEastAsia" w:eastAsiaTheme="majorEastAsia"/>
          <w:color w:val="auto"/>
          <w:highlight w:val="none"/>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color w:val="auto"/>
          <w:sz w:val="24"/>
          <w:highlight w:val="none"/>
        </w:rPr>
        <w:t xml:space="preserve">日  期： </w:t>
      </w:r>
    </w:p>
    <w:p w14:paraId="3D409474">
      <w:pPr>
        <w:pStyle w:val="31"/>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二、投标报价明细表</w:t>
      </w:r>
    </w:p>
    <w:p w14:paraId="278A31F0">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投标人名称：</w:t>
      </w:r>
      <w:r>
        <w:rPr>
          <w:rFonts w:hint="eastAsia" w:cs="仿宋" w:asciiTheme="majorEastAsia" w:hAnsiTheme="majorEastAsia" w:eastAsiaTheme="majorEastAsia"/>
          <w:color w:val="auto"/>
          <w:kern w:val="0"/>
          <w:sz w:val="24"/>
          <w:highlight w:val="none"/>
          <w:u w:val="single"/>
        </w:rPr>
        <w:t xml:space="preserve">                            </w:t>
      </w:r>
    </w:p>
    <w:p w14:paraId="2ED2B069">
      <w:pPr>
        <w:shd w:val="clear"/>
        <w:snapToGrid w:val="0"/>
        <w:spacing w:line="360" w:lineRule="auto"/>
        <w:jc w:val="left"/>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项目编号： </w:t>
      </w:r>
      <w:r>
        <w:rPr>
          <w:rFonts w:hint="eastAsia" w:cs="仿宋" w:asciiTheme="majorEastAsia" w:hAnsiTheme="majorEastAsia" w:eastAsiaTheme="majorEastAsia"/>
          <w:color w:val="auto"/>
          <w:kern w:val="0"/>
          <w:sz w:val="24"/>
          <w:highlight w:val="none"/>
          <w:u w:val="single"/>
        </w:rPr>
        <w:t xml:space="preserve">                             </w:t>
      </w:r>
      <w:r>
        <w:rPr>
          <w:rFonts w:hint="eastAsia" w:cs="仿宋" w:asciiTheme="majorEastAsia" w:hAnsiTheme="majorEastAsia" w:eastAsiaTheme="majorEastAsia"/>
          <w:color w:val="auto"/>
          <w:sz w:val="24"/>
          <w:highlight w:val="none"/>
        </w:rPr>
        <w:t xml:space="preserve">           金额单位：人民币（元）</w:t>
      </w:r>
    </w:p>
    <w:tbl>
      <w:tblPr>
        <w:tblStyle w:val="18"/>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2693"/>
        <w:gridCol w:w="1590"/>
        <w:gridCol w:w="1954"/>
        <w:gridCol w:w="2410"/>
      </w:tblGrid>
      <w:tr w14:paraId="7A2CB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8ACDA02">
            <w:pPr>
              <w:shd w:val="clear"/>
              <w:rPr>
                <w:rFonts w:ascii="宋体" w:hAnsi="宋体"/>
                <w:color w:val="auto"/>
                <w:highlight w:val="none"/>
              </w:rPr>
            </w:pPr>
            <w:r>
              <w:rPr>
                <w:rFonts w:hint="eastAsia" w:ascii="宋体" w:hAnsi="宋体"/>
                <w:color w:val="auto"/>
                <w:highlight w:val="none"/>
              </w:rPr>
              <w:t>序号</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FE8D4FC">
            <w:pPr>
              <w:shd w:val="clear"/>
              <w:jc w:val="center"/>
              <w:rPr>
                <w:rFonts w:ascii="宋体" w:hAnsi="宋体"/>
                <w:color w:val="auto"/>
                <w:highlight w:val="none"/>
              </w:rPr>
            </w:pPr>
            <w:r>
              <w:rPr>
                <w:rFonts w:hint="eastAsia" w:ascii="宋体" w:hAnsi="宋体"/>
                <w:color w:val="auto"/>
                <w:highlight w:val="none"/>
              </w:rPr>
              <w:t>细则</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594E78FD">
            <w:pPr>
              <w:shd w:val="clear"/>
              <w:jc w:val="center"/>
              <w:rPr>
                <w:rFonts w:ascii="宋体" w:hAnsi="宋体"/>
                <w:color w:val="auto"/>
                <w:highlight w:val="none"/>
              </w:rPr>
            </w:pPr>
            <w:r>
              <w:rPr>
                <w:rFonts w:hint="eastAsia" w:ascii="宋体" w:hAnsi="宋体"/>
                <w:color w:val="auto"/>
                <w:highlight w:val="none"/>
              </w:rPr>
              <w:t>数量</w:t>
            </w:r>
          </w:p>
        </w:tc>
        <w:tc>
          <w:tcPr>
            <w:tcW w:w="1954" w:type="dxa"/>
            <w:tcBorders>
              <w:top w:val="single" w:color="auto" w:sz="4" w:space="0"/>
              <w:left w:val="single" w:color="auto" w:sz="4" w:space="0"/>
              <w:bottom w:val="single" w:color="auto" w:sz="4" w:space="0"/>
              <w:right w:val="single" w:color="auto" w:sz="4" w:space="0"/>
            </w:tcBorders>
            <w:noWrap w:val="0"/>
            <w:vAlign w:val="center"/>
          </w:tcPr>
          <w:p w14:paraId="651BA177">
            <w:pPr>
              <w:shd w:val="clear"/>
              <w:jc w:val="center"/>
              <w:rPr>
                <w:rFonts w:ascii="宋体" w:hAnsi="宋体"/>
                <w:color w:val="auto"/>
                <w:highlight w:val="none"/>
              </w:rPr>
            </w:pPr>
            <w:r>
              <w:rPr>
                <w:rFonts w:hint="eastAsia" w:ascii="宋体" w:hAnsi="宋体"/>
                <w:color w:val="auto"/>
                <w:highlight w:val="none"/>
              </w:rPr>
              <w:t>单价（元）</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BC6A126">
            <w:pPr>
              <w:shd w:val="clear"/>
              <w:jc w:val="center"/>
              <w:rPr>
                <w:rFonts w:ascii="宋体" w:hAnsi="宋体"/>
                <w:color w:val="auto"/>
                <w:highlight w:val="none"/>
              </w:rPr>
            </w:pPr>
            <w:r>
              <w:rPr>
                <w:rFonts w:hint="eastAsia" w:ascii="宋体" w:hAnsi="宋体"/>
                <w:color w:val="auto"/>
                <w:highlight w:val="none"/>
              </w:rPr>
              <w:t>金额</w:t>
            </w:r>
          </w:p>
        </w:tc>
      </w:tr>
      <w:tr w14:paraId="68979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38D58CAC">
            <w:pPr>
              <w:shd w:val="clear"/>
              <w:jc w:val="center"/>
              <w:rPr>
                <w:rFonts w:ascii="宋体" w:hAnsi="宋体"/>
                <w:color w:val="auto"/>
                <w:highlight w:val="none"/>
              </w:rPr>
            </w:pPr>
            <w:r>
              <w:rPr>
                <w:rFonts w:hint="eastAsia" w:ascii="宋体" w:hAnsi="宋体"/>
                <w:color w:val="auto"/>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FD45559">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1505B2EB">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noWrap w:val="0"/>
            <w:vAlign w:val="top"/>
          </w:tcPr>
          <w:p w14:paraId="045079CC">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350D7675">
            <w:pPr>
              <w:shd w:val="clear"/>
              <w:rPr>
                <w:rFonts w:ascii="宋体" w:hAnsi="宋体"/>
                <w:color w:val="auto"/>
                <w:highlight w:val="none"/>
              </w:rPr>
            </w:pPr>
          </w:p>
        </w:tc>
      </w:tr>
      <w:tr w14:paraId="00204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1D5A2810">
            <w:pPr>
              <w:shd w:val="clear"/>
              <w:jc w:val="center"/>
              <w:rPr>
                <w:rFonts w:ascii="宋体" w:hAnsi="宋体"/>
                <w:color w:val="auto"/>
                <w:highlight w:val="none"/>
              </w:rPr>
            </w:pPr>
            <w:r>
              <w:rPr>
                <w:rFonts w:hint="eastAsia" w:ascii="宋体" w:hAnsi="宋体"/>
                <w:color w:val="auto"/>
                <w:highlight w:val="none"/>
              </w:rPr>
              <w:t>2</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F829CFF">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2EB50F0E">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noWrap w:val="0"/>
            <w:vAlign w:val="top"/>
          </w:tcPr>
          <w:p w14:paraId="20F7124F">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F30A9E0">
            <w:pPr>
              <w:shd w:val="clear"/>
              <w:rPr>
                <w:rFonts w:ascii="宋体" w:hAnsi="宋体"/>
                <w:color w:val="auto"/>
                <w:highlight w:val="none"/>
              </w:rPr>
            </w:pPr>
          </w:p>
        </w:tc>
      </w:tr>
      <w:tr w14:paraId="7D43B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10E00B2C">
            <w:pPr>
              <w:shd w:val="clear"/>
              <w:jc w:val="center"/>
              <w:rPr>
                <w:rFonts w:ascii="宋体" w:hAnsi="宋体"/>
                <w:color w:val="auto"/>
                <w:highlight w:val="none"/>
              </w:rPr>
            </w:pPr>
            <w:r>
              <w:rPr>
                <w:rFonts w:hint="eastAsia" w:ascii="宋体" w:hAnsi="宋体"/>
                <w:color w:val="auto"/>
                <w:highlight w:val="none"/>
              </w:rPr>
              <w:t>3</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2193DE1">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1B9237B0">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noWrap w:val="0"/>
            <w:vAlign w:val="top"/>
          </w:tcPr>
          <w:p w14:paraId="55B8F76B">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3582AE5D">
            <w:pPr>
              <w:shd w:val="clear"/>
              <w:rPr>
                <w:rFonts w:ascii="宋体" w:hAnsi="宋体"/>
                <w:color w:val="auto"/>
                <w:highlight w:val="none"/>
              </w:rPr>
            </w:pPr>
          </w:p>
        </w:tc>
      </w:tr>
      <w:tr w14:paraId="5F300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2467E5FD">
            <w:pPr>
              <w:shd w:val="clear"/>
              <w:jc w:val="center"/>
              <w:rPr>
                <w:rFonts w:ascii="宋体" w:hAnsi="宋体"/>
                <w:color w:val="auto"/>
                <w:highlight w:val="none"/>
              </w:rPr>
            </w:pPr>
            <w:r>
              <w:rPr>
                <w:rFonts w:hint="eastAsia" w:ascii="宋体" w:hAnsi="宋体"/>
                <w:color w:val="auto"/>
                <w:highlight w:val="none"/>
              </w:rPr>
              <w:t>4</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E635124">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137EF1A7">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noWrap w:val="0"/>
            <w:vAlign w:val="top"/>
          </w:tcPr>
          <w:p w14:paraId="3A6E0300">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7D0100A4">
            <w:pPr>
              <w:shd w:val="clear"/>
              <w:rPr>
                <w:rFonts w:ascii="宋体" w:hAnsi="宋体"/>
                <w:color w:val="auto"/>
                <w:highlight w:val="none"/>
              </w:rPr>
            </w:pPr>
          </w:p>
        </w:tc>
      </w:tr>
      <w:tr w14:paraId="5BE4B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6E57E6BB">
            <w:pPr>
              <w:shd w:val="clear"/>
              <w:jc w:val="center"/>
              <w:rPr>
                <w:rFonts w:ascii="宋体" w:hAnsi="宋体"/>
                <w:color w:val="auto"/>
                <w:highlight w:val="none"/>
              </w:rPr>
            </w:pPr>
            <w:r>
              <w:rPr>
                <w:rFonts w:hint="eastAsia" w:ascii="宋体" w:hAnsi="宋体"/>
                <w:color w:val="auto"/>
                <w:highlight w:val="none"/>
              </w:rPr>
              <w:t>5</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F54C42C">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5D9A91D0">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noWrap w:val="0"/>
            <w:vAlign w:val="top"/>
          </w:tcPr>
          <w:p w14:paraId="514D5035">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EE88977">
            <w:pPr>
              <w:shd w:val="clear"/>
              <w:rPr>
                <w:rFonts w:ascii="宋体" w:hAnsi="宋体"/>
                <w:color w:val="auto"/>
                <w:highlight w:val="none"/>
              </w:rPr>
            </w:pPr>
          </w:p>
        </w:tc>
      </w:tr>
      <w:tr w14:paraId="58648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3F2782F8">
            <w:pPr>
              <w:shd w:val="clear"/>
              <w:jc w:val="center"/>
              <w:rPr>
                <w:rFonts w:ascii="宋体" w:hAnsi="宋体"/>
                <w:color w:val="auto"/>
                <w:highlight w:val="none"/>
              </w:rPr>
            </w:pPr>
            <w:r>
              <w:rPr>
                <w:rFonts w:hint="eastAsia" w:ascii="宋体" w:hAnsi="宋体"/>
                <w:color w:val="auto"/>
                <w:highlight w:val="none"/>
              </w:rPr>
              <w:t>6</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0C343A6">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35A07263">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noWrap w:val="0"/>
            <w:vAlign w:val="top"/>
          </w:tcPr>
          <w:p w14:paraId="466D2585">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B507776">
            <w:pPr>
              <w:shd w:val="clear"/>
              <w:rPr>
                <w:rFonts w:ascii="宋体" w:hAnsi="宋体"/>
                <w:color w:val="auto"/>
                <w:highlight w:val="none"/>
              </w:rPr>
            </w:pPr>
          </w:p>
        </w:tc>
      </w:tr>
      <w:tr w14:paraId="4EBF2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7EF7CAE8">
            <w:pPr>
              <w:shd w:val="clear"/>
              <w:jc w:val="center"/>
              <w:rPr>
                <w:rFonts w:ascii="宋体" w:hAnsi="宋体"/>
                <w:color w:val="auto"/>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46656C7">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4382F196">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noWrap w:val="0"/>
            <w:vAlign w:val="top"/>
          </w:tcPr>
          <w:p w14:paraId="6AE05BA3">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2D65D457">
            <w:pPr>
              <w:shd w:val="clear"/>
              <w:rPr>
                <w:rFonts w:ascii="宋体" w:hAnsi="宋体"/>
                <w:color w:val="auto"/>
                <w:highlight w:val="none"/>
              </w:rPr>
            </w:pPr>
          </w:p>
        </w:tc>
      </w:tr>
      <w:tr w14:paraId="66B18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6F0AFA70">
            <w:pPr>
              <w:shd w:val="clear"/>
              <w:jc w:val="center"/>
              <w:rPr>
                <w:rFonts w:ascii="宋体" w:hAnsi="宋体"/>
                <w:color w:val="auto"/>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8D1556C">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266F7A59">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noWrap w:val="0"/>
            <w:vAlign w:val="top"/>
          </w:tcPr>
          <w:p w14:paraId="5A7445F1">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31342156">
            <w:pPr>
              <w:shd w:val="clear"/>
              <w:rPr>
                <w:rFonts w:ascii="宋体" w:hAnsi="宋体"/>
                <w:color w:val="auto"/>
                <w:highlight w:val="none"/>
              </w:rPr>
            </w:pPr>
          </w:p>
        </w:tc>
      </w:tr>
      <w:tr w14:paraId="2BFCB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2D41E4A3">
            <w:pPr>
              <w:shd w:val="clear"/>
              <w:jc w:val="center"/>
              <w:rPr>
                <w:rFonts w:ascii="宋体" w:hAnsi="宋体"/>
                <w:color w:val="auto"/>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72BDEFF">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5300DF8A">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noWrap w:val="0"/>
            <w:vAlign w:val="top"/>
          </w:tcPr>
          <w:p w14:paraId="26676946">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433FC8D">
            <w:pPr>
              <w:shd w:val="clear"/>
              <w:rPr>
                <w:rFonts w:ascii="宋体" w:hAnsi="宋体"/>
                <w:color w:val="auto"/>
                <w:highlight w:val="none"/>
              </w:rPr>
            </w:pPr>
          </w:p>
        </w:tc>
      </w:tr>
      <w:tr w14:paraId="7666F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3EBA8449">
            <w:pPr>
              <w:shd w:val="clear"/>
              <w:jc w:val="center"/>
              <w:rPr>
                <w:rFonts w:ascii="宋体" w:hAnsi="宋体"/>
                <w:color w:val="auto"/>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0C8CDAC">
            <w:pPr>
              <w:shd w:val="clear"/>
              <w:adjustRightInd w:val="0"/>
              <w:snapToGrid w:val="0"/>
              <w:jc w:val="center"/>
              <w:rPr>
                <w:rFonts w:ascii="宋体" w:hAnsi="宋体"/>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top"/>
          </w:tcPr>
          <w:p w14:paraId="6148FA61">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noWrap w:val="0"/>
            <w:vAlign w:val="top"/>
          </w:tcPr>
          <w:p w14:paraId="60F4B3E9">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8304224">
            <w:pPr>
              <w:shd w:val="clear"/>
              <w:rPr>
                <w:rFonts w:ascii="宋体" w:hAnsi="宋体"/>
                <w:color w:val="auto"/>
                <w:highlight w:val="none"/>
              </w:rPr>
            </w:pPr>
          </w:p>
        </w:tc>
      </w:tr>
      <w:tr w14:paraId="79028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769AAC0C">
            <w:pPr>
              <w:shd w:val="clear"/>
              <w:jc w:val="center"/>
              <w:rPr>
                <w:rFonts w:ascii="宋体" w:hAnsi="宋体"/>
                <w:color w:val="auto"/>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4255885">
            <w:pPr>
              <w:shd w:val="clear"/>
              <w:adjustRightInd w:val="0"/>
              <w:snapToGrid w:val="0"/>
              <w:jc w:val="center"/>
              <w:rPr>
                <w:rFonts w:ascii="宋体" w:hAnsi="宋体"/>
                <w:color w:val="auto"/>
                <w:szCs w:val="21"/>
                <w:highlight w:val="none"/>
              </w:rPr>
            </w:pPr>
            <w:r>
              <w:rPr>
                <w:rFonts w:hint="eastAsia" w:ascii="宋体" w:hAnsi="宋体"/>
                <w:color w:val="auto"/>
                <w:szCs w:val="21"/>
                <w:highlight w:val="none"/>
              </w:rPr>
              <w:t>税费</w:t>
            </w:r>
          </w:p>
        </w:tc>
        <w:tc>
          <w:tcPr>
            <w:tcW w:w="1590" w:type="dxa"/>
            <w:tcBorders>
              <w:top w:val="single" w:color="auto" w:sz="4" w:space="0"/>
              <w:left w:val="single" w:color="auto" w:sz="4" w:space="0"/>
              <w:bottom w:val="single" w:color="auto" w:sz="4" w:space="0"/>
              <w:right w:val="single" w:color="auto" w:sz="4" w:space="0"/>
            </w:tcBorders>
            <w:noWrap w:val="0"/>
            <w:vAlign w:val="top"/>
          </w:tcPr>
          <w:p w14:paraId="3964F64C">
            <w:pPr>
              <w:shd w:val="clear"/>
              <w:rPr>
                <w:rFonts w:ascii="宋体" w:hAnsi="宋体"/>
                <w:color w:val="auto"/>
                <w:highlight w:val="none"/>
              </w:rPr>
            </w:pPr>
          </w:p>
        </w:tc>
        <w:tc>
          <w:tcPr>
            <w:tcW w:w="1954" w:type="dxa"/>
            <w:tcBorders>
              <w:top w:val="single" w:color="auto" w:sz="4" w:space="0"/>
              <w:left w:val="single" w:color="auto" w:sz="4" w:space="0"/>
              <w:bottom w:val="single" w:color="auto" w:sz="4" w:space="0"/>
              <w:right w:val="single" w:color="auto" w:sz="4" w:space="0"/>
            </w:tcBorders>
            <w:noWrap w:val="0"/>
            <w:vAlign w:val="top"/>
          </w:tcPr>
          <w:p w14:paraId="44820E2D">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7986059E">
            <w:pPr>
              <w:shd w:val="clear"/>
              <w:rPr>
                <w:rFonts w:ascii="宋体" w:hAnsi="宋体"/>
                <w:color w:val="auto"/>
                <w:highlight w:val="none"/>
              </w:rPr>
            </w:pPr>
          </w:p>
        </w:tc>
      </w:tr>
      <w:tr w14:paraId="64135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51" w:type="dxa"/>
            <w:gridSpan w:val="4"/>
            <w:tcBorders>
              <w:top w:val="single" w:color="auto" w:sz="4" w:space="0"/>
              <w:left w:val="single" w:color="auto" w:sz="4" w:space="0"/>
              <w:bottom w:val="single" w:color="auto" w:sz="4" w:space="0"/>
              <w:right w:val="single" w:color="auto" w:sz="4" w:space="0"/>
            </w:tcBorders>
            <w:noWrap w:val="0"/>
            <w:vAlign w:val="top"/>
          </w:tcPr>
          <w:p w14:paraId="0787AC2B">
            <w:pPr>
              <w:shd w:val="clear"/>
              <w:jc w:val="center"/>
              <w:rPr>
                <w:rFonts w:ascii="宋体" w:hAnsi="宋体"/>
                <w:color w:val="auto"/>
                <w:highlight w:val="none"/>
              </w:rPr>
            </w:pPr>
            <w:r>
              <w:rPr>
                <w:rFonts w:hint="eastAsia" w:ascii="宋体" w:hAnsi="宋体"/>
                <w:color w:val="auto"/>
                <w:highlight w:val="none"/>
              </w:rPr>
              <w:t>投 标 总  价</w:t>
            </w:r>
          </w:p>
        </w:tc>
        <w:tc>
          <w:tcPr>
            <w:tcW w:w="2410" w:type="dxa"/>
            <w:tcBorders>
              <w:top w:val="single" w:color="auto" w:sz="4" w:space="0"/>
              <w:left w:val="single" w:color="auto" w:sz="4" w:space="0"/>
              <w:bottom w:val="single" w:color="auto" w:sz="4" w:space="0"/>
              <w:right w:val="single" w:color="auto" w:sz="4" w:space="0"/>
            </w:tcBorders>
            <w:noWrap w:val="0"/>
            <w:vAlign w:val="top"/>
          </w:tcPr>
          <w:p w14:paraId="5A1B7571">
            <w:pPr>
              <w:shd w:val="clear"/>
              <w:rPr>
                <w:rFonts w:ascii="宋体" w:hAnsi="宋体"/>
                <w:color w:val="auto"/>
                <w:highlight w:val="none"/>
              </w:rPr>
            </w:pPr>
          </w:p>
        </w:tc>
      </w:tr>
    </w:tbl>
    <w:p w14:paraId="71500992">
      <w:pPr>
        <w:pStyle w:val="9"/>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注：</w:t>
      </w:r>
    </w:p>
    <w:p w14:paraId="0488AD4A">
      <w:pPr>
        <w:pStyle w:val="9"/>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1.本表格仅供参考，投标人可根据项目实际情况扩展表格。</w:t>
      </w:r>
    </w:p>
    <w:p w14:paraId="6D35968F">
      <w:pPr>
        <w:pStyle w:val="9"/>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2.投标总价应与开标一览表的投标报价一致。</w:t>
      </w:r>
    </w:p>
    <w:p w14:paraId="3DDC959B">
      <w:pPr>
        <w:shd w:val="clear"/>
        <w:spacing w:line="360" w:lineRule="auto"/>
        <w:rPr>
          <w:rFonts w:cs="仿宋" w:asciiTheme="majorEastAsia" w:hAnsiTheme="majorEastAsia" w:eastAsiaTheme="majorEastAsia"/>
          <w:color w:val="auto"/>
          <w:sz w:val="24"/>
          <w:highlight w:val="none"/>
        </w:rPr>
      </w:pPr>
    </w:p>
    <w:p w14:paraId="7B6397CE">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3A45219F">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0EEA01F1">
      <w:pPr>
        <w:pStyle w:val="31"/>
        <w:keepNext w:val="0"/>
        <w:pageBreakBefore w:val="0"/>
        <w:shd w:val="clear"/>
        <w:tabs>
          <w:tab w:val="clear" w:pos="720"/>
        </w:tabs>
        <w:snapToGrid w:val="0"/>
        <w:spacing w:before="120" w:after="120"/>
        <w:ind w:left="3780" w:leftChars="1800"/>
        <w:jc w:val="both"/>
        <w:outlineLvl w:val="9"/>
        <w:rPr>
          <w:rFonts w:cs="仿宋" w:asciiTheme="majorEastAsia" w:hAnsiTheme="majorEastAsia" w:eastAsiaTheme="majorEastAsia"/>
          <w:b w:val="0"/>
          <w:color w:val="auto"/>
          <w:kern w:val="2"/>
          <w:sz w:val="24"/>
          <w:szCs w:val="24"/>
          <w:highlight w:val="none"/>
        </w:rPr>
      </w:pPr>
      <w:r>
        <w:rPr>
          <w:rFonts w:hint="eastAsia" w:cs="仿宋" w:asciiTheme="majorEastAsia" w:hAnsiTheme="majorEastAsia" w:eastAsiaTheme="majorEastAsia"/>
          <w:b w:val="0"/>
          <w:color w:val="auto"/>
          <w:kern w:val="2"/>
          <w:sz w:val="24"/>
          <w:szCs w:val="24"/>
          <w:highlight w:val="none"/>
        </w:rPr>
        <w:t xml:space="preserve">日  期：  </w:t>
      </w:r>
    </w:p>
    <w:p w14:paraId="58767D05">
      <w:pPr>
        <w:pStyle w:val="31"/>
        <w:keepNext w:val="0"/>
        <w:pageBreakBefore w:val="0"/>
        <w:shd w:val="clear"/>
        <w:tabs>
          <w:tab w:val="clear" w:pos="720"/>
        </w:tabs>
        <w:snapToGrid w:val="0"/>
        <w:spacing w:before="120" w:after="120"/>
        <w:outlineLvl w:val="9"/>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val="0"/>
          <w:color w:val="auto"/>
          <w:kern w:val="2"/>
          <w:sz w:val="24"/>
          <w:szCs w:val="24"/>
          <w:highlight w:val="none"/>
        </w:rPr>
        <w:br w:type="page"/>
      </w:r>
      <w:r>
        <w:rPr>
          <w:rFonts w:hint="eastAsia" w:cs="仿宋" w:asciiTheme="majorEastAsia" w:hAnsiTheme="majorEastAsia" w:eastAsiaTheme="majorEastAsia"/>
          <w:color w:val="auto"/>
          <w:kern w:val="2"/>
          <w:sz w:val="32"/>
          <w:szCs w:val="32"/>
          <w:highlight w:val="none"/>
        </w:rPr>
        <w:t>三、</w:t>
      </w:r>
      <w:r>
        <w:rPr>
          <w:rFonts w:hint="eastAsia" w:cs="仿宋" w:asciiTheme="majorEastAsia" w:hAnsiTheme="majorEastAsia" w:eastAsiaTheme="majorEastAsia"/>
          <w:color w:val="auto"/>
          <w:sz w:val="32"/>
          <w:szCs w:val="32"/>
          <w:highlight w:val="none"/>
        </w:rPr>
        <w:t>中小企业声明函</w:t>
      </w:r>
    </w:p>
    <w:p w14:paraId="1F93546E">
      <w:pPr>
        <w:widowControl/>
        <w:shd w:val="clear"/>
        <w:spacing w:line="360" w:lineRule="auto"/>
        <w:ind w:firstLine="120" w:firstLineChars="5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0C030B19">
      <w:pPr>
        <w:shd w:val="clear"/>
        <w:spacing w:line="360" w:lineRule="auto"/>
        <w:jc w:val="center"/>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中小企业声明函（服务）</w:t>
      </w:r>
    </w:p>
    <w:p w14:paraId="730B567C">
      <w:pPr>
        <w:shd w:val="clear"/>
        <w:spacing w:line="360" w:lineRule="auto"/>
        <w:ind w:firstLine="360" w:firstLineChars="150"/>
        <w:jc w:val="left"/>
        <w:rPr>
          <w:rFonts w:ascii="宋体" w:hAnsi="宋体" w:cs="仿宋"/>
          <w:color w:val="auto"/>
          <w:sz w:val="24"/>
          <w:highlight w:val="none"/>
        </w:rPr>
      </w:pPr>
      <w:r>
        <w:rPr>
          <w:rFonts w:hint="eastAsia" w:ascii="宋体" w:hAnsi="宋体" w:cs="仿宋"/>
          <w:color w:val="auto"/>
          <w:sz w:val="24"/>
          <w:highlight w:val="none"/>
        </w:rPr>
        <w:t>本公司（联合体）郑重声明，根据《政府采购促进中小企业发展管理办法》（财库﹝2020﹞46 号）的规定，本公司（联合体）参加</w:t>
      </w:r>
      <w:r>
        <w:rPr>
          <w:rFonts w:hint="eastAsia" w:ascii="宋体" w:hAnsi="宋体" w:cs="仿宋"/>
          <w:color w:val="auto"/>
          <w:sz w:val="24"/>
          <w:highlight w:val="none"/>
          <w:u w:val="single"/>
        </w:rPr>
        <w:t xml:space="preserve"> （单位名称） </w:t>
      </w:r>
      <w:r>
        <w:rPr>
          <w:rFonts w:hint="eastAsia" w:ascii="宋体" w:hAnsi="宋体" w:cs="仿宋"/>
          <w:color w:val="auto"/>
          <w:sz w:val="24"/>
          <w:highlight w:val="none"/>
        </w:rPr>
        <w:t>的</w:t>
      </w:r>
      <w:r>
        <w:rPr>
          <w:rFonts w:hint="eastAsia" w:ascii="宋体" w:hAnsi="宋体" w:cs="仿宋"/>
          <w:color w:val="auto"/>
          <w:sz w:val="24"/>
          <w:highlight w:val="none"/>
          <w:u w:val="single"/>
        </w:rPr>
        <w:t xml:space="preserve"> （项目名称） </w:t>
      </w:r>
      <w:r>
        <w:rPr>
          <w:rFonts w:hint="eastAsia" w:ascii="宋体" w:hAnsi="宋体"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48B4B58">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1.</w:t>
      </w:r>
      <w:r>
        <w:rPr>
          <w:rFonts w:hint="eastAsia" w:ascii="宋体" w:hAnsi="宋体" w:cs="仿宋"/>
          <w:color w:val="auto"/>
          <w:highlight w:val="none"/>
        </w:rPr>
        <w:t xml:space="preserve"> </w:t>
      </w:r>
      <w:r>
        <w:rPr>
          <w:rFonts w:hint="eastAsia" w:cs="仿宋" w:asciiTheme="majorEastAsia" w:hAnsiTheme="majorEastAsia" w:eastAsiaTheme="majorEastAsia"/>
          <w:color w:val="auto"/>
          <w:sz w:val="24"/>
          <w:highlight w:val="none"/>
          <w:u w:val="single"/>
        </w:rPr>
        <w:t>（渔船风险隐患普查）</w:t>
      </w:r>
      <w:r>
        <w:rPr>
          <w:rFonts w:hint="eastAsia" w:ascii="宋体" w:hAnsi="宋体" w:cs="仿宋"/>
          <w:color w:val="auto"/>
          <w:sz w:val="24"/>
          <w:highlight w:val="none"/>
        </w:rPr>
        <w:t xml:space="preserve">，属于 </w:t>
      </w:r>
      <w:r>
        <w:rPr>
          <w:rFonts w:hint="eastAsia" w:ascii="宋体" w:hAnsi="宋体" w:cs="仿宋"/>
          <w:color w:val="auto"/>
          <w:sz w:val="24"/>
          <w:highlight w:val="none"/>
          <w:u w:val="single"/>
        </w:rPr>
        <w:t>（</w:t>
      </w:r>
      <w:r>
        <w:rPr>
          <w:rFonts w:hint="eastAsia" w:ascii="宋体" w:hAnsi="宋体" w:cs="仿宋"/>
          <w:color w:val="auto"/>
          <w:kern w:val="0"/>
          <w:sz w:val="24"/>
          <w:highlight w:val="none"/>
          <w:u w:val="single"/>
        </w:rPr>
        <w:t>其他未列明行业</w:t>
      </w:r>
      <w:r>
        <w:rPr>
          <w:rFonts w:hint="eastAsia" w:ascii="宋体" w:hAnsi="宋体" w:cs="仿宋"/>
          <w:color w:val="auto"/>
          <w:sz w:val="24"/>
          <w:highlight w:val="none"/>
          <w:u w:val="single"/>
        </w:rPr>
        <w:t>）</w:t>
      </w:r>
      <w:r>
        <w:rPr>
          <w:rFonts w:hint="eastAsia" w:ascii="宋体" w:hAnsi="宋体" w:cs="仿宋"/>
          <w:color w:val="auto"/>
          <w:sz w:val="24"/>
          <w:highlight w:val="none"/>
        </w:rPr>
        <w:t xml:space="preserve"> ；承建（承接）企业为 </w:t>
      </w:r>
      <w:r>
        <w:rPr>
          <w:rFonts w:hint="eastAsia" w:ascii="宋体" w:hAnsi="宋体" w:cs="仿宋"/>
          <w:color w:val="auto"/>
          <w:sz w:val="24"/>
          <w:highlight w:val="none"/>
          <w:u w:val="single"/>
        </w:rPr>
        <w:t>（企业名称）</w:t>
      </w:r>
      <w:r>
        <w:rPr>
          <w:rFonts w:hint="eastAsia" w:ascii="宋体" w:hAnsi="宋体" w:cs="仿宋"/>
          <w:color w:val="auto"/>
          <w:sz w:val="24"/>
          <w:highlight w:val="none"/>
        </w:rPr>
        <w:t xml:space="preserve"> ，从业人员</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人，营业收入为</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万元，资产总额为</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万元属于</w:t>
      </w:r>
      <w:r>
        <w:rPr>
          <w:rFonts w:hint="eastAsia" w:ascii="宋体" w:hAnsi="宋体" w:cs="仿宋"/>
          <w:color w:val="auto"/>
          <w:sz w:val="24"/>
          <w:highlight w:val="none"/>
          <w:u w:val="single"/>
        </w:rPr>
        <w:t xml:space="preserve"> （中型企业、小型企业、微型企业） </w:t>
      </w:r>
      <w:r>
        <w:rPr>
          <w:rFonts w:hint="eastAsia" w:ascii="宋体" w:hAnsi="宋体" w:cs="仿宋"/>
          <w:color w:val="auto"/>
          <w:sz w:val="24"/>
          <w:highlight w:val="none"/>
        </w:rPr>
        <w:t>；</w:t>
      </w:r>
    </w:p>
    <w:p w14:paraId="6E22FF84">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以上企业，不属于大企业的分支机构，不存在控股股东为大企业的情形，也不存在与大企业的负责人为同一人的情形。</w:t>
      </w:r>
    </w:p>
    <w:p w14:paraId="7F57753B">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本企业对上述声明内容的真实性负责。如有虚假，将依法承担相应责任。</w:t>
      </w:r>
    </w:p>
    <w:p w14:paraId="101E0003">
      <w:pPr>
        <w:shd w:val="clear"/>
        <w:spacing w:line="360" w:lineRule="auto"/>
        <w:ind w:right="1760"/>
        <w:jc w:val="right"/>
        <w:rPr>
          <w:rFonts w:ascii="宋体" w:hAnsi="宋体" w:cs="仿宋"/>
          <w:color w:val="auto"/>
          <w:sz w:val="24"/>
          <w:highlight w:val="none"/>
        </w:rPr>
      </w:pPr>
    </w:p>
    <w:p w14:paraId="05B82B3C">
      <w:pPr>
        <w:shd w:val="clear"/>
        <w:adjustRightInd w:val="0"/>
        <w:snapToGrid w:val="0"/>
        <w:spacing w:line="360" w:lineRule="auto"/>
        <w:ind w:left="3570" w:leftChars="17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投标人（盖章）：</w:t>
      </w:r>
    </w:p>
    <w:p w14:paraId="7F7FE219">
      <w:pPr>
        <w:shd w:val="clear"/>
        <w:spacing w:line="360" w:lineRule="auto"/>
        <w:ind w:firstLine="3600" w:firstLineChars="1500"/>
        <w:rPr>
          <w:rFonts w:cs="仿宋" w:asciiTheme="majorEastAsia" w:hAnsiTheme="majorEastAsia" w:eastAsiaTheme="majorEastAsia"/>
          <w:color w:val="auto"/>
          <w:sz w:val="24"/>
          <w:highlight w:val="none"/>
        </w:rPr>
      </w:pPr>
      <w:r>
        <w:rPr>
          <w:rFonts w:hint="eastAsia" w:ascii="宋体" w:hAnsi="宋体" w:cs="仿宋"/>
          <w:color w:val="auto"/>
          <w:kern w:val="0"/>
          <w:sz w:val="24"/>
          <w:highlight w:val="none"/>
          <w:lang w:val="zh-CN"/>
        </w:rPr>
        <w:t>日期</w:t>
      </w:r>
      <w:r>
        <w:rPr>
          <w:rFonts w:hint="eastAsia" w:ascii="宋体" w:hAnsi="宋体" w:cs="仿宋"/>
          <w:color w:val="auto"/>
          <w:kern w:val="0"/>
          <w:sz w:val="24"/>
          <w:highlight w:val="none"/>
        </w:rPr>
        <w:t>:</w:t>
      </w:r>
    </w:p>
    <w:p w14:paraId="2F5A1226">
      <w:pPr>
        <w:shd w:val="clear"/>
        <w:spacing w:line="360" w:lineRule="auto"/>
        <w:jc w:val="left"/>
        <w:rPr>
          <w:rFonts w:cs="仿宋" w:asciiTheme="majorEastAsia" w:hAnsiTheme="majorEastAsia" w:eastAsiaTheme="majorEastAsia"/>
          <w:color w:val="auto"/>
          <w:sz w:val="18"/>
          <w:szCs w:val="18"/>
          <w:highlight w:val="none"/>
        </w:rPr>
      </w:pPr>
      <w:r>
        <w:rPr>
          <w:rFonts w:hint="eastAsia" w:cs="仿宋" w:asciiTheme="majorEastAsia" w:hAnsiTheme="majorEastAsia" w:eastAsiaTheme="majorEastAsia"/>
          <w:color w:val="auto"/>
          <w:sz w:val="18"/>
          <w:szCs w:val="18"/>
          <w:highlight w:val="none"/>
        </w:rPr>
        <w:t>从业人员、营业收入、资产总额填报上一年度数据，无上一年度数据的新成立企业可不填报。</w:t>
      </w:r>
    </w:p>
    <w:p w14:paraId="454D8D82">
      <w:pPr>
        <w:shd w:val="clear"/>
        <w:spacing w:line="360" w:lineRule="auto"/>
        <w:ind w:right="-420" w:rightChars="-200" w:firstLine="480" w:firstLineChars="200"/>
        <w:rPr>
          <w:rFonts w:cs="仿宋" w:asciiTheme="majorEastAsia" w:hAnsiTheme="majorEastAsia" w:eastAsiaTheme="majorEastAsia"/>
          <w:color w:val="auto"/>
          <w:sz w:val="24"/>
          <w:highlight w:val="none"/>
        </w:rPr>
        <w:sectPr>
          <w:pgSz w:w="11906" w:h="16838"/>
          <w:pgMar w:top="1440" w:right="1800" w:bottom="1440" w:left="1800" w:header="851" w:footer="992" w:gutter="0"/>
          <w:cols w:space="425" w:num="1"/>
          <w:docGrid w:type="lines" w:linePitch="312" w:charSpace="0"/>
        </w:sectPr>
      </w:pPr>
      <w:r>
        <w:rPr>
          <w:rFonts w:hint="eastAsia" w:cs="仿宋" w:asciiTheme="majorEastAsia" w:hAnsiTheme="majorEastAsia" w:eastAsiaTheme="majorEastAsia"/>
          <w:color w:val="auto"/>
          <w:sz w:val="24"/>
          <w:highlight w:val="none"/>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bl>
      <w:tblPr>
        <w:tblStyle w:val="18"/>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49FEF7C5">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365A99F7">
            <w:pPr>
              <w:widowControl/>
              <w:shd w:val="clear"/>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中小微行业划型标准规定（根据工信部联企业〔2011〕300号制定）</w:t>
            </w:r>
          </w:p>
        </w:tc>
      </w:tr>
      <w:tr w14:paraId="4946AE97">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7B15474C">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21" w:type="dxa"/>
            <w:gridSpan w:val="3"/>
            <w:tcBorders>
              <w:top w:val="single" w:color="auto" w:sz="8" w:space="0"/>
              <w:left w:val="nil"/>
              <w:bottom w:val="single" w:color="auto" w:sz="4" w:space="0"/>
              <w:right w:val="single" w:color="000000" w:sz="8" w:space="0"/>
            </w:tcBorders>
            <w:vAlign w:val="bottom"/>
          </w:tcPr>
          <w:p w14:paraId="7D6DEE27">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051929AA">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18EE62FA">
            <w:pPr>
              <w:widowControl/>
              <w:shd w:val="clea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605428FC">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0BA56873">
            <w:pPr>
              <w:widowControl/>
              <w:shd w:val="clear"/>
              <w:jc w:val="left"/>
              <w:rPr>
                <w:rFonts w:ascii="宋体" w:hAnsi="宋体" w:cs="宋体"/>
                <w:b/>
                <w:bCs/>
                <w:color w:val="auto"/>
                <w:kern w:val="0"/>
                <w:sz w:val="24"/>
                <w:highlight w:val="none"/>
              </w:rPr>
            </w:pPr>
          </w:p>
        </w:tc>
        <w:tc>
          <w:tcPr>
            <w:tcW w:w="1498" w:type="dxa"/>
            <w:tcBorders>
              <w:top w:val="nil"/>
              <w:left w:val="nil"/>
              <w:bottom w:val="single" w:color="auto" w:sz="4" w:space="0"/>
              <w:right w:val="single" w:color="auto" w:sz="4" w:space="0"/>
            </w:tcBorders>
            <w:vAlign w:val="bottom"/>
          </w:tcPr>
          <w:p w14:paraId="34A1B375">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763" w:type="dxa"/>
            <w:tcBorders>
              <w:top w:val="nil"/>
              <w:left w:val="nil"/>
              <w:bottom w:val="single" w:color="auto" w:sz="4" w:space="0"/>
              <w:right w:val="single" w:color="auto" w:sz="4" w:space="0"/>
            </w:tcBorders>
            <w:vAlign w:val="bottom"/>
          </w:tcPr>
          <w:p w14:paraId="67C8424D">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营业收入Y</w:t>
            </w:r>
          </w:p>
          <w:p w14:paraId="4D43F711">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60" w:type="dxa"/>
            <w:tcBorders>
              <w:top w:val="nil"/>
              <w:left w:val="nil"/>
              <w:bottom w:val="single" w:color="auto" w:sz="4" w:space="0"/>
              <w:right w:val="single" w:color="auto" w:sz="8" w:space="0"/>
            </w:tcBorders>
            <w:vAlign w:val="bottom"/>
          </w:tcPr>
          <w:p w14:paraId="6DC9C65E">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资产总额Z</w:t>
            </w:r>
          </w:p>
          <w:p w14:paraId="1C8DC3AE">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40" w:type="dxa"/>
            <w:tcBorders>
              <w:top w:val="nil"/>
              <w:left w:val="nil"/>
              <w:bottom w:val="single" w:color="auto" w:sz="4" w:space="0"/>
              <w:right w:val="single" w:color="auto" w:sz="4" w:space="0"/>
            </w:tcBorders>
            <w:vAlign w:val="bottom"/>
          </w:tcPr>
          <w:p w14:paraId="2E895C5E">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636" w:type="dxa"/>
            <w:tcBorders>
              <w:top w:val="nil"/>
              <w:left w:val="nil"/>
              <w:bottom w:val="single" w:color="auto" w:sz="4" w:space="0"/>
              <w:right w:val="single" w:color="auto" w:sz="4" w:space="0"/>
            </w:tcBorders>
            <w:vAlign w:val="bottom"/>
          </w:tcPr>
          <w:p w14:paraId="3038BBF0">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营业收入Y</w:t>
            </w:r>
          </w:p>
          <w:p w14:paraId="48296875">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20" w:type="dxa"/>
            <w:tcBorders>
              <w:top w:val="nil"/>
              <w:left w:val="nil"/>
              <w:bottom w:val="single" w:color="auto" w:sz="4" w:space="0"/>
              <w:right w:val="single" w:color="auto" w:sz="8" w:space="0"/>
            </w:tcBorders>
            <w:vAlign w:val="bottom"/>
          </w:tcPr>
          <w:p w14:paraId="28C5AA6C">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资产总额Z</w:t>
            </w:r>
          </w:p>
          <w:p w14:paraId="481BE7EE">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85" w:type="dxa"/>
            <w:tcBorders>
              <w:top w:val="nil"/>
              <w:left w:val="nil"/>
              <w:bottom w:val="single" w:color="auto" w:sz="4" w:space="0"/>
              <w:right w:val="single" w:color="auto" w:sz="4" w:space="0"/>
            </w:tcBorders>
            <w:vAlign w:val="bottom"/>
          </w:tcPr>
          <w:p w14:paraId="0BE71F06">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从业人员X（人）</w:t>
            </w:r>
          </w:p>
        </w:tc>
        <w:tc>
          <w:tcPr>
            <w:tcW w:w="1275" w:type="dxa"/>
            <w:tcBorders>
              <w:top w:val="nil"/>
              <w:left w:val="nil"/>
              <w:bottom w:val="single" w:color="auto" w:sz="4" w:space="0"/>
              <w:right w:val="single" w:color="auto" w:sz="4" w:space="0"/>
            </w:tcBorders>
            <w:vAlign w:val="bottom"/>
          </w:tcPr>
          <w:p w14:paraId="3431080C">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营业收入Y（万元）</w:t>
            </w:r>
          </w:p>
        </w:tc>
        <w:tc>
          <w:tcPr>
            <w:tcW w:w="1221" w:type="dxa"/>
            <w:tcBorders>
              <w:top w:val="nil"/>
              <w:left w:val="nil"/>
              <w:bottom w:val="single" w:color="auto" w:sz="4" w:space="0"/>
              <w:right w:val="single" w:color="auto" w:sz="8" w:space="0"/>
            </w:tcBorders>
            <w:vAlign w:val="bottom"/>
          </w:tcPr>
          <w:p w14:paraId="2534DF7E">
            <w:pPr>
              <w:widowControl/>
              <w:shd w:val="clear"/>
              <w:jc w:val="center"/>
              <w:rPr>
                <w:rFonts w:ascii="宋体" w:hAnsi="宋体" w:cs="宋体"/>
                <w:color w:val="auto"/>
                <w:kern w:val="0"/>
                <w:sz w:val="20"/>
                <w:highlight w:val="none"/>
              </w:rPr>
            </w:pPr>
            <w:r>
              <w:rPr>
                <w:rFonts w:hint="eastAsia" w:ascii="宋体" w:hAnsi="宋体" w:cs="宋体"/>
                <w:color w:val="auto"/>
                <w:kern w:val="0"/>
                <w:sz w:val="20"/>
                <w:highlight w:val="none"/>
              </w:rPr>
              <w:t>资产总额Z（万元）</w:t>
            </w:r>
          </w:p>
        </w:tc>
      </w:tr>
      <w:tr w14:paraId="7AAE63F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F3DC3D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1、农林牧渔业</w:t>
            </w:r>
          </w:p>
        </w:tc>
        <w:tc>
          <w:tcPr>
            <w:tcW w:w="1498" w:type="dxa"/>
            <w:tcBorders>
              <w:top w:val="nil"/>
              <w:left w:val="nil"/>
              <w:bottom w:val="single" w:color="auto" w:sz="4" w:space="0"/>
              <w:right w:val="single" w:color="auto" w:sz="4" w:space="0"/>
            </w:tcBorders>
            <w:vAlign w:val="bottom"/>
          </w:tcPr>
          <w:p w14:paraId="20C1F816">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63" w:type="dxa"/>
            <w:tcBorders>
              <w:top w:val="nil"/>
              <w:left w:val="nil"/>
              <w:bottom w:val="single" w:color="auto" w:sz="4" w:space="0"/>
              <w:right w:val="single" w:color="auto" w:sz="4" w:space="0"/>
            </w:tcBorders>
            <w:vAlign w:val="bottom"/>
          </w:tcPr>
          <w:p w14:paraId="42967B6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500≤Y＜20000</w:t>
            </w:r>
          </w:p>
        </w:tc>
        <w:tc>
          <w:tcPr>
            <w:tcW w:w="1660" w:type="dxa"/>
            <w:tcBorders>
              <w:top w:val="nil"/>
              <w:left w:val="nil"/>
              <w:bottom w:val="single" w:color="auto" w:sz="4" w:space="0"/>
              <w:right w:val="single" w:color="auto" w:sz="8" w:space="0"/>
            </w:tcBorders>
            <w:vAlign w:val="bottom"/>
          </w:tcPr>
          <w:p w14:paraId="0969D91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700C8AAC">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36" w:type="dxa"/>
            <w:tcBorders>
              <w:top w:val="nil"/>
              <w:left w:val="nil"/>
              <w:bottom w:val="single" w:color="auto" w:sz="4" w:space="0"/>
              <w:right w:val="single" w:color="auto" w:sz="4" w:space="0"/>
            </w:tcBorders>
            <w:vAlign w:val="bottom"/>
          </w:tcPr>
          <w:p w14:paraId="54C4996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50≤Y＜500</w:t>
            </w:r>
          </w:p>
        </w:tc>
        <w:tc>
          <w:tcPr>
            <w:tcW w:w="1520" w:type="dxa"/>
            <w:tcBorders>
              <w:top w:val="nil"/>
              <w:left w:val="nil"/>
              <w:bottom w:val="single" w:color="auto" w:sz="4" w:space="0"/>
              <w:right w:val="single" w:color="auto" w:sz="8" w:space="0"/>
            </w:tcBorders>
            <w:vAlign w:val="bottom"/>
          </w:tcPr>
          <w:p w14:paraId="1BDF2B48">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7894305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75" w:type="dxa"/>
            <w:tcBorders>
              <w:top w:val="nil"/>
              <w:left w:val="nil"/>
              <w:bottom w:val="single" w:color="auto" w:sz="4" w:space="0"/>
              <w:right w:val="single" w:color="auto" w:sz="4" w:space="0"/>
            </w:tcBorders>
            <w:vAlign w:val="bottom"/>
          </w:tcPr>
          <w:p w14:paraId="77963DA8">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Y＜50</w:t>
            </w:r>
          </w:p>
        </w:tc>
        <w:tc>
          <w:tcPr>
            <w:tcW w:w="1221" w:type="dxa"/>
            <w:tcBorders>
              <w:top w:val="nil"/>
              <w:left w:val="nil"/>
              <w:bottom w:val="single" w:color="auto" w:sz="4" w:space="0"/>
              <w:right w:val="single" w:color="auto" w:sz="8" w:space="0"/>
            </w:tcBorders>
            <w:vAlign w:val="bottom"/>
          </w:tcPr>
          <w:p w14:paraId="659C82D3">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D71106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38EB85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2、工业</w:t>
            </w:r>
          </w:p>
        </w:tc>
        <w:tc>
          <w:tcPr>
            <w:tcW w:w="1498" w:type="dxa"/>
            <w:tcBorders>
              <w:top w:val="nil"/>
              <w:left w:val="nil"/>
              <w:bottom w:val="single" w:color="auto" w:sz="4" w:space="0"/>
              <w:right w:val="single" w:color="auto" w:sz="4" w:space="0"/>
            </w:tcBorders>
            <w:vAlign w:val="bottom"/>
          </w:tcPr>
          <w:p w14:paraId="00C5BD50">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7C240E98">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2000≤Y＜40000</w:t>
            </w:r>
          </w:p>
        </w:tc>
        <w:tc>
          <w:tcPr>
            <w:tcW w:w="1660" w:type="dxa"/>
            <w:tcBorders>
              <w:top w:val="nil"/>
              <w:left w:val="nil"/>
              <w:bottom w:val="single" w:color="auto" w:sz="4" w:space="0"/>
              <w:right w:val="single" w:color="auto" w:sz="8" w:space="0"/>
            </w:tcBorders>
            <w:vAlign w:val="bottom"/>
          </w:tcPr>
          <w:p w14:paraId="3B3F555D">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26A2E3AA">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636" w:type="dxa"/>
            <w:tcBorders>
              <w:top w:val="nil"/>
              <w:left w:val="nil"/>
              <w:bottom w:val="single" w:color="auto" w:sz="4" w:space="0"/>
              <w:right w:val="single" w:color="auto" w:sz="4" w:space="0"/>
            </w:tcBorders>
            <w:vAlign w:val="bottom"/>
          </w:tcPr>
          <w:p w14:paraId="191ABC71">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300≤Y＜2000</w:t>
            </w:r>
          </w:p>
        </w:tc>
        <w:tc>
          <w:tcPr>
            <w:tcW w:w="1520" w:type="dxa"/>
            <w:tcBorders>
              <w:top w:val="nil"/>
              <w:left w:val="nil"/>
              <w:bottom w:val="single" w:color="auto" w:sz="4" w:space="0"/>
              <w:right w:val="single" w:color="auto" w:sz="8" w:space="0"/>
            </w:tcBorders>
            <w:vAlign w:val="bottom"/>
          </w:tcPr>
          <w:p w14:paraId="630392FC">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222BDE06">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4F7F6CD7">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Y＜300</w:t>
            </w:r>
          </w:p>
        </w:tc>
        <w:tc>
          <w:tcPr>
            <w:tcW w:w="1221" w:type="dxa"/>
            <w:tcBorders>
              <w:top w:val="nil"/>
              <w:left w:val="nil"/>
              <w:bottom w:val="single" w:color="auto" w:sz="4" w:space="0"/>
              <w:right w:val="single" w:color="auto" w:sz="8" w:space="0"/>
            </w:tcBorders>
            <w:vAlign w:val="bottom"/>
          </w:tcPr>
          <w:p w14:paraId="572FCF4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410201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8BAD04E">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3、建筑业</w:t>
            </w:r>
          </w:p>
        </w:tc>
        <w:tc>
          <w:tcPr>
            <w:tcW w:w="1498" w:type="dxa"/>
            <w:tcBorders>
              <w:top w:val="nil"/>
              <w:left w:val="nil"/>
              <w:bottom w:val="single" w:color="auto" w:sz="4" w:space="0"/>
              <w:right w:val="single" w:color="auto" w:sz="4" w:space="0"/>
            </w:tcBorders>
            <w:vAlign w:val="bottom"/>
          </w:tcPr>
          <w:p w14:paraId="6D79A2F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63" w:type="dxa"/>
            <w:tcBorders>
              <w:top w:val="nil"/>
              <w:left w:val="nil"/>
              <w:bottom w:val="single" w:color="auto" w:sz="4" w:space="0"/>
              <w:right w:val="single" w:color="auto" w:sz="4" w:space="0"/>
            </w:tcBorders>
            <w:vAlign w:val="bottom"/>
          </w:tcPr>
          <w:p w14:paraId="101C8B5D">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6000≤Y＜80000</w:t>
            </w:r>
          </w:p>
        </w:tc>
        <w:tc>
          <w:tcPr>
            <w:tcW w:w="1660" w:type="dxa"/>
            <w:tcBorders>
              <w:top w:val="nil"/>
              <w:left w:val="nil"/>
              <w:bottom w:val="single" w:color="auto" w:sz="4" w:space="0"/>
              <w:right w:val="single" w:color="auto" w:sz="8" w:space="0"/>
            </w:tcBorders>
            <w:vAlign w:val="bottom"/>
          </w:tcPr>
          <w:p w14:paraId="1AD18CFE">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5000≤Z＜80000</w:t>
            </w:r>
          </w:p>
        </w:tc>
        <w:tc>
          <w:tcPr>
            <w:tcW w:w="1240" w:type="dxa"/>
            <w:tcBorders>
              <w:top w:val="nil"/>
              <w:left w:val="nil"/>
              <w:bottom w:val="single" w:color="auto" w:sz="4" w:space="0"/>
              <w:right w:val="single" w:color="auto" w:sz="4" w:space="0"/>
            </w:tcBorders>
            <w:vAlign w:val="bottom"/>
          </w:tcPr>
          <w:p w14:paraId="37C552DD">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36" w:type="dxa"/>
            <w:tcBorders>
              <w:top w:val="nil"/>
              <w:left w:val="nil"/>
              <w:bottom w:val="single" w:color="auto" w:sz="4" w:space="0"/>
              <w:right w:val="single" w:color="auto" w:sz="4" w:space="0"/>
            </w:tcBorders>
            <w:vAlign w:val="bottom"/>
          </w:tcPr>
          <w:p w14:paraId="6FCAE40E">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300≤Y＜6000</w:t>
            </w:r>
          </w:p>
        </w:tc>
        <w:tc>
          <w:tcPr>
            <w:tcW w:w="1520" w:type="dxa"/>
            <w:tcBorders>
              <w:top w:val="nil"/>
              <w:left w:val="nil"/>
              <w:bottom w:val="single" w:color="auto" w:sz="4" w:space="0"/>
              <w:right w:val="single" w:color="auto" w:sz="8" w:space="0"/>
            </w:tcBorders>
            <w:vAlign w:val="bottom"/>
          </w:tcPr>
          <w:p w14:paraId="179E915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300≤Z＜5000</w:t>
            </w:r>
          </w:p>
        </w:tc>
        <w:tc>
          <w:tcPr>
            <w:tcW w:w="1285" w:type="dxa"/>
            <w:tcBorders>
              <w:top w:val="nil"/>
              <w:left w:val="nil"/>
              <w:bottom w:val="single" w:color="auto" w:sz="4" w:space="0"/>
              <w:right w:val="single" w:color="auto" w:sz="4" w:space="0"/>
            </w:tcBorders>
            <w:vAlign w:val="bottom"/>
          </w:tcPr>
          <w:p w14:paraId="46829375">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75" w:type="dxa"/>
            <w:tcBorders>
              <w:top w:val="nil"/>
              <w:left w:val="nil"/>
              <w:bottom w:val="single" w:color="auto" w:sz="4" w:space="0"/>
              <w:right w:val="single" w:color="auto" w:sz="4" w:space="0"/>
            </w:tcBorders>
            <w:vAlign w:val="bottom"/>
          </w:tcPr>
          <w:p w14:paraId="6DD52EC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Y＜300</w:t>
            </w:r>
          </w:p>
        </w:tc>
        <w:tc>
          <w:tcPr>
            <w:tcW w:w="1221" w:type="dxa"/>
            <w:tcBorders>
              <w:top w:val="nil"/>
              <w:left w:val="nil"/>
              <w:bottom w:val="single" w:color="auto" w:sz="4" w:space="0"/>
              <w:right w:val="single" w:color="auto" w:sz="8" w:space="0"/>
            </w:tcBorders>
            <w:vAlign w:val="bottom"/>
          </w:tcPr>
          <w:p w14:paraId="6BB6E9D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Z＜300</w:t>
            </w:r>
          </w:p>
        </w:tc>
      </w:tr>
      <w:tr w14:paraId="40F1599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156BAE8">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4、批发业</w:t>
            </w:r>
          </w:p>
        </w:tc>
        <w:tc>
          <w:tcPr>
            <w:tcW w:w="1498" w:type="dxa"/>
            <w:tcBorders>
              <w:top w:val="nil"/>
              <w:left w:val="nil"/>
              <w:bottom w:val="single" w:color="auto" w:sz="4" w:space="0"/>
              <w:right w:val="single" w:color="auto" w:sz="4" w:space="0"/>
            </w:tcBorders>
            <w:vAlign w:val="bottom"/>
          </w:tcPr>
          <w:p w14:paraId="70FE32D3">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20≤X＜200</w:t>
            </w:r>
          </w:p>
        </w:tc>
        <w:tc>
          <w:tcPr>
            <w:tcW w:w="1763" w:type="dxa"/>
            <w:tcBorders>
              <w:top w:val="nil"/>
              <w:left w:val="nil"/>
              <w:bottom w:val="single" w:color="auto" w:sz="4" w:space="0"/>
              <w:right w:val="single" w:color="auto" w:sz="4" w:space="0"/>
            </w:tcBorders>
            <w:vAlign w:val="bottom"/>
          </w:tcPr>
          <w:p w14:paraId="689A652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5000≤Y＜40000</w:t>
            </w:r>
          </w:p>
        </w:tc>
        <w:tc>
          <w:tcPr>
            <w:tcW w:w="1660" w:type="dxa"/>
            <w:tcBorders>
              <w:top w:val="nil"/>
              <w:left w:val="nil"/>
              <w:bottom w:val="single" w:color="auto" w:sz="4" w:space="0"/>
              <w:right w:val="single" w:color="auto" w:sz="8" w:space="0"/>
            </w:tcBorders>
            <w:vAlign w:val="bottom"/>
          </w:tcPr>
          <w:p w14:paraId="3DA7630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1CBD3496">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5≤X＜20</w:t>
            </w:r>
          </w:p>
        </w:tc>
        <w:tc>
          <w:tcPr>
            <w:tcW w:w="1636" w:type="dxa"/>
            <w:tcBorders>
              <w:top w:val="nil"/>
              <w:left w:val="nil"/>
              <w:bottom w:val="single" w:color="auto" w:sz="4" w:space="0"/>
              <w:right w:val="single" w:color="auto" w:sz="4" w:space="0"/>
            </w:tcBorders>
            <w:vAlign w:val="bottom"/>
          </w:tcPr>
          <w:p w14:paraId="3D90DCA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1000≤Y＜5000</w:t>
            </w:r>
          </w:p>
        </w:tc>
        <w:tc>
          <w:tcPr>
            <w:tcW w:w="1520" w:type="dxa"/>
            <w:tcBorders>
              <w:top w:val="nil"/>
              <w:left w:val="nil"/>
              <w:bottom w:val="single" w:color="auto" w:sz="4" w:space="0"/>
              <w:right w:val="single" w:color="auto" w:sz="8" w:space="0"/>
            </w:tcBorders>
            <w:vAlign w:val="bottom"/>
          </w:tcPr>
          <w:p w14:paraId="311D066A">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4106D95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X＜5</w:t>
            </w:r>
          </w:p>
        </w:tc>
        <w:tc>
          <w:tcPr>
            <w:tcW w:w="1275" w:type="dxa"/>
            <w:tcBorders>
              <w:top w:val="nil"/>
              <w:left w:val="nil"/>
              <w:bottom w:val="single" w:color="auto" w:sz="4" w:space="0"/>
              <w:right w:val="single" w:color="auto" w:sz="4" w:space="0"/>
            </w:tcBorders>
            <w:vAlign w:val="bottom"/>
          </w:tcPr>
          <w:p w14:paraId="756D05C8">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Y＜1000</w:t>
            </w:r>
          </w:p>
        </w:tc>
        <w:tc>
          <w:tcPr>
            <w:tcW w:w="1221" w:type="dxa"/>
            <w:tcBorders>
              <w:top w:val="nil"/>
              <w:left w:val="nil"/>
              <w:bottom w:val="single" w:color="auto" w:sz="4" w:space="0"/>
              <w:right w:val="single" w:color="auto" w:sz="8" w:space="0"/>
            </w:tcBorders>
            <w:vAlign w:val="bottom"/>
          </w:tcPr>
          <w:p w14:paraId="081ABFF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01833B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1CBD2BD">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5、零售业</w:t>
            </w:r>
          </w:p>
        </w:tc>
        <w:tc>
          <w:tcPr>
            <w:tcW w:w="1498" w:type="dxa"/>
            <w:tcBorders>
              <w:top w:val="nil"/>
              <w:left w:val="nil"/>
              <w:bottom w:val="single" w:color="auto" w:sz="4" w:space="0"/>
              <w:right w:val="single" w:color="auto" w:sz="4" w:space="0"/>
            </w:tcBorders>
            <w:vAlign w:val="bottom"/>
          </w:tcPr>
          <w:p w14:paraId="5D9C6905">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50≤X＜300</w:t>
            </w:r>
          </w:p>
        </w:tc>
        <w:tc>
          <w:tcPr>
            <w:tcW w:w="1763" w:type="dxa"/>
            <w:tcBorders>
              <w:top w:val="nil"/>
              <w:left w:val="nil"/>
              <w:bottom w:val="single" w:color="auto" w:sz="4" w:space="0"/>
              <w:right w:val="single" w:color="auto" w:sz="4" w:space="0"/>
            </w:tcBorders>
            <w:vAlign w:val="bottom"/>
          </w:tcPr>
          <w:p w14:paraId="29C3E21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500≤Y＜20000</w:t>
            </w:r>
          </w:p>
        </w:tc>
        <w:tc>
          <w:tcPr>
            <w:tcW w:w="1660" w:type="dxa"/>
            <w:tcBorders>
              <w:top w:val="nil"/>
              <w:left w:val="nil"/>
              <w:bottom w:val="single" w:color="auto" w:sz="4" w:space="0"/>
              <w:right w:val="single" w:color="auto" w:sz="8" w:space="0"/>
            </w:tcBorders>
            <w:vAlign w:val="bottom"/>
          </w:tcPr>
          <w:p w14:paraId="68A768C3">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5758A9CD">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10≤X＜50</w:t>
            </w:r>
          </w:p>
        </w:tc>
        <w:tc>
          <w:tcPr>
            <w:tcW w:w="1636" w:type="dxa"/>
            <w:tcBorders>
              <w:top w:val="nil"/>
              <w:left w:val="nil"/>
              <w:bottom w:val="single" w:color="auto" w:sz="4" w:space="0"/>
              <w:right w:val="single" w:color="auto" w:sz="4" w:space="0"/>
            </w:tcBorders>
            <w:vAlign w:val="bottom"/>
          </w:tcPr>
          <w:p w14:paraId="4C75A25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100≤Y＜500</w:t>
            </w:r>
          </w:p>
        </w:tc>
        <w:tc>
          <w:tcPr>
            <w:tcW w:w="1520" w:type="dxa"/>
            <w:tcBorders>
              <w:top w:val="nil"/>
              <w:left w:val="nil"/>
              <w:bottom w:val="single" w:color="auto" w:sz="4" w:space="0"/>
              <w:right w:val="single" w:color="auto" w:sz="8" w:space="0"/>
            </w:tcBorders>
            <w:vAlign w:val="bottom"/>
          </w:tcPr>
          <w:p w14:paraId="7FBB41E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5ABA446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14E1E74D">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2A3C6051">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0F0B5B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56D3BF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6、交通运输业</w:t>
            </w:r>
          </w:p>
        </w:tc>
        <w:tc>
          <w:tcPr>
            <w:tcW w:w="1498" w:type="dxa"/>
            <w:tcBorders>
              <w:top w:val="nil"/>
              <w:left w:val="nil"/>
              <w:bottom w:val="single" w:color="auto" w:sz="4" w:space="0"/>
              <w:right w:val="single" w:color="auto" w:sz="4" w:space="0"/>
            </w:tcBorders>
            <w:vAlign w:val="bottom"/>
          </w:tcPr>
          <w:p w14:paraId="58309DE1">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354BC02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3000≤Y＜30000</w:t>
            </w:r>
          </w:p>
        </w:tc>
        <w:tc>
          <w:tcPr>
            <w:tcW w:w="1660" w:type="dxa"/>
            <w:tcBorders>
              <w:top w:val="nil"/>
              <w:left w:val="nil"/>
              <w:bottom w:val="single" w:color="auto" w:sz="4" w:space="0"/>
              <w:right w:val="single" w:color="auto" w:sz="8" w:space="0"/>
            </w:tcBorders>
            <w:vAlign w:val="bottom"/>
          </w:tcPr>
          <w:p w14:paraId="4B22061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0D550545">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636" w:type="dxa"/>
            <w:tcBorders>
              <w:top w:val="nil"/>
              <w:left w:val="nil"/>
              <w:bottom w:val="single" w:color="auto" w:sz="4" w:space="0"/>
              <w:right w:val="single" w:color="auto" w:sz="4" w:space="0"/>
            </w:tcBorders>
            <w:vAlign w:val="bottom"/>
          </w:tcPr>
          <w:p w14:paraId="41F9EF3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200≤Y＜3000</w:t>
            </w:r>
          </w:p>
        </w:tc>
        <w:tc>
          <w:tcPr>
            <w:tcW w:w="1520" w:type="dxa"/>
            <w:tcBorders>
              <w:top w:val="nil"/>
              <w:left w:val="nil"/>
              <w:bottom w:val="single" w:color="auto" w:sz="4" w:space="0"/>
              <w:right w:val="single" w:color="auto" w:sz="8" w:space="0"/>
            </w:tcBorders>
            <w:vAlign w:val="bottom"/>
          </w:tcPr>
          <w:p w14:paraId="22EA6FA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1F581A5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7A9741F8">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V＜200</w:t>
            </w:r>
          </w:p>
        </w:tc>
        <w:tc>
          <w:tcPr>
            <w:tcW w:w="1221" w:type="dxa"/>
            <w:tcBorders>
              <w:top w:val="nil"/>
              <w:left w:val="nil"/>
              <w:bottom w:val="single" w:color="auto" w:sz="4" w:space="0"/>
              <w:right w:val="single" w:color="auto" w:sz="8" w:space="0"/>
            </w:tcBorders>
            <w:vAlign w:val="bottom"/>
          </w:tcPr>
          <w:p w14:paraId="0337659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16FA27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947815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7、仓储业</w:t>
            </w:r>
          </w:p>
        </w:tc>
        <w:tc>
          <w:tcPr>
            <w:tcW w:w="1498" w:type="dxa"/>
            <w:tcBorders>
              <w:top w:val="nil"/>
              <w:left w:val="nil"/>
              <w:bottom w:val="single" w:color="auto" w:sz="4" w:space="0"/>
              <w:right w:val="single" w:color="auto" w:sz="4" w:space="0"/>
            </w:tcBorders>
            <w:vAlign w:val="bottom"/>
          </w:tcPr>
          <w:p w14:paraId="49B1E8F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100≤X＜200</w:t>
            </w:r>
          </w:p>
        </w:tc>
        <w:tc>
          <w:tcPr>
            <w:tcW w:w="1763" w:type="dxa"/>
            <w:tcBorders>
              <w:top w:val="nil"/>
              <w:left w:val="nil"/>
              <w:bottom w:val="single" w:color="auto" w:sz="4" w:space="0"/>
              <w:right w:val="single" w:color="auto" w:sz="4" w:space="0"/>
            </w:tcBorders>
            <w:vAlign w:val="bottom"/>
          </w:tcPr>
          <w:p w14:paraId="0D4CEB6E">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1000≤Y＜30000</w:t>
            </w:r>
          </w:p>
        </w:tc>
        <w:tc>
          <w:tcPr>
            <w:tcW w:w="1660" w:type="dxa"/>
            <w:tcBorders>
              <w:top w:val="nil"/>
              <w:left w:val="nil"/>
              <w:bottom w:val="single" w:color="auto" w:sz="4" w:space="0"/>
              <w:right w:val="single" w:color="auto" w:sz="8" w:space="0"/>
            </w:tcBorders>
            <w:vAlign w:val="bottom"/>
          </w:tcPr>
          <w:p w14:paraId="3FC9DD56">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6125007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20≤X＜100</w:t>
            </w:r>
          </w:p>
        </w:tc>
        <w:tc>
          <w:tcPr>
            <w:tcW w:w="1636" w:type="dxa"/>
            <w:tcBorders>
              <w:top w:val="nil"/>
              <w:left w:val="nil"/>
              <w:bottom w:val="single" w:color="auto" w:sz="4" w:space="0"/>
              <w:right w:val="single" w:color="auto" w:sz="4" w:space="0"/>
            </w:tcBorders>
            <w:vAlign w:val="bottom"/>
          </w:tcPr>
          <w:p w14:paraId="2D866E51">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14:paraId="2D4B4B4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7D7D108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31D2B14C">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4BB0F275">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CCAF7B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373945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8、邮政业</w:t>
            </w:r>
          </w:p>
        </w:tc>
        <w:tc>
          <w:tcPr>
            <w:tcW w:w="1498" w:type="dxa"/>
            <w:tcBorders>
              <w:top w:val="nil"/>
              <w:left w:val="nil"/>
              <w:bottom w:val="single" w:color="auto" w:sz="4" w:space="0"/>
              <w:right w:val="single" w:color="auto" w:sz="4" w:space="0"/>
            </w:tcBorders>
            <w:vAlign w:val="bottom"/>
          </w:tcPr>
          <w:p w14:paraId="0A79095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783C405A">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2000≤Y＜30000</w:t>
            </w:r>
          </w:p>
        </w:tc>
        <w:tc>
          <w:tcPr>
            <w:tcW w:w="1660" w:type="dxa"/>
            <w:tcBorders>
              <w:top w:val="nil"/>
              <w:left w:val="nil"/>
              <w:bottom w:val="single" w:color="auto" w:sz="4" w:space="0"/>
              <w:right w:val="single" w:color="auto" w:sz="8" w:space="0"/>
            </w:tcBorders>
            <w:vAlign w:val="bottom"/>
          </w:tcPr>
          <w:p w14:paraId="4445E8EE">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3D303B4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20≤X＜300</w:t>
            </w:r>
          </w:p>
        </w:tc>
        <w:tc>
          <w:tcPr>
            <w:tcW w:w="1636" w:type="dxa"/>
            <w:tcBorders>
              <w:top w:val="nil"/>
              <w:left w:val="nil"/>
              <w:bottom w:val="single" w:color="auto" w:sz="4" w:space="0"/>
              <w:right w:val="single" w:color="auto" w:sz="4" w:space="0"/>
            </w:tcBorders>
            <w:vAlign w:val="bottom"/>
          </w:tcPr>
          <w:p w14:paraId="293E1671">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14:paraId="07048278">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5FBD766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X＜20</w:t>
            </w:r>
          </w:p>
        </w:tc>
        <w:tc>
          <w:tcPr>
            <w:tcW w:w="1275" w:type="dxa"/>
            <w:tcBorders>
              <w:top w:val="nil"/>
              <w:left w:val="nil"/>
              <w:bottom w:val="single" w:color="auto" w:sz="4" w:space="0"/>
              <w:right w:val="single" w:color="auto" w:sz="4" w:space="0"/>
            </w:tcBorders>
            <w:vAlign w:val="bottom"/>
          </w:tcPr>
          <w:p w14:paraId="28FC947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257B6227">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B96F33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3CE13E7">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9、住宿业</w:t>
            </w:r>
          </w:p>
        </w:tc>
        <w:tc>
          <w:tcPr>
            <w:tcW w:w="1498" w:type="dxa"/>
            <w:tcBorders>
              <w:top w:val="nil"/>
              <w:left w:val="nil"/>
              <w:bottom w:val="single" w:color="auto" w:sz="4" w:space="0"/>
              <w:right w:val="single" w:color="auto" w:sz="4" w:space="0"/>
            </w:tcBorders>
            <w:vAlign w:val="bottom"/>
          </w:tcPr>
          <w:p w14:paraId="5507982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17A194BE">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2000≤Y＜10000</w:t>
            </w:r>
          </w:p>
        </w:tc>
        <w:tc>
          <w:tcPr>
            <w:tcW w:w="1660" w:type="dxa"/>
            <w:tcBorders>
              <w:top w:val="nil"/>
              <w:left w:val="nil"/>
              <w:bottom w:val="single" w:color="auto" w:sz="4" w:space="0"/>
              <w:right w:val="single" w:color="auto" w:sz="8" w:space="0"/>
            </w:tcBorders>
            <w:vAlign w:val="bottom"/>
          </w:tcPr>
          <w:p w14:paraId="61681F26">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06784526">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2A9E8D83">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14:paraId="38168EBC">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55E91B9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1913FAEC">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6AE2002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270AF0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16A022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10、餐饮业</w:t>
            </w:r>
          </w:p>
        </w:tc>
        <w:tc>
          <w:tcPr>
            <w:tcW w:w="1498" w:type="dxa"/>
            <w:tcBorders>
              <w:top w:val="nil"/>
              <w:left w:val="nil"/>
              <w:bottom w:val="single" w:color="auto" w:sz="4" w:space="0"/>
              <w:right w:val="single" w:color="auto" w:sz="4" w:space="0"/>
            </w:tcBorders>
            <w:vAlign w:val="bottom"/>
          </w:tcPr>
          <w:p w14:paraId="49DED6F0">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287D871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2000≤Y＜10000</w:t>
            </w:r>
          </w:p>
        </w:tc>
        <w:tc>
          <w:tcPr>
            <w:tcW w:w="1660" w:type="dxa"/>
            <w:tcBorders>
              <w:top w:val="nil"/>
              <w:left w:val="nil"/>
              <w:bottom w:val="single" w:color="auto" w:sz="4" w:space="0"/>
              <w:right w:val="single" w:color="auto" w:sz="8" w:space="0"/>
            </w:tcBorders>
            <w:vAlign w:val="bottom"/>
          </w:tcPr>
          <w:p w14:paraId="602A451C">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14BF83C5">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67D1520A">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100≤Y＜2000</w:t>
            </w:r>
          </w:p>
        </w:tc>
        <w:tc>
          <w:tcPr>
            <w:tcW w:w="1520" w:type="dxa"/>
            <w:tcBorders>
              <w:top w:val="nil"/>
              <w:left w:val="nil"/>
              <w:bottom w:val="single" w:color="auto" w:sz="4" w:space="0"/>
              <w:right w:val="single" w:color="auto" w:sz="8" w:space="0"/>
            </w:tcBorders>
            <w:vAlign w:val="bottom"/>
          </w:tcPr>
          <w:p w14:paraId="1B049A2D">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2E41A74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1E72892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V＜100</w:t>
            </w:r>
          </w:p>
        </w:tc>
        <w:tc>
          <w:tcPr>
            <w:tcW w:w="1221" w:type="dxa"/>
            <w:tcBorders>
              <w:top w:val="nil"/>
              <w:left w:val="nil"/>
              <w:bottom w:val="single" w:color="auto" w:sz="4" w:space="0"/>
              <w:right w:val="single" w:color="auto" w:sz="8" w:space="0"/>
            </w:tcBorders>
            <w:vAlign w:val="bottom"/>
          </w:tcPr>
          <w:p w14:paraId="58A48D6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266EE7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EFAFD45">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11、信息传输业</w:t>
            </w:r>
          </w:p>
        </w:tc>
        <w:tc>
          <w:tcPr>
            <w:tcW w:w="1498" w:type="dxa"/>
            <w:tcBorders>
              <w:top w:val="nil"/>
              <w:left w:val="nil"/>
              <w:bottom w:val="single" w:color="auto" w:sz="4" w:space="0"/>
              <w:right w:val="single" w:color="auto" w:sz="4" w:space="0"/>
            </w:tcBorders>
            <w:vAlign w:val="bottom"/>
          </w:tcPr>
          <w:p w14:paraId="40C6E267">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100≤X＜2000</w:t>
            </w:r>
          </w:p>
        </w:tc>
        <w:tc>
          <w:tcPr>
            <w:tcW w:w="1763" w:type="dxa"/>
            <w:tcBorders>
              <w:top w:val="nil"/>
              <w:left w:val="nil"/>
              <w:bottom w:val="single" w:color="auto" w:sz="4" w:space="0"/>
              <w:right w:val="single" w:color="auto" w:sz="4" w:space="0"/>
            </w:tcBorders>
            <w:vAlign w:val="bottom"/>
          </w:tcPr>
          <w:p w14:paraId="1E1E6C17">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1000≤Y＜100000</w:t>
            </w:r>
          </w:p>
        </w:tc>
        <w:tc>
          <w:tcPr>
            <w:tcW w:w="1660" w:type="dxa"/>
            <w:tcBorders>
              <w:top w:val="nil"/>
              <w:left w:val="nil"/>
              <w:bottom w:val="single" w:color="auto" w:sz="4" w:space="0"/>
              <w:right w:val="single" w:color="auto" w:sz="8" w:space="0"/>
            </w:tcBorders>
            <w:vAlign w:val="bottom"/>
          </w:tcPr>
          <w:p w14:paraId="75BDB4B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1FF0EFFA">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4E8E7EED">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14:paraId="1A84AED0">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38DC5191">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0DCB4FD7">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3B859FB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7339D4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1C8E973">
            <w:pPr>
              <w:widowControl/>
              <w:shd w:val="clear"/>
              <w:jc w:val="left"/>
              <w:rPr>
                <w:rFonts w:ascii="宋体" w:hAnsi="宋体" w:cs="宋体"/>
                <w:color w:val="auto"/>
                <w:kern w:val="0"/>
                <w:sz w:val="20"/>
                <w:highlight w:val="none"/>
              </w:rPr>
            </w:pPr>
            <w:r>
              <w:rPr>
                <w:rFonts w:hint="eastAsia" w:ascii="宋体" w:hAnsi="宋体" w:cs="宋体"/>
                <w:color w:val="auto"/>
                <w:kern w:val="0"/>
                <w:sz w:val="15"/>
                <w:highlight w:val="none"/>
              </w:rPr>
              <w:t>12、软件和信息技术服务业</w:t>
            </w:r>
          </w:p>
        </w:tc>
        <w:tc>
          <w:tcPr>
            <w:tcW w:w="1498" w:type="dxa"/>
            <w:tcBorders>
              <w:top w:val="nil"/>
              <w:left w:val="nil"/>
              <w:bottom w:val="single" w:color="auto" w:sz="4" w:space="0"/>
              <w:right w:val="single" w:color="auto" w:sz="4" w:space="0"/>
            </w:tcBorders>
            <w:vAlign w:val="bottom"/>
          </w:tcPr>
          <w:p w14:paraId="4C7F03BC">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2743767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1000≤Y＜10000</w:t>
            </w:r>
          </w:p>
        </w:tc>
        <w:tc>
          <w:tcPr>
            <w:tcW w:w="1660" w:type="dxa"/>
            <w:tcBorders>
              <w:top w:val="nil"/>
              <w:left w:val="nil"/>
              <w:bottom w:val="single" w:color="auto" w:sz="4" w:space="0"/>
              <w:right w:val="single" w:color="auto" w:sz="8" w:space="0"/>
            </w:tcBorders>
            <w:vAlign w:val="bottom"/>
          </w:tcPr>
          <w:p w14:paraId="77A00907">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1FE26A60">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2733612A">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50≤Y＜1000</w:t>
            </w:r>
          </w:p>
        </w:tc>
        <w:tc>
          <w:tcPr>
            <w:tcW w:w="1520" w:type="dxa"/>
            <w:tcBorders>
              <w:top w:val="nil"/>
              <w:left w:val="nil"/>
              <w:bottom w:val="single" w:color="auto" w:sz="4" w:space="0"/>
              <w:right w:val="single" w:color="auto" w:sz="8" w:space="0"/>
            </w:tcBorders>
            <w:vAlign w:val="bottom"/>
          </w:tcPr>
          <w:p w14:paraId="481851E8">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5A293FE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539B678E">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Y＜50</w:t>
            </w:r>
          </w:p>
        </w:tc>
        <w:tc>
          <w:tcPr>
            <w:tcW w:w="1221" w:type="dxa"/>
            <w:tcBorders>
              <w:top w:val="nil"/>
              <w:left w:val="nil"/>
              <w:bottom w:val="single" w:color="auto" w:sz="4" w:space="0"/>
              <w:right w:val="single" w:color="auto" w:sz="8" w:space="0"/>
            </w:tcBorders>
            <w:vAlign w:val="bottom"/>
          </w:tcPr>
          <w:p w14:paraId="5B6314D7">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E0CA659">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044D12E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13、房地产开发经营</w:t>
            </w:r>
          </w:p>
        </w:tc>
        <w:tc>
          <w:tcPr>
            <w:tcW w:w="1498" w:type="dxa"/>
            <w:tcBorders>
              <w:top w:val="nil"/>
              <w:left w:val="nil"/>
              <w:bottom w:val="single" w:color="auto" w:sz="4" w:space="0"/>
              <w:right w:val="single" w:color="auto" w:sz="4" w:space="0"/>
            </w:tcBorders>
            <w:vAlign w:val="bottom"/>
          </w:tcPr>
          <w:p w14:paraId="523C06C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63" w:type="dxa"/>
            <w:tcBorders>
              <w:top w:val="nil"/>
              <w:left w:val="nil"/>
              <w:bottom w:val="single" w:color="auto" w:sz="4" w:space="0"/>
              <w:right w:val="single" w:color="auto" w:sz="4" w:space="0"/>
            </w:tcBorders>
            <w:vAlign w:val="bottom"/>
          </w:tcPr>
          <w:p w14:paraId="0AC16896">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1000≤Y＜200000</w:t>
            </w:r>
          </w:p>
        </w:tc>
        <w:tc>
          <w:tcPr>
            <w:tcW w:w="1660" w:type="dxa"/>
            <w:tcBorders>
              <w:top w:val="nil"/>
              <w:left w:val="nil"/>
              <w:bottom w:val="single" w:color="auto" w:sz="4" w:space="0"/>
              <w:right w:val="single" w:color="auto" w:sz="8" w:space="0"/>
            </w:tcBorders>
            <w:vAlign w:val="bottom"/>
          </w:tcPr>
          <w:p w14:paraId="408B94D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5000≤Z＜10000</w:t>
            </w:r>
          </w:p>
        </w:tc>
        <w:tc>
          <w:tcPr>
            <w:tcW w:w="1240" w:type="dxa"/>
            <w:tcBorders>
              <w:top w:val="nil"/>
              <w:left w:val="nil"/>
              <w:bottom w:val="single" w:color="auto" w:sz="4" w:space="0"/>
              <w:right w:val="single" w:color="auto" w:sz="4" w:space="0"/>
            </w:tcBorders>
            <w:vAlign w:val="bottom"/>
          </w:tcPr>
          <w:p w14:paraId="721889FC">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36" w:type="dxa"/>
            <w:tcBorders>
              <w:top w:val="nil"/>
              <w:left w:val="nil"/>
              <w:bottom w:val="single" w:color="auto" w:sz="4" w:space="0"/>
              <w:right w:val="single" w:color="auto" w:sz="4" w:space="0"/>
            </w:tcBorders>
            <w:vAlign w:val="bottom"/>
          </w:tcPr>
          <w:p w14:paraId="25C9A337">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100≤Y＜1000</w:t>
            </w:r>
          </w:p>
        </w:tc>
        <w:tc>
          <w:tcPr>
            <w:tcW w:w="1520" w:type="dxa"/>
            <w:tcBorders>
              <w:top w:val="nil"/>
              <w:left w:val="nil"/>
              <w:bottom w:val="single" w:color="auto" w:sz="4" w:space="0"/>
              <w:right w:val="single" w:color="auto" w:sz="8" w:space="0"/>
            </w:tcBorders>
            <w:vAlign w:val="bottom"/>
          </w:tcPr>
          <w:p w14:paraId="701E4AE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2000≤Z＜5000</w:t>
            </w:r>
          </w:p>
        </w:tc>
        <w:tc>
          <w:tcPr>
            <w:tcW w:w="1285" w:type="dxa"/>
            <w:tcBorders>
              <w:top w:val="nil"/>
              <w:left w:val="nil"/>
              <w:bottom w:val="single" w:color="auto" w:sz="4" w:space="0"/>
              <w:right w:val="single" w:color="auto" w:sz="4" w:space="0"/>
            </w:tcBorders>
            <w:vAlign w:val="bottom"/>
          </w:tcPr>
          <w:p w14:paraId="0850534E">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75" w:type="dxa"/>
            <w:tcBorders>
              <w:top w:val="nil"/>
              <w:left w:val="nil"/>
              <w:bottom w:val="single" w:color="auto" w:sz="4" w:space="0"/>
              <w:right w:val="single" w:color="auto" w:sz="4" w:space="0"/>
            </w:tcBorders>
            <w:vAlign w:val="bottom"/>
          </w:tcPr>
          <w:p w14:paraId="66BDFEA8">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Y＜100</w:t>
            </w:r>
          </w:p>
        </w:tc>
        <w:tc>
          <w:tcPr>
            <w:tcW w:w="1221" w:type="dxa"/>
            <w:tcBorders>
              <w:top w:val="nil"/>
              <w:left w:val="nil"/>
              <w:bottom w:val="single" w:color="auto" w:sz="4" w:space="0"/>
              <w:right w:val="single" w:color="auto" w:sz="8" w:space="0"/>
            </w:tcBorders>
            <w:vAlign w:val="bottom"/>
          </w:tcPr>
          <w:p w14:paraId="4CBC6FE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Z＜2000</w:t>
            </w:r>
          </w:p>
        </w:tc>
      </w:tr>
      <w:tr w14:paraId="71F2139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74BA3CE7">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14、物业管理</w:t>
            </w:r>
          </w:p>
        </w:tc>
        <w:tc>
          <w:tcPr>
            <w:tcW w:w="1498" w:type="dxa"/>
            <w:tcBorders>
              <w:top w:val="nil"/>
              <w:left w:val="nil"/>
              <w:bottom w:val="single" w:color="auto" w:sz="4" w:space="0"/>
              <w:right w:val="single" w:color="auto" w:sz="4" w:space="0"/>
            </w:tcBorders>
            <w:vAlign w:val="bottom"/>
          </w:tcPr>
          <w:p w14:paraId="7371F4DD">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300≤X＜1000</w:t>
            </w:r>
          </w:p>
        </w:tc>
        <w:tc>
          <w:tcPr>
            <w:tcW w:w="1763" w:type="dxa"/>
            <w:tcBorders>
              <w:top w:val="nil"/>
              <w:left w:val="nil"/>
              <w:bottom w:val="single" w:color="auto" w:sz="4" w:space="0"/>
              <w:right w:val="single" w:color="auto" w:sz="4" w:space="0"/>
            </w:tcBorders>
            <w:vAlign w:val="bottom"/>
          </w:tcPr>
          <w:p w14:paraId="30B44A51">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1000≤Y＜5000</w:t>
            </w:r>
          </w:p>
        </w:tc>
        <w:tc>
          <w:tcPr>
            <w:tcW w:w="1660" w:type="dxa"/>
            <w:tcBorders>
              <w:top w:val="nil"/>
              <w:left w:val="nil"/>
              <w:bottom w:val="single" w:color="auto" w:sz="4" w:space="0"/>
              <w:right w:val="single" w:color="auto" w:sz="8" w:space="0"/>
            </w:tcBorders>
            <w:vAlign w:val="bottom"/>
          </w:tcPr>
          <w:p w14:paraId="3A19945E">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4" w:space="0"/>
              <w:right w:val="single" w:color="auto" w:sz="4" w:space="0"/>
            </w:tcBorders>
            <w:vAlign w:val="bottom"/>
          </w:tcPr>
          <w:p w14:paraId="5FDC51EE">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636" w:type="dxa"/>
            <w:tcBorders>
              <w:top w:val="nil"/>
              <w:left w:val="nil"/>
              <w:bottom w:val="single" w:color="auto" w:sz="4" w:space="0"/>
              <w:right w:val="single" w:color="auto" w:sz="4" w:space="0"/>
            </w:tcBorders>
            <w:vAlign w:val="bottom"/>
          </w:tcPr>
          <w:p w14:paraId="3084A5E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500≤Y＜1000</w:t>
            </w:r>
          </w:p>
        </w:tc>
        <w:tc>
          <w:tcPr>
            <w:tcW w:w="1520" w:type="dxa"/>
            <w:tcBorders>
              <w:top w:val="nil"/>
              <w:left w:val="nil"/>
              <w:bottom w:val="single" w:color="auto" w:sz="4" w:space="0"/>
              <w:right w:val="single" w:color="auto" w:sz="8" w:space="0"/>
            </w:tcBorders>
            <w:vAlign w:val="bottom"/>
          </w:tcPr>
          <w:p w14:paraId="60522AE3">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4" w:space="0"/>
              <w:right w:val="single" w:color="auto" w:sz="4" w:space="0"/>
            </w:tcBorders>
            <w:vAlign w:val="bottom"/>
          </w:tcPr>
          <w:p w14:paraId="4755E91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X＜100</w:t>
            </w:r>
          </w:p>
        </w:tc>
        <w:tc>
          <w:tcPr>
            <w:tcW w:w="1275" w:type="dxa"/>
            <w:tcBorders>
              <w:top w:val="nil"/>
              <w:left w:val="nil"/>
              <w:bottom w:val="single" w:color="auto" w:sz="4" w:space="0"/>
              <w:right w:val="single" w:color="auto" w:sz="4" w:space="0"/>
            </w:tcBorders>
            <w:vAlign w:val="bottom"/>
          </w:tcPr>
          <w:p w14:paraId="428FE6BF">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Y＜500</w:t>
            </w:r>
          </w:p>
        </w:tc>
        <w:tc>
          <w:tcPr>
            <w:tcW w:w="1221" w:type="dxa"/>
            <w:tcBorders>
              <w:top w:val="nil"/>
              <w:left w:val="nil"/>
              <w:bottom w:val="single" w:color="auto" w:sz="4" w:space="0"/>
              <w:right w:val="single" w:color="auto" w:sz="8" w:space="0"/>
            </w:tcBorders>
            <w:vAlign w:val="bottom"/>
          </w:tcPr>
          <w:p w14:paraId="3E17F610">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0700F21">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46E66EC9">
            <w:pPr>
              <w:widowControl/>
              <w:shd w:val="clear"/>
              <w:jc w:val="left"/>
              <w:rPr>
                <w:rFonts w:ascii="宋体" w:hAnsi="宋体" w:cs="宋体"/>
                <w:color w:val="auto"/>
                <w:kern w:val="0"/>
                <w:sz w:val="20"/>
                <w:highlight w:val="none"/>
              </w:rPr>
            </w:pPr>
            <w:r>
              <w:rPr>
                <w:rFonts w:hint="eastAsia" w:ascii="宋体" w:hAnsi="宋体" w:cs="宋体"/>
                <w:color w:val="auto"/>
                <w:kern w:val="0"/>
                <w:sz w:val="18"/>
                <w:highlight w:val="none"/>
              </w:rPr>
              <w:t>15、租赁和商务服务业</w:t>
            </w:r>
          </w:p>
        </w:tc>
        <w:tc>
          <w:tcPr>
            <w:tcW w:w="1498" w:type="dxa"/>
            <w:tcBorders>
              <w:top w:val="nil"/>
              <w:left w:val="nil"/>
              <w:bottom w:val="single" w:color="auto" w:sz="4" w:space="0"/>
              <w:right w:val="single" w:color="auto" w:sz="4" w:space="0"/>
            </w:tcBorders>
            <w:vAlign w:val="bottom"/>
          </w:tcPr>
          <w:p w14:paraId="65CD0058">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4" w:space="0"/>
              <w:right w:val="single" w:color="auto" w:sz="4" w:space="0"/>
            </w:tcBorders>
            <w:vAlign w:val="bottom"/>
          </w:tcPr>
          <w:p w14:paraId="17DD04D9">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60" w:type="dxa"/>
            <w:tcBorders>
              <w:top w:val="nil"/>
              <w:left w:val="nil"/>
              <w:bottom w:val="single" w:color="auto" w:sz="4" w:space="0"/>
              <w:right w:val="single" w:color="auto" w:sz="8" w:space="0"/>
            </w:tcBorders>
            <w:vAlign w:val="bottom"/>
          </w:tcPr>
          <w:p w14:paraId="125E8D9F">
            <w:pPr>
              <w:widowControl/>
              <w:shd w:val="clear"/>
              <w:jc w:val="left"/>
              <w:rPr>
                <w:rFonts w:ascii="宋体" w:hAnsi="宋体" w:cs="宋体"/>
                <w:color w:val="auto"/>
                <w:kern w:val="0"/>
                <w:sz w:val="20"/>
                <w:highlight w:val="none"/>
              </w:rPr>
            </w:pPr>
            <w:r>
              <w:rPr>
                <w:rFonts w:hint="eastAsia" w:ascii="宋体" w:hAnsi="宋体" w:cs="宋体"/>
                <w:color w:val="auto"/>
                <w:kern w:val="0"/>
                <w:sz w:val="18"/>
                <w:highlight w:val="none"/>
              </w:rPr>
              <w:t>8000≤Z＜120000</w:t>
            </w:r>
          </w:p>
        </w:tc>
        <w:tc>
          <w:tcPr>
            <w:tcW w:w="1240" w:type="dxa"/>
            <w:tcBorders>
              <w:top w:val="nil"/>
              <w:left w:val="nil"/>
              <w:bottom w:val="single" w:color="auto" w:sz="4" w:space="0"/>
              <w:right w:val="single" w:color="auto" w:sz="4" w:space="0"/>
            </w:tcBorders>
            <w:vAlign w:val="bottom"/>
          </w:tcPr>
          <w:p w14:paraId="431AFD9C">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4" w:space="0"/>
              <w:right w:val="single" w:color="auto" w:sz="4" w:space="0"/>
            </w:tcBorders>
            <w:vAlign w:val="bottom"/>
          </w:tcPr>
          <w:p w14:paraId="7CBE158A">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20" w:type="dxa"/>
            <w:tcBorders>
              <w:top w:val="nil"/>
              <w:left w:val="nil"/>
              <w:bottom w:val="single" w:color="auto" w:sz="4" w:space="0"/>
              <w:right w:val="single" w:color="auto" w:sz="8" w:space="0"/>
            </w:tcBorders>
            <w:vAlign w:val="bottom"/>
          </w:tcPr>
          <w:p w14:paraId="6527C8E1">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 100≤Z＜8000</w:t>
            </w:r>
          </w:p>
        </w:tc>
        <w:tc>
          <w:tcPr>
            <w:tcW w:w="1285" w:type="dxa"/>
            <w:tcBorders>
              <w:top w:val="nil"/>
              <w:left w:val="nil"/>
              <w:bottom w:val="single" w:color="auto" w:sz="4" w:space="0"/>
              <w:right w:val="single" w:color="auto" w:sz="4" w:space="0"/>
            </w:tcBorders>
            <w:vAlign w:val="bottom"/>
          </w:tcPr>
          <w:p w14:paraId="465DB79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4" w:space="0"/>
              <w:right w:val="single" w:color="auto" w:sz="4" w:space="0"/>
            </w:tcBorders>
            <w:vAlign w:val="bottom"/>
          </w:tcPr>
          <w:p w14:paraId="3DAD275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21" w:type="dxa"/>
            <w:tcBorders>
              <w:top w:val="nil"/>
              <w:left w:val="nil"/>
              <w:bottom w:val="single" w:color="auto" w:sz="4" w:space="0"/>
              <w:right w:val="single" w:color="auto" w:sz="8" w:space="0"/>
            </w:tcBorders>
            <w:vAlign w:val="bottom"/>
          </w:tcPr>
          <w:p w14:paraId="59BFB30C">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Z＜100</w:t>
            </w:r>
          </w:p>
        </w:tc>
      </w:tr>
      <w:tr w14:paraId="33855057">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14:paraId="287C865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16、其他未列明行业</w:t>
            </w:r>
          </w:p>
        </w:tc>
        <w:tc>
          <w:tcPr>
            <w:tcW w:w="1498" w:type="dxa"/>
            <w:tcBorders>
              <w:top w:val="nil"/>
              <w:left w:val="nil"/>
              <w:bottom w:val="single" w:color="auto" w:sz="8" w:space="0"/>
              <w:right w:val="single" w:color="auto" w:sz="4" w:space="0"/>
            </w:tcBorders>
            <w:vAlign w:val="bottom"/>
          </w:tcPr>
          <w:p w14:paraId="012A906C">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100≤X＜300</w:t>
            </w:r>
          </w:p>
        </w:tc>
        <w:tc>
          <w:tcPr>
            <w:tcW w:w="1763" w:type="dxa"/>
            <w:tcBorders>
              <w:top w:val="nil"/>
              <w:left w:val="nil"/>
              <w:bottom w:val="single" w:color="auto" w:sz="8" w:space="0"/>
              <w:right w:val="single" w:color="auto" w:sz="4" w:space="0"/>
            </w:tcBorders>
            <w:vAlign w:val="bottom"/>
          </w:tcPr>
          <w:p w14:paraId="6A6259F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60" w:type="dxa"/>
            <w:tcBorders>
              <w:top w:val="nil"/>
              <w:left w:val="nil"/>
              <w:bottom w:val="single" w:color="auto" w:sz="8" w:space="0"/>
              <w:right w:val="single" w:color="auto" w:sz="8" w:space="0"/>
            </w:tcBorders>
            <w:vAlign w:val="bottom"/>
          </w:tcPr>
          <w:p w14:paraId="5653CCB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0" w:type="dxa"/>
            <w:tcBorders>
              <w:top w:val="nil"/>
              <w:left w:val="nil"/>
              <w:bottom w:val="single" w:color="auto" w:sz="8" w:space="0"/>
              <w:right w:val="single" w:color="auto" w:sz="4" w:space="0"/>
            </w:tcBorders>
            <w:vAlign w:val="bottom"/>
          </w:tcPr>
          <w:p w14:paraId="26A0F3A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10≤X＜100</w:t>
            </w:r>
          </w:p>
        </w:tc>
        <w:tc>
          <w:tcPr>
            <w:tcW w:w="1636" w:type="dxa"/>
            <w:tcBorders>
              <w:top w:val="nil"/>
              <w:left w:val="nil"/>
              <w:bottom w:val="single" w:color="auto" w:sz="8" w:space="0"/>
              <w:right w:val="single" w:color="auto" w:sz="4" w:space="0"/>
            </w:tcBorders>
            <w:vAlign w:val="bottom"/>
          </w:tcPr>
          <w:p w14:paraId="5430666B">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20" w:type="dxa"/>
            <w:tcBorders>
              <w:top w:val="nil"/>
              <w:left w:val="nil"/>
              <w:bottom w:val="single" w:color="auto" w:sz="8" w:space="0"/>
              <w:right w:val="single" w:color="auto" w:sz="8" w:space="0"/>
            </w:tcBorders>
            <w:vAlign w:val="bottom"/>
          </w:tcPr>
          <w:p w14:paraId="1B0E4F02">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5" w:type="dxa"/>
            <w:tcBorders>
              <w:top w:val="nil"/>
              <w:left w:val="nil"/>
              <w:bottom w:val="single" w:color="auto" w:sz="8" w:space="0"/>
              <w:right w:val="single" w:color="auto" w:sz="4" w:space="0"/>
            </w:tcBorders>
            <w:vAlign w:val="bottom"/>
          </w:tcPr>
          <w:p w14:paraId="1616B415">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X＜10</w:t>
            </w:r>
          </w:p>
        </w:tc>
        <w:tc>
          <w:tcPr>
            <w:tcW w:w="1275" w:type="dxa"/>
            <w:tcBorders>
              <w:top w:val="nil"/>
              <w:left w:val="nil"/>
              <w:bottom w:val="single" w:color="auto" w:sz="8" w:space="0"/>
              <w:right w:val="single" w:color="auto" w:sz="4" w:space="0"/>
            </w:tcBorders>
            <w:vAlign w:val="bottom"/>
          </w:tcPr>
          <w:p w14:paraId="579BF594">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21" w:type="dxa"/>
            <w:tcBorders>
              <w:top w:val="nil"/>
              <w:left w:val="nil"/>
              <w:bottom w:val="single" w:color="auto" w:sz="8" w:space="0"/>
              <w:right w:val="single" w:color="auto" w:sz="8" w:space="0"/>
            </w:tcBorders>
            <w:vAlign w:val="bottom"/>
          </w:tcPr>
          <w:p w14:paraId="2FF7D940">
            <w:pPr>
              <w:widowControl/>
              <w:shd w:val="clear"/>
              <w:jc w:val="left"/>
              <w:rPr>
                <w:rFonts w:ascii="宋体" w:hAnsi="宋体" w:cs="宋体"/>
                <w:color w:val="auto"/>
                <w:kern w:val="0"/>
                <w:sz w:val="20"/>
                <w:highlight w:val="none"/>
              </w:rPr>
            </w:pPr>
            <w:r>
              <w:rPr>
                <w:rFonts w:hint="eastAsia" w:ascii="宋体" w:hAnsi="宋体" w:cs="宋体"/>
                <w:color w:val="auto"/>
                <w:kern w:val="0"/>
                <w:sz w:val="20"/>
                <w:highlight w:val="none"/>
              </w:rPr>
              <w:t>　</w:t>
            </w:r>
          </w:p>
        </w:tc>
      </w:tr>
    </w:tbl>
    <w:p w14:paraId="46B273A6">
      <w:pPr>
        <w:pStyle w:val="2"/>
        <w:shd w:val="clear"/>
        <w:ind w:firstLine="560"/>
        <w:rPr>
          <w:color w:val="auto"/>
          <w:highlight w:val="none"/>
        </w:rPr>
        <w:sectPr>
          <w:pgSz w:w="16838" w:h="11906" w:orient="landscape"/>
          <w:pgMar w:top="1800" w:right="1440" w:bottom="1800" w:left="1440" w:header="851" w:footer="992" w:gutter="0"/>
          <w:cols w:space="425" w:num="1"/>
          <w:docGrid w:type="lines" w:linePitch="312" w:charSpace="0"/>
        </w:sectPr>
      </w:pPr>
    </w:p>
    <w:p w14:paraId="567C5C1B">
      <w:pPr>
        <w:shd w:val="clear"/>
        <w:spacing w:line="360" w:lineRule="auto"/>
        <w:jc w:val="center"/>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bCs/>
          <w:color w:val="auto"/>
          <w:sz w:val="32"/>
          <w:szCs w:val="32"/>
          <w:highlight w:val="none"/>
        </w:rPr>
        <w:t>四、残疾人福利性单位声明函</w:t>
      </w:r>
      <w:r>
        <w:rPr>
          <w:rFonts w:ascii="宋体" w:hAnsi="宋体" w:cs="仿宋"/>
          <w:b/>
          <w:color w:val="auto"/>
          <w:kern w:val="44"/>
          <w:sz w:val="32"/>
          <w:szCs w:val="32"/>
          <w:highlight w:val="none"/>
        </w:rPr>
        <w:t>（如有）</w:t>
      </w:r>
    </w:p>
    <w:p w14:paraId="3415CC3E">
      <w:pPr>
        <w:shd w:val="clear"/>
        <w:spacing w:line="360" w:lineRule="auto"/>
        <w:rPr>
          <w:rFonts w:cs="仿宋" w:asciiTheme="majorEastAsia" w:hAnsiTheme="majorEastAsia" w:eastAsiaTheme="majorEastAsia"/>
          <w:b/>
          <w:color w:val="auto"/>
          <w:spacing w:val="6"/>
          <w:sz w:val="30"/>
          <w:szCs w:val="30"/>
          <w:highlight w:val="none"/>
        </w:rPr>
      </w:pPr>
    </w:p>
    <w:p w14:paraId="18DE86AF">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89BE0B">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本单位对上述声明的真实性负责。如有虚假，将依法承担相应责任。</w:t>
      </w:r>
    </w:p>
    <w:p w14:paraId="3FA694A7">
      <w:pPr>
        <w:shd w:val="clear"/>
        <w:spacing w:line="360" w:lineRule="auto"/>
        <w:ind w:firstLine="480" w:firstLineChars="200"/>
        <w:jc w:val="left"/>
        <w:rPr>
          <w:rFonts w:cs="仿宋" w:asciiTheme="majorEastAsia" w:hAnsiTheme="majorEastAsia" w:eastAsiaTheme="majorEastAsia"/>
          <w:color w:val="auto"/>
          <w:sz w:val="24"/>
          <w:highlight w:val="none"/>
        </w:rPr>
      </w:pPr>
    </w:p>
    <w:p w14:paraId="1FF46302">
      <w:pPr>
        <w:shd w:val="clear"/>
        <w:spacing w:line="360" w:lineRule="auto"/>
        <w:ind w:firstLine="480" w:firstLineChars="200"/>
        <w:jc w:val="left"/>
        <w:rPr>
          <w:rFonts w:cs="仿宋" w:asciiTheme="majorEastAsia" w:hAnsiTheme="majorEastAsia" w:eastAsiaTheme="majorEastAsia"/>
          <w:color w:val="auto"/>
          <w:sz w:val="24"/>
          <w:highlight w:val="none"/>
        </w:rPr>
      </w:pPr>
    </w:p>
    <w:p w14:paraId="0365FF8A">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法定代表人或其授权委托人（签名或印章）：</w:t>
      </w:r>
    </w:p>
    <w:p w14:paraId="101DC436">
      <w:pPr>
        <w:shd w:val="clear"/>
        <w:adjustRightInd w:val="0"/>
        <w:spacing w:line="360" w:lineRule="auto"/>
        <w:ind w:firstLine="3840" w:firstLineChars="16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46064F23">
      <w:pPr>
        <w:shd w:val="clea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日期：</w:t>
      </w:r>
    </w:p>
    <w:p w14:paraId="42269271">
      <w:pPr>
        <w:shd w:val="clea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br w:type="page"/>
      </w:r>
    </w:p>
    <w:p w14:paraId="40153D73">
      <w:pPr>
        <w:shd w:val="clear"/>
        <w:spacing w:line="360" w:lineRule="auto"/>
        <w:jc w:val="center"/>
        <w:rPr>
          <w:rFonts w:ascii="宋体" w:hAnsi="宋体" w:cs="仿宋"/>
          <w:b/>
          <w:color w:val="auto"/>
          <w:kern w:val="44"/>
          <w:sz w:val="32"/>
          <w:szCs w:val="32"/>
          <w:highlight w:val="none"/>
        </w:rPr>
      </w:pPr>
      <w:r>
        <w:rPr>
          <w:rFonts w:hint="eastAsia" w:cs="仿宋" w:asciiTheme="majorEastAsia" w:hAnsiTheme="majorEastAsia" w:eastAsiaTheme="majorEastAsia"/>
          <w:b/>
          <w:bCs/>
          <w:color w:val="auto"/>
          <w:sz w:val="32"/>
          <w:szCs w:val="32"/>
          <w:highlight w:val="none"/>
        </w:rPr>
        <w:t>五、</w:t>
      </w:r>
      <w:r>
        <w:rPr>
          <w:rFonts w:ascii="宋体" w:hAnsi="宋体" w:cs="仿宋"/>
          <w:b/>
          <w:color w:val="auto"/>
          <w:kern w:val="44"/>
          <w:sz w:val="32"/>
          <w:szCs w:val="32"/>
          <w:highlight w:val="none"/>
        </w:rPr>
        <w:t>监狱企业声明函（如有）</w:t>
      </w:r>
    </w:p>
    <w:p w14:paraId="519C353A">
      <w:pPr>
        <w:widowControl/>
        <w:shd w:val="clear"/>
        <w:adjustRightInd w:val="0"/>
        <w:snapToGrid w:val="0"/>
        <w:spacing w:line="300" w:lineRule="auto"/>
        <w:ind w:firstLine="420" w:firstLineChars="200"/>
        <w:jc w:val="left"/>
        <w:rPr>
          <w:rFonts w:ascii="宋体" w:hAnsi="宋体" w:cs="Calibri"/>
          <w:color w:val="auto"/>
          <w:szCs w:val="21"/>
          <w:highlight w:val="none"/>
        </w:rPr>
      </w:pPr>
    </w:p>
    <w:p w14:paraId="0F32E9E9">
      <w:pPr>
        <w:widowControl/>
        <w:shd w:val="clear"/>
        <w:adjustRightInd w:val="0"/>
        <w:snapToGrid w:val="0"/>
        <w:spacing w:line="300" w:lineRule="auto"/>
        <w:ind w:firstLine="420" w:firstLineChars="200"/>
        <w:jc w:val="left"/>
        <w:rPr>
          <w:rFonts w:ascii="宋体" w:hAnsi="宋体" w:cs="Calibri"/>
          <w:color w:val="auto"/>
          <w:szCs w:val="21"/>
          <w:highlight w:val="none"/>
        </w:rPr>
      </w:pPr>
    </w:p>
    <w:p w14:paraId="4AF24C64">
      <w:pPr>
        <w:widowControl/>
        <w:shd w:val="clear"/>
        <w:adjustRightInd w:val="0"/>
        <w:snapToGrid w:val="0"/>
        <w:spacing w:line="300" w:lineRule="auto"/>
        <w:ind w:firstLine="420" w:firstLineChars="200"/>
        <w:jc w:val="left"/>
        <w:rPr>
          <w:rFonts w:ascii="宋体" w:hAnsi="宋体" w:cs="Calibri"/>
          <w:color w:val="auto"/>
          <w:szCs w:val="21"/>
          <w:highlight w:val="none"/>
        </w:rPr>
      </w:pPr>
      <w:r>
        <w:rPr>
          <w:rFonts w:ascii="宋体" w:hAnsi="宋体" w:cs="Calibri"/>
          <w:color w:val="auto"/>
          <w:szCs w:val="21"/>
          <w:highlight w:val="none"/>
        </w:rPr>
        <w:t>本企业郑重声明，根据《关于政府采购支持监狱企业发展有关问题的通知》（财库[2014]68号）的规定，本企业为</w:t>
      </w:r>
      <w:r>
        <w:rPr>
          <w:rFonts w:ascii="宋体" w:hAnsi="宋体" w:cs="Calibri"/>
          <w:color w:val="auto"/>
          <w:szCs w:val="21"/>
          <w:highlight w:val="none"/>
          <w:u w:val="single"/>
        </w:rPr>
        <w:t>监狱企业</w:t>
      </w:r>
      <w:r>
        <w:rPr>
          <w:rFonts w:ascii="宋体" w:hAnsi="宋体" w:cs="Calibri"/>
          <w:color w:val="auto"/>
          <w:szCs w:val="21"/>
          <w:highlight w:val="none"/>
        </w:rPr>
        <w:t>。</w:t>
      </w:r>
    </w:p>
    <w:p w14:paraId="643FA5C6">
      <w:pPr>
        <w:widowControl/>
        <w:shd w:val="clear"/>
        <w:adjustRightInd w:val="0"/>
        <w:snapToGrid w:val="0"/>
        <w:spacing w:line="300" w:lineRule="auto"/>
        <w:ind w:firstLine="420" w:firstLineChars="200"/>
        <w:jc w:val="left"/>
        <w:rPr>
          <w:rFonts w:ascii="宋体" w:hAnsi="宋体" w:cs="Calibri"/>
          <w:color w:val="auto"/>
          <w:szCs w:val="21"/>
          <w:highlight w:val="none"/>
        </w:rPr>
      </w:pPr>
      <w:r>
        <w:rPr>
          <w:rFonts w:ascii="宋体" w:hAnsi="宋体" w:cs="Calibri"/>
          <w:color w:val="auto"/>
          <w:szCs w:val="21"/>
          <w:highlight w:val="none"/>
        </w:rPr>
        <w:t>根据上述标准，我企业属于</w:t>
      </w:r>
      <w:r>
        <w:rPr>
          <w:rFonts w:ascii="宋体" w:hAnsi="宋体" w:cs="Calibri"/>
          <w:color w:val="auto"/>
          <w:szCs w:val="21"/>
          <w:highlight w:val="none"/>
          <w:u w:val="single"/>
        </w:rPr>
        <w:t>监狱企业</w:t>
      </w:r>
      <w:r>
        <w:rPr>
          <w:rFonts w:ascii="宋体" w:hAnsi="宋体" w:cs="Calibri"/>
          <w:color w:val="auto"/>
          <w:szCs w:val="21"/>
          <w:highlight w:val="none"/>
        </w:rPr>
        <w:t>的理由为：</w:t>
      </w:r>
      <w:r>
        <w:rPr>
          <w:rFonts w:ascii="宋体" w:hAnsi="宋体" w:cs="Calibri"/>
          <w:color w:val="auto"/>
          <w:highlight w:val="none"/>
          <w:u w:val="single"/>
        </w:rPr>
        <w:t>【           】</w:t>
      </w:r>
      <w:r>
        <w:rPr>
          <w:rFonts w:ascii="宋体" w:hAnsi="宋体" w:cs="Calibri"/>
          <w:color w:val="auto"/>
          <w:szCs w:val="21"/>
          <w:highlight w:val="none"/>
        </w:rPr>
        <w:t>。</w:t>
      </w:r>
    </w:p>
    <w:p w14:paraId="163C1AF4">
      <w:pPr>
        <w:widowControl/>
        <w:shd w:val="clear"/>
        <w:adjustRightInd w:val="0"/>
        <w:snapToGrid w:val="0"/>
        <w:spacing w:line="300" w:lineRule="auto"/>
        <w:ind w:firstLine="420" w:firstLineChars="200"/>
        <w:rPr>
          <w:rFonts w:ascii="宋体" w:hAnsi="宋体" w:cs="Calibri"/>
          <w:color w:val="auto"/>
          <w:szCs w:val="21"/>
          <w:highlight w:val="none"/>
        </w:rPr>
      </w:pPr>
      <w:r>
        <w:rPr>
          <w:rFonts w:ascii="宋体" w:hAnsi="宋体" w:cs="Calibri"/>
          <w:color w:val="auto"/>
          <w:szCs w:val="21"/>
          <w:highlight w:val="none"/>
        </w:rPr>
        <w:t>本企业为参加</w:t>
      </w:r>
      <w:r>
        <w:rPr>
          <w:rFonts w:hint="eastAsia" w:ascii="宋体" w:hAnsi="宋体" w:cs="Calibri"/>
          <w:color w:val="auto"/>
          <w:szCs w:val="21"/>
          <w:highlight w:val="none"/>
          <w:u w:val="single"/>
        </w:rPr>
        <w:t xml:space="preserve">                        </w:t>
      </w:r>
      <w:r>
        <w:rPr>
          <w:rFonts w:ascii="宋体" w:hAnsi="宋体" w:cs="Calibri"/>
          <w:color w:val="auto"/>
          <w:szCs w:val="21"/>
          <w:highlight w:val="none"/>
        </w:rPr>
        <w:t>（采购人）</w:t>
      </w:r>
      <w:r>
        <w:rPr>
          <w:rFonts w:hint="eastAsia" w:hAnsi="宋体" w:cs="Calibri"/>
          <w:color w:val="auto"/>
          <w:highlight w:val="none"/>
          <w:u w:val="single"/>
        </w:rPr>
        <w:t xml:space="preserve">               </w:t>
      </w:r>
      <w:r>
        <w:rPr>
          <w:rFonts w:ascii="宋体" w:hAnsi="宋体" w:cs="Calibri"/>
          <w:color w:val="auto"/>
          <w:highlight w:val="none"/>
        </w:rPr>
        <w:t>（项目名称）</w:t>
      </w:r>
      <w:r>
        <w:rPr>
          <w:rFonts w:ascii="宋体" w:hAnsi="宋体" w:cs="Calibri"/>
          <w:color w:val="auto"/>
          <w:szCs w:val="21"/>
          <w:highlight w:val="none"/>
        </w:rPr>
        <w:t>采购活动提供本企业的产品。</w:t>
      </w:r>
    </w:p>
    <w:p w14:paraId="20259E2B">
      <w:pPr>
        <w:widowControl/>
        <w:shd w:val="clear"/>
        <w:adjustRightInd w:val="0"/>
        <w:snapToGrid w:val="0"/>
        <w:spacing w:line="300" w:lineRule="auto"/>
        <w:ind w:firstLine="420" w:firstLineChars="200"/>
        <w:rPr>
          <w:rFonts w:ascii="宋体" w:hAnsi="宋体" w:cs="Calibri"/>
          <w:color w:val="auto"/>
          <w:szCs w:val="21"/>
          <w:highlight w:val="none"/>
        </w:rPr>
      </w:pPr>
      <w:r>
        <w:rPr>
          <w:rFonts w:ascii="宋体" w:hAnsi="宋体" w:cs="Calibri"/>
          <w:color w:val="auto"/>
          <w:szCs w:val="21"/>
          <w:highlight w:val="none"/>
        </w:rPr>
        <w:t>本企业对上述声明的真实性负责。如有虚假，将依法承担相应责任。</w:t>
      </w:r>
    </w:p>
    <w:p w14:paraId="55215CC5">
      <w:pPr>
        <w:shd w:val="clear"/>
        <w:adjustRightInd w:val="0"/>
        <w:snapToGrid w:val="0"/>
        <w:spacing w:line="300" w:lineRule="auto"/>
        <w:ind w:firstLine="420" w:firstLineChars="200"/>
        <w:jc w:val="center"/>
        <w:rPr>
          <w:rFonts w:ascii="宋体" w:hAnsi="宋体" w:cs="Calibri"/>
          <w:color w:val="auto"/>
          <w:szCs w:val="21"/>
          <w:highlight w:val="none"/>
        </w:rPr>
      </w:pPr>
    </w:p>
    <w:p w14:paraId="28295566">
      <w:pPr>
        <w:pStyle w:val="11"/>
        <w:shd w:val="clear"/>
        <w:adjustRightInd w:val="0"/>
        <w:snapToGrid w:val="0"/>
        <w:spacing w:before="120" w:after="120" w:line="300" w:lineRule="auto"/>
        <w:ind w:firstLine="420" w:firstLineChars="200"/>
        <w:rPr>
          <w:rFonts w:hAnsi="宋体" w:cs="Calibri"/>
          <w:color w:val="auto"/>
          <w:highlight w:val="none"/>
          <w:u w:val="single"/>
        </w:rPr>
      </w:pPr>
      <w:r>
        <w:rPr>
          <w:rFonts w:hAnsi="宋体" w:cs="Calibri"/>
          <w:color w:val="auto"/>
          <w:highlight w:val="none"/>
        </w:rPr>
        <w:t>投标人全称：</w:t>
      </w:r>
      <w:r>
        <w:rPr>
          <w:rFonts w:hAnsi="宋体" w:cs="Calibri"/>
          <w:color w:val="auto"/>
          <w:highlight w:val="none"/>
          <w:u w:val="single"/>
        </w:rPr>
        <w:t xml:space="preserve">                      </w:t>
      </w:r>
      <w:r>
        <w:rPr>
          <w:rFonts w:hAnsi="宋体" w:cs="Calibri"/>
          <w:color w:val="auto"/>
          <w:highlight w:val="none"/>
        </w:rPr>
        <w:t>（盖单位公章）</w:t>
      </w:r>
    </w:p>
    <w:p w14:paraId="75BAE122">
      <w:pPr>
        <w:pStyle w:val="11"/>
        <w:shd w:val="clear"/>
        <w:adjustRightInd w:val="0"/>
        <w:snapToGrid w:val="0"/>
        <w:spacing w:before="120" w:after="120" w:line="300" w:lineRule="auto"/>
        <w:ind w:firstLine="420" w:firstLineChars="200"/>
        <w:rPr>
          <w:rFonts w:hAnsi="宋体" w:cs="Calibri"/>
          <w:color w:val="auto"/>
          <w:highlight w:val="none"/>
          <w:u w:val="single"/>
        </w:rPr>
      </w:pPr>
      <w:r>
        <w:rPr>
          <w:rFonts w:hAnsi="宋体" w:cs="Calibri"/>
          <w:color w:val="auto"/>
          <w:highlight w:val="none"/>
        </w:rPr>
        <w:t>日期：</w:t>
      </w:r>
      <w:r>
        <w:rPr>
          <w:rFonts w:hint="eastAsia" w:hAnsi="宋体" w:cs="Calibri"/>
          <w:color w:val="auto"/>
          <w:kern w:val="0"/>
          <w:highlight w:val="none"/>
        </w:rPr>
        <w:t xml:space="preserve">    </w:t>
      </w:r>
      <w:r>
        <w:rPr>
          <w:rFonts w:hAnsi="宋体" w:cs="Calibri"/>
          <w:color w:val="auto"/>
          <w:kern w:val="0"/>
          <w:highlight w:val="none"/>
        </w:rPr>
        <w:t>年  月  日</w:t>
      </w:r>
    </w:p>
    <w:p w14:paraId="13E5A23E">
      <w:pPr>
        <w:widowControl/>
        <w:shd w:val="clear"/>
        <w:snapToGrid w:val="0"/>
        <w:spacing w:line="300" w:lineRule="auto"/>
        <w:ind w:firstLine="420" w:firstLineChars="200"/>
        <w:rPr>
          <w:rFonts w:ascii="宋体" w:hAnsi="宋体" w:cs="Calibri"/>
          <w:color w:val="auto"/>
          <w:kern w:val="0"/>
          <w:szCs w:val="21"/>
          <w:highlight w:val="none"/>
        </w:rPr>
      </w:pPr>
      <w:r>
        <w:rPr>
          <w:rFonts w:ascii="宋体" w:hAnsi="宋体" w:cs="Calibri"/>
          <w:color w:val="auto"/>
          <w:kern w:val="0"/>
          <w:szCs w:val="21"/>
          <w:highlight w:val="none"/>
        </w:rPr>
        <w:t>说明：</w:t>
      </w:r>
    </w:p>
    <w:p w14:paraId="38747AC5">
      <w:pPr>
        <w:widowControl/>
        <w:shd w:val="clear"/>
        <w:snapToGrid w:val="0"/>
        <w:spacing w:line="300" w:lineRule="auto"/>
        <w:ind w:firstLine="420" w:firstLineChars="200"/>
        <w:rPr>
          <w:rFonts w:ascii="宋体" w:hAnsi="宋体" w:cs="Calibri"/>
          <w:color w:val="auto"/>
          <w:kern w:val="0"/>
          <w:szCs w:val="21"/>
          <w:highlight w:val="none"/>
        </w:rPr>
      </w:pPr>
      <w:r>
        <w:rPr>
          <w:rFonts w:ascii="宋体" w:hAnsi="宋体" w:cs="Calibri"/>
          <w:color w:val="auto"/>
          <w:szCs w:val="21"/>
          <w:highlight w:val="none"/>
        </w:rPr>
        <w:t>（</w:t>
      </w:r>
      <w:r>
        <w:rPr>
          <w:rFonts w:ascii="宋体" w:hAnsi="宋体" w:cs="Calibri"/>
          <w:color w:val="auto"/>
          <w:kern w:val="0"/>
          <w:szCs w:val="21"/>
          <w:highlight w:val="none"/>
        </w:rPr>
        <w:t>1）监狱企业参加政府采购活动时，应当提供由省级以上监狱管理局、戒毒管理局（含新疆生产建设兵团）出具的属于监狱企业的证明文件。</w:t>
      </w:r>
    </w:p>
    <w:p w14:paraId="5647ED7A">
      <w:pPr>
        <w:widowControl/>
        <w:shd w:val="clear"/>
        <w:snapToGrid w:val="0"/>
        <w:spacing w:line="300" w:lineRule="auto"/>
        <w:ind w:firstLine="420" w:firstLineChars="200"/>
        <w:rPr>
          <w:rFonts w:ascii="宋体" w:hAnsi="宋体" w:cs="Calibri"/>
          <w:color w:val="auto"/>
          <w:kern w:val="0"/>
          <w:szCs w:val="21"/>
          <w:highlight w:val="none"/>
        </w:rPr>
      </w:pPr>
      <w:r>
        <w:rPr>
          <w:rFonts w:ascii="宋体" w:hAnsi="宋体" w:cs="Calibri"/>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A8A7C0E">
      <w:pPr>
        <w:pStyle w:val="6"/>
        <w:shd w:val="clear"/>
        <w:rPr>
          <w:color w:val="auto"/>
          <w:highlight w:val="none"/>
        </w:rPr>
      </w:pPr>
      <w:r>
        <w:rPr>
          <w:rFonts w:hAnsi="宋体" w:cs="Calibri"/>
          <w:color w:val="auto"/>
          <w:szCs w:val="21"/>
          <w:highlight w:val="none"/>
        </w:rPr>
        <w:t>（</w:t>
      </w:r>
      <w:r>
        <w:rPr>
          <w:rFonts w:hAnsi="宋体" w:cs="Calibri"/>
          <w:color w:val="auto"/>
          <w:kern w:val="0"/>
          <w:szCs w:val="21"/>
          <w:highlight w:val="none"/>
        </w:rPr>
        <w:t>2）</w:t>
      </w:r>
      <w:r>
        <w:rPr>
          <w:rFonts w:hAnsi="宋体" w:cs="Calibri"/>
          <w:bCs/>
          <w:color w:val="auto"/>
          <w:szCs w:val="21"/>
          <w:highlight w:val="none"/>
        </w:rPr>
        <w:t>不属于监狱企业，不用提供此函</w:t>
      </w:r>
      <w:r>
        <w:rPr>
          <w:rFonts w:hint="eastAsia" w:hAnsi="宋体" w:cs="Calibri"/>
          <w:bCs/>
          <w:color w:val="auto"/>
          <w:szCs w:val="21"/>
          <w:highlight w:val="none"/>
        </w:rPr>
        <w:t>。</w:t>
      </w:r>
    </w:p>
    <w:p w14:paraId="1459E1F0">
      <w:pPr>
        <w:shd w:val="clear"/>
        <w:spacing w:line="360" w:lineRule="auto"/>
        <w:ind w:firstLine="643" w:firstLineChars="200"/>
        <w:jc w:val="left"/>
        <w:rPr>
          <w:rFonts w:cs="仿宋" w:asciiTheme="majorEastAsia" w:hAnsiTheme="majorEastAsia" w:eastAsiaTheme="majorEastAsia"/>
          <w:b/>
          <w:color w:val="auto"/>
          <w:sz w:val="32"/>
          <w:szCs w:val="32"/>
          <w:highlight w:val="none"/>
        </w:rPr>
      </w:pPr>
    </w:p>
    <w:p w14:paraId="390C16BE">
      <w:pPr>
        <w:shd w:val="clear"/>
        <w:spacing w:line="360" w:lineRule="auto"/>
        <w:rPr>
          <w:rFonts w:cs="仿宋" w:asciiTheme="majorEastAsia" w:hAnsiTheme="majorEastAsia" w:eastAsiaTheme="majorEastAsia"/>
          <w:b/>
          <w:color w:val="auto"/>
          <w:sz w:val="32"/>
          <w:szCs w:val="32"/>
          <w:highlight w:val="none"/>
        </w:rPr>
      </w:pPr>
    </w:p>
    <w:p w14:paraId="535E1B3F">
      <w:pPr>
        <w:shd w:val="clear"/>
        <w:spacing w:line="360" w:lineRule="auto"/>
        <w:jc w:val="center"/>
        <w:rPr>
          <w:rFonts w:cs="仿宋" w:asciiTheme="majorEastAsia" w:hAnsiTheme="majorEastAsia" w:eastAsiaTheme="majorEastAsia"/>
          <w:b/>
          <w:color w:val="auto"/>
          <w:spacing w:val="6"/>
          <w:sz w:val="32"/>
          <w:szCs w:val="32"/>
          <w:highlight w:val="none"/>
        </w:rPr>
      </w:pPr>
      <w:r>
        <w:rPr>
          <w:rFonts w:hint="eastAsia" w:cs="仿宋" w:asciiTheme="majorEastAsia" w:hAnsiTheme="majorEastAsia" w:eastAsiaTheme="majorEastAsia"/>
          <w:b/>
          <w:color w:val="auto"/>
          <w:spacing w:val="6"/>
          <w:sz w:val="32"/>
          <w:szCs w:val="32"/>
          <w:highlight w:val="none"/>
        </w:rPr>
        <w:br w:type="page"/>
      </w:r>
      <w:r>
        <w:rPr>
          <w:rFonts w:hint="eastAsia" w:cs="仿宋" w:asciiTheme="majorEastAsia" w:hAnsiTheme="majorEastAsia" w:eastAsiaTheme="majorEastAsia"/>
          <w:b/>
          <w:color w:val="auto"/>
          <w:spacing w:val="6"/>
          <w:sz w:val="32"/>
          <w:szCs w:val="32"/>
          <w:highlight w:val="none"/>
        </w:rPr>
        <w:t>六、政府采购统计基础信息表</w:t>
      </w:r>
    </w:p>
    <w:p w14:paraId="2F36F8AF">
      <w:pPr>
        <w:pStyle w:val="2"/>
        <w:shd w:val="clear"/>
        <w:spacing w:line="360" w:lineRule="auto"/>
        <w:ind w:firstLine="0" w:firstLineChars="0"/>
        <w:rPr>
          <w:rFonts w:cs="仿宋" w:asciiTheme="majorEastAsia" w:hAnsiTheme="majorEastAsia" w:eastAsiaTheme="majorEastAsia"/>
          <w:color w:val="auto"/>
          <w:highlight w:val="none"/>
        </w:rPr>
      </w:pPr>
    </w:p>
    <w:tbl>
      <w:tblPr>
        <w:tblStyle w:val="18"/>
        <w:tblW w:w="8537" w:type="dxa"/>
        <w:jc w:val="center"/>
        <w:tblLayout w:type="fixed"/>
        <w:tblCellMar>
          <w:top w:w="0" w:type="dxa"/>
          <w:left w:w="108" w:type="dxa"/>
          <w:bottom w:w="0" w:type="dxa"/>
          <w:right w:w="108" w:type="dxa"/>
        </w:tblCellMar>
      </w:tblPr>
      <w:tblGrid>
        <w:gridCol w:w="4998"/>
        <w:gridCol w:w="3539"/>
      </w:tblGrid>
      <w:tr w14:paraId="2064EFD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E5F5C3F">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29923AA3">
            <w:pPr>
              <w:shd w:val="clear"/>
              <w:spacing w:line="360" w:lineRule="auto"/>
              <w:rPr>
                <w:rFonts w:cs="仿宋" w:asciiTheme="majorEastAsia" w:hAnsiTheme="majorEastAsia" w:eastAsiaTheme="majorEastAsia"/>
                <w:color w:val="auto"/>
                <w:highlight w:val="none"/>
              </w:rPr>
            </w:pPr>
          </w:p>
        </w:tc>
      </w:tr>
      <w:tr w14:paraId="320AF11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11C3619">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投标单位名称</w:t>
            </w:r>
          </w:p>
        </w:tc>
        <w:tc>
          <w:tcPr>
            <w:tcW w:w="3539" w:type="dxa"/>
            <w:tcBorders>
              <w:top w:val="single" w:color="000000" w:sz="4" w:space="0"/>
              <w:left w:val="nil"/>
              <w:bottom w:val="single" w:color="000000" w:sz="4" w:space="0"/>
              <w:right w:val="single" w:color="000000" w:sz="4" w:space="0"/>
            </w:tcBorders>
          </w:tcPr>
          <w:p w14:paraId="0B7AC572">
            <w:pPr>
              <w:shd w:val="clear"/>
              <w:spacing w:line="360" w:lineRule="auto"/>
              <w:rPr>
                <w:rFonts w:cs="仿宋" w:asciiTheme="majorEastAsia" w:hAnsiTheme="majorEastAsia" w:eastAsiaTheme="majorEastAsia"/>
                <w:color w:val="auto"/>
                <w:highlight w:val="none"/>
              </w:rPr>
            </w:pPr>
          </w:p>
        </w:tc>
      </w:tr>
      <w:tr w14:paraId="12FF32F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92CC064">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投标单位是否为外商投资企业</w:t>
            </w:r>
          </w:p>
        </w:tc>
        <w:tc>
          <w:tcPr>
            <w:tcW w:w="3539" w:type="dxa"/>
            <w:tcBorders>
              <w:top w:val="single" w:color="000000" w:sz="4" w:space="0"/>
              <w:left w:val="nil"/>
              <w:bottom w:val="single" w:color="000000" w:sz="4" w:space="0"/>
              <w:right w:val="single" w:color="000000" w:sz="4" w:space="0"/>
            </w:tcBorders>
          </w:tcPr>
          <w:p w14:paraId="004607B2">
            <w:pPr>
              <w:shd w:val="clear"/>
              <w:spacing w:line="360" w:lineRule="auto"/>
              <w:rPr>
                <w:rFonts w:cs="仿宋" w:asciiTheme="majorEastAsia" w:hAnsiTheme="majorEastAsia" w:eastAsiaTheme="majorEastAsia"/>
                <w:color w:val="auto"/>
                <w:highlight w:val="none"/>
              </w:rPr>
            </w:pPr>
          </w:p>
        </w:tc>
      </w:tr>
      <w:tr w14:paraId="144AF74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BDC2C46">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投标单位是否为宁波企业</w:t>
            </w:r>
          </w:p>
        </w:tc>
        <w:tc>
          <w:tcPr>
            <w:tcW w:w="3539" w:type="dxa"/>
            <w:tcBorders>
              <w:top w:val="single" w:color="000000" w:sz="4" w:space="0"/>
              <w:left w:val="nil"/>
              <w:bottom w:val="single" w:color="000000" w:sz="4" w:space="0"/>
              <w:right w:val="single" w:color="000000" w:sz="4" w:space="0"/>
            </w:tcBorders>
          </w:tcPr>
          <w:p w14:paraId="5BDC643B">
            <w:pPr>
              <w:shd w:val="clear"/>
              <w:spacing w:line="360" w:lineRule="auto"/>
              <w:rPr>
                <w:rFonts w:cs="仿宋" w:asciiTheme="majorEastAsia" w:hAnsiTheme="majorEastAsia" w:eastAsiaTheme="majorEastAsia"/>
                <w:color w:val="auto"/>
                <w:highlight w:val="none"/>
              </w:rPr>
            </w:pPr>
          </w:p>
        </w:tc>
      </w:tr>
      <w:tr w14:paraId="49ED9CD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9C874E3">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295ADF53">
            <w:pPr>
              <w:shd w:val="clear"/>
              <w:spacing w:line="360" w:lineRule="auto"/>
              <w:rPr>
                <w:rFonts w:cs="仿宋" w:asciiTheme="majorEastAsia" w:hAnsiTheme="majorEastAsia" w:eastAsiaTheme="majorEastAsia"/>
                <w:color w:val="auto"/>
                <w:highlight w:val="none"/>
              </w:rPr>
            </w:pPr>
          </w:p>
        </w:tc>
      </w:tr>
      <w:tr w14:paraId="6B11B3C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0F44BCF">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6840A656">
            <w:pPr>
              <w:shd w:val="clear"/>
              <w:spacing w:line="360" w:lineRule="auto"/>
              <w:rPr>
                <w:rFonts w:cs="仿宋" w:asciiTheme="majorEastAsia" w:hAnsiTheme="majorEastAsia" w:eastAsiaTheme="majorEastAsia"/>
                <w:color w:val="auto"/>
                <w:highlight w:val="none"/>
              </w:rPr>
            </w:pPr>
          </w:p>
        </w:tc>
      </w:tr>
      <w:tr w14:paraId="5710831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A4573D3">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039BAB79">
            <w:pPr>
              <w:shd w:val="clear"/>
              <w:spacing w:line="360" w:lineRule="auto"/>
              <w:rPr>
                <w:rFonts w:cs="仿宋" w:asciiTheme="majorEastAsia" w:hAnsiTheme="majorEastAsia" w:eastAsiaTheme="majorEastAsia"/>
                <w:color w:val="auto"/>
                <w:highlight w:val="none"/>
              </w:rPr>
            </w:pPr>
          </w:p>
        </w:tc>
      </w:tr>
      <w:tr w14:paraId="425F6E0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1FAD0CB">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065B07AD">
            <w:pPr>
              <w:shd w:val="clear"/>
              <w:spacing w:line="360" w:lineRule="auto"/>
              <w:rPr>
                <w:rFonts w:cs="仿宋" w:asciiTheme="majorEastAsia" w:hAnsiTheme="majorEastAsia" w:eastAsiaTheme="majorEastAsia"/>
                <w:color w:val="auto"/>
                <w:highlight w:val="none"/>
              </w:rPr>
            </w:pPr>
          </w:p>
        </w:tc>
      </w:tr>
      <w:tr w14:paraId="3F0774E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3F536B9">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64F5523F">
            <w:pPr>
              <w:shd w:val="clear"/>
              <w:spacing w:line="360" w:lineRule="auto"/>
              <w:rPr>
                <w:rFonts w:cs="仿宋" w:asciiTheme="majorEastAsia" w:hAnsiTheme="majorEastAsia" w:eastAsiaTheme="majorEastAsia"/>
                <w:color w:val="auto"/>
                <w:highlight w:val="none"/>
              </w:rPr>
            </w:pPr>
          </w:p>
        </w:tc>
      </w:tr>
      <w:tr w14:paraId="2AF066D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33695C7">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0715387C">
            <w:pPr>
              <w:shd w:val="clear"/>
              <w:spacing w:line="360" w:lineRule="auto"/>
              <w:rPr>
                <w:rFonts w:cs="仿宋" w:asciiTheme="majorEastAsia" w:hAnsiTheme="majorEastAsia" w:eastAsiaTheme="majorEastAsia"/>
                <w:color w:val="auto"/>
                <w:highlight w:val="none"/>
              </w:rPr>
            </w:pPr>
          </w:p>
        </w:tc>
      </w:tr>
    </w:tbl>
    <w:p w14:paraId="2C381681">
      <w:pPr>
        <w:shd w:val="clear"/>
        <w:adjustRightInd w:val="0"/>
        <w:spacing w:line="360" w:lineRule="auto"/>
        <w:jc w:val="left"/>
        <w:rPr>
          <w:rFonts w:cs="仿宋" w:asciiTheme="majorEastAsia" w:hAnsiTheme="majorEastAsia" w:eastAsiaTheme="majorEastAsia"/>
          <w:color w:val="auto"/>
          <w:sz w:val="24"/>
          <w:highlight w:val="none"/>
        </w:rPr>
      </w:pPr>
    </w:p>
    <w:p w14:paraId="1184C9D6">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备注：请各投标人务必填写此表作为投标文件的组成部分。</w:t>
      </w:r>
    </w:p>
    <w:p w14:paraId="20602D25">
      <w:pPr>
        <w:shd w:val="clear"/>
        <w:adjustRightInd w:val="0"/>
        <w:spacing w:line="360" w:lineRule="auto"/>
        <w:jc w:val="left"/>
        <w:rPr>
          <w:rFonts w:cs="仿宋" w:asciiTheme="majorEastAsia" w:hAnsiTheme="majorEastAsia" w:eastAsiaTheme="majorEastAsia"/>
          <w:color w:val="auto"/>
          <w:sz w:val="24"/>
          <w:highlight w:val="none"/>
        </w:rPr>
      </w:pPr>
    </w:p>
    <w:p w14:paraId="469C4370">
      <w:pPr>
        <w:shd w:val="clear"/>
        <w:adjustRightInd w:val="0"/>
        <w:spacing w:line="360" w:lineRule="auto"/>
        <w:jc w:val="left"/>
        <w:rPr>
          <w:rFonts w:cs="仿宋" w:asciiTheme="majorEastAsia" w:hAnsiTheme="majorEastAsia" w:eastAsiaTheme="majorEastAsia"/>
          <w:color w:val="auto"/>
          <w:sz w:val="24"/>
          <w:highlight w:val="none"/>
        </w:rPr>
      </w:pPr>
    </w:p>
    <w:p w14:paraId="5E866160">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法定代表人或其授权委托人（签名或印章）：</w:t>
      </w:r>
    </w:p>
    <w:p w14:paraId="112EA5A3">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67702802">
      <w:pPr>
        <w:shd w:val="clea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Arial Unicode MS"/>
    <w:panose1 w:val="00000000000000000000"/>
    <w:charset w:val="86"/>
    <w:family w:val="modern"/>
    <w:pitch w:val="default"/>
    <w:sig w:usb0="00000000" w:usb1="0000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2FF" w:usb1="400004FF" w:usb2="00000000" w:usb3="00000000" w:csb0="2000019F" w:csb1="00000000"/>
  </w:font>
  <w:font w:name="MS Gothic">
    <w:panose1 w:val="020B0609070205080204"/>
    <w:charset w:val="80"/>
    <w:family w:val="modern"/>
    <w:pitch w:val="default"/>
    <w:sig w:usb0="E00002FF" w:usb1="6AC7FDFB" w:usb2="08000012" w:usb3="00000000" w:csb0="4002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51101">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4F4A09">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DD997">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3D17D7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891A2">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76F0D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2B37A">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DB98A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AA657">
    <w:pPr>
      <w:pStyle w:val="15"/>
      <w:pBdr>
        <w:bottom w:val="none" w:color="auto" w:sz="0" w:space="0"/>
      </w:pBdr>
      <w:jc w:val="right"/>
      <w:rPr>
        <w:rFonts w:ascii="仿宋_GB2312" w:eastAsia="仿宋_GB2312"/>
        <w:b/>
        <w:i/>
        <w:u w:val="single"/>
      </w:rPr>
    </w:pPr>
    <w:r>
      <w:t></w:t>
    </w:r>
    <w:r>
      <w:rPr>
        <w:rFonts w:hint="eastAsia"/>
      </w:rPr>
      <w:t xml:space="preserve">                                               </w:t>
    </w:r>
  </w:p>
  <w:p w14:paraId="31F74A43">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8145F">
    <w:pPr>
      <w:pStyle w:val="15"/>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55455">
    <w:pPr>
      <w:pStyle w:val="15"/>
      <w:jc w:val="right"/>
      <w:rPr>
        <w:rFonts w:ascii="仿宋_GB2312" w:eastAsia="仿宋_GB2312"/>
        <w:b/>
        <w:i/>
        <w:u w:val="single"/>
      </w:rPr>
    </w:pPr>
    <w:r>
      <w:rPr>
        <w:rFonts w:hint="eastAsia"/>
      </w:rPr>
      <w:t xml:space="preserve">                                 </w:t>
    </w:r>
  </w:p>
  <w:p w14:paraId="6A942C3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6ED16">
    <w:pPr>
      <w:pStyle w:val="15"/>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1">
    <w:nsid w:val="2DC53F9C"/>
    <w:multiLevelType w:val="singleLevel"/>
    <w:tmpl w:val="2DC53F9C"/>
    <w:lvl w:ilvl="0" w:tentative="0">
      <w:start w:val="5"/>
      <w:numFmt w:val="chineseCounting"/>
      <w:suff w:val="space"/>
      <w:lvlText w:val="第%1部分"/>
      <w:lvlJc w:val="left"/>
      <w:rPr>
        <w:rFonts w:hint="eastAsia"/>
      </w:rPr>
    </w:lvl>
  </w:abstractNum>
  <w:abstractNum w:abstractNumId="2">
    <w:nsid w:val="495C2BCE"/>
    <w:multiLevelType w:val="singleLevel"/>
    <w:tmpl w:val="495C2BCE"/>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3MzY4Zjc0ZWNjYmRkYWJhODU4Mzc2MjQ4ZWQ4ZmQifQ=="/>
  </w:docVars>
  <w:rsids>
    <w:rsidRoot w:val="00982EB4"/>
    <w:rsid w:val="00016734"/>
    <w:rsid w:val="000368CD"/>
    <w:rsid w:val="00037CE2"/>
    <w:rsid w:val="00041DC5"/>
    <w:rsid w:val="00047851"/>
    <w:rsid w:val="000615E7"/>
    <w:rsid w:val="00062BC2"/>
    <w:rsid w:val="00064291"/>
    <w:rsid w:val="00083EF5"/>
    <w:rsid w:val="00093D04"/>
    <w:rsid w:val="00095D46"/>
    <w:rsid w:val="000A186C"/>
    <w:rsid w:val="000A27C5"/>
    <w:rsid w:val="000A792E"/>
    <w:rsid w:val="000C6B76"/>
    <w:rsid w:val="000E067D"/>
    <w:rsid w:val="000E448A"/>
    <w:rsid w:val="00103DEC"/>
    <w:rsid w:val="00104D81"/>
    <w:rsid w:val="00121C41"/>
    <w:rsid w:val="0012746D"/>
    <w:rsid w:val="00146AA0"/>
    <w:rsid w:val="001553AB"/>
    <w:rsid w:val="00167C34"/>
    <w:rsid w:val="001716B0"/>
    <w:rsid w:val="0018796E"/>
    <w:rsid w:val="001B2FBB"/>
    <w:rsid w:val="001C1283"/>
    <w:rsid w:val="001D4D8B"/>
    <w:rsid w:val="001D52AC"/>
    <w:rsid w:val="001D711D"/>
    <w:rsid w:val="001F3EFC"/>
    <w:rsid w:val="00205130"/>
    <w:rsid w:val="00215736"/>
    <w:rsid w:val="00223803"/>
    <w:rsid w:val="0024092E"/>
    <w:rsid w:val="002435CF"/>
    <w:rsid w:val="00243E11"/>
    <w:rsid w:val="0024405F"/>
    <w:rsid w:val="00257FDF"/>
    <w:rsid w:val="0027141A"/>
    <w:rsid w:val="00286DF5"/>
    <w:rsid w:val="002A0888"/>
    <w:rsid w:val="002A3292"/>
    <w:rsid w:val="002C6827"/>
    <w:rsid w:val="002C7D5B"/>
    <w:rsid w:val="002D0371"/>
    <w:rsid w:val="002D0AB3"/>
    <w:rsid w:val="0030528E"/>
    <w:rsid w:val="003143F6"/>
    <w:rsid w:val="00314FA4"/>
    <w:rsid w:val="00316342"/>
    <w:rsid w:val="00323BB1"/>
    <w:rsid w:val="00331A77"/>
    <w:rsid w:val="0033341C"/>
    <w:rsid w:val="003437A4"/>
    <w:rsid w:val="003549BF"/>
    <w:rsid w:val="00360D8F"/>
    <w:rsid w:val="003773A8"/>
    <w:rsid w:val="003954E9"/>
    <w:rsid w:val="003A4A64"/>
    <w:rsid w:val="003C2EE2"/>
    <w:rsid w:val="003D03D0"/>
    <w:rsid w:val="003D63E2"/>
    <w:rsid w:val="003F47A1"/>
    <w:rsid w:val="00415E07"/>
    <w:rsid w:val="00421126"/>
    <w:rsid w:val="0043035E"/>
    <w:rsid w:val="0043204C"/>
    <w:rsid w:val="00434975"/>
    <w:rsid w:val="00446974"/>
    <w:rsid w:val="00446AFD"/>
    <w:rsid w:val="0044702C"/>
    <w:rsid w:val="00452882"/>
    <w:rsid w:val="004572C7"/>
    <w:rsid w:val="00461269"/>
    <w:rsid w:val="00462A44"/>
    <w:rsid w:val="00465485"/>
    <w:rsid w:val="00493B23"/>
    <w:rsid w:val="004954C1"/>
    <w:rsid w:val="00497A1D"/>
    <w:rsid w:val="004A2B10"/>
    <w:rsid w:val="004B4576"/>
    <w:rsid w:val="004B4AEE"/>
    <w:rsid w:val="004E2329"/>
    <w:rsid w:val="004E23EB"/>
    <w:rsid w:val="005047BD"/>
    <w:rsid w:val="0050526E"/>
    <w:rsid w:val="00507B69"/>
    <w:rsid w:val="00511FB3"/>
    <w:rsid w:val="00517749"/>
    <w:rsid w:val="00537D50"/>
    <w:rsid w:val="005446A5"/>
    <w:rsid w:val="00545385"/>
    <w:rsid w:val="00545EB5"/>
    <w:rsid w:val="00550EE6"/>
    <w:rsid w:val="005537BE"/>
    <w:rsid w:val="00555D80"/>
    <w:rsid w:val="00567047"/>
    <w:rsid w:val="00571B2A"/>
    <w:rsid w:val="00583E31"/>
    <w:rsid w:val="00586285"/>
    <w:rsid w:val="0059234E"/>
    <w:rsid w:val="005B0674"/>
    <w:rsid w:val="005B09B1"/>
    <w:rsid w:val="005D37FA"/>
    <w:rsid w:val="005E235F"/>
    <w:rsid w:val="005F0B43"/>
    <w:rsid w:val="0060018C"/>
    <w:rsid w:val="00601F5A"/>
    <w:rsid w:val="00611470"/>
    <w:rsid w:val="0061552D"/>
    <w:rsid w:val="00616488"/>
    <w:rsid w:val="00627E6B"/>
    <w:rsid w:val="00635221"/>
    <w:rsid w:val="00635F6C"/>
    <w:rsid w:val="00642B5B"/>
    <w:rsid w:val="00651C08"/>
    <w:rsid w:val="0065305C"/>
    <w:rsid w:val="00654A7E"/>
    <w:rsid w:val="0065579D"/>
    <w:rsid w:val="006660A3"/>
    <w:rsid w:val="006661D1"/>
    <w:rsid w:val="00673D9C"/>
    <w:rsid w:val="006809B4"/>
    <w:rsid w:val="00682B1A"/>
    <w:rsid w:val="00682C81"/>
    <w:rsid w:val="0068311A"/>
    <w:rsid w:val="00686437"/>
    <w:rsid w:val="00693366"/>
    <w:rsid w:val="006A2512"/>
    <w:rsid w:val="006A4ABE"/>
    <w:rsid w:val="006B593D"/>
    <w:rsid w:val="006D3923"/>
    <w:rsid w:val="006D63C7"/>
    <w:rsid w:val="006E6940"/>
    <w:rsid w:val="006E7A8F"/>
    <w:rsid w:val="006F395B"/>
    <w:rsid w:val="006F531A"/>
    <w:rsid w:val="006F71FA"/>
    <w:rsid w:val="00703184"/>
    <w:rsid w:val="00704649"/>
    <w:rsid w:val="00706C27"/>
    <w:rsid w:val="0071227C"/>
    <w:rsid w:val="0071580E"/>
    <w:rsid w:val="00716A98"/>
    <w:rsid w:val="00723483"/>
    <w:rsid w:val="00724BBE"/>
    <w:rsid w:val="00725F88"/>
    <w:rsid w:val="007310F6"/>
    <w:rsid w:val="00733994"/>
    <w:rsid w:val="007365B4"/>
    <w:rsid w:val="00736F35"/>
    <w:rsid w:val="007562D7"/>
    <w:rsid w:val="0076328F"/>
    <w:rsid w:val="007649C2"/>
    <w:rsid w:val="00764A69"/>
    <w:rsid w:val="00770339"/>
    <w:rsid w:val="00773362"/>
    <w:rsid w:val="00780FC3"/>
    <w:rsid w:val="00785DD2"/>
    <w:rsid w:val="007A0810"/>
    <w:rsid w:val="007A127C"/>
    <w:rsid w:val="007B014D"/>
    <w:rsid w:val="007C2E2D"/>
    <w:rsid w:val="007D1086"/>
    <w:rsid w:val="007E5A2D"/>
    <w:rsid w:val="007F298B"/>
    <w:rsid w:val="008004B9"/>
    <w:rsid w:val="00803A0E"/>
    <w:rsid w:val="008244F0"/>
    <w:rsid w:val="0082562C"/>
    <w:rsid w:val="00830884"/>
    <w:rsid w:val="008325E3"/>
    <w:rsid w:val="0083502E"/>
    <w:rsid w:val="0084265A"/>
    <w:rsid w:val="00845FF7"/>
    <w:rsid w:val="00850B5D"/>
    <w:rsid w:val="0086247D"/>
    <w:rsid w:val="008720E1"/>
    <w:rsid w:val="00885C01"/>
    <w:rsid w:val="00886BF0"/>
    <w:rsid w:val="008901E0"/>
    <w:rsid w:val="008904C1"/>
    <w:rsid w:val="008A2354"/>
    <w:rsid w:val="008A5EE5"/>
    <w:rsid w:val="008B0252"/>
    <w:rsid w:val="008B483C"/>
    <w:rsid w:val="008C40C2"/>
    <w:rsid w:val="008C7259"/>
    <w:rsid w:val="008E62C8"/>
    <w:rsid w:val="008F03CA"/>
    <w:rsid w:val="008F739E"/>
    <w:rsid w:val="009024C2"/>
    <w:rsid w:val="0092380C"/>
    <w:rsid w:val="009423FF"/>
    <w:rsid w:val="00946737"/>
    <w:rsid w:val="009522DD"/>
    <w:rsid w:val="00955183"/>
    <w:rsid w:val="0097530F"/>
    <w:rsid w:val="009811E5"/>
    <w:rsid w:val="00982EB4"/>
    <w:rsid w:val="00984AA6"/>
    <w:rsid w:val="00995301"/>
    <w:rsid w:val="009A1948"/>
    <w:rsid w:val="009A2C19"/>
    <w:rsid w:val="009B43E8"/>
    <w:rsid w:val="009D2E89"/>
    <w:rsid w:val="009E005F"/>
    <w:rsid w:val="009F4C1B"/>
    <w:rsid w:val="009F5B94"/>
    <w:rsid w:val="009F6271"/>
    <w:rsid w:val="009F7159"/>
    <w:rsid w:val="00A0532A"/>
    <w:rsid w:val="00A133FD"/>
    <w:rsid w:val="00A23418"/>
    <w:rsid w:val="00A23DA0"/>
    <w:rsid w:val="00A306BC"/>
    <w:rsid w:val="00A326E8"/>
    <w:rsid w:val="00A33543"/>
    <w:rsid w:val="00A35E3F"/>
    <w:rsid w:val="00A370A7"/>
    <w:rsid w:val="00A4387A"/>
    <w:rsid w:val="00A74B9F"/>
    <w:rsid w:val="00A76102"/>
    <w:rsid w:val="00AA0906"/>
    <w:rsid w:val="00AA4F88"/>
    <w:rsid w:val="00AA73BE"/>
    <w:rsid w:val="00AB22BB"/>
    <w:rsid w:val="00AC3CB7"/>
    <w:rsid w:val="00AD2436"/>
    <w:rsid w:val="00AF2CCC"/>
    <w:rsid w:val="00B036CB"/>
    <w:rsid w:val="00B1781F"/>
    <w:rsid w:val="00B20C23"/>
    <w:rsid w:val="00B2153A"/>
    <w:rsid w:val="00B234CB"/>
    <w:rsid w:val="00B3449C"/>
    <w:rsid w:val="00B3783F"/>
    <w:rsid w:val="00B408F1"/>
    <w:rsid w:val="00B51591"/>
    <w:rsid w:val="00B56234"/>
    <w:rsid w:val="00B61BDD"/>
    <w:rsid w:val="00B73B4A"/>
    <w:rsid w:val="00B81579"/>
    <w:rsid w:val="00B951E7"/>
    <w:rsid w:val="00BA7F9C"/>
    <w:rsid w:val="00BC1B52"/>
    <w:rsid w:val="00BD0F76"/>
    <w:rsid w:val="00BD65C0"/>
    <w:rsid w:val="00BF605B"/>
    <w:rsid w:val="00C2092F"/>
    <w:rsid w:val="00C56A2B"/>
    <w:rsid w:val="00C659A1"/>
    <w:rsid w:val="00C73083"/>
    <w:rsid w:val="00C8035C"/>
    <w:rsid w:val="00C82E86"/>
    <w:rsid w:val="00CA35DC"/>
    <w:rsid w:val="00CA4D27"/>
    <w:rsid w:val="00CB17EC"/>
    <w:rsid w:val="00CB5A0C"/>
    <w:rsid w:val="00CE4DEA"/>
    <w:rsid w:val="00CF2471"/>
    <w:rsid w:val="00CF3F65"/>
    <w:rsid w:val="00D227BE"/>
    <w:rsid w:val="00D22DC0"/>
    <w:rsid w:val="00D32C13"/>
    <w:rsid w:val="00D470A1"/>
    <w:rsid w:val="00D61644"/>
    <w:rsid w:val="00D62310"/>
    <w:rsid w:val="00D75034"/>
    <w:rsid w:val="00D7573F"/>
    <w:rsid w:val="00D75BB4"/>
    <w:rsid w:val="00DA74B3"/>
    <w:rsid w:val="00DC5F79"/>
    <w:rsid w:val="00DD5205"/>
    <w:rsid w:val="00DE0CDD"/>
    <w:rsid w:val="00DE2AC6"/>
    <w:rsid w:val="00DF7A00"/>
    <w:rsid w:val="00E105D7"/>
    <w:rsid w:val="00E2386A"/>
    <w:rsid w:val="00E23AD0"/>
    <w:rsid w:val="00E258E7"/>
    <w:rsid w:val="00E45C68"/>
    <w:rsid w:val="00E614D5"/>
    <w:rsid w:val="00E73AFB"/>
    <w:rsid w:val="00E7476D"/>
    <w:rsid w:val="00E76258"/>
    <w:rsid w:val="00E955B0"/>
    <w:rsid w:val="00EB2459"/>
    <w:rsid w:val="00EB25A8"/>
    <w:rsid w:val="00EC0820"/>
    <w:rsid w:val="00EC3260"/>
    <w:rsid w:val="00EC5ADC"/>
    <w:rsid w:val="00ED4538"/>
    <w:rsid w:val="00ED669C"/>
    <w:rsid w:val="00EE7CFA"/>
    <w:rsid w:val="00EF5A56"/>
    <w:rsid w:val="00EF629C"/>
    <w:rsid w:val="00EF68FF"/>
    <w:rsid w:val="00F0217B"/>
    <w:rsid w:val="00F10969"/>
    <w:rsid w:val="00F128C1"/>
    <w:rsid w:val="00F1611E"/>
    <w:rsid w:val="00F225ED"/>
    <w:rsid w:val="00F25E76"/>
    <w:rsid w:val="00F3011D"/>
    <w:rsid w:val="00F321D7"/>
    <w:rsid w:val="00F32E41"/>
    <w:rsid w:val="00F35BBA"/>
    <w:rsid w:val="00F35BC4"/>
    <w:rsid w:val="00F36900"/>
    <w:rsid w:val="00F37D84"/>
    <w:rsid w:val="00F44482"/>
    <w:rsid w:val="00F51917"/>
    <w:rsid w:val="00F60919"/>
    <w:rsid w:val="00F76661"/>
    <w:rsid w:val="00F85EC7"/>
    <w:rsid w:val="00F90F5C"/>
    <w:rsid w:val="00F9135E"/>
    <w:rsid w:val="00F932CA"/>
    <w:rsid w:val="00F96AF1"/>
    <w:rsid w:val="00FA166C"/>
    <w:rsid w:val="00FA25DD"/>
    <w:rsid w:val="00FC03D5"/>
    <w:rsid w:val="00FC45CC"/>
    <w:rsid w:val="00FC6EAD"/>
    <w:rsid w:val="00FD11C8"/>
    <w:rsid w:val="00FD2458"/>
    <w:rsid w:val="00FD27AB"/>
    <w:rsid w:val="00FD3F44"/>
    <w:rsid w:val="00FD4965"/>
    <w:rsid w:val="00FE02C5"/>
    <w:rsid w:val="00FE5DE6"/>
    <w:rsid w:val="00FF2980"/>
    <w:rsid w:val="00FF527D"/>
    <w:rsid w:val="00FF710F"/>
    <w:rsid w:val="00FF796A"/>
    <w:rsid w:val="01F91FBF"/>
    <w:rsid w:val="023F66B6"/>
    <w:rsid w:val="026C4626"/>
    <w:rsid w:val="02852841"/>
    <w:rsid w:val="02A46485"/>
    <w:rsid w:val="02B037EB"/>
    <w:rsid w:val="030A29F1"/>
    <w:rsid w:val="0317318F"/>
    <w:rsid w:val="036050B1"/>
    <w:rsid w:val="03634BD7"/>
    <w:rsid w:val="03B56E83"/>
    <w:rsid w:val="03BD60A8"/>
    <w:rsid w:val="043E6694"/>
    <w:rsid w:val="052027CE"/>
    <w:rsid w:val="05325FFA"/>
    <w:rsid w:val="05383DBD"/>
    <w:rsid w:val="05A11E7B"/>
    <w:rsid w:val="05B70DC5"/>
    <w:rsid w:val="05DD06BF"/>
    <w:rsid w:val="08066FDC"/>
    <w:rsid w:val="08817167"/>
    <w:rsid w:val="08966291"/>
    <w:rsid w:val="08EE2F38"/>
    <w:rsid w:val="09061CDB"/>
    <w:rsid w:val="09885A49"/>
    <w:rsid w:val="099948FD"/>
    <w:rsid w:val="09C5316B"/>
    <w:rsid w:val="0A305D6B"/>
    <w:rsid w:val="0AE53B72"/>
    <w:rsid w:val="0AEF054D"/>
    <w:rsid w:val="0B0009AC"/>
    <w:rsid w:val="0C33155C"/>
    <w:rsid w:val="0C544251"/>
    <w:rsid w:val="0CA43CE5"/>
    <w:rsid w:val="0E0B48CF"/>
    <w:rsid w:val="0EA72878"/>
    <w:rsid w:val="0F6A0085"/>
    <w:rsid w:val="0F7F00F1"/>
    <w:rsid w:val="0F9C26DE"/>
    <w:rsid w:val="116972AB"/>
    <w:rsid w:val="11856940"/>
    <w:rsid w:val="11F40CEB"/>
    <w:rsid w:val="1206614F"/>
    <w:rsid w:val="127C4404"/>
    <w:rsid w:val="12A460C1"/>
    <w:rsid w:val="12B4020B"/>
    <w:rsid w:val="12E211B2"/>
    <w:rsid w:val="134C7BED"/>
    <w:rsid w:val="137A650E"/>
    <w:rsid w:val="142E0C59"/>
    <w:rsid w:val="146C638E"/>
    <w:rsid w:val="14A4588B"/>
    <w:rsid w:val="14C604EB"/>
    <w:rsid w:val="15962639"/>
    <w:rsid w:val="15A85BD2"/>
    <w:rsid w:val="174B6B5B"/>
    <w:rsid w:val="175C6B1B"/>
    <w:rsid w:val="17C23271"/>
    <w:rsid w:val="17C33CDA"/>
    <w:rsid w:val="18370EAE"/>
    <w:rsid w:val="18463EA2"/>
    <w:rsid w:val="18571A57"/>
    <w:rsid w:val="190825ED"/>
    <w:rsid w:val="19A80387"/>
    <w:rsid w:val="19B11244"/>
    <w:rsid w:val="1A30681B"/>
    <w:rsid w:val="1AF842C0"/>
    <w:rsid w:val="1B542D7A"/>
    <w:rsid w:val="1B8678BA"/>
    <w:rsid w:val="1BED7449"/>
    <w:rsid w:val="1C8E5E18"/>
    <w:rsid w:val="1CD334BF"/>
    <w:rsid w:val="1CF708CB"/>
    <w:rsid w:val="1CFC09BD"/>
    <w:rsid w:val="1D5C7CC4"/>
    <w:rsid w:val="1DF77666"/>
    <w:rsid w:val="1E6578F4"/>
    <w:rsid w:val="1E813312"/>
    <w:rsid w:val="1F8452B0"/>
    <w:rsid w:val="1F845E41"/>
    <w:rsid w:val="215B0293"/>
    <w:rsid w:val="222F3BF9"/>
    <w:rsid w:val="229F3ACF"/>
    <w:rsid w:val="230E5933"/>
    <w:rsid w:val="231352C9"/>
    <w:rsid w:val="2343510F"/>
    <w:rsid w:val="236C584D"/>
    <w:rsid w:val="23950909"/>
    <w:rsid w:val="23952182"/>
    <w:rsid w:val="24316771"/>
    <w:rsid w:val="24A85EE5"/>
    <w:rsid w:val="24F94580"/>
    <w:rsid w:val="25B44723"/>
    <w:rsid w:val="25B738DF"/>
    <w:rsid w:val="270D3BCF"/>
    <w:rsid w:val="28F45255"/>
    <w:rsid w:val="297D524A"/>
    <w:rsid w:val="299A0C33"/>
    <w:rsid w:val="2A5368AB"/>
    <w:rsid w:val="2ACD504E"/>
    <w:rsid w:val="2AF43C32"/>
    <w:rsid w:val="2B125E66"/>
    <w:rsid w:val="2B355C3B"/>
    <w:rsid w:val="2C211517"/>
    <w:rsid w:val="2C5A0F3B"/>
    <w:rsid w:val="2C910FD9"/>
    <w:rsid w:val="2CD77367"/>
    <w:rsid w:val="2CFF1B78"/>
    <w:rsid w:val="2DA63F59"/>
    <w:rsid w:val="2E6B420B"/>
    <w:rsid w:val="2EA86681"/>
    <w:rsid w:val="2EE35637"/>
    <w:rsid w:val="30250E30"/>
    <w:rsid w:val="3032663E"/>
    <w:rsid w:val="30A77A4B"/>
    <w:rsid w:val="3163074B"/>
    <w:rsid w:val="3205225E"/>
    <w:rsid w:val="333D0774"/>
    <w:rsid w:val="33E27928"/>
    <w:rsid w:val="34713BFD"/>
    <w:rsid w:val="35FB4EF5"/>
    <w:rsid w:val="360D5BA8"/>
    <w:rsid w:val="36721987"/>
    <w:rsid w:val="369C2AC2"/>
    <w:rsid w:val="36B30FBF"/>
    <w:rsid w:val="371727D7"/>
    <w:rsid w:val="37465815"/>
    <w:rsid w:val="379540A7"/>
    <w:rsid w:val="37D848C2"/>
    <w:rsid w:val="37EF3BFE"/>
    <w:rsid w:val="382A0958"/>
    <w:rsid w:val="38607346"/>
    <w:rsid w:val="39B515B4"/>
    <w:rsid w:val="39BD1693"/>
    <w:rsid w:val="39C576F9"/>
    <w:rsid w:val="39CC4FDC"/>
    <w:rsid w:val="39F078D9"/>
    <w:rsid w:val="3B351DD6"/>
    <w:rsid w:val="3C5C2474"/>
    <w:rsid w:val="3C8935EF"/>
    <w:rsid w:val="3CCB40C7"/>
    <w:rsid w:val="3D011F8C"/>
    <w:rsid w:val="3D8E1B4D"/>
    <w:rsid w:val="3D927662"/>
    <w:rsid w:val="3E611186"/>
    <w:rsid w:val="3E950A72"/>
    <w:rsid w:val="3EDB73BB"/>
    <w:rsid w:val="3EEA09C3"/>
    <w:rsid w:val="3F53354F"/>
    <w:rsid w:val="3F6667D2"/>
    <w:rsid w:val="3F9E5AC2"/>
    <w:rsid w:val="3FFC5B96"/>
    <w:rsid w:val="405E65D7"/>
    <w:rsid w:val="407F76A2"/>
    <w:rsid w:val="408353E4"/>
    <w:rsid w:val="416C40CA"/>
    <w:rsid w:val="424F3F3D"/>
    <w:rsid w:val="42654E02"/>
    <w:rsid w:val="426E7C93"/>
    <w:rsid w:val="42F848B2"/>
    <w:rsid w:val="457D4BB8"/>
    <w:rsid w:val="4652375D"/>
    <w:rsid w:val="465669B8"/>
    <w:rsid w:val="46BC0EEB"/>
    <w:rsid w:val="46C87FF5"/>
    <w:rsid w:val="47121270"/>
    <w:rsid w:val="471E0F11"/>
    <w:rsid w:val="47953C4F"/>
    <w:rsid w:val="483115AB"/>
    <w:rsid w:val="49407D57"/>
    <w:rsid w:val="495F741D"/>
    <w:rsid w:val="498B5309"/>
    <w:rsid w:val="49B00622"/>
    <w:rsid w:val="49DB5E2A"/>
    <w:rsid w:val="4A252767"/>
    <w:rsid w:val="4A2C2648"/>
    <w:rsid w:val="4A5F6E80"/>
    <w:rsid w:val="4ACF62ED"/>
    <w:rsid w:val="4C3A1662"/>
    <w:rsid w:val="4C8049A8"/>
    <w:rsid w:val="4CCB21D7"/>
    <w:rsid w:val="4D663824"/>
    <w:rsid w:val="4D7F2952"/>
    <w:rsid w:val="4E4C2032"/>
    <w:rsid w:val="4E7E7197"/>
    <w:rsid w:val="4EA1205C"/>
    <w:rsid w:val="4EE56C66"/>
    <w:rsid w:val="4F0A646A"/>
    <w:rsid w:val="50720FD1"/>
    <w:rsid w:val="50CD207B"/>
    <w:rsid w:val="51213ABD"/>
    <w:rsid w:val="515801C7"/>
    <w:rsid w:val="517F61AE"/>
    <w:rsid w:val="519F0060"/>
    <w:rsid w:val="52B03880"/>
    <w:rsid w:val="52FE76E8"/>
    <w:rsid w:val="53807561"/>
    <w:rsid w:val="539203A6"/>
    <w:rsid w:val="53B91479"/>
    <w:rsid w:val="53D543B6"/>
    <w:rsid w:val="54233482"/>
    <w:rsid w:val="54531F10"/>
    <w:rsid w:val="5560589C"/>
    <w:rsid w:val="5567105D"/>
    <w:rsid w:val="55B16F5E"/>
    <w:rsid w:val="55ED29C8"/>
    <w:rsid w:val="56077C1B"/>
    <w:rsid w:val="560E14D6"/>
    <w:rsid w:val="571F7476"/>
    <w:rsid w:val="57311C06"/>
    <w:rsid w:val="575C2093"/>
    <w:rsid w:val="57802226"/>
    <w:rsid w:val="580746F5"/>
    <w:rsid w:val="58364681"/>
    <w:rsid w:val="58B06B3A"/>
    <w:rsid w:val="59044790"/>
    <w:rsid w:val="59A9083A"/>
    <w:rsid w:val="59C30EE5"/>
    <w:rsid w:val="5B0D0455"/>
    <w:rsid w:val="5B8A31D8"/>
    <w:rsid w:val="5BCD1199"/>
    <w:rsid w:val="5C2569D8"/>
    <w:rsid w:val="5C9F6CAA"/>
    <w:rsid w:val="5CA95D7B"/>
    <w:rsid w:val="5CC22F4E"/>
    <w:rsid w:val="5CD66444"/>
    <w:rsid w:val="5D6E48CE"/>
    <w:rsid w:val="5D793B87"/>
    <w:rsid w:val="5E6F7910"/>
    <w:rsid w:val="5E744A59"/>
    <w:rsid w:val="5F8370D6"/>
    <w:rsid w:val="5FB60844"/>
    <w:rsid w:val="5FE60C0E"/>
    <w:rsid w:val="5FFD7474"/>
    <w:rsid w:val="606F5B84"/>
    <w:rsid w:val="60A17B22"/>
    <w:rsid w:val="60E53758"/>
    <w:rsid w:val="61315E0A"/>
    <w:rsid w:val="62AC3ECF"/>
    <w:rsid w:val="62AD311C"/>
    <w:rsid w:val="63196EDD"/>
    <w:rsid w:val="6384309D"/>
    <w:rsid w:val="63C87B70"/>
    <w:rsid w:val="63F36A7C"/>
    <w:rsid w:val="64A40556"/>
    <w:rsid w:val="665B6338"/>
    <w:rsid w:val="672D6F15"/>
    <w:rsid w:val="67DC5523"/>
    <w:rsid w:val="68AD6BF3"/>
    <w:rsid w:val="699833FF"/>
    <w:rsid w:val="6A121DB3"/>
    <w:rsid w:val="6A8D0D98"/>
    <w:rsid w:val="6C0F0C37"/>
    <w:rsid w:val="6C4D6722"/>
    <w:rsid w:val="6C810218"/>
    <w:rsid w:val="6C874ABF"/>
    <w:rsid w:val="6CA956C1"/>
    <w:rsid w:val="6D0A386B"/>
    <w:rsid w:val="6D301BA0"/>
    <w:rsid w:val="6D7B72BF"/>
    <w:rsid w:val="7019691C"/>
    <w:rsid w:val="70351623"/>
    <w:rsid w:val="703B2D36"/>
    <w:rsid w:val="70814BED"/>
    <w:rsid w:val="70E956C4"/>
    <w:rsid w:val="71033854"/>
    <w:rsid w:val="71125A72"/>
    <w:rsid w:val="715F54AB"/>
    <w:rsid w:val="716B26C0"/>
    <w:rsid w:val="72474E57"/>
    <w:rsid w:val="725F7E8F"/>
    <w:rsid w:val="72660EC1"/>
    <w:rsid w:val="739E1A1B"/>
    <w:rsid w:val="73F152F7"/>
    <w:rsid w:val="749869A9"/>
    <w:rsid w:val="75937386"/>
    <w:rsid w:val="75D237F5"/>
    <w:rsid w:val="75FA284F"/>
    <w:rsid w:val="76557EC3"/>
    <w:rsid w:val="768E0AD6"/>
    <w:rsid w:val="76B37ACA"/>
    <w:rsid w:val="76EE1972"/>
    <w:rsid w:val="772518FF"/>
    <w:rsid w:val="776E1C43"/>
    <w:rsid w:val="776E4EDE"/>
    <w:rsid w:val="77F66600"/>
    <w:rsid w:val="78214C2E"/>
    <w:rsid w:val="792C49DD"/>
    <w:rsid w:val="79527C02"/>
    <w:rsid w:val="796439C1"/>
    <w:rsid w:val="79955D8D"/>
    <w:rsid w:val="7A2736A5"/>
    <w:rsid w:val="7A36266C"/>
    <w:rsid w:val="7AD26484"/>
    <w:rsid w:val="7CBC51FE"/>
    <w:rsid w:val="7CC77E2B"/>
    <w:rsid w:val="7CF624BE"/>
    <w:rsid w:val="7D831878"/>
    <w:rsid w:val="7DA61576"/>
    <w:rsid w:val="7DDE095A"/>
    <w:rsid w:val="7DFA4230"/>
    <w:rsid w:val="7E3F6820"/>
    <w:rsid w:val="7E527BC8"/>
    <w:rsid w:val="7E991B8F"/>
    <w:rsid w:val="7F5636E8"/>
    <w:rsid w:val="7F950CB0"/>
    <w:rsid w:val="7FA5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25"/>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39"/>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autoRedefine/>
    <w:qFormat/>
    <w:uiPriority w:val="0"/>
    <w:pPr>
      <w:ind w:firstLine="420" w:firstLineChars="200"/>
    </w:pPr>
    <w:rPr>
      <w:rFonts w:eastAsia="仿宋_GB2312"/>
      <w:sz w:val="28"/>
    </w:rPr>
  </w:style>
  <w:style w:type="paragraph" w:styleId="6">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next w:val="8"/>
    <w:link w:val="29"/>
    <w:autoRedefine/>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7"/>
    <w:autoRedefine/>
    <w:unhideWhenUsed/>
    <w:qFormat/>
    <w:uiPriority w:val="0"/>
    <w:pPr>
      <w:ind w:firstLine="420" w:firstLineChars="100"/>
    </w:pPr>
  </w:style>
  <w:style w:type="paragraph" w:styleId="9">
    <w:name w:val="Body Text Indent"/>
    <w:basedOn w:val="1"/>
    <w:link w:val="26"/>
    <w:autoRedefine/>
    <w:qFormat/>
    <w:uiPriority w:val="0"/>
    <w:pPr>
      <w:spacing w:line="480" w:lineRule="exact"/>
      <w:ind w:firstLine="480" w:firstLineChars="200"/>
    </w:pPr>
    <w:rPr>
      <w:rFonts w:ascii="宋体" w:hAnsi="宋体"/>
      <w:sz w:val="24"/>
    </w:rPr>
  </w:style>
  <w:style w:type="paragraph" w:styleId="10">
    <w:name w:val="toc 3"/>
    <w:basedOn w:val="1"/>
    <w:next w:val="1"/>
    <w:autoRedefine/>
    <w:qFormat/>
    <w:uiPriority w:val="0"/>
    <w:pPr>
      <w:ind w:left="840" w:leftChars="400"/>
    </w:pPr>
    <w:rPr>
      <w:rFonts w:ascii="Times New Roman" w:hAnsi="Times New Roman"/>
    </w:rPr>
  </w:style>
  <w:style w:type="paragraph" w:styleId="11">
    <w:name w:val="Plain Text"/>
    <w:basedOn w:val="1"/>
    <w:link w:val="28"/>
    <w:autoRedefine/>
    <w:qFormat/>
    <w:uiPriority w:val="0"/>
    <w:rPr>
      <w:rFonts w:ascii="宋体" w:hAnsi="Courier New" w:cs="Arial"/>
      <w:snapToGrid w:val="0"/>
      <w:szCs w:val="21"/>
    </w:rPr>
  </w:style>
  <w:style w:type="paragraph" w:styleId="12">
    <w:name w:val="Date"/>
    <w:basedOn w:val="1"/>
    <w:next w:val="1"/>
    <w:link w:val="27"/>
    <w:autoRedefine/>
    <w:qFormat/>
    <w:uiPriority w:val="0"/>
    <w:pPr>
      <w:ind w:left="100" w:leftChars="2500"/>
    </w:pPr>
    <w:rPr>
      <w:rFonts w:ascii="宋体"/>
      <w:sz w:val="24"/>
      <w:szCs w:val="21"/>
      <w:lang w:val="zh-CN"/>
    </w:rPr>
  </w:style>
  <w:style w:type="paragraph" w:styleId="13">
    <w:name w:val="Balloon Text"/>
    <w:basedOn w:val="1"/>
    <w:link w:val="42"/>
    <w:autoRedefine/>
    <w:semiHidden/>
    <w:unhideWhenUsed/>
    <w:qFormat/>
    <w:uiPriority w:val="99"/>
    <w:rPr>
      <w:sz w:val="18"/>
      <w:szCs w:val="18"/>
    </w:rPr>
  </w:style>
  <w:style w:type="paragraph" w:styleId="14">
    <w:name w:val="footer"/>
    <w:basedOn w:val="1"/>
    <w:link w:val="24"/>
    <w:autoRedefine/>
    <w:unhideWhenUsed/>
    <w:qFormat/>
    <w:uiPriority w:val="99"/>
    <w:pPr>
      <w:tabs>
        <w:tab w:val="center" w:pos="4153"/>
        <w:tab w:val="right" w:pos="8306"/>
      </w:tabs>
      <w:snapToGrid w:val="0"/>
      <w:jc w:val="left"/>
    </w:pPr>
    <w:rPr>
      <w:sz w:val="18"/>
      <w:szCs w:val="18"/>
    </w:rPr>
  </w:style>
  <w:style w:type="paragraph" w:styleId="15">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6"/>
    <w:basedOn w:val="1"/>
    <w:next w:val="1"/>
    <w:autoRedefine/>
    <w:qFormat/>
    <w:uiPriority w:val="0"/>
    <w:pPr>
      <w:ind w:left="2100" w:leftChars="1000"/>
    </w:pPr>
  </w:style>
  <w:style w:type="paragraph" w:styleId="17">
    <w:name w:val="Body Text Indent 3"/>
    <w:basedOn w:val="1"/>
    <w:link w:val="48"/>
    <w:autoRedefine/>
    <w:qFormat/>
    <w:uiPriority w:val="0"/>
    <w:pPr>
      <w:spacing w:after="120"/>
      <w:ind w:left="420" w:leftChars="200"/>
    </w:pPr>
    <w:rPr>
      <w:rFonts w:ascii="Times New Roman" w:hAnsi="Times New Roman"/>
      <w:sz w:val="16"/>
      <w:szCs w:val="16"/>
    </w:rPr>
  </w:style>
  <w:style w:type="table" w:styleId="19">
    <w:name w:val="Table Grid"/>
    <w:basedOn w:val="18"/>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rPr>
      <w:rFonts w:ascii="Arial" w:hAnsi="Arial" w:eastAsia="黑体" w:cs="Arial"/>
      <w:snapToGrid w:val="0"/>
      <w:kern w:val="0"/>
      <w:szCs w:val="21"/>
    </w:rPr>
  </w:style>
  <w:style w:type="character" w:styleId="22">
    <w:name w:val="Hyperlink"/>
    <w:autoRedefine/>
    <w:qFormat/>
    <w:uiPriority w:val="99"/>
    <w:rPr>
      <w:rFonts w:ascii="Arial" w:hAnsi="Arial" w:eastAsia="黑体" w:cs="Arial"/>
      <w:snapToGrid w:val="0"/>
      <w:color w:val="000000"/>
      <w:kern w:val="0"/>
      <w:sz w:val="18"/>
      <w:szCs w:val="18"/>
      <w:u w:val="none"/>
    </w:rPr>
  </w:style>
  <w:style w:type="character" w:customStyle="1" w:styleId="23">
    <w:name w:val="页眉 Char"/>
    <w:basedOn w:val="20"/>
    <w:link w:val="15"/>
    <w:autoRedefine/>
    <w:qFormat/>
    <w:uiPriority w:val="99"/>
    <w:rPr>
      <w:sz w:val="18"/>
      <w:szCs w:val="18"/>
    </w:rPr>
  </w:style>
  <w:style w:type="character" w:customStyle="1" w:styleId="24">
    <w:name w:val="页脚 Char"/>
    <w:basedOn w:val="20"/>
    <w:link w:val="14"/>
    <w:autoRedefine/>
    <w:qFormat/>
    <w:uiPriority w:val="99"/>
    <w:rPr>
      <w:sz w:val="18"/>
      <w:szCs w:val="18"/>
    </w:rPr>
  </w:style>
  <w:style w:type="character" w:customStyle="1" w:styleId="25">
    <w:name w:val="标题 2 Char"/>
    <w:basedOn w:val="20"/>
    <w:link w:val="3"/>
    <w:autoRedefine/>
    <w:qFormat/>
    <w:uiPriority w:val="0"/>
    <w:rPr>
      <w:rFonts w:ascii="仿宋_GB2312" w:hAnsi="仿宋" w:eastAsia="仿宋_GB2312" w:cs="Times New Roman"/>
      <w:b/>
      <w:bCs/>
      <w:sz w:val="32"/>
      <w:szCs w:val="32"/>
      <w:lang w:val="zh-CN"/>
    </w:rPr>
  </w:style>
  <w:style w:type="character" w:customStyle="1" w:styleId="26">
    <w:name w:val="正文文本缩进 Char"/>
    <w:basedOn w:val="20"/>
    <w:link w:val="9"/>
    <w:autoRedefine/>
    <w:qFormat/>
    <w:uiPriority w:val="0"/>
    <w:rPr>
      <w:rFonts w:ascii="宋体" w:hAnsi="宋体" w:eastAsia="宋体" w:cs="Times New Roman"/>
      <w:sz w:val="24"/>
      <w:szCs w:val="24"/>
    </w:rPr>
  </w:style>
  <w:style w:type="character" w:customStyle="1" w:styleId="27">
    <w:name w:val="日期 Char"/>
    <w:basedOn w:val="20"/>
    <w:link w:val="12"/>
    <w:autoRedefine/>
    <w:qFormat/>
    <w:uiPriority w:val="0"/>
    <w:rPr>
      <w:rFonts w:ascii="宋体" w:hAnsi="Calibri" w:eastAsia="宋体" w:cs="Times New Roman"/>
      <w:sz w:val="24"/>
      <w:szCs w:val="21"/>
      <w:lang w:val="zh-CN"/>
    </w:rPr>
  </w:style>
  <w:style w:type="character" w:customStyle="1" w:styleId="28">
    <w:name w:val="纯文本 Char"/>
    <w:basedOn w:val="20"/>
    <w:link w:val="11"/>
    <w:autoRedefine/>
    <w:qFormat/>
    <w:uiPriority w:val="0"/>
    <w:rPr>
      <w:rFonts w:ascii="宋体" w:hAnsi="Courier New" w:eastAsia="宋体" w:cs="Arial"/>
      <w:snapToGrid w:val="0"/>
      <w:szCs w:val="21"/>
    </w:rPr>
  </w:style>
  <w:style w:type="character" w:customStyle="1" w:styleId="29">
    <w:name w:val="正文文本 Char"/>
    <w:basedOn w:val="20"/>
    <w:link w:val="7"/>
    <w:autoRedefine/>
    <w:qFormat/>
    <w:uiPriority w:val="0"/>
    <w:rPr>
      <w:rFonts w:ascii="宋体" w:hAnsi="Arial" w:eastAsia="宋体" w:cs="Arial"/>
      <w:snapToGrid w:val="0"/>
      <w:sz w:val="24"/>
      <w:szCs w:val="21"/>
      <w:lang w:val="zh-CN"/>
    </w:rPr>
  </w:style>
  <w:style w:type="paragraph" w:customStyle="1" w:styleId="30">
    <w:name w:val="索引 11"/>
    <w:basedOn w:val="1"/>
    <w:next w:val="1"/>
    <w:autoRedefine/>
    <w:qFormat/>
    <w:uiPriority w:val="99"/>
    <w:pPr>
      <w:spacing w:line="360" w:lineRule="auto"/>
    </w:pPr>
    <w:rPr>
      <w:rFonts w:ascii="仿宋_GB2312" w:eastAsia="仿宋_GB2312"/>
      <w:sz w:val="24"/>
      <w:szCs w:val="20"/>
    </w:r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3">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34">
    <w:name w:val="纯文本1"/>
    <w:basedOn w:val="1"/>
    <w:autoRedefine/>
    <w:qFormat/>
    <w:uiPriority w:val="0"/>
    <w:rPr>
      <w:rFonts w:ascii="宋体" w:hAnsi="Courier New"/>
      <w:kern w:val="0"/>
      <w:sz w:val="20"/>
      <w:szCs w:val="20"/>
    </w:rPr>
  </w:style>
  <w:style w:type="paragraph" w:customStyle="1" w:styleId="3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0_0"/>
    <w:basedOn w:val="35"/>
    <w:autoRedefine/>
    <w:qFormat/>
    <w:uiPriority w:val="0"/>
    <w:rPr>
      <w:rFonts w:ascii="宋体" w:hAnsi="Courier New"/>
      <w:szCs w:val="21"/>
    </w:rPr>
  </w:style>
  <w:style w:type="paragraph" w:customStyle="1" w:styleId="37">
    <w:name w:val="正文2"/>
    <w:basedOn w:val="1"/>
    <w:autoRedefine/>
    <w:qFormat/>
    <w:uiPriority w:val="0"/>
    <w:pPr>
      <w:spacing w:before="156" w:line="360" w:lineRule="auto"/>
      <w:ind w:firstLine="510" w:firstLineChars="200"/>
    </w:pPr>
    <w:rPr>
      <w:sz w:val="24"/>
      <w:szCs w:val="20"/>
    </w:rPr>
  </w:style>
  <w:style w:type="paragraph" w:customStyle="1" w:styleId="38">
    <w:name w:val="正文缩进1"/>
    <w:basedOn w:val="1"/>
    <w:next w:val="9"/>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39">
    <w:name w:val="标题 3 Char"/>
    <w:basedOn w:val="20"/>
    <w:link w:val="4"/>
    <w:autoRedefine/>
    <w:semiHidden/>
    <w:qFormat/>
    <w:uiPriority w:val="9"/>
    <w:rPr>
      <w:rFonts w:ascii="Calibri" w:hAnsi="Calibri" w:eastAsia="宋体" w:cs="Times New Roman"/>
      <w:b/>
      <w:bCs/>
      <w:sz w:val="32"/>
      <w:szCs w:val="32"/>
    </w:rPr>
  </w:style>
  <w:style w:type="character" w:customStyle="1" w:styleId="40">
    <w:name w:val="标题 4 Char"/>
    <w:basedOn w:val="20"/>
    <w:link w:val="5"/>
    <w:autoRedefine/>
    <w:semiHidden/>
    <w:qFormat/>
    <w:uiPriority w:val="9"/>
    <w:rPr>
      <w:rFonts w:asciiTheme="majorHAnsi" w:hAnsiTheme="majorHAnsi" w:eastAsiaTheme="majorEastAsia" w:cstheme="majorBidi"/>
      <w:b/>
      <w:bCs/>
      <w:sz w:val="28"/>
      <w:szCs w:val="28"/>
    </w:rPr>
  </w:style>
  <w:style w:type="paragraph" w:customStyle="1" w:styleId="41">
    <w:name w:val="标题4"/>
    <w:basedOn w:val="1"/>
    <w:autoRedefine/>
    <w:qFormat/>
    <w:uiPriority w:val="0"/>
    <w:rPr>
      <w:rFonts w:ascii="Times New Roman" w:hAnsi="Times New Roman" w:eastAsia="仿宋_GB2312"/>
      <w:sz w:val="32"/>
      <w:szCs w:val="20"/>
    </w:rPr>
  </w:style>
  <w:style w:type="character" w:customStyle="1" w:styleId="42">
    <w:name w:val="批注框文本 Char"/>
    <w:basedOn w:val="20"/>
    <w:link w:val="13"/>
    <w:autoRedefine/>
    <w:semiHidden/>
    <w:qFormat/>
    <w:uiPriority w:val="99"/>
    <w:rPr>
      <w:rFonts w:ascii="Calibri" w:hAnsi="Calibri" w:eastAsia="宋体" w:cs="Times New Roman"/>
      <w:sz w:val="18"/>
      <w:szCs w:val="18"/>
    </w:rPr>
  </w:style>
  <w:style w:type="character" w:customStyle="1" w:styleId="43">
    <w:name w:val="List Paragraph Char"/>
    <w:link w:val="44"/>
    <w:autoRedefine/>
    <w:qFormat/>
    <w:locked/>
    <w:uiPriority w:val="0"/>
    <w:rPr>
      <w:rFonts w:ascii="Times New Roman" w:hAnsi="Times New Roman"/>
      <w:szCs w:val="24"/>
    </w:rPr>
  </w:style>
  <w:style w:type="paragraph" w:customStyle="1" w:styleId="44">
    <w:name w:val="列出段落1"/>
    <w:basedOn w:val="1"/>
    <w:link w:val="43"/>
    <w:autoRedefine/>
    <w:qFormat/>
    <w:uiPriority w:val="0"/>
    <w:pPr>
      <w:ind w:firstLine="420" w:firstLineChars="200"/>
    </w:pPr>
    <w:rPr>
      <w:rFonts w:ascii="Times New Roman" w:hAnsi="Times New Roman" w:eastAsiaTheme="minorEastAsia" w:cstheme="minorBidi"/>
    </w:rPr>
  </w:style>
  <w:style w:type="paragraph" w:styleId="45">
    <w:name w:val="List Paragraph"/>
    <w:basedOn w:val="1"/>
    <w:autoRedefine/>
    <w:qFormat/>
    <w:uiPriority w:val="34"/>
    <w:pPr>
      <w:ind w:firstLine="420" w:firstLineChars="200"/>
    </w:pPr>
    <w:rPr>
      <w:szCs w:val="22"/>
    </w:rPr>
  </w:style>
  <w:style w:type="paragraph" w:customStyle="1" w:styleId="46">
    <w:name w:val="p18"/>
    <w:basedOn w:val="1"/>
    <w:autoRedefine/>
    <w:qFormat/>
    <w:uiPriority w:val="0"/>
    <w:pPr>
      <w:widowControl/>
    </w:pPr>
    <w:rPr>
      <w:kern w:val="0"/>
      <w:sz w:val="24"/>
    </w:rPr>
  </w:style>
  <w:style w:type="paragraph" w:customStyle="1" w:styleId="47">
    <w:name w:val="列表段落1"/>
    <w:basedOn w:val="1"/>
    <w:autoRedefine/>
    <w:qFormat/>
    <w:uiPriority w:val="34"/>
    <w:pPr>
      <w:ind w:firstLine="420" w:firstLineChars="200"/>
    </w:pPr>
    <w:rPr>
      <w:rFonts w:asciiTheme="minorHAnsi" w:hAnsiTheme="minorHAnsi" w:eastAsiaTheme="minorEastAsia" w:cstheme="minorBidi"/>
      <w:szCs w:val="22"/>
    </w:rPr>
  </w:style>
  <w:style w:type="character" w:customStyle="1" w:styleId="48">
    <w:name w:val="正文文本缩进 3 Char"/>
    <w:basedOn w:val="20"/>
    <w:link w:val="17"/>
    <w:autoRedefine/>
    <w:qFormat/>
    <w:uiPriority w:val="0"/>
    <w:rPr>
      <w:rFonts w:ascii="Times New Roman" w:hAnsi="Times New Roman" w:eastAsia="宋体" w:cs="Times New Roman"/>
      <w:kern w:val="2"/>
      <w:sz w:val="16"/>
      <w:szCs w:val="16"/>
    </w:rPr>
  </w:style>
  <w:style w:type="paragraph" w:customStyle="1" w:styleId="49">
    <w:name w:val="p17"/>
    <w:basedOn w:val="1"/>
    <w:autoRedefine/>
    <w:qFormat/>
    <w:uiPriority w:val="0"/>
    <w:pPr>
      <w:ind w:firstLine="420"/>
    </w:pPr>
    <w:rPr>
      <w:rFonts w:cs="黑体"/>
      <w:b/>
      <w:bCs/>
      <w:sz w:val="28"/>
      <w:szCs w:val="28"/>
    </w:rPr>
  </w:style>
  <w:style w:type="paragraph" w:customStyle="1" w:styleId="50">
    <w:name w:val="p16"/>
    <w:basedOn w:val="1"/>
    <w:qFormat/>
    <w:uiPriority w:val="0"/>
    <w:pPr>
      <w:widowControl/>
      <w:spacing w:after="120"/>
      <w:ind w:firstLine="420"/>
    </w:pPr>
    <w:rPr>
      <w:rFonts w:ascii="Times New Roman" w:hAnsi="Times New Roman"/>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76013-C8DB-40B6-861A-7123949ABA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3053</Words>
  <Characters>3598</Characters>
  <Lines>274</Lines>
  <Paragraphs>77</Paragraphs>
  <TotalTime>25</TotalTime>
  <ScaleCrop>false</ScaleCrop>
  <LinksUpToDate>false</LinksUpToDate>
  <CharactersWithSpaces>3920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2022-06-02T06:26:00Z</dcterms:created>
  <dc:creator>Microsoft</dc:creator>
  <cp:lastModifiedBy>罗波波</cp:lastModifiedBy>
  <cp:lastPrinted>2022-04-06T07:08:00Z</cp:lastPrinted>
  <dcterms:modified xsi:type="dcterms:W3CDTF">2025-07-18T02:02:48Z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A12025A4C1A0495C92A5218CFCA62A79</vt:lpwstr>
  </property>
  <property fmtid="{D5CDD505-2E9C-101B-9397-08002B2CF9AE}" pid="4" name="KSOTemplateDocerSaveRecord">
    <vt:lpwstr>eyJoZGlkIjoiYjNmNTg1MTJmNjU4ZWU2YzQ5MTY3MzZhODU0ZWQ0OTgiLCJ1c2VySWQiOiI0MDI1NzMzOTkifQ==</vt:lpwstr>
  </property>
</Properties>
</file>