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outlineLvl w:val="9"/>
        <w:rPr>
          <w:rFonts w:ascii="宋体" w:hAnsi="宋体" w:cs="宋体"/>
          <w:b/>
          <w:sz w:val="24"/>
          <w:highlight w:val="none"/>
        </w:rPr>
      </w:pPr>
    </w:p>
    <w:p>
      <w:pPr>
        <w:kinsoku/>
        <w:wordWrap/>
        <w:overflowPunct/>
        <w:topLinePunct w:val="0"/>
        <w:bidi w:val="0"/>
        <w:adjustRightInd/>
        <w:spacing w:line="360" w:lineRule="auto"/>
        <w:jc w:val="center"/>
        <w:outlineLvl w:val="9"/>
        <w:rPr>
          <w:rFonts w:ascii="宋体" w:hAnsi="宋体" w:cs="宋体"/>
          <w:b/>
          <w:sz w:val="48"/>
          <w:szCs w:val="48"/>
          <w:highlight w:val="none"/>
        </w:rPr>
      </w:pPr>
    </w:p>
    <w:p>
      <w:pPr>
        <w:kinsoku/>
        <w:wordWrap/>
        <w:overflowPunct/>
        <w:topLinePunct w:val="0"/>
        <w:bidi w:val="0"/>
        <w:outlineLvl w:val="9"/>
        <w:rPr>
          <w:highlight w:val="none"/>
        </w:rPr>
      </w:pPr>
    </w:p>
    <w:p>
      <w:pPr>
        <w:kinsoku/>
        <w:wordWrap/>
        <w:overflowPunct/>
        <w:topLinePunct w:val="0"/>
        <w:bidi w:val="0"/>
        <w:adjustRightInd/>
        <w:spacing w:line="360" w:lineRule="auto"/>
        <w:jc w:val="center"/>
        <w:outlineLvl w:val="9"/>
        <w:rPr>
          <w:rFonts w:hint="default" w:ascii="宋体" w:hAnsi="宋体" w:eastAsia="宋体" w:cs="宋体"/>
          <w:sz w:val="48"/>
          <w:szCs w:val="48"/>
          <w:highlight w:val="none"/>
          <w:lang w:val="en-US" w:eastAsia="zh-CN"/>
        </w:rPr>
      </w:pPr>
      <w:r>
        <w:rPr>
          <w:rFonts w:hint="eastAsia" w:ascii="宋体" w:hAnsi="宋体" w:cs="宋体"/>
          <w:sz w:val="48"/>
          <w:szCs w:val="48"/>
          <w:highlight w:val="none"/>
        </w:rPr>
        <w:t xml:space="preserve">招标文件 </w:t>
      </w:r>
      <w:r>
        <w:rPr>
          <w:rFonts w:hint="eastAsia" w:ascii="宋体" w:hAnsi="宋体" w:cs="宋体"/>
          <w:sz w:val="48"/>
          <w:szCs w:val="48"/>
          <w:highlight w:val="none"/>
          <w:lang w:eastAsia="zh-CN"/>
        </w:rPr>
        <w:t>（</w:t>
      </w:r>
      <w:r>
        <w:rPr>
          <w:rFonts w:hint="eastAsia" w:ascii="宋体" w:hAnsi="宋体" w:cs="宋体"/>
          <w:sz w:val="48"/>
          <w:szCs w:val="48"/>
          <w:highlight w:val="none"/>
          <w:lang w:val="en-US" w:eastAsia="zh-CN"/>
        </w:rPr>
        <w:t>货物）</w:t>
      </w:r>
    </w:p>
    <w:p>
      <w:pPr>
        <w:kinsoku/>
        <w:wordWrap/>
        <w:overflowPunct/>
        <w:topLinePunct w:val="0"/>
        <w:bidi w:val="0"/>
        <w:adjustRightInd/>
        <w:spacing w:line="360" w:lineRule="auto"/>
        <w:jc w:val="center"/>
        <w:outlineLvl w:val="9"/>
        <w:rPr>
          <w:rFonts w:ascii="宋体" w:hAnsi="宋体" w:cs="宋体"/>
          <w:b/>
          <w:sz w:val="44"/>
          <w:szCs w:val="44"/>
          <w:highlight w:val="none"/>
        </w:rPr>
      </w:pPr>
      <w:r>
        <w:rPr>
          <w:rFonts w:hint="eastAsia" w:ascii="宋体" w:hAnsi="宋体" w:cs="宋体"/>
          <w:b/>
          <w:sz w:val="44"/>
          <w:szCs w:val="44"/>
          <w:highlight w:val="none"/>
        </w:rPr>
        <w:t xml:space="preserve"> （电子招投标）</w:t>
      </w: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cs="宋体"/>
          <w:color w:val="auto"/>
          <w:sz w:val="30"/>
          <w:szCs w:val="30"/>
          <w:highlight w:val="none"/>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lang w:eastAsia="zh-CN"/>
        </w:rPr>
        <w:t>：CBZJ-20236172G</w:t>
      </w:r>
      <w:r>
        <w:rPr>
          <w:rFonts w:hint="eastAsia" w:ascii="宋体" w:hAnsi="宋体" w:cs="宋体"/>
          <w:color w:val="auto"/>
          <w:sz w:val="30"/>
          <w:szCs w:val="30"/>
          <w:highlight w:val="none"/>
        </w:rPr>
        <w:t xml:space="preserve">   </w:t>
      </w:r>
    </w:p>
    <w:p>
      <w:pPr>
        <w:kinsoku/>
        <w:wordWrap/>
        <w:overflowPunct/>
        <w:topLinePunct w:val="0"/>
        <w:bidi w:val="0"/>
        <w:snapToGrid w:val="0"/>
        <w:spacing w:line="360" w:lineRule="auto"/>
        <w:jc w:val="left"/>
        <w:outlineLvl w:val="9"/>
        <w:rPr>
          <w:rFonts w:ascii="宋体" w:hAnsi="宋体" w:cs="宋体"/>
          <w:color w:val="auto"/>
          <w:sz w:val="30"/>
          <w:szCs w:val="30"/>
          <w:highlight w:val="none"/>
        </w:rPr>
      </w:pPr>
      <w:r>
        <w:rPr>
          <w:rFonts w:hint="eastAsia" w:ascii="宋体" w:hAnsi="宋体" w:cs="宋体"/>
          <w:color w:val="auto"/>
          <w:sz w:val="30"/>
          <w:szCs w:val="30"/>
          <w:highlight w:val="none"/>
        </w:rPr>
        <w:t>项目名称：</w:t>
      </w:r>
      <w:r>
        <w:rPr>
          <w:rFonts w:hint="eastAsia" w:ascii="宋体" w:hAnsi="宋体" w:cs="宋体"/>
          <w:color w:val="auto"/>
          <w:sz w:val="30"/>
          <w:szCs w:val="30"/>
          <w:highlight w:val="none"/>
          <w:lang w:eastAsia="zh-CN"/>
        </w:rPr>
        <w:t>宁海县第三医院电子胃肠镜等医疗设备采购项目</w:t>
      </w:r>
    </w:p>
    <w:p>
      <w:pPr>
        <w:kinsoku/>
        <w:wordWrap/>
        <w:overflowPunct/>
        <w:topLinePunct w:val="0"/>
        <w:bidi w:val="0"/>
        <w:adjustRightInd/>
        <w:spacing w:line="360" w:lineRule="auto"/>
        <w:outlineLvl w:val="9"/>
        <w:rPr>
          <w:rFonts w:ascii="宋体" w:hAnsi="宋体" w:cs="宋体"/>
          <w:sz w:val="28"/>
          <w:szCs w:val="20"/>
          <w:highlight w:val="none"/>
        </w:rPr>
      </w:pPr>
    </w:p>
    <w:p>
      <w:pPr>
        <w:kinsoku/>
        <w:wordWrap/>
        <w:overflowPunct/>
        <w:topLinePunct w:val="0"/>
        <w:bidi w:val="0"/>
        <w:spacing w:line="360" w:lineRule="auto"/>
        <w:jc w:val="center"/>
        <w:outlineLvl w:val="9"/>
        <w:rPr>
          <w:rFonts w:ascii="宋体" w:hAnsi="宋体" w:cs="宋体"/>
          <w:b/>
          <w:sz w:val="44"/>
          <w:szCs w:val="44"/>
          <w:highlight w:val="none"/>
        </w:rPr>
      </w:pPr>
      <w:r>
        <w:rPr>
          <w:rFonts w:hint="eastAsia" w:ascii="宋体" w:hAnsi="宋体" w:cs="宋体"/>
          <w:b/>
          <w:sz w:val="44"/>
          <w:szCs w:val="44"/>
          <w:highlight w:val="none"/>
        </w:rPr>
        <w:t xml:space="preserve"> </w:t>
      </w:r>
    </w:p>
    <w:p>
      <w:pPr>
        <w:kinsoku/>
        <w:wordWrap/>
        <w:overflowPunct/>
        <w:topLinePunct w:val="0"/>
        <w:bidi w:val="0"/>
        <w:spacing w:line="360" w:lineRule="auto"/>
        <w:jc w:val="center"/>
        <w:outlineLvl w:val="9"/>
        <w:rPr>
          <w:rFonts w:ascii="宋体" w:hAnsi="宋体" w:cs="宋体"/>
          <w:b/>
          <w:sz w:val="44"/>
          <w:szCs w:val="44"/>
          <w:highlight w:val="none"/>
        </w:rPr>
      </w:pPr>
    </w:p>
    <w:p>
      <w:pPr>
        <w:kinsoku/>
        <w:wordWrap/>
        <w:overflowPunct/>
        <w:topLinePunct w:val="0"/>
        <w:bidi w:val="0"/>
        <w:spacing w:line="360" w:lineRule="auto"/>
        <w:jc w:val="center"/>
        <w:outlineLvl w:val="9"/>
        <w:rPr>
          <w:rFonts w:ascii="宋体" w:hAnsi="宋体" w:cs="宋体"/>
          <w:sz w:val="24"/>
          <w:highlight w:val="none"/>
        </w:rPr>
      </w:pPr>
    </w:p>
    <w:p>
      <w:pPr>
        <w:kinsoku/>
        <w:wordWrap/>
        <w:overflowPunct/>
        <w:topLinePunct w:val="0"/>
        <w:bidi w:val="0"/>
        <w:spacing w:line="360" w:lineRule="auto"/>
        <w:outlineLvl w:val="9"/>
        <w:rPr>
          <w:rFonts w:ascii="宋体" w:hAnsi="宋体" w:cs="宋体"/>
          <w:sz w:val="32"/>
          <w:szCs w:val="32"/>
          <w:highlight w:val="none"/>
        </w:rPr>
      </w:pPr>
    </w:p>
    <w:p>
      <w:pPr>
        <w:kinsoku/>
        <w:wordWrap/>
        <w:overflowPunct/>
        <w:topLinePunct w:val="0"/>
        <w:bidi w:val="0"/>
        <w:spacing w:line="360" w:lineRule="auto"/>
        <w:jc w:val="center"/>
        <w:outlineLvl w:val="9"/>
        <w:rPr>
          <w:rFonts w:hint="eastAsia" w:ascii="宋体" w:hAnsi="宋体" w:cs="宋体"/>
          <w:bCs/>
          <w:sz w:val="32"/>
          <w:szCs w:val="32"/>
          <w:highlight w:val="none"/>
        </w:rPr>
      </w:pPr>
      <w:r>
        <w:rPr>
          <w:rFonts w:hint="eastAsia" w:ascii="宋体" w:hAnsi="宋体" w:cs="宋体"/>
          <w:bCs/>
          <w:sz w:val="32"/>
          <w:szCs w:val="32"/>
          <w:highlight w:val="none"/>
        </w:rPr>
        <w:t>采购人：</w:t>
      </w:r>
      <w:r>
        <w:rPr>
          <w:rFonts w:hint="eastAsia" w:ascii="宋体" w:hAnsi="宋体" w:cs="宋体"/>
          <w:bCs/>
          <w:sz w:val="32"/>
          <w:szCs w:val="32"/>
          <w:highlight w:val="none"/>
          <w:lang w:eastAsia="zh-CN"/>
        </w:rPr>
        <w:t>宁海县第三医院</w:t>
      </w:r>
    </w:p>
    <w:p>
      <w:pPr>
        <w:kinsoku/>
        <w:wordWrap/>
        <w:overflowPunct/>
        <w:topLinePunct w:val="0"/>
        <w:bidi w:val="0"/>
        <w:spacing w:line="360" w:lineRule="auto"/>
        <w:jc w:val="center"/>
        <w:outlineLvl w:val="9"/>
        <w:rPr>
          <w:rFonts w:ascii="宋体" w:hAnsi="宋体" w:cs="宋体"/>
          <w:bCs/>
          <w:sz w:val="32"/>
          <w:szCs w:val="32"/>
          <w:highlight w:val="none"/>
        </w:rPr>
      </w:pPr>
      <w:r>
        <w:rPr>
          <w:rFonts w:hint="eastAsia" w:ascii="宋体" w:hAnsi="宋体" w:cs="宋体"/>
          <w:bCs/>
          <w:sz w:val="32"/>
          <w:szCs w:val="32"/>
          <w:highlight w:val="none"/>
        </w:rPr>
        <w:t>采购代理机构：</w:t>
      </w:r>
      <w:r>
        <w:rPr>
          <w:rFonts w:hint="eastAsia" w:ascii="宋体" w:hAnsi="宋体" w:cs="宋体"/>
          <w:bCs/>
          <w:sz w:val="32"/>
          <w:szCs w:val="32"/>
          <w:highlight w:val="none"/>
          <w:lang w:eastAsia="zh-CN"/>
        </w:rPr>
        <w:t>浙江中基正采管理咨询有限公司</w:t>
      </w:r>
    </w:p>
    <w:p>
      <w:pPr>
        <w:kinsoku/>
        <w:wordWrap/>
        <w:overflowPunct/>
        <w:topLinePunct w:val="0"/>
        <w:bidi w:val="0"/>
        <w:snapToGrid w:val="0"/>
        <w:spacing w:line="360" w:lineRule="auto"/>
        <w:jc w:val="center"/>
        <w:outlineLvl w:val="9"/>
        <w:rPr>
          <w:rFonts w:hint="eastAsia" w:ascii="宋体" w:hAnsi="宋体" w:cs="宋体"/>
          <w:bCs/>
          <w:color w:val="FF0000"/>
          <w:sz w:val="32"/>
          <w:szCs w:val="32"/>
          <w:highlight w:val="none"/>
        </w:rPr>
      </w:pPr>
    </w:p>
    <w:p>
      <w:pPr>
        <w:kinsoku/>
        <w:wordWrap/>
        <w:overflowPunct/>
        <w:topLinePunct w:val="0"/>
        <w:bidi w:val="0"/>
        <w:snapToGrid w:val="0"/>
        <w:spacing w:line="360" w:lineRule="auto"/>
        <w:jc w:val="center"/>
        <w:outlineLvl w:val="9"/>
        <w:rPr>
          <w:rFonts w:ascii="宋体" w:hAnsi="宋体" w:cs="宋体"/>
          <w:bCs/>
          <w:color w:val="auto"/>
          <w:sz w:val="32"/>
          <w:szCs w:val="32"/>
          <w:highlight w:val="none"/>
        </w:rPr>
      </w:pPr>
      <w:r>
        <w:rPr>
          <w:rFonts w:hint="eastAsia" w:ascii="宋体" w:hAnsi="宋体" w:cs="宋体"/>
          <w:bCs/>
          <w:color w:val="auto"/>
          <w:sz w:val="32"/>
          <w:szCs w:val="32"/>
          <w:highlight w:val="none"/>
        </w:rPr>
        <w:t>二〇二三年</w:t>
      </w:r>
      <w:r>
        <w:rPr>
          <w:rFonts w:hint="eastAsia" w:ascii="宋体" w:hAnsi="宋体" w:cs="宋体"/>
          <w:bCs/>
          <w:color w:val="auto"/>
          <w:sz w:val="32"/>
          <w:szCs w:val="32"/>
          <w:highlight w:val="none"/>
          <w:lang w:val="en-US" w:eastAsia="zh-CN"/>
        </w:rPr>
        <w:t>十一</w:t>
      </w:r>
      <w:r>
        <w:rPr>
          <w:rFonts w:hint="eastAsia" w:ascii="宋体" w:hAnsi="宋体" w:cs="宋体"/>
          <w:bCs/>
          <w:color w:val="auto"/>
          <w:sz w:val="32"/>
          <w:szCs w:val="32"/>
          <w:highlight w:val="none"/>
        </w:rPr>
        <w:t>月</w:t>
      </w:r>
    </w:p>
    <w:p>
      <w:pPr>
        <w:rPr>
          <w:rFonts w:hint="eastAsia" w:ascii="宋体" w:hAnsi="宋体" w:cs="宋体"/>
          <w:sz w:val="24"/>
          <w:highlight w:val="none"/>
        </w:rPr>
      </w:pPr>
      <w:r>
        <w:rPr>
          <w:rFonts w:hint="eastAsia" w:ascii="宋体" w:hAnsi="宋体" w:cs="宋体"/>
          <w:sz w:val="24"/>
          <w:highlight w:val="none"/>
        </w:rPr>
        <w:br w:type="page"/>
      </w:r>
    </w:p>
    <w:p>
      <w:pPr>
        <w:kinsoku/>
        <w:wordWrap/>
        <w:overflowPunct/>
        <w:topLinePunct w:val="0"/>
        <w:bidi w:val="0"/>
        <w:spacing w:line="360" w:lineRule="auto"/>
        <w:jc w:val="center"/>
        <w:outlineLvl w:val="9"/>
        <w:rPr>
          <w:rFonts w:ascii="宋体" w:hAnsi="宋体" w:cs="宋体"/>
          <w:sz w:val="24"/>
          <w:highlight w:val="none"/>
        </w:rPr>
      </w:pPr>
      <w:r>
        <w:rPr>
          <w:rFonts w:hint="eastAsia" w:ascii="宋体" w:hAnsi="宋体" w:cs="宋体"/>
          <w:sz w:val="24"/>
          <w:highlight w:val="none"/>
        </w:rPr>
        <w:br w:type="page"/>
      </w:r>
      <w:bookmarkStart w:id="0" w:name="_Hlt67893495"/>
      <w:bookmarkEnd w:id="0"/>
    </w:p>
    <w:p>
      <w:pPr>
        <w:kinsoku/>
        <w:wordWrap/>
        <w:overflowPunct/>
        <w:topLinePunct w:val="0"/>
        <w:bidi w:val="0"/>
        <w:spacing w:line="360" w:lineRule="auto"/>
        <w:jc w:val="center"/>
        <w:outlineLvl w:val="9"/>
        <w:rPr>
          <w:rFonts w:ascii="宋体" w:hAnsi="宋体" w:cs="宋体"/>
          <w:sz w:val="24"/>
          <w:highlight w:val="none"/>
        </w:rPr>
      </w:pPr>
    </w:p>
    <w:p>
      <w:pPr>
        <w:kinsoku/>
        <w:wordWrap/>
        <w:overflowPunct/>
        <w:topLinePunct w:val="0"/>
        <w:bidi w:val="0"/>
        <w:spacing w:line="360" w:lineRule="auto"/>
        <w:jc w:val="center"/>
        <w:outlineLvl w:val="9"/>
        <w:rPr>
          <w:rFonts w:hint="eastAsia" w:ascii="宋体" w:hAnsi="宋体" w:cs="宋体"/>
          <w:b/>
          <w:sz w:val="48"/>
          <w:szCs w:val="48"/>
          <w:highlight w:val="none"/>
        </w:rPr>
      </w:pPr>
    </w:p>
    <w:p>
      <w:pPr>
        <w:kinsoku/>
        <w:wordWrap/>
        <w:overflowPunct/>
        <w:topLinePunct w:val="0"/>
        <w:bidi w:val="0"/>
        <w:spacing w:line="360" w:lineRule="auto"/>
        <w:jc w:val="center"/>
        <w:outlineLvl w:val="9"/>
        <w:rPr>
          <w:rFonts w:ascii="宋体" w:hAnsi="宋体" w:cs="宋体"/>
          <w:b/>
          <w:sz w:val="48"/>
          <w:szCs w:val="48"/>
          <w:highlight w:val="none"/>
        </w:rPr>
      </w:pPr>
      <w:r>
        <w:rPr>
          <w:rFonts w:hint="eastAsia" w:ascii="宋体" w:hAnsi="宋体" w:cs="宋体"/>
          <w:b/>
          <w:sz w:val="48"/>
          <w:szCs w:val="48"/>
          <w:highlight w:val="none"/>
        </w:rPr>
        <w:t>目  录</w:t>
      </w:r>
    </w:p>
    <w:sdt>
      <w:sdtPr>
        <w:rPr>
          <w:rFonts w:ascii="宋体" w:hAnsi="宋体" w:eastAsia="宋体" w:cs="Times New Roman"/>
          <w:kern w:val="2"/>
          <w:sz w:val="21"/>
          <w:szCs w:val="24"/>
          <w:highlight w:val="none"/>
          <w:lang w:val="en-US" w:eastAsia="zh-CN" w:bidi="ar-SA"/>
        </w:rPr>
        <w:id w:val="147454320"/>
        <w15:color w:val="DBDBDB"/>
        <w:docPartObj>
          <w:docPartGallery w:val="Table of Contents"/>
          <w:docPartUnique/>
        </w:docPartObj>
      </w:sdtPr>
      <w:sdtEndPr>
        <w:rPr>
          <w:rFonts w:ascii="宋体" w:hAnsi="宋体" w:eastAsia="宋体" w:cs="宋体"/>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TOC \o "1-1" \h \u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_Toc9238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 xml:space="preserve">第一部分 </w:t>
          </w:r>
          <w:r>
            <w:rPr>
              <w:rFonts w:hint="eastAsia" w:ascii="宋体" w:hAnsi="宋体" w:cs="宋体"/>
              <w:sz w:val="32"/>
              <w:szCs w:val="32"/>
              <w:highlight w:val="none"/>
              <w:lang w:val="en-US" w:eastAsia="zh-CN"/>
            </w:rPr>
            <w:t xml:space="preserve"> </w:t>
          </w:r>
          <w:r>
            <w:rPr>
              <w:rFonts w:hint="eastAsia" w:ascii="宋体" w:hAnsi="宋体" w:eastAsia="宋体" w:cs="宋体"/>
              <w:sz w:val="32"/>
              <w:szCs w:val="32"/>
              <w:highlight w:val="none"/>
            </w:rPr>
            <w:t>招标公告</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_Toc9238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1</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_Toc29691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 xml:space="preserve">第二部分 </w:t>
          </w:r>
          <w:r>
            <w:rPr>
              <w:rFonts w:hint="eastAsia" w:ascii="宋体" w:hAnsi="宋体" w:cs="宋体"/>
              <w:sz w:val="32"/>
              <w:szCs w:val="32"/>
              <w:highlight w:val="none"/>
              <w:lang w:val="en-US" w:eastAsia="zh-CN"/>
            </w:rPr>
            <w:t xml:space="preserve"> </w:t>
          </w:r>
          <w:r>
            <w:rPr>
              <w:rFonts w:hint="eastAsia" w:ascii="宋体" w:hAnsi="宋体" w:cs="宋体"/>
              <w:sz w:val="32"/>
              <w:szCs w:val="32"/>
              <w:highlight w:val="none"/>
              <w:lang w:eastAsia="zh-CN"/>
            </w:rPr>
            <w:t>供应商</w:t>
          </w:r>
          <w:r>
            <w:rPr>
              <w:rFonts w:hint="eastAsia" w:ascii="宋体" w:hAnsi="宋体" w:eastAsia="宋体" w:cs="宋体"/>
              <w:sz w:val="32"/>
              <w:szCs w:val="32"/>
              <w:highlight w:val="none"/>
            </w:rPr>
            <w:t>须知</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_Toc29691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6</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_Toc26044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第三部分  采购需求</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_Toc26044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22</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_Toc18651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第四部分  评标办法</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_Toc18651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33</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_Toc8264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 xml:space="preserve">第五部分 </w:t>
          </w:r>
          <w:r>
            <w:rPr>
              <w:rFonts w:hint="eastAsia" w:ascii="宋体" w:hAnsi="宋体" w:cs="宋体"/>
              <w:sz w:val="32"/>
              <w:szCs w:val="32"/>
              <w:highlight w:val="none"/>
              <w:lang w:val="en-US" w:eastAsia="zh-CN"/>
            </w:rPr>
            <w:t xml:space="preserve"> </w:t>
          </w:r>
          <w:r>
            <w:rPr>
              <w:rFonts w:hint="eastAsia" w:ascii="宋体" w:hAnsi="宋体" w:eastAsia="宋体" w:cs="宋体"/>
              <w:sz w:val="32"/>
              <w:szCs w:val="32"/>
              <w:highlight w:val="none"/>
            </w:rPr>
            <w:t>拟签订的合同文本</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_Toc8264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41</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_Toc22993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第六部分</w:t>
          </w:r>
          <w:r>
            <w:rPr>
              <w:rFonts w:hint="eastAsia" w:ascii="宋体" w:hAnsi="宋体" w:cs="宋体"/>
              <w:sz w:val="32"/>
              <w:szCs w:val="32"/>
              <w:highlight w:val="none"/>
              <w:lang w:val="en-US" w:eastAsia="zh-CN"/>
            </w:rPr>
            <w:t xml:space="preserve"> </w:t>
          </w:r>
          <w:r>
            <w:rPr>
              <w:rFonts w:hint="eastAsia" w:ascii="宋体" w:hAnsi="宋体" w:eastAsia="宋体" w:cs="宋体"/>
              <w:sz w:val="32"/>
              <w:szCs w:val="32"/>
              <w:highlight w:val="none"/>
            </w:rPr>
            <w:t xml:space="preserve"> 应提交的有关格式范例</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_Toc22993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51</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9"/>
            <w:rPr>
              <w:rFonts w:ascii="宋体" w:hAnsi="宋体" w:cs="宋体"/>
              <w:sz w:val="32"/>
              <w:szCs w:val="32"/>
              <w:highlight w:val="none"/>
            </w:rPr>
          </w:pPr>
          <w:r>
            <w:rPr>
              <w:rFonts w:hint="eastAsia" w:ascii="宋体" w:hAnsi="宋体" w:eastAsia="宋体" w:cs="宋体"/>
              <w:sz w:val="32"/>
              <w:szCs w:val="32"/>
              <w:highlight w:val="none"/>
            </w:rPr>
            <w:fldChar w:fldCharType="end"/>
          </w:r>
          <w:bookmarkStart w:id="567" w:name="_GoBack"/>
          <w:bookmarkEnd w:id="567"/>
        </w:p>
      </w:sdtContent>
    </w:sdt>
    <w:p>
      <w:pPr>
        <w:kinsoku/>
        <w:wordWrap/>
        <w:overflowPunct/>
        <w:topLinePunct w:val="0"/>
        <w:bidi w:val="0"/>
        <w:spacing w:line="360" w:lineRule="auto"/>
        <w:outlineLvl w:val="9"/>
        <w:rPr>
          <w:rFonts w:ascii="宋体" w:hAnsi="宋体" w:cs="宋体"/>
          <w:sz w:val="32"/>
          <w:szCs w:val="32"/>
          <w:highlight w:val="none"/>
        </w:rPr>
      </w:pPr>
    </w:p>
    <w:p>
      <w:pPr>
        <w:kinsoku/>
        <w:wordWrap/>
        <w:overflowPunct/>
        <w:topLinePunct w:val="0"/>
        <w:bidi w:val="0"/>
        <w:spacing w:line="360" w:lineRule="auto"/>
        <w:outlineLvl w:val="9"/>
        <w:rPr>
          <w:rFonts w:ascii="宋体" w:hAnsi="宋体" w:cs="宋体"/>
          <w:sz w:val="32"/>
          <w:szCs w:val="32"/>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bookmarkStart w:id="1" w:name="_Hlt91233176"/>
      <w:bookmarkEnd w:id="1"/>
      <w:bookmarkStart w:id="2" w:name="_Toc91899869"/>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outlineLvl w:val="9"/>
        <w:rPr>
          <w:rFonts w:ascii="宋体" w:hAnsi="宋体" w:cs="宋体"/>
          <w:sz w:val="24"/>
          <w:highlight w:val="none"/>
        </w:rPr>
      </w:pPr>
    </w:p>
    <w:bookmarkEnd w:id="2"/>
    <w:p>
      <w:pPr>
        <w:rPr>
          <w:rFonts w:hint="eastAsia" w:ascii="宋体" w:hAnsi="宋体" w:cs="宋体"/>
          <w:b/>
          <w:sz w:val="36"/>
          <w:szCs w:val="20"/>
          <w:highlight w:val="none"/>
        </w:rPr>
      </w:pPr>
      <w:bookmarkStart w:id="3" w:name="_Hlt74728647"/>
      <w:bookmarkEnd w:id="3"/>
      <w:bookmarkStart w:id="4" w:name="_Hlt74649545"/>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highlight w:val="none"/>
        </w:rPr>
        <w:br w:type="page"/>
      </w:r>
    </w:p>
    <w:p>
      <w:pPr>
        <w:rPr>
          <w:rFonts w:hint="eastAsia"/>
          <w:highlight w:val="none"/>
        </w:rPr>
      </w:pPr>
      <w:r>
        <w:rPr>
          <w:rFonts w:hint="eastAsia"/>
          <w:highlight w:val="none"/>
        </w:rPr>
        <w:br w:type="page"/>
      </w:r>
    </w:p>
    <w:p>
      <w:pPr>
        <w:rPr>
          <w:rFonts w:hint="eastAsia"/>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kinsoku/>
        <w:wordWrap/>
        <w:overflowPunct/>
        <w:topLinePunct w:val="0"/>
        <w:bidi w:val="0"/>
        <w:adjustRightInd/>
        <w:spacing w:line="360" w:lineRule="auto"/>
        <w:jc w:val="center"/>
        <w:outlineLvl w:val="0"/>
        <w:rPr>
          <w:rFonts w:ascii="宋体" w:hAnsi="宋体" w:cs="宋体"/>
          <w:b/>
          <w:sz w:val="36"/>
          <w:szCs w:val="20"/>
          <w:highlight w:val="none"/>
        </w:rPr>
      </w:pPr>
      <w:bookmarkStart w:id="10" w:name="_Toc9238"/>
      <w:r>
        <w:rPr>
          <w:rFonts w:hint="eastAsia" w:ascii="宋体" w:hAnsi="宋体" w:cs="宋体"/>
          <w:b/>
          <w:sz w:val="36"/>
          <w:szCs w:val="20"/>
          <w:highlight w:val="none"/>
        </w:rPr>
        <w:t>第一部分 招标公告</w:t>
      </w:r>
      <w:bookmarkEnd w:id="10"/>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项目概况</w:t>
      </w:r>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rPr>
        <w:t>（</w:t>
      </w:r>
      <w:r>
        <w:rPr>
          <w:rFonts w:hint="eastAsia" w:cs="仿宋_GB2312" w:asciiTheme="minorEastAsia" w:hAnsiTheme="minorEastAsia" w:eastAsiaTheme="minorEastAsia"/>
          <w:color w:val="auto"/>
          <w:sz w:val="24"/>
          <w:highlight w:val="none"/>
          <w:u w:val="single"/>
          <w:lang w:eastAsia="zh-CN"/>
        </w:rPr>
        <w:t>宁海县第三医院电子胃肠镜等医疗设备采购项目</w:t>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招标项目的潜在</w:t>
      </w:r>
      <w:r>
        <w:rPr>
          <w:rFonts w:hint="eastAsia" w:asciiTheme="minorEastAsia" w:hAnsiTheme="minorEastAsia" w:eastAsiaTheme="minorEastAsia"/>
          <w:color w:val="auto"/>
          <w:sz w:val="24"/>
          <w:highlight w:val="none"/>
          <w:lang w:eastAsia="zh-CN"/>
        </w:rPr>
        <w:t>供应商</w:t>
      </w:r>
      <w:r>
        <w:rPr>
          <w:rFonts w:hint="eastAsia" w:asciiTheme="minorEastAsia" w:hAnsiTheme="minorEastAsia" w:eastAsiaTheme="minorEastAsia"/>
          <w:color w:val="auto"/>
          <w:sz w:val="24"/>
          <w:highlight w:val="none"/>
        </w:rPr>
        <w:t>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rPr>
        <w:t>202</w:t>
      </w:r>
      <w:r>
        <w:rPr>
          <w:rStyle w:val="76"/>
          <w:rFonts w:hint="eastAsia" w:cs="Times New Roman" w:asciiTheme="minorEastAsia" w:hAnsiTheme="minorEastAsia" w:eastAsiaTheme="minorEastAsia"/>
          <w:snapToGrid/>
          <w:color w:val="auto"/>
          <w:kern w:val="2"/>
          <w:sz w:val="24"/>
          <w:szCs w:val="24"/>
          <w:highlight w:val="none"/>
          <w:lang w:val="en-US" w:eastAsia="zh-CN"/>
        </w:rPr>
        <w:t>3</w:t>
      </w:r>
      <w:r>
        <w:rPr>
          <w:rStyle w:val="76"/>
          <w:rFonts w:cs="Times New Roman" w:asciiTheme="minorEastAsia" w:hAnsiTheme="minorEastAsia" w:eastAsiaTheme="minorEastAsia"/>
          <w:snapToGrid/>
          <w:color w:val="auto"/>
          <w:kern w:val="2"/>
          <w:sz w:val="24"/>
          <w:szCs w:val="24"/>
          <w:highlight w:val="none"/>
        </w:rPr>
        <w:t>年</w:t>
      </w:r>
      <w:r>
        <w:rPr>
          <w:rStyle w:val="76"/>
          <w:rFonts w:hint="eastAsia" w:cs="Times New Roman" w:asciiTheme="minorEastAsia" w:hAnsiTheme="minorEastAsia" w:eastAsiaTheme="minorEastAsia"/>
          <w:snapToGrid/>
          <w:color w:val="auto"/>
          <w:kern w:val="2"/>
          <w:sz w:val="24"/>
          <w:szCs w:val="24"/>
          <w:highlight w:val="none"/>
          <w:lang w:val="en-US" w:eastAsia="zh-CN"/>
        </w:rPr>
        <w:t xml:space="preserve">  </w:t>
      </w:r>
      <w:r>
        <w:rPr>
          <w:rStyle w:val="76"/>
          <w:rFonts w:hint="eastAsia" w:cs="Times New Roman" w:asciiTheme="minorEastAsia" w:hAnsiTheme="minorEastAsia" w:eastAsiaTheme="minorEastAsia"/>
          <w:snapToGrid/>
          <w:color w:val="auto"/>
          <w:kern w:val="2"/>
          <w:sz w:val="24"/>
          <w:szCs w:val="24"/>
          <w:highlight w:val="none"/>
        </w:rPr>
        <w:t>月</w:t>
      </w:r>
      <w:r>
        <w:rPr>
          <w:rStyle w:val="76"/>
          <w:rFonts w:hint="eastAsia" w:cs="Times New Roman" w:asciiTheme="minorEastAsia" w:hAnsiTheme="minorEastAsia" w:eastAsiaTheme="minorEastAsia"/>
          <w:snapToGrid/>
          <w:color w:val="auto"/>
          <w:kern w:val="2"/>
          <w:sz w:val="24"/>
          <w:szCs w:val="24"/>
          <w:highlight w:val="none"/>
          <w:lang w:val="en-US" w:eastAsia="zh-CN"/>
        </w:rPr>
        <w:t xml:space="preserve">  </w:t>
      </w:r>
      <w:r>
        <w:rPr>
          <w:rStyle w:val="76"/>
          <w:rFonts w:hint="eastAsia" w:cs="Times New Roman" w:asciiTheme="minorEastAsia" w:hAnsiTheme="minorEastAsia" w:eastAsiaTheme="minorEastAsia"/>
          <w:snapToGrid/>
          <w:color w:val="auto"/>
          <w:kern w:val="2"/>
          <w:sz w:val="24"/>
          <w:szCs w:val="24"/>
          <w:highlight w:val="none"/>
        </w:rPr>
        <w:t>日</w:t>
      </w:r>
      <w:r>
        <w:rPr>
          <w:rStyle w:val="76"/>
          <w:rFonts w:hint="eastAsia" w:cs="Times New Roman" w:asciiTheme="minorEastAsia" w:hAnsiTheme="minorEastAsia" w:eastAsiaTheme="minorEastAsia"/>
          <w:snapToGrid/>
          <w:color w:val="auto"/>
          <w:kern w:val="2"/>
          <w:sz w:val="24"/>
          <w:szCs w:val="24"/>
          <w:highlight w:val="none"/>
          <w:lang w:val="en-US" w:eastAsia="zh-CN"/>
        </w:rPr>
        <w:t>13</w:t>
      </w:r>
      <w:r>
        <w:rPr>
          <w:rStyle w:val="76"/>
          <w:rFonts w:hint="eastAsia" w:cs="Times New Roman" w:asciiTheme="minorEastAsia" w:hAnsiTheme="minorEastAsia" w:eastAsiaTheme="minorEastAsia"/>
          <w:snapToGrid/>
          <w:color w:val="auto"/>
          <w:kern w:val="2"/>
          <w:sz w:val="24"/>
          <w:szCs w:val="24"/>
          <w:highlight w:val="none"/>
        </w:rPr>
        <w:t>点</w:t>
      </w:r>
      <w:r>
        <w:rPr>
          <w:rStyle w:val="76"/>
          <w:rFonts w:hint="eastAsia" w:cs="Times New Roman" w:asciiTheme="minorEastAsia" w:hAnsiTheme="minorEastAsia" w:eastAsiaTheme="minorEastAsia"/>
          <w:snapToGrid/>
          <w:color w:val="auto"/>
          <w:kern w:val="2"/>
          <w:sz w:val="24"/>
          <w:szCs w:val="24"/>
          <w:highlight w:val="none"/>
          <w:lang w:val="en-US" w:eastAsia="zh-CN"/>
        </w:rPr>
        <w:t>30</w:t>
      </w:r>
      <w:r>
        <w:rPr>
          <w:rStyle w:val="76"/>
          <w:rFonts w:hint="eastAsia" w:cs="Times New Roman" w:asciiTheme="minorEastAsia" w:hAnsiTheme="minorEastAsia" w:eastAsiaTheme="minorEastAsia"/>
          <w:snapToGrid/>
          <w:color w:val="auto"/>
          <w:kern w:val="2"/>
          <w:sz w:val="24"/>
          <w:szCs w:val="24"/>
          <w:highlight w:val="none"/>
        </w:rPr>
        <w:t>分</w:t>
      </w:r>
      <w:r>
        <w:rPr>
          <w:rStyle w:val="76"/>
          <w:rFonts w:hint="eastAsia" w:cs="Times New Roman" w:asciiTheme="minorEastAsia" w:hAnsiTheme="minorEastAsia" w:eastAsiaTheme="minorEastAsia"/>
          <w:bCs/>
          <w:snapToGrid/>
          <w:color w:val="auto"/>
          <w:kern w:val="2"/>
          <w:sz w:val="24"/>
          <w:szCs w:val="24"/>
          <w:highlight w:val="none"/>
        </w:rPr>
        <w:t>00秒</w:t>
      </w:r>
      <w:r>
        <w:rPr>
          <w:rStyle w:val="76"/>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 xml:space="preserve">一、项目基本情况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b w:val="0"/>
          <w:bCs/>
          <w:sz w:val="24"/>
          <w:highlight w:val="none"/>
          <w:lang w:eastAsia="zh-CN"/>
        </w:rPr>
        <w:t>CBZJ-20236172G</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b w:val="0"/>
          <w:bCs/>
          <w:sz w:val="24"/>
          <w:highlight w:val="none"/>
          <w:lang w:eastAsia="zh-CN"/>
        </w:rPr>
        <w:t>宁海县第三医院电子胃肠镜等医疗设备采购项目</w:t>
      </w:r>
    </w:p>
    <w:p>
      <w:pPr>
        <w:keepNext w:val="0"/>
        <w:keepLines w:val="0"/>
        <w:pageBreakBefore w:val="0"/>
        <w:kinsoku/>
        <w:wordWrap/>
        <w:overflowPunct/>
        <w:topLinePunct w:val="0"/>
        <w:autoSpaceDE/>
        <w:autoSpaceDN/>
        <w:bidi w:val="0"/>
        <w:spacing w:line="336" w:lineRule="auto"/>
        <w:textAlignment w:val="auto"/>
        <w:outlineLvl w:val="9"/>
        <w:rPr>
          <w:rFonts w:hint="default" w:ascii="宋体" w:hAnsi="宋体" w:cs="宋体"/>
          <w:color w:val="0000FF"/>
          <w:sz w:val="24"/>
          <w:highlight w:val="none"/>
          <w:lang w:val="en-US"/>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cs="宋体"/>
          <w:color w:val="auto"/>
          <w:sz w:val="24"/>
          <w:highlight w:val="none"/>
          <w:lang w:val="en-US" w:eastAsia="zh-CN"/>
        </w:rPr>
        <w:t>3340000.00</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0000FF"/>
          <w:sz w:val="24"/>
          <w:highlight w:val="none"/>
          <w:lang w:val="en-US"/>
        </w:rPr>
      </w:pPr>
      <w:r>
        <w:rPr>
          <w:rFonts w:hint="eastAsia" w:ascii="宋体" w:hAnsi="宋体" w:cs="宋体"/>
          <w:b/>
          <w:sz w:val="24"/>
          <w:highlight w:val="none"/>
        </w:rPr>
        <w:t>最高限价（元）：</w:t>
      </w:r>
      <w:r>
        <w:rPr>
          <w:rFonts w:hint="eastAsia" w:ascii="宋体" w:hAnsi="宋体" w:cs="宋体"/>
          <w:color w:val="auto"/>
          <w:sz w:val="24"/>
          <w:highlight w:val="none"/>
          <w:lang w:val="en-US" w:eastAsia="zh-CN"/>
        </w:rPr>
        <w:t>2340000.00，1000000.00</w:t>
      </w:r>
    </w:p>
    <w:p>
      <w:pPr>
        <w:pStyle w:val="5"/>
        <w:keepNext w:val="0"/>
        <w:keepLines w:val="0"/>
        <w:pageBreakBefore w:val="0"/>
        <w:kinsoku/>
        <w:wordWrap/>
        <w:overflowPunct/>
        <w:topLinePunct w:val="0"/>
        <w:autoSpaceDE/>
        <w:autoSpaceDN/>
        <w:bidi w:val="0"/>
        <w:spacing w:line="336" w:lineRule="auto"/>
        <w:ind w:firstLine="480"/>
        <w:textAlignment w:val="auto"/>
        <w:outlineLvl w:val="9"/>
        <w:rPr>
          <w:rFonts w:hint="eastAsia" w:hAnsi="宋体" w:cs="宋体"/>
          <w:b/>
          <w:color w:val="auto"/>
          <w:sz w:val="24"/>
          <w:highlight w:val="none"/>
        </w:rPr>
      </w:pPr>
      <w:r>
        <w:rPr>
          <w:rFonts w:hint="eastAsia" w:hAnsi="宋体" w:cs="宋体"/>
          <w:b/>
          <w:color w:val="auto"/>
          <w:sz w:val="24"/>
          <w:highlight w:val="none"/>
        </w:rPr>
        <w:t>采购需求：</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标项一：</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标项名称</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电子胃肠镜</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数量</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1批</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预算金额（元）</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2340000</w:t>
      </w:r>
      <w:r>
        <w:rPr>
          <w:rFonts w:hint="eastAsia" w:ascii="宋体" w:hAnsi="宋体" w:eastAsia="宋体" w:cs="宋体"/>
          <w:kern w:val="0"/>
          <w:sz w:val="24"/>
          <w:szCs w:val="24"/>
          <w:highlight w:val="none"/>
          <w:lang w:val="en-US" w:eastAsia="zh-CN"/>
        </w:rPr>
        <w:t>.00</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简要规格描述或项目基本概况介绍、用途：</w:t>
      </w:r>
      <w:r>
        <w:rPr>
          <w:rFonts w:hint="eastAsia" w:ascii="宋体" w:hAnsi="宋体" w:eastAsia="宋体" w:cs="宋体"/>
          <w:kern w:val="0"/>
          <w:sz w:val="24"/>
          <w:szCs w:val="24"/>
          <w:highlight w:val="none"/>
          <w:lang w:eastAsia="zh-CN"/>
        </w:rPr>
        <w:t>具体以招标文件第三部分采购需求为准，供应商可点击本公告下方“浏览采购文件”查看采购需求</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36" w:lineRule="auto"/>
        <w:ind w:left="958" w:leftChars="456" w:firstLine="0" w:firstLineChars="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备注：</w:t>
      </w:r>
      <w:r>
        <w:rPr>
          <w:rFonts w:hint="eastAsia" w:ascii="宋体" w:hAnsi="宋体" w:eastAsia="宋体" w:cs="宋体"/>
          <w:kern w:val="0"/>
          <w:sz w:val="24"/>
          <w:szCs w:val="24"/>
          <w:highlight w:val="none"/>
          <w:lang w:val="en-US" w:eastAsia="zh-CN"/>
        </w:rPr>
        <w:t>无</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rPr>
        <w:br w:type="textWrapping"/>
      </w:r>
    </w:p>
    <w:p>
      <w:pPr>
        <w:keepNext w:val="0"/>
        <w:keepLines w:val="0"/>
        <w:pageBreakBefore w:val="0"/>
        <w:widowControl/>
        <w:kinsoku/>
        <w:wordWrap/>
        <w:overflowPunct/>
        <w:topLinePunct w:val="0"/>
        <w:autoSpaceDE/>
        <w:autoSpaceDN/>
        <w:bidi w:val="0"/>
        <w:adjustRightInd/>
        <w:snapToGrid/>
        <w:spacing w:line="336" w:lineRule="auto"/>
        <w:ind w:left="958" w:leftChars="456" w:firstLine="0" w:firstLineChars="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标项</w:t>
      </w:r>
      <w:r>
        <w:rPr>
          <w:rFonts w:hint="eastAsia" w:ascii="宋体" w:hAnsi="宋体" w:cs="宋体"/>
          <w:kern w:val="0"/>
          <w:sz w:val="24"/>
          <w:szCs w:val="24"/>
          <w:highlight w:val="none"/>
          <w:lang w:val="en-US" w:eastAsia="zh-CN"/>
        </w:rPr>
        <w:t>二</w:t>
      </w:r>
      <w:r>
        <w:rPr>
          <w:rFonts w:hint="eastAsia" w:ascii="宋体" w:hAnsi="宋体" w:eastAsia="宋体" w:cs="宋体"/>
          <w:ker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标项名称</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耳鼻喉科综合治疗台和耳鼻喉科手术等器械</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数量</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1批</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预算金额（元）</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1000000</w:t>
      </w:r>
      <w:r>
        <w:rPr>
          <w:rFonts w:hint="eastAsia" w:ascii="宋体" w:hAnsi="宋体" w:eastAsia="宋体" w:cs="宋体"/>
          <w:kern w:val="0"/>
          <w:sz w:val="24"/>
          <w:szCs w:val="24"/>
          <w:highlight w:val="none"/>
          <w:lang w:val="en-US" w:eastAsia="zh-CN"/>
        </w:rPr>
        <w:t>.00</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简要规格描述或项目基本概况介绍、用途：</w:t>
      </w:r>
      <w:r>
        <w:rPr>
          <w:rFonts w:hint="eastAsia" w:ascii="宋体" w:hAnsi="宋体" w:eastAsia="宋体" w:cs="宋体"/>
          <w:kern w:val="0"/>
          <w:sz w:val="24"/>
          <w:szCs w:val="24"/>
          <w:highlight w:val="none"/>
          <w:lang w:eastAsia="zh-CN"/>
        </w:rPr>
        <w:t>具体以招标文件第三部分采购需求为准，供应商可点击本公告下方“浏览采购文件”查看采购需求</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36" w:lineRule="auto"/>
        <w:ind w:left="479" w:leftChars="228" w:firstLine="480" w:firstLineChars="200"/>
        <w:jc w:val="left"/>
        <w:textAlignment w:val="auto"/>
        <w:outlineLvl w:val="9"/>
        <w:rPr>
          <w:rFonts w:ascii="宋体" w:hAnsi="宋体" w:cs="宋体"/>
          <w:color w:val="0000FF"/>
          <w:highlight w:val="none"/>
        </w:rPr>
      </w:pPr>
      <w:r>
        <w:rPr>
          <w:rFonts w:hint="eastAsia" w:ascii="宋体" w:hAnsi="宋体" w:eastAsia="宋体" w:cs="宋体"/>
          <w:kern w:val="0"/>
          <w:sz w:val="24"/>
          <w:szCs w:val="24"/>
          <w:highlight w:val="none"/>
        </w:rPr>
        <w:t>备注：</w:t>
      </w:r>
      <w:r>
        <w:rPr>
          <w:rFonts w:hint="eastAsia" w:ascii="宋体" w:hAnsi="宋体" w:eastAsia="宋体" w:cs="宋体"/>
          <w:kern w:val="0"/>
          <w:sz w:val="24"/>
          <w:szCs w:val="24"/>
          <w:highlight w:val="none"/>
          <w:lang w:val="en-US" w:eastAsia="zh-CN"/>
        </w:rPr>
        <w:t>无</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rPr>
        <w:br w:type="textWrapping"/>
      </w:r>
      <w:r>
        <w:rPr>
          <w:rFonts w:hint="eastAsia" w:ascii="宋体" w:hAnsi="宋体" w:eastAsia="宋体" w:cs="宋体"/>
          <w:b/>
          <w:snapToGrid w:val="0"/>
          <w:color w:val="auto"/>
          <w:kern w:val="28"/>
          <w:sz w:val="24"/>
          <w:szCs w:val="20"/>
          <w:highlight w:val="none"/>
          <w:lang w:val="en-US" w:eastAsia="zh-CN" w:bidi="ar-SA"/>
        </w:rPr>
        <w:t>合同履约期限</w:t>
      </w:r>
      <w:r>
        <w:rPr>
          <w:rFonts w:hint="eastAsia" w:ascii="宋体" w:hAnsi="宋体" w:cs="宋体"/>
          <w:b/>
          <w:highlight w:val="none"/>
        </w:rPr>
        <w:t>：</w:t>
      </w:r>
      <w:r>
        <w:rPr>
          <w:rFonts w:hint="eastAsia" w:ascii="宋体" w:hAnsi="宋体" w:eastAsia="宋体" w:cs="宋体"/>
          <w:kern w:val="0"/>
          <w:sz w:val="24"/>
          <w:szCs w:val="24"/>
          <w:highlight w:val="none"/>
          <w:lang w:eastAsia="zh-CN"/>
        </w:rPr>
        <w:t>详见招标文件</w:t>
      </w:r>
      <w:r>
        <w:rPr>
          <w:rFonts w:hint="eastAsia" w:ascii="宋体" w:hAnsi="宋体" w:eastAsia="宋体" w:cs="宋体"/>
          <w:kern w:val="0"/>
          <w:sz w:val="24"/>
          <w:szCs w:val="24"/>
          <w:highlight w:val="none"/>
          <w:lang w:val="en-US" w:eastAsia="zh-CN"/>
        </w:rPr>
        <w:t>。</w:t>
      </w:r>
    </w:p>
    <w:p>
      <w:pPr>
        <w:pStyle w:val="5"/>
        <w:keepNext w:val="0"/>
        <w:keepLines w:val="0"/>
        <w:pageBreakBefore w:val="0"/>
        <w:kinsoku/>
        <w:wordWrap/>
        <w:overflowPunct/>
        <w:topLinePunct w:val="0"/>
        <w:autoSpaceDE/>
        <w:autoSpaceDN/>
        <w:bidi w:val="0"/>
        <w:spacing w:line="336" w:lineRule="auto"/>
        <w:ind w:firstLine="480"/>
        <w:textAlignment w:val="auto"/>
        <w:outlineLvl w:val="9"/>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二、</w:t>
      </w:r>
      <w:bookmarkStart w:id="11" w:name="_Hlk101132948"/>
      <w:r>
        <w:rPr>
          <w:rFonts w:hint="eastAsia" w:ascii="宋体" w:hAnsi="宋体" w:cs="宋体"/>
          <w:b/>
          <w:sz w:val="24"/>
          <w:highlight w:val="none"/>
        </w:rPr>
        <w:t>申请人的资格要求</w:t>
      </w:r>
      <w:bookmarkEnd w:id="11"/>
      <w:r>
        <w:rPr>
          <w:rFonts w:hint="eastAsia" w:ascii="宋体" w:hAnsi="宋体" w:cs="宋体"/>
          <w:b/>
          <w:sz w:val="24"/>
          <w:highlight w:val="none"/>
        </w:rPr>
        <w:t>：</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highlight w:val="none"/>
        </w:rPr>
      </w:pP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w:t>
      </w:r>
      <w:r>
        <w:rPr>
          <w:rFonts w:hint="eastAsia" w:ascii="宋体" w:hAnsi="宋体" w:eastAsia="宋体" w:cs="宋体"/>
          <w:snapToGrid w:val="0"/>
          <w:kern w:val="28"/>
          <w:sz w:val="24"/>
          <w:szCs w:val="20"/>
          <w:highlight w:val="none"/>
        </w:rPr>
        <w:t>形式</w:t>
      </w:r>
      <w:r>
        <w:rPr>
          <w:rFonts w:hint="eastAsia" w:ascii="宋体" w:hAnsi="宋体" w:cs="宋体"/>
          <w:snapToGrid w:val="0"/>
          <w:kern w:val="28"/>
          <w:sz w:val="24"/>
          <w:szCs w:val="20"/>
          <w:highlight w:val="none"/>
        </w:rPr>
        <w:t>投标的，提供联合协议；</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w:t>
      </w:r>
      <w:r>
        <w:rPr>
          <w:rFonts w:hint="eastAsia" w:ascii="宋体" w:hAnsi="宋体" w:cs="宋体"/>
          <w:snapToGrid w:val="0"/>
          <w:kern w:val="28"/>
          <w:sz w:val="24"/>
          <w:szCs w:val="20"/>
          <w:highlight w:val="none"/>
          <w:lang w:val="en-US" w:eastAsia="zh-CN"/>
        </w:rPr>
        <w:t xml:space="preserve"> </w:t>
      </w:r>
      <w:r>
        <w:rPr>
          <w:rFonts w:hint="eastAsia" w:ascii="宋体" w:hAnsi="宋体" w:cs="宋体"/>
          <w:snapToGrid w:val="0"/>
          <w:kern w:val="28"/>
          <w:sz w:val="24"/>
          <w:szCs w:val="20"/>
          <w:highlight w:val="none"/>
        </w:rPr>
        <w:t>落实政府采购政策需满足的资格要求：</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0000FF"/>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eastAsia="宋体" w:cs="宋体"/>
          <w:color w:val="auto"/>
          <w:sz w:val="24"/>
          <w:highlight w:val="none"/>
          <w:lang w:val="en-US" w:eastAsia="zh-CN"/>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cs="宋体"/>
          <w:sz w:val="24"/>
          <w:highlight w:val="none"/>
        </w:rPr>
      </w:pPr>
      <w:r>
        <w:rPr>
          <w:rFonts w:hint="eastAsia" w:ascii="宋体" w:hAnsi="宋体" w:cs="宋体"/>
          <w:sz w:val="24"/>
          <w:highlight w:val="none"/>
        </w:rPr>
        <w:t>本项目的特定资格要求：</w:t>
      </w:r>
      <w:r>
        <w:rPr>
          <w:rFonts w:hint="eastAsia" w:ascii="宋体" w:hAnsi="宋体" w:cs="宋体"/>
          <w:sz w:val="24"/>
          <w:highlight w:val="none"/>
          <w:lang w:val="en-US" w:eastAsia="zh-CN"/>
        </w:rPr>
        <w:t>无；</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cs="宋体"/>
          <w:sz w:val="24"/>
          <w:highlight w:val="none"/>
        </w:rPr>
      </w:pPr>
      <w:r>
        <w:rPr>
          <w:rFonts w:hint="eastAsia" w:ascii="宋体" w:hAnsi="宋体" w:cs="宋体"/>
          <w:sz w:val="24"/>
          <w:highlight w:val="none"/>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w:t>
      </w:r>
      <w:r>
        <w:rPr>
          <w:rFonts w:hint="eastAsia" w:ascii="宋体" w:hAnsi="宋体" w:cs="宋体"/>
          <w:sz w:val="24"/>
          <w:highlight w:val="none"/>
          <w:lang w:val="en-US" w:eastAsia="zh-CN"/>
        </w:rPr>
        <w:t>人</w:t>
      </w:r>
      <w:r>
        <w:rPr>
          <w:rFonts w:hint="eastAsia" w:ascii="宋体" w:hAnsi="宋体" w:cs="宋体"/>
          <w:sz w:val="24"/>
          <w:highlight w:val="none"/>
        </w:rPr>
        <w:t>将依法取消其中标资格）。</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 xml:space="preserve">三、获取招标文件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时间：</w:t>
      </w:r>
      <w:r>
        <w:rPr>
          <w:rFonts w:hint="eastAsia" w:cs="宋体" w:asciiTheme="minorEastAsia" w:hAnsiTheme="minorEastAsia" w:eastAsiaTheme="minorEastAsia"/>
          <w:b w:val="0"/>
          <w:bCs/>
          <w:color w:val="auto"/>
          <w:sz w:val="24"/>
          <w:highlight w:val="none"/>
        </w:rPr>
        <w:t>2023年</w:t>
      </w:r>
      <w:r>
        <w:rPr>
          <w:rFonts w:hint="eastAsia" w:cs="宋体" w:asciiTheme="minorEastAsia" w:hAnsiTheme="minorEastAsia" w:eastAsiaTheme="minorEastAsia"/>
          <w:b w:val="0"/>
          <w:bCs/>
          <w:color w:val="auto"/>
          <w:sz w:val="24"/>
          <w:highlight w:val="none"/>
          <w:lang w:val="en-US" w:eastAsia="zh-CN"/>
        </w:rPr>
        <w:t xml:space="preserve">  </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 xml:space="preserve">  </w:t>
      </w:r>
      <w:r>
        <w:rPr>
          <w:rFonts w:hint="eastAsia" w:cs="宋体" w:asciiTheme="minorEastAsia" w:hAnsiTheme="minorEastAsia" w:eastAsiaTheme="minorEastAsia"/>
          <w:b w:val="0"/>
          <w:bCs/>
          <w:color w:val="auto"/>
          <w:sz w:val="24"/>
          <w:highlight w:val="none"/>
        </w:rPr>
        <w:t>日至2023年</w:t>
      </w:r>
      <w:r>
        <w:rPr>
          <w:rFonts w:hint="eastAsia" w:cs="宋体" w:asciiTheme="minorEastAsia" w:hAnsiTheme="minorEastAsia" w:eastAsiaTheme="minorEastAsia"/>
          <w:b w:val="0"/>
          <w:bCs/>
          <w:color w:val="auto"/>
          <w:sz w:val="24"/>
          <w:highlight w:val="none"/>
          <w:lang w:val="en-US" w:eastAsia="zh-CN"/>
        </w:rPr>
        <w:t xml:space="preserve">  </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 xml:space="preserve">  </w:t>
      </w:r>
      <w:r>
        <w:rPr>
          <w:rFonts w:hint="eastAsia" w:cs="宋体" w:asciiTheme="minorEastAsia" w:hAnsiTheme="minorEastAsia" w:eastAsiaTheme="minorEastAsia"/>
          <w:b w:val="0"/>
          <w:bCs/>
          <w:color w:val="auto"/>
          <w:sz w:val="24"/>
          <w:highlight w:val="none"/>
        </w:rPr>
        <w:t>日</w:t>
      </w:r>
      <w:r>
        <w:rPr>
          <w:rFonts w:hint="eastAsia" w:cs="宋体" w:asciiTheme="minorEastAsia" w:hAnsiTheme="minorEastAsia" w:eastAsiaTheme="minorEastAsia"/>
          <w:color w:val="auto"/>
          <w:sz w:val="24"/>
          <w:highlight w:val="none"/>
        </w:rPr>
        <w:t>，</w:t>
      </w:r>
      <w:r>
        <w:rPr>
          <w:rFonts w:hint="eastAsia" w:ascii="宋体" w:hAnsi="宋体" w:cs="宋体"/>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供应商登录政采云平台https://www.zcygov.cn/在线申请获取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（进入“项目采购”应用，在获取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菜单中选择项目，申请获取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 xml:space="preserve">）。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highlight w:val="none"/>
        </w:rPr>
      </w:pPr>
      <w:r>
        <w:rPr>
          <w:rFonts w:hint="eastAsia" w:ascii="宋体" w:hAnsi="宋体" w:cs="宋体"/>
          <w:b/>
          <w:sz w:val="24"/>
          <w:highlight w:val="none"/>
        </w:rPr>
        <w:t xml:space="preserve">五、公告期限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自本公告发布之日起5个工作日。</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六、其他补充事宜</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 1.</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highlight w:val="none"/>
        </w:rPr>
        <w:t>。</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4.其他事项：</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（1）需要落实的政府采购政策：包括节约资源、保护环境、支持创新、促进中小企业发展等。详见招标文件的第二部分总则。</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w:t>
      </w:r>
      <w:r>
        <w:rPr>
          <w:rFonts w:hint="eastAsia" w:ascii="宋体" w:hAnsi="宋体" w:cs="宋体"/>
          <w:sz w:val="24"/>
          <w:highlight w:val="none"/>
          <w:lang w:eastAsia="zh-CN"/>
        </w:rPr>
        <w:t>招标文件</w:t>
      </w:r>
      <w:r>
        <w:rPr>
          <w:rFonts w:hint="eastAsia" w:ascii="宋体" w:hAnsi="宋体" w:cs="宋体"/>
          <w:sz w:val="24"/>
          <w:highlight w:val="none"/>
        </w:rPr>
        <w:t>菜单中选择项目，获取招标文件；④投标文件的制作</w:t>
      </w:r>
      <w:r>
        <w:rPr>
          <w:rFonts w:hint="eastAsia" w:cs="仿宋_GB2312" w:asciiTheme="minorEastAsia" w:hAnsiTheme="minorEastAsia" w:eastAsiaTheme="minorEastAsia"/>
          <w:sz w:val="24"/>
          <w:highlight w:val="none"/>
        </w:rPr>
        <w:t>（文件后缀为：jmbs）</w:t>
      </w:r>
      <w:r>
        <w:rPr>
          <w:rFonts w:hint="eastAsia" w:ascii="宋体" w:hAnsi="宋体" w:cs="宋体"/>
          <w:sz w:val="24"/>
          <w:highlight w:val="none"/>
        </w:rPr>
        <w:t>：在“政采云电子交易客户端”中完成“填写基本信息”、“导入投标文件”、“标书关联”、“标书检查”、“电子签名”、“生成电子标书”等操作；⑤采购人、</w:t>
      </w:r>
      <w:r>
        <w:rPr>
          <w:rFonts w:hint="eastAsia" w:ascii="宋体" w:hAnsi="宋体" w:cs="宋体"/>
          <w:sz w:val="24"/>
          <w:highlight w:val="none"/>
          <w:lang w:eastAsia="zh-CN"/>
        </w:rPr>
        <w:t>采购代理机构</w:t>
      </w:r>
      <w:r>
        <w:rPr>
          <w:rFonts w:hint="eastAsia" w:ascii="宋体" w:hAnsi="宋体" w:cs="宋体"/>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供应商在投标截止时间前将加密的投标文件上传至政府采购云平台，还可以在投标截止时间前直接提交或者以邮政快递方式递交备份投标文件1份。备份投标文件</w:t>
      </w:r>
      <w:r>
        <w:rPr>
          <w:rFonts w:hint="eastAsia" w:ascii="宋体" w:hAnsi="宋体" w:cs="宋体"/>
          <w:sz w:val="24"/>
          <w:highlight w:val="none"/>
          <w:lang w:eastAsia="zh-CN"/>
        </w:rPr>
        <w:t>（文件后缀为：bfbs）</w:t>
      </w:r>
      <w:r>
        <w:rPr>
          <w:rFonts w:hint="eastAsia" w:ascii="宋体" w:hAnsi="宋体" w:cs="宋体"/>
          <w:sz w:val="24"/>
          <w:highlight w:val="none"/>
        </w:rPr>
        <w:t>的制作、存储、密封详见招标文件第二部分第15点—“备份投标文件”；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未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（3）招标文件公告期限与招标公告的公告期限一致。</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lang w:val="en-US" w:eastAsia="zh-CN"/>
        </w:rPr>
        <w:t>4</w:t>
      </w: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lang w:val="en-US" w:eastAsia="zh-CN"/>
        </w:rPr>
        <w:t>《第一部分  招标公告》中二、申请人的资格要求：第一条中的“重大税收违法案件当事人名单”即为“重大税收违法失信主体”。</w:t>
      </w:r>
      <w:r>
        <w:rPr>
          <w:rFonts w:hint="eastAsia" w:cs="宋体" w:asciiTheme="minorEastAsia" w:hAnsiTheme="minorEastAsia" w:eastAsiaTheme="minorEastAsia"/>
          <w:sz w:val="24"/>
          <w:highlight w:val="none"/>
          <w:lang w:val="en-US" w:eastAsia="zh-CN"/>
        </w:rPr>
        <w:br w:type="textWrapping"/>
      </w:r>
      <w:r>
        <w:rPr>
          <w:rFonts w:hint="eastAsia" w:cs="宋体" w:asciiTheme="minorEastAsia" w:hAnsiTheme="minorEastAsia" w:eastAsiaTheme="minorEastAsia"/>
          <w:sz w:val="24"/>
          <w:highlight w:val="none"/>
          <w:lang w:val="en-US" w:eastAsia="zh-CN"/>
        </w:rPr>
        <w:t xml:space="preserve">    （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1.采购人信息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名    称：</w:t>
      </w:r>
      <w:r>
        <w:rPr>
          <w:rFonts w:hint="eastAsia" w:ascii="宋体" w:hAnsi="宋体" w:cs="宋体"/>
          <w:sz w:val="24"/>
          <w:highlight w:val="none"/>
          <w:lang w:val="en-US" w:eastAsia="zh-CN"/>
        </w:rPr>
        <w:t>宁海县第三医院</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地    址：浙江省宁海县</w:t>
      </w:r>
      <w:r>
        <w:rPr>
          <w:rFonts w:hint="eastAsia" w:ascii="宋体" w:hAnsi="宋体" w:cs="宋体"/>
          <w:sz w:val="24"/>
          <w:highlight w:val="none"/>
          <w:lang w:val="en-US" w:eastAsia="zh-CN"/>
        </w:rPr>
        <w:t>西店镇振兴南路299号</w:t>
      </w:r>
      <w:r>
        <w:rPr>
          <w:rFonts w:hint="eastAsia" w:ascii="宋体" w:hAnsi="宋体" w:eastAsia="宋体" w:cs="宋体"/>
          <w:sz w:val="24"/>
          <w:highlight w:val="none"/>
          <w:lang w:val="en-US" w:eastAsia="zh-CN"/>
        </w:rPr>
        <w:t xml:space="preserve">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传    真：/</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项目联系人（询问）：</w:t>
      </w:r>
      <w:r>
        <w:rPr>
          <w:rFonts w:hint="eastAsia" w:ascii="宋体" w:hAnsi="宋体" w:cs="宋体"/>
          <w:sz w:val="24"/>
          <w:highlight w:val="none"/>
          <w:lang w:val="en-US" w:eastAsia="zh-CN"/>
        </w:rPr>
        <w:t>陈老师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项目联系方式（询问）：</w:t>
      </w:r>
      <w:r>
        <w:rPr>
          <w:rFonts w:hint="eastAsia" w:ascii="宋体" w:hAnsi="宋体" w:cs="宋体"/>
          <w:sz w:val="24"/>
          <w:highlight w:val="none"/>
          <w:lang w:val="en-US" w:eastAsia="zh-CN"/>
        </w:rPr>
        <w:t>0574-67056796</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质疑联系人</w:t>
      </w:r>
      <w:r>
        <w:rPr>
          <w:rFonts w:hint="eastAsia" w:ascii="宋体" w:hAnsi="宋体" w:cs="宋体"/>
          <w:sz w:val="24"/>
          <w:highlight w:val="none"/>
          <w:lang w:val="en-US" w:eastAsia="zh-CN"/>
        </w:rPr>
        <w:t>：王老师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质疑联系方式：</w:t>
      </w:r>
      <w:r>
        <w:rPr>
          <w:rFonts w:hint="eastAsia" w:ascii="宋体" w:hAnsi="宋体" w:cs="宋体"/>
          <w:sz w:val="24"/>
          <w:highlight w:val="none"/>
          <w:lang w:val="en-US" w:eastAsia="zh-CN"/>
        </w:rPr>
        <w:t>0574-67056712</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2.采购代理机构信息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名    称：浙江中基正采管理咨询有限公司</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地    址：宁波市鄞州区天童南路666号中基大厦19楼</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传    真：0574-87425373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项目联系人（询问）：朱贤东</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sz w:val="24"/>
          <w:highlight w:val="none"/>
          <w:lang w:val="en-US" w:eastAsia="zh-CN"/>
        </w:rPr>
      </w:pPr>
      <w:r>
        <w:rPr>
          <w:rFonts w:hint="eastAsia" w:ascii="宋体" w:hAnsi="宋体" w:cs="宋体"/>
          <w:sz w:val="24"/>
          <w:highlight w:val="none"/>
          <w:lang w:val="en-US" w:eastAsia="zh-CN"/>
        </w:rPr>
        <w:t>项目联系方式（询问）：0574-87425380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质疑联系人：王近娜</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质疑联系方式：0574-87425570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3.同级政府采购监督管理部门：</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名    称：宁海县政府采购管理办公室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地    址：宁海县跃龙街道桃源中路218号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传    真：0574-65265612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联系人 ：王老师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投诉电话：0574-65265668 </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z w:val="24"/>
          <w:highlight w:val="none"/>
        </w:rPr>
      </w:pPr>
      <w:r>
        <w:rPr>
          <w:rFonts w:hint="eastAsia" w:ascii="宋体" w:hAnsi="宋体" w:cs="宋体"/>
          <w:sz w:val="24"/>
          <w:highlight w:val="none"/>
        </w:rPr>
        <w:t xml:space="preserve">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lang w:eastAsia="zh-CN"/>
        </w:rPr>
        <w:t>“</w:t>
      </w:r>
      <w:r>
        <w:rPr>
          <w:rFonts w:hint="eastAsia" w:ascii="宋体" w:hAnsi="宋体" w:cs="宋体"/>
          <w:sz w:val="24"/>
          <w:highlight w:val="none"/>
        </w:rPr>
        <w:t>95763</w:t>
      </w:r>
      <w:r>
        <w:rPr>
          <w:rFonts w:hint="eastAsia" w:ascii="宋体" w:hAnsi="宋体" w:cs="宋体"/>
          <w:sz w:val="24"/>
          <w:highlight w:val="none"/>
          <w:lang w:eastAsia="zh-CN"/>
        </w:rPr>
        <w:t>”</w:t>
      </w:r>
      <w:r>
        <w:rPr>
          <w:rFonts w:hint="eastAsia" w:ascii="宋体" w:hAnsi="宋体" w:cs="宋体"/>
          <w:sz w:val="24"/>
          <w:highlight w:val="none"/>
        </w:rPr>
        <w:t>获取热线服务帮助。</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2"/>
        <w:kinsoku/>
        <w:wordWrap/>
        <w:overflowPunct/>
        <w:topLinePunct w:val="0"/>
        <w:bidi w:val="0"/>
        <w:spacing w:line="360" w:lineRule="auto"/>
        <w:outlineLvl w:val="9"/>
        <w:rPr>
          <w:rFonts w:hAnsi="宋体" w:cs="宋体"/>
          <w:b/>
          <w:sz w:val="36"/>
          <w:szCs w:val="20"/>
          <w:highlight w:val="none"/>
        </w:rPr>
      </w:pPr>
    </w:p>
    <w:p>
      <w:pPr>
        <w:tabs>
          <w:tab w:val="left" w:pos="432"/>
        </w:tabs>
        <w:kinsoku/>
        <w:wordWrap/>
        <w:overflowPunct/>
        <w:topLinePunct w:val="0"/>
        <w:bidi w:val="0"/>
        <w:outlineLvl w:val="9"/>
        <w:rPr>
          <w:rFonts w:ascii="宋体"/>
          <w:snapToGrid w:val="0"/>
          <w:highlight w:val="none"/>
        </w:rPr>
      </w:pPr>
      <w:r>
        <w:rPr>
          <w:highlight w:val="none"/>
        </w:rPr>
        <w:br w:type="page"/>
      </w:r>
    </w:p>
    <w:p>
      <w:pPr>
        <w:kinsoku/>
        <w:wordWrap/>
        <w:overflowPunct/>
        <w:topLinePunct w:val="0"/>
        <w:bidi w:val="0"/>
        <w:adjustRightInd/>
        <w:spacing w:line="360" w:lineRule="auto"/>
        <w:jc w:val="center"/>
        <w:outlineLvl w:val="0"/>
        <w:rPr>
          <w:rFonts w:ascii="宋体" w:hAnsi="宋体" w:cs="宋体"/>
          <w:b/>
          <w:sz w:val="36"/>
          <w:szCs w:val="20"/>
          <w:highlight w:val="none"/>
        </w:rPr>
      </w:pPr>
      <w:bookmarkStart w:id="13" w:name="_Toc29691"/>
      <w:r>
        <w:rPr>
          <w:rFonts w:hint="eastAsia" w:ascii="宋体" w:hAnsi="宋体" w:cs="宋体"/>
          <w:b/>
          <w:sz w:val="36"/>
          <w:szCs w:val="20"/>
          <w:highlight w:val="none"/>
        </w:rPr>
        <w:t>第二部分</w:t>
      </w:r>
      <w:bookmarkEnd w:id="7"/>
      <w:r>
        <w:rPr>
          <w:rFonts w:hint="eastAsia" w:ascii="宋体" w:hAnsi="宋体" w:cs="宋体"/>
          <w:b/>
          <w:sz w:val="36"/>
          <w:szCs w:val="20"/>
          <w:highlight w:val="none"/>
        </w:rPr>
        <w:t xml:space="preserve"> </w:t>
      </w:r>
      <w:r>
        <w:rPr>
          <w:rFonts w:hint="eastAsia" w:ascii="宋体" w:hAnsi="宋体" w:cs="宋体"/>
          <w:b/>
          <w:sz w:val="36"/>
          <w:szCs w:val="20"/>
          <w:highlight w:val="none"/>
          <w:lang w:eastAsia="zh-CN"/>
        </w:rPr>
        <w:t>供应商</w:t>
      </w:r>
      <w:r>
        <w:rPr>
          <w:rFonts w:hint="eastAsia" w:ascii="宋体" w:hAnsi="宋体" w:cs="宋体"/>
          <w:b/>
          <w:sz w:val="36"/>
          <w:szCs w:val="20"/>
          <w:highlight w:val="none"/>
        </w:rPr>
        <w:t>须知</w:t>
      </w:r>
      <w:bookmarkEnd w:id="8"/>
      <w:bookmarkEnd w:id="13"/>
    </w:p>
    <w:p>
      <w:pPr>
        <w:kinsoku/>
        <w:wordWrap/>
        <w:overflowPunct/>
        <w:topLinePunct w:val="0"/>
        <w:bidi w:val="0"/>
        <w:adjustRightInd/>
        <w:spacing w:line="360" w:lineRule="auto"/>
        <w:ind w:firstLine="3845" w:firstLineChars="1197"/>
        <w:outlineLvl w:val="9"/>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序号</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事项</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项目属性与核心产品</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eastAsia" w:ascii="宋体" w:hAnsi="宋体" w:eastAsia="宋体" w:cs="宋体"/>
                <w:color w:val="auto"/>
                <w:kern w:val="0"/>
                <w:sz w:val="24"/>
                <w:highlight w:val="none"/>
                <w:lang w:eastAsia="zh-CN"/>
              </w:rPr>
            </w:pPr>
            <w:r>
              <w:rPr>
                <w:rFonts w:hint="eastAsia" w:ascii="宋体" w:hAnsi="宋体" w:cs="宋体"/>
                <w:color w:val="auto"/>
                <w:sz w:val="24"/>
                <w:highlight w:val="none"/>
                <w:lang w:val="en-US" w:eastAsia="zh-CN"/>
              </w:rPr>
              <w:t>标项一：</w:t>
            </w:r>
            <w:r>
              <w:rPr>
                <w:rFonts w:hint="eastAsia" w:ascii="宋体" w:hAnsi="宋体" w:cs="宋体"/>
                <w:color w:val="auto"/>
                <w:sz w:val="24"/>
                <w:highlight w:val="none"/>
              </w:rPr>
              <w:t>货物类</w:t>
            </w:r>
            <w:r>
              <w:rPr>
                <w:rFonts w:hint="eastAsia" w:ascii="宋体" w:hAnsi="宋体" w:eastAsia="宋体" w:cs="宋体"/>
                <w:color w:val="auto"/>
                <w:kern w:val="0"/>
                <w:sz w:val="24"/>
                <w:highlight w:val="none"/>
              </w:rPr>
              <w:t>，单一产品或核心产品为：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eastAsia="zh-CN"/>
              </w:rPr>
              <w:t>电子胃肠镜</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eastAsia"/>
                <w:lang w:eastAsia="zh-CN"/>
              </w:rPr>
            </w:pPr>
            <w:r>
              <w:rPr>
                <w:rFonts w:hint="eastAsia" w:ascii="宋体" w:hAnsi="宋体" w:eastAsia="宋体" w:cs="宋体"/>
                <w:color w:val="auto"/>
                <w:kern w:val="0"/>
                <w:sz w:val="24"/>
                <w:highlight w:val="none"/>
                <w:lang w:val="en-US" w:eastAsia="zh-CN"/>
              </w:rPr>
              <w:t>标项二：</w:t>
            </w:r>
            <w:r>
              <w:rPr>
                <w:rFonts w:hint="eastAsia" w:ascii="宋体" w:hAnsi="宋体" w:eastAsia="宋体" w:cs="宋体"/>
                <w:color w:val="auto"/>
                <w:kern w:val="0"/>
                <w:sz w:val="24"/>
                <w:highlight w:val="none"/>
                <w:lang w:eastAsia="zh-CN"/>
              </w:rPr>
              <w:t xml:space="preserve">货物类，单一产品或核心产品为： </w:t>
            </w:r>
            <w:r>
              <w:rPr>
                <w:rFonts w:hint="eastAsia" w:ascii="宋体" w:hAnsi="宋体" w:eastAsia="宋体" w:cs="宋体"/>
                <w:color w:val="auto"/>
                <w:kern w:val="0"/>
                <w:sz w:val="24"/>
                <w:highlight w:val="none"/>
                <w:u w:val="single"/>
                <w:lang w:val="en-US" w:eastAsia="zh-CN"/>
              </w:rPr>
              <w:t>耳鼻喉科综合治疗台和耳鼻喉科手术等器械</w:t>
            </w:r>
            <w:r>
              <w:rPr>
                <w:rFonts w:hint="eastAsia" w:ascii="宋体" w:hAnsi="宋体" w:eastAsia="宋体" w:cs="宋体"/>
                <w:color w:val="auto"/>
                <w:kern w:val="0"/>
                <w:sz w:val="24"/>
                <w:highlight w:val="none"/>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eastAsia="宋体" w:cs="宋体"/>
                <w:color w:val="auto"/>
                <w:highlight w:val="none"/>
                <w:lang w:val="en-US" w:eastAsia="zh-CN"/>
              </w:rPr>
            </w:pPr>
            <w:r>
              <w:rPr>
                <w:rFonts w:hint="eastAsia" w:ascii="宋体" w:hAnsi="宋体" w:cs="宋体"/>
                <w:color w:val="auto"/>
                <w:kern w:val="0"/>
                <w:sz w:val="24"/>
                <w:highlight w:val="none"/>
                <w:lang w:val="en-US" w:eastAsia="zh-CN"/>
              </w:rPr>
              <w:t>标项一：</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电子胃肠镜</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工业 </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eastAsia="zh-CN"/>
              </w:rPr>
              <w:br w:type="textWrapping"/>
            </w:r>
            <w:r>
              <w:rPr>
                <w:rFonts w:hint="eastAsia" w:ascii="宋体" w:hAnsi="宋体" w:cs="宋体"/>
                <w:color w:val="auto"/>
                <w:kern w:val="0"/>
                <w:sz w:val="24"/>
                <w:highlight w:val="none"/>
                <w:lang w:val="en-US" w:eastAsia="zh-CN"/>
              </w:rPr>
              <w:t>标项二：标的：</w:t>
            </w:r>
            <w:r>
              <w:rPr>
                <w:rFonts w:hint="eastAsia" w:ascii="宋体" w:hAnsi="宋体" w:cs="宋体"/>
                <w:color w:val="auto"/>
                <w:kern w:val="0"/>
                <w:sz w:val="24"/>
                <w:highlight w:val="none"/>
                <w:u w:val="single"/>
                <w:lang w:val="en-US" w:eastAsia="zh-CN"/>
              </w:rPr>
              <w:t xml:space="preserve"> 耳鼻喉科综合治疗台和耳鼻喉科手术等器械 </w:t>
            </w:r>
            <w:r>
              <w:rPr>
                <w:rFonts w:hint="eastAsia" w:ascii="宋体" w:hAnsi="宋体" w:cs="宋体"/>
                <w:color w:val="auto"/>
                <w:kern w:val="0"/>
                <w:sz w:val="24"/>
                <w:highlight w:val="none"/>
                <w:lang w:val="en-US" w:eastAsia="zh-CN"/>
              </w:rPr>
              <w:t>，属于</w:t>
            </w:r>
            <w:r>
              <w:rPr>
                <w:rFonts w:hint="eastAsia" w:ascii="宋体" w:hAnsi="宋体" w:cs="宋体"/>
                <w:color w:val="auto"/>
                <w:kern w:val="0"/>
                <w:sz w:val="24"/>
                <w:highlight w:val="none"/>
                <w:u w:val="single"/>
                <w:lang w:val="en-US" w:eastAsia="zh-CN"/>
              </w:rPr>
              <w:t xml:space="preserve"> 工业 </w:t>
            </w:r>
            <w:r>
              <w:rPr>
                <w:rFonts w:hint="eastAsia" w:ascii="宋体" w:hAnsi="宋体" w:cs="宋体"/>
                <w:color w:val="auto"/>
                <w:kern w:val="0"/>
                <w:sz w:val="24"/>
                <w:highlight w:val="none"/>
                <w:lang w:val="en-US" w:eastAsia="zh-C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3</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本项目不允许采购进口产品。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eastAsia="宋体" w:cs="宋体"/>
                <w:color w:val="auto"/>
                <w:highlight w:val="none"/>
                <w:lang w:val="en-US" w:eastAsia="zh-CN"/>
              </w:rPr>
            </w:pPr>
            <w:sdt>
              <w:sdtPr>
                <w:rPr>
                  <w:rFonts w:hint="eastAsia" w:ascii="宋体" w:hAnsi="宋体" w:cs="宋体"/>
                  <w:color w:val="auto"/>
                  <w:kern w:val="0"/>
                  <w:sz w:val="24"/>
                  <w:highlight w:val="none"/>
                </w:rPr>
                <w:id w:val="-5285282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lang w:val="en-US" w:eastAsia="zh-CN"/>
              </w:rPr>
              <w:t>标项一：可</w:t>
            </w:r>
            <w:r>
              <w:rPr>
                <w:rFonts w:hint="eastAsia" w:ascii="宋体" w:hAnsi="宋体" w:cs="宋体"/>
                <w:color w:val="auto"/>
                <w:kern w:val="0"/>
                <w:sz w:val="24"/>
                <w:highlight w:val="none"/>
              </w:rPr>
              <w:t>以就</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eastAsia="zh-CN"/>
              </w:rPr>
              <w:t>电子胃肠镜</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采购进口产品</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eastAsia="zh-CN"/>
              </w:rPr>
              <w:br w:type="textWrapping"/>
            </w:r>
            <w:r>
              <w:rPr>
                <w:rFonts w:hint="eastAsia" w:ascii="宋体" w:hAnsi="宋体" w:cs="宋体"/>
                <w:color w:val="auto"/>
                <w:kern w:val="0"/>
                <w:sz w:val="24"/>
                <w:highlight w:val="none"/>
                <w:lang w:val="en-US" w:eastAsia="zh-CN"/>
              </w:rPr>
              <w:t>标项二：可以就</w:t>
            </w:r>
            <w:r>
              <w:rPr>
                <w:rFonts w:hint="eastAsia" w:ascii="宋体" w:hAnsi="宋体" w:cs="宋体"/>
                <w:color w:val="auto"/>
                <w:kern w:val="0"/>
                <w:sz w:val="24"/>
                <w:highlight w:val="none"/>
                <w:u w:val="single"/>
                <w:lang w:val="en-US" w:eastAsia="zh-CN"/>
              </w:rPr>
              <w:t xml:space="preserve"> 耳鼻喉科综合治疗台和耳鼻喉科手术等器械 </w:t>
            </w:r>
            <w:r>
              <w:rPr>
                <w:rFonts w:hint="eastAsia" w:ascii="宋体" w:hAnsi="宋体" w:cs="宋体"/>
                <w:color w:val="auto"/>
                <w:kern w:val="0"/>
                <w:sz w:val="24"/>
                <w:highlight w:val="none"/>
                <w:lang w:val="en-US" w:eastAsia="zh-CN"/>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4</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2" w:firstLineChars="200"/>
              <w:textAlignment w:val="auto"/>
              <w:outlineLvl w:val="9"/>
              <w:rPr>
                <w:rFonts w:hint="default" w:ascii="宋体" w:hAnsi="宋体" w:cs="宋体"/>
                <w:b/>
                <w:sz w:val="24"/>
                <w:highlight w:val="none"/>
              </w:rPr>
            </w:pPr>
            <w:r>
              <w:rPr>
                <w:rFonts w:hint="eastAsia" w:ascii="宋体" w:hAnsi="宋体" w:cs="宋体"/>
                <w:b/>
                <w:sz w:val="24"/>
                <w:highlight w:val="none"/>
              </w:rPr>
              <w:t>分包</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default"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运输等</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5</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开标前答疑会或现场考察</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szCs w:val="20"/>
                <w:highlight w:val="none"/>
              </w:rPr>
            </w:pPr>
            <w:sdt>
              <w:sdtPr>
                <w:rPr>
                  <w:rFonts w:hint="eastAsia" w:ascii="宋体" w:hAnsi="宋体" w:cs="宋体"/>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6</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样品提供</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sdt>
              <w:sdtPr>
                <w:rPr>
                  <w:rFonts w:hint="eastAsia" w:ascii="宋体" w:hAnsi="宋体" w:cs="宋体"/>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B要求提供，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（5）提供样品的时间：</w:t>
            </w:r>
            <w:r>
              <w:rPr>
                <w:rFonts w:hint="eastAsia" w:ascii="宋体" w:hAnsi="宋体" w:cs="宋体"/>
                <w:sz w:val="24"/>
                <w:highlight w:val="none"/>
                <w:u w:val="single"/>
              </w:rPr>
              <w:t xml:space="preserve">    </w:t>
            </w:r>
            <w:r>
              <w:rPr>
                <w:rFonts w:hint="eastAsia" w:ascii="宋体" w:hAnsi="宋体" w:cs="宋体"/>
                <w:kern w:val="0"/>
                <w:sz w:val="24"/>
                <w:highlight w:val="none"/>
              </w:rPr>
              <w:t>；地点：</w:t>
            </w:r>
            <w:r>
              <w:rPr>
                <w:rFonts w:hint="eastAsia" w:ascii="宋体" w:hAnsi="宋体" w:cs="宋体"/>
                <w:sz w:val="24"/>
                <w:highlight w:val="none"/>
                <w:u w:val="single"/>
              </w:rPr>
              <w:t xml:space="preserve">    </w:t>
            </w:r>
            <w:r>
              <w:rPr>
                <w:rFonts w:hint="eastAsia" w:ascii="宋体" w:hAnsi="宋体" w:cs="宋体"/>
                <w:kern w:val="0"/>
                <w:sz w:val="24"/>
                <w:highlight w:val="none"/>
              </w:rPr>
              <w:t>；联系人</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sz w:val="24"/>
                <w:highlight w:val="none"/>
                <w:u w:val="single"/>
              </w:rPr>
              <w:t xml:space="preserve">    </w:t>
            </w:r>
            <w:r>
              <w:rPr>
                <w:rFonts w:hint="eastAsia" w:ascii="宋体" w:hAnsi="宋体" w:cs="宋体"/>
                <w:sz w:val="24"/>
                <w:highlight w:val="none"/>
              </w:rPr>
              <w:t>。请</w:t>
            </w:r>
            <w:r>
              <w:rPr>
                <w:rFonts w:hint="eastAsia" w:ascii="宋体" w:hAnsi="宋体" w:cs="宋体"/>
                <w:sz w:val="24"/>
                <w:highlight w:val="none"/>
                <w:lang w:eastAsia="zh-CN"/>
              </w:rPr>
              <w:t>供应商</w:t>
            </w:r>
            <w:r>
              <w:rPr>
                <w:rFonts w:hint="eastAsia" w:ascii="宋体" w:hAnsi="宋体" w:cs="宋体"/>
                <w:sz w:val="24"/>
                <w:highlight w:val="none"/>
              </w:rPr>
              <w:t>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(6)采购活动结束后，对于未中标人提供的样品，采购人、</w:t>
            </w:r>
            <w:r>
              <w:rPr>
                <w:rFonts w:hint="eastAsia" w:ascii="宋体" w:hAnsi="宋体" w:cs="宋体"/>
                <w:sz w:val="24"/>
                <w:highlight w:val="none"/>
                <w:lang w:eastAsia="zh-CN"/>
              </w:rPr>
              <w:t>采购代理机构</w:t>
            </w:r>
            <w:r>
              <w:rPr>
                <w:rFonts w:hint="eastAsia" w:ascii="宋体" w:hAnsi="宋体" w:cs="宋体"/>
                <w:sz w:val="24"/>
                <w:highlight w:val="none"/>
              </w:rPr>
              <w:t>将通知未中标人在规定的时间内取回，逾期未取回的，采购人、</w:t>
            </w:r>
            <w:r>
              <w:rPr>
                <w:rFonts w:hint="eastAsia" w:ascii="宋体" w:hAnsi="宋体" w:cs="宋体"/>
                <w:sz w:val="24"/>
                <w:highlight w:val="none"/>
                <w:lang w:eastAsia="zh-CN"/>
              </w:rPr>
              <w:t>采购代理机构</w:t>
            </w:r>
            <w:r>
              <w:rPr>
                <w:rFonts w:hint="eastAsia" w:ascii="宋体" w:hAnsi="宋体" w:cs="宋体"/>
                <w:sz w:val="24"/>
                <w:highlight w:val="none"/>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b/>
                <w:sz w:val="24"/>
                <w:highlight w:val="none"/>
              </w:rPr>
            </w:pPr>
            <w:r>
              <w:rPr>
                <w:rFonts w:hint="eastAsia" w:ascii="宋体" w:hAnsi="宋体" w:cs="宋体"/>
                <w:sz w:val="24"/>
                <w:highlight w:val="none"/>
              </w:rPr>
              <w:t>（7）制作、运输、安装和保管样品所发生的一切费用由</w:t>
            </w:r>
            <w:r>
              <w:rPr>
                <w:rFonts w:hint="eastAsia" w:ascii="宋体" w:hAnsi="宋体" w:cs="宋体"/>
                <w:sz w:val="24"/>
                <w:highlight w:val="none"/>
                <w:lang w:eastAsia="zh-CN"/>
              </w:rPr>
              <w:t>供应商</w:t>
            </w:r>
            <w:r>
              <w:rPr>
                <w:rFonts w:hint="eastAsia" w:ascii="宋体" w:hAnsi="宋体" w:cs="宋体"/>
                <w:sz w:val="24"/>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7</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Cs/>
                <w:sz w:val="24"/>
                <w:highlight w:val="none"/>
              </w:rPr>
            </w:pPr>
            <w:r>
              <w:rPr>
                <w:rFonts w:hint="eastAsia" w:ascii="宋体" w:hAnsi="宋体" w:cs="宋体"/>
                <w:b/>
                <w:sz w:val="24"/>
                <w:highlight w:val="none"/>
              </w:rPr>
              <w:t>方案讲解演示</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sdt>
              <w:sdtPr>
                <w:rPr>
                  <w:rFonts w:hint="eastAsia" w:ascii="宋体" w:hAnsi="宋体" w:cs="宋体"/>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（1）在评标时安排每个</w:t>
            </w:r>
            <w:r>
              <w:rPr>
                <w:rFonts w:hint="eastAsia" w:ascii="宋体" w:hAnsi="宋体" w:cs="宋体"/>
                <w:kern w:val="0"/>
                <w:sz w:val="24"/>
                <w:highlight w:val="none"/>
                <w:lang w:eastAsia="zh-CN"/>
              </w:rPr>
              <w:t>供应商</w:t>
            </w:r>
            <w:r>
              <w:rPr>
                <w:rFonts w:hint="eastAsia" w:ascii="宋体" w:hAnsi="宋体" w:cs="宋体"/>
                <w:kern w:val="0"/>
                <w:sz w:val="24"/>
                <w:highlight w:val="none"/>
              </w:rPr>
              <w:t>进行方案讲解演示。每个</w:t>
            </w:r>
            <w:r>
              <w:rPr>
                <w:rFonts w:hint="eastAsia" w:ascii="宋体" w:hAnsi="宋体" w:cs="宋体"/>
                <w:kern w:val="0"/>
                <w:sz w:val="24"/>
                <w:highlight w:val="none"/>
                <w:lang w:eastAsia="zh-CN"/>
              </w:rPr>
              <w:t>供应商</w:t>
            </w:r>
            <w:r>
              <w:rPr>
                <w:rFonts w:hint="eastAsia" w:ascii="宋体" w:hAnsi="宋体" w:cs="宋体"/>
                <w:kern w:val="0"/>
                <w:sz w:val="24"/>
                <w:highlight w:val="none"/>
              </w:rPr>
              <w:t>时间不超过</w:t>
            </w:r>
            <w:r>
              <w:rPr>
                <w:rFonts w:hint="eastAsia" w:ascii="宋体" w:hAnsi="宋体" w:cs="宋体"/>
                <w:kern w:val="0"/>
                <w:sz w:val="24"/>
                <w:highlight w:val="none"/>
                <w:u w:val="single"/>
              </w:rPr>
              <w:t>20</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ascii="宋体" w:hAnsi="宋体" w:cs="宋体"/>
                <w:kern w:val="0"/>
                <w:sz w:val="24"/>
                <w:highlight w:val="none"/>
              </w:rPr>
              <w:t>分钟，讲解次序以投标文件解密时间先后次序为准，讲解演示人员不超过</w:t>
            </w:r>
            <w:r>
              <w:rPr>
                <w:rFonts w:hint="eastAsia" w:ascii="宋体" w:hAnsi="宋体" w:cs="宋体"/>
                <w:kern w:val="0"/>
                <w:sz w:val="24"/>
                <w:highlight w:val="none"/>
                <w:u w:val="single"/>
              </w:rPr>
              <w:t>3</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ascii="宋体" w:hAnsi="宋体" w:cs="宋体"/>
                <w:kern w:val="0"/>
                <w:sz w:val="24"/>
                <w:highlight w:val="none"/>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方式一：政采云平台在线讲解演示。政采云平台在线讲解需</w:t>
            </w:r>
            <w:r>
              <w:rPr>
                <w:rFonts w:hint="eastAsia" w:ascii="宋体" w:hAnsi="宋体" w:cs="宋体"/>
                <w:kern w:val="0"/>
                <w:sz w:val="24"/>
                <w:highlight w:val="none"/>
                <w:lang w:eastAsia="zh-CN"/>
              </w:rPr>
              <w:t>供应商</w:t>
            </w:r>
            <w:r>
              <w:rPr>
                <w:rFonts w:hint="eastAsia" w:ascii="宋体" w:hAnsi="宋体" w:cs="宋体"/>
                <w:kern w:val="0"/>
                <w:sz w:val="24"/>
                <w:highlight w:val="none"/>
              </w:rPr>
              <w:t>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方式二：</w:t>
            </w:r>
            <w:r>
              <w:rPr>
                <w:rFonts w:hint="eastAsia" w:ascii="宋体" w:hAnsi="宋体" w:cs="宋体"/>
                <w:kern w:val="0"/>
                <w:sz w:val="24"/>
                <w:highlight w:val="none"/>
                <w:lang w:val="en-US" w:eastAsia="zh-CN"/>
              </w:rPr>
              <w:t>评标</w:t>
            </w:r>
            <w:r>
              <w:rPr>
                <w:rFonts w:hint="eastAsia" w:ascii="宋体" w:hAnsi="宋体" w:cs="宋体"/>
                <w:kern w:val="0"/>
                <w:sz w:val="24"/>
                <w:highlight w:val="none"/>
              </w:rPr>
              <w:t>现场讲解演示。现场讲解地点为</w:t>
            </w:r>
            <w:r>
              <w:rPr>
                <w:rFonts w:hint="eastAsia" w:ascii="宋体" w:hAnsi="宋体" w:cs="宋体"/>
                <w:sz w:val="24"/>
                <w:highlight w:val="none"/>
                <w:u w:val="single"/>
              </w:rPr>
              <w:t xml:space="preserve"> </w:t>
            </w:r>
            <w:r>
              <w:rPr>
                <w:rFonts w:hint="eastAsia" w:ascii="宋体" w:hAnsi="宋体" w:cs="宋体"/>
                <w:color w:val="FF0000"/>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kern w:val="0"/>
                <w:sz w:val="24"/>
                <w:highlight w:val="none"/>
              </w:rPr>
              <w:t>，讲解演示所用电脑等设备由</w:t>
            </w:r>
            <w:r>
              <w:rPr>
                <w:rFonts w:hint="eastAsia" w:ascii="宋体" w:hAnsi="宋体" w:cs="宋体"/>
                <w:kern w:val="0"/>
                <w:sz w:val="24"/>
                <w:highlight w:val="none"/>
                <w:lang w:eastAsia="zh-CN"/>
              </w:rPr>
              <w:t>供应商</w:t>
            </w:r>
            <w:r>
              <w:rPr>
                <w:rFonts w:hint="eastAsia" w:ascii="宋体" w:hAnsi="宋体" w:cs="宋体"/>
                <w:kern w:val="0"/>
                <w:sz w:val="24"/>
                <w:highlight w:val="none"/>
              </w:rPr>
              <w:t>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b/>
                <w:kern w:val="0"/>
                <w:sz w:val="24"/>
                <w:highlight w:val="none"/>
                <w:lang w:val="zh-CN"/>
              </w:rPr>
            </w:pPr>
            <w:r>
              <w:rPr>
                <w:rFonts w:hint="eastAsia" w:ascii="宋体" w:hAnsi="宋体" w:cs="宋体"/>
                <w:kern w:val="0"/>
                <w:sz w:val="24"/>
                <w:highlight w:val="none"/>
              </w:rPr>
              <w:t>注：因</w:t>
            </w:r>
            <w:r>
              <w:rPr>
                <w:rFonts w:hint="eastAsia" w:ascii="宋体" w:hAnsi="宋体" w:cs="宋体"/>
                <w:kern w:val="0"/>
                <w:sz w:val="24"/>
                <w:highlight w:val="none"/>
                <w:lang w:eastAsia="zh-CN"/>
              </w:rPr>
              <w:t>供应商</w:t>
            </w:r>
            <w:r>
              <w:rPr>
                <w:rFonts w:hint="eastAsia" w:ascii="宋体" w:hAnsi="宋体" w:cs="宋体"/>
                <w:kern w:val="0"/>
                <w:sz w:val="24"/>
                <w:highlight w:val="none"/>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8</w:t>
            </w:r>
          </w:p>
        </w:tc>
        <w:tc>
          <w:tcPr>
            <w:tcW w:w="184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lang w:eastAsia="zh-CN"/>
              </w:rPr>
              <w:t>供应商</w:t>
            </w:r>
            <w:r>
              <w:rPr>
                <w:rFonts w:hint="eastAsia" w:ascii="宋体" w:hAnsi="宋体" w:cs="宋体"/>
                <w:b/>
                <w:sz w:val="24"/>
                <w:highlight w:val="none"/>
              </w:rPr>
              <w:t>应当提供的资格、资信证明文件</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（1）资格证明文件：见招标文件第二部分11.1。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0"/>
                <w:szCs w:val="21"/>
                <w:highlight w:val="none"/>
              </w:rPr>
            </w:pPr>
            <w:r>
              <w:rPr>
                <w:rFonts w:hint="eastAsia" w:ascii="宋体" w:hAnsi="宋体" w:cs="宋体"/>
                <w:kern w:val="0"/>
                <w:sz w:val="24"/>
                <w:highlight w:val="none"/>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p>
        </w:tc>
        <w:tc>
          <w:tcPr>
            <w:tcW w:w="1843"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9</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节能产品、环境标志产品</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10</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报价要求</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b/>
                <w:bCs/>
                <w:kern w:val="0"/>
                <w:sz w:val="24"/>
                <w:highlight w:val="none"/>
                <w:lang w:val="zh-CN"/>
              </w:rPr>
              <w:t>投标文件</w:t>
            </w:r>
            <w:r>
              <w:rPr>
                <w:rFonts w:hint="eastAsia" w:ascii="宋体" w:hAnsi="宋体" w:cs="宋体"/>
                <w:b/>
                <w:bCs/>
                <w:sz w:val="24"/>
                <w:highlight w:val="none"/>
              </w:rPr>
              <w:t>开标一览表（报价表）是报价的唯一载体，如</w:t>
            </w:r>
            <w:r>
              <w:rPr>
                <w:rFonts w:hint="eastAsia" w:ascii="宋体" w:hAnsi="宋体" w:cs="宋体"/>
                <w:b/>
                <w:bCs/>
                <w:sz w:val="24"/>
                <w:highlight w:val="none"/>
                <w:lang w:eastAsia="zh-CN"/>
              </w:rPr>
              <w:t>供应商</w:t>
            </w:r>
            <w:r>
              <w:rPr>
                <w:rFonts w:hint="eastAsia" w:ascii="宋体" w:hAnsi="宋体" w:cs="宋体"/>
                <w:b/>
                <w:bCs/>
                <w:sz w:val="24"/>
                <w:highlight w:val="none"/>
              </w:rPr>
              <w:t>在政府采购云平台填写的投标报价与投标文件报价文件中开标一览表（报价表）不一致的，以报价文件中开标一览表（报价表）为准。</w:t>
            </w:r>
            <w:r>
              <w:rPr>
                <w:rFonts w:hint="eastAsia" w:ascii="宋体" w:hAnsi="宋体" w:cs="宋体"/>
                <w:kern w:val="0"/>
                <w:sz w:val="24"/>
                <w:highlight w:val="none"/>
                <w:lang w:val="zh-CN"/>
              </w:rPr>
              <w:t>招标文件未列明，而供应商认为必需的费用也需列入报价。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highlight w:val="none"/>
                <w:lang w:val="zh-CN"/>
              </w:rPr>
            </w:pPr>
            <w:r>
              <w:rPr>
                <w:rFonts w:hint="eastAsia" w:ascii="宋体" w:hAnsi="宋体" w:cs="宋体"/>
                <w:b/>
                <w:kern w:val="0"/>
                <w:sz w:val="24"/>
                <w:highlight w:val="none"/>
                <w:lang w:val="en-US" w:eastAsia="zh-CN"/>
              </w:rPr>
              <w:t>本项目</w:t>
            </w:r>
            <w:r>
              <w:rPr>
                <w:rFonts w:hint="eastAsia" w:ascii="宋体" w:hAnsi="宋体" w:cs="宋体"/>
                <w:b/>
                <w:kern w:val="0"/>
                <w:sz w:val="24"/>
                <w:highlight w:val="none"/>
                <w:lang w:val="zh-CN"/>
              </w:rPr>
              <w:t>采用</w:t>
            </w:r>
            <w:r>
              <w:rPr>
                <w:rFonts w:hint="eastAsia" w:ascii="宋体" w:hAnsi="宋体" w:cs="宋体"/>
                <w:b/>
                <w:kern w:val="0"/>
                <w:sz w:val="24"/>
                <w:highlight w:val="none"/>
                <w:lang w:val="en-US" w:eastAsia="zh-CN"/>
              </w:rPr>
              <w:t>人民币</w:t>
            </w:r>
            <w:r>
              <w:rPr>
                <w:rFonts w:hint="eastAsia" w:ascii="宋体" w:hAnsi="宋体" w:cs="宋体"/>
                <w:b/>
                <w:kern w:val="0"/>
                <w:sz w:val="24"/>
                <w:highlight w:val="none"/>
                <w:lang w:val="zh-CN"/>
              </w:rPr>
              <w:t>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highlight w:val="none"/>
                <w:lang w:val="zh-CN"/>
              </w:rPr>
            </w:pPr>
            <w:r>
              <w:rPr>
                <w:rFonts w:hint="eastAsia" w:ascii="宋体" w:hAnsi="宋体" w:cs="宋体"/>
                <w:b/>
                <w:kern w:val="0"/>
                <w:sz w:val="24"/>
                <w:highlight w:val="none"/>
                <w:lang w:val="zh-CN"/>
              </w:rPr>
              <w:t>投标报价须是完成本项目的所有费用，应包括设备价、安装调试、货物运至项目现场的运输费、保险费、培训费、售后服务、利润、税金等一切与本次采购相关的费用。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highlight w:val="none"/>
                <w:lang w:val="zh-CN"/>
              </w:rPr>
            </w:pPr>
            <w:r>
              <w:rPr>
                <w:rFonts w:hint="eastAsia" w:ascii="宋体" w:hAnsi="宋体" w:cs="宋体"/>
                <w:b/>
                <w:kern w:val="0"/>
                <w:sz w:val="24"/>
                <w:highlight w:val="none"/>
                <w:lang w:val="zh-CN"/>
              </w:rPr>
              <w:t>不论投标结果如何，供应商均应自行承担所有与投标有关的全部费用。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eastAsia" w:ascii="宋体" w:hAnsi="宋体" w:eastAsia="宋体" w:cs="宋体"/>
                <w:b/>
                <w:sz w:val="24"/>
                <w:highlight w:val="none"/>
                <w:lang w:eastAsia="zh-CN"/>
              </w:rPr>
            </w:pPr>
            <w:r>
              <w:rPr>
                <w:rFonts w:hint="eastAsia" w:ascii="宋体" w:hAnsi="宋体" w:cs="宋体"/>
                <w:b/>
                <w:kern w:val="0"/>
                <w:sz w:val="24"/>
                <w:highlight w:val="none"/>
              </w:rPr>
              <w:t>报价明显低于其他通过符合性审查</w:t>
            </w:r>
            <w:r>
              <w:rPr>
                <w:rFonts w:hint="eastAsia" w:ascii="宋体" w:hAnsi="宋体" w:cs="宋体"/>
                <w:b/>
                <w:kern w:val="0"/>
                <w:sz w:val="24"/>
                <w:highlight w:val="none"/>
                <w:lang w:eastAsia="zh-CN"/>
              </w:rPr>
              <w:t>供应商</w:t>
            </w:r>
            <w:r>
              <w:rPr>
                <w:rFonts w:hint="eastAsia" w:ascii="宋体" w:hAnsi="宋体" w:cs="宋体"/>
                <w:b/>
                <w:kern w:val="0"/>
                <w:sz w:val="24"/>
                <w:highlight w:val="none"/>
              </w:rPr>
              <w:t>的报价，有可能影响产品质量或者不能诚信履约的，未能按要求提供书面说明或者提交相关证明材料证明其报价合理性的</w:t>
            </w:r>
            <w:r>
              <w:rPr>
                <w:rFonts w:hint="eastAsia" w:ascii="宋体" w:hAnsi="宋体" w:cs="宋体"/>
                <w:b/>
                <w:sz w:val="24"/>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default" w:ascii="宋体" w:hAnsi="宋体" w:cs="宋体"/>
                <w:sz w:val="24"/>
                <w:highlight w:val="none"/>
              </w:rPr>
            </w:pPr>
            <w:r>
              <w:rPr>
                <w:rFonts w:hint="eastAsia" w:ascii="宋体" w:hAnsi="宋体" w:cs="宋体"/>
                <w:b/>
                <w:kern w:val="0"/>
                <w:sz w:val="24"/>
                <w:highlight w:val="none"/>
                <w:lang w:eastAsia="zh-CN"/>
              </w:rPr>
              <w:t>供应商</w:t>
            </w:r>
            <w:r>
              <w:rPr>
                <w:rFonts w:hint="eastAsia" w:ascii="宋体" w:hAnsi="宋体" w:cs="宋体"/>
                <w:b/>
                <w:kern w:val="0"/>
                <w:sz w:val="24"/>
                <w:highlight w:val="none"/>
              </w:rPr>
              <w:t>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11</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中小企业信用融资</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0" w:firstLineChars="100"/>
              <w:textAlignment w:val="auto"/>
              <w:outlineLvl w:val="9"/>
              <w:rPr>
                <w:rFonts w:hint="default" w:ascii="宋体" w:hAnsi="宋体" w:cs="宋体"/>
                <w:sz w:val="24"/>
                <w:highlight w:val="none"/>
              </w:rPr>
            </w:pPr>
            <w:r>
              <w:rPr>
                <w:rFonts w:hint="eastAsia" w:ascii="宋体" w:hAnsi="宋体" w:cs="宋体"/>
                <w:snapToGrid w:val="0"/>
                <w:kern w:val="28"/>
                <w:sz w:val="24"/>
                <w:highlight w:val="none"/>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12</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vAlign w:val="center"/>
          </w:tcPr>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供应商可以准备U盘存储的电子备份投标文件1份，按政府采购云平台要求制作的电子备份投标文件，以用于异常情况处理。</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如提供备份投标文件的，应于投标文件提交（上传）截止时间前，将以U盘存储的电子备份投标文件密封，递交至</w:t>
            </w:r>
            <w:r>
              <w:rPr>
                <w:rFonts w:hint="eastAsia" w:cs="宋体" w:asciiTheme="minorEastAsia" w:hAnsiTheme="minorEastAsia" w:eastAsiaTheme="minorEastAsia"/>
                <w:kern w:val="28"/>
                <w:sz w:val="24"/>
                <w:szCs w:val="24"/>
                <w:highlight w:val="none"/>
                <w:u w:val="single"/>
                <w:lang w:val="en-US" w:eastAsia="zh-CN"/>
              </w:rPr>
              <w:t>宁海县公共资源交易中心（宁海县桃源街道金水东路5号五楼）</w:t>
            </w:r>
            <w:r>
              <w:rPr>
                <w:rFonts w:hint="eastAsia" w:cs="宋体" w:asciiTheme="minorEastAsia" w:hAnsiTheme="minorEastAsia" w:eastAsiaTheme="minorEastAsia"/>
                <w:kern w:val="28"/>
                <w:sz w:val="24"/>
                <w:szCs w:val="24"/>
                <w:highlight w:val="none"/>
                <w:lang w:val="en-US" w:eastAsia="zh-CN"/>
              </w:rPr>
              <w:t>，逾期送达或未密封将予以拒收。</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b/>
                <w:bCs/>
                <w:kern w:val="28"/>
                <w:sz w:val="24"/>
                <w:szCs w:val="24"/>
                <w:highlight w:val="none"/>
                <w:lang w:val="en-US" w:eastAsia="zh-CN"/>
              </w:rPr>
            </w:pPr>
            <w:r>
              <w:rPr>
                <w:rFonts w:hint="eastAsia" w:cs="宋体" w:asciiTheme="minorEastAsia" w:hAnsiTheme="minorEastAsia" w:eastAsiaTheme="minorEastAsia"/>
                <w:b/>
                <w:bCs/>
                <w:kern w:val="28"/>
                <w:sz w:val="24"/>
                <w:szCs w:val="24"/>
                <w:highlight w:val="none"/>
                <w:lang w:val="en-US" w:eastAsia="zh-CN"/>
              </w:rPr>
              <w:t>供应商可采用邮寄（含快递）方式递交备份投标文件。</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各供应商在规定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拟在2023年  月  日（含）16:00前到件的邮寄地址为：宁波市鄞州区天童南路666号中基大厦19楼业务六部；</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收件人：朱贤东   联系方式：0574-87425380</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请各供应商确保密封包装在邮寄过程密封包装完好，因邮寄过程的密封破损造成不符合开标要求的，本采购代理及采购人概不负责。</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hAnsi="宋体" w:cs="宋体"/>
                <w:kern w:val="28"/>
                <w:sz w:val="24"/>
                <w:highlight w:val="none"/>
              </w:rPr>
            </w:pPr>
            <w:r>
              <w:rPr>
                <w:rFonts w:hint="eastAsia" w:cs="宋体" w:asciiTheme="minorEastAsia" w:hAnsiTheme="minorEastAsia" w:eastAsiaTheme="minorEastAsia"/>
                <w:b/>
                <w:sz w:val="24"/>
                <w:szCs w:val="24"/>
                <w:highlight w:val="none"/>
              </w:rPr>
              <w:t>采购人、</w:t>
            </w:r>
            <w:r>
              <w:rPr>
                <w:rFonts w:hint="eastAsia" w:cs="宋体" w:asciiTheme="minorEastAsia" w:hAnsiTheme="minorEastAsia" w:eastAsiaTheme="minorEastAsia"/>
                <w:b/>
                <w:sz w:val="24"/>
                <w:szCs w:val="24"/>
                <w:highlight w:val="none"/>
                <w:lang w:eastAsia="zh-CN"/>
              </w:rPr>
              <w:t>采购代理机构</w:t>
            </w:r>
            <w:r>
              <w:rPr>
                <w:rFonts w:hint="eastAsia" w:cs="宋体" w:asciiTheme="minorEastAsia" w:hAnsiTheme="minorEastAsia" w:eastAsiaTheme="minorEastAsia"/>
                <w:b/>
                <w:sz w:val="24"/>
                <w:szCs w:val="24"/>
                <w:highlight w:val="none"/>
              </w:rPr>
              <w:t>不强制或变相强制供应商提交备份</w:t>
            </w:r>
            <w:r>
              <w:rPr>
                <w:rFonts w:hint="eastAsia" w:cs="宋体" w:asciiTheme="minorEastAsia" w:hAnsiTheme="minorEastAsia" w:eastAsiaTheme="minorEastAsia"/>
                <w:b/>
                <w:sz w:val="24"/>
                <w:szCs w:val="24"/>
                <w:highlight w:val="none"/>
                <w:lang w:eastAsia="zh-CN"/>
              </w:rPr>
              <w:t>投标文件</w:t>
            </w:r>
            <w:r>
              <w:rPr>
                <w:rFonts w:hint="eastAsia" w:cs="宋体" w:asciiTheme="minorEastAsia" w:hAnsiTheme="minorEastAsia" w:eastAsiaTheme="minorEastAsia"/>
                <w:b/>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13</w:t>
            </w:r>
          </w:p>
        </w:tc>
        <w:tc>
          <w:tcPr>
            <w:tcW w:w="184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cs="仿宋_GB2312" w:asciiTheme="minorEastAsia" w:hAnsiTheme="minorEastAsia" w:eastAsiaTheme="minorEastAsia"/>
                <w:b/>
                <w:sz w:val="24"/>
                <w:highlight w:val="none"/>
              </w:rPr>
              <w:t>特别说明</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continue"/>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sz w:val="24"/>
                <w:highlight w:val="none"/>
              </w:rPr>
            </w:pPr>
          </w:p>
        </w:tc>
        <w:tc>
          <w:tcPr>
            <w:tcW w:w="1843"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Gothic" w:hAnsi="MS Gothic" w:cs="Arial" w:eastAsiaTheme="minorEastAsia"/>
                    <w:kern w:val="0"/>
                    <w:sz w:val="24"/>
                    <w:szCs w:val="24"/>
                    <w:highlight w:val="none"/>
                    <w:lang w:val="en-US" w:eastAsia="zh-CN" w:bidi="ar-SA"/>
                  </w:rPr>
                  <w:t>☐</w:t>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kern w:val="2"/>
                <w:sz w:val="24"/>
                <w:szCs w:val="24"/>
                <w:highlight w:val="none"/>
                <w:lang w:val="en-US" w:eastAsia="zh-CN" w:bidi="ar-SA"/>
              </w:rPr>
            </w:pPr>
            <w:r>
              <w:rPr>
                <w:rFonts w:hint="eastAsia" w:cs="宋体" w:asciiTheme="minorEastAsia" w:hAnsiTheme="minorEastAsia" w:eastAsiaTheme="minorEastAsia"/>
                <w:sz w:val="24"/>
                <w:highlight w:val="none"/>
                <w:lang w:val="en-US" w:eastAsia="zh-CN"/>
              </w:rPr>
              <w:t>14</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b/>
                <w:kern w:val="2"/>
                <w:sz w:val="24"/>
                <w:szCs w:val="24"/>
                <w:highlight w:val="none"/>
                <w:lang w:val="en-US" w:eastAsia="zh-CN" w:bidi="ar-SA"/>
              </w:rPr>
            </w:pPr>
            <w:r>
              <w:rPr>
                <w:rFonts w:hint="eastAsia" w:cs="宋体" w:asciiTheme="minorEastAsia" w:hAnsiTheme="minorEastAsia" w:eastAsiaTheme="minorEastAsia"/>
                <w:b/>
                <w:sz w:val="24"/>
                <w:highlight w:val="none"/>
                <w:lang w:val="en-US" w:eastAsia="zh-CN"/>
              </w:rPr>
              <w:t>其他说明</w:t>
            </w:r>
          </w:p>
        </w:tc>
        <w:tc>
          <w:tcPr>
            <w:tcW w:w="6095" w:type="dxa"/>
            <w:vAlign w:val="center"/>
          </w:tcPr>
          <w:p>
            <w:pPr>
              <w:pStyle w:val="19"/>
              <w:keepNext w:val="0"/>
              <w:keepLines w:val="0"/>
              <w:suppressLineNumbers w:val="0"/>
              <w:adjustRightInd/>
              <w:spacing w:before="0" w:beforeLines="0" w:beforeAutospacing="0" w:after="0" w:afterLines="0" w:afterAutospacing="0" w:line="300" w:lineRule="auto"/>
              <w:ind w:left="0" w:right="0"/>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招标代理服务费的收取标准：代理机构按下表中货物招标的标准（按差额定率累进法计算），根据</w:t>
            </w:r>
            <w:r>
              <w:rPr>
                <w:rFonts w:hint="eastAsia" w:cs="Arial" w:asciiTheme="minorEastAsia" w:hAnsiTheme="minorEastAsia" w:eastAsiaTheme="minorEastAsia"/>
                <w:kern w:val="0"/>
                <w:sz w:val="24"/>
                <w:highlight w:val="none"/>
                <w:lang w:val="en-US" w:eastAsia="zh-CN"/>
              </w:rPr>
              <w:t>每个标项的中</w:t>
            </w:r>
            <w:r>
              <w:rPr>
                <w:rFonts w:hint="eastAsia" w:cs="Arial" w:asciiTheme="minorEastAsia" w:hAnsiTheme="minorEastAsia" w:eastAsiaTheme="minorEastAsia"/>
                <w:kern w:val="0"/>
                <w:sz w:val="24"/>
                <w:highlight w:val="none"/>
              </w:rPr>
              <w:t>标金额，向中标人收取招标代理服务费。</w:t>
            </w:r>
          </w:p>
          <w:tbl>
            <w:tblPr>
              <w:tblStyle w:val="62"/>
              <w:tblW w:w="5817" w:type="dxa"/>
              <w:jc w:val="center"/>
              <w:tblLayout w:type="fixed"/>
              <w:tblCellMar>
                <w:top w:w="15" w:type="dxa"/>
                <w:left w:w="15" w:type="dxa"/>
                <w:bottom w:w="15" w:type="dxa"/>
                <w:right w:w="15" w:type="dxa"/>
              </w:tblCellMar>
            </w:tblPr>
            <w:tblGrid>
              <w:gridCol w:w="1669"/>
              <w:gridCol w:w="1443"/>
              <w:gridCol w:w="1368"/>
              <w:gridCol w:w="1337"/>
            </w:tblGrid>
            <w:tr>
              <w:tblPrEx>
                <w:tblCellMar>
                  <w:top w:w="15" w:type="dxa"/>
                  <w:left w:w="15" w:type="dxa"/>
                  <w:bottom w:w="15" w:type="dxa"/>
                  <w:right w:w="15" w:type="dxa"/>
                </w:tblCellMar>
              </w:tblPrEx>
              <w:trPr>
                <w:trHeight w:val="608" w:hRule="atLeast"/>
                <w:jc w:val="center"/>
              </w:trPr>
              <w:tc>
                <w:tcPr>
                  <w:tcW w:w="1669" w:type="dxa"/>
                  <w:tcBorders>
                    <w:top w:val="single" w:color="auto" w:sz="4" w:space="0"/>
                    <w:left w:val="single" w:color="auto" w:sz="6" w:space="0"/>
                    <w:bottom w:val="single" w:color="auto" w:sz="4" w:space="0"/>
                    <w:right w:val="single" w:color="auto" w:sz="4" w:space="0"/>
                    <w:tl2br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right"/>
                    <w:rPr>
                      <w:rFonts w:hint="eastAsia" w:ascii="宋体" w:hAnsi="宋体" w:eastAsia="宋体" w:cs="宋体"/>
                      <w:highlight w:val="none"/>
                    </w:rPr>
                  </w:pPr>
                  <w:r>
                    <w:rPr>
                      <w:rFonts w:hint="eastAsia" w:ascii="宋体" w:hAnsi="宋体" w:eastAsia="宋体" w:cs="宋体"/>
                      <w:highlight w:val="none"/>
                    </w:rPr>
                    <w:t>服费类型</w:t>
                  </w:r>
                </w:p>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金额（万元）</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货物招标</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服务招标</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工程招标</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100以下</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100-500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1.1%</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0.8%</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0.7%</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500-1000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0.8%</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0.45%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0.55%</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1000-5000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0.25%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0.35%</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5000-10000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0.25%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0.1%</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0.2%</w:t>
                  </w:r>
                </w:p>
              </w:tc>
            </w:tr>
            <w:tr>
              <w:tblPrEx>
                <w:tblCellMar>
                  <w:top w:w="15" w:type="dxa"/>
                  <w:left w:w="15" w:type="dxa"/>
                  <w:bottom w:w="15" w:type="dxa"/>
                  <w:right w:w="15" w:type="dxa"/>
                </w:tblCellMar>
              </w:tblPrEx>
              <w:trPr>
                <w:trHeight w:val="337"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1亿～5亿</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0.05%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0.05%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0.05%</w:t>
                  </w:r>
                </w:p>
              </w:tc>
            </w:tr>
          </w:tbl>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关于本次采购的服务费汇入以下账户：</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开户银行：宁波银行股份有限公司鄞州中心区支行</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账    号：30010122001229488</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户    名：</w:t>
            </w:r>
            <w:r>
              <w:rPr>
                <w:rFonts w:hint="eastAsia" w:cs="Arial" w:asciiTheme="minorEastAsia" w:hAnsiTheme="minorEastAsia" w:eastAsiaTheme="minorEastAsia"/>
                <w:kern w:val="0"/>
                <w:sz w:val="24"/>
                <w:highlight w:val="none"/>
                <w:lang w:eastAsia="zh-CN"/>
              </w:rPr>
              <w:t>浙江中基正采管理咨询有限公司</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szCs w:val="24"/>
                <w:highlight w:val="none"/>
                <w:lang w:val="en-US" w:eastAsia="zh-CN" w:bidi="ar-SA"/>
              </w:rPr>
            </w:pPr>
            <w:r>
              <w:rPr>
                <w:rFonts w:hint="eastAsia" w:cs="Arial" w:asciiTheme="minorEastAsia" w:hAnsiTheme="minorEastAsia" w:eastAsiaTheme="minorEastAsia"/>
                <w:kern w:val="0"/>
                <w:sz w:val="24"/>
                <w:highlight w:val="none"/>
                <w:lang w:val="en-US" w:eastAsia="zh-CN"/>
              </w:rPr>
              <w:t>注：中标人</w:t>
            </w:r>
            <w:r>
              <w:rPr>
                <w:rFonts w:hint="eastAsia" w:cs="Arial" w:asciiTheme="minorEastAsia" w:hAnsiTheme="minorEastAsia" w:eastAsiaTheme="minorEastAsia"/>
                <w:kern w:val="0"/>
                <w:sz w:val="24"/>
                <w:highlight w:val="none"/>
              </w:rPr>
              <w:t>接到本公司通知后5个工作日内向本采购代理机构领取</w:t>
            </w:r>
            <w:r>
              <w:rPr>
                <w:rFonts w:hint="eastAsia" w:cs="Arial" w:asciiTheme="minorEastAsia" w:hAnsiTheme="minorEastAsia" w:eastAsiaTheme="minorEastAsia"/>
                <w:kern w:val="0"/>
                <w:sz w:val="24"/>
                <w:highlight w:val="none"/>
                <w:lang w:val="en-US" w:eastAsia="zh-CN"/>
              </w:rPr>
              <w:t>中标</w:t>
            </w:r>
            <w:r>
              <w:rPr>
                <w:rFonts w:hint="eastAsia" w:cs="Arial" w:asciiTheme="minorEastAsia" w:hAnsiTheme="minorEastAsia" w:eastAsiaTheme="minorEastAsia"/>
                <w:kern w:val="0"/>
                <w:sz w:val="24"/>
                <w:highlight w:val="none"/>
              </w:rPr>
              <w:t>通知书（根据</w:t>
            </w:r>
            <w:r>
              <w:rPr>
                <w:rFonts w:hint="eastAsia" w:cs="Arial" w:asciiTheme="minorEastAsia" w:hAnsiTheme="minorEastAsia" w:eastAsiaTheme="minorEastAsia"/>
                <w:kern w:val="0"/>
                <w:sz w:val="24"/>
                <w:highlight w:val="none"/>
                <w:lang w:val="en-US" w:eastAsia="zh-CN"/>
              </w:rPr>
              <w:t>中标人</w:t>
            </w:r>
            <w:r>
              <w:rPr>
                <w:rFonts w:hint="eastAsia" w:cs="Arial" w:asciiTheme="minorEastAsia" w:hAnsiTheme="minorEastAsia" w:eastAsiaTheme="minorEastAsia"/>
                <w:kern w:val="0"/>
                <w:sz w:val="24"/>
                <w:highlight w:val="none"/>
              </w:rPr>
              <w:t>需求可采用邮寄或到采购代理机构现场领取）。</w:t>
            </w:r>
          </w:p>
        </w:tc>
      </w:tr>
      <w:bookmarkEnd w:id="9"/>
    </w:tbl>
    <w:p>
      <w:pPr>
        <w:kinsoku/>
        <w:wordWrap/>
        <w:overflowPunct/>
        <w:topLinePunct w:val="0"/>
        <w:bidi w:val="0"/>
        <w:outlineLvl w:val="9"/>
        <w:rPr>
          <w:rFonts w:hint="eastAsia" w:ascii="宋体" w:hAnsi="宋体" w:cs="宋体"/>
          <w:b/>
          <w:sz w:val="32"/>
          <w:szCs w:val="20"/>
          <w:highlight w:val="none"/>
        </w:rPr>
      </w:pPr>
      <w:bookmarkStart w:id="14" w:name="第三部分"/>
      <w:bookmarkStart w:id="15" w:name="_Toc164416483"/>
      <w:r>
        <w:rPr>
          <w:rFonts w:hint="eastAsia" w:ascii="宋体" w:hAnsi="宋体" w:cs="宋体"/>
          <w:b/>
          <w:sz w:val="32"/>
          <w:szCs w:val="20"/>
          <w:highlight w:val="none"/>
        </w:rPr>
        <w:br w:type="page"/>
      </w:r>
    </w:p>
    <w:p>
      <w:pPr>
        <w:pageBreakBefore w:val="0"/>
        <w:shd w:val="clear"/>
        <w:kinsoku/>
        <w:wordWrap/>
        <w:overflowPunct/>
        <w:topLinePunct w:val="0"/>
        <w:bidi w:val="0"/>
        <w:adjustRightInd/>
        <w:spacing w:beforeAutospacing="0" w:line="348" w:lineRule="auto"/>
        <w:ind w:firstLine="3845" w:firstLineChars="1197"/>
        <w:textAlignment w:val="auto"/>
        <w:outlineLvl w:val="9"/>
        <w:rPr>
          <w:rFonts w:ascii="宋体" w:hAnsi="宋体" w:cs="宋体"/>
          <w:b/>
          <w:sz w:val="32"/>
          <w:szCs w:val="20"/>
          <w:highlight w:val="none"/>
        </w:rPr>
      </w:pPr>
      <w:r>
        <w:rPr>
          <w:rFonts w:hint="eastAsia" w:ascii="宋体" w:hAnsi="宋体" w:cs="宋体"/>
          <w:b/>
          <w:sz w:val="32"/>
          <w:szCs w:val="20"/>
          <w:highlight w:val="none"/>
        </w:rPr>
        <w:t>一、总则</w:t>
      </w:r>
    </w:p>
    <w:p>
      <w:pPr>
        <w:keepNext w:val="0"/>
        <w:keepLines w:val="0"/>
        <w:pageBreakBefore w:val="0"/>
        <w:shd w:val="clear"/>
        <w:kinsoku/>
        <w:wordWrap/>
        <w:overflowPunct/>
        <w:topLinePunct w:val="0"/>
        <w:bidi w:val="0"/>
        <w:snapToGrid w:val="0"/>
        <w:spacing w:beforeAutospacing="0" w:line="348" w:lineRule="auto"/>
        <w:ind w:firstLine="361" w:firstLineChars="150"/>
        <w:jc w:val="left"/>
        <w:textAlignment w:val="auto"/>
        <w:outlineLvl w:val="9"/>
        <w:rPr>
          <w:rFonts w:ascii="宋体" w:hAnsi="宋体" w:cs="宋体"/>
          <w:b/>
          <w:sz w:val="24"/>
          <w:highlight w:val="none"/>
        </w:rPr>
      </w:pPr>
      <w:r>
        <w:rPr>
          <w:rFonts w:hint="eastAsia" w:ascii="宋体" w:hAnsi="宋体" w:cs="宋体"/>
          <w:b/>
          <w:sz w:val="24"/>
          <w:highlight w:val="none"/>
        </w:rPr>
        <w:t>1. 适用范围</w:t>
      </w:r>
    </w:p>
    <w:p>
      <w:pPr>
        <w:keepNext w:val="0"/>
        <w:keepLines w:val="0"/>
        <w:pageBreakBefore w:val="0"/>
        <w:shd w:val="clear"/>
        <w:kinsoku/>
        <w:wordWrap/>
        <w:overflowPunct/>
        <w:topLinePunct w:val="0"/>
        <w:bidi w:val="0"/>
        <w:snapToGrid w:val="0"/>
        <w:spacing w:beforeAutospacing="0" w:line="348" w:lineRule="auto"/>
        <w:ind w:firstLine="480" w:firstLineChars="200"/>
        <w:jc w:val="left"/>
        <w:textAlignment w:val="auto"/>
        <w:outlineLvl w:val="9"/>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keepNext w:val="0"/>
        <w:keepLines w:val="0"/>
        <w:pageBreakBefore w:val="0"/>
        <w:shd w:val="clear"/>
        <w:kinsoku/>
        <w:wordWrap/>
        <w:overflowPunct/>
        <w:topLinePunct w:val="0"/>
        <w:bidi w:val="0"/>
        <w:adjustRightInd/>
        <w:spacing w:beforeAutospacing="0" w:line="348" w:lineRule="auto"/>
        <w:textAlignment w:val="auto"/>
        <w:outlineLvl w:val="9"/>
        <w:rPr>
          <w:rFonts w:ascii="宋体" w:hAnsi="宋体" w:cs="宋体"/>
          <w:b/>
          <w:sz w:val="24"/>
          <w:highlight w:val="none"/>
        </w:rPr>
      </w:pPr>
      <w:r>
        <w:rPr>
          <w:rFonts w:hint="eastAsia" w:ascii="宋体" w:hAnsi="宋体" w:cs="宋体"/>
          <w:b/>
          <w:sz w:val="24"/>
          <w:highlight w:val="none"/>
        </w:rPr>
        <w:t xml:space="preserve">   2.定义</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2.1 “采购人”系指招标公告中载明的本项目的采购人。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2.2 “</w:t>
      </w:r>
      <w:r>
        <w:rPr>
          <w:rFonts w:hint="eastAsia" w:ascii="宋体" w:hAnsi="宋体" w:cs="宋体"/>
          <w:sz w:val="24"/>
          <w:highlight w:val="none"/>
          <w:lang w:eastAsia="zh-CN"/>
        </w:rPr>
        <w:t>采购代理机构</w:t>
      </w:r>
      <w:r>
        <w:rPr>
          <w:rFonts w:hint="eastAsia" w:ascii="宋体" w:hAnsi="宋体" w:cs="宋体"/>
          <w:sz w:val="24"/>
          <w:highlight w:val="none"/>
        </w:rPr>
        <w:t>”系指招标公告中载明的本项目的</w:t>
      </w:r>
      <w:r>
        <w:rPr>
          <w:rFonts w:hint="eastAsia" w:ascii="宋体" w:hAnsi="宋体" w:cs="宋体"/>
          <w:sz w:val="24"/>
          <w:highlight w:val="none"/>
          <w:lang w:eastAsia="zh-CN"/>
        </w:rPr>
        <w:t>采购代理机构</w:t>
      </w:r>
      <w:r>
        <w:rPr>
          <w:rFonts w:hint="eastAsia" w:ascii="宋体" w:hAnsi="宋体" w:cs="宋体"/>
          <w:sz w:val="24"/>
          <w:highlight w:val="none"/>
        </w:rPr>
        <w:t>。</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2.3 “</w:t>
      </w:r>
      <w:r>
        <w:rPr>
          <w:rFonts w:hint="eastAsia" w:ascii="宋体" w:hAnsi="宋体" w:cs="宋体"/>
          <w:sz w:val="24"/>
          <w:highlight w:val="none"/>
          <w:lang w:eastAsia="zh-CN"/>
        </w:rPr>
        <w:t>供应商</w:t>
      </w:r>
      <w:r>
        <w:rPr>
          <w:rFonts w:hint="eastAsia" w:ascii="宋体" w:hAnsi="宋体" w:cs="宋体"/>
          <w:sz w:val="24"/>
          <w:highlight w:val="none"/>
        </w:rPr>
        <w:t>”系指是指响应招标、参加投标竞争的法人、其他组织或者自然人。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2.6“电子交易平台”</w:t>
      </w:r>
      <w:r>
        <w:rPr>
          <w:rFonts w:hint="eastAsia" w:ascii="宋体" w:hAnsi="宋体" w:cs="宋体"/>
          <w:sz w:val="24"/>
          <w:highlight w:val="none"/>
          <w:lang w:val="en-US" w:eastAsia="zh-CN"/>
        </w:rPr>
        <w:t>系</w:t>
      </w:r>
      <w:r>
        <w:rPr>
          <w:rFonts w:hint="eastAsia" w:ascii="宋体" w:hAnsi="宋体" w:cs="宋体"/>
          <w:sz w:val="24"/>
          <w:highlight w:val="none"/>
        </w:rPr>
        <w:t>指本项目政府采购活动所依托的政府采购云平台（https://www.zcygov.cn/）。</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2.7 “</w:t>
      </w:r>
      <w:r>
        <w:rPr>
          <w:rFonts w:hint="eastAsia" w:ascii="宋体" w:hAnsi="宋体" w:cs="宋体"/>
          <w:sz w:val="24"/>
          <w:highlight w:val="none"/>
          <w:lang w:eastAsia="zh-CN"/>
        </w:rPr>
        <w:t>★</w:t>
      </w:r>
      <w:r>
        <w:rPr>
          <w:rFonts w:hint="eastAsia" w:ascii="宋体" w:hAnsi="宋体" w:cs="宋体"/>
          <w:sz w:val="24"/>
          <w:highlight w:val="none"/>
        </w:rPr>
        <w:t>”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keepNext w:val="0"/>
        <w:keepLines w:val="0"/>
        <w:pageBreakBefore w:val="0"/>
        <w:shd w:val="clear"/>
        <w:kinsoku/>
        <w:wordWrap/>
        <w:overflowPunct/>
        <w:topLinePunct w:val="0"/>
        <w:bidi w:val="0"/>
        <w:spacing w:beforeAutospacing="0" w:line="348" w:lineRule="auto"/>
        <w:ind w:firstLine="241" w:firstLineChars="100"/>
        <w:textAlignment w:val="auto"/>
        <w:outlineLvl w:val="9"/>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highlight w:val="none"/>
          <w:lang w:eastAsia="zh-CN"/>
        </w:rPr>
        <w:t>采购代理机构</w:t>
      </w:r>
      <w:r>
        <w:rPr>
          <w:rFonts w:hint="eastAsia" w:ascii="宋体" w:hAnsi="宋体" w:cs="宋体"/>
          <w:sz w:val="24"/>
          <w:highlight w:val="none"/>
        </w:rPr>
        <w:t>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3.2 支持绿色发展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sz w:val="24"/>
          <w:highlight w:val="none"/>
          <w:lang w:eastAsia="zh-CN"/>
        </w:rPr>
        <w:t>供应商</w:t>
      </w:r>
      <w:r>
        <w:rPr>
          <w:rFonts w:hint="eastAsia" w:ascii="宋体" w:hAnsi="宋体" w:cs="宋体"/>
          <w:sz w:val="24"/>
          <w:highlight w:val="none"/>
        </w:rPr>
        <w:t>须按招标文件要求提供相关产品认证证书。</w:t>
      </w:r>
      <w:r>
        <w:rPr>
          <w:rFonts w:hint="eastAsia" w:ascii="宋体" w:hAnsi="宋体" w:cs="宋体"/>
          <w:b/>
          <w:sz w:val="24"/>
          <w:highlight w:val="none"/>
          <w:lang w:eastAsia="zh-CN"/>
        </w:rPr>
        <w:t>★</w:t>
      </w:r>
      <w:r>
        <w:rPr>
          <w:rFonts w:hint="eastAsia" w:ascii="宋体" w:hAnsi="宋体" w:cs="宋体"/>
          <w:b/>
          <w:sz w:val="24"/>
          <w:highlight w:val="none"/>
        </w:rPr>
        <w:t>采购人拟采购的产品属于政府强制采购的节能产品品目清单范围的，</w:t>
      </w:r>
      <w:r>
        <w:rPr>
          <w:rFonts w:hint="eastAsia" w:ascii="宋体" w:hAnsi="宋体" w:cs="宋体"/>
          <w:b/>
          <w:sz w:val="24"/>
          <w:highlight w:val="none"/>
          <w:lang w:eastAsia="zh-CN"/>
        </w:rPr>
        <w:t>供应商</w:t>
      </w:r>
      <w:r>
        <w:rPr>
          <w:rFonts w:hint="eastAsia" w:ascii="宋体" w:hAnsi="宋体" w:cs="宋体"/>
          <w:b/>
          <w:sz w:val="24"/>
          <w:highlight w:val="none"/>
        </w:rPr>
        <w:t>相应的投标产品未获得国家确定的认证机构出具的、处于有效期之内的节能产品认证证书的，投标无效。</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3.2.2纳入政府采购管理的修缮、装修类项目采购建材的，鼓励采购单位将绿色建材性能、指标等作为实质性条件纳入</w:t>
      </w:r>
      <w:r>
        <w:rPr>
          <w:rFonts w:hint="eastAsia" w:ascii="宋体" w:hAnsi="宋体" w:cs="宋体"/>
          <w:sz w:val="24"/>
          <w:highlight w:val="none"/>
          <w:lang w:eastAsia="zh-CN"/>
        </w:rPr>
        <w:t>招标文件</w:t>
      </w:r>
      <w:r>
        <w:rPr>
          <w:rFonts w:hint="eastAsia" w:ascii="宋体" w:hAnsi="宋体" w:cs="宋体"/>
          <w:sz w:val="24"/>
          <w:highlight w:val="none"/>
        </w:rPr>
        <w:t>和合同，具体性能指标要求参考相关绿色建材政府采购需求标准。</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6" w:name="_Hlk107568539"/>
      <w:r>
        <w:rPr>
          <w:rFonts w:hint="eastAsia" w:ascii="宋体" w:hAnsi="宋体" w:cs="宋体"/>
          <w:color w:val="000000" w:themeColor="text1"/>
          <w:sz w:val="24"/>
          <w:highlight w:val="none"/>
          <w14:textFill>
            <w14:solidFill>
              <w14:schemeClr w14:val="tx1"/>
            </w14:solidFill>
          </w14:textFill>
        </w:rPr>
        <w:t>鼓励采购单位优先采购秸秆环保板材等资源综合利用产品。鼓励采购单位优先采购绿色物流配送服务、提供新能源交通工具的租赁服务。</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3.2.4鼓励供应商在参加政府采购过程中开展绿色设计、选择绿色材料、打造绿色制造工艺、开展绿色运输、做好废弃产品回收处理，实现产品全周期的绿色环保。鼓励采购单位对其提高预付款比例、免收履约保证金。</w:t>
      </w:r>
      <w:bookmarkEnd w:id="16"/>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3.3支持中小企业发展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w:t>
      </w:r>
      <w:r>
        <w:rPr>
          <w:rFonts w:hint="eastAsia" w:ascii="宋体" w:hAnsi="宋体" w:cs="宋体"/>
          <w:kern w:val="0"/>
          <w:sz w:val="24"/>
          <w:highlight w:val="none"/>
          <w:lang w:eastAsia="zh-CN"/>
        </w:rPr>
        <w:t>供应商</w:t>
      </w:r>
      <w:r>
        <w:rPr>
          <w:rFonts w:hint="eastAsia" w:ascii="宋体" w:hAnsi="宋体" w:cs="宋体"/>
          <w:kern w:val="0"/>
          <w:sz w:val="24"/>
          <w:highlight w:val="none"/>
        </w:rPr>
        <w:t>提供的货物符合下列情形的，享受中小企业扶持政策：在货物采购项目中，货物由中小企业制造，即货物由中小企业生产且使用该中小企业商号或者注册商标；在货物采购项目中，</w:t>
      </w:r>
      <w:r>
        <w:rPr>
          <w:rFonts w:hint="eastAsia" w:ascii="宋体" w:hAnsi="宋体" w:cs="宋体"/>
          <w:kern w:val="0"/>
          <w:sz w:val="24"/>
          <w:highlight w:val="none"/>
          <w:lang w:eastAsia="zh-CN"/>
        </w:rPr>
        <w:t>供应商</w:t>
      </w:r>
      <w:r>
        <w:rPr>
          <w:rFonts w:hint="eastAsia" w:ascii="宋体" w:hAnsi="宋体" w:cs="宋体"/>
          <w:kern w:val="0"/>
          <w:sz w:val="24"/>
          <w:highlight w:val="none"/>
        </w:rPr>
        <w:t>提供的货物既有中小企业制造货物，也有大型企业制造货物的，不享受中小企业扶持政策。</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sz w:val="24"/>
          <w:highlight w:val="none"/>
        </w:rPr>
        <w:t>联合协议或者分包意向协议约定小微企业的合同份额占到合同总金额30%以上的</w:t>
      </w:r>
      <w:bookmarkEnd w:id="17"/>
      <w:r>
        <w:rPr>
          <w:rFonts w:hint="eastAsia" w:ascii="宋体" w:hAnsi="宋体" w:cs="宋体"/>
          <w:sz w:val="24"/>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3.3.6可享受中小企业扶持政策的</w:t>
      </w:r>
      <w:r>
        <w:rPr>
          <w:rFonts w:hint="eastAsia" w:ascii="宋体" w:hAnsi="宋体" w:cs="宋体"/>
          <w:sz w:val="24"/>
          <w:highlight w:val="none"/>
          <w:lang w:eastAsia="zh-CN"/>
        </w:rPr>
        <w:t>供应商</w:t>
      </w:r>
      <w:r>
        <w:rPr>
          <w:rFonts w:hint="eastAsia" w:ascii="宋体" w:hAnsi="宋体" w:cs="宋体"/>
          <w:sz w:val="24"/>
          <w:highlight w:val="none"/>
        </w:rPr>
        <w:t>应按照招标文件格式要求提供《中小企业声明函》，</w:t>
      </w:r>
      <w:r>
        <w:rPr>
          <w:rFonts w:hint="eastAsia" w:ascii="宋体" w:hAnsi="宋体" w:cs="宋体"/>
          <w:sz w:val="24"/>
          <w:highlight w:val="none"/>
          <w:lang w:eastAsia="zh-CN"/>
        </w:rPr>
        <w:t>供应商</w:t>
      </w:r>
      <w:r>
        <w:rPr>
          <w:rFonts w:hint="eastAsia" w:ascii="宋体" w:hAnsi="宋体" w:cs="宋体"/>
          <w:sz w:val="24"/>
          <w:highlight w:val="none"/>
        </w:rPr>
        <w:t>提供的《中小企业声明函》与实际情况不符的，不享受中小企业扶持政策。声明内容不实的，属于提供虚假材料谋取中标、成交的，依法承担法律责任。</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3.5平等对待内外资企业和符合条件的破产重整企业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b/>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eastAsia="宋体" w:cs="宋体"/>
          <w:b/>
          <w:sz w:val="24"/>
          <w:highlight w:val="none"/>
        </w:rPr>
        <w:t>4. 询问、质疑、投诉</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lang w:val="zh-CN"/>
        </w:rPr>
      </w:pPr>
      <w:r>
        <w:rPr>
          <w:rFonts w:hint="eastAsia"/>
          <w:highlight w:val="none"/>
          <w:lang w:val="zh-CN"/>
        </w:rPr>
        <w:t>4.1在线询问、质疑、投诉</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lang w:val="zh-CN"/>
        </w:rPr>
      </w:pPr>
      <w:r>
        <w:rPr>
          <w:rFonts w:hint="eastAsia"/>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keepNext w:val="0"/>
        <w:keepLines w:val="0"/>
        <w:pageBreakBefore w:val="0"/>
        <w:shd w:val="clear"/>
        <w:kinsoku/>
        <w:wordWrap/>
        <w:overflowPunct/>
        <w:topLinePunct w:val="0"/>
        <w:autoSpaceDE w:val="0"/>
        <w:autoSpaceDN w:val="0"/>
        <w:bidi w:val="0"/>
        <w:spacing w:beforeAutospacing="0" w:line="348" w:lineRule="auto"/>
        <w:ind w:firstLine="480" w:firstLineChars="200"/>
        <w:jc w:val="lef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sz w:val="24"/>
          <w:highlight w:val="none"/>
          <w:lang w:eastAsia="zh-CN"/>
        </w:rPr>
        <w:t>采购代理机构</w:t>
      </w:r>
      <w:r>
        <w:rPr>
          <w:rFonts w:hint="eastAsia" w:hAnsi="宋体" w:cs="宋体"/>
          <w:sz w:val="24"/>
          <w:highlight w:val="none"/>
        </w:rPr>
        <w:t>提出质疑，否则，采购人或者</w:t>
      </w:r>
      <w:r>
        <w:rPr>
          <w:rFonts w:hint="eastAsia" w:hAnsi="宋体" w:cs="宋体"/>
          <w:sz w:val="24"/>
          <w:highlight w:val="none"/>
          <w:lang w:eastAsia="zh-CN"/>
        </w:rPr>
        <w:t>采购代理机构</w:t>
      </w:r>
      <w:r>
        <w:rPr>
          <w:rFonts w:hint="eastAsia" w:hAnsi="宋体" w:cs="宋体"/>
          <w:sz w:val="24"/>
          <w:highlight w:val="none"/>
        </w:rPr>
        <w:t>不予受理：</w:t>
      </w:r>
    </w:p>
    <w:p>
      <w:pPr>
        <w:pStyle w:val="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keepNext w:val="0"/>
        <w:keepLines w:val="0"/>
        <w:pageBreakBefore w:val="0"/>
        <w:shd w:val="clear"/>
        <w:kinsoku/>
        <w:wordWrap/>
        <w:overflowPunct/>
        <w:topLinePunct w:val="0"/>
        <w:bidi w:val="0"/>
        <w:spacing w:beforeAutospacing="0" w:line="348" w:lineRule="auto"/>
        <w:ind w:left="479" w:leftChars="228"/>
        <w:textAlignment w:val="auto"/>
        <w:outlineLvl w:val="9"/>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4.3.3.4事实依据；</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4.3.3.5必要的法律依据；</w:t>
      </w:r>
    </w:p>
    <w:p>
      <w:pPr>
        <w:pStyle w:val="32"/>
        <w:keepNext w:val="0"/>
        <w:keepLines w:val="0"/>
        <w:pageBreakBefore w:val="0"/>
        <w:shd w:val="clear"/>
        <w:kinsoku/>
        <w:wordWrap/>
        <w:overflowPunct/>
        <w:topLinePunct w:val="0"/>
        <w:bidi w:val="0"/>
        <w:spacing w:beforeAutospacing="0" w:line="348" w:lineRule="auto"/>
        <w:ind w:firstLine="960" w:firstLineChars="400"/>
        <w:textAlignment w:val="auto"/>
        <w:outlineLvl w:val="9"/>
        <w:rPr>
          <w:rFonts w:hAnsi="宋体" w:cs="宋体"/>
          <w:kern w:val="0"/>
          <w:sz w:val="24"/>
          <w:highlight w:val="none"/>
          <w:lang w:val="zh-CN"/>
        </w:rPr>
      </w:pPr>
      <w:r>
        <w:rPr>
          <w:rFonts w:hint="eastAsia" w:hAnsi="宋体" w:cs="宋体"/>
          <w:kern w:val="0"/>
          <w:sz w:val="24"/>
          <w:highlight w:val="none"/>
          <w:lang w:val="zh-CN"/>
        </w:rPr>
        <w:t>4.3.3.6提出质疑的日期。</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质疑函范本及制作说明详见附件2。</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4.3.4对同一采购程序环节的质疑，供应商须在法定质疑期内一次性提出。</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22</w:t>
      </w:r>
      <w:r>
        <w:rPr>
          <w:rFonts w:asciiTheme="minorEastAsia" w:hAnsiTheme="minorEastAsia" w:eastAsiaTheme="minorEastAsia"/>
          <w:color w:val="auto"/>
          <w:sz w:val="24"/>
          <w:highlight w:val="none"/>
        </w:rPr>
        <w:t>号）</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highlight w:val="none"/>
          <w:lang w:val="zh-CN"/>
        </w:rPr>
      </w:pPr>
      <w:r>
        <w:rPr>
          <w:rFonts w:hint="eastAsia"/>
          <w:highlight w:val="none"/>
          <w:lang w:val="zh-CN"/>
        </w:rPr>
        <w:t>4.4供应商投诉</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4.4.1质疑供应商对采购人、</w:t>
      </w:r>
      <w:r>
        <w:rPr>
          <w:rFonts w:hint="eastAsia"/>
          <w:highlight w:val="none"/>
          <w:lang w:eastAsia="zh-CN"/>
        </w:rPr>
        <w:t>采购代理机构</w:t>
      </w:r>
      <w:r>
        <w:rPr>
          <w:rFonts w:hint="eastAsia"/>
          <w:highlight w:val="none"/>
        </w:rPr>
        <w:t>的答复不满意或者采购人、</w:t>
      </w:r>
      <w:r>
        <w:rPr>
          <w:rFonts w:hint="eastAsia"/>
          <w:highlight w:val="none"/>
          <w:lang w:eastAsia="zh-CN"/>
        </w:rPr>
        <w:t>采购代理机构</w:t>
      </w:r>
      <w:r>
        <w:rPr>
          <w:rFonts w:hint="eastAsia"/>
          <w:highlight w:val="none"/>
        </w:rPr>
        <w:t>未在规定的时间内作出答复的，可以在答复期满后十五个工作日内向同级政府采购监督管理部门提出投诉。</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4.4.3供应商投诉应当有明确的请求和必要的证明材料。</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4.4.4以联合体形式参加政府采购活动的，其投诉应当由组成联合体的所有供应商共同提出。</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highlight w:val="none"/>
        </w:rPr>
      </w:pPr>
      <w:r>
        <w:rPr>
          <w:rFonts w:hint="eastAsia"/>
          <w:highlight w:val="none"/>
        </w:rPr>
        <w:t>4.4.5投诉材料</w:t>
      </w:r>
      <w:r>
        <w:rPr>
          <w:rFonts w:hint="eastAsia" w:ascii="宋体" w:hAnsi="Courier New"/>
          <w:sz w:val="24"/>
          <w:szCs w:val="24"/>
          <w:highlight w:val="none"/>
        </w:rPr>
        <w:t>寄送</w:t>
      </w:r>
      <w:r>
        <w:rPr>
          <w:rFonts w:hint="eastAsia"/>
          <w:sz w:val="24"/>
          <w:szCs w:val="24"/>
          <w:highlight w:val="none"/>
          <w:lang w:val="en-US" w:eastAsia="zh-CN"/>
        </w:rPr>
        <w:t>相关信息详见《第一部分  招标公告》。</w:t>
      </w:r>
    </w:p>
    <w:p>
      <w:pPr>
        <w:pStyle w:val="887"/>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投诉书范本及制作说明详见附件3。</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2"/>
          <w:szCs w:val="20"/>
          <w:highlight w:val="none"/>
        </w:rPr>
      </w:pPr>
      <w:r>
        <w:rPr>
          <w:rFonts w:hint="eastAsia" w:ascii="宋体" w:hAnsi="宋体" w:cs="宋体"/>
          <w:b/>
          <w:sz w:val="32"/>
          <w:szCs w:val="20"/>
          <w:highlight w:val="none"/>
        </w:rPr>
        <w:t>二、招标文件的构成、澄清、修改</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5．招标文件的构成</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5.1 招标文件包括下列文件及附件：</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5.1.1招标公告；</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5.1.2</w:t>
      </w:r>
      <w:r>
        <w:rPr>
          <w:rFonts w:hint="eastAsia" w:hAnsi="宋体" w:cs="宋体"/>
          <w:sz w:val="24"/>
          <w:szCs w:val="24"/>
          <w:highlight w:val="none"/>
          <w:lang w:eastAsia="zh-CN"/>
        </w:rPr>
        <w:t>供应商</w:t>
      </w:r>
      <w:r>
        <w:rPr>
          <w:rFonts w:hint="eastAsia" w:hAnsi="宋体" w:cs="宋体"/>
          <w:sz w:val="24"/>
          <w:szCs w:val="24"/>
          <w:highlight w:val="none"/>
        </w:rPr>
        <w:t>须知；</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5.1.3采购需求；</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5.1.4评标办法；</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5.1.5拟签订的合同文本；</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6.招标文件的澄清、修改</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6.1已获取招标文件的潜在</w:t>
      </w:r>
      <w:r>
        <w:rPr>
          <w:rFonts w:hint="eastAsia" w:ascii="宋体" w:hAnsi="宋体" w:cs="宋体"/>
          <w:highlight w:val="none"/>
          <w:lang w:eastAsia="zh-CN"/>
        </w:rPr>
        <w:t>供应商</w:t>
      </w:r>
      <w:r>
        <w:rPr>
          <w:rFonts w:hint="eastAsia" w:ascii="宋体" w:hAnsi="宋体" w:cs="宋体"/>
          <w:highlight w:val="none"/>
        </w:rPr>
        <w:t>，若有问题需要澄清，应于投标截止时间前，以书面形式向</w:t>
      </w:r>
      <w:r>
        <w:rPr>
          <w:rFonts w:hint="eastAsia" w:ascii="宋体" w:hAnsi="宋体" w:cs="宋体"/>
          <w:highlight w:val="none"/>
          <w:lang w:eastAsia="zh-CN"/>
        </w:rPr>
        <w:t>采购代理机构</w:t>
      </w:r>
      <w:r>
        <w:rPr>
          <w:rFonts w:hint="eastAsia" w:ascii="宋体" w:hAnsi="宋体" w:cs="宋体"/>
          <w:highlight w:val="none"/>
        </w:rPr>
        <w:t>提出。</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6.2</w:t>
      </w:r>
      <w:r>
        <w:rPr>
          <w:rFonts w:hint="eastAsia" w:ascii="宋体" w:hAnsi="宋体" w:cs="宋体"/>
          <w:highlight w:val="none"/>
          <w:lang w:eastAsia="zh-CN"/>
        </w:rPr>
        <w:t>采购代理机构</w:t>
      </w:r>
      <w:r>
        <w:rPr>
          <w:rFonts w:hint="eastAsia" w:ascii="宋体" w:hAnsi="宋体" w:cs="宋体"/>
          <w:highlight w:val="none"/>
        </w:rPr>
        <w:t>对招标文件进行澄清或修改的，将同时通过电子交易平台通知已获取招标文件的潜在</w:t>
      </w:r>
      <w:r>
        <w:rPr>
          <w:rFonts w:hint="eastAsia" w:ascii="宋体" w:hAnsi="宋体" w:cs="宋体"/>
          <w:highlight w:val="none"/>
          <w:lang w:eastAsia="zh-CN"/>
        </w:rPr>
        <w:t>供应商</w:t>
      </w:r>
      <w:r>
        <w:rPr>
          <w:rFonts w:hint="eastAsia" w:ascii="宋体" w:hAnsi="宋体" w:cs="宋体"/>
          <w:highlight w:val="none"/>
        </w:rPr>
        <w:t>。依法应当公告的，将按规定公告，同时视情况延长投标截止时间和开标时间。该澄清或者修改的内容为招标文件的组成部分。</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0"/>
          <w:szCs w:val="20"/>
          <w:highlight w:val="none"/>
        </w:rPr>
      </w:pPr>
      <w:r>
        <w:rPr>
          <w:rFonts w:hint="eastAsia" w:ascii="宋体" w:hAnsi="宋体" w:cs="宋体"/>
          <w:b/>
          <w:sz w:val="30"/>
          <w:szCs w:val="20"/>
          <w:highlight w:val="none"/>
        </w:rPr>
        <w:t>三、投标</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7.招标文件的获取</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8.开标前答疑会或现场考察</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采购人组织潜在</w:t>
      </w:r>
      <w:r>
        <w:rPr>
          <w:rFonts w:hint="eastAsia" w:hAnsi="宋体" w:cs="宋体"/>
          <w:sz w:val="24"/>
          <w:szCs w:val="24"/>
          <w:highlight w:val="none"/>
          <w:lang w:eastAsia="zh-CN"/>
        </w:rPr>
        <w:t>供应商</w:t>
      </w:r>
      <w:r>
        <w:rPr>
          <w:rFonts w:hint="eastAsia" w:hAnsi="宋体" w:cs="宋体"/>
          <w:sz w:val="24"/>
          <w:szCs w:val="24"/>
          <w:highlight w:val="none"/>
        </w:rPr>
        <w:t>现场考察或者召开开标前答疑会的，潜在</w:t>
      </w:r>
      <w:r>
        <w:rPr>
          <w:rFonts w:hint="eastAsia" w:hAnsi="宋体" w:cs="宋体"/>
          <w:sz w:val="24"/>
          <w:szCs w:val="24"/>
          <w:highlight w:val="none"/>
          <w:lang w:eastAsia="zh-CN"/>
        </w:rPr>
        <w:t>供应商</w:t>
      </w:r>
      <w:r>
        <w:rPr>
          <w:rFonts w:hint="eastAsia" w:hAnsi="宋体" w:cs="宋体"/>
          <w:sz w:val="24"/>
          <w:szCs w:val="24"/>
          <w:highlight w:val="none"/>
        </w:rPr>
        <w:t>按第二部分</w:t>
      </w:r>
      <w:r>
        <w:rPr>
          <w:rFonts w:hint="eastAsia" w:hAnsi="宋体" w:cs="宋体"/>
          <w:sz w:val="24"/>
          <w:szCs w:val="24"/>
          <w:highlight w:val="none"/>
          <w:lang w:eastAsia="zh-CN"/>
        </w:rPr>
        <w:t>供应商</w:t>
      </w:r>
      <w:r>
        <w:rPr>
          <w:rFonts w:hint="eastAsia" w:hAnsi="宋体" w:cs="宋体"/>
          <w:sz w:val="24"/>
          <w:szCs w:val="24"/>
          <w:highlight w:val="none"/>
        </w:rPr>
        <w:t>须知前附表的规定参加现场考察或者开标前答疑会。</w:t>
      </w:r>
    </w:p>
    <w:p>
      <w:pPr>
        <w:pStyle w:val="32"/>
        <w:pageBreakBefore w:val="0"/>
        <w:shd w:val="clear"/>
        <w:kinsoku/>
        <w:wordWrap/>
        <w:overflowPunct/>
        <w:topLinePunct w:val="0"/>
        <w:bidi w:val="0"/>
        <w:spacing w:beforeAutospacing="0" w:line="348" w:lineRule="auto"/>
        <w:textAlignment w:val="auto"/>
        <w:outlineLvl w:val="9"/>
        <w:rPr>
          <w:rFonts w:hAnsi="宋体" w:cs="宋体"/>
          <w:b/>
          <w:szCs w:val="24"/>
          <w:highlight w:val="none"/>
        </w:rPr>
      </w:pPr>
      <w:r>
        <w:rPr>
          <w:rFonts w:hint="eastAsia" w:hAnsi="宋体" w:cs="宋体"/>
          <w:b/>
          <w:kern w:val="28"/>
          <w:sz w:val="24"/>
          <w:szCs w:val="24"/>
          <w:highlight w:val="none"/>
        </w:rPr>
        <w:t>9.投标保证金</w:t>
      </w:r>
    </w:p>
    <w:p>
      <w:pPr>
        <w:pStyle w:val="5"/>
        <w:pageBreakBefore w:val="0"/>
        <w:shd w:val="clear"/>
        <w:kinsoku/>
        <w:wordWrap/>
        <w:overflowPunct/>
        <w:topLinePunct w:val="0"/>
        <w:bidi w:val="0"/>
        <w:spacing w:beforeAutospacing="0" w:line="348" w:lineRule="auto"/>
        <w:ind w:firstLine="470" w:firstLineChars="196"/>
        <w:textAlignment w:val="auto"/>
        <w:outlineLvl w:val="9"/>
        <w:rPr>
          <w:rFonts w:hAnsi="宋体" w:cs="宋体"/>
          <w:color w:val="auto"/>
          <w:sz w:val="24"/>
          <w:highlight w:val="none"/>
        </w:rPr>
      </w:pPr>
      <w:r>
        <w:rPr>
          <w:rFonts w:hint="eastAsia" w:hAnsi="宋体" w:cs="宋体"/>
          <w:color w:val="auto"/>
          <w:sz w:val="24"/>
          <w:highlight w:val="none"/>
        </w:rPr>
        <w:t>本项目不需缴纳投标保证金。</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10. 投标文件的语言</w:t>
      </w:r>
    </w:p>
    <w:p>
      <w:pPr>
        <w:pageBreakBefore w:val="0"/>
        <w:shd w:val="clear"/>
        <w:kinsoku/>
        <w:wordWrap/>
        <w:overflowPunct/>
        <w:topLinePunct w:val="0"/>
        <w:autoSpaceDE w:val="0"/>
        <w:autoSpaceDN w:val="0"/>
        <w:bidi w:val="0"/>
        <w:spacing w:beforeAutospacing="0" w:line="348" w:lineRule="auto"/>
        <w:ind w:firstLine="480" w:firstLineChars="200"/>
        <w:textAlignment w:val="auto"/>
        <w:outlineLvl w:val="9"/>
        <w:rPr>
          <w:rFonts w:ascii="宋体" w:hAnsi="宋体" w:cs="宋体"/>
          <w:sz w:val="24"/>
          <w:highlight w:val="none"/>
          <w:lang w:val="zh-CN"/>
        </w:rPr>
      </w:pPr>
      <w:r>
        <w:rPr>
          <w:rFonts w:hint="eastAsia" w:ascii="宋体" w:hAnsi="宋体" w:cs="宋体"/>
          <w:sz w:val="24"/>
          <w:highlight w:val="none"/>
        </w:rPr>
        <w:t>投标文件及</w:t>
      </w:r>
      <w:r>
        <w:rPr>
          <w:rFonts w:hint="eastAsia" w:ascii="宋体" w:hAnsi="宋体" w:cs="宋体"/>
          <w:sz w:val="24"/>
          <w:highlight w:val="none"/>
          <w:lang w:eastAsia="zh-CN"/>
        </w:rPr>
        <w:t>供应商</w:t>
      </w:r>
      <w:r>
        <w:rPr>
          <w:rFonts w:hint="eastAsia" w:ascii="宋体" w:hAnsi="宋体" w:cs="宋体"/>
          <w:sz w:val="24"/>
          <w:highlight w:val="none"/>
        </w:rPr>
        <w:t>与采购有关的来往通知、函件和文件均应使用中文。</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11. 投标文件的组成</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highlight w:val="none"/>
        </w:rPr>
      </w:pPr>
      <w:r>
        <w:rPr>
          <w:rFonts w:hint="eastAsia" w:ascii="宋体" w:hAnsi="宋体" w:cs="宋体"/>
          <w:b/>
          <w:bCs/>
          <w:sz w:val="24"/>
          <w:highlight w:val="none"/>
        </w:rPr>
        <w:t>11.1资格文件：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8" w:name="_Hlk101259339"/>
      <w:r>
        <w:rPr>
          <w:rFonts w:hint="eastAsia" w:ascii="宋体" w:hAnsi="宋体" w:cs="宋体"/>
          <w:snapToGrid w:val="0"/>
          <w:color w:val="auto"/>
          <w:kern w:val="28"/>
          <w:sz w:val="24"/>
          <w:szCs w:val="20"/>
          <w:highlight w:val="none"/>
        </w:rPr>
        <w:t>联合协议</w:t>
      </w:r>
      <w:bookmarkEnd w:id="18"/>
      <w:r>
        <w:rPr>
          <w:rFonts w:hint="eastAsia" w:ascii="宋体" w:hAnsi="宋体" w:cs="宋体"/>
          <w:snapToGrid w:val="0"/>
          <w:color w:val="auto"/>
          <w:kern w:val="28"/>
          <w:sz w:val="24"/>
          <w:szCs w:val="20"/>
          <w:highlight w:val="none"/>
        </w:rPr>
        <w:t>（如果有)；</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highlight w:val="none"/>
          <w:lang w:val="zh-CN"/>
        </w:rPr>
      </w:pPr>
      <w:r>
        <w:rPr>
          <w:rFonts w:hint="eastAsia" w:ascii="宋体" w:hAnsi="宋体" w:cs="宋体"/>
          <w:b/>
          <w:bCs/>
          <w:sz w:val="24"/>
          <w:highlight w:val="none"/>
          <w:lang w:val="zh-CN"/>
        </w:rPr>
        <w:t>11.</w:t>
      </w:r>
      <w:r>
        <w:rPr>
          <w:rFonts w:hint="eastAsia" w:ascii="宋体" w:hAnsi="宋体" w:cs="宋体"/>
          <w:b/>
          <w:bCs/>
          <w:sz w:val="24"/>
          <w:highlight w:val="none"/>
        </w:rPr>
        <w:t>2商务技术</w:t>
      </w:r>
      <w:r>
        <w:rPr>
          <w:rFonts w:hint="eastAsia" w:ascii="宋体" w:hAnsi="宋体" w:cs="宋体"/>
          <w:b/>
          <w:bCs/>
          <w:sz w:val="24"/>
          <w:highlight w:val="none"/>
          <w:lang w:val="zh-CN"/>
        </w:rPr>
        <w:t>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11.2.1投标函；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6</w:t>
      </w:r>
      <w:r>
        <w:rPr>
          <w:rFonts w:hint="eastAsia" w:ascii="宋体" w:hAnsi="宋体" w:cs="宋体"/>
          <w:sz w:val="24"/>
          <w:highlight w:val="none"/>
        </w:rPr>
        <w:t>商务技术偏离表；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7</w:t>
      </w:r>
      <w:r>
        <w:rPr>
          <w:rFonts w:hint="eastAsia" w:ascii="宋体" w:hAnsi="宋体" w:cs="宋体"/>
          <w:sz w:val="24"/>
          <w:highlight w:val="none"/>
          <w:lang w:val="zh-CN"/>
        </w:rPr>
        <w:t>政府采购供应商廉洁自律承诺书；</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highlight w:val="none"/>
          <w:u w:val="single"/>
          <w:lang w:val="zh-CN"/>
        </w:rPr>
      </w:pPr>
      <w:r>
        <w:rPr>
          <w:rFonts w:hint="eastAsia" w:ascii="宋体" w:hAnsi="宋体" w:cs="宋体"/>
          <w:b/>
          <w:bCs/>
          <w:kern w:val="0"/>
          <w:sz w:val="24"/>
          <w:highlight w:val="none"/>
          <w:lang w:val="zh-CN"/>
        </w:rPr>
        <w:t>11.</w:t>
      </w:r>
      <w:r>
        <w:rPr>
          <w:rFonts w:hint="eastAsia" w:ascii="宋体" w:hAnsi="宋体" w:cs="宋体"/>
          <w:b/>
          <w:bCs/>
          <w:kern w:val="0"/>
          <w:sz w:val="24"/>
          <w:highlight w:val="none"/>
        </w:rPr>
        <w:t>3</w:t>
      </w:r>
      <w:r>
        <w:rPr>
          <w:rFonts w:hint="eastAsia" w:ascii="宋体" w:hAnsi="宋体" w:cs="宋体"/>
          <w:b/>
          <w:bCs/>
          <w:sz w:val="24"/>
          <w:highlight w:val="none"/>
        </w:rPr>
        <w:t>报价文件：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11.3.1开标一览表（报价表）；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11.3.2中小企业声明函。</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szCs w:val="21"/>
          <w:highlight w:val="none"/>
        </w:rPr>
      </w:pPr>
      <w:r>
        <w:rPr>
          <w:rFonts w:hint="eastAsia" w:ascii="宋体" w:hAnsi="宋体" w:cs="宋体"/>
          <w:b/>
          <w:sz w:val="24"/>
          <w:highlight w:val="none"/>
          <w:lang w:eastAsia="zh-CN"/>
        </w:rPr>
        <w:t>供应商</w:t>
      </w:r>
      <w:r>
        <w:rPr>
          <w:rFonts w:hint="eastAsia" w:ascii="宋体" w:hAnsi="宋体" w:cs="宋体"/>
          <w:b/>
          <w:sz w:val="24"/>
          <w:highlight w:val="none"/>
        </w:rPr>
        <w:t>提供虚假材料投标的，投标无效。</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pageBreakBefore w:val="0"/>
        <w:shd w:val="clear"/>
        <w:kinsoku/>
        <w:wordWrap/>
        <w:overflowPunct/>
        <w:topLinePunct w:val="0"/>
        <w:bidi w:val="0"/>
        <w:snapToGrid w:val="0"/>
        <w:spacing w:beforeAutospacing="0" w:line="348" w:lineRule="auto"/>
        <w:textAlignment w:val="auto"/>
        <w:outlineLvl w:val="9"/>
        <w:rPr>
          <w:rFonts w:ascii="宋体" w:hAnsi="宋体" w:cs="宋体"/>
          <w:b/>
          <w:sz w:val="24"/>
          <w:highlight w:val="none"/>
        </w:rPr>
      </w:pPr>
      <w:r>
        <w:rPr>
          <w:rFonts w:hint="eastAsia" w:ascii="宋体" w:hAnsi="宋体" w:cs="宋体"/>
          <w:b/>
          <w:sz w:val="24"/>
          <w:highlight w:val="none"/>
        </w:rPr>
        <w:t>13.投标文件的签署、盖章</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lang w:eastAsia="zh-CN"/>
        </w:rPr>
        <w:t>★供应商</w:t>
      </w:r>
      <w:r>
        <w:rPr>
          <w:rFonts w:hint="eastAsia" w:ascii="宋体" w:hAnsi="宋体" w:cs="宋体"/>
          <w:b/>
          <w:highlight w:val="none"/>
        </w:rPr>
        <w:t>的投标文件未按照招标文件要求签署、盖章的，其投标无效</w:t>
      </w:r>
      <w:r>
        <w:rPr>
          <w:rFonts w:hint="eastAsia" w:ascii="宋体" w:hAnsi="宋体" w:cs="宋体"/>
          <w:szCs w:val="24"/>
          <w:highlight w:val="none"/>
        </w:rPr>
        <w:t>。</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13.2为确保网上操作合法、有效和安全，</w:t>
      </w:r>
      <w:r>
        <w:rPr>
          <w:rFonts w:hint="eastAsia" w:ascii="宋体" w:hAnsi="宋体" w:cs="宋体"/>
          <w:highlight w:val="none"/>
          <w:lang w:eastAsia="zh-CN"/>
        </w:rPr>
        <w:t>供应商</w:t>
      </w:r>
      <w:r>
        <w:rPr>
          <w:rFonts w:hint="eastAsia" w:ascii="宋体" w:hAnsi="宋体" w:cs="宋体"/>
          <w:highlight w:val="none"/>
        </w:rPr>
        <w:t>应当在投标截止时间前完成在“政府采购云平台”的身份认证，确保在电子投标过程中能够对相关数据电文进行加密和使用电子签名。</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14. 投标文件的提交、补充、修改、撤回</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szCs w:val="24"/>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szCs w:val="24"/>
          <w:highlight w:val="none"/>
        </w:rPr>
        <w:t>14.3采购人、</w:t>
      </w:r>
      <w:r>
        <w:rPr>
          <w:rFonts w:hint="eastAsia" w:ascii="宋体" w:hAnsi="宋体" w:cs="宋体"/>
          <w:szCs w:val="24"/>
          <w:highlight w:val="none"/>
          <w:lang w:eastAsia="zh-CN"/>
        </w:rPr>
        <w:t>采购代理机构</w:t>
      </w:r>
      <w:r>
        <w:rPr>
          <w:rFonts w:hint="eastAsia" w:ascii="宋体" w:hAnsi="宋体" w:cs="宋体"/>
          <w:szCs w:val="24"/>
          <w:highlight w:val="none"/>
        </w:rPr>
        <w:t>可以视情况延长投标文件提交的截止时间。在上述情况下，</w:t>
      </w:r>
      <w:r>
        <w:rPr>
          <w:rFonts w:hint="eastAsia" w:ascii="宋体" w:hAnsi="宋体" w:cs="宋体"/>
          <w:szCs w:val="24"/>
          <w:highlight w:val="none"/>
          <w:lang w:eastAsia="zh-CN"/>
        </w:rPr>
        <w:t>采购代理机构</w:t>
      </w:r>
      <w:r>
        <w:rPr>
          <w:rFonts w:hint="eastAsia" w:ascii="宋体" w:hAnsi="宋体" w:cs="宋体"/>
          <w:szCs w:val="24"/>
          <w:highlight w:val="none"/>
        </w:rPr>
        <w:t>与</w:t>
      </w:r>
      <w:r>
        <w:rPr>
          <w:rFonts w:hint="eastAsia" w:ascii="宋体" w:hAnsi="宋体" w:cs="宋体"/>
          <w:szCs w:val="24"/>
          <w:highlight w:val="none"/>
          <w:lang w:eastAsia="zh-CN"/>
        </w:rPr>
        <w:t>供应商</w:t>
      </w:r>
      <w:r>
        <w:rPr>
          <w:rFonts w:hint="eastAsia" w:ascii="宋体" w:hAnsi="宋体" w:cs="宋体"/>
          <w:szCs w:val="24"/>
          <w:highlight w:val="none"/>
        </w:rPr>
        <w:t>以前在投标截止期方面的全部权利、责任和义务，将适用于延长至新的投标截止期。</w:t>
      </w:r>
    </w:p>
    <w:p>
      <w:pPr>
        <w:pStyle w:val="32"/>
        <w:pageBreakBefore w:val="0"/>
        <w:shd w:val="clear"/>
        <w:kinsoku/>
        <w:wordWrap/>
        <w:overflowPunct/>
        <w:topLinePunct w:val="0"/>
        <w:bidi w:val="0"/>
        <w:spacing w:beforeAutospacing="0" w:line="348" w:lineRule="auto"/>
        <w:textAlignment w:val="auto"/>
        <w:outlineLvl w:val="9"/>
        <w:rPr>
          <w:rFonts w:hint="eastAsia" w:hAnsi="宋体" w:eastAsia="宋体" w:cs="宋体"/>
          <w:b/>
          <w:sz w:val="24"/>
          <w:szCs w:val="24"/>
          <w:highlight w:val="none"/>
          <w:lang w:eastAsia="zh-CN"/>
        </w:rPr>
      </w:pPr>
      <w:r>
        <w:rPr>
          <w:rFonts w:hint="eastAsia" w:hAnsi="宋体" w:cs="宋体"/>
          <w:b/>
          <w:sz w:val="24"/>
          <w:szCs w:val="24"/>
          <w:highlight w:val="none"/>
        </w:rPr>
        <w:t>15.备份投标文件</w:t>
      </w:r>
      <w:r>
        <w:rPr>
          <w:rFonts w:hint="eastAsia" w:hAnsi="宋体" w:cs="宋体"/>
          <w:b/>
          <w:sz w:val="24"/>
          <w:szCs w:val="24"/>
          <w:highlight w:val="none"/>
          <w:lang w:eastAsia="zh-CN"/>
        </w:rPr>
        <w:t>（文件后缀为：bfbs）</w:t>
      </w:r>
    </w:p>
    <w:p>
      <w:pPr>
        <w:pStyle w:val="32"/>
        <w:pageBreakBefore w:val="0"/>
        <w:shd w:val="clear"/>
        <w:kinsoku/>
        <w:wordWrap/>
        <w:overflowPunct/>
        <w:topLinePunct w:val="0"/>
        <w:bidi w:val="0"/>
        <w:spacing w:beforeAutospacing="0" w:line="348" w:lineRule="auto"/>
        <w:ind w:firstLine="360" w:firstLineChars="150"/>
        <w:textAlignment w:val="auto"/>
        <w:outlineLvl w:val="9"/>
        <w:rPr>
          <w:rFonts w:hAnsi="宋体" w:cs="宋体"/>
          <w:b/>
          <w:sz w:val="24"/>
          <w:szCs w:val="24"/>
          <w:highlight w:val="none"/>
        </w:rPr>
      </w:pPr>
      <w:r>
        <w:rPr>
          <w:rFonts w:hint="eastAsia" w:hAnsi="宋体" w:cs="宋体"/>
          <w:sz w:val="24"/>
          <w:szCs w:val="24"/>
          <w:highlight w:val="none"/>
        </w:rPr>
        <w:t>15.1</w:t>
      </w:r>
      <w:r>
        <w:rPr>
          <w:rFonts w:hint="eastAsia" w:hAnsi="宋体" w:cs="宋体"/>
          <w:sz w:val="24"/>
          <w:szCs w:val="24"/>
          <w:highlight w:val="none"/>
          <w:lang w:eastAsia="zh-CN"/>
        </w:rPr>
        <w:t>供应商</w:t>
      </w:r>
      <w:r>
        <w:rPr>
          <w:rFonts w:hint="eastAsia" w:hAnsi="宋体" w:cs="宋体"/>
          <w:sz w:val="24"/>
          <w:szCs w:val="24"/>
          <w:highlight w:val="none"/>
        </w:rPr>
        <w:t>在电子交易平台传输递交投标文件后，还可以在投标截止时间前直接提交或者以邮政快递方式递交备份投标文件1份，</w:t>
      </w:r>
      <w:r>
        <w:rPr>
          <w:rFonts w:hint="eastAsia" w:hAnsi="宋体" w:cs="宋体"/>
          <w:b/>
          <w:sz w:val="24"/>
          <w:szCs w:val="24"/>
          <w:highlight w:val="none"/>
        </w:rPr>
        <w:t>但采购人、</w:t>
      </w:r>
      <w:r>
        <w:rPr>
          <w:rFonts w:hint="eastAsia" w:hAnsi="宋体" w:cs="宋体"/>
          <w:b/>
          <w:sz w:val="24"/>
          <w:szCs w:val="24"/>
          <w:highlight w:val="none"/>
          <w:lang w:eastAsia="zh-CN"/>
        </w:rPr>
        <w:t>采购代理机构</w:t>
      </w:r>
      <w:r>
        <w:rPr>
          <w:rFonts w:hint="eastAsia" w:hAnsi="宋体" w:cs="宋体"/>
          <w:b/>
          <w:sz w:val="24"/>
          <w:szCs w:val="24"/>
          <w:highlight w:val="none"/>
        </w:rPr>
        <w:t>不强制或变相强制</w:t>
      </w:r>
      <w:r>
        <w:rPr>
          <w:rFonts w:hint="eastAsia" w:hAnsi="宋体" w:cs="宋体"/>
          <w:b/>
          <w:sz w:val="24"/>
          <w:szCs w:val="24"/>
          <w:highlight w:val="none"/>
          <w:lang w:eastAsia="zh-CN"/>
        </w:rPr>
        <w:t>供应商</w:t>
      </w:r>
      <w:r>
        <w:rPr>
          <w:rFonts w:hint="eastAsia" w:hAnsi="宋体" w:cs="宋体"/>
          <w:b/>
          <w:sz w:val="24"/>
          <w:szCs w:val="24"/>
          <w:highlight w:val="none"/>
        </w:rPr>
        <w:t>提交备份投标文件。</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lang w:val="en-US" w:eastAsia="zh-CN"/>
        </w:rPr>
        <w:t>U盘</w:t>
      </w:r>
      <w:r>
        <w:rPr>
          <w:rFonts w:hint="eastAsia" w:hAnsi="宋体" w:cs="宋体"/>
          <w:sz w:val="24"/>
          <w:szCs w:val="24"/>
          <w:highlight w:val="none"/>
        </w:rPr>
        <w:t>中。备份投标文件应当密封包装并在包装上加盖公章并注明投标项目名称，</w:t>
      </w:r>
      <w:r>
        <w:rPr>
          <w:rFonts w:hint="eastAsia" w:hAnsi="宋体" w:cs="宋体"/>
          <w:sz w:val="24"/>
          <w:szCs w:val="24"/>
          <w:highlight w:val="none"/>
          <w:lang w:eastAsia="zh-CN"/>
        </w:rPr>
        <w:t>供应商</w:t>
      </w:r>
      <w:r>
        <w:rPr>
          <w:rFonts w:hint="eastAsia" w:hAnsi="宋体" w:cs="宋体"/>
          <w:sz w:val="24"/>
          <w:szCs w:val="24"/>
          <w:highlight w:val="none"/>
        </w:rPr>
        <w:t>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15.3直接提交备份投标文件的，</w:t>
      </w:r>
      <w:r>
        <w:rPr>
          <w:rFonts w:hint="eastAsia" w:hAnsi="宋体" w:cs="宋体"/>
          <w:sz w:val="24"/>
          <w:szCs w:val="24"/>
          <w:highlight w:val="none"/>
          <w:lang w:eastAsia="zh-CN"/>
        </w:rPr>
        <w:t>供应商</w:t>
      </w:r>
      <w:r>
        <w:rPr>
          <w:rFonts w:hint="eastAsia" w:hAnsi="宋体" w:cs="宋体"/>
          <w:sz w:val="24"/>
          <w:szCs w:val="24"/>
          <w:highlight w:val="none"/>
        </w:rPr>
        <w:t>应于投标截止时间前在招标公告中载明的开标地点将备份投标文件提交给</w:t>
      </w:r>
      <w:r>
        <w:rPr>
          <w:rFonts w:hint="eastAsia" w:hAnsi="宋体" w:cs="宋体"/>
          <w:sz w:val="24"/>
          <w:szCs w:val="24"/>
          <w:highlight w:val="none"/>
          <w:lang w:eastAsia="zh-CN"/>
        </w:rPr>
        <w:t>采购代理机构</w:t>
      </w:r>
      <w:r>
        <w:rPr>
          <w:rFonts w:hint="eastAsia" w:hAnsi="宋体" w:cs="宋体"/>
          <w:sz w:val="24"/>
          <w:szCs w:val="24"/>
          <w:highlight w:val="none"/>
        </w:rPr>
        <w:t>，</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15.4以邮政快递方式递交备份投标文件的，</w:t>
      </w:r>
      <w:r>
        <w:rPr>
          <w:rFonts w:hint="eastAsia" w:hAnsi="宋体" w:cs="宋体"/>
          <w:sz w:val="24"/>
          <w:szCs w:val="24"/>
          <w:highlight w:val="none"/>
          <w:lang w:eastAsia="zh-CN"/>
        </w:rPr>
        <w:t>供应商</w:t>
      </w:r>
      <w:r>
        <w:rPr>
          <w:rFonts w:hint="eastAsia" w:hAnsi="宋体" w:cs="宋体"/>
          <w:sz w:val="24"/>
          <w:szCs w:val="24"/>
          <w:highlight w:val="none"/>
        </w:rPr>
        <w:t>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w:t>
      </w:r>
      <w:r>
        <w:rPr>
          <w:rFonts w:hint="eastAsia" w:hAnsi="宋体" w:cs="宋体"/>
          <w:snapToGrid/>
          <w:sz w:val="24"/>
          <w:szCs w:val="24"/>
          <w:highlight w:val="none"/>
          <w:lang w:eastAsia="zh-CN"/>
        </w:rPr>
        <w:t>供应商</w:t>
      </w:r>
      <w:r>
        <w:rPr>
          <w:rFonts w:hint="eastAsia" w:hAnsi="宋体" w:cs="宋体"/>
          <w:snapToGrid/>
          <w:sz w:val="24"/>
          <w:szCs w:val="24"/>
          <w:highlight w:val="none"/>
        </w:rPr>
        <w:t>须知前附表规定的备份投标文件送达地点；</w:t>
      </w:r>
      <w:r>
        <w:rPr>
          <w:rFonts w:hint="eastAsia" w:hAnsi="宋体" w:cs="宋体"/>
          <w:sz w:val="24"/>
          <w:szCs w:val="24"/>
          <w:highlight w:val="none"/>
        </w:rPr>
        <w:t>送达时间以签收人签收时间为准。</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将拒绝接受逾期送达的备份投标文件。邮寄过程中，电子备份投标文件发生泄露、遗失、损坏或延期送达等情况的，由</w:t>
      </w:r>
      <w:r>
        <w:rPr>
          <w:rFonts w:hint="eastAsia" w:hAnsi="宋体" w:cs="宋体"/>
          <w:sz w:val="24"/>
          <w:szCs w:val="24"/>
          <w:highlight w:val="none"/>
          <w:lang w:eastAsia="zh-CN"/>
        </w:rPr>
        <w:t>供应商</w:t>
      </w:r>
      <w:r>
        <w:rPr>
          <w:rFonts w:hint="eastAsia" w:hAnsi="宋体" w:cs="宋体"/>
          <w:sz w:val="24"/>
          <w:szCs w:val="24"/>
          <w:highlight w:val="none"/>
        </w:rPr>
        <w:t>自行负责。</w:t>
      </w:r>
    </w:p>
    <w:p>
      <w:pPr>
        <w:pStyle w:val="32"/>
        <w:pageBreakBefore w:val="0"/>
        <w:shd w:val="clear"/>
        <w:kinsoku/>
        <w:wordWrap/>
        <w:overflowPunct/>
        <w:topLinePunct w:val="0"/>
        <w:bidi w:val="0"/>
        <w:spacing w:beforeAutospacing="0" w:line="348" w:lineRule="auto"/>
        <w:ind w:firstLine="479" w:firstLineChars="199"/>
        <w:textAlignment w:val="auto"/>
        <w:outlineLvl w:val="9"/>
        <w:rPr>
          <w:rFonts w:hAnsi="宋体" w:cs="宋体"/>
          <w:b/>
          <w:sz w:val="24"/>
          <w:szCs w:val="24"/>
          <w:highlight w:val="none"/>
        </w:rPr>
      </w:pPr>
      <w:r>
        <w:rPr>
          <w:rFonts w:hint="eastAsia" w:hAnsi="宋体" w:cs="宋体"/>
          <w:b/>
          <w:sz w:val="24"/>
          <w:szCs w:val="24"/>
          <w:highlight w:val="none"/>
        </w:rPr>
        <w:t>15.5</w:t>
      </w:r>
      <w:r>
        <w:rPr>
          <w:rFonts w:hint="eastAsia" w:hAnsi="宋体" w:cs="宋体"/>
          <w:b/>
          <w:sz w:val="24"/>
          <w:szCs w:val="24"/>
          <w:highlight w:val="none"/>
          <w:lang w:eastAsia="zh-CN"/>
        </w:rPr>
        <w:t>供应商</w:t>
      </w:r>
      <w:r>
        <w:rPr>
          <w:rFonts w:hint="eastAsia" w:hAnsi="宋体" w:cs="宋体"/>
          <w:b/>
          <w:sz w:val="24"/>
          <w:szCs w:val="24"/>
          <w:highlight w:val="none"/>
        </w:rPr>
        <w:t>仅提交备份投标文件，未在电子交易平台传输递交投标文件的，投标无效。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16.投标文件的无效处理</w:t>
      </w:r>
    </w:p>
    <w:p>
      <w:pPr>
        <w:pStyle w:val="24"/>
        <w:pageBreakBefore w:val="0"/>
        <w:shd w:val="clear"/>
        <w:kinsoku/>
        <w:wordWrap/>
        <w:overflowPunct/>
        <w:topLinePunct w:val="0"/>
        <w:bidi w:val="0"/>
        <w:spacing w:beforeAutospacing="0" w:line="348" w:lineRule="auto"/>
        <w:ind w:firstLine="360" w:firstLineChars="150"/>
        <w:textAlignment w:val="auto"/>
        <w:outlineLvl w:val="9"/>
        <w:rPr>
          <w:rFonts w:cs="宋体"/>
          <w:szCs w:val="21"/>
          <w:highlight w:val="none"/>
        </w:rPr>
      </w:pPr>
      <w:r>
        <w:rPr>
          <w:rFonts w:hint="eastAsia" w:cs="宋体"/>
          <w:szCs w:val="21"/>
          <w:highlight w:val="none"/>
        </w:rPr>
        <w:t>有招标文件第四部分</w:t>
      </w:r>
      <w:r>
        <w:rPr>
          <w:rFonts w:cs="宋体"/>
          <w:highlight w:val="none"/>
        </w:rPr>
        <w:t>4.2规定</w:t>
      </w:r>
      <w:r>
        <w:rPr>
          <w:rFonts w:hint="eastAsia" w:cs="宋体"/>
          <w:szCs w:val="21"/>
          <w:highlight w:val="none"/>
        </w:rPr>
        <w:t>的情形之一的，投标无效：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17.投标有效期</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sz w:val="24"/>
          <w:szCs w:val="20"/>
          <w:highlight w:val="none"/>
          <w:lang w:eastAsia="zh-CN"/>
        </w:rPr>
        <w:t>★</w:t>
      </w:r>
      <w:r>
        <w:rPr>
          <w:rFonts w:hint="eastAsia" w:ascii="宋体" w:hAnsi="宋体" w:cs="宋体"/>
          <w:b/>
          <w:sz w:val="24"/>
          <w:szCs w:val="20"/>
          <w:highlight w:val="none"/>
          <w:lang w:eastAsia="zh-CN"/>
        </w:rPr>
        <w:t>供应商</w:t>
      </w:r>
      <w:r>
        <w:rPr>
          <w:rFonts w:hint="eastAsia" w:ascii="宋体" w:hAnsi="宋体" w:cs="宋体"/>
          <w:b/>
          <w:sz w:val="24"/>
          <w:szCs w:val="20"/>
          <w:highlight w:val="none"/>
        </w:rPr>
        <w:t>的投标文件中承</w:t>
      </w:r>
      <w:r>
        <w:rPr>
          <w:rFonts w:hint="eastAsia" w:ascii="宋体" w:hAnsi="宋体" w:cs="宋体"/>
          <w:b/>
          <w:sz w:val="24"/>
          <w:szCs w:val="21"/>
          <w:highlight w:val="none"/>
        </w:rPr>
        <w:t>诺的投标有效期少于招标文件中载明的投标有效期的，投标无效。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17.3在原定投标有效期满之前，如果出现特殊情况，</w:t>
      </w:r>
      <w:r>
        <w:rPr>
          <w:rFonts w:hint="eastAsia" w:ascii="宋体" w:hAnsi="宋体" w:cs="宋体"/>
          <w:highlight w:val="none"/>
          <w:lang w:eastAsia="zh-CN"/>
        </w:rPr>
        <w:t>采购代理机构</w:t>
      </w:r>
      <w:r>
        <w:rPr>
          <w:rFonts w:hint="eastAsia" w:ascii="宋体" w:hAnsi="宋体" w:cs="宋体"/>
          <w:highlight w:val="none"/>
        </w:rPr>
        <w:t>可以以书面形式通知</w:t>
      </w:r>
      <w:r>
        <w:rPr>
          <w:rFonts w:hint="eastAsia" w:ascii="宋体" w:hAnsi="宋体" w:cs="宋体"/>
          <w:highlight w:val="none"/>
          <w:lang w:eastAsia="zh-CN"/>
        </w:rPr>
        <w:t>供应商</w:t>
      </w:r>
      <w:r>
        <w:rPr>
          <w:rFonts w:hint="eastAsia" w:ascii="宋体" w:hAnsi="宋体" w:cs="宋体"/>
          <w:highlight w:val="none"/>
        </w:rPr>
        <w:t>延长投标有效期。</w:t>
      </w:r>
      <w:r>
        <w:rPr>
          <w:rFonts w:hint="eastAsia" w:ascii="宋体" w:hAnsi="宋体" w:cs="宋体"/>
          <w:highlight w:val="none"/>
          <w:lang w:eastAsia="zh-CN"/>
        </w:rPr>
        <w:t>供应商</w:t>
      </w:r>
      <w:r>
        <w:rPr>
          <w:rFonts w:hint="eastAsia" w:ascii="宋体" w:hAnsi="宋体" w:cs="宋体"/>
          <w:highlight w:val="none"/>
        </w:rPr>
        <w:t>同意延长的，不得要求或被允许修改其投标文件，</w:t>
      </w:r>
      <w:r>
        <w:rPr>
          <w:rFonts w:hint="eastAsia" w:ascii="宋体" w:hAnsi="宋体" w:cs="宋体"/>
          <w:highlight w:val="none"/>
          <w:lang w:eastAsia="zh-CN"/>
        </w:rPr>
        <w:t>供应商</w:t>
      </w:r>
      <w:r>
        <w:rPr>
          <w:rFonts w:hint="eastAsia" w:ascii="宋体" w:hAnsi="宋体" w:cs="宋体"/>
          <w:highlight w:val="none"/>
        </w:rPr>
        <w:t>拒绝延长的，其投标无效。</w:t>
      </w:r>
    </w:p>
    <w:p>
      <w:pPr>
        <w:pStyle w:val="132"/>
        <w:pageBreakBefore w:val="0"/>
        <w:shd w:val="clear"/>
        <w:kinsoku/>
        <w:wordWrap/>
        <w:overflowPunct/>
        <w:topLinePunct w:val="0"/>
        <w:bidi w:val="0"/>
        <w:spacing w:before="0" w:beforeAutospacing="0" w:line="348" w:lineRule="auto"/>
        <w:ind w:firstLine="1928" w:firstLineChars="600"/>
        <w:textAlignment w:val="auto"/>
        <w:outlineLvl w:val="9"/>
        <w:rPr>
          <w:rFonts w:ascii="宋体" w:hAnsi="宋体" w:cs="宋体"/>
          <w:b/>
          <w:sz w:val="32"/>
          <w:highlight w:val="none"/>
        </w:rPr>
      </w:pPr>
      <w:r>
        <w:rPr>
          <w:rFonts w:hint="eastAsia" w:ascii="宋体" w:hAnsi="宋体" w:cs="宋体"/>
          <w:b/>
          <w:sz w:val="32"/>
          <w:highlight w:val="none"/>
        </w:rPr>
        <w:t>四、开标、资格审查与信用信息查询</w:t>
      </w:r>
    </w:p>
    <w:p>
      <w:pPr>
        <w:pStyle w:val="555"/>
        <w:pageBreakBefore w:val="0"/>
        <w:shd w:val="clear"/>
        <w:kinsoku/>
        <w:wordWrap/>
        <w:overflowPunct/>
        <w:topLinePunct w:val="0"/>
        <w:bidi w:val="0"/>
        <w:spacing w:before="0" w:beforeAutospacing="0" w:line="348" w:lineRule="auto"/>
        <w:ind w:left="0" w:firstLine="241" w:firstLineChars="100"/>
        <w:contextualSpacing/>
        <w:textAlignment w:val="auto"/>
        <w:outlineLvl w:val="9"/>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eastAsia="zh-CN"/>
        </w:rPr>
        <w:t>采购代理机构</w:t>
      </w:r>
      <w:r>
        <w:rPr>
          <w:rFonts w:hint="eastAsia" w:ascii="宋体" w:hAnsi="宋体" w:cs="宋体"/>
          <w:sz w:val="24"/>
          <w:highlight w:val="none"/>
        </w:rPr>
        <w:t>按照招标文件规定的时间通过电子交易平台组织开标，所有</w:t>
      </w:r>
      <w:r>
        <w:rPr>
          <w:rFonts w:hint="eastAsia" w:ascii="宋体" w:hAnsi="宋体" w:cs="宋体"/>
          <w:sz w:val="24"/>
          <w:highlight w:val="none"/>
          <w:lang w:eastAsia="zh-CN"/>
        </w:rPr>
        <w:t>供应商</w:t>
      </w:r>
      <w:r>
        <w:rPr>
          <w:rFonts w:hint="eastAsia" w:ascii="宋体" w:hAnsi="宋体" w:cs="宋体"/>
          <w:sz w:val="24"/>
          <w:highlight w:val="none"/>
        </w:rPr>
        <w:t>均应当准时在线参加。</w:t>
      </w:r>
      <w:r>
        <w:rPr>
          <w:rFonts w:hint="eastAsia" w:ascii="宋体" w:hAnsi="宋体" w:cs="宋体"/>
          <w:sz w:val="24"/>
          <w:highlight w:val="none"/>
          <w:lang w:eastAsia="zh-CN"/>
        </w:rPr>
        <w:t>供应商</w:t>
      </w:r>
      <w:r>
        <w:rPr>
          <w:rFonts w:hint="eastAsia" w:ascii="宋体" w:hAnsi="宋体" w:cs="宋体"/>
          <w:sz w:val="24"/>
          <w:highlight w:val="none"/>
        </w:rPr>
        <w:t>不足3家的，不得开标。</w:t>
      </w:r>
    </w:p>
    <w:p>
      <w:pPr>
        <w:pStyle w:val="555"/>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sz w:val="24"/>
          <w:highlight w:val="none"/>
        </w:rPr>
      </w:pPr>
      <w:r>
        <w:rPr>
          <w:rFonts w:hint="eastAsia" w:ascii="宋体" w:hAnsi="宋体" w:cs="宋体"/>
          <w:sz w:val="24"/>
          <w:highlight w:val="none"/>
        </w:rPr>
        <w:t>　18.2开标时，电子交易平台按开标时间自动提取所有投标文件。</w:t>
      </w:r>
      <w:r>
        <w:rPr>
          <w:rFonts w:hint="eastAsia" w:ascii="宋体" w:hAnsi="宋体" w:cs="宋体"/>
          <w:sz w:val="24"/>
          <w:highlight w:val="none"/>
          <w:lang w:eastAsia="zh-CN"/>
        </w:rPr>
        <w:t>采购代理机构</w:t>
      </w:r>
      <w:r>
        <w:rPr>
          <w:rFonts w:hint="eastAsia" w:ascii="宋体" w:hAnsi="宋体" w:cs="宋体"/>
          <w:sz w:val="24"/>
          <w:highlight w:val="none"/>
        </w:rPr>
        <w:t>依托电子交易平台发起开始解密指令，</w:t>
      </w:r>
      <w:r>
        <w:rPr>
          <w:rFonts w:hint="eastAsia" w:ascii="宋体" w:hAnsi="宋体" w:cs="宋体"/>
          <w:sz w:val="24"/>
          <w:highlight w:val="none"/>
          <w:lang w:eastAsia="zh-CN"/>
        </w:rPr>
        <w:t>供应商</w:t>
      </w:r>
      <w:r>
        <w:rPr>
          <w:rFonts w:hint="eastAsia" w:ascii="宋体" w:hAnsi="宋体" w:cs="宋体"/>
          <w:sz w:val="24"/>
          <w:highlight w:val="none"/>
        </w:rPr>
        <w:t>按照平台提示和招标文件的规定在半小时内完成在线解密。</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18.2.1具体</w:t>
      </w:r>
      <w:r>
        <w:rPr>
          <w:rFonts w:hint="eastAsia" w:ascii="宋体" w:hAnsi="宋体" w:eastAsia="宋体" w:cs="宋体"/>
          <w:sz w:val="24"/>
          <w:highlight w:val="none"/>
          <w:lang w:eastAsia="zh-CN"/>
        </w:rPr>
        <w:t>开标程序：</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第一阶段：</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（1）投标截止时间后，供应商登录政府采购云平台，用“项目采购-开标评标”功能对电子投标文件进行在线解密，在线解密电子投标文件时间为开标时间后30分钟内。</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（2）在政府采购云平台开启已解密供应商的“资格文件、商务技术文件”，并做开标记录；</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第二阶段：</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（1）在政府采购云平台宣告第一阶段评审无效供应商名单及理由；</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（2）公布经第一阶段评审符合招标文件要求的供应商的商务技术得分情况；</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（3）在政府采购云平台开启除第一阶段无效标外的供应商的“报价文件”，并做开标记录；</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（4）在政府采购云平台公布评审结果。</w:t>
      </w:r>
    </w:p>
    <w:p>
      <w:pPr>
        <w:pStyle w:val="555"/>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（5）开标会议结束。</w:t>
      </w:r>
    </w:p>
    <w:p>
      <w:pPr>
        <w:pStyle w:val="555"/>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w:t>
      </w:r>
      <w:r>
        <w:rPr>
          <w:rFonts w:hint="eastAsia" w:ascii="宋体" w:hAnsi="宋体" w:cs="宋体"/>
          <w:b/>
          <w:sz w:val="24"/>
          <w:highlight w:val="none"/>
          <w:lang w:eastAsia="zh-CN"/>
        </w:rPr>
        <w:t>供应商</w:t>
      </w:r>
      <w:r>
        <w:rPr>
          <w:rFonts w:hint="eastAsia" w:ascii="宋体" w:hAnsi="宋体" w:cs="宋体"/>
          <w:b/>
          <w:sz w:val="24"/>
          <w:highlight w:val="none"/>
        </w:rPr>
        <w:t>提供了备份投标文件的，以备份投标文件作为依据，否则视为投标文件撤回。投标文件已按时解密的，备份投标文件自动失效。</w:t>
      </w:r>
    </w:p>
    <w:p>
      <w:pPr>
        <w:pageBreakBefore w:val="0"/>
        <w:widowControl/>
        <w:shd w:val="clear"/>
        <w:kinsoku/>
        <w:wordWrap/>
        <w:overflowPunct/>
        <w:topLinePunct w:val="0"/>
        <w:bidi w:val="0"/>
        <w:spacing w:beforeAutospacing="0" w:line="348" w:lineRule="auto"/>
        <w:jc w:val="left"/>
        <w:textAlignment w:val="auto"/>
        <w:outlineLvl w:val="9"/>
        <w:rPr>
          <w:rFonts w:ascii="宋体" w:hAnsi="宋体" w:cs="宋体"/>
          <w:b/>
          <w:sz w:val="24"/>
          <w:szCs w:val="20"/>
          <w:highlight w:val="none"/>
        </w:rPr>
      </w:pPr>
      <w:r>
        <w:rPr>
          <w:rFonts w:hint="eastAsia" w:ascii="宋体" w:hAnsi="宋体" w:cs="宋体"/>
          <w:b/>
          <w:sz w:val="24"/>
          <w:szCs w:val="20"/>
          <w:highlight w:val="none"/>
        </w:rPr>
        <w:t>　19、资格审查</w:t>
      </w:r>
    </w:p>
    <w:p>
      <w:pPr>
        <w:pageBreakBefore w:val="0"/>
        <w:shd w:val="clear"/>
        <w:kinsoku/>
        <w:wordWrap/>
        <w:overflowPunct/>
        <w:topLinePunct w:val="0"/>
        <w:bidi w:val="0"/>
        <w:snapToGrid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kern w:val="0"/>
          <w:sz w:val="24"/>
          <w:highlight w:val="none"/>
        </w:rPr>
        <w:t>19.</w:t>
      </w:r>
      <w:r>
        <w:rPr>
          <w:rFonts w:hint="eastAsia" w:ascii="宋体" w:hAnsi="宋体" w:cs="宋体"/>
          <w:kern w:val="0"/>
          <w:sz w:val="24"/>
          <w:highlight w:val="none"/>
          <w:lang w:val="en-US" w:eastAsia="zh-CN"/>
        </w:rPr>
        <w:t>1</w:t>
      </w:r>
      <w:r>
        <w:rPr>
          <w:rFonts w:hint="eastAsia" w:ascii="宋体" w:hAnsi="宋体" w:cs="宋体"/>
          <w:sz w:val="24"/>
          <w:highlight w:val="none"/>
        </w:rPr>
        <w:t>采购人或</w:t>
      </w:r>
      <w:r>
        <w:rPr>
          <w:rFonts w:hint="eastAsia" w:ascii="宋体" w:hAnsi="宋体" w:cs="宋体"/>
          <w:sz w:val="24"/>
          <w:highlight w:val="none"/>
          <w:lang w:eastAsia="zh-CN"/>
        </w:rPr>
        <w:t>采购代理机构</w:t>
      </w:r>
      <w:r>
        <w:rPr>
          <w:rFonts w:hint="eastAsia" w:ascii="宋体" w:hAnsi="宋体" w:cs="宋体"/>
          <w:sz w:val="24"/>
          <w:highlight w:val="none"/>
        </w:rPr>
        <w:t>依据法律法规和招标文件的规定，对</w:t>
      </w:r>
      <w:r>
        <w:rPr>
          <w:rFonts w:hint="eastAsia" w:ascii="宋体" w:hAnsi="宋体" w:cs="宋体"/>
          <w:sz w:val="24"/>
          <w:highlight w:val="none"/>
          <w:lang w:eastAsia="zh-CN"/>
        </w:rPr>
        <w:t>供应商</w:t>
      </w:r>
      <w:r>
        <w:rPr>
          <w:rFonts w:hint="eastAsia" w:ascii="宋体" w:hAnsi="宋体" w:cs="宋体"/>
          <w:sz w:val="24"/>
          <w:highlight w:val="none"/>
        </w:rPr>
        <w:t>的资格进行审查。</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19.</w:t>
      </w:r>
      <w:r>
        <w:rPr>
          <w:rFonts w:hint="eastAsia" w:ascii="宋体" w:hAnsi="宋体" w:cs="宋体"/>
          <w:kern w:val="0"/>
          <w:szCs w:val="24"/>
          <w:highlight w:val="none"/>
          <w:lang w:val="en-US" w:eastAsia="zh-CN"/>
        </w:rPr>
        <w:t>2</w:t>
      </w:r>
      <w:r>
        <w:rPr>
          <w:rFonts w:hint="eastAsia" w:ascii="宋体" w:hAnsi="宋体" w:cs="宋体"/>
          <w:kern w:val="0"/>
          <w:szCs w:val="24"/>
          <w:highlight w:val="none"/>
          <w:lang w:eastAsia="zh-CN"/>
        </w:rPr>
        <w:t>供应商</w:t>
      </w:r>
      <w:r>
        <w:rPr>
          <w:rFonts w:hint="eastAsia" w:ascii="宋体" w:hAnsi="宋体" w:cs="宋体"/>
          <w:kern w:val="0"/>
          <w:szCs w:val="24"/>
          <w:highlight w:val="none"/>
        </w:rPr>
        <w:t>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lang w:eastAsia="zh-CN"/>
        </w:rPr>
        <w:t>供应商</w:t>
      </w:r>
      <w:r>
        <w:rPr>
          <w:rFonts w:hint="eastAsia" w:ascii="宋体" w:hAnsi="宋体" w:cs="宋体"/>
          <w:highlight w:val="none"/>
        </w:rPr>
        <w:t>不具备招标文件中规定的资格要求，其投标无效。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lang w:val="en-US" w:eastAsia="zh-CN"/>
        </w:rPr>
        <w:t>3</w:t>
      </w:r>
      <w:r>
        <w:rPr>
          <w:rFonts w:hint="eastAsia" w:ascii="宋体" w:hAnsi="宋体" w:cs="宋体"/>
          <w:highlight w:val="none"/>
        </w:rPr>
        <w:t>对未通过资格审查的</w:t>
      </w:r>
      <w:r>
        <w:rPr>
          <w:rFonts w:hint="eastAsia" w:ascii="宋体" w:hAnsi="宋体" w:cs="宋体"/>
          <w:highlight w:val="none"/>
          <w:lang w:eastAsia="zh-CN"/>
        </w:rPr>
        <w:t>供应商</w:t>
      </w:r>
      <w:r>
        <w:rPr>
          <w:rFonts w:hint="eastAsia" w:ascii="宋体" w:hAnsi="宋体" w:cs="宋体"/>
          <w:highlight w:val="none"/>
        </w:rPr>
        <w:t>，采购人或</w:t>
      </w:r>
      <w:r>
        <w:rPr>
          <w:rFonts w:hint="eastAsia" w:ascii="宋体" w:hAnsi="宋体" w:cs="宋体"/>
          <w:highlight w:val="none"/>
          <w:lang w:eastAsia="zh-CN"/>
        </w:rPr>
        <w:t>采购代理机构</w:t>
      </w:r>
      <w:r>
        <w:rPr>
          <w:rFonts w:hint="eastAsia" w:ascii="宋体" w:hAnsi="宋体" w:cs="宋体"/>
          <w:highlight w:val="none"/>
        </w:rPr>
        <w:t>告知其未通过的原因。</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lang w:val="en-US" w:eastAsia="zh-CN"/>
        </w:rPr>
        <w:t>4</w:t>
      </w:r>
      <w:r>
        <w:rPr>
          <w:rFonts w:hint="eastAsia" w:ascii="宋体" w:hAnsi="宋体" w:cs="宋体"/>
          <w:highlight w:val="none"/>
        </w:rPr>
        <w:t>合格</w:t>
      </w:r>
      <w:r>
        <w:rPr>
          <w:rFonts w:hint="eastAsia" w:ascii="宋体" w:hAnsi="宋体" w:cs="宋体"/>
          <w:highlight w:val="none"/>
          <w:lang w:eastAsia="zh-CN"/>
        </w:rPr>
        <w:t>供应商</w:t>
      </w:r>
      <w:r>
        <w:rPr>
          <w:rFonts w:hint="eastAsia" w:ascii="宋体" w:hAnsi="宋体" w:cs="宋体"/>
          <w:highlight w:val="none"/>
        </w:rPr>
        <w:t>不足3家的，不再评标。</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20、信用信息查询</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highlight w:val="none"/>
        </w:rPr>
      </w:pPr>
      <w:r>
        <w:rPr>
          <w:rFonts w:hint="eastAsia" w:ascii="宋体" w:hAnsi="宋体" w:cs="宋体"/>
          <w:kern w:val="0"/>
          <w:szCs w:val="24"/>
          <w:highlight w:val="none"/>
        </w:rPr>
        <w:t>20.1信用信息查询渠道及截止时间：</w:t>
      </w:r>
      <w:r>
        <w:rPr>
          <w:rFonts w:hint="eastAsia" w:ascii="宋体" w:hAnsi="宋体" w:cs="宋体"/>
          <w:kern w:val="0"/>
          <w:szCs w:val="24"/>
          <w:highlight w:val="none"/>
          <w:lang w:eastAsia="zh-CN"/>
        </w:rPr>
        <w:t>采购代理机构</w:t>
      </w:r>
      <w:r>
        <w:rPr>
          <w:rFonts w:hint="eastAsia" w:ascii="宋体" w:hAnsi="宋体" w:cs="宋体"/>
          <w:kern w:val="0"/>
          <w:szCs w:val="24"/>
          <w:highlight w:val="none"/>
        </w:rPr>
        <w:t>将在资格审查时通过“信用中国”网站(www.creditchina.gov.cn)、中国政府采购网(www.ccgp.gov.cn)渠道查询</w:t>
      </w:r>
      <w:r>
        <w:rPr>
          <w:rFonts w:hint="eastAsia" w:ascii="宋体" w:hAnsi="宋体" w:cs="宋体"/>
          <w:kern w:val="0"/>
          <w:szCs w:val="24"/>
          <w:highlight w:val="none"/>
          <w:lang w:eastAsia="zh-CN"/>
        </w:rPr>
        <w:t>供应商</w:t>
      </w:r>
      <w:r>
        <w:rPr>
          <w:rFonts w:hint="eastAsia" w:ascii="宋体" w:hAnsi="宋体" w:cs="宋体"/>
          <w:kern w:val="0"/>
          <w:szCs w:val="24"/>
          <w:highlight w:val="none"/>
        </w:rPr>
        <w:t>接受资格审查时的信用记录。</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的信用记录、查询结果经确认后将与</w:t>
      </w:r>
      <w:r>
        <w:rPr>
          <w:rFonts w:hint="eastAsia" w:ascii="宋体" w:hAnsi="宋体" w:cs="宋体"/>
          <w:kern w:val="0"/>
          <w:szCs w:val="24"/>
          <w:highlight w:val="none"/>
          <w:lang w:eastAsia="zh-CN"/>
        </w:rPr>
        <w:t>招标文件</w:t>
      </w:r>
      <w:r>
        <w:rPr>
          <w:rFonts w:hint="eastAsia" w:ascii="宋体" w:hAnsi="宋体" w:cs="宋体"/>
          <w:kern w:val="0"/>
          <w:szCs w:val="24"/>
          <w:highlight w:val="none"/>
        </w:rPr>
        <w:t>一起存档。</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w:t>
      </w:r>
      <w:r>
        <w:rPr>
          <w:rFonts w:hint="eastAsia" w:ascii="宋体" w:hAnsi="宋体" w:cs="宋体"/>
          <w:snapToGrid w:val="0"/>
          <w:kern w:val="28"/>
          <w:sz w:val="24"/>
          <w:szCs w:val="20"/>
          <w:highlight w:val="none"/>
        </w:rPr>
        <w:t>（重大税收违法失信主体）</w:t>
      </w:r>
      <w:r>
        <w:rPr>
          <w:rFonts w:hint="eastAsia" w:ascii="宋体" w:hAnsi="宋体" w:cs="宋体"/>
          <w:kern w:val="0"/>
          <w:szCs w:val="24"/>
          <w:highlight w:val="none"/>
        </w:rPr>
        <w:t>、政府采购严重违法失信行为记录名单的</w:t>
      </w:r>
      <w:r>
        <w:rPr>
          <w:rFonts w:hint="eastAsia" w:ascii="宋体" w:hAnsi="宋体" w:cs="宋体"/>
          <w:kern w:val="0"/>
          <w:szCs w:val="24"/>
          <w:highlight w:val="none"/>
          <w:lang w:eastAsia="zh-CN"/>
        </w:rPr>
        <w:t>供应商</w:t>
      </w:r>
      <w:r>
        <w:rPr>
          <w:rFonts w:hint="eastAsia" w:ascii="宋体" w:hAnsi="宋体" w:cs="宋体"/>
          <w:kern w:val="0"/>
          <w:szCs w:val="24"/>
          <w:highlight w:val="none"/>
        </w:rPr>
        <w:t>将被拒绝参与政府采购活动。</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highlight w:val="none"/>
        </w:rPr>
      </w:pPr>
      <w:r>
        <w:rPr>
          <w:rFonts w:hint="eastAsia" w:ascii="宋体" w:hAnsi="宋体" w:cs="宋体"/>
          <w:b/>
          <w:sz w:val="36"/>
          <w:szCs w:val="36"/>
          <w:highlight w:val="none"/>
        </w:rPr>
        <w:t>五、评标</w:t>
      </w:r>
    </w:p>
    <w:p>
      <w:pPr>
        <w:pageBreakBefore w:val="0"/>
        <w:shd w:val="clear"/>
        <w:kinsoku/>
        <w:wordWrap/>
        <w:overflowPunct/>
        <w:topLinePunct w:val="0"/>
        <w:bidi w:val="0"/>
        <w:spacing w:beforeAutospacing="0" w:line="348" w:lineRule="auto"/>
        <w:textAlignment w:val="auto"/>
        <w:outlineLvl w:val="9"/>
        <w:rPr>
          <w:rFonts w:ascii="宋体" w:hAnsi="宋体" w:cs="宋体"/>
          <w:b/>
          <w:sz w:val="24"/>
          <w:highlight w:val="none"/>
        </w:rPr>
      </w:pPr>
      <w:bookmarkStart w:id="19"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w:t>
      </w:r>
      <w:r>
        <w:rPr>
          <w:rFonts w:hint="eastAsia" w:ascii="宋体" w:hAnsi="宋体" w:cs="宋体"/>
          <w:sz w:val="24"/>
          <w:highlight w:val="none"/>
          <w:lang w:eastAsia="zh-CN"/>
        </w:rPr>
        <w:t>供应商</w:t>
      </w:r>
      <w:r>
        <w:rPr>
          <w:rFonts w:hint="eastAsia" w:ascii="宋体" w:hAnsi="宋体" w:cs="宋体"/>
          <w:sz w:val="24"/>
          <w:highlight w:val="none"/>
        </w:rPr>
        <w:t>对招标文件的响应情况。对实质上响应招标文件的</w:t>
      </w:r>
      <w:r>
        <w:rPr>
          <w:rFonts w:hint="eastAsia" w:ascii="宋体" w:hAnsi="宋体" w:cs="宋体"/>
          <w:sz w:val="24"/>
          <w:highlight w:val="none"/>
          <w:lang w:eastAsia="zh-CN"/>
        </w:rPr>
        <w:t>供应商</w:t>
      </w:r>
      <w:r>
        <w:rPr>
          <w:rFonts w:hint="eastAsia" w:ascii="宋体" w:hAnsi="宋体" w:cs="宋体"/>
          <w:sz w:val="24"/>
          <w:highlight w:val="none"/>
        </w:rPr>
        <w:t>，按照评审因素的量化指标排出推荐中标的</w:t>
      </w:r>
      <w:r>
        <w:rPr>
          <w:rFonts w:hint="eastAsia" w:ascii="宋体" w:hAnsi="宋体" w:cs="宋体"/>
          <w:sz w:val="24"/>
          <w:highlight w:val="none"/>
          <w:lang w:eastAsia="zh-CN"/>
        </w:rPr>
        <w:t>供应商</w:t>
      </w:r>
      <w:r>
        <w:rPr>
          <w:rFonts w:hint="eastAsia" w:ascii="宋体" w:hAnsi="宋体" w:cs="宋体"/>
          <w:sz w:val="24"/>
          <w:highlight w:val="none"/>
        </w:rPr>
        <w:t>的先后顺序，并按顺序提出授标建议。</w:t>
      </w:r>
      <w:r>
        <w:rPr>
          <w:rFonts w:hint="eastAsia" w:ascii="宋体" w:hAnsi="宋体" w:cs="宋体"/>
          <w:b/>
          <w:sz w:val="24"/>
          <w:highlight w:val="none"/>
        </w:rPr>
        <w:t>详见招标文件第四部分评标办法。</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highlight w:val="none"/>
        </w:rPr>
      </w:pPr>
      <w:r>
        <w:rPr>
          <w:rFonts w:hint="eastAsia" w:ascii="宋体" w:hAnsi="宋体" w:cs="宋体"/>
          <w:b/>
          <w:sz w:val="36"/>
          <w:szCs w:val="36"/>
          <w:highlight w:val="none"/>
        </w:rPr>
        <w:t>六、定 标</w:t>
      </w:r>
    </w:p>
    <w:p>
      <w:pPr>
        <w:pStyle w:val="24"/>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22. 确定中标供应商</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hint="eastAsia" w:ascii="宋体" w:hAnsi="宋体" w:eastAsia="宋体" w:cs="宋体"/>
          <w:b/>
          <w:szCs w:val="24"/>
          <w:highlight w:val="none"/>
          <w:lang w:val="en-US" w:eastAsia="zh-CN"/>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23. 中标通知与中标结果公告</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highlight w:val="none"/>
        </w:rPr>
      </w:pPr>
      <w:r>
        <w:rPr>
          <w:rFonts w:hint="eastAsia" w:ascii="宋体" w:hAnsi="宋体" w:cs="宋体"/>
          <w:sz w:val="24"/>
          <w:highlight w:val="none"/>
        </w:rPr>
        <w:t>23.1自中标人确定之日起2个工作日内，</w:t>
      </w:r>
      <w:r>
        <w:rPr>
          <w:rFonts w:hint="eastAsia" w:ascii="宋体" w:hAnsi="宋体" w:cs="宋体"/>
          <w:sz w:val="24"/>
          <w:highlight w:val="none"/>
          <w:lang w:eastAsia="zh-CN"/>
        </w:rPr>
        <w:t>采购代理机构</w:t>
      </w:r>
      <w:r>
        <w:rPr>
          <w:rFonts w:hint="eastAsia" w:ascii="宋体" w:hAnsi="宋体" w:cs="宋体"/>
          <w:sz w:val="24"/>
          <w:highlight w:val="none"/>
        </w:rPr>
        <w:t>通过电子交易平台向中标人发出中标通知书，同时编制发布采购结果公告。</w:t>
      </w:r>
      <w:r>
        <w:rPr>
          <w:rFonts w:hint="eastAsia" w:ascii="宋体" w:hAnsi="宋体" w:cs="宋体"/>
          <w:sz w:val="24"/>
          <w:highlight w:val="none"/>
          <w:lang w:eastAsia="zh-CN"/>
        </w:rPr>
        <w:t>采购代理机构</w:t>
      </w:r>
      <w:r>
        <w:rPr>
          <w:rFonts w:hint="eastAsia" w:ascii="宋体" w:hAnsi="宋体" w:cs="宋体"/>
          <w:sz w:val="24"/>
          <w:highlight w:val="none"/>
        </w:rPr>
        <w:t>也可以以纸质形式进行中标通知。</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highlight w:val="none"/>
        </w:rPr>
      </w:pPr>
      <w:r>
        <w:rPr>
          <w:rFonts w:hint="eastAsia" w:ascii="宋体" w:hAnsi="宋体" w:cs="宋体"/>
          <w:sz w:val="24"/>
          <w:highlight w:val="none"/>
        </w:rPr>
        <w:t>23.2中标结果公告内容包括采购人及其委托的</w:t>
      </w:r>
      <w:r>
        <w:rPr>
          <w:rFonts w:hint="eastAsia" w:ascii="宋体" w:hAnsi="宋体" w:cs="宋体"/>
          <w:sz w:val="24"/>
          <w:highlight w:val="none"/>
          <w:lang w:eastAsia="zh-CN"/>
        </w:rPr>
        <w:t>采购代理机构</w:t>
      </w:r>
      <w:r>
        <w:rPr>
          <w:rFonts w:hint="eastAsia" w:ascii="宋体" w:hAnsi="宋体" w:cs="宋体"/>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highlight w:val="none"/>
        </w:rPr>
      </w:pPr>
      <w:r>
        <w:rPr>
          <w:rFonts w:hint="eastAsia" w:ascii="宋体" w:hAnsi="宋体" w:cs="宋体"/>
          <w:sz w:val="24"/>
          <w:highlight w:val="none"/>
        </w:rPr>
        <w:t>23.3公告期限为1个工作日。</w:t>
      </w:r>
    </w:p>
    <w:p>
      <w:pPr>
        <w:pageBreakBefore w:val="0"/>
        <w:shd w:val="clear"/>
        <w:kinsoku/>
        <w:wordWrap/>
        <w:overflowPunct/>
        <w:topLinePunct w:val="0"/>
        <w:bidi w:val="0"/>
        <w:snapToGrid w:val="0"/>
        <w:spacing w:beforeAutospacing="0" w:line="348" w:lineRule="auto"/>
        <w:ind w:left="120" w:leftChars="57" w:firstLine="482" w:firstLineChars="150"/>
        <w:jc w:val="center"/>
        <w:textAlignment w:val="auto"/>
        <w:outlineLvl w:val="9"/>
        <w:rPr>
          <w:rFonts w:ascii="宋体" w:hAnsi="宋体" w:cs="宋体"/>
          <w:b/>
          <w:sz w:val="32"/>
          <w:highlight w:val="none"/>
        </w:rPr>
      </w:pPr>
      <w:r>
        <w:rPr>
          <w:rFonts w:hint="eastAsia" w:ascii="宋体" w:hAnsi="宋体" w:cs="宋体"/>
          <w:b/>
          <w:sz w:val="32"/>
          <w:highlight w:val="none"/>
        </w:rPr>
        <w:t>七、合同授予</w:t>
      </w:r>
    </w:p>
    <w:p>
      <w:pPr>
        <w:pStyle w:val="24"/>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4"/>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25. 合同的签订</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cs="宋体"/>
          <w:kern w:val="0"/>
          <w:sz w:val="24"/>
          <w:highlight w:val="none"/>
          <w:lang w:eastAsia="zh-CN"/>
        </w:rPr>
        <w:t>招标文件</w:t>
      </w:r>
      <w:r>
        <w:rPr>
          <w:rFonts w:hint="eastAsia" w:ascii="宋体" w:hAnsi="宋体" w:cs="宋体"/>
          <w:kern w:val="0"/>
          <w:sz w:val="24"/>
          <w:highlight w:val="none"/>
        </w:rPr>
        <w:t>确定的事项签订政府采购合同。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4"/>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26. 履约保证金</w:t>
      </w:r>
    </w:p>
    <w:p>
      <w:pPr>
        <w:pageBreakBefore w:val="0"/>
        <w:shd w:val="clear"/>
        <w:tabs>
          <w:tab w:val="left" w:pos="0"/>
        </w:tabs>
        <w:kinsoku/>
        <w:wordWrap/>
        <w:overflowPunct/>
        <w:topLinePunct w:val="0"/>
        <w:bidi w:val="0"/>
        <w:spacing w:beforeAutospacing="0" w:line="348" w:lineRule="auto"/>
        <w:ind w:firstLine="482"/>
        <w:textAlignment w:val="auto"/>
        <w:outlineLvl w:val="9"/>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ageBreakBefore w:val="0"/>
        <w:shd w:val="clear"/>
        <w:tabs>
          <w:tab w:val="left" w:pos="432"/>
        </w:tabs>
        <w:kinsoku/>
        <w:wordWrap/>
        <w:overflowPunct/>
        <w:topLinePunct w:val="0"/>
        <w:bidi w:val="0"/>
        <w:spacing w:beforeAutospacing="0" w:line="348" w:lineRule="auto"/>
        <w:ind w:left="0" w:firstLine="480" w:firstLineChars="200"/>
        <w:textAlignment w:val="auto"/>
        <w:outlineLvl w:val="9"/>
        <w:rPr>
          <w:rFonts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shd w:val="clear"/>
        <w:tabs>
          <w:tab w:val="left" w:pos="432"/>
        </w:tabs>
        <w:kinsoku/>
        <w:wordWrap/>
        <w:overflowPunct/>
        <w:topLinePunct w:val="0"/>
        <w:bidi w:val="0"/>
        <w:spacing w:beforeAutospacing="0" w:line="348" w:lineRule="auto"/>
        <w:textAlignment w:val="auto"/>
        <w:outlineLvl w:val="9"/>
        <w:rPr>
          <w:highlight w:val="none"/>
        </w:rPr>
      </w:pPr>
      <w:r>
        <w:rPr>
          <w:rFonts w:ascii="宋体" w:hAnsi="宋体" w:eastAsia="宋体" w:cs="Times New Roman"/>
          <w:b/>
          <w:bCs/>
          <w:kern w:val="2"/>
          <w:sz w:val="24"/>
          <w:szCs w:val="32"/>
          <w:highlight w:val="none"/>
          <w:lang w:val="en-US"/>
        </w:rPr>
        <w:t>27.预付款</w:t>
      </w:r>
    </w:p>
    <w:p>
      <w:pPr>
        <w:pageBreakBefore w:val="0"/>
        <w:shd w:val="clear"/>
        <w:kinsoku/>
        <w:wordWrap/>
        <w:overflowPunct/>
        <w:topLinePunct w:val="0"/>
        <w:bidi w:val="0"/>
        <w:adjustRightInd/>
        <w:spacing w:beforeAutospacing="0" w:line="348" w:lineRule="auto"/>
        <w:ind w:firstLine="480" w:firstLineChars="200"/>
        <w:textAlignment w:val="auto"/>
        <w:outlineLvl w:val="9"/>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highlight w:val="none"/>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sz w:val="32"/>
          <w:highlight w:val="none"/>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sz w:val="32"/>
          <w:highlight w:val="none"/>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ascii="宋体" w:hAnsi="宋体" w:cs="宋体"/>
          <w:b/>
          <w:sz w:val="24"/>
          <w:highlight w:val="none"/>
        </w:rPr>
      </w:pPr>
      <w:r>
        <w:rPr>
          <w:rFonts w:hint="eastAsia" w:ascii="宋体" w:hAnsi="宋体" w:cs="宋体"/>
          <w:b/>
          <w:sz w:val="32"/>
          <w:highlight w:val="none"/>
        </w:rPr>
        <w:t>八、电子交易活动的中止</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highlight w:val="none"/>
        </w:rPr>
      </w:pPr>
      <w:r>
        <w:rPr>
          <w:rFonts w:ascii="宋体" w:hAnsi="宋体" w:cs="宋体"/>
          <w:b/>
          <w:bCs/>
          <w:kern w:val="2"/>
          <w:sz w:val="24"/>
          <w:szCs w:val="20"/>
          <w:highlight w:val="none"/>
        </w:rPr>
        <w:t>2</w:t>
      </w:r>
      <w:r>
        <w:rPr>
          <w:rFonts w:ascii="宋体" w:hAnsi="宋体" w:cs="宋体"/>
          <w:b/>
          <w:bCs/>
          <w:kern w:val="2"/>
          <w:sz w:val="24"/>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w:t>
      </w:r>
      <w:r>
        <w:rPr>
          <w:rFonts w:hint="eastAsia" w:ascii="宋体" w:hAnsi="宋体" w:cs="宋体"/>
          <w:highlight w:val="none"/>
          <w:lang w:eastAsia="zh-CN"/>
        </w:rPr>
        <w:t>采购代理机构</w:t>
      </w:r>
      <w:r>
        <w:rPr>
          <w:rFonts w:hint="eastAsia" w:ascii="宋体" w:hAnsi="宋体" w:cs="宋体"/>
          <w:highlight w:val="none"/>
        </w:rPr>
        <w:t>可中止电子交易活动：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 xml:space="preserve">28.1电子交易平台发生故障而无法登录访问的；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28.3电子交易平台发现严重安全漏洞，有潜在泄密危险的；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 xml:space="preserve">28.4病毒发作导致不能进行正常操作的；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28.5其他无法保证电子交易的公平、公正和安全的情况。</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highlight w:val="none"/>
        </w:rPr>
      </w:pPr>
      <w:r>
        <w:rPr>
          <w:rFonts w:hint="eastAsia" w:ascii="宋体" w:hAnsi="宋体" w:cs="宋体"/>
          <w:highlight w:val="none"/>
        </w:rPr>
        <w:t xml:space="preserve"> 29.出现以上情形，不影响采购公平、公正性的，采购组织机构可以待上述情形消除后继续组织电子交易活动；影响或可能影响采购公平、公正性的，应当重新采购。</w:t>
      </w:r>
    </w:p>
    <w:p>
      <w:pPr>
        <w:keepNext w:val="0"/>
        <w:keepLines w:val="0"/>
        <w:pageBreakBefore w:val="0"/>
        <w:widowControl w:val="0"/>
        <w:shd w:val="clear"/>
        <w:kinsoku/>
        <w:wordWrap/>
        <w:overflowPunct/>
        <w:topLinePunct w:val="0"/>
        <w:autoSpaceDE/>
        <w:autoSpaceDN/>
        <w:bidi w:val="0"/>
        <w:adjustRightInd w:val="0"/>
        <w:snapToGrid w:val="0"/>
        <w:spacing w:beforeAutospacing="0" w:line="348" w:lineRule="auto"/>
        <w:ind w:left="120" w:leftChars="57" w:firstLine="0" w:firstLineChars="0"/>
        <w:jc w:val="center"/>
        <w:textAlignment w:val="auto"/>
        <w:outlineLvl w:val="9"/>
        <w:rPr>
          <w:rFonts w:ascii="宋体" w:hAnsi="宋体" w:cs="宋体"/>
          <w:b/>
          <w:sz w:val="32"/>
          <w:highlight w:val="none"/>
        </w:rPr>
      </w:pPr>
      <w:r>
        <w:rPr>
          <w:rFonts w:hint="eastAsia" w:ascii="宋体" w:hAnsi="宋体" w:cs="宋体"/>
          <w:b/>
          <w:sz w:val="32"/>
          <w:highlight w:val="none"/>
        </w:rPr>
        <w:t>九、验收</w:t>
      </w:r>
    </w:p>
    <w:p>
      <w:pPr>
        <w:pStyle w:val="24"/>
        <w:pageBreakBefore w:val="0"/>
        <w:shd w:val="clear"/>
        <w:kinsoku/>
        <w:wordWrap/>
        <w:overflowPunct/>
        <w:topLinePunct w:val="0"/>
        <w:bidi w:val="0"/>
        <w:spacing w:beforeAutospacing="0" w:line="348" w:lineRule="auto"/>
        <w:ind w:firstLine="0" w:firstLineChars="0"/>
        <w:textAlignment w:val="auto"/>
        <w:outlineLvl w:val="9"/>
        <w:rPr>
          <w:rFonts w:cs="宋体"/>
          <w:b/>
          <w:highlight w:val="none"/>
        </w:rPr>
      </w:pPr>
      <w:r>
        <w:rPr>
          <w:rFonts w:hint="eastAsia" w:cs="宋体"/>
          <w:b/>
          <w:highlight w:val="none"/>
        </w:rPr>
        <w:t>30.验收</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highlight w:val="none"/>
        </w:rPr>
      </w:pPr>
      <w:r>
        <w:rPr>
          <w:rFonts w:hint="eastAsia" w:ascii="宋体" w:hAnsi="宋体" w:cs="宋体"/>
          <w:kern w:val="0"/>
          <w:sz w:val="24"/>
          <w:highlight w:val="none"/>
        </w:rPr>
        <w:t>30.2采购人可以邀请参加本项目的其他</w:t>
      </w:r>
      <w:r>
        <w:rPr>
          <w:rFonts w:hint="eastAsia" w:ascii="宋体" w:hAnsi="宋体" w:cs="宋体"/>
          <w:kern w:val="0"/>
          <w:sz w:val="24"/>
          <w:highlight w:val="none"/>
          <w:lang w:eastAsia="zh-CN"/>
        </w:rPr>
        <w:t>供应商</w:t>
      </w:r>
      <w:r>
        <w:rPr>
          <w:rFonts w:hint="eastAsia" w:ascii="宋体" w:hAnsi="宋体" w:cs="宋体"/>
          <w:kern w:val="0"/>
          <w:sz w:val="24"/>
          <w:highlight w:val="none"/>
        </w:rPr>
        <w:t>或者第三方机构参与验收。参与验收的</w:t>
      </w:r>
      <w:r>
        <w:rPr>
          <w:rFonts w:hint="eastAsia" w:ascii="宋体" w:hAnsi="宋体" w:cs="宋体"/>
          <w:kern w:val="0"/>
          <w:sz w:val="24"/>
          <w:highlight w:val="none"/>
          <w:lang w:eastAsia="zh-CN"/>
        </w:rPr>
        <w:t>供应商</w:t>
      </w:r>
      <w:r>
        <w:rPr>
          <w:rFonts w:hint="eastAsia" w:ascii="宋体" w:hAnsi="宋体" w:cs="宋体"/>
          <w:kern w:val="0"/>
          <w:sz w:val="24"/>
          <w:highlight w:val="none"/>
        </w:rPr>
        <w:t>或者第三方机构的意见作为验收书的参考资料一并存档。</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kinsoku/>
        <w:wordWrap/>
        <w:overflowPunct/>
        <w:topLinePunct w:val="0"/>
        <w:bidi w:val="0"/>
        <w:outlineLvl w:val="9"/>
        <w:rPr>
          <w:rFonts w:ascii="宋体" w:hAnsi="宋体" w:cs="宋体"/>
          <w:kern w:val="0"/>
          <w:sz w:val="24"/>
          <w:highlight w:val="none"/>
        </w:rPr>
      </w:pPr>
      <w:bookmarkStart w:id="20" w:name="_Hlt68072990"/>
      <w:bookmarkEnd w:id="20"/>
      <w:bookmarkStart w:id="21" w:name="_Hlt68073093"/>
      <w:bookmarkEnd w:id="21"/>
      <w:bookmarkStart w:id="22" w:name="_Hlt74707468"/>
      <w:bookmarkEnd w:id="22"/>
      <w:bookmarkStart w:id="23" w:name="_Hlt75236290"/>
      <w:bookmarkEnd w:id="23"/>
      <w:bookmarkStart w:id="24" w:name="_Hlt68057669"/>
      <w:bookmarkEnd w:id="24"/>
      <w:bookmarkStart w:id="25" w:name="_Hlt74729768"/>
      <w:bookmarkEnd w:id="25"/>
      <w:bookmarkStart w:id="26" w:name="_Hlt68072998"/>
      <w:bookmarkEnd w:id="26"/>
      <w:bookmarkStart w:id="27" w:name="_Hlt68403820"/>
      <w:bookmarkEnd w:id="27"/>
      <w:bookmarkStart w:id="28" w:name="_Hlt74714665"/>
      <w:bookmarkEnd w:id="28"/>
      <w:bookmarkStart w:id="29" w:name="_Hlt74730295"/>
      <w:bookmarkEnd w:id="29"/>
      <w:bookmarkStart w:id="30" w:name="_Hlt75236101"/>
      <w:bookmarkEnd w:id="30"/>
      <w:bookmarkStart w:id="31" w:name="_Hlt75236011"/>
      <w:bookmarkEnd w:id="31"/>
    </w:p>
    <w:p>
      <w:pPr>
        <w:kinsoku/>
        <w:wordWrap/>
        <w:overflowPunct/>
        <w:topLinePunct w:val="0"/>
        <w:bidi w:val="0"/>
        <w:outlineLvl w:val="9"/>
        <w:rPr>
          <w:highlight w:val="none"/>
        </w:rPr>
        <w:sectPr>
          <w:footerReference r:id="rId7" w:type="first"/>
          <w:footerReference r:id="rId6" w:type="default"/>
          <w:pgSz w:w="11906" w:h="16838"/>
          <w:pgMar w:top="680" w:right="1418" w:bottom="468" w:left="1418" w:header="851" w:footer="992" w:gutter="0"/>
          <w:pgNumType w:fmt="decimal" w:start="1"/>
          <w:cols w:space="720" w:num="1"/>
          <w:titlePg/>
          <w:docGrid w:linePitch="312" w:charSpace="0"/>
        </w:sectPr>
      </w:pPr>
    </w:p>
    <w:bookmarkEnd w:id="14"/>
    <w:bookmarkEnd w:id="15"/>
    <w:p>
      <w:pPr>
        <w:kinsoku/>
        <w:wordWrap/>
        <w:overflowPunct/>
        <w:topLinePunct w:val="0"/>
        <w:bidi w:val="0"/>
        <w:spacing w:line="360" w:lineRule="auto"/>
        <w:jc w:val="center"/>
        <w:outlineLvl w:val="0"/>
        <w:rPr>
          <w:rFonts w:ascii="宋体" w:hAnsi="宋体" w:cs="宋体"/>
          <w:b/>
          <w:sz w:val="36"/>
          <w:szCs w:val="36"/>
          <w:highlight w:val="none"/>
        </w:rPr>
      </w:pPr>
      <w:bookmarkStart w:id="32" w:name="_Toc26044"/>
      <w:bookmarkStart w:id="33" w:name="第四部分"/>
      <w:r>
        <w:rPr>
          <w:rFonts w:hint="eastAsia" w:ascii="宋体" w:hAnsi="宋体" w:cs="宋体"/>
          <w:b/>
          <w:sz w:val="36"/>
          <w:szCs w:val="36"/>
          <w:highlight w:val="none"/>
        </w:rPr>
        <w:t>第三部分   采购需求</w:t>
      </w:r>
      <w:bookmarkEnd w:id="32"/>
    </w:p>
    <w:p>
      <w:pPr>
        <w:widowControl/>
        <w:kinsoku/>
        <w:wordWrap/>
        <w:overflowPunct/>
        <w:topLinePunct w:val="0"/>
        <w:bidi w:val="0"/>
        <w:adjustRightInd/>
        <w:spacing w:line="320" w:lineRule="exact"/>
        <w:jc w:val="center"/>
        <w:outlineLvl w:val="9"/>
        <w:rPr>
          <w:rFonts w:hint="eastAsia" w:ascii="宋体" w:hAnsi="宋体" w:eastAsia="宋体" w:cs="宋体"/>
          <w:color w:val="auto"/>
          <w:kern w:val="0"/>
          <w:sz w:val="24"/>
          <w:szCs w:val="24"/>
          <w:highlight w:val="none"/>
        </w:rPr>
      </w:pPr>
      <w:bookmarkStart w:id="34" w:name="_Toc24013"/>
      <w:r>
        <w:rPr>
          <w:rFonts w:hint="eastAsia" w:ascii="宋体" w:hAnsi="宋体" w:eastAsia="宋体" w:cs="宋体"/>
          <w:color w:val="auto"/>
          <w:kern w:val="0"/>
          <w:sz w:val="24"/>
          <w:szCs w:val="24"/>
          <w:highlight w:val="none"/>
        </w:rPr>
        <w:t>前附表</w:t>
      </w:r>
      <w:bookmarkEnd w:id="34"/>
    </w:p>
    <w:tbl>
      <w:tblPr>
        <w:tblStyle w:val="62"/>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810"/>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highlight w:val="none"/>
              </w:rPr>
            </w:pPr>
            <w:bookmarkStart w:id="35" w:name="_Toc329697494"/>
            <w:bookmarkStart w:id="36" w:name="_Toc317685548"/>
            <w:r>
              <w:rPr>
                <w:rFonts w:hint="eastAsia" w:ascii="宋体" w:hAnsi="宋体" w:eastAsia="宋体" w:cs="宋体"/>
                <w:b/>
                <w:kern w:val="0"/>
                <w:sz w:val="24"/>
                <w:szCs w:val="24"/>
                <w:highlight w:val="none"/>
              </w:rPr>
              <w:t>序号</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项目</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采购内容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电子胃肠镜、耳鼻喉科综合治疗台和耳鼻喉科手术等器械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单位及数量</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详见第一</w:t>
            </w:r>
            <w:r>
              <w:rPr>
                <w:rFonts w:hint="eastAsia" w:ascii="宋体" w:hAnsi="宋体" w:eastAsia="宋体" w:cs="宋体"/>
                <w:kern w:val="0"/>
                <w:sz w:val="24"/>
                <w:szCs w:val="24"/>
                <w:highlight w:val="none"/>
                <w:lang w:val="en-US" w:eastAsia="zh-CN"/>
              </w:rPr>
              <w:t>部分</w:t>
            </w:r>
            <w:r>
              <w:rPr>
                <w:rFonts w:hint="eastAsia" w:ascii="宋体" w:hAnsi="宋体" w:eastAsia="宋体" w:cs="宋体"/>
                <w:kern w:val="0"/>
                <w:sz w:val="24"/>
                <w:szCs w:val="24"/>
                <w:highlight w:val="none"/>
              </w:rPr>
              <w:t xml:space="preserve">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交付或者实施的时间和地点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需实现的功能或者目标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执行的国家相关标准、行业标准、地方标准或者其它标准、规范</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技术规格要求</w:t>
            </w:r>
          </w:p>
        </w:tc>
        <w:tc>
          <w:tcPr>
            <w:tcW w:w="478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物理特性要求</w:t>
            </w:r>
          </w:p>
        </w:tc>
        <w:tc>
          <w:tcPr>
            <w:tcW w:w="478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质量、安全要求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质量要求：详见本章内容。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服务标准、期限、效率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验收标准</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按照中标人提供的投标文件及中标人和采购人签订的政府采购合同为标准进行验收。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现场踏勘</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演示时间及地点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样品要求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w:t>
            </w:r>
          </w:p>
        </w:tc>
      </w:tr>
    </w:tbl>
    <w:p>
      <w:pPr>
        <w:widowControl/>
        <w:kinsoku/>
        <w:wordWrap/>
        <w:overflowPunct/>
        <w:topLinePunct w:val="0"/>
        <w:bidi w:val="0"/>
        <w:adjustRightInd/>
        <w:spacing w:line="360" w:lineRule="auto"/>
        <w:jc w:val="left"/>
        <w:outlineLvl w:val="9"/>
        <w:rPr>
          <w:rFonts w:hint="eastAsia" w:ascii="宋体" w:hAnsi="宋体" w:eastAsia="宋体" w:cs="宋体"/>
          <w:color w:val="auto"/>
          <w:kern w:val="0"/>
          <w:sz w:val="24"/>
          <w:szCs w:val="24"/>
          <w:highlight w:val="none"/>
        </w:rPr>
      </w:pPr>
    </w:p>
    <w:p>
      <w:pPr>
        <w:widowControl/>
        <w:kinsoku/>
        <w:wordWrap/>
        <w:overflowPunct/>
        <w:topLinePunct w:val="0"/>
        <w:bidi w:val="0"/>
        <w:adjustRightInd/>
        <w:spacing w:line="360" w:lineRule="auto"/>
        <w:jc w:val="center"/>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br w:type="page"/>
      </w: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一、重要商务要求一览表</w:t>
      </w:r>
    </w:p>
    <w:bookmarkEnd w:id="35"/>
    <w:bookmarkEnd w:id="36"/>
    <w:tbl>
      <w:tblPr>
        <w:tblStyle w:val="62"/>
        <w:tblW w:w="9421" w:type="dxa"/>
        <w:tblInd w:w="-3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293"/>
        <w:gridCol w:w="4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产品及服务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质量保证</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1、供应商保证所供的设备必须是出厂原装合格产品,如发生所供的设备与合同不符,</w:t>
            </w:r>
            <w:r>
              <w:rPr>
                <w:rFonts w:hint="eastAsia" w:ascii="宋体" w:hAnsi="宋体" w:cs="宋体"/>
                <w:kern w:val="0"/>
                <w:sz w:val="24"/>
                <w:szCs w:val="24"/>
                <w:highlight w:val="none"/>
                <w:lang w:val="en-US" w:eastAsia="zh-CN"/>
              </w:rPr>
              <w:t>医院</w:t>
            </w:r>
            <w:r>
              <w:rPr>
                <w:rFonts w:hint="eastAsia" w:ascii="宋体" w:hAnsi="宋体" w:eastAsia="宋体" w:cs="宋体"/>
                <w:kern w:val="0"/>
                <w:sz w:val="24"/>
                <w:szCs w:val="24"/>
                <w:highlight w:val="none"/>
              </w:rPr>
              <w:t>有权拒收或退货,由此产生的一切责任和后果由供应商承担。质保期自货物验收合格之日起计。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2、在所供设备交付时，供应商必须向</w:t>
            </w:r>
            <w:r>
              <w:rPr>
                <w:rFonts w:hint="eastAsia" w:ascii="宋体" w:hAnsi="宋体" w:eastAsia="宋体" w:cs="宋体"/>
                <w:kern w:val="0"/>
                <w:sz w:val="24"/>
                <w:szCs w:val="24"/>
                <w:highlight w:val="none"/>
                <w:lang w:val="en-US" w:eastAsia="zh-CN"/>
              </w:rPr>
              <w:t>医院</w:t>
            </w:r>
            <w:r>
              <w:rPr>
                <w:rFonts w:hint="eastAsia" w:ascii="宋体" w:hAnsi="宋体" w:eastAsia="宋体" w:cs="宋体"/>
                <w:kern w:val="0"/>
                <w:sz w:val="24"/>
                <w:szCs w:val="24"/>
                <w:highlight w:val="none"/>
              </w:rPr>
              <w:t>提供产品说明书、质量保证书、保修卡及</w:t>
            </w:r>
            <w:r>
              <w:rPr>
                <w:rFonts w:hint="eastAsia" w:ascii="宋体" w:hAnsi="宋体" w:cs="宋体"/>
                <w:kern w:val="0"/>
                <w:sz w:val="24"/>
                <w:szCs w:val="24"/>
                <w:highlight w:val="none"/>
                <w:lang w:eastAsia="zh-CN"/>
              </w:rPr>
              <w:t>招标文件</w:t>
            </w:r>
            <w:r>
              <w:rPr>
                <w:rFonts w:hint="eastAsia" w:ascii="宋体" w:hAnsi="宋体" w:eastAsia="宋体" w:cs="宋体"/>
                <w:kern w:val="0"/>
                <w:sz w:val="24"/>
                <w:szCs w:val="24"/>
                <w:highlight w:val="none"/>
              </w:rPr>
              <w:t>要求的其他证明材料等必须具备的资料和必备附件。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szCs w:val="21"/>
                <w:highlight w:val="none"/>
              </w:rPr>
            </w:pP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、质保期内需确保设备能通过各级质控检测、计量部门检定（如有），若无法通过，中标人需承担相应检测费用，并免费维修直至通过检测。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交货（安装）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时间及地点</w:t>
            </w:r>
          </w:p>
        </w:tc>
        <w:tc>
          <w:tcPr>
            <w:tcW w:w="329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交货时间</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合同履约期限</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w:t>
            </w:r>
          </w:p>
        </w:tc>
        <w:tc>
          <w:tcPr>
            <w:tcW w:w="43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标项一：合同签订后3个月内。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rPr>
            </w:pPr>
          </w:p>
        </w:tc>
        <w:tc>
          <w:tcPr>
            <w:tcW w:w="329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rPr>
            </w:pPr>
          </w:p>
        </w:tc>
        <w:tc>
          <w:tcPr>
            <w:tcW w:w="43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标项</w:t>
            </w:r>
            <w:r>
              <w:rPr>
                <w:rFonts w:hint="eastAsia" w:ascii="宋体" w:hAnsi="宋体" w:cs="宋体"/>
                <w:kern w:val="0"/>
                <w:sz w:val="24"/>
                <w:szCs w:val="24"/>
                <w:highlight w:val="none"/>
                <w:lang w:val="en-US" w:eastAsia="zh-CN"/>
              </w:rPr>
              <w:t>二</w:t>
            </w:r>
            <w:r>
              <w:rPr>
                <w:rFonts w:hint="eastAsia" w:ascii="宋体" w:hAnsi="宋体" w:eastAsia="宋体" w:cs="宋体"/>
                <w:kern w:val="0"/>
                <w:sz w:val="24"/>
                <w:szCs w:val="24"/>
                <w:highlight w:val="none"/>
                <w:lang w:val="en-US" w:eastAsia="zh-CN"/>
              </w:rPr>
              <w:t>：合同签订后</w:t>
            </w:r>
            <w:r>
              <w:rPr>
                <w:rFonts w:hint="eastAsia" w:ascii="宋体" w:hAnsi="宋体" w:cs="宋体"/>
                <w:kern w:val="0"/>
                <w:sz w:val="24"/>
                <w:szCs w:val="24"/>
                <w:highlight w:val="none"/>
                <w:lang w:val="en-US" w:eastAsia="zh-CN"/>
              </w:rPr>
              <w:t>6</w:t>
            </w:r>
            <w:r>
              <w:rPr>
                <w:rFonts w:hint="eastAsia" w:ascii="宋体" w:hAnsi="宋体" w:eastAsia="宋体" w:cs="宋体"/>
                <w:kern w:val="0"/>
                <w:sz w:val="24"/>
                <w:szCs w:val="24"/>
                <w:highlight w:val="none"/>
                <w:lang w:val="en-US" w:eastAsia="zh-CN"/>
              </w:rPr>
              <w:t>个月内。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安装完成时间：</w:t>
            </w:r>
            <w:r>
              <w:rPr>
                <w:rFonts w:hint="eastAsia" w:ascii="宋体" w:hAnsi="宋体" w:eastAsia="宋体" w:cs="宋体"/>
                <w:kern w:val="0"/>
                <w:sz w:val="24"/>
                <w:szCs w:val="24"/>
                <w:highlight w:val="none"/>
                <w:lang w:val="en-US" w:eastAsia="zh-CN"/>
              </w:rPr>
              <w:t>接</w:t>
            </w:r>
            <w:r>
              <w:rPr>
                <w:rFonts w:hint="eastAsia" w:ascii="宋体" w:hAnsi="宋体" w:cs="宋体"/>
                <w:kern w:val="0"/>
                <w:sz w:val="24"/>
                <w:szCs w:val="24"/>
                <w:highlight w:val="none"/>
                <w:lang w:val="en-US" w:eastAsia="zh-CN"/>
              </w:rPr>
              <w:t>采购人</w:t>
            </w:r>
            <w:r>
              <w:rPr>
                <w:rFonts w:hint="eastAsia" w:ascii="宋体" w:hAnsi="宋体" w:eastAsia="宋体" w:cs="宋体"/>
                <w:kern w:val="0"/>
                <w:sz w:val="24"/>
                <w:szCs w:val="24"/>
                <w:highlight w:val="none"/>
                <w:lang w:val="en-US" w:eastAsia="zh-CN"/>
              </w:rPr>
              <w:t>通知后7天内全部调试完成。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安装标准：符合我国国家有关技术规范和技术标准。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验收标准：与产品原始样本技术数据及标书技术文件一致，符合国家有关技术规范和技术标准。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安装、验收所产生的一切费用（包括卸货、搬运费等）由中标人负责。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★风险提醒</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在</w:t>
            </w:r>
            <w:r>
              <w:rPr>
                <w:rFonts w:hint="eastAsia" w:ascii="宋体" w:hAnsi="宋体" w:cs="宋体"/>
                <w:kern w:val="0"/>
                <w:sz w:val="24"/>
                <w:szCs w:val="24"/>
                <w:highlight w:val="none"/>
                <w:lang w:val="en-US" w:eastAsia="zh-CN"/>
              </w:rPr>
              <w:t>招标文件</w:t>
            </w:r>
            <w:r>
              <w:rPr>
                <w:rFonts w:hint="eastAsia" w:ascii="宋体" w:hAnsi="宋体" w:eastAsia="宋体" w:cs="宋体"/>
                <w:kern w:val="0"/>
                <w:sz w:val="24"/>
                <w:szCs w:val="24"/>
                <w:highlight w:val="none"/>
                <w:lang w:val="en-US" w:eastAsia="zh-CN"/>
              </w:rPr>
              <w:t>要求的交货时间</w:t>
            </w:r>
            <w:r>
              <w:rPr>
                <w:rFonts w:hint="eastAsia" w:ascii="宋体" w:hAnsi="宋体" w:eastAsia="宋体" w:cs="宋体"/>
                <w:kern w:val="0"/>
                <w:sz w:val="24"/>
                <w:szCs w:val="24"/>
                <w:highlight w:val="none"/>
              </w:rPr>
              <w:t>内，由于</w:t>
            </w:r>
            <w:r>
              <w:rPr>
                <w:rFonts w:hint="eastAsia" w:ascii="宋体" w:hAnsi="宋体" w:eastAsia="宋体" w:cs="宋体"/>
                <w:kern w:val="0"/>
                <w:sz w:val="24"/>
                <w:szCs w:val="24"/>
                <w:highlight w:val="none"/>
                <w:lang w:val="en-US" w:eastAsia="zh-CN"/>
              </w:rPr>
              <w:t>中标</w:t>
            </w:r>
            <w:r>
              <w:rPr>
                <w:rFonts w:hint="eastAsia" w:ascii="宋体" w:hAnsi="宋体" w:eastAsia="宋体" w:cs="宋体"/>
                <w:kern w:val="0"/>
                <w:sz w:val="24"/>
                <w:szCs w:val="24"/>
                <w:highlight w:val="none"/>
              </w:rPr>
              <w:t>人（或其关联公司、委托公司等）的原因，导致</w:t>
            </w:r>
            <w:r>
              <w:rPr>
                <w:rFonts w:hint="eastAsia" w:ascii="宋体" w:hAnsi="宋体" w:eastAsia="宋体" w:cs="宋体"/>
                <w:kern w:val="0"/>
                <w:sz w:val="24"/>
                <w:szCs w:val="24"/>
                <w:highlight w:val="none"/>
                <w:lang w:val="en-US" w:eastAsia="zh-CN"/>
              </w:rPr>
              <w:t>设备未能按时交货</w:t>
            </w:r>
            <w:r>
              <w:rPr>
                <w:rFonts w:hint="eastAsia" w:ascii="宋体" w:hAnsi="宋体" w:eastAsia="宋体" w:cs="宋体"/>
                <w:kern w:val="0"/>
                <w:sz w:val="24"/>
                <w:szCs w:val="24"/>
                <w:highlight w:val="none"/>
              </w:rPr>
              <w:t>的，每超出</w:t>
            </w:r>
            <w:r>
              <w:rPr>
                <w:rFonts w:hint="eastAsia" w:ascii="宋体" w:hAnsi="宋体" w:eastAsia="宋体" w:cs="宋体"/>
                <w:kern w:val="0"/>
                <w:sz w:val="24"/>
                <w:szCs w:val="24"/>
                <w:highlight w:val="none"/>
                <w:lang w:val="en-US" w:eastAsia="zh-CN"/>
              </w:rPr>
              <w:t>要求时间</w:t>
            </w:r>
            <w:r>
              <w:rPr>
                <w:rFonts w:hint="eastAsia" w:ascii="宋体" w:hAnsi="宋体" w:eastAsia="宋体" w:cs="宋体"/>
                <w:kern w:val="0"/>
                <w:sz w:val="24"/>
                <w:szCs w:val="24"/>
                <w:highlight w:val="none"/>
              </w:rPr>
              <w:t>1天，</w:t>
            </w:r>
            <w:r>
              <w:rPr>
                <w:rFonts w:hint="eastAsia" w:ascii="宋体" w:hAnsi="宋体" w:eastAsia="宋体" w:cs="宋体"/>
                <w:kern w:val="0"/>
                <w:sz w:val="24"/>
                <w:szCs w:val="24"/>
                <w:highlight w:val="none"/>
                <w:lang w:eastAsia="zh-CN"/>
              </w:rPr>
              <w:t>中标人</w:t>
            </w:r>
            <w:r>
              <w:rPr>
                <w:rFonts w:hint="eastAsia" w:ascii="宋体" w:hAnsi="宋体" w:eastAsia="宋体" w:cs="宋体"/>
                <w:kern w:val="0"/>
                <w:sz w:val="24"/>
                <w:szCs w:val="24"/>
                <w:highlight w:val="none"/>
              </w:rPr>
              <w:t>须向采购人支付合同金额的</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‰作为违约款</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当累计违约款金额达到合同</w:t>
            </w:r>
            <w:r>
              <w:rPr>
                <w:rFonts w:hint="eastAsia" w:ascii="宋体" w:hAnsi="宋体" w:eastAsia="宋体" w:cs="宋体"/>
                <w:kern w:val="0"/>
                <w:sz w:val="24"/>
                <w:szCs w:val="24"/>
                <w:highlight w:val="none"/>
                <w:lang w:val="en-US" w:eastAsia="zh-CN"/>
              </w:rPr>
              <w:t>金额</w:t>
            </w:r>
            <w:r>
              <w:rPr>
                <w:rFonts w:hint="eastAsia" w:ascii="宋体" w:hAnsi="宋体" w:eastAsia="宋体" w:cs="宋体"/>
                <w:kern w:val="0"/>
                <w:sz w:val="24"/>
                <w:szCs w:val="24"/>
                <w:highlight w:val="none"/>
              </w:rPr>
              <w:t>的</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%时，采购人有权终止全部合同</w:t>
            </w:r>
            <w:r>
              <w:rPr>
                <w:rFonts w:hint="eastAsia" w:ascii="宋体" w:hAnsi="宋体" w:eastAsia="宋体" w:cs="宋体"/>
                <w:kern w:val="0"/>
                <w:sz w:val="24"/>
                <w:szCs w:val="24"/>
                <w:highlight w:val="none"/>
                <w:lang w:val="en-US" w:eastAsia="zh-CN"/>
              </w:rPr>
              <w:t>并没收履约保证金，且</w:t>
            </w:r>
            <w:r>
              <w:rPr>
                <w:rFonts w:hint="eastAsia" w:ascii="宋体" w:hAnsi="宋体" w:eastAsia="宋体" w:cs="宋体"/>
                <w:kern w:val="0"/>
                <w:sz w:val="24"/>
                <w:szCs w:val="24"/>
                <w:highlight w:val="none"/>
                <w:lang w:eastAsia="zh-CN"/>
              </w:rPr>
              <w:t>中标人</w:t>
            </w:r>
            <w:r>
              <w:rPr>
                <w:rFonts w:hint="eastAsia" w:ascii="宋体" w:hAnsi="宋体" w:eastAsia="宋体" w:cs="宋体"/>
                <w:kern w:val="0"/>
                <w:sz w:val="24"/>
                <w:szCs w:val="24"/>
                <w:highlight w:val="none"/>
              </w:rPr>
              <w:t>必须退还全部货款。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履约保证金</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本项目不适用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★付款条件</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①合同生效且具备实施条件后，七个工作日内支付合同总额的</w:t>
            </w:r>
            <w:r>
              <w:rPr>
                <w:rFonts w:hint="eastAsia" w:ascii="宋体" w:hAnsi="宋体" w:cs="宋体"/>
                <w:b w:val="0"/>
                <w:bCs w:val="0"/>
                <w:kern w:val="0"/>
                <w:sz w:val="24"/>
                <w:szCs w:val="24"/>
                <w:highlight w:val="none"/>
                <w:lang w:val="en-US" w:eastAsia="zh-CN"/>
              </w:rPr>
              <w:t>55</w:t>
            </w:r>
            <w:r>
              <w:rPr>
                <w:rFonts w:hint="eastAsia" w:ascii="宋体" w:hAnsi="宋体" w:eastAsia="宋体" w:cs="宋体"/>
                <w:b w:val="0"/>
                <w:bCs w:val="0"/>
                <w:kern w:val="0"/>
                <w:sz w:val="24"/>
                <w:szCs w:val="24"/>
                <w:highlight w:val="none"/>
                <w:lang w:val="en-US" w:eastAsia="zh-CN"/>
              </w:rPr>
              <w:t>%作为预付款；（合同签订时中标人主动要求不需要预付款的采购人可以不支付）；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b w:val="0"/>
                <w:bCs w:val="0"/>
                <w:kern w:val="0"/>
                <w:sz w:val="24"/>
                <w:szCs w:val="24"/>
                <w:highlight w:val="none"/>
                <w:lang w:val="en-US" w:eastAsia="zh-CN"/>
              </w:rPr>
              <w:t>②货到验收合格后七个工作日内一次性付清余款。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售后服务</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标项一：</w:t>
            </w:r>
            <w:r>
              <w:rPr>
                <w:rFonts w:hint="eastAsia" w:ascii="宋体" w:hAnsi="宋体" w:eastAsia="宋体" w:cs="宋体"/>
                <w:kern w:val="0"/>
                <w:sz w:val="24"/>
                <w:szCs w:val="24"/>
                <w:highlight w:val="none"/>
                <w:lang w:val="en-US" w:eastAsia="zh-CN"/>
              </w:rPr>
              <w:t>2小时内回复响应，24小时内到现场</w:t>
            </w:r>
            <w:r>
              <w:rPr>
                <w:rFonts w:hint="eastAsia" w:ascii="宋体" w:hAnsi="宋体" w:cs="宋体"/>
                <w:kern w:val="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cs="宋体"/>
                <w:color w:val="auto"/>
                <w:kern w:val="0"/>
                <w:sz w:val="24"/>
                <w:szCs w:val="24"/>
                <w:highlight w:val="none"/>
                <w:lang w:val="en-US" w:eastAsia="zh-CN"/>
              </w:rPr>
            </w:pP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标项</w:t>
            </w:r>
            <w:r>
              <w:rPr>
                <w:rFonts w:hint="eastAsia" w:ascii="宋体" w:hAnsi="宋体" w:cs="宋体"/>
                <w:kern w:val="0"/>
                <w:sz w:val="24"/>
                <w:szCs w:val="24"/>
                <w:highlight w:val="none"/>
                <w:lang w:val="en-US" w:eastAsia="zh-CN"/>
              </w:rPr>
              <w:t>二</w:t>
            </w:r>
            <w:r>
              <w:rPr>
                <w:rFonts w:hint="eastAsia" w:ascii="宋体" w:hAnsi="宋体" w:eastAsia="宋体" w:cs="宋体"/>
                <w:kern w:val="0"/>
                <w:sz w:val="24"/>
                <w:szCs w:val="24"/>
                <w:highlight w:val="none"/>
                <w:lang w:val="en-US" w:eastAsia="zh-CN"/>
              </w:rPr>
              <w:t>：4小时内回复响应，72小时内到现场。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培训</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免费提供院内操作和维修培训。使用期间如有需求，</w:t>
            </w:r>
            <w:r>
              <w:rPr>
                <w:rFonts w:hint="eastAsia" w:ascii="宋体" w:hAnsi="宋体" w:cs="宋体"/>
                <w:kern w:val="0"/>
                <w:sz w:val="24"/>
                <w:szCs w:val="24"/>
                <w:highlight w:val="none"/>
                <w:lang w:val="en-US" w:eastAsia="zh-CN"/>
              </w:rPr>
              <w:t>中标人</w:t>
            </w:r>
            <w:r>
              <w:rPr>
                <w:rFonts w:hint="eastAsia" w:ascii="宋体" w:hAnsi="宋体" w:eastAsia="宋体" w:cs="宋体"/>
                <w:kern w:val="0"/>
                <w:sz w:val="24"/>
                <w:szCs w:val="24"/>
                <w:highlight w:val="none"/>
              </w:rPr>
              <w:t>仍有义务继续提供免费培训服务</w:t>
            </w:r>
            <w:r>
              <w:rPr>
                <w:rFonts w:hint="eastAsia" w:ascii="宋体" w:hAnsi="宋体" w:eastAsia="宋体" w:cs="宋体"/>
                <w:kern w:val="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其他要求</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提供保修期内巡视和保养措施，至少每6个月对设备进行一次维护保养</w:t>
            </w:r>
            <w:r>
              <w:rPr>
                <w:rFonts w:hint="eastAsia" w:ascii="宋体" w:hAnsi="宋体" w:cs="宋体"/>
                <w:kern w:val="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★生产、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经营许可</w:t>
            </w:r>
          </w:p>
        </w:tc>
        <w:tc>
          <w:tcPr>
            <w:tcW w:w="764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1、供应商为医疗器械生产企业的：第二类、第三类医疗器械生产企业提供《医疗器械生产许可证》复印件、第一类医疗器械生产企业提供第一类医疗器械生产备案凭证复印件；（适用于按医疗器械管理的货物）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2、供应商为医疗器械经营企业的：第三类医疗器械经营企业提供《医疗器械经营许可证》复印件、第二类医疗器械经营企业提供第二类医疗器械经营备案凭证复印件；（适用于按医疗器械管理的货物）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3、食品药品监督管理部门核发的完整有效的医疗器械注册或备案证明复印件；（适用于按医疗器械管理的设备）</w:t>
            </w:r>
          </w:p>
        </w:tc>
      </w:tr>
    </w:tbl>
    <w:p>
      <w:pPr>
        <w:keepNext w:val="0"/>
        <w:keepLines w:val="0"/>
        <w:pageBreakBefore w:val="0"/>
        <w:widowControl/>
        <w:tabs>
          <w:tab w:val="left" w:pos="851"/>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kern w:val="0"/>
          <w:sz w:val="24"/>
          <w:szCs w:val="24"/>
          <w:highlight w:val="none"/>
        </w:rPr>
      </w:pPr>
    </w:p>
    <w:p>
      <w:pPr>
        <w:kinsoku/>
        <w:wordWrap/>
        <w:overflowPunct/>
        <w:topLinePunct w:val="0"/>
        <w:bidi w:val="0"/>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br w:type="page"/>
      </w:r>
    </w:p>
    <w:p>
      <w:pPr>
        <w:numPr>
          <w:ilvl w:val="0"/>
          <w:numId w:val="0"/>
        </w:numPr>
        <w:adjustRightInd/>
        <w:spacing w:line="440" w:lineRule="exact"/>
        <w:rPr>
          <w:rFonts w:hint="default" w:ascii="宋体" w:hAnsi="Calibri" w:eastAsia="宋体" w:cs="Times New Roman"/>
          <w:b/>
          <w:color w:val="auto"/>
          <w:sz w:val="24"/>
          <w:szCs w:val="24"/>
          <w:highlight w:val="none"/>
          <w:lang w:val="en-US"/>
        </w:rPr>
      </w:pPr>
      <w:r>
        <w:rPr>
          <w:rFonts w:hint="eastAsia" w:ascii="宋体" w:hAnsi="宋体" w:eastAsia="宋体" w:cs="宋体"/>
          <w:b/>
          <w:bCs/>
          <w:color w:val="auto"/>
          <w:kern w:val="0"/>
          <w:sz w:val="24"/>
          <w:szCs w:val="24"/>
          <w:highlight w:val="none"/>
        </w:rPr>
        <w:t>二、</w:t>
      </w:r>
      <w:r>
        <w:rPr>
          <w:rFonts w:hint="eastAsia" w:ascii="宋体" w:hAnsi="Calibri" w:eastAsia="宋体" w:cs="Times New Roman"/>
          <w:b/>
          <w:color w:val="auto"/>
          <w:sz w:val="24"/>
          <w:szCs w:val="24"/>
          <w:highlight w:val="none"/>
        </w:rPr>
        <w:t>技术需求</w:t>
      </w:r>
      <w:r>
        <w:rPr>
          <w:rFonts w:hint="eastAsia" w:ascii="宋体" w:hAnsi="Calibri" w:cs="Times New Roman"/>
          <w:b/>
          <w:color w:val="auto"/>
          <w:sz w:val="24"/>
          <w:szCs w:val="24"/>
          <w:highlight w:val="none"/>
          <w:lang w:eastAsia="zh-CN"/>
        </w:rPr>
        <w:t>：</w:t>
      </w:r>
      <w:r>
        <w:rPr>
          <w:rFonts w:hint="eastAsia" w:ascii="宋体" w:hAnsi="Calibri" w:cs="Times New Roman"/>
          <w:b/>
          <w:color w:val="auto"/>
          <w:sz w:val="24"/>
          <w:szCs w:val="24"/>
          <w:highlight w:val="none"/>
          <w:lang w:eastAsia="zh-CN"/>
        </w:rPr>
        <w:br w:type="textWrapping"/>
      </w:r>
      <w:r>
        <w:rPr>
          <w:rFonts w:hint="eastAsia" w:ascii="宋体" w:hAnsi="Calibri" w:cs="Times New Roman"/>
          <w:b/>
          <w:color w:val="auto"/>
          <w:sz w:val="24"/>
          <w:szCs w:val="24"/>
          <w:highlight w:val="none"/>
          <w:lang w:val="en-US" w:eastAsia="zh-CN"/>
        </w:rPr>
        <w:t>标项一：</w:t>
      </w:r>
      <w:r>
        <w:rPr>
          <w:rFonts w:hint="eastAsia" w:ascii="宋体" w:hAnsi="Calibri" w:cs="Times New Roman"/>
          <w:b/>
          <w:color w:val="auto"/>
          <w:sz w:val="24"/>
          <w:szCs w:val="24"/>
          <w:highlight w:val="none"/>
          <w:lang w:eastAsia="zh-CN"/>
        </w:rPr>
        <w:br w:type="textWrapping"/>
      </w:r>
      <w:r>
        <w:rPr>
          <w:rFonts w:hint="default" w:ascii="宋体" w:hAnsi="Calibri" w:cs="Times New Roman"/>
          <w:b/>
          <w:color w:val="auto"/>
          <w:sz w:val="24"/>
          <w:szCs w:val="24"/>
          <w:highlight w:val="none"/>
          <w:lang w:val="en-US" w:eastAsia="zh-CN"/>
        </w:rPr>
        <w:t>1）货物名称：</w:t>
      </w:r>
      <w:r>
        <w:rPr>
          <w:rFonts w:hint="eastAsia" w:ascii="宋体" w:hAnsi="Calibri" w:cs="Times New Roman"/>
          <w:b/>
          <w:color w:val="auto"/>
          <w:sz w:val="24"/>
          <w:szCs w:val="24"/>
          <w:highlight w:val="none"/>
          <w:lang w:val="en-US" w:eastAsia="zh-CN"/>
        </w:rPr>
        <w:t>电子胃肠镜</w:t>
      </w:r>
      <w:r>
        <w:rPr>
          <w:rFonts w:hint="default" w:ascii="宋体" w:hAnsi="Calibri" w:cs="Times New Roman"/>
          <w:b/>
          <w:color w:val="auto"/>
          <w:sz w:val="24"/>
          <w:szCs w:val="24"/>
          <w:highlight w:val="none"/>
          <w:lang w:val="en-US" w:eastAsia="zh-CN"/>
        </w:rPr>
        <w:t xml:space="preserve">  </w:t>
      </w:r>
      <w:r>
        <w:rPr>
          <w:rFonts w:hint="eastAsia" w:ascii="宋体" w:hAnsi="Calibri" w:cs="Times New Roman"/>
          <w:b/>
          <w:color w:val="auto"/>
          <w:sz w:val="24"/>
          <w:szCs w:val="24"/>
          <w:highlight w:val="none"/>
          <w:lang w:val="en-US" w:eastAsia="zh-CN"/>
        </w:rPr>
        <w:t xml:space="preserve">                 </w:t>
      </w:r>
      <w:r>
        <w:rPr>
          <w:rFonts w:hint="default" w:ascii="宋体" w:hAnsi="Calibri" w:cs="Times New Roman"/>
          <w:b/>
          <w:color w:val="auto"/>
          <w:sz w:val="24"/>
          <w:szCs w:val="24"/>
          <w:highlight w:val="none"/>
          <w:lang w:val="en-US" w:eastAsia="zh-CN"/>
        </w:rPr>
        <w:t xml:space="preserve"> </w:t>
      </w:r>
      <w:r>
        <w:rPr>
          <w:rFonts w:hint="eastAsia" w:ascii="宋体" w:hAnsi="Calibri" w:cs="Times New Roman"/>
          <w:b/>
          <w:color w:val="auto"/>
          <w:sz w:val="24"/>
          <w:szCs w:val="24"/>
          <w:highlight w:val="none"/>
          <w:lang w:val="en-US" w:eastAsia="zh-CN"/>
        </w:rPr>
        <w:t xml:space="preserve">             </w:t>
      </w:r>
      <w:r>
        <w:rPr>
          <w:rFonts w:hint="default" w:ascii="宋体" w:hAnsi="Calibri" w:cs="Times New Roman"/>
          <w:b/>
          <w:color w:val="auto"/>
          <w:sz w:val="24"/>
          <w:szCs w:val="24"/>
          <w:highlight w:val="none"/>
          <w:lang w:val="en-US" w:eastAsia="zh-CN"/>
        </w:rPr>
        <w:t>2）数量：</w:t>
      </w:r>
      <w:r>
        <w:rPr>
          <w:rFonts w:hint="eastAsia" w:ascii="宋体" w:hAnsi="Calibri" w:cs="Times New Roman"/>
          <w:b/>
          <w:color w:val="auto"/>
          <w:sz w:val="24"/>
          <w:szCs w:val="24"/>
          <w:highlight w:val="none"/>
          <w:lang w:val="en-US" w:eastAsia="zh-CN"/>
        </w:rPr>
        <w:t>1批</w:t>
      </w:r>
      <w:r>
        <w:rPr>
          <w:rFonts w:hint="eastAsia" w:ascii="宋体" w:hAnsi="Calibri" w:eastAsia="宋体" w:cs="Times New Roman"/>
          <w:b/>
          <w:color w:val="auto"/>
          <w:sz w:val="24"/>
          <w:szCs w:val="24"/>
          <w:highlight w:val="none"/>
          <w:lang w:val="en-US" w:eastAsia="zh-CN"/>
        </w:rPr>
        <w:t xml:space="preserve">                      </w:t>
      </w:r>
    </w:p>
    <w:tbl>
      <w:tblPr>
        <w:tblStyle w:val="62"/>
        <w:tblW w:w="8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0"/>
        <w:gridCol w:w="6324"/>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序号</w:t>
            </w:r>
          </w:p>
        </w:tc>
        <w:tc>
          <w:tcPr>
            <w:tcW w:w="63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Cambria" w:hAnsi="Cambria" w:eastAsia="宋体" w:cs="宋体"/>
                <w:b/>
                <w:bCs/>
                <w:color w:val="auto"/>
                <w:kern w:val="0"/>
                <w:sz w:val="24"/>
                <w:szCs w:val="24"/>
                <w:highlight w:val="none"/>
              </w:rPr>
            </w:pPr>
            <w:r>
              <w:rPr>
                <w:rFonts w:hint="default" w:ascii="Cambria" w:hAnsi="宋体" w:eastAsia="宋体" w:cs="宋体"/>
                <w:b/>
                <w:bCs/>
                <w:color w:val="auto"/>
                <w:kern w:val="0"/>
                <w:sz w:val="24"/>
                <w:szCs w:val="24"/>
                <w:highlight w:val="none"/>
              </w:rPr>
              <w:t>招标要求</w:t>
            </w:r>
          </w:p>
        </w:tc>
        <w:tc>
          <w:tcPr>
            <w:tcW w:w="1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Cambria" w:hAnsi="Cambria" w:eastAsia="宋体" w:cs="宋体"/>
                <w:b/>
                <w:bCs/>
                <w:color w:val="auto"/>
                <w:kern w:val="0"/>
                <w:sz w:val="24"/>
                <w:szCs w:val="24"/>
                <w:highlight w:val="none"/>
              </w:rPr>
            </w:pPr>
            <w:r>
              <w:rPr>
                <w:rFonts w:hint="default" w:ascii="Cambria" w:hAnsi="宋体" w:eastAsia="宋体" w:cs="宋体"/>
                <w:b/>
                <w:bCs/>
                <w:color w:val="auto"/>
                <w:kern w:val="0"/>
                <w:sz w:val="24"/>
                <w:szCs w:val="24"/>
                <w:highlight w:val="none"/>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适用范围：</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用于内镜中心检查与治疗。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技术要求</w:t>
            </w:r>
            <w:r>
              <w:rPr>
                <w:rFonts w:hint="eastAsia" w:ascii="宋体" w:hAnsi="宋体" w:eastAsia="宋体" w:cs="宋体"/>
                <w:b/>
                <w:bCs/>
                <w:color w:val="auto"/>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为了提高设备利用率，配置能与原来内镜中心设备互相匹配，用于消化系统疾病的诊断和治疗；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胃肠镜身使用黑白CCD，顺次扫描方式</w:t>
            </w:r>
            <w:r>
              <w:rPr>
                <w:rFonts w:hint="eastAsia" w:ascii="宋体" w:hAnsi="宋体" w:cs="宋体"/>
                <w:color w:val="auto"/>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三</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技术参数与要求</w:t>
            </w:r>
            <w:r>
              <w:rPr>
                <w:rFonts w:hint="eastAsia" w:ascii="宋体" w:hAnsi="宋体" w:cs="宋体"/>
                <w:b/>
                <w:bCs/>
                <w:color w:val="auto"/>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双焦距高清电子胃镜（2根）：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视野角：≥140°；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景深：常规焦距模式7-100mm,近焦模式3-7 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插入部外径：≤9.9mm；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先端部外径：≤10.2mm；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弯曲部弯曲角度：上≥210°，下≥90°，左≥100°、右≥100°；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有效长度：≥1030mm；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全长：≥1350mm；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钳子管道内径：≥2.8mm；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只需按下内镜的一个按钮，即可进行从常规焦距模式到近焦模式的景深切换；</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具有副送水功能；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具备NBI功能。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高清治疗型电子胃镜（1根）：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视野角：140°(直视)；</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视野方向0°（前视）；</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景深：3～100mm；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插入部外径：≤9.9mm；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先端部外径：≤9.8mm；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弯曲部弯曲角度：上≥210°，下≥120°，左≥100°、右≥100°；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有效长度：≥1030mm；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全长：≥1350mm；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钳子管道内径：≥3.2mm；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最小可视距离：3mm；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具有副送水管道；</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3.2.12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具备NBI功能。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双焦距高清电子结肠镜（1根）：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常规焦距模式≥170°，近焦模式≥160°；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常规焦距模式景深9-100mm，近焦模式4-9mm；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插入部外径：≤12.8mm；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先端部外径：≤13.2mm；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弯曲部弯曲角度：上≥180°，下≥180°，左≥160°、右≥160°；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有效长度：≥1330mm；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全长：≥1655mm；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钳子管道内径：≥3.7mm；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具有副送水功能；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融合了强力传导、智能弯曲和可变硬度三种技术。便于插入及操作控制，并有助于减少病患的不适，提升操作效率；</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只需按下内镜的一个按钮，即可进行从常规焦距模式到近焦模式的景深切换；</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3.3.12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具备NBI功能。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高清电子结肠镜(2根)：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视野角：≥170°；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景深：5-100mm；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插入部外径：≤12mm；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先端部外径：≤12.2mm；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弯曲部弯曲角度：上≥180°，下≥180°，左≥160°、右≥160°；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有效长度：≥1330mm；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融合了强力传导、智能弯曲和可变硬度三种技术。便于插入及操作控制，并有助于减少病患的不适，提升操作效率。</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钳子管道内径：≥3.2mm；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具有副送水功能；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具备NBI功能。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三</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配置要求：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双焦距高清电子胃镜(2根)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高清治疗型电子胃镜(1根)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双焦距高清电子结肠镜(1根)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高清电子结肠镜（2根）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二氧化碳泵（1个）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送水送气按钮（10个）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清洗刷（10把）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吸引按钮（10个）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质保期要求：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设备自验收合格之日起免费</w:t>
            </w:r>
            <w:r>
              <w:rPr>
                <w:rFonts w:hint="eastAsia" w:ascii="宋体" w:hAnsi="宋体" w:cs="宋体"/>
                <w:color w:val="auto"/>
                <w:sz w:val="24"/>
                <w:szCs w:val="24"/>
                <w:highlight w:val="none"/>
                <w:lang w:val="en-US" w:eastAsia="zh-CN"/>
              </w:rPr>
              <w:t>质保</w:t>
            </w:r>
            <w:r>
              <w:rPr>
                <w:rFonts w:hint="eastAsia" w:ascii="宋体" w:hAnsi="宋体" w:eastAsia="宋体" w:cs="宋体"/>
                <w:color w:val="auto"/>
                <w:sz w:val="24"/>
                <w:szCs w:val="24"/>
                <w:highlight w:val="none"/>
              </w:rPr>
              <w:t>≥1年，终生维修；质保期外不收取任何维修、差旅费等费用，仅收取配件费。先维修后付款</w:t>
            </w:r>
            <w:r>
              <w:rPr>
                <w:rFonts w:hint="eastAsia" w:ascii="宋体" w:hAnsi="宋体" w:cs="宋体"/>
                <w:color w:val="auto"/>
                <w:sz w:val="24"/>
                <w:szCs w:val="24"/>
                <w:highlight w:val="none"/>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注：供应商须在投标文件中写明具体的质保年限，如只单纯响应“≥</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年”，本项</w:t>
            </w:r>
            <w:r>
              <w:rPr>
                <w:rFonts w:hint="eastAsia" w:ascii="宋体" w:hAnsi="宋体" w:cs="宋体"/>
                <w:b/>
                <w:bCs/>
                <w:color w:val="auto"/>
                <w:sz w:val="24"/>
                <w:szCs w:val="24"/>
                <w:highlight w:val="none"/>
                <w:lang w:val="en-US" w:eastAsia="zh-CN"/>
              </w:rPr>
              <w:t>即为负偏离</w:t>
            </w:r>
            <w:r>
              <w:rPr>
                <w:rFonts w:hint="eastAsia" w:ascii="宋体" w:hAnsi="宋体" w:eastAsia="宋体" w:cs="宋体"/>
                <w:b/>
                <w:bCs/>
                <w:color w:val="auto"/>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default" w:ascii="宋体" w:hAnsi="Calibri" w:eastAsia="宋体" w:cs="Times New Roman"/>
          <w:b/>
          <w:color w:val="auto"/>
          <w:sz w:val="24"/>
          <w:szCs w:val="24"/>
          <w:highlight w:val="none"/>
          <w:lang w:val="en-US"/>
        </w:rPr>
      </w:pPr>
      <w:r>
        <w:rPr>
          <w:rFonts w:hint="eastAsia" w:ascii="宋体" w:hAnsi="Calibri" w:eastAsia="宋体" w:cs="Times New Roman"/>
          <w:b/>
          <w:color w:val="auto"/>
          <w:sz w:val="24"/>
          <w:szCs w:val="24"/>
          <w:highlight w:val="none"/>
          <w:lang w:val="en-US" w:eastAsia="zh-CN"/>
        </w:rPr>
        <w:t>标项二：</w:t>
      </w:r>
      <w:r>
        <w:rPr>
          <w:rFonts w:hint="eastAsia" w:ascii="宋体" w:hAnsi="Calibri" w:eastAsia="宋体" w:cs="Times New Roman"/>
          <w:b/>
          <w:color w:val="auto"/>
          <w:sz w:val="24"/>
          <w:szCs w:val="24"/>
          <w:highlight w:val="none"/>
          <w:lang w:eastAsia="zh-CN"/>
        </w:rPr>
        <w:br w:type="textWrapping"/>
      </w:r>
      <w:r>
        <w:rPr>
          <w:rFonts w:hint="default" w:ascii="宋体" w:hAnsi="Calibri" w:eastAsia="宋体" w:cs="Times New Roman"/>
          <w:b/>
          <w:color w:val="auto"/>
          <w:sz w:val="24"/>
          <w:szCs w:val="24"/>
          <w:highlight w:val="none"/>
          <w:lang w:val="en-US" w:eastAsia="zh-CN"/>
        </w:rPr>
        <w:t>1）货物名称：</w:t>
      </w:r>
      <w:r>
        <w:rPr>
          <w:rFonts w:hint="eastAsia" w:ascii="宋体" w:hAnsi="Calibri" w:eastAsia="宋体" w:cs="Times New Roman"/>
          <w:b/>
          <w:color w:val="auto"/>
          <w:sz w:val="24"/>
          <w:szCs w:val="24"/>
          <w:highlight w:val="none"/>
          <w:lang w:val="en-US" w:eastAsia="zh-CN"/>
        </w:rPr>
        <w:t>耳鼻喉科综合治疗台和耳鼻喉科手术等器械</w:t>
      </w:r>
      <w:r>
        <w:rPr>
          <w:rFonts w:hint="default" w:ascii="宋体" w:hAnsi="Calibri" w:eastAsia="宋体" w:cs="Times New Roman"/>
          <w:b/>
          <w:color w:val="auto"/>
          <w:sz w:val="24"/>
          <w:szCs w:val="24"/>
          <w:highlight w:val="none"/>
          <w:lang w:val="en-US" w:eastAsia="zh-CN"/>
        </w:rPr>
        <w:t xml:space="preserve">  </w:t>
      </w:r>
      <w:r>
        <w:rPr>
          <w:rFonts w:hint="eastAsia" w:ascii="宋体" w:hAnsi="Calibri" w:eastAsia="宋体" w:cs="Times New Roman"/>
          <w:b/>
          <w:color w:val="auto"/>
          <w:sz w:val="24"/>
          <w:szCs w:val="24"/>
          <w:highlight w:val="none"/>
          <w:lang w:val="en-US" w:eastAsia="zh-CN"/>
        </w:rPr>
        <w:t xml:space="preserve">   </w:t>
      </w:r>
      <w:r>
        <w:rPr>
          <w:rFonts w:hint="default" w:ascii="宋体" w:hAnsi="Calibri" w:eastAsia="宋体" w:cs="Times New Roman"/>
          <w:b/>
          <w:color w:val="auto"/>
          <w:sz w:val="24"/>
          <w:szCs w:val="24"/>
          <w:highlight w:val="none"/>
          <w:lang w:val="en-US" w:eastAsia="zh-CN"/>
        </w:rPr>
        <w:t>2）数量：</w:t>
      </w:r>
      <w:r>
        <w:rPr>
          <w:rFonts w:hint="eastAsia" w:ascii="宋体" w:hAnsi="Calibri" w:eastAsia="宋体" w:cs="Times New Roman"/>
          <w:b/>
          <w:color w:val="auto"/>
          <w:sz w:val="24"/>
          <w:szCs w:val="24"/>
          <w:highlight w:val="none"/>
          <w:lang w:val="en-US" w:eastAsia="zh-CN"/>
        </w:rPr>
        <w:t xml:space="preserve">1批                      </w:t>
      </w:r>
    </w:p>
    <w:tbl>
      <w:tblPr>
        <w:tblStyle w:val="62"/>
        <w:tblW w:w="8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0"/>
        <w:gridCol w:w="6324"/>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序号</w:t>
            </w:r>
          </w:p>
        </w:tc>
        <w:tc>
          <w:tcPr>
            <w:tcW w:w="63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textAlignment w:val="center"/>
              <w:rPr>
                <w:rFonts w:hint="default" w:ascii="Cambria" w:hAnsi="Cambria" w:eastAsia="宋体" w:cs="宋体"/>
                <w:b/>
                <w:bCs/>
                <w:color w:val="auto"/>
                <w:kern w:val="0"/>
                <w:sz w:val="24"/>
                <w:szCs w:val="24"/>
                <w:highlight w:val="none"/>
              </w:rPr>
            </w:pPr>
            <w:r>
              <w:rPr>
                <w:rFonts w:hint="default" w:ascii="Cambria" w:hAnsi="宋体" w:eastAsia="宋体" w:cs="宋体"/>
                <w:b/>
                <w:bCs/>
                <w:color w:val="auto"/>
                <w:kern w:val="0"/>
                <w:sz w:val="24"/>
                <w:szCs w:val="24"/>
                <w:highlight w:val="none"/>
              </w:rPr>
              <w:t>招标要求</w:t>
            </w:r>
          </w:p>
        </w:tc>
        <w:tc>
          <w:tcPr>
            <w:tcW w:w="1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textAlignment w:val="center"/>
              <w:rPr>
                <w:rFonts w:hint="default" w:ascii="Cambria" w:hAnsi="Cambria" w:eastAsia="宋体" w:cs="宋体"/>
                <w:b/>
                <w:bCs/>
                <w:color w:val="auto"/>
                <w:kern w:val="0"/>
                <w:sz w:val="24"/>
                <w:szCs w:val="24"/>
                <w:highlight w:val="none"/>
              </w:rPr>
            </w:pPr>
            <w:r>
              <w:rPr>
                <w:rFonts w:hint="default" w:ascii="Cambria" w:hAnsi="宋体" w:eastAsia="宋体" w:cs="宋体"/>
                <w:b/>
                <w:bCs/>
                <w:color w:val="auto"/>
                <w:kern w:val="0"/>
                <w:sz w:val="24"/>
                <w:szCs w:val="24"/>
                <w:highlight w:val="none"/>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适用范围：</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用于耳鼻喉科检查与手术。</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854" w:type="dxa"/>
            <w:gridSpan w:val="3"/>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二、1）设备名称：耳鼻喉科手术等器械                       2）数量：1</w:t>
            </w:r>
            <w:r>
              <w:rPr>
                <w:rFonts w:hint="eastAsia" w:ascii="宋体" w:hAnsi="宋体" w:cs="宋体"/>
                <w:b/>
                <w:bCs/>
                <w:color w:val="auto"/>
                <w:sz w:val="24"/>
                <w:szCs w:val="24"/>
                <w:highlight w:val="none"/>
                <w:lang w:val="en-US" w:eastAsia="zh-CN"/>
              </w:rPr>
              <w:t>批</w:t>
            </w:r>
            <w:r>
              <w:rPr>
                <w:rFonts w:hint="eastAsia" w:ascii="宋体" w:hAnsi="宋体" w:eastAsia="宋体" w:cs="宋体"/>
                <w:b/>
                <w:bCs/>
                <w:color w:val="auto"/>
                <w:sz w:val="24"/>
                <w:szCs w:val="24"/>
                <w:highlight w:val="none"/>
                <w:lang w:val="en-US" w:eastAsia="zh-CN"/>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default" w:ascii="Cambria" w:hAnsi="Cambria" w:eastAsia="宋体" w:cs="宋体"/>
                <w:color w:val="auto"/>
                <w:kern w:val="0"/>
                <w:sz w:val="24"/>
                <w:szCs w:val="24"/>
                <w:highlight w:val="none"/>
                <w:lang w:val="en-US" w:eastAsia="zh-CN"/>
              </w:rPr>
            </w:pPr>
            <w:r>
              <w:rPr>
                <w:rFonts w:hint="eastAsia" w:ascii="宋体" w:hAnsi="宋体" w:eastAsia="宋体" w:cs="宋体"/>
                <w:b/>
                <w:bCs/>
                <w:color w:val="auto"/>
                <w:sz w:val="24"/>
                <w:szCs w:val="24"/>
                <w:highlight w:val="none"/>
                <w:lang w:val="en-US" w:eastAsia="zh-CN"/>
              </w:rPr>
              <w:t>★3）最高限价：</w:t>
            </w:r>
            <w:r>
              <w:rPr>
                <w:rFonts w:hint="eastAsia" w:ascii="宋体" w:hAnsi="宋体" w:cs="宋体"/>
                <w:b/>
                <w:bCs/>
                <w:color w:val="auto"/>
                <w:sz w:val="24"/>
                <w:szCs w:val="24"/>
                <w:highlight w:val="none"/>
                <w:lang w:val="en-US" w:eastAsia="zh-CN"/>
              </w:rPr>
              <w:t>70.0</w:t>
            </w:r>
            <w:r>
              <w:rPr>
                <w:rFonts w:hint="eastAsia" w:ascii="宋体" w:hAnsi="宋体" w:eastAsia="宋体" w:cs="宋体"/>
                <w:b/>
                <w:bCs/>
                <w:color w:val="auto"/>
                <w:sz w:val="24"/>
                <w:szCs w:val="24"/>
                <w:highlight w:val="none"/>
                <w:lang w:val="en-US" w:eastAsia="zh-CN"/>
              </w:rPr>
              <w:t xml:space="preserve">万元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技术要求：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2.1</w:t>
            </w:r>
            <w:r>
              <w:rPr>
                <w:rFonts w:hint="eastAsia" w:ascii="宋体" w:hAnsi="宋体" w:eastAsia="宋体" w:cs="宋体"/>
                <w:b/>
                <w:bCs/>
                <w:color w:val="auto"/>
                <w:sz w:val="24"/>
                <w:szCs w:val="24"/>
                <w:highlight w:val="none"/>
                <w:lang w:val="en-US" w:eastAsia="zh-CN"/>
              </w:rPr>
              <w:t>.1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为了提高设备利用率，动力系统配置能与原来主机设备互相匹配，用于耳鼻喉科疾病的诊断和治疗；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鼻科手柄: 1把；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直排引式设计手柄，吸引、切割、排出为一直线，克服术中堵塞难题；可高温高压及熏蒸消毒；可连接专用刀头和钻头，用于鼻科、喉科手术；</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转速速度：往复5000RPM 单向12,000RPM；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手柄可以使刀头360°旋转，可以将上颌窦的息肉近全切除，有效清除额隐窝周围的病变，最大限度的切除鼻息肉 ，手柄后端个固定锁可以使刀头在所需的操作部位固定，从而保证手术的精确性和安全性；</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最低速度可降至 60转/分钟，保证声带手术的安全；</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手柄配有导航系统连接的标准接头，可以升级连接导航的定位器；</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材料为钛合金复合材料，重量轻，符合人体工程学原理设计的手柄，有轻巧舒适的手感；</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耳科电钻：1把；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高速水冷式耳钻，耳钻转速 ≥50000rpm；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手柄重量≤110g；</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.12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扭矩≥35mN-m；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.13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预真空或常规蒸气高温高压消毒或环氧乙烷消毒。</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配套器械：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高清鼻内镜：4mm，0度   2根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高清鼻内镜：4mm，70度  3根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鼻内镜：0度  2根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鼻内镜：70度  2根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筛窦钳，直，10×3mm，工作长度11mm  2把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筛窦钳，45°角，10×3mm，工作长度11mm  2把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显微钩针：直径0.8mm，90°，长度16.5mm  4把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2.2.8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显微耳钳，锯齿状口，右弯，0.8×4mm  2把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2.2.9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显微耳钳，锯齿状口，左弯，0.8×4mm  2把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2.2.</w:t>
            </w:r>
            <w:r>
              <w:rPr>
                <w:rFonts w:hint="eastAsia" w:ascii="宋体" w:hAnsi="宋体" w:cs="宋体"/>
                <w:b/>
                <w:bCs/>
                <w:color w:val="auto"/>
                <w:sz w:val="24"/>
                <w:szCs w:val="24"/>
                <w:highlight w:val="none"/>
                <w:lang w:val="en-US" w:eastAsia="zh-CN"/>
              </w:rPr>
              <w:t>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喉钳，大锯齿口，强烈上弯（2×8mm），右开口，工作长度23cm  2把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2.2.</w:t>
            </w:r>
            <w:r>
              <w:rPr>
                <w:rFonts w:hint="eastAsia" w:ascii="宋体" w:hAnsi="宋体" w:cs="宋体"/>
                <w:b/>
                <w:bCs/>
                <w:color w:val="auto"/>
                <w:sz w:val="24"/>
                <w:szCs w:val="24"/>
                <w:highlight w:val="none"/>
                <w:lang w:val="en-US" w:eastAsia="zh-CN"/>
              </w:rPr>
              <w:t>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喉钳，大锯齿口，强烈上弯（2×8mm），左开口，工作长度23cm  2把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854" w:type="dxa"/>
            <w:gridSpan w:val="3"/>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、1）设备名称：耳鼻喉科综合治疗台                       2）数量：</w:t>
            </w:r>
            <w:r>
              <w:rPr>
                <w:rFonts w:hint="eastAsia" w:ascii="宋体" w:hAnsi="宋体" w:cs="宋体"/>
                <w:b/>
                <w:bCs/>
                <w:color w:val="auto"/>
                <w:sz w:val="24"/>
                <w:szCs w:val="24"/>
                <w:highlight w:val="none"/>
                <w:lang w:val="en-US" w:eastAsia="zh-CN"/>
              </w:rPr>
              <w:t>2台</w:t>
            </w:r>
            <w:r>
              <w:rPr>
                <w:rFonts w:hint="eastAsia" w:ascii="宋体" w:hAnsi="宋体" w:eastAsia="宋体" w:cs="宋体"/>
                <w:b/>
                <w:bCs/>
                <w:color w:val="auto"/>
                <w:sz w:val="24"/>
                <w:szCs w:val="24"/>
                <w:highlight w:val="none"/>
                <w:lang w:val="en-US" w:eastAsia="zh-CN"/>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Cambria" w:hAnsi="Cambria" w:eastAsia="宋体" w:cs="宋体"/>
                <w:color w:val="auto"/>
                <w:kern w:val="0"/>
                <w:sz w:val="24"/>
                <w:szCs w:val="24"/>
                <w:highlight w:val="none"/>
                <w:lang w:val="en-US" w:eastAsia="zh-CN"/>
              </w:rPr>
            </w:pPr>
            <w:r>
              <w:rPr>
                <w:rFonts w:hint="eastAsia" w:ascii="宋体" w:hAnsi="宋体" w:eastAsia="宋体" w:cs="宋体"/>
                <w:b/>
                <w:bCs/>
                <w:color w:val="auto"/>
                <w:sz w:val="24"/>
                <w:szCs w:val="24"/>
                <w:highlight w:val="none"/>
                <w:lang w:val="en-US" w:eastAsia="zh-CN"/>
              </w:rPr>
              <w:t>★3）最高限价：</w:t>
            </w:r>
            <w:r>
              <w:rPr>
                <w:rFonts w:hint="eastAsia" w:ascii="宋体" w:hAnsi="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lang w:val="en-US" w:eastAsia="zh-CN"/>
              </w:rPr>
              <w:t xml:space="preserve">.0万元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高度集成化，更加安全稳定，使操作更加便捷，所有标配以及选配功能皆为内置；</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大理石台面，高分子复合材料和钢化玻璃双重组合台面，台面尺寸≥1800mm×600mm，钣金烤漆机箱；</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压缩机、真空泵：采用大功率、超静音、悬挂式设计，操作时静音，无需定期加油；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安全性：设计符合《GB9706.1-2007医用电器设备第1部分：安全通用技术》，低电压控制高电压：低电压≤DC 12V；</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触摸液晶屏：7.0寸触摸液晶彩屏控制系统，友好的人机界面设计、高度集成化控制（可集成冷光源、摄像系统等控制系统）使用起来更加的便捷；</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时间显示：触摸液晶屏上方可显示当前时间和日期，并可设置</w:t>
            </w:r>
            <w:r>
              <w:rPr>
                <w:rFonts w:hint="eastAsia" w:ascii="宋体" w:hAnsi="宋体" w:cs="宋体"/>
                <w:color w:val="auto"/>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喷枪：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3.7.1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4合一，喷枪提起即工作，喷枪药液瓶可配置不同药液，供医治鼻塞、收缩鼻粘膜、鼻出血、咽喉炎及手术麻醉等使用；</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3.7.2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不锈钢芯设计，颗粒精细、用量精小、不易堵塞，节约药液。</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吸引：</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3.8.1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吸力可调，防回流装置；</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3.8.2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可吸除鼻膜分泌物、伤口处血块、脓液等；</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3.8.3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污物瓶在极限负压-0.07MPa作用下不得爆裂；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3.8.4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吸引软管长度不低于800mm。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间接镜加热器：</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▲3.9.1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预热时间1-20秒间可任意设置，智能控制，设置参数具有掉电记忆功能；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3.9.2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烘烤间接喉镜、鼻咽镜，使镜面温度适合人体温度，检查鼻咽喉部时镜面不产生雾化。</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LED照明：照明光源采用聚光输出照度≥520LX，灯头电源DC 12V；</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机械臂可±180°旋转，上下移动范围≥300mm用于调整照明灯的位置，立柱可供一些选配功能支架的安装；</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欧式管：作咽喉鼓气处理，压力释放最大值不超过0.15MPa；</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微电脑控制系统：微电脑弱电控制，整机与人体接触的全部为安全电压</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全高清医用内窥镜摄像系统</w:t>
            </w:r>
            <w:r>
              <w:rPr>
                <w:rFonts w:hint="eastAsia" w:ascii="宋体" w:hAnsi="宋体" w:eastAsia="宋体" w:cs="宋体"/>
                <w:b/>
                <w:bCs/>
                <w:color w:val="auto"/>
                <w:sz w:val="24"/>
                <w:szCs w:val="24"/>
                <w:highlight w:val="none"/>
                <w:lang w:val="en-US" w:eastAsia="zh-CN"/>
              </w:rPr>
              <w:tab/>
            </w:r>
            <w:r>
              <w:rPr>
                <w:rFonts w:hint="eastAsia" w:ascii="宋体" w:hAnsi="宋体" w:eastAsia="宋体" w:cs="宋体"/>
                <w:b/>
                <w:bCs/>
                <w:color w:val="auto"/>
                <w:sz w:val="24"/>
                <w:szCs w:val="24"/>
                <w:highlight w:val="none"/>
                <w:lang w:val="en-US" w:eastAsia="zh-CN"/>
              </w:rPr>
              <w:t xml:space="preserve">：                     </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3.16.1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摄像主机内含LED冷光源；</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3.16.2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成像器：1/2.8”  CMOS</w:t>
            </w:r>
            <w:r>
              <w:rPr>
                <w:rFonts w:hint="eastAsia"/>
                <w:lang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输出像素：210万像素；</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水平分辨率：1080线；</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帧率：(1920×1080)60p；</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数字信号输出：DVI、HDMI；</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模拟信号输出：CVBS；</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扫描系统：逐行扫描；</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图像尺寸：1920×1080；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摄像头手柄功能：冻结、白平衡；</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摄像头防水等级：IPX8级防水摄像头；</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具有纤维镜模式，硬镜模式，腹腔镜模式，可一键切换；</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卡口：国际标准C型卡口，可连接进口国产硬镜；</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LED冷光源：80W,20级强度显示；</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LED灯工作寿命：≥50000小时；</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光输出：≥200000LUX；</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.16.17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导光束：Ø4×2500mm  耐高温高压。</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高清监视器：</w:t>
            </w:r>
            <w:r>
              <w:rPr>
                <w:rFonts w:hint="eastAsia" w:ascii="宋体" w:hAnsi="宋体" w:eastAsia="宋体" w:cs="宋体"/>
                <w:b/>
                <w:bCs/>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 xml:space="preserve">                                    </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显示尺寸：24寸；</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分辨率：1920×1080；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输入接口：DVI/VGA/CVBS/S-VIDEO/HDMI；</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像素密度：92PPI；</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屏幕比例：16：9；</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视角范围：178/178；</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亮度：550±10%cd/㎡；</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MTBF：＞50000小时；</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应用：内窥/电子胃肠镜，腹腔镜，术野显示器；</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内置曲线：十余种医疗显示曲线及显示器模式；</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.17.11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色彩：具有7种色彩调节模式，满足不同需求。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电动诊疗椅：坐垫升降范围：150MM，靠背俯仰角度：90°-175°，头枕延伸：0-60MM，扶手调整角度：360°，座椅旋转角度：360°，最大负载：160KG；</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.19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医生座椅：坐垫升降范围：470-600mm；旋转角度：360º；承载≥100Kg 无变形开裂现象，有靠背，配滑轮可移动。</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配置清单（单台）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主操作台</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1套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无油超静音正压泵1台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无油超静音负压泵</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1台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阅片灯 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喷枪3把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吸枪1把、吹枪1把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预热除雾装置1组</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无辐射聚光斑灯 1套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.20.9</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内窥镜消毒放置管1个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.20.10</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微电脑自动控制系统1套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小药瓶 6个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.20.12</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机械臂及立柱1套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.20.13</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器械盘2只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.20.14</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污物盘和废物收集桶1套、药膏罐3个、吸引头1套、</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电脑储物柜1个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.20.15</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全高清医用内窥镜摄像系统1套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.20.16</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高清监视器</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 xml:space="preserve"> 1台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.20.17</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电动诊疗椅1把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.20.18</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医生座椅1张</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质保期要求：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96"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6"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.1</w:t>
            </w:r>
          </w:p>
        </w:tc>
        <w:tc>
          <w:tcPr>
            <w:tcW w:w="63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设备自验收合格之日起免费</w:t>
            </w:r>
            <w:r>
              <w:rPr>
                <w:rFonts w:hint="eastAsia" w:ascii="宋体" w:hAnsi="宋体" w:eastAsia="宋体" w:cs="宋体"/>
                <w:color w:val="auto"/>
                <w:sz w:val="24"/>
                <w:szCs w:val="24"/>
                <w:highlight w:val="none"/>
                <w:lang w:val="en-US" w:eastAsia="zh-CN"/>
              </w:rPr>
              <w:t>质保≥2</w:t>
            </w:r>
            <w:r>
              <w:rPr>
                <w:rFonts w:hint="eastAsia" w:ascii="宋体" w:hAnsi="宋体" w:eastAsia="宋体" w:cs="宋体"/>
                <w:color w:val="auto"/>
                <w:sz w:val="24"/>
                <w:szCs w:val="24"/>
                <w:highlight w:val="none"/>
              </w:rPr>
              <w:t>年，终生维修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鼻窦镜</w:t>
            </w:r>
            <w:r>
              <w:rPr>
                <w:rFonts w:hint="eastAsia" w:ascii="宋体" w:hAnsi="宋体" w:eastAsia="宋体" w:cs="宋体"/>
                <w:color w:val="auto"/>
                <w:sz w:val="24"/>
                <w:szCs w:val="24"/>
                <w:highlight w:val="none"/>
              </w:rPr>
              <w:t>自验收合格之日起免费</w:t>
            </w:r>
            <w:r>
              <w:rPr>
                <w:rFonts w:hint="eastAsia" w:ascii="宋体" w:hAnsi="宋体" w:eastAsia="宋体" w:cs="宋体"/>
                <w:color w:val="auto"/>
                <w:sz w:val="24"/>
                <w:szCs w:val="24"/>
                <w:highlight w:val="none"/>
                <w:lang w:val="en-US" w:eastAsia="zh-CN"/>
              </w:rPr>
              <w:t>质保≥1</w:t>
            </w:r>
            <w:r>
              <w:rPr>
                <w:rFonts w:hint="eastAsia" w:ascii="宋体" w:hAnsi="宋体" w:eastAsia="宋体" w:cs="宋体"/>
                <w:color w:val="auto"/>
                <w:sz w:val="24"/>
                <w:szCs w:val="24"/>
                <w:highlight w:val="none"/>
              </w:rPr>
              <w:t>年，终生维修；质保期外不收取任何维修、差旅费等费用，仅收取配件费。先维修后付款</w:t>
            </w:r>
            <w:r>
              <w:rPr>
                <w:rFonts w:hint="eastAsia" w:ascii="宋体" w:hAnsi="宋体" w:eastAsia="宋体" w:cs="宋体"/>
                <w:color w:val="auto"/>
                <w:sz w:val="24"/>
                <w:szCs w:val="24"/>
                <w:highlight w:val="none"/>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6" w:lineRule="exact"/>
              <w:ind w:left="0" w:right="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注：供应商须在投标文件中写明具体的质保年限，如只单纯响应“≥1年、2年”，本项即为负偏离。</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96"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其他要求</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1、供应商的投标文件中列出详细的设备配置清单（包括必备的附件）和选配件（硬件、软件）清单（包括规格型号及选配件价格并提供价格的折扣率），未列出的选项即表示已包含在投标总价中；</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2、设备如需计量、商检、压力容器登记注册、3C认证的设备，在安装时需提供相应的第三方检测报告；须提供计量检测、性能检测，验收前第一次检测办理及费用由中标人负责。</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提供全套医疗器械注册证、用户操作手册、维修手册、设备中文标签、纸质塑封操作规程；供应商提供产品如为进口设备，投标文件中需提供设备的进口医疗器械注册证、产品注册登记表及各类必要证件；验收时提供海关报关单及商检证书，设备应符合国家进口商品安全质量要求；</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4、提供相关配套消耗品及零配件详细清单、分项价格并提供价格的折扣率；</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w:t>
      </w:r>
      <w:r>
        <w:rPr>
          <w:rFonts w:hint="eastAsia" w:ascii="宋体" w:hAnsi="宋体" w:cs="宋体"/>
          <w:b w:val="0"/>
          <w:bCs/>
          <w:color w:val="auto"/>
          <w:sz w:val="24"/>
          <w:szCs w:val="24"/>
          <w:highlight w:val="none"/>
          <w:lang w:val="en-US" w:eastAsia="zh-CN"/>
        </w:rPr>
        <w:t>招标文件</w:t>
      </w:r>
      <w:r>
        <w:rPr>
          <w:rFonts w:hint="eastAsia" w:ascii="宋体" w:hAnsi="宋体" w:eastAsia="宋体" w:cs="宋体"/>
          <w:b w:val="0"/>
          <w:bCs/>
          <w:color w:val="auto"/>
          <w:sz w:val="24"/>
          <w:szCs w:val="24"/>
          <w:highlight w:val="none"/>
          <w:lang w:val="en-US" w:eastAsia="zh-CN"/>
        </w:rPr>
        <w:t>中未提及的某些属标配的功能、软件，必须无条件提供；</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6、供应商必须如实响应磋商文件中的技术要求并提供相应配置，不得欺骗、隐瞒，投标文件作为合同的一部分，具有相同的法律效应。</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bookmarkStart w:id="37" w:name="_Toc1865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8" w:name="_Toc184314459"/>
      <w:bookmarkEnd w:id="38"/>
      <w:bookmarkStart w:id="39" w:name="_Toc184312088"/>
      <w:bookmarkEnd w:id="39"/>
      <w:bookmarkStart w:id="40" w:name="_Toc184312113"/>
      <w:bookmarkEnd w:id="40"/>
      <w:bookmarkStart w:id="41" w:name="_Toc184308100"/>
      <w:bookmarkEnd w:id="41"/>
      <w:bookmarkStart w:id="42" w:name="_Toc184313255"/>
      <w:bookmarkEnd w:id="42"/>
      <w:bookmarkStart w:id="43" w:name="_Toc184308074"/>
      <w:bookmarkEnd w:id="43"/>
      <w:bookmarkStart w:id="44" w:name="_Toc184312126"/>
      <w:bookmarkEnd w:id="44"/>
      <w:bookmarkStart w:id="45" w:name="_Toc184314420"/>
      <w:bookmarkEnd w:id="45"/>
      <w:bookmarkStart w:id="46" w:name="_Toc184312071"/>
      <w:bookmarkEnd w:id="46"/>
      <w:bookmarkStart w:id="47" w:name="_Toc184310300"/>
      <w:bookmarkEnd w:id="47"/>
      <w:bookmarkStart w:id="48" w:name="_Toc184314439"/>
      <w:bookmarkEnd w:id="48"/>
      <w:bookmarkStart w:id="49" w:name="_Toc184310334"/>
      <w:bookmarkEnd w:id="49"/>
      <w:bookmarkStart w:id="50" w:name="_Toc184312090"/>
      <w:bookmarkEnd w:id="50"/>
      <w:bookmarkStart w:id="51" w:name="_Toc184313278"/>
      <w:bookmarkEnd w:id="51"/>
      <w:bookmarkStart w:id="52" w:name="_Toc184312109"/>
      <w:bookmarkEnd w:id="52"/>
      <w:bookmarkStart w:id="53" w:name="_Toc184313286"/>
      <w:bookmarkEnd w:id="53"/>
      <w:bookmarkStart w:id="54" w:name="_Toc184312076"/>
      <w:bookmarkEnd w:id="54"/>
      <w:bookmarkStart w:id="55" w:name="_Toc184310337"/>
      <w:bookmarkEnd w:id="55"/>
      <w:bookmarkStart w:id="56" w:name="_Toc184313287"/>
      <w:bookmarkEnd w:id="56"/>
      <w:bookmarkStart w:id="57" w:name="_Toc184314422"/>
      <w:bookmarkEnd w:id="57"/>
      <w:bookmarkStart w:id="58" w:name="_Toc184314435"/>
      <w:bookmarkEnd w:id="58"/>
      <w:bookmarkStart w:id="59" w:name="_Toc184308068"/>
      <w:bookmarkEnd w:id="59"/>
      <w:bookmarkStart w:id="60" w:name="_Toc184314443"/>
      <w:bookmarkEnd w:id="60"/>
      <w:bookmarkStart w:id="61" w:name="_Toc184314452"/>
      <w:bookmarkEnd w:id="61"/>
      <w:bookmarkStart w:id="62" w:name="_Toc184310330"/>
      <w:bookmarkEnd w:id="62"/>
      <w:bookmarkStart w:id="63" w:name="_Toc184313304"/>
      <w:bookmarkEnd w:id="63"/>
      <w:bookmarkStart w:id="64" w:name="_Toc184310307"/>
      <w:bookmarkEnd w:id="64"/>
      <w:bookmarkStart w:id="65" w:name="_Toc184314469"/>
      <w:bookmarkEnd w:id="65"/>
      <w:bookmarkStart w:id="66" w:name="_Toc184310305"/>
      <w:bookmarkEnd w:id="66"/>
      <w:bookmarkStart w:id="67" w:name="_Toc184312135"/>
      <w:bookmarkEnd w:id="67"/>
      <w:bookmarkStart w:id="68" w:name="_Toc184312134"/>
      <w:bookmarkEnd w:id="68"/>
      <w:bookmarkStart w:id="69" w:name="_Toc184313248"/>
      <w:bookmarkEnd w:id="69"/>
      <w:bookmarkStart w:id="70" w:name="_Toc184312077"/>
      <w:bookmarkEnd w:id="70"/>
      <w:bookmarkStart w:id="71" w:name="_Toc184312087"/>
      <w:bookmarkEnd w:id="71"/>
      <w:bookmarkStart w:id="72" w:name="_Toc184314424"/>
      <w:bookmarkEnd w:id="72"/>
      <w:bookmarkStart w:id="73" w:name="_Toc184313288"/>
      <w:bookmarkEnd w:id="73"/>
      <w:bookmarkStart w:id="74" w:name="_Toc184310332"/>
      <w:bookmarkEnd w:id="74"/>
      <w:bookmarkStart w:id="75" w:name="_Toc184310336"/>
      <w:bookmarkEnd w:id="75"/>
      <w:bookmarkStart w:id="76" w:name="_Toc184312133"/>
      <w:bookmarkEnd w:id="76"/>
      <w:bookmarkStart w:id="77" w:name="_Toc184308099"/>
      <w:bookmarkEnd w:id="77"/>
      <w:bookmarkStart w:id="78" w:name="_Toc184308082"/>
      <w:bookmarkEnd w:id="78"/>
      <w:bookmarkStart w:id="79" w:name="_Toc184313242"/>
      <w:bookmarkEnd w:id="79"/>
      <w:bookmarkStart w:id="80" w:name="_Toc184310343"/>
      <w:bookmarkEnd w:id="80"/>
      <w:bookmarkStart w:id="81" w:name="_Toc184310285"/>
      <w:bookmarkEnd w:id="81"/>
      <w:bookmarkStart w:id="82" w:name="_Toc184310299"/>
      <w:bookmarkEnd w:id="82"/>
      <w:bookmarkStart w:id="83" w:name="_Toc184312117"/>
      <w:bookmarkEnd w:id="83"/>
      <w:bookmarkStart w:id="84" w:name="_Toc184310326"/>
      <w:bookmarkEnd w:id="84"/>
      <w:bookmarkStart w:id="85" w:name="_Toc184312124"/>
      <w:bookmarkEnd w:id="85"/>
      <w:bookmarkStart w:id="86" w:name="_Toc184314419"/>
      <w:bookmarkEnd w:id="86"/>
      <w:bookmarkStart w:id="87" w:name="_Toc184314432"/>
      <w:bookmarkEnd w:id="87"/>
      <w:bookmarkStart w:id="88" w:name="_Toc184313264"/>
      <w:bookmarkEnd w:id="88"/>
      <w:bookmarkStart w:id="89" w:name="_Toc184308098"/>
      <w:bookmarkEnd w:id="89"/>
      <w:bookmarkStart w:id="90" w:name="_Toc184312067"/>
      <w:bookmarkEnd w:id="90"/>
      <w:bookmarkStart w:id="91" w:name="_Toc184312085"/>
      <w:bookmarkEnd w:id="91"/>
      <w:bookmarkStart w:id="92" w:name="_Toc184313270"/>
      <w:bookmarkEnd w:id="92"/>
      <w:bookmarkStart w:id="93" w:name="_Toc184312098"/>
      <w:bookmarkEnd w:id="93"/>
      <w:bookmarkStart w:id="94" w:name="_Toc184308107"/>
      <w:bookmarkEnd w:id="94"/>
      <w:bookmarkStart w:id="95" w:name="_Toc184308102"/>
      <w:bookmarkEnd w:id="95"/>
      <w:bookmarkStart w:id="96" w:name="_Toc184313284"/>
      <w:bookmarkEnd w:id="96"/>
      <w:bookmarkStart w:id="97" w:name="_Toc184312094"/>
      <w:bookmarkEnd w:id="97"/>
      <w:bookmarkStart w:id="98" w:name="_Toc184310340"/>
      <w:bookmarkEnd w:id="98"/>
      <w:bookmarkStart w:id="99" w:name="_Toc184308080"/>
      <w:bookmarkEnd w:id="99"/>
      <w:bookmarkStart w:id="100" w:name="_Toc184314438"/>
      <w:bookmarkEnd w:id="100"/>
      <w:bookmarkStart w:id="101" w:name="_Toc184313306"/>
      <w:bookmarkEnd w:id="101"/>
      <w:bookmarkStart w:id="102" w:name="_Toc184310322"/>
      <w:bookmarkEnd w:id="102"/>
      <w:bookmarkStart w:id="103" w:name="_Toc184312104"/>
      <w:bookmarkEnd w:id="103"/>
      <w:bookmarkStart w:id="104" w:name="_Toc184314450"/>
      <w:bookmarkEnd w:id="104"/>
      <w:bookmarkStart w:id="105" w:name="_Toc184312136"/>
      <w:bookmarkEnd w:id="105"/>
      <w:bookmarkStart w:id="106" w:name="_Toc184308041"/>
      <w:bookmarkEnd w:id="106"/>
      <w:bookmarkStart w:id="107" w:name="_Toc184308060"/>
      <w:bookmarkEnd w:id="107"/>
      <w:bookmarkStart w:id="108" w:name="_Toc184313307"/>
      <w:bookmarkEnd w:id="108"/>
      <w:bookmarkStart w:id="109" w:name="_Toc184313275"/>
      <w:bookmarkEnd w:id="109"/>
      <w:bookmarkStart w:id="110" w:name="_Toc184310288"/>
      <w:bookmarkEnd w:id="110"/>
      <w:bookmarkStart w:id="111" w:name="_Toc184312125"/>
      <w:bookmarkEnd w:id="111"/>
      <w:bookmarkStart w:id="112" w:name="_Toc184313259"/>
      <w:bookmarkEnd w:id="112"/>
      <w:bookmarkStart w:id="113" w:name="_Toc184310320"/>
      <w:bookmarkEnd w:id="113"/>
      <w:bookmarkStart w:id="114" w:name="_Toc184310280"/>
      <w:bookmarkEnd w:id="114"/>
      <w:bookmarkStart w:id="115" w:name="_Toc184314426"/>
      <w:bookmarkEnd w:id="115"/>
      <w:bookmarkStart w:id="116" w:name="_Toc184310277"/>
      <w:bookmarkEnd w:id="116"/>
      <w:bookmarkStart w:id="117" w:name="_Toc184314468"/>
      <w:bookmarkEnd w:id="117"/>
      <w:bookmarkStart w:id="118" w:name="_Toc184312137"/>
      <w:bookmarkEnd w:id="118"/>
      <w:bookmarkStart w:id="119" w:name="_Toc184308054"/>
      <w:bookmarkEnd w:id="119"/>
      <w:bookmarkStart w:id="120" w:name="_Toc184312096"/>
      <w:bookmarkEnd w:id="120"/>
      <w:bookmarkStart w:id="121" w:name="_Toc184310304"/>
      <w:bookmarkEnd w:id="121"/>
      <w:bookmarkStart w:id="122" w:name="_Toc184308048"/>
      <w:bookmarkEnd w:id="122"/>
      <w:bookmarkStart w:id="123" w:name="_Toc184308069"/>
      <w:bookmarkEnd w:id="123"/>
      <w:bookmarkStart w:id="124" w:name="_Toc184313269"/>
      <w:bookmarkEnd w:id="124"/>
      <w:bookmarkStart w:id="125" w:name="_Toc184313299"/>
      <w:bookmarkEnd w:id="125"/>
      <w:bookmarkStart w:id="126" w:name="_Toc184308057"/>
      <w:bookmarkEnd w:id="126"/>
      <w:bookmarkStart w:id="127" w:name="_Toc184314412"/>
      <w:bookmarkEnd w:id="127"/>
      <w:bookmarkStart w:id="128" w:name="_Toc184313267"/>
      <w:bookmarkEnd w:id="128"/>
      <w:bookmarkStart w:id="129" w:name="_Toc184310302"/>
      <w:bookmarkEnd w:id="129"/>
      <w:bookmarkStart w:id="130" w:name="_Toc184308055"/>
      <w:bookmarkEnd w:id="130"/>
      <w:bookmarkStart w:id="131" w:name="_Toc184313296"/>
      <w:bookmarkEnd w:id="131"/>
      <w:bookmarkStart w:id="132" w:name="_Toc184310290"/>
      <w:bookmarkEnd w:id="132"/>
      <w:bookmarkStart w:id="133" w:name="_Toc184308089"/>
      <w:bookmarkEnd w:id="133"/>
      <w:bookmarkStart w:id="134" w:name="_Toc184310286"/>
      <w:bookmarkEnd w:id="134"/>
      <w:bookmarkStart w:id="135" w:name="_Toc184312129"/>
      <w:bookmarkEnd w:id="135"/>
      <w:bookmarkStart w:id="136" w:name="_Toc184313300"/>
      <w:bookmarkEnd w:id="136"/>
      <w:bookmarkStart w:id="137" w:name="_Toc184314454"/>
      <w:bookmarkEnd w:id="137"/>
      <w:bookmarkStart w:id="138" w:name="_Toc184313303"/>
      <w:bookmarkEnd w:id="138"/>
      <w:bookmarkStart w:id="139" w:name="_Toc184313243"/>
      <w:bookmarkEnd w:id="139"/>
      <w:bookmarkStart w:id="140" w:name="_Toc184313280"/>
      <w:bookmarkEnd w:id="140"/>
      <w:bookmarkStart w:id="141" w:name="_Toc184314463"/>
      <w:bookmarkEnd w:id="141"/>
      <w:bookmarkStart w:id="142" w:name="_Toc184308040"/>
      <w:bookmarkEnd w:id="142"/>
      <w:bookmarkStart w:id="143" w:name="_Toc184312115"/>
      <w:bookmarkEnd w:id="143"/>
      <w:bookmarkStart w:id="144" w:name="_Toc184312103"/>
      <w:bookmarkEnd w:id="144"/>
      <w:bookmarkStart w:id="145" w:name="_Toc184308059"/>
      <w:bookmarkEnd w:id="145"/>
      <w:bookmarkStart w:id="146" w:name="_Toc184308088"/>
      <w:bookmarkEnd w:id="146"/>
      <w:bookmarkStart w:id="147" w:name="_Toc184308044"/>
      <w:bookmarkEnd w:id="147"/>
      <w:bookmarkStart w:id="148" w:name="_Toc184310308"/>
      <w:bookmarkEnd w:id="148"/>
      <w:bookmarkStart w:id="149" w:name="_Toc184314417"/>
      <w:bookmarkEnd w:id="149"/>
      <w:bookmarkStart w:id="150" w:name="_Toc184308075"/>
      <w:bookmarkEnd w:id="150"/>
      <w:bookmarkStart w:id="151" w:name="_Toc184310338"/>
      <w:bookmarkEnd w:id="151"/>
      <w:bookmarkStart w:id="152" w:name="_Toc184314445"/>
      <w:bookmarkEnd w:id="152"/>
      <w:bookmarkStart w:id="153" w:name="_Toc184313268"/>
      <w:bookmarkEnd w:id="153"/>
      <w:bookmarkStart w:id="154" w:name="_Toc184308064"/>
      <w:bookmarkEnd w:id="154"/>
      <w:bookmarkStart w:id="155" w:name="_Toc184313256"/>
      <w:bookmarkEnd w:id="155"/>
      <w:bookmarkStart w:id="156" w:name="_Toc184308090"/>
      <w:bookmarkEnd w:id="156"/>
      <w:bookmarkStart w:id="157" w:name="_Toc184314470"/>
      <w:bookmarkEnd w:id="157"/>
      <w:bookmarkStart w:id="158" w:name="_Toc184308042"/>
      <w:bookmarkEnd w:id="158"/>
      <w:bookmarkStart w:id="159" w:name="_Toc184314446"/>
      <w:bookmarkEnd w:id="159"/>
      <w:bookmarkStart w:id="160" w:name="_Toc184308084"/>
      <w:bookmarkEnd w:id="160"/>
      <w:bookmarkStart w:id="161" w:name="_Toc184312131"/>
      <w:bookmarkEnd w:id="161"/>
      <w:bookmarkStart w:id="162" w:name="_Toc184308104"/>
      <w:bookmarkEnd w:id="162"/>
      <w:bookmarkStart w:id="163" w:name="_Toc184308085"/>
      <w:bookmarkEnd w:id="163"/>
      <w:bookmarkStart w:id="164" w:name="_Toc184312123"/>
      <w:bookmarkEnd w:id="164"/>
      <w:bookmarkStart w:id="165" w:name="_Toc184310317"/>
      <w:bookmarkEnd w:id="165"/>
      <w:bookmarkStart w:id="166" w:name="_Toc184310325"/>
      <w:bookmarkEnd w:id="166"/>
      <w:bookmarkStart w:id="167" w:name="_Toc184314430"/>
      <w:bookmarkEnd w:id="167"/>
      <w:bookmarkStart w:id="168" w:name="_Toc184312116"/>
      <w:bookmarkEnd w:id="168"/>
      <w:bookmarkStart w:id="169" w:name="_Toc184308096"/>
      <w:bookmarkEnd w:id="169"/>
      <w:bookmarkStart w:id="170" w:name="_Toc184310294"/>
      <w:bookmarkEnd w:id="170"/>
      <w:bookmarkStart w:id="171" w:name="_Toc184312084"/>
      <w:bookmarkEnd w:id="171"/>
      <w:bookmarkStart w:id="172" w:name="_Toc184313245"/>
      <w:bookmarkEnd w:id="172"/>
      <w:bookmarkStart w:id="173" w:name="_Toc184314471"/>
      <w:bookmarkEnd w:id="173"/>
      <w:bookmarkStart w:id="174" w:name="_Toc184310274"/>
      <w:bookmarkEnd w:id="174"/>
      <w:bookmarkStart w:id="175" w:name="_Toc184310278"/>
      <w:bookmarkEnd w:id="175"/>
      <w:bookmarkStart w:id="176" w:name="_Toc184308046"/>
      <w:bookmarkEnd w:id="176"/>
      <w:bookmarkStart w:id="177" w:name="_Toc184313283"/>
      <w:bookmarkEnd w:id="177"/>
      <w:bookmarkStart w:id="178" w:name="_Toc184314480"/>
      <w:bookmarkEnd w:id="178"/>
      <w:bookmarkStart w:id="179" w:name="_Toc184308103"/>
      <w:bookmarkEnd w:id="179"/>
      <w:bookmarkStart w:id="180" w:name="_Toc184313244"/>
      <w:bookmarkEnd w:id="180"/>
      <w:bookmarkStart w:id="181" w:name="_Toc184314425"/>
      <w:bookmarkEnd w:id="181"/>
      <w:bookmarkStart w:id="182" w:name="_Toc184310297"/>
      <w:bookmarkEnd w:id="182"/>
      <w:bookmarkStart w:id="183" w:name="_Toc184308078"/>
      <w:bookmarkEnd w:id="183"/>
      <w:bookmarkStart w:id="184" w:name="_Toc184314473"/>
      <w:bookmarkEnd w:id="184"/>
      <w:bookmarkStart w:id="185" w:name="_Toc184308081"/>
      <w:bookmarkEnd w:id="185"/>
      <w:bookmarkStart w:id="186" w:name="_Toc184308079"/>
      <w:bookmarkEnd w:id="186"/>
      <w:bookmarkStart w:id="187" w:name="_Toc184308037"/>
      <w:bookmarkEnd w:id="187"/>
      <w:bookmarkStart w:id="188" w:name="_Toc184310291"/>
      <w:bookmarkEnd w:id="188"/>
      <w:bookmarkStart w:id="189" w:name="_Toc184310311"/>
      <w:bookmarkEnd w:id="189"/>
      <w:bookmarkStart w:id="190" w:name="_Toc184310287"/>
      <w:bookmarkEnd w:id="190"/>
      <w:bookmarkStart w:id="191" w:name="_Toc184310342"/>
      <w:bookmarkEnd w:id="191"/>
      <w:bookmarkStart w:id="192" w:name="_Toc184312101"/>
      <w:bookmarkEnd w:id="192"/>
      <w:bookmarkStart w:id="193" w:name="_Toc184312119"/>
      <w:bookmarkEnd w:id="193"/>
      <w:bookmarkStart w:id="194" w:name="_Toc184314414"/>
      <w:bookmarkEnd w:id="194"/>
      <w:bookmarkStart w:id="195" w:name="_Toc184312127"/>
      <w:bookmarkEnd w:id="195"/>
      <w:bookmarkStart w:id="196" w:name="_Toc184313308"/>
      <w:bookmarkEnd w:id="196"/>
      <w:bookmarkStart w:id="197" w:name="_Toc184312106"/>
      <w:bookmarkEnd w:id="197"/>
      <w:bookmarkStart w:id="198" w:name="_Toc184308071"/>
      <w:bookmarkEnd w:id="198"/>
      <w:bookmarkStart w:id="199" w:name="_Toc184312086"/>
      <w:bookmarkEnd w:id="199"/>
      <w:bookmarkStart w:id="200" w:name="_Toc184312108"/>
      <w:bookmarkEnd w:id="200"/>
      <w:bookmarkStart w:id="201" w:name="_Toc184312128"/>
      <w:bookmarkEnd w:id="201"/>
      <w:bookmarkStart w:id="202" w:name="_Toc184310272"/>
      <w:bookmarkEnd w:id="202"/>
      <w:bookmarkStart w:id="203" w:name="_Toc184308105"/>
      <w:bookmarkEnd w:id="203"/>
      <w:bookmarkStart w:id="204" w:name="_Toc184312114"/>
      <w:bookmarkEnd w:id="204"/>
      <w:bookmarkStart w:id="205" w:name="_Toc184308049"/>
      <w:bookmarkEnd w:id="205"/>
      <w:bookmarkStart w:id="206" w:name="_Toc184313247"/>
      <w:bookmarkEnd w:id="206"/>
      <w:bookmarkStart w:id="207" w:name="_Toc184310344"/>
      <w:bookmarkEnd w:id="207"/>
      <w:bookmarkStart w:id="208" w:name="_Toc184314434"/>
      <w:bookmarkEnd w:id="208"/>
      <w:bookmarkStart w:id="209" w:name="_Toc184314455"/>
      <w:bookmarkEnd w:id="209"/>
      <w:bookmarkStart w:id="210" w:name="_Toc184310273"/>
      <w:bookmarkEnd w:id="210"/>
      <w:bookmarkStart w:id="211" w:name="_Toc184312078"/>
      <w:bookmarkEnd w:id="211"/>
      <w:bookmarkStart w:id="212" w:name="_Toc184314447"/>
      <w:bookmarkEnd w:id="212"/>
      <w:bookmarkStart w:id="213" w:name="_Toc184312093"/>
      <w:bookmarkEnd w:id="213"/>
      <w:bookmarkStart w:id="214" w:name="_Toc184313254"/>
      <w:bookmarkEnd w:id="214"/>
      <w:bookmarkStart w:id="215" w:name="_Toc184308038"/>
      <w:bookmarkEnd w:id="215"/>
      <w:bookmarkStart w:id="216" w:name="_Toc184314461"/>
      <w:bookmarkEnd w:id="216"/>
      <w:bookmarkStart w:id="217" w:name="_Toc184313301"/>
      <w:bookmarkEnd w:id="217"/>
      <w:bookmarkStart w:id="218" w:name="_Toc184314436"/>
      <w:bookmarkEnd w:id="218"/>
      <w:bookmarkStart w:id="219" w:name="_Toc184310333"/>
      <w:bookmarkEnd w:id="219"/>
      <w:bookmarkStart w:id="220" w:name="_Toc184308097"/>
      <w:bookmarkEnd w:id="220"/>
      <w:bookmarkStart w:id="221" w:name="_Toc184313298"/>
      <w:bookmarkEnd w:id="221"/>
      <w:bookmarkStart w:id="222" w:name="_Toc184312099"/>
      <w:bookmarkEnd w:id="222"/>
      <w:bookmarkStart w:id="223" w:name="_Toc184314481"/>
      <w:bookmarkEnd w:id="223"/>
      <w:bookmarkStart w:id="224" w:name="_Toc184314464"/>
      <w:bookmarkEnd w:id="224"/>
      <w:bookmarkStart w:id="225" w:name="_Toc184314474"/>
      <w:bookmarkEnd w:id="225"/>
      <w:bookmarkStart w:id="226" w:name="_Toc184312138"/>
      <w:bookmarkEnd w:id="226"/>
      <w:bookmarkStart w:id="227" w:name="_Toc184314431"/>
      <w:bookmarkEnd w:id="227"/>
      <w:bookmarkStart w:id="228" w:name="_Toc184308065"/>
      <w:bookmarkEnd w:id="228"/>
      <w:bookmarkStart w:id="229" w:name="_Toc184313258"/>
      <w:bookmarkEnd w:id="229"/>
      <w:bookmarkStart w:id="230" w:name="_Toc184312102"/>
      <w:bookmarkEnd w:id="230"/>
      <w:bookmarkStart w:id="231" w:name="_Toc184312079"/>
      <w:bookmarkEnd w:id="231"/>
      <w:bookmarkStart w:id="232" w:name="_Toc184314411"/>
      <w:bookmarkEnd w:id="232"/>
      <w:bookmarkStart w:id="233" w:name="_Toc184314453"/>
      <w:bookmarkEnd w:id="233"/>
      <w:bookmarkStart w:id="234" w:name="_Toc184310323"/>
      <w:bookmarkEnd w:id="234"/>
      <w:bookmarkStart w:id="235" w:name="_Toc184308043"/>
      <w:bookmarkEnd w:id="235"/>
      <w:bookmarkStart w:id="236" w:name="_Toc184314448"/>
      <w:bookmarkEnd w:id="236"/>
      <w:bookmarkStart w:id="237" w:name="_Toc184312112"/>
      <w:bookmarkEnd w:id="237"/>
      <w:bookmarkStart w:id="238" w:name="_Toc184314479"/>
      <w:bookmarkEnd w:id="238"/>
      <w:bookmarkStart w:id="239" w:name="_Toc184310310"/>
      <w:bookmarkEnd w:id="239"/>
      <w:bookmarkStart w:id="240" w:name="_Toc184313281"/>
      <w:bookmarkEnd w:id="240"/>
      <w:bookmarkStart w:id="241" w:name="_Toc184313295"/>
      <w:bookmarkEnd w:id="241"/>
      <w:bookmarkStart w:id="242" w:name="_Toc184314418"/>
      <w:bookmarkEnd w:id="242"/>
      <w:bookmarkStart w:id="243" w:name="_Toc184313265"/>
      <w:bookmarkEnd w:id="243"/>
      <w:bookmarkStart w:id="244" w:name="_Toc184308058"/>
      <w:bookmarkEnd w:id="244"/>
      <w:bookmarkStart w:id="245" w:name="_Toc184310341"/>
      <w:bookmarkEnd w:id="245"/>
      <w:bookmarkStart w:id="246" w:name="_Toc184312075"/>
      <w:bookmarkEnd w:id="246"/>
      <w:bookmarkStart w:id="247" w:name="_Toc184310295"/>
      <w:bookmarkEnd w:id="247"/>
      <w:bookmarkStart w:id="248" w:name="_Toc184314476"/>
      <w:bookmarkEnd w:id="248"/>
      <w:bookmarkStart w:id="249" w:name="_Toc184312107"/>
      <w:bookmarkEnd w:id="249"/>
      <w:bookmarkStart w:id="250" w:name="_Toc184314441"/>
      <w:bookmarkEnd w:id="250"/>
      <w:bookmarkStart w:id="251" w:name="_Toc184310284"/>
      <w:bookmarkEnd w:id="251"/>
      <w:bookmarkStart w:id="252" w:name="_Toc184313285"/>
      <w:bookmarkEnd w:id="252"/>
      <w:bookmarkStart w:id="253" w:name="_Toc184308083"/>
      <w:bookmarkEnd w:id="253"/>
      <w:bookmarkStart w:id="254" w:name="_Toc184313246"/>
      <w:bookmarkEnd w:id="254"/>
      <w:bookmarkStart w:id="255" w:name="_Toc184308072"/>
      <w:bookmarkEnd w:id="255"/>
      <w:bookmarkStart w:id="256" w:name="_Toc184308047"/>
      <w:bookmarkEnd w:id="256"/>
      <w:bookmarkStart w:id="257" w:name="_Toc184312082"/>
      <w:bookmarkEnd w:id="257"/>
      <w:bookmarkStart w:id="258" w:name="_Toc184313279"/>
      <w:bookmarkEnd w:id="258"/>
      <w:bookmarkStart w:id="259" w:name="_Toc184310321"/>
      <w:bookmarkEnd w:id="259"/>
      <w:bookmarkStart w:id="260" w:name="_Toc184313266"/>
      <w:bookmarkEnd w:id="260"/>
      <w:bookmarkStart w:id="261" w:name="_Toc184310331"/>
      <w:bookmarkEnd w:id="261"/>
      <w:bookmarkStart w:id="262" w:name="_Toc184308039"/>
      <w:bookmarkEnd w:id="262"/>
      <w:bookmarkStart w:id="263" w:name="_Toc184314472"/>
      <w:bookmarkEnd w:id="263"/>
      <w:bookmarkStart w:id="264" w:name="_Toc184314466"/>
      <w:bookmarkEnd w:id="264"/>
      <w:bookmarkStart w:id="265" w:name="_Toc184308077"/>
      <w:bookmarkEnd w:id="265"/>
      <w:bookmarkStart w:id="266" w:name="_Toc184312121"/>
      <w:bookmarkEnd w:id="266"/>
      <w:bookmarkStart w:id="267" w:name="_Toc184310329"/>
      <w:bookmarkEnd w:id="267"/>
      <w:bookmarkStart w:id="268" w:name="_Toc184310289"/>
      <w:bookmarkEnd w:id="268"/>
      <w:bookmarkStart w:id="269" w:name="_Toc184313271"/>
      <w:bookmarkEnd w:id="269"/>
      <w:bookmarkStart w:id="270" w:name="_Toc184308051"/>
      <w:bookmarkEnd w:id="270"/>
      <w:bookmarkStart w:id="271" w:name="_Toc184312120"/>
      <w:bookmarkEnd w:id="271"/>
      <w:bookmarkStart w:id="272" w:name="_Toc184310328"/>
      <w:bookmarkEnd w:id="272"/>
      <w:bookmarkStart w:id="273" w:name="_Toc184313250"/>
      <w:bookmarkEnd w:id="273"/>
      <w:bookmarkStart w:id="274" w:name="_Toc184314449"/>
      <w:bookmarkEnd w:id="274"/>
      <w:bookmarkStart w:id="275" w:name="_Toc184314437"/>
      <w:bookmarkEnd w:id="275"/>
      <w:bookmarkStart w:id="276" w:name="_Toc184308070"/>
      <w:bookmarkEnd w:id="276"/>
      <w:bookmarkStart w:id="277" w:name="_Toc184312132"/>
      <w:bookmarkEnd w:id="277"/>
      <w:bookmarkStart w:id="278" w:name="_Toc184313291"/>
      <w:bookmarkEnd w:id="278"/>
      <w:bookmarkStart w:id="279" w:name="_Toc184314442"/>
      <w:bookmarkEnd w:id="279"/>
      <w:bookmarkStart w:id="280" w:name="_Toc184312070"/>
      <w:bookmarkEnd w:id="280"/>
      <w:bookmarkStart w:id="281" w:name="_Toc184312130"/>
      <w:bookmarkEnd w:id="281"/>
      <w:bookmarkStart w:id="282" w:name="_Toc184308066"/>
      <w:bookmarkEnd w:id="282"/>
      <w:bookmarkStart w:id="283" w:name="_Toc184313257"/>
      <w:bookmarkEnd w:id="283"/>
      <w:bookmarkStart w:id="284" w:name="_Toc184313310"/>
      <w:bookmarkEnd w:id="284"/>
      <w:bookmarkStart w:id="285" w:name="_Toc184308052"/>
      <w:bookmarkEnd w:id="285"/>
      <w:bookmarkStart w:id="286" w:name="_Toc184314429"/>
      <w:bookmarkEnd w:id="286"/>
      <w:bookmarkStart w:id="287" w:name="_Toc184313240"/>
      <w:bookmarkEnd w:id="287"/>
      <w:bookmarkStart w:id="288" w:name="_Toc184314423"/>
      <w:bookmarkEnd w:id="288"/>
      <w:bookmarkStart w:id="289" w:name="_Toc184310316"/>
      <w:bookmarkEnd w:id="289"/>
      <w:bookmarkStart w:id="290" w:name="_Toc184314410"/>
      <w:bookmarkEnd w:id="290"/>
      <w:bookmarkStart w:id="291" w:name="_Toc184314428"/>
      <w:bookmarkEnd w:id="291"/>
      <w:bookmarkStart w:id="292" w:name="_Toc184314415"/>
      <w:bookmarkEnd w:id="292"/>
      <w:bookmarkStart w:id="293" w:name="_Toc184310314"/>
      <w:bookmarkEnd w:id="293"/>
      <w:bookmarkStart w:id="294" w:name="_Toc184310318"/>
      <w:bookmarkEnd w:id="294"/>
      <w:bookmarkStart w:id="295" w:name="_Toc184312068"/>
      <w:bookmarkEnd w:id="295"/>
      <w:bookmarkStart w:id="296" w:name="_Toc184314427"/>
      <w:bookmarkEnd w:id="296"/>
      <w:bookmarkStart w:id="297" w:name="_Toc184312083"/>
      <w:bookmarkEnd w:id="297"/>
      <w:bookmarkStart w:id="298" w:name="_Toc184313253"/>
      <w:bookmarkEnd w:id="298"/>
      <w:bookmarkStart w:id="299" w:name="_Toc184312100"/>
      <w:bookmarkEnd w:id="299"/>
      <w:bookmarkStart w:id="300" w:name="_Toc184312097"/>
      <w:bookmarkEnd w:id="300"/>
      <w:bookmarkStart w:id="301" w:name="_Toc184313293"/>
      <w:bookmarkEnd w:id="301"/>
      <w:bookmarkStart w:id="302" w:name="_Toc184308036"/>
      <w:bookmarkEnd w:id="302"/>
      <w:bookmarkStart w:id="303" w:name="_Toc184313309"/>
      <w:bookmarkEnd w:id="303"/>
      <w:bookmarkStart w:id="304" w:name="_Toc184308093"/>
      <w:bookmarkEnd w:id="304"/>
      <w:bookmarkStart w:id="305" w:name="_Toc184310298"/>
      <w:bookmarkEnd w:id="305"/>
      <w:bookmarkStart w:id="306" w:name="_Toc184310339"/>
      <w:bookmarkEnd w:id="306"/>
      <w:bookmarkStart w:id="307" w:name="_Toc184314421"/>
      <w:bookmarkEnd w:id="307"/>
      <w:bookmarkStart w:id="308" w:name="_Toc184308050"/>
      <w:bookmarkEnd w:id="308"/>
      <w:bookmarkStart w:id="309" w:name="_Toc184313249"/>
      <w:bookmarkEnd w:id="309"/>
      <w:bookmarkStart w:id="310" w:name="_Toc184313261"/>
      <w:bookmarkEnd w:id="310"/>
      <w:bookmarkStart w:id="311" w:name="_Toc184308091"/>
      <w:bookmarkEnd w:id="311"/>
      <w:bookmarkStart w:id="312" w:name="_Toc184308061"/>
      <w:bookmarkEnd w:id="312"/>
      <w:bookmarkStart w:id="313" w:name="_Toc184314465"/>
      <w:bookmarkEnd w:id="313"/>
      <w:bookmarkStart w:id="314" w:name="_Toc184313241"/>
      <w:bookmarkEnd w:id="314"/>
      <w:bookmarkStart w:id="315" w:name="_Toc184313305"/>
      <w:bookmarkEnd w:id="315"/>
      <w:bookmarkStart w:id="316" w:name="_Toc184310315"/>
      <w:bookmarkEnd w:id="316"/>
      <w:bookmarkStart w:id="317" w:name="_Toc184308101"/>
      <w:bookmarkEnd w:id="317"/>
      <w:bookmarkStart w:id="318" w:name="_Toc184314416"/>
      <w:bookmarkEnd w:id="318"/>
      <w:bookmarkStart w:id="319" w:name="_Toc184313251"/>
      <w:bookmarkEnd w:id="319"/>
      <w:bookmarkStart w:id="320" w:name="_Toc184310327"/>
      <w:bookmarkEnd w:id="320"/>
      <w:bookmarkStart w:id="321" w:name="_Toc184308106"/>
      <w:bookmarkEnd w:id="321"/>
      <w:bookmarkStart w:id="322" w:name="_Toc184310282"/>
      <w:bookmarkEnd w:id="322"/>
      <w:bookmarkStart w:id="323" w:name="_Toc184313292"/>
      <w:bookmarkEnd w:id="323"/>
      <w:bookmarkStart w:id="324" w:name="_Toc184312122"/>
      <w:bookmarkEnd w:id="324"/>
      <w:bookmarkStart w:id="325" w:name="_Toc184308095"/>
      <w:bookmarkEnd w:id="325"/>
      <w:bookmarkStart w:id="326" w:name="_Toc184313290"/>
      <w:bookmarkEnd w:id="326"/>
      <w:bookmarkStart w:id="327" w:name="_Toc184312080"/>
      <w:bookmarkEnd w:id="327"/>
      <w:bookmarkStart w:id="328" w:name="_Toc184313297"/>
      <w:bookmarkEnd w:id="328"/>
      <w:bookmarkStart w:id="329" w:name="_Toc184308073"/>
      <w:bookmarkEnd w:id="329"/>
      <w:bookmarkStart w:id="330" w:name="_Toc184313273"/>
      <w:bookmarkEnd w:id="330"/>
      <w:bookmarkStart w:id="331" w:name="_Toc184314440"/>
      <w:bookmarkEnd w:id="331"/>
      <w:bookmarkStart w:id="332" w:name="_Toc184310319"/>
      <w:bookmarkEnd w:id="332"/>
      <w:bookmarkStart w:id="333" w:name="_Toc184312072"/>
      <w:bookmarkEnd w:id="333"/>
      <w:bookmarkStart w:id="334" w:name="_Toc184312118"/>
      <w:bookmarkEnd w:id="334"/>
      <w:bookmarkStart w:id="335" w:name="_Toc184314458"/>
      <w:bookmarkEnd w:id="335"/>
      <w:bookmarkStart w:id="336" w:name="_Toc184310293"/>
      <w:bookmarkEnd w:id="336"/>
      <w:bookmarkStart w:id="337" w:name="_Toc184314482"/>
      <w:bookmarkEnd w:id="337"/>
      <w:bookmarkStart w:id="338" w:name="_Toc184314451"/>
      <w:bookmarkEnd w:id="338"/>
      <w:bookmarkStart w:id="339" w:name="_Toc184313282"/>
      <w:bookmarkEnd w:id="339"/>
      <w:bookmarkStart w:id="340" w:name="_Toc184310275"/>
      <w:bookmarkEnd w:id="340"/>
      <w:bookmarkStart w:id="341" w:name="_Toc184310303"/>
      <w:bookmarkEnd w:id="341"/>
      <w:bookmarkStart w:id="342" w:name="_Toc184312110"/>
      <w:bookmarkEnd w:id="342"/>
      <w:bookmarkStart w:id="343" w:name="_Toc184312091"/>
      <w:bookmarkEnd w:id="343"/>
      <w:bookmarkStart w:id="344" w:name="_Toc184313252"/>
      <w:bookmarkEnd w:id="344"/>
      <w:bookmarkStart w:id="345" w:name="_Toc184312095"/>
      <w:bookmarkEnd w:id="345"/>
      <w:bookmarkStart w:id="346" w:name="_Toc184308053"/>
      <w:bookmarkEnd w:id="346"/>
      <w:bookmarkStart w:id="347" w:name="_Toc184312092"/>
      <w:bookmarkEnd w:id="347"/>
      <w:bookmarkStart w:id="348" w:name="_Toc184312139"/>
      <w:bookmarkEnd w:id="348"/>
      <w:bookmarkStart w:id="349" w:name="_Toc184310296"/>
      <w:bookmarkEnd w:id="349"/>
      <w:bookmarkStart w:id="350" w:name="_Toc184308056"/>
      <w:bookmarkEnd w:id="350"/>
      <w:bookmarkStart w:id="351" w:name="_Toc184313277"/>
      <w:bookmarkEnd w:id="351"/>
      <w:bookmarkStart w:id="352" w:name="_Toc184312081"/>
      <w:bookmarkEnd w:id="352"/>
      <w:bookmarkStart w:id="353" w:name="_Toc184313294"/>
      <w:bookmarkEnd w:id="353"/>
      <w:bookmarkStart w:id="354" w:name="_Toc184313263"/>
      <w:bookmarkEnd w:id="354"/>
      <w:bookmarkStart w:id="355" w:name="_Toc184310281"/>
      <w:bookmarkEnd w:id="355"/>
      <w:bookmarkStart w:id="356" w:name="_Toc184313272"/>
      <w:bookmarkEnd w:id="356"/>
      <w:bookmarkStart w:id="357" w:name="_Toc184310276"/>
      <w:bookmarkEnd w:id="357"/>
      <w:bookmarkStart w:id="358" w:name="_Toc184310306"/>
      <w:bookmarkEnd w:id="358"/>
      <w:bookmarkStart w:id="359" w:name="_Toc184313262"/>
      <w:bookmarkEnd w:id="359"/>
      <w:bookmarkStart w:id="360" w:name="_Toc184310335"/>
      <w:bookmarkEnd w:id="360"/>
      <w:bookmarkStart w:id="361" w:name="_Toc184313260"/>
      <w:bookmarkEnd w:id="361"/>
      <w:bookmarkStart w:id="362" w:name="_Toc184313239"/>
      <w:bookmarkEnd w:id="362"/>
      <w:bookmarkStart w:id="363" w:name="_Toc184312074"/>
      <w:bookmarkEnd w:id="363"/>
      <w:bookmarkStart w:id="364" w:name="_Toc184308092"/>
      <w:bookmarkEnd w:id="364"/>
      <w:bookmarkStart w:id="365" w:name="_Toc184314460"/>
      <w:bookmarkEnd w:id="365"/>
      <w:bookmarkStart w:id="366" w:name="_Toc184310309"/>
      <w:bookmarkEnd w:id="366"/>
      <w:bookmarkStart w:id="367" w:name="_Toc184314475"/>
      <w:bookmarkEnd w:id="367"/>
      <w:bookmarkStart w:id="368" w:name="_Toc184312069"/>
      <w:bookmarkEnd w:id="368"/>
      <w:bookmarkStart w:id="369" w:name="_Toc184308086"/>
      <w:bookmarkEnd w:id="369"/>
      <w:bookmarkStart w:id="370" w:name="_Toc184313289"/>
      <w:bookmarkEnd w:id="370"/>
      <w:bookmarkStart w:id="371" w:name="_Toc184313238"/>
      <w:bookmarkEnd w:id="371"/>
      <w:bookmarkStart w:id="372" w:name="_Toc184312111"/>
      <w:bookmarkEnd w:id="372"/>
      <w:bookmarkStart w:id="373" w:name="_Toc184308063"/>
      <w:bookmarkEnd w:id="373"/>
      <w:bookmarkStart w:id="374" w:name="_Toc184314478"/>
      <w:bookmarkEnd w:id="374"/>
      <w:bookmarkStart w:id="375" w:name="_Toc184308045"/>
      <w:bookmarkEnd w:id="375"/>
      <w:bookmarkStart w:id="376" w:name="_Toc184314457"/>
      <w:bookmarkEnd w:id="376"/>
      <w:bookmarkStart w:id="377" w:name="_Toc184314456"/>
      <w:bookmarkEnd w:id="377"/>
      <w:bookmarkStart w:id="378" w:name="_Toc184308108"/>
      <w:bookmarkEnd w:id="378"/>
      <w:bookmarkStart w:id="379" w:name="_Toc184308067"/>
      <w:bookmarkEnd w:id="379"/>
      <w:bookmarkStart w:id="380" w:name="_Toc184308094"/>
      <w:bookmarkEnd w:id="380"/>
      <w:bookmarkStart w:id="381" w:name="_Toc184312105"/>
      <w:bookmarkEnd w:id="381"/>
      <w:bookmarkStart w:id="382" w:name="_Toc184312089"/>
      <w:bookmarkEnd w:id="382"/>
      <w:bookmarkStart w:id="383" w:name="_Toc184310279"/>
      <w:bookmarkEnd w:id="383"/>
      <w:bookmarkStart w:id="384" w:name="_Toc184314413"/>
      <w:bookmarkEnd w:id="384"/>
      <w:bookmarkStart w:id="385" w:name="_Toc184310301"/>
      <w:bookmarkEnd w:id="385"/>
      <w:bookmarkStart w:id="386" w:name="_Toc184312073"/>
      <w:bookmarkEnd w:id="386"/>
      <w:bookmarkStart w:id="387" w:name="_Toc184313274"/>
      <w:bookmarkEnd w:id="387"/>
      <w:bookmarkStart w:id="388" w:name="_Toc184314467"/>
      <w:bookmarkEnd w:id="388"/>
      <w:bookmarkStart w:id="389" w:name="_Toc184308076"/>
      <w:bookmarkEnd w:id="389"/>
      <w:bookmarkStart w:id="390" w:name="_Toc184313276"/>
      <w:bookmarkEnd w:id="390"/>
      <w:bookmarkStart w:id="391" w:name="_Toc184310283"/>
      <w:bookmarkEnd w:id="391"/>
      <w:bookmarkStart w:id="392" w:name="_Toc184314477"/>
      <w:bookmarkEnd w:id="392"/>
      <w:bookmarkStart w:id="393" w:name="_Toc184314462"/>
      <w:bookmarkEnd w:id="393"/>
      <w:bookmarkStart w:id="394" w:name="_Toc184310324"/>
      <w:bookmarkEnd w:id="394"/>
      <w:bookmarkStart w:id="395" w:name="_Toc184314444"/>
      <w:bookmarkEnd w:id="395"/>
      <w:bookmarkStart w:id="396" w:name="_Toc184308087"/>
      <w:bookmarkEnd w:id="396"/>
      <w:bookmarkStart w:id="397" w:name="_Toc184314433"/>
      <w:bookmarkEnd w:id="397"/>
      <w:bookmarkStart w:id="398" w:name="_Toc184308062"/>
      <w:bookmarkEnd w:id="398"/>
      <w:bookmarkStart w:id="399" w:name="_Toc184310312"/>
      <w:bookmarkEnd w:id="399"/>
      <w:bookmarkStart w:id="400" w:name="_Toc184313302"/>
      <w:bookmarkEnd w:id="400"/>
      <w:bookmarkStart w:id="401" w:name="_Toc184310292"/>
      <w:bookmarkEnd w:id="401"/>
      <w:bookmarkStart w:id="402" w:name="_Toc184310313"/>
      <w:bookmarkEnd w:id="402"/>
      <w:r>
        <w:rPr>
          <w:rFonts w:hint="eastAsia" w:ascii="宋体" w:hAnsi="宋体" w:cs="宋体"/>
          <w:b/>
          <w:sz w:val="36"/>
          <w:szCs w:val="36"/>
          <w:highlight w:val="none"/>
        </w:rPr>
        <w:t>评标办法</w:t>
      </w:r>
      <w:bookmarkEnd w:id="37"/>
    </w:p>
    <w:p>
      <w:pPr>
        <w:kinsoku/>
        <w:wordWrap/>
        <w:overflowPunct/>
        <w:topLinePunct w:val="0"/>
        <w:bidi w:val="0"/>
        <w:snapToGrid w:val="0"/>
        <w:spacing w:line="360" w:lineRule="auto"/>
        <w:jc w:val="center"/>
        <w:outlineLvl w:val="9"/>
        <w:rPr>
          <w:rFonts w:ascii="宋体" w:hAnsi="宋体" w:cs="宋体"/>
          <w:b/>
          <w:sz w:val="32"/>
          <w:szCs w:val="20"/>
          <w:highlight w:val="none"/>
        </w:rPr>
      </w:pPr>
      <w:r>
        <w:rPr>
          <w:rFonts w:hint="eastAsia" w:ascii="宋体" w:hAnsi="宋体" w:cs="宋体"/>
          <w:b/>
          <w:sz w:val="32"/>
          <w:szCs w:val="20"/>
          <w:highlight w:val="none"/>
        </w:rPr>
        <w:t>评标办法前附表</w:t>
      </w:r>
    </w:p>
    <w:p>
      <w:pPr>
        <w:widowControl/>
        <w:kinsoku/>
        <w:wordWrap/>
        <w:overflowPunct/>
        <w:topLinePunct w:val="0"/>
        <w:bidi w:val="0"/>
        <w:adjustRightInd/>
        <w:spacing w:line="360" w:lineRule="exact"/>
        <w:jc w:val="center"/>
        <w:outlineLvl w:val="9"/>
        <w:rPr>
          <w:rFonts w:hint="default" w:ascii="宋体" w:hAnsi="宋体" w:eastAsia="宋体" w:cs="宋体"/>
          <w:b/>
          <w:bCs/>
          <w:color w:val="auto"/>
          <w:kern w:val="0"/>
          <w:sz w:val="32"/>
          <w:szCs w:val="40"/>
          <w:highlight w:val="none"/>
          <w:lang w:val="en-US" w:eastAsia="zh-CN"/>
        </w:rPr>
      </w:pPr>
      <w:r>
        <w:rPr>
          <w:rFonts w:hint="eastAsia" w:ascii="宋体" w:hAnsi="宋体" w:eastAsia="宋体" w:cs="宋体"/>
          <w:b/>
          <w:bCs/>
          <w:color w:val="auto"/>
          <w:kern w:val="0"/>
          <w:sz w:val="32"/>
          <w:szCs w:val="40"/>
          <w:highlight w:val="none"/>
        </w:rPr>
        <w:t>评分标准表</w:t>
      </w:r>
      <w:r>
        <w:rPr>
          <w:rFonts w:hint="eastAsia" w:ascii="宋体" w:hAnsi="宋体" w:cs="宋体"/>
          <w:b/>
          <w:bCs/>
          <w:color w:val="auto"/>
          <w:kern w:val="0"/>
          <w:sz w:val="32"/>
          <w:szCs w:val="40"/>
          <w:highlight w:val="none"/>
          <w:lang w:eastAsia="zh-CN"/>
        </w:rPr>
        <w:t>（</w:t>
      </w:r>
      <w:r>
        <w:rPr>
          <w:rFonts w:hint="eastAsia" w:ascii="宋体" w:hAnsi="宋体" w:cs="宋体"/>
          <w:b/>
          <w:bCs/>
          <w:color w:val="auto"/>
          <w:kern w:val="0"/>
          <w:sz w:val="32"/>
          <w:szCs w:val="40"/>
          <w:highlight w:val="none"/>
          <w:lang w:val="en-US" w:eastAsia="zh-CN"/>
        </w:rPr>
        <w:t>适用于所有标项）</w:t>
      </w:r>
    </w:p>
    <w:tbl>
      <w:tblPr>
        <w:tblStyle w:val="62"/>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288"/>
        <w:gridCol w:w="557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 w:hRule="atLeast"/>
          <w:tblHeader/>
          <w:jc w:val="center"/>
        </w:trPr>
        <w:tc>
          <w:tcPr>
            <w:tcW w:w="1262" w:type="dxa"/>
            <w:noWrap w:val="0"/>
            <w:vAlign w:val="center"/>
          </w:tcPr>
          <w:p>
            <w:pPr>
              <w:keepNext w:val="0"/>
              <w:keepLines w:val="0"/>
              <w:suppressLineNumbers w:val="0"/>
              <w:adjustRightInd/>
              <w:spacing w:before="0" w:beforeAutospacing="0" w:after="0" w:afterAutospacing="0" w:line="320" w:lineRule="exact"/>
              <w:ind w:left="0" w:right="0"/>
              <w:jc w:val="center"/>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评分项目</w:t>
            </w:r>
          </w:p>
        </w:tc>
        <w:tc>
          <w:tcPr>
            <w:tcW w:w="6863" w:type="dxa"/>
            <w:gridSpan w:val="2"/>
            <w:noWrap w:val="0"/>
            <w:vAlign w:val="center"/>
          </w:tcPr>
          <w:p>
            <w:pPr>
              <w:keepNext w:val="0"/>
              <w:keepLines w:val="0"/>
              <w:suppressLineNumbers w:val="0"/>
              <w:adjustRightInd/>
              <w:spacing w:before="0" w:beforeAutospacing="0" w:after="0" w:afterAutospacing="0" w:line="320" w:lineRule="exact"/>
              <w:ind w:left="0" w:right="0"/>
              <w:jc w:val="center"/>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评标要点及说明</w:t>
            </w:r>
          </w:p>
        </w:tc>
        <w:tc>
          <w:tcPr>
            <w:tcW w:w="705" w:type="dxa"/>
            <w:noWrap w:val="0"/>
            <w:vAlign w:val="center"/>
          </w:tcPr>
          <w:p>
            <w:pPr>
              <w:keepNext w:val="0"/>
              <w:keepLines w:val="0"/>
              <w:widowControl/>
              <w:suppressLineNumbers w:val="0"/>
              <w:tabs>
                <w:tab w:val="left" w:pos="0"/>
              </w:tabs>
              <w:autoSpaceDE w:val="0"/>
              <w:autoSpaceDN w:val="0"/>
              <w:adjustRightInd/>
              <w:spacing w:before="0" w:beforeAutospacing="0" w:after="0" w:afterAutospacing="0" w:line="300" w:lineRule="exact"/>
              <w:ind w:left="0" w:right="0"/>
              <w:jc w:val="center"/>
              <w:rPr>
                <w:rFonts w:hint="eastAsia" w:ascii="宋体" w:hAnsi="宋体" w:eastAsia="宋体" w:cs="宋体"/>
                <w:b/>
                <w:bCs/>
                <w:kern w:val="0"/>
                <w:sz w:val="24"/>
                <w:szCs w:val="24"/>
                <w:highlight w:val="none"/>
                <w:lang w:val="zh-CN" w:eastAsia="zh-CN" w:bidi="ar-SA"/>
              </w:rPr>
            </w:pPr>
            <w:r>
              <w:rPr>
                <w:rFonts w:hint="eastAsia" w:ascii="宋体" w:hAnsi="宋体" w:eastAsia="宋体" w:cs="宋体"/>
                <w:b/>
                <w:bCs/>
                <w:kern w:val="0"/>
                <w:sz w:val="24"/>
                <w:szCs w:val="24"/>
                <w:highlight w:val="none"/>
                <w:lang w:val="zh-CN"/>
              </w:rPr>
              <w:t>分值</w:t>
            </w:r>
          </w:p>
        </w:tc>
        <w:tc>
          <w:tcPr>
            <w:tcW w:w="705" w:type="dxa"/>
            <w:noWrap w:val="0"/>
            <w:vAlign w:val="center"/>
          </w:tcPr>
          <w:p>
            <w:pPr>
              <w:keepNext w:val="0"/>
              <w:keepLines w:val="0"/>
              <w:widowControl/>
              <w:suppressLineNumbers w:val="0"/>
              <w:tabs>
                <w:tab w:val="left" w:pos="0"/>
              </w:tabs>
              <w:autoSpaceDE w:val="0"/>
              <w:autoSpaceDN w:val="0"/>
              <w:adjustRightInd/>
              <w:spacing w:before="0" w:beforeAutospacing="0" w:after="0" w:afterAutospacing="0" w:line="300" w:lineRule="exact"/>
              <w:ind w:left="0" w:right="0"/>
              <w:jc w:val="center"/>
              <w:rPr>
                <w:rFonts w:hint="eastAsia" w:ascii="宋体" w:hAnsi="宋体" w:eastAsia="宋体" w:cs="宋体"/>
                <w:b/>
                <w:bCs/>
                <w:kern w:val="0"/>
                <w:sz w:val="24"/>
                <w:szCs w:val="24"/>
                <w:highlight w:val="none"/>
                <w:lang w:val="zh-CN" w:eastAsia="zh-CN" w:bidi="ar-SA"/>
              </w:rPr>
            </w:pPr>
            <w:r>
              <w:rPr>
                <w:rFonts w:hint="eastAsia" w:ascii="宋体" w:hAnsi="宋体" w:eastAsia="宋体" w:cs="宋体"/>
                <w:b/>
                <w:bCs/>
                <w:kern w:val="0"/>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62"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tc>
        <w:tc>
          <w:tcPr>
            <w:tcW w:w="6863" w:type="dxa"/>
            <w:gridSpan w:val="2"/>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评标基准价指的是满足</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要求且最低的参与评审的价格。</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参与评审的价格=投标报价-小微企业价格扣除优惠值</w:t>
            </w:r>
            <w:r>
              <w:rPr>
                <w:rFonts w:hint="eastAsia" w:ascii="宋体" w:hAnsi="宋体" w:cs="宋体"/>
                <w:bCs/>
                <w:color w:val="auto"/>
                <w:kern w:val="0"/>
                <w:sz w:val="24"/>
                <w:szCs w:val="24"/>
                <w:highlight w:val="none"/>
                <w:lang w:val="en-US" w:eastAsia="zh-CN"/>
              </w:rPr>
              <w:t>10%</w:t>
            </w:r>
            <w:r>
              <w:rPr>
                <w:rFonts w:hint="eastAsia" w:ascii="宋体" w:hAnsi="宋体" w:eastAsia="宋体" w:cs="宋体"/>
                <w:bCs/>
                <w:color w:val="auto"/>
                <w:kern w:val="0"/>
                <w:sz w:val="24"/>
                <w:szCs w:val="24"/>
                <w:highlight w:val="none"/>
              </w:rPr>
              <w:t>（如有）。</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参与评审的价格为评标基准价的其价格得分得满分30分。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其他供应商价格得分按照下列公式计算：</w:t>
            </w:r>
          </w:p>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r>
              <w:rPr>
                <w:rFonts w:hint="eastAsia" w:ascii="宋体" w:hAnsi="宋体" w:eastAsia="宋体" w:cs="宋体"/>
                <w:bCs/>
                <w:color w:val="auto"/>
                <w:kern w:val="0"/>
                <w:sz w:val="24"/>
                <w:szCs w:val="24"/>
                <w:highlight w:val="none"/>
              </w:rPr>
              <w:t>价格得分=（评标基准价/参与评审的价格）×30%×100。</w:t>
            </w:r>
          </w:p>
        </w:tc>
        <w:tc>
          <w:tcPr>
            <w:tcW w:w="705" w:type="dxa"/>
            <w:noWrap w:val="0"/>
            <w:vAlign w:val="center"/>
          </w:tcPr>
          <w:p>
            <w:pPr>
              <w:keepNext w:val="0"/>
              <w:keepLines w:val="0"/>
              <w:suppressLineNumbers w:val="0"/>
              <w:adjustRightInd/>
              <w:spacing w:before="0" w:beforeAutospacing="0" w:after="0" w:afterAutospacing="0" w:line="320" w:lineRule="exact"/>
              <w:ind w:left="0" w:leftChars="0" w:right="0" w:rightChars="0"/>
              <w:jc w:val="center"/>
              <w:rPr>
                <w:rFonts w:hint="default" w:ascii="Calibri" w:hAnsi="Calibri" w:eastAsia="宋体" w:cs="Times New Roman"/>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30</w:t>
            </w:r>
          </w:p>
        </w:tc>
        <w:tc>
          <w:tcPr>
            <w:tcW w:w="705"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Calibri" w:hAnsi="Calibri" w:eastAsia="宋体" w:cs="Times New Roman"/>
                <w:color w:val="auto"/>
                <w:sz w:val="24"/>
                <w:szCs w:val="24"/>
                <w:highlight w:val="none"/>
                <w:lang w:val="zh-CN"/>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restart"/>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商务</w:t>
            </w:r>
          </w:p>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技术分</w:t>
            </w:r>
          </w:p>
          <w:p>
            <w:pPr>
              <w:keepNext w:val="0"/>
              <w:keepLines w:val="0"/>
              <w:suppressLineNumbers w:val="0"/>
              <w:adjustRightInd/>
              <w:spacing w:before="0" w:beforeAutospacing="0" w:after="0" w:afterAutospacing="0" w:line="320" w:lineRule="exact"/>
              <w:ind w:left="0" w:right="0"/>
              <w:jc w:val="center"/>
              <w:rPr>
                <w:rFonts w:hint="default" w:ascii="Calibri" w:hAnsi="Calibri" w:eastAsia="宋体" w:cs="Times New Roman"/>
                <w:color w:val="auto"/>
                <w:sz w:val="24"/>
                <w:szCs w:val="24"/>
                <w:highlight w:val="none"/>
              </w:rPr>
            </w:pPr>
            <w:r>
              <w:rPr>
                <w:rFonts w:hint="eastAsia" w:ascii="宋体" w:hAnsi="宋体" w:eastAsia="宋体" w:cs="宋体"/>
                <w:color w:val="auto"/>
                <w:kern w:val="2"/>
                <w:sz w:val="24"/>
                <w:szCs w:val="24"/>
                <w:highlight w:val="none"/>
                <w:lang w:val="en-US" w:eastAsia="zh-CN" w:bidi="ar"/>
              </w:rPr>
              <w:t>（70分）</w:t>
            </w: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bCs/>
                <w:kern w:val="0"/>
                <w:sz w:val="21"/>
                <w:szCs w:val="21"/>
                <w:highlight w:val="none"/>
                <w:lang w:val="en-US" w:eastAsia="zh-CN" w:bidi="ar-SA"/>
              </w:rPr>
            </w:pPr>
            <w:r>
              <w:rPr>
                <w:rFonts w:hint="eastAsia" w:ascii="宋体" w:hAnsi="宋体" w:eastAsia="宋体" w:cs="宋体"/>
                <w:bCs/>
                <w:color w:val="auto"/>
                <w:kern w:val="0"/>
                <w:sz w:val="24"/>
                <w:szCs w:val="24"/>
                <w:highlight w:val="none"/>
              </w:rPr>
              <w:t>1、对</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的技术响应（</w:t>
            </w:r>
            <w:r>
              <w:rPr>
                <w:rFonts w:hint="eastAsia" w:ascii="宋体" w:hAnsi="宋体" w:eastAsia="宋体" w:cs="宋体"/>
                <w:bCs/>
                <w:color w:val="auto"/>
                <w:kern w:val="0"/>
                <w:sz w:val="24"/>
                <w:szCs w:val="24"/>
                <w:highlight w:val="none"/>
                <w:lang w:val="en-US" w:eastAsia="zh-CN"/>
              </w:rPr>
              <w:t>36</w:t>
            </w:r>
            <w:r>
              <w:rPr>
                <w:rFonts w:hint="eastAsia" w:ascii="宋体" w:hAnsi="宋体" w:eastAsia="宋体" w:cs="宋体"/>
                <w:bCs/>
                <w:color w:val="auto"/>
                <w:kern w:val="0"/>
                <w:sz w:val="24"/>
                <w:szCs w:val="24"/>
                <w:highlight w:val="none"/>
              </w:rPr>
              <w:t>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（1）完全响应</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 xml:space="preserve"> “第三部分 采购需求 二、技术需求”中所有指标的得</w:t>
            </w:r>
            <w:r>
              <w:rPr>
                <w:rFonts w:hint="eastAsia" w:ascii="宋体" w:hAnsi="宋体" w:eastAsia="宋体" w:cs="宋体"/>
                <w:bCs/>
                <w:color w:val="auto"/>
                <w:kern w:val="0"/>
                <w:sz w:val="24"/>
                <w:szCs w:val="24"/>
                <w:highlight w:val="none"/>
                <w:lang w:val="en-US" w:eastAsia="zh-CN"/>
              </w:rPr>
              <w:t>36</w:t>
            </w:r>
            <w:r>
              <w:rPr>
                <w:rFonts w:hint="eastAsia" w:ascii="宋体" w:hAnsi="宋体" w:eastAsia="宋体" w:cs="宋体"/>
                <w:bCs/>
                <w:color w:val="auto"/>
                <w:kern w:val="0"/>
                <w:sz w:val="24"/>
                <w:szCs w:val="24"/>
                <w:highlight w:val="none"/>
              </w:rPr>
              <w:t>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（2）“第三部分 采购需求 二、技术需求”中标“</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”的指标，每负偏离一条扣3分；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（3）“第三部分 采购需求 二、技术需求”中未标“</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”的指标，每负偏离一条扣1分。</w:t>
            </w:r>
          </w:p>
          <w:p>
            <w:pPr>
              <w:keepNext w:val="0"/>
              <w:keepLines w:val="0"/>
              <w:suppressLineNumbers w:val="0"/>
              <w:adjustRightInd/>
              <w:spacing w:before="0" w:beforeAutospacing="0" w:after="0" w:afterAutospacing="0" w:line="320" w:lineRule="exact"/>
              <w:ind w:left="0" w:right="0"/>
              <w:rPr>
                <w:rFonts w:hint="default" w:ascii="宋体" w:hAnsi="宋体" w:eastAsia="宋体" w:cs="宋体"/>
                <w:kern w:val="0"/>
                <w:sz w:val="21"/>
                <w:szCs w:val="21"/>
                <w:highlight w:val="none"/>
                <w:lang w:val="en-US" w:eastAsia="zh-CN" w:bidi="ar-SA"/>
              </w:rPr>
            </w:pPr>
            <w:r>
              <w:rPr>
                <w:rFonts w:hint="eastAsia" w:ascii="宋体" w:hAnsi="宋体" w:eastAsia="宋体" w:cs="宋体"/>
                <w:bCs/>
                <w:color w:val="auto"/>
                <w:kern w:val="0"/>
                <w:sz w:val="24"/>
                <w:szCs w:val="24"/>
                <w:highlight w:val="none"/>
              </w:rPr>
              <w:t>注：当有供应商此项分值扣减至0分时，该供应商投标将被拒绝，其投标文件作无效标处理，不再进行评审。</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36</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auto"/>
                <w:kern w:val="0"/>
                <w:sz w:val="24"/>
                <w:szCs w:val="24"/>
                <w:highlight w:val="none"/>
                <w:lang w:val="en-US" w:eastAsia="zh-CN" w:bidi="ar-SA"/>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2、供货方案（5分）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供应商根据招标文件“第三部分 采购需求 一、重要商务要求一览表”中“交货（安装）时间及地点”的要求提供供货方案，需包含但不限于以下要点：</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
                <w:bCs w:val="0"/>
                <w:color w:val="auto"/>
                <w:kern w:val="0"/>
                <w:sz w:val="24"/>
                <w:szCs w:val="24"/>
                <w:highlight w:val="none"/>
                <w:lang w:val="en-US" w:eastAsia="zh-CN"/>
              </w:rPr>
              <w:t>①供货期限是否满足招标文件要求；②交货方式是否切合实际；③供货保障流程是否合理；④供货流程要点是否明确；⑤供货实施步骤是否清晰</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2）方案内容基本符合本项目的供货要求，但是实行上略有欠缺的得3分；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3）方案内容不完整，内容不充分，与本项目货物供应要求有差距的得1分；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3、安装与验收方案</w:t>
            </w:r>
          </w:p>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（5分）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供应商根据招标文件“第三部分 采购需求 一、重要商务要求一览表”中“交货（安装）时间及地点”的要求提供安装与验收方案，需包含但不限于以下要点：</w:t>
            </w:r>
            <w:r>
              <w:rPr>
                <w:rFonts w:hint="eastAsia" w:ascii="宋体" w:hAnsi="宋体" w:eastAsia="宋体" w:cs="宋体"/>
                <w:b/>
                <w:bCs w:val="0"/>
                <w:color w:val="auto"/>
                <w:kern w:val="0"/>
                <w:sz w:val="24"/>
                <w:szCs w:val="24"/>
                <w:highlight w:val="none"/>
                <w:lang w:val="en-US" w:eastAsia="zh-CN"/>
              </w:rPr>
              <w:t>①安装方案；②安装人员配置；③调试要求；④开箱测试方式；⑤产品验收方案</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numPr>
                <w:ilvl w:val="0"/>
                <w:numId w:val="2"/>
              </w:numPr>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2)安装与验收方案符合项目实际要求，但存在一定缺项的得3分；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3）安装与验收方案存在明显缺项，实行上有困难的得1分；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4、售后服务（</w:t>
            </w:r>
            <w:r>
              <w:rPr>
                <w:rFonts w:hint="eastAsia" w:ascii="宋体" w:hAnsi="宋体" w:eastAsia="宋体" w:cs="宋体"/>
                <w:bCs/>
                <w:color w:val="auto"/>
                <w:kern w:val="0"/>
                <w:sz w:val="24"/>
                <w:szCs w:val="24"/>
                <w:highlight w:val="none"/>
                <w:lang w:val="en-US" w:eastAsia="zh-CN"/>
              </w:rPr>
              <w:t>12</w:t>
            </w:r>
            <w:r>
              <w:rPr>
                <w:rFonts w:hint="eastAsia" w:ascii="宋体" w:hAnsi="宋体" w:eastAsia="宋体" w:cs="宋体"/>
                <w:bCs/>
                <w:color w:val="auto"/>
                <w:kern w:val="0"/>
                <w:sz w:val="24"/>
                <w:szCs w:val="24"/>
                <w:highlight w:val="none"/>
              </w:rPr>
              <w:t>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4.1、供应商需结合自身实际提供服务承诺，需包含但不限于以下要点</w:t>
            </w:r>
            <w:r>
              <w:rPr>
                <w:rFonts w:hint="eastAsia" w:ascii="宋体" w:hAnsi="宋体" w:eastAsia="宋体" w:cs="宋体"/>
                <w:b/>
                <w:bCs w:val="0"/>
                <w:color w:val="auto"/>
                <w:kern w:val="0"/>
                <w:sz w:val="24"/>
                <w:szCs w:val="24"/>
                <w:highlight w:val="none"/>
                <w:lang w:val="en-US" w:eastAsia="zh-CN"/>
              </w:rPr>
              <w:t>：①服务方式；②服务响应时间；③技术支持；④服务体系；⑤退换货品承诺</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1）各项服务承诺能与医院实际相结合，能提供实质性承诺及保障措施，能有效保证货物正常使用的得5分；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2）各项服务承诺能与医院实际相结合，承诺及保障基本符合货物实际使用情况，满足医院使用要求的得3分；</w:t>
            </w:r>
          </w:p>
          <w:p>
            <w:pPr>
              <w:keepNext w:val="0"/>
              <w:keepLines w:val="0"/>
              <w:suppressLineNumbers w:val="0"/>
              <w:adjustRightInd/>
              <w:spacing w:before="0" w:beforeAutospacing="0" w:after="0" w:afterAutospacing="0" w:line="320" w:lineRule="exact"/>
              <w:ind w:left="0" w:right="0"/>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3）服务承诺和保障措施与医院实际需求存在巨大偏差，会严重影响货物正常使用的得1分。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4.2、供应商需结合自身实际提供质保期方案，需包含但不限于以下要点：</w:t>
            </w:r>
            <w:r>
              <w:rPr>
                <w:rFonts w:hint="eastAsia" w:ascii="宋体" w:hAnsi="宋体" w:eastAsia="宋体" w:cs="宋体"/>
                <w:b/>
                <w:bCs w:val="0"/>
                <w:color w:val="auto"/>
                <w:kern w:val="0"/>
                <w:sz w:val="24"/>
                <w:szCs w:val="24"/>
                <w:highlight w:val="none"/>
              </w:rPr>
              <w:t>①质保期内定期服务方案</w:t>
            </w:r>
            <w:r>
              <w:rPr>
                <w:rFonts w:hint="eastAsia" w:ascii="宋体" w:hAnsi="宋体" w:eastAsia="宋体" w:cs="宋体"/>
                <w:b/>
                <w:bCs w:val="0"/>
                <w:color w:val="auto"/>
                <w:kern w:val="0"/>
                <w:sz w:val="24"/>
                <w:szCs w:val="24"/>
                <w:highlight w:val="none"/>
                <w:lang w:eastAsia="zh-CN"/>
              </w:rPr>
              <w:t>；②</w:t>
            </w:r>
            <w:r>
              <w:rPr>
                <w:rFonts w:hint="eastAsia" w:ascii="宋体" w:hAnsi="宋体" w:eastAsia="宋体" w:cs="宋体"/>
                <w:b/>
                <w:bCs w:val="0"/>
                <w:color w:val="auto"/>
                <w:kern w:val="0"/>
                <w:sz w:val="24"/>
                <w:szCs w:val="24"/>
                <w:highlight w:val="none"/>
              </w:rPr>
              <w:t>巡检服务方案</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bCs w:val="0"/>
                <w:color w:val="auto"/>
                <w:kern w:val="0"/>
                <w:sz w:val="24"/>
                <w:szCs w:val="24"/>
                <w:highlight w:val="none"/>
              </w:rPr>
              <w:t>③售后服务保障</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bCs w:val="0"/>
                <w:color w:val="auto"/>
                <w:kern w:val="0"/>
                <w:sz w:val="24"/>
                <w:szCs w:val="24"/>
                <w:highlight w:val="none"/>
              </w:rPr>
              <w:t>④</w:t>
            </w:r>
            <w:r>
              <w:rPr>
                <w:rFonts w:hint="eastAsia" w:ascii="宋体" w:hAnsi="宋体" w:eastAsia="宋体" w:cs="宋体"/>
                <w:b/>
                <w:bCs w:val="0"/>
                <w:color w:val="auto"/>
                <w:kern w:val="0"/>
                <w:sz w:val="24"/>
                <w:szCs w:val="24"/>
                <w:highlight w:val="none"/>
                <w:lang w:val="en-US" w:eastAsia="zh-CN"/>
              </w:rPr>
              <w:t>售后服务机构的设置</w:t>
            </w: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rPr>
              <w:t>由评委进行综合评议</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eastAsia="zh-CN"/>
              </w:rPr>
              <w:br w:type="textWrapping"/>
            </w:r>
            <w:r>
              <w:rPr>
                <w:rFonts w:hint="eastAsia" w:ascii="宋体" w:hAnsi="宋体" w:eastAsia="宋体" w:cs="宋体"/>
                <w:bCs/>
                <w:color w:val="auto"/>
                <w:kern w:val="0"/>
                <w:sz w:val="24"/>
                <w:szCs w:val="24"/>
                <w:highlight w:val="none"/>
                <w:lang w:val="en-US" w:eastAsia="zh-CN"/>
              </w:rPr>
              <w:t>1）质保期内定期服务和巡检服务方案合理，售后服务有保障且有相应的售后服务机构，</w:t>
            </w:r>
            <w:r>
              <w:rPr>
                <w:rFonts w:hint="eastAsia" w:ascii="宋体" w:hAnsi="宋体" w:eastAsia="宋体" w:cs="宋体"/>
                <w:bCs/>
                <w:color w:val="auto"/>
                <w:kern w:val="0"/>
                <w:sz w:val="24"/>
                <w:szCs w:val="24"/>
                <w:highlight w:val="none"/>
                <w:lang w:eastAsia="zh-CN"/>
              </w:rPr>
              <w:t>能有效提高</w:t>
            </w:r>
            <w:r>
              <w:rPr>
                <w:rFonts w:hint="eastAsia" w:ascii="宋体" w:hAnsi="宋体" w:eastAsia="宋体" w:cs="宋体"/>
                <w:bCs/>
                <w:color w:val="auto"/>
                <w:kern w:val="0"/>
                <w:sz w:val="24"/>
                <w:szCs w:val="24"/>
                <w:highlight w:val="none"/>
                <w:lang w:val="en-US" w:eastAsia="zh-CN"/>
              </w:rPr>
              <w:t>货物使用体验</w:t>
            </w:r>
            <w:r>
              <w:rPr>
                <w:rFonts w:hint="eastAsia" w:ascii="宋体" w:hAnsi="宋体" w:eastAsia="宋体" w:cs="宋体"/>
                <w:bCs/>
                <w:color w:val="auto"/>
                <w:kern w:val="0"/>
                <w:sz w:val="24"/>
                <w:szCs w:val="24"/>
                <w:highlight w:val="none"/>
                <w:lang w:eastAsia="zh-CN"/>
              </w:rPr>
              <w:t>，具有专业技能，服务目标明确清晰</w:t>
            </w:r>
            <w:r>
              <w:rPr>
                <w:rFonts w:hint="eastAsia" w:ascii="宋体" w:hAnsi="宋体" w:eastAsia="宋体" w:cs="宋体"/>
                <w:bCs/>
                <w:color w:val="auto"/>
                <w:kern w:val="0"/>
                <w:sz w:val="24"/>
                <w:szCs w:val="24"/>
                <w:highlight w:val="none"/>
                <w:lang w:val="en-US" w:eastAsia="zh-CN"/>
              </w:rPr>
              <w:t>的得4分；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eastAsia="zh-CN"/>
              </w:rPr>
              <w:t>方案内容基本符合医院实际需求，但有可能影响</w:t>
            </w:r>
            <w:r>
              <w:rPr>
                <w:rFonts w:hint="eastAsia" w:ascii="宋体" w:hAnsi="宋体" w:eastAsia="宋体" w:cs="宋体"/>
                <w:bCs/>
                <w:color w:val="auto"/>
                <w:kern w:val="0"/>
                <w:sz w:val="24"/>
                <w:szCs w:val="24"/>
                <w:highlight w:val="none"/>
                <w:lang w:val="en-US" w:eastAsia="zh-CN"/>
              </w:rPr>
              <w:t>服务质量</w:t>
            </w:r>
            <w:r>
              <w:rPr>
                <w:rFonts w:hint="eastAsia" w:ascii="宋体" w:hAnsi="宋体" w:eastAsia="宋体" w:cs="宋体"/>
                <w:bCs/>
                <w:color w:val="auto"/>
                <w:kern w:val="0"/>
                <w:sz w:val="24"/>
                <w:szCs w:val="24"/>
                <w:highlight w:val="none"/>
                <w:lang w:eastAsia="zh-CN"/>
              </w:rPr>
              <w:t>，运作流程设计较为合理，针对性不强的得</w:t>
            </w: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eastAsia="zh-CN"/>
              </w:rPr>
              <w:t>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eastAsia="zh-CN"/>
              </w:rPr>
              <w:t>方案内容不完整，内容不充分，与本项目实际需求有差距的得1分；</w:t>
            </w:r>
            <w:r>
              <w:rPr>
                <w:rFonts w:hint="eastAsia" w:ascii="宋体" w:hAnsi="宋体" w:eastAsia="宋体" w:cs="宋体"/>
                <w:bCs/>
                <w:color w:val="auto"/>
                <w:kern w:val="0"/>
                <w:sz w:val="24"/>
                <w:szCs w:val="24"/>
                <w:highlight w:val="none"/>
                <w:lang w:eastAsia="zh-CN"/>
              </w:rPr>
              <w:br w:type="textWrapping"/>
            </w: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2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05"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4.3、供应商需结合自身实际提供售后服务机构技术服务人员情况（提供姓名、工作经验、资质证书情况），需包含但不限于以下要点：</w:t>
            </w:r>
            <w:r>
              <w:rPr>
                <w:rFonts w:hint="eastAsia" w:ascii="宋体" w:hAnsi="宋体" w:eastAsia="宋体" w:cs="宋体"/>
                <w:b/>
                <w:bCs w:val="0"/>
                <w:color w:val="auto"/>
                <w:kern w:val="0"/>
                <w:sz w:val="24"/>
                <w:szCs w:val="24"/>
                <w:highlight w:val="none"/>
                <w:lang w:val="en-US" w:eastAsia="zh-CN"/>
              </w:rPr>
              <w:t>①经验是否丰富；②证书是否齐全；③专业性及配备是否充足。</w:t>
            </w:r>
            <w:r>
              <w:rPr>
                <w:rFonts w:hint="eastAsia" w:ascii="宋体" w:hAnsi="宋体" w:eastAsia="宋体" w:cs="宋体"/>
                <w:bCs/>
                <w:color w:val="auto"/>
                <w:kern w:val="0"/>
                <w:sz w:val="24"/>
                <w:szCs w:val="24"/>
                <w:highlight w:val="none"/>
                <w:lang w:val="en-US" w:eastAsia="zh-CN"/>
              </w:rPr>
              <w:t>由评标委员会进行评议：</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1）人员配置合理、人员经验丰富且人员整体素质良好，能顺利完成售后任务的得3分；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2）人员配置存在缺陷有待改进，实行上略有欠缺的得2分；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3）人员设置不合理，无法确保完成售后任务的得1分；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20" w:lineRule="exact"/>
              <w:ind w:left="0" w:leftChars="0" w:right="0" w:right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05"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5、培训方案（5分）</w:t>
            </w:r>
          </w:p>
        </w:tc>
        <w:tc>
          <w:tcPr>
            <w:tcW w:w="5575" w:type="dxa"/>
            <w:noWrap w:val="0"/>
            <w:vAlign w:val="center"/>
          </w:tcPr>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供应商根据招标文件“第三部分 采购需求 一、重要商务要求一览表”中“培训”的要求提供培训方案，需包含但不限于以下要点：</w:t>
            </w:r>
            <w:r>
              <w:rPr>
                <w:rFonts w:hint="eastAsia" w:ascii="宋体" w:hAnsi="宋体" w:eastAsia="宋体" w:cs="宋体"/>
                <w:b/>
                <w:bCs/>
                <w:color w:val="auto"/>
                <w:sz w:val="24"/>
                <w:szCs w:val="24"/>
                <w:highlight w:val="none"/>
                <w:lang w:val="en-US" w:eastAsia="zh-CN"/>
              </w:rPr>
              <w:t>①培训时间安排是否合理；②培训内容是否全面；③培训人员是否齐全；④培训次数；⑤培训场地安排是否合理</w:t>
            </w:r>
            <w:r>
              <w:rPr>
                <w:rFonts w:hint="eastAsia" w:ascii="宋体" w:hAnsi="宋体" w:eastAsia="宋体" w:cs="宋体"/>
                <w:color w:val="auto"/>
                <w:sz w:val="24"/>
                <w:szCs w:val="24"/>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0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2）人员培训方案不够符合采购需求，培训内容缺少针对性内容的得3分；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3）人员培训方案没有结合采购需求，培训内容敷衍，没有相应培训场地且培训时间不合理的得1分；</w:t>
            </w:r>
          </w:p>
          <w:p>
            <w:pPr>
              <w:keepNext w:val="0"/>
              <w:keepLines w:val="0"/>
              <w:numPr>
                <w:ilvl w:val="0"/>
                <w:numId w:val="0"/>
              </w:numPr>
              <w:suppressLineNumbers w:val="0"/>
              <w:adjustRightInd/>
              <w:spacing w:before="0" w:beforeAutospacing="0" w:after="0" w:afterAutospacing="0" w:line="30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6、维修成本方案（3分）</w:t>
            </w:r>
          </w:p>
        </w:tc>
        <w:tc>
          <w:tcPr>
            <w:tcW w:w="5575" w:type="dxa"/>
            <w:noWrap w:val="0"/>
            <w:vAlign w:val="center"/>
          </w:tcPr>
          <w:p>
            <w:pPr>
              <w:keepNext w:val="0"/>
              <w:keepLines w:val="0"/>
              <w:numPr>
                <w:ilvl w:val="0"/>
                <w:numId w:val="0"/>
              </w:numPr>
              <w:suppressLineNumbers w:val="0"/>
              <w:adjustRightInd/>
              <w:spacing w:before="0" w:beforeAutospacing="0" w:after="0" w:afterAutospacing="0" w:line="30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供应商需结合货物实际提供维修成本方案，需包含但不限于以下要点：</w:t>
            </w:r>
            <w:r>
              <w:rPr>
                <w:rFonts w:hint="eastAsia" w:ascii="宋体" w:hAnsi="宋体" w:eastAsia="宋体" w:cs="宋体"/>
                <w:b/>
                <w:bCs/>
                <w:color w:val="auto"/>
                <w:sz w:val="24"/>
                <w:szCs w:val="24"/>
                <w:highlight w:val="none"/>
                <w:lang w:val="en-US" w:eastAsia="zh-CN"/>
              </w:rPr>
              <w:t>①提供的保修价格、设备配件价格、维修服务费是否合理；②维修人员配备是否全面；③维修完成时间是否及时</w:t>
            </w:r>
            <w:r>
              <w:rPr>
                <w:rFonts w:hint="eastAsia" w:ascii="宋体" w:hAnsi="宋体" w:eastAsia="宋体" w:cs="宋体"/>
                <w:color w:val="auto"/>
                <w:sz w:val="24"/>
                <w:szCs w:val="24"/>
                <w:highlight w:val="none"/>
                <w:lang w:val="en-US" w:eastAsia="zh-CN"/>
              </w:rPr>
              <w:t>，由评标委员会进行评议：</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1）维修成本方案与货物实际相结合，提供的保修价格、设备配件价格、维修服务费合理，维修人员配备全面且维修完成时间及时的得3分；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3）维修成本方案不合理，无法确保货物故障后及时维修完成正常使用得1分；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7、</w:t>
            </w:r>
            <w:r>
              <w:rPr>
                <w:rFonts w:hint="eastAsia" w:ascii="宋体" w:hAnsi="宋体" w:eastAsia="宋体" w:cs="宋体"/>
                <w:bCs/>
                <w:color w:val="auto"/>
                <w:kern w:val="0"/>
                <w:sz w:val="24"/>
                <w:szCs w:val="24"/>
                <w:highlight w:val="none"/>
                <w:lang w:val="zh-CN" w:eastAsia="zh-CN"/>
              </w:rPr>
              <w:t>同类设备销售业绩（</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zh-CN" w:eastAsia="zh-CN"/>
              </w:rPr>
              <w:t>分）</w:t>
            </w:r>
          </w:p>
        </w:tc>
        <w:tc>
          <w:tcPr>
            <w:tcW w:w="5575" w:type="dxa"/>
            <w:noWrap w:val="0"/>
            <w:vAlign w:val="center"/>
          </w:tcPr>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2020年1月1日(以合同签订日期为准）以来，每提供一个同型号设备（如单标项参数中为多种设备组成，则提供参数中任一设备的合同即可）销售业绩合同得1分，满分3分。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注：投标文件中提供合同复印件并加盖供应商公章，未提供的或未按要求盖章的视为无效业绩。</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val="0"/>
              <w:suppressLineNumbers w:val="0"/>
              <w:adjustRightInd/>
              <w:spacing w:before="0" w:beforeAutospacing="0" w:after="120" w:afterAutospacing="0" w:line="300" w:lineRule="exact"/>
              <w:ind w:left="0" w:right="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
              </w:rPr>
              <w:t>政策加分（1分）</w:t>
            </w:r>
          </w:p>
        </w:tc>
        <w:tc>
          <w:tcPr>
            <w:tcW w:w="5575" w:type="dxa"/>
            <w:noWrap w:val="0"/>
            <w:vAlign w:val="center"/>
          </w:tcPr>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节能环保产品（1分）：</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投标产品属于《节能产品政府采购品目清单》范围的且具有国家确定的认证机构出具的、处于有效期之内的节能产品认证证书的得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投标产品属于《环境标志产品政府采购品目清单》范围的且具有国家确定的认证机构出具的、处于有效期之内的环境标志产品认证证书的得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注：投标文件中必须同时提供以下资料：</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widowControl w:val="0"/>
              <w:suppressLineNumbers w:val="0"/>
              <w:adjustRightInd/>
              <w:spacing w:before="0" w:beforeAutospacing="0" w:after="0" w:afterAutospacing="0"/>
              <w:ind w:left="0" w:leftChars="0" w:right="0" w:firstLine="0" w:firstLineChars="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（2）《市场监管总局关于发布参与实施政府采购节能产品、环境标志产品认证机构名录的公告》中的认证机构出具的、处于有效期之内的节能产品/环境标志产品认证证书复印件并加盖公章。</w:t>
            </w:r>
          </w:p>
        </w:tc>
        <w:tc>
          <w:tcPr>
            <w:tcW w:w="705" w:type="dxa"/>
            <w:noWrap w:val="0"/>
            <w:vAlign w:val="center"/>
          </w:tcPr>
          <w:p>
            <w:pPr>
              <w:keepNext w:val="0"/>
              <w:keepLines w:val="0"/>
              <w:widowControl w:val="0"/>
              <w:suppressLineNumbers w:val="0"/>
              <w:adjustRightInd/>
              <w:spacing w:before="0" w:beforeAutospacing="0" w:after="0" w:afterAutospacing="0"/>
              <w:ind w:left="0" w:leftChars="0" w:right="0" w:rightChars="0" w:firstLine="0" w:firstLineChars="0"/>
              <w:jc w:val="center"/>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705" w:type="dxa"/>
            <w:noWrap w:val="0"/>
            <w:vAlign w:val="center"/>
          </w:tcPr>
          <w:p>
            <w:pPr>
              <w:keepNext w:val="0"/>
              <w:keepLines w:val="0"/>
              <w:widowControl w:val="0"/>
              <w:suppressLineNumbers w:val="0"/>
              <w:adjustRightInd/>
              <w:spacing w:before="0" w:beforeAutospacing="0" w:after="0" w:afterAutospacing="0"/>
              <w:ind w:left="0" w:leftChars="0" w:right="0"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客观评审</w:t>
            </w:r>
          </w:p>
        </w:tc>
      </w:tr>
    </w:tbl>
    <w:p>
      <w:pPr>
        <w:widowControl/>
        <w:kinsoku/>
        <w:wordWrap/>
        <w:overflowPunct/>
        <w:topLinePunct w:val="0"/>
        <w:bidi w:val="0"/>
        <w:adjustRightInd/>
        <w:spacing w:line="320" w:lineRule="exact"/>
        <w:jc w:val="left"/>
        <w:outlineLvl w:val="9"/>
        <w:rPr>
          <w:rFonts w:hint="eastAsia" w:ascii="宋体" w:hAnsi="宋体" w:eastAsia="宋体" w:cs="宋体"/>
          <w:b w:val="0"/>
          <w:bCs/>
          <w:sz w:val="24"/>
          <w:highlight w:val="none"/>
        </w:rPr>
      </w:pPr>
      <w:r>
        <w:rPr>
          <w:rFonts w:hint="eastAsia" w:ascii="宋体" w:hAnsi="宋体" w:cs="宋体"/>
          <w:b w:val="0"/>
          <w:bCs/>
          <w:sz w:val="24"/>
          <w:highlight w:val="none"/>
        </w:rPr>
        <w:t>备注：</w:t>
      </w:r>
      <w:r>
        <w:rPr>
          <w:rFonts w:hint="eastAsia" w:ascii="宋体" w:hAnsi="宋体" w:cs="宋体"/>
          <w:b w:val="0"/>
          <w:bCs/>
          <w:sz w:val="24"/>
          <w:highlight w:val="none"/>
          <w:lang w:val="en-US" w:eastAsia="zh-CN"/>
        </w:rPr>
        <w:t>1、</w:t>
      </w:r>
      <w:r>
        <w:rPr>
          <w:rFonts w:hint="eastAsia" w:ascii="宋体" w:hAnsi="宋体" w:cs="宋体"/>
          <w:b w:val="0"/>
          <w:bCs/>
          <w:sz w:val="24"/>
          <w:highlight w:val="none"/>
          <w:lang w:eastAsia="zh-CN"/>
        </w:rPr>
        <w:t>供应商</w:t>
      </w:r>
      <w:r>
        <w:rPr>
          <w:rFonts w:hint="eastAsia" w:ascii="宋体" w:hAnsi="宋体" w:cs="宋体"/>
          <w:b w:val="0"/>
          <w:bCs/>
          <w:sz w:val="24"/>
          <w:highlight w:val="none"/>
        </w:rPr>
        <w:t>编制投标文件（商务技术文件部分）时，建议按此目录（序号和内容）提供评标标准相应的商务技术资料</w:t>
      </w: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2</w:t>
      </w:r>
      <w:r>
        <w:rPr>
          <w:rFonts w:hint="eastAsia" w:ascii="宋体" w:hAnsi="宋体" w:eastAsia="宋体" w:cs="宋体"/>
          <w:b w:val="0"/>
          <w:bCs/>
          <w:sz w:val="24"/>
          <w:highlight w:val="none"/>
        </w:rPr>
        <w:t>、小数点后保留一位数。</w:t>
      </w:r>
      <w:r>
        <w:rPr>
          <w:rFonts w:hint="eastAsia" w:ascii="宋体" w:hAnsi="宋体" w:eastAsia="宋体" w:cs="宋体"/>
          <w:b w:val="0"/>
          <w:bCs/>
          <w:sz w:val="24"/>
          <w:highlight w:val="none"/>
          <w:lang w:val="en-US" w:eastAsia="zh-CN"/>
        </w:rPr>
        <w:t>3</w:t>
      </w:r>
      <w:r>
        <w:rPr>
          <w:rFonts w:hint="eastAsia" w:ascii="宋体" w:hAnsi="宋体" w:eastAsia="宋体" w:cs="宋体"/>
          <w:b w:val="0"/>
          <w:bCs/>
          <w:sz w:val="24"/>
          <w:highlight w:val="none"/>
        </w:rPr>
        <w:t>、各评标委员会成员自行按以上参考分值评分。</w:t>
      </w:r>
      <w:r>
        <w:rPr>
          <w:rFonts w:hint="eastAsia" w:ascii="宋体" w:hAnsi="宋体" w:eastAsia="宋体" w:cs="宋体"/>
          <w:b w:val="0"/>
          <w:bCs/>
          <w:sz w:val="24"/>
          <w:highlight w:val="none"/>
          <w:lang w:val="en-US" w:eastAsia="zh-CN"/>
        </w:rPr>
        <w:t>4</w:t>
      </w:r>
      <w:r>
        <w:rPr>
          <w:rFonts w:hint="eastAsia" w:ascii="宋体" w:hAnsi="宋体" w:eastAsia="宋体" w:cs="宋体"/>
          <w:b w:val="0"/>
          <w:bCs/>
          <w:sz w:val="24"/>
          <w:highlight w:val="none"/>
        </w:rPr>
        <w:t>、重大事件由评标委员会集体讨论，应当按照少数服从多数的原则作出结论。</w:t>
      </w:r>
    </w:p>
    <w:p>
      <w:pPr>
        <w:kinsoku/>
        <w:wordWrap/>
        <w:overflowPunct/>
        <w:topLinePunct w:val="0"/>
        <w:bidi w:val="0"/>
        <w:spacing w:after="120" w:afterLines="0"/>
        <w:jc w:val="center"/>
        <w:outlineLvl w:val="9"/>
        <w:rPr>
          <w:rFonts w:hint="eastAsia" w:ascii="宋体" w:hAnsi="宋体" w:eastAsia="宋体" w:cs="宋体"/>
          <w:b/>
          <w:bCs/>
          <w:color w:val="auto"/>
          <w:sz w:val="32"/>
          <w:szCs w:val="40"/>
          <w:highlight w:val="none"/>
          <w:lang w:val="en-US" w:eastAsia="zh-CN" w:bidi="ar-SA"/>
        </w:rPr>
      </w:pPr>
    </w:p>
    <w:p>
      <w:pPr>
        <w:widowControl/>
        <w:kinsoku/>
        <w:wordWrap/>
        <w:overflowPunct/>
        <w:topLinePunct w:val="0"/>
        <w:bidi w:val="0"/>
        <w:adjustRightInd/>
        <w:spacing w:line="320" w:lineRule="exact"/>
        <w:jc w:val="left"/>
        <w:outlineLvl w:val="9"/>
        <w:rPr>
          <w:rFonts w:hint="eastAsia" w:ascii="宋体" w:hAnsi="宋体" w:eastAsia="宋体" w:cs="宋体"/>
          <w:b w:val="0"/>
          <w:bCs/>
          <w:sz w:val="24"/>
          <w:highlight w:val="none"/>
        </w:rPr>
      </w:pPr>
      <w:r>
        <w:rPr>
          <w:rFonts w:hint="eastAsia" w:ascii="宋体" w:hAnsi="宋体" w:eastAsia="宋体" w:cs="宋体"/>
          <w:b/>
          <w:bCs/>
          <w:color w:val="auto"/>
          <w:sz w:val="32"/>
          <w:szCs w:val="40"/>
          <w:highlight w:val="none"/>
          <w:lang w:val="en-US" w:eastAsia="zh-CN" w:bidi="ar-SA"/>
        </w:rPr>
        <w:br w:type="page"/>
      </w:r>
    </w:p>
    <w:p>
      <w:pPr>
        <w:kinsoku/>
        <w:wordWrap/>
        <w:overflowPunct/>
        <w:topLinePunct w:val="0"/>
        <w:bidi w:val="0"/>
        <w:snapToGrid w:val="0"/>
        <w:spacing w:line="360" w:lineRule="auto"/>
        <w:outlineLvl w:val="9"/>
        <w:rPr>
          <w:rFonts w:ascii="宋体" w:hAnsi="宋体" w:cs="宋体"/>
          <w:b/>
          <w:sz w:val="28"/>
          <w:szCs w:val="28"/>
          <w:highlight w:val="none"/>
        </w:rPr>
      </w:pPr>
      <w:r>
        <w:rPr>
          <w:rFonts w:hint="eastAsia" w:ascii="宋体" w:hAnsi="宋体" w:cs="宋体"/>
          <w:b/>
          <w:sz w:val="32"/>
          <w:highlight w:val="none"/>
        </w:rPr>
        <w:t>一、评标方法</w:t>
      </w:r>
    </w:p>
    <w:p>
      <w:pPr>
        <w:kinsoku/>
        <w:wordWrap/>
        <w:overflowPunct/>
        <w:topLinePunct w:val="0"/>
        <w:bidi w:val="0"/>
        <w:adjustRightInd/>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w:t>
      </w:r>
      <w:r>
        <w:rPr>
          <w:rFonts w:hint="eastAsia" w:ascii="宋体" w:hAnsi="宋体" w:cs="宋体"/>
          <w:kern w:val="0"/>
          <w:sz w:val="24"/>
          <w:highlight w:val="none"/>
          <w:lang w:eastAsia="zh-CN"/>
        </w:rPr>
        <w:t>供应商</w:t>
      </w:r>
      <w:r>
        <w:rPr>
          <w:rFonts w:hint="eastAsia" w:ascii="宋体" w:hAnsi="宋体" w:cs="宋体"/>
          <w:kern w:val="0"/>
          <w:sz w:val="24"/>
          <w:highlight w:val="none"/>
        </w:rPr>
        <w:t>为中标候选人的评标方法。</w:t>
      </w:r>
    </w:p>
    <w:p>
      <w:pPr>
        <w:kinsoku/>
        <w:wordWrap/>
        <w:overflowPunct/>
        <w:topLinePunct w:val="0"/>
        <w:bidi w:val="0"/>
        <w:adjustRightInd/>
        <w:spacing w:line="360" w:lineRule="auto"/>
        <w:outlineLvl w:val="9"/>
        <w:rPr>
          <w:rFonts w:ascii="宋体" w:hAnsi="宋体" w:cs="宋体"/>
          <w:kern w:val="0"/>
          <w:sz w:val="24"/>
          <w:highlight w:val="none"/>
        </w:rPr>
      </w:pPr>
      <w:r>
        <w:rPr>
          <w:rFonts w:hint="eastAsia" w:ascii="宋体" w:hAnsi="宋体" w:cs="宋体"/>
          <w:b/>
          <w:sz w:val="32"/>
          <w:highlight w:val="none"/>
        </w:rPr>
        <w:t>二、评标标准</w:t>
      </w:r>
    </w:p>
    <w:p>
      <w:pPr>
        <w:kinsoku/>
        <w:wordWrap/>
        <w:overflowPunct/>
        <w:topLinePunct w:val="0"/>
        <w:bidi w:val="0"/>
        <w:spacing w:line="360" w:lineRule="auto"/>
        <w:ind w:firstLine="472" w:firstLineChars="196"/>
        <w:outlineLvl w:val="9"/>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kinsoku/>
        <w:wordWrap/>
        <w:overflowPunct/>
        <w:topLinePunct w:val="0"/>
        <w:bidi w:val="0"/>
        <w:spacing w:line="360" w:lineRule="auto"/>
        <w:outlineLvl w:val="9"/>
        <w:rPr>
          <w:rFonts w:ascii="宋体" w:hAnsi="宋体" w:cs="宋体"/>
          <w:b/>
          <w:sz w:val="36"/>
          <w:szCs w:val="36"/>
          <w:highlight w:val="none"/>
        </w:rPr>
      </w:pPr>
      <w:r>
        <w:rPr>
          <w:rFonts w:hint="eastAsia" w:ascii="宋体" w:hAnsi="宋体" w:cs="宋体"/>
          <w:b/>
          <w:sz w:val="36"/>
          <w:szCs w:val="36"/>
          <w:highlight w:val="none"/>
        </w:rPr>
        <w:t>三、评标程序</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w:t>
      </w:r>
      <w:r>
        <w:rPr>
          <w:rFonts w:hint="eastAsia" w:ascii="宋体" w:hAnsi="宋体" w:cs="宋体"/>
          <w:kern w:val="0"/>
          <w:sz w:val="24"/>
          <w:highlight w:val="none"/>
          <w:lang w:eastAsia="zh-CN"/>
        </w:rPr>
        <w:t>供应商</w:t>
      </w:r>
      <w:r>
        <w:rPr>
          <w:rFonts w:hint="eastAsia" w:ascii="宋体" w:hAnsi="宋体" w:cs="宋体"/>
          <w:kern w:val="0"/>
          <w:sz w:val="24"/>
          <w:highlight w:val="none"/>
        </w:rPr>
        <w:t>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w:t>
      </w:r>
      <w:r>
        <w:rPr>
          <w:rFonts w:hint="eastAsia" w:ascii="宋体" w:hAnsi="宋体" w:cs="宋体"/>
          <w:kern w:val="0"/>
          <w:sz w:val="24"/>
          <w:highlight w:val="none"/>
          <w:lang w:eastAsia="zh-CN"/>
        </w:rPr>
        <w:t>供应商</w:t>
      </w:r>
      <w:r>
        <w:rPr>
          <w:rFonts w:hint="eastAsia" w:ascii="宋体" w:hAnsi="宋体" w:cs="宋体"/>
          <w:kern w:val="0"/>
          <w:sz w:val="24"/>
          <w:highlight w:val="none"/>
        </w:rPr>
        <w:t>的商务和技术文件进行评价，并汇总商务技术得分情况。</w:t>
      </w:r>
    </w:p>
    <w:p>
      <w:pPr>
        <w:kinsoku/>
        <w:wordWrap/>
        <w:overflowPunct/>
        <w:topLinePunct w:val="0"/>
        <w:bidi w:val="0"/>
        <w:spacing w:line="360" w:lineRule="auto"/>
        <w:ind w:firstLine="472" w:firstLineChars="196"/>
        <w:outlineLvl w:val="9"/>
        <w:rPr>
          <w:rFonts w:ascii="宋体" w:hAnsi="宋体" w:cs="宋体"/>
          <w:b/>
          <w:kern w:val="0"/>
          <w:sz w:val="24"/>
          <w:highlight w:val="none"/>
        </w:rPr>
      </w:pPr>
      <w:r>
        <w:rPr>
          <w:rFonts w:hint="eastAsia" w:ascii="宋体" w:hAnsi="宋体" w:cs="宋体"/>
          <w:b/>
          <w:kern w:val="0"/>
          <w:sz w:val="24"/>
          <w:highlight w:val="none"/>
        </w:rPr>
        <w:t>3.4报价评审。</w:t>
      </w:r>
    </w:p>
    <w:p>
      <w:pPr>
        <w:pStyle w:val="132"/>
        <w:kinsoku/>
        <w:wordWrap/>
        <w:overflowPunct/>
        <w:topLinePunct w:val="0"/>
        <w:bidi w:val="0"/>
        <w:spacing w:before="0"/>
        <w:ind w:firstLine="508" w:firstLineChars="212"/>
        <w:outlineLvl w:val="9"/>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32"/>
        <w:kinsoku/>
        <w:wordWrap/>
        <w:overflowPunct/>
        <w:topLinePunct w:val="0"/>
        <w:bidi w:val="0"/>
        <w:spacing w:before="0"/>
        <w:ind w:firstLine="480"/>
        <w:outlineLvl w:val="9"/>
        <w:rPr>
          <w:rFonts w:hint="eastAsia" w:ascii="宋体" w:hAnsi="宋体" w:eastAsia="宋体" w:cs="宋体"/>
          <w:kern w:val="0"/>
          <w:szCs w:val="24"/>
          <w:highlight w:val="none"/>
          <w:lang w:eastAsia="zh-CN"/>
        </w:rPr>
      </w:pPr>
      <w:r>
        <w:rPr>
          <w:rFonts w:hint="eastAsia" w:ascii="宋体" w:hAnsi="宋体" w:cs="宋体"/>
          <w:kern w:val="0"/>
          <w:szCs w:val="24"/>
          <w:highlight w:val="none"/>
        </w:rPr>
        <w:t>3.4.1.1投标文件中开标一览表(报价表)内容与投标文件中相应内容不一致的，以开标一览表(报价表)为准</w:t>
      </w:r>
      <w:r>
        <w:rPr>
          <w:rFonts w:hint="eastAsia" w:ascii="宋体" w:hAnsi="宋体" w:cs="宋体"/>
          <w:kern w:val="0"/>
          <w:szCs w:val="24"/>
          <w:highlight w:val="none"/>
          <w:lang w:eastAsia="zh-CN"/>
        </w:rPr>
        <w:t>；</w:t>
      </w:r>
    </w:p>
    <w:p>
      <w:pPr>
        <w:pStyle w:val="132"/>
        <w:kinsoku/>
        <w:wordWrap/>
        <w:overflowPunct/>
        <w:topLinePunct w:val="0"/>
        <w:bidi w:val="0"/>
        <w:spacing w:before="0"/>
        <w:ind w:firstLine="480"/>
        <w:outlineLvl w:val="9"/>
        <w:rPr>
          <w:rFonts w:hint="eastAsia" w:ascii="宋体" w:hAnsi="宋体" w:eastAsia="宋体" w:cs="宋体"/>
          <w:kern w:val="0"/>
          <w:szCs w:val="24"/>
          <w:highlight w:val="none"/>
          <w:lang w:eastAsia="zh-CN"/>
        </w:rPr>
      </w:pPr>
      <w:r>
        <w:rPr>
          <w:rFonts w:hint="eastAsia" w:ascii="宋体" w:hAnsi="宋体" w:cs="宋体"/>
          <w:kern w:val="0"/>
          <w:szCs w:val="24"/>
          <w:highlight w:val="none"/>
        </w:rPr>
        <w:t>3.4.1.2大写金额和小写金额不一致的，以大写金额为准</w:t>
      </w:r>
      <w:r>
        <w:rPr>
          <w:rFonts w:hint="eastAsia" w:ascii="宋体" w:hAnsi="宋体" w:cs="宋体"/>
          <w:kern w:val="0"/>
          <w:szCs w:val="24"/>
          <w:highlight w:val="none"/>
          <w:lang w:eastAsia="zh-CN"/>
        </w:rPr>
        <w:t>；</w:t>
      </w:r>
    </w:p>
    <w:p>
      <w:pPr>
        <w:pStyle w:val="132"/>
        <w:kinsoku/>
        <w:wordWrap/>
        <w:overflowPunct/>
        <w:topLinePunct w:val="0"/>
        <w:bidi w:val="0"/>
        <w:spacing w:before="0"/>
        <w:ind w:firstLine="480"/>
        <w:outlineLvl w:val="9"/>
        <w:rPr>
          <w:rFonts w:hint="eastAsia" w:ascii="宋体" w:hAnsi="宋体" w:eastAsia="宋体" w:cs="宋体"/>
          <w:kern w:val="0"/>
          <w:szCs w:val="24"/>
          <w:highlight w:val="none"/>
          <w:lang w:eastAsia="zh-CN"/>
        </w:rPr>
      </w:pPr>
      <w:r>
        <w:rPr>
          <w:rFonts w:hint="eastAsia" w:ascii="宋体" w:hAnsi="宋体" w:cs="宋体"/>
          <w:kern w:val="0"/>
          <w:szCs w:val="24"/>
          <w:highlight w:val="none"/>
        </w:rPr>
        <w:t>3.4.1.3单价金额小数点或者百分比有明显错位的，以开标一览表的总价为准，并修改单价</w:t>
      </w:r>
      <w:r>
        <w:rPr>
          <w:rFonts w:hint="eastAsia" w:ascii="宋体" w:hAnsi="宋体" w:cs="宋体"/>
          <w:kern w:val="0"/>
          <w:szCs w:val="24"/>
          <w:highlight w:val="none"/>
          <w:lang w:eastAsia="zh-CN"/>
        </w:rPr>
        <w:t>；</w:t>
      </w:r>
    </w:p>
    <w:p>
      <w:pPr>
        <w:pStyle w:val="132"/>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32"/>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3.4.1.5同时出现两种以上不一致的，按照3.4.1规定的顺序修正。修正后的报价按照财政部第87号令《政府采购货物和服务招标投标管理办法》第五十一条第二款的规定经</w:t>
      </w:r>
      <w:r>
        <w:rPr>
          <w:rFonts w:hint="eastAsia" w:ascii="宋体" w:hAnsi="宋体" w:cs="宋体"/>
          <w:kern w:val="0"/>
          <w:szCs w:val="24"/>
          <w:highlight w:val="none"/>
          <w:lang w:eastAsia="zh-CN"/>
        </w:rPr>
        <w:t>供应商</w:t>
      </w:r>
      <w:r>
        <w:rPr>
          <w:rFonts w:hint="eastAsia" w:ascii="宋体" w:hAnsi="宋体" w:cs="宋体"/>
          <w:kern w:val="0"/>
          <w:szCs w:val="24"/>
          <w:highlight w:val="none"/>
        </w:rPr>
        <w:t>确认后产生约束力。</w:t>
      </w:r>
    </w:p>
    <w:p>
      <w:pPr>
        <w:kinsoku/>
        <w:wordWrap/>
        <w:overflowPunct/>
        <w:topLinePunct w:val="0"/>
        <w:bidi w:val="0"/>
        <w:snapToGrid w:val="0"/>
        <w:spacing w:line="360" w:lineRule="auto"/>
        <w:ind w:firstLine="480" w:firstLineChars="200"/>
        <w:jc w:val="left"/>
        <w:outlineLvl w:val="9"/>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32"/>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3.4.4评标委员会认为</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的报价明显低于其他通过符合性审查</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的报价，有可能影响产品质量或者不能诚信履约的，应当要求其在合理的时间内提供书面说明，必要时提交相关证明材料</w:t>
      </w:r>
      <w:r>
        <w:rPr>
          <w:rFonts w:hint="eastAsia" w:ascii="宋体" w:hAnsi="宋体" w:cs="宋体"/>
          <w:kern w:val="0"/>
          <w:szCs w:val="24"/>
          <w:highlight w:val="none"/>
          <w:lang w:eastAsia="zh-CN"/>
        </w:rPr>
        <w:t>；供应商</w:t>
      </w:r>
      <w:r>
        <w:rPr>
          <w:rFonts w:hint="eastAsia" w:ascii="宋体" w:hAnsi="宋体" w:cs="宋体"/>
          <w:kern w:val="0"/>
          <w:szCs w:val="24"/>
          <w:highlight w:val="none"/>
        </w:rPr>
        <w:t>不能证明其报价合理性的，评标委员会应当将其作为无效投标处理。</w:t>
      </w:r>
    </w:p>
    <w:p>
      <w:pPr>
        <w:pStyle w:val="132"/>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outlineLvl w:val="9"/>
        <w:rPr>
          <w:rFonts w:hint="eastAsia" w:ascii="宋体" w:hAnsi="宋体" w:eastAsia="宋体" w:cs="宋体"/>
          <w:kern w:val="0"/>
          <w:sz w:val="24"/>
          <w:highlight w:val="none"/>
          <w:lang w:val="en-US" w:eastAsia="zh-CN"/>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cs="宋体"/>
          <w:kern w:val="0"/>
          <w:sz w:val="24"/>
          <w:highlight w:val="none"/>
          <w:lang w:eastAsia="zh-CN"/>
        </w:rPr>
        <w:t>供应商</w:t>
      </w:r>
      <w:r>
        <w:rPr>
          <w:rFonts w:hint="eastAsia" w:ascii="宋体" w:hAnsi="宋体" w:cs="宋体"/>
          <w:kern w:val="0"/>
          <w:sz w:val="24"/>
          <w:highlight w:val="none"/>
        </w:rPr>
        <w:t>为排名第一的中标候选人。</w:t>
      </w:r>
      <w:r>
        <w:rPr>
          <w:rFonts w:hint="eastAsia" w:ascii="宋体" w:hAnsi="宋体" w:eastAsia="宋体" w:cs="宋体"/>
          <w:b/>
          <w:bCs/>
          <w:kern w:val="0"/>
          <w:sz w:val="24"/>
          <w:highlight w:val="none"/>
          <w:lang w:val="en-US" w:eastAsia="zh-CN"/>
        </w:rPr>
        <w:t>备注：推荐3名及以上中标候选人。</w:t>
      </w:r>
    </w:p>
    <w:p>
      <w:pPr>
        <w:kinsoku/>
        <w:wordWrap/>
        <w:overflowPunct/>
        <w:topLinePunct w:val="0"/>
        <w:bidi w:val="0"/>
        <w:spacing w:line="360" w:lineRule="auto"/>
        <w:ind w:firstLine="480" w:firstLineChars="200"/>
        <w:outlineLvl w:val="9"/>
        <w:rPr>
          <w:rFonts w:ascii="宋体" w:hAnsi="宋体" w:cs="宋体"/>
          <w:b/>
          <w:kern w:val="0"/>
          <w:sz w:val="24"/>
          <w:highlight w:val="none"/>
        </w:rPr>
      </w:pPr>
      <w:r>
        <w:rPr>
          <w:rFonts w:hint="eastAsia" w:ascii="宋体" w:hAnsi="宋体" w:cs="宋体"/>
          <w:kern w:val="0"/>
          <w:sz w:val="24"/>
          <w:highlight w:val="none"/>
        </w:rPr>
        <w:t>多家</w:t>
      </w:r>
      <w:r>
        <w:rPr>
          <w:rFonts w:hint="eastAsia" w:ascii="宋体" w:hAnsi="宋体" w:cs="宋体"/>
          <w:kern w:val="0"/>
          <w:sz w:val="24"/>
          <w:highlight w:val="none"/>
          <w:lang w:eastAsia="zh-CN"/>
        </w:rPr>
        <w:t>供应商</w:t>
      </w:r>
      <w:r>
        <w:rPr>
          <w:rFonts w:hint="eastAsia" w:ascii="宋体" w:hAnsi="宋体" w:cs="宋体"/>
          <w:kern w:val="0"/>
          <w:sz w:val="24"/>
          <w:highlight w:val="none"/>
        </w:rPr>
        <w:t>提供相同品牌产品（单一产品采购项目中的该产品或者非单一产品采购项目的核心产品）且通过资格审查、符合性审查的不同</w:t>
      </w:r>
      <w:r>
        <w:rPr>
          <w:rFonts w:hint="eastAsia" w:ascii="宋体" w:hAnsi="宋体" w:cs="宋体"/>
          <w:kern w:val="0"/>
          <w:sz w:val="24"/>
          <w:highlight w:val="none"/>
          <w:lang w:eastAsia="zh-CN"/>
        </w:rPr>
        <w:t>供应商</w:t>
      </w:r>
      <w:r>
        <w:rPr>
          <w:rFonts w:hint="eastAsia" w:ascii="宋体" w:hAnsi="宋体" w:cs="宋体"/>
          <w:kern w:val="0"/>
          <w:sz w:val="24"/>
          <w:highlight w:val="none"/>
        </w:rPr>
        <w:t>参加同一合同项下投标的，按一家</w:t>
      </w:r>
      <w:r>
        <w:rPr>
          <w:rFonts w:hint="eastAsia" w:ascii="宋体" w:hAnsi="宋体" w:cs="宋体"/>
          <w:kern w:val="0"/>
          <w:sz w:val="24"/>
          <w:highlight w:val="none"/>
          <w:lang w:eastAsia="zh-CN"/>
        </w:rPr>
        <w:t>供应商</w:t>
      </w:r>
      <w:r>
        <w:rPr>
          <w:rFonts w:hint="eastAsia" w:ascii="宋体" w:hAnsi="宋体" w:cs="宋体"/>
          <w:kern w:val="0"/>
          <w:sz w:val="24"/>
          <w:highlight w:val="none"/>
        </w:rPr>
        <w:t>计算，评审后得分最高的同品牌</w:t>
      </w:r>
      <w:r>
        <w:rPr>
          <w:rFonts w:hint="eastAsia" w:ascii="宋体" w:hAnsi="宋体" w:cs="宋体"/>
          <w:kern w:val="0"/>
          <w:sz w:val="24"/>
          <w:highlight w:val="none"/>
          <w:lang w:eastAsia="zh-CN"/>
        </w:rPr>
        <w:t>供应商</w:t>
      </w:r>
      <w:r>
        <w:rPr>
          <w:rFonts w:hint="eastAsia" w:ascii="宋体" w:hAnsi="宋体" w:cs="宋体"/>
          <w:kern w:val="0"/>
          <w:sz w:val="24"/>
          <w:highlight w:val="none"/>
        </w:rPr>
        <w:t>获得中标人推荐资格；评审得分相同的，采取随机抽取方式确定，其他同品牌</w:t>
      </w:r>
      <w:r>
        <w:rPr>
          <w:rFonts w:hint="eastAsia" w:ascii="宋体" w:hAnsi="宋体" w:cs="宋体"/>
          <w:kern w:val="0"/>
          <w:sz w:val="24"/>
          <w:highlight w:val="none"/>
          <w:lang w:eastAsia="zh-CN"/>
        </w:rPr>
        <w:t>供应商</w:t>
      </w:r>
      <w:r>
        <w:rPr>
          <w:rFonts w:hint="eastAsia" w:ascii="宋体" w:hAnsi="宋体" w:cs="宋体"/>
          <w:kern w:val="0"/>
          <w:sz w:val="24"/>
          <w:highlight w:val="none"/>
        </w:rPr>
        <w:t>不作为中标候选人。</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kinsoku/>
        <w:wordWrap/>
        <w:overflowPunct/>
        <w:topLinePunct w:val="0"/>
        <w:bidi w:val="0"/>
        <w:adjustRightInd/>
        <w:spacing w:after="225" w:line="315" w:lineRule="atLeast"/>
        <w:jc w:val="left"/>
        <w:outlineLvl w:val="9"/>
        <w:rPr>
          <w:rFonts w:ascii="宋体" w:hAnsi="宋体" w:cs="宋体"/>
          <w:b/>
          <w:sz w:val="32"/>
          <w:highlight w:val="none"/>
        </w:rPr>
      </w:pPr>
      <w:r>
        <w:rPr>
          <w:rFonts w:hint="eastAsia" w:ascii="宋体" w:hAnsi="宋体" w:cs="宋体"/>
          <w:b/>
          <w:sz w:val="32"/>
          <w:highlight w:val="none"/>
        </w:rPr>
        <w:t>四、评标中的其他事项</w:t>
      </w:r>
    </w:p>
    <w:p>
      <w:pPr>
        <w:pStyle w:val="132"/>
        <w:kinsoku/>
        <w:wordWrap/>
        <w:overflowPunct/>
        <w:topLinePunct w:val="0"/>
        <w:bidi w:val="0"/>
        <w:spacing w:before="0"/>
        <w:ind w:firstLine="472" w:firstLineChars="196"/>
        <w:outlineLvl w:val="9"/>
        <w:rPr>
          <w:rFonts w:ascii="宋体" w:hAnsi="宋体" w:cs="宋体"/>
          <w:kern w:val="0"/>
          <w:szCs w:val="24"/>
          <w:highlight w:val="none"/>
        </w:rPr>
      </w:pPr>
      <w:r>
        <w:rPr>
          <w:rFonts w:hint="eastAsia" w:ascii="宋体" w:hAnsi="宋体" w:cs="宋体"/>
          <w:b/>
          <w:kern w:val="0"/>
          <w:szCs w:val="24"/>
          <w:highlight w:val="none"/>
        </w:rPr>
        <w:t>4.1</w:t>
      </w:r>
      <w:r>
        <w:rPr>
          <w:rFonts w:hint="eastAsia" w:ascii="宋体" w:hAnsi="宋体" w:cs="宋体"/>
          <w:b/>
          <w:kern w:val="0"/>
          <w:szCs w:val="24"/>
          <w:highlight w:val="none"/>
          <w:lang w:eastAsia="zh-CN"/>
        </w:rPr>
        <w:t>供应商</w:t>
      </w:r>
      <w:r>
        <w:rPr>
          <w:rFonts w:hint="eastAsia" w:ascii="宋体" w:hAnsi="宋体" w:cs="宋体"/>
          <w:b/>
          <w:kern w:val="0"/>
          <w:szCs w:val="24"/>
          <w:highlight w:val="none"/>
        </w:rPr>
        <w:t>澄清、说明或者补正。</w:t>
      </w:r>
      <w:r>
        <w:rPr>
          <w:rFonts w:hint="eastAsia" w:ascii="宋体" w:hAnsi="宋体" w:cs="宋体"/>
          <w:kern w:val="0"/>
          <w:szCs w:val="24"/>
          <w:highlight w:val="none"/>
        </w:rPr>
        <w:t>对于投标文件中含义不明确、同类问题表述不一致或者有明显文字和计算错误的内容需要</w:t>
      </w:r>
      <w:r>
        <w:rPr>
          <w:rFonts w:hint="eastAsia" w:ascii="宋体" w:hAnsi="宋体" w:cs="宋体"/>
          <w:kern w:val="0"/>
          <w:szCs w:val="24"/>
          <w:highlight w:val="none"/>
          <w:lang w:eastAsia="zh-CN"/>
        </w:rPr>
        <w:t>供应商</w:t>
      </w:r>
      <w:r>
        <w:rPr>
          <w:rFonts w:hint="eastAsia" w:ascii="宋体" w:hAnsi="宋体" w:cs="宋体"/>
          <w:kern w:val="0"/>
          <w:szCs w:val="24"/>
          <w:highlight w:val="none"/>
        </w:rPr>
        <w:t>作出必要的澄清、说明或者补正的，评标委员会和</w:t>
      </w:r>
      <w:r>
        <w:rPr>
          <w:rFonts w:hint="eastAsia" w:ascii="宋体" w:hAnsi="宋体" w:cs="宋体"/>
          <w:kern w:val="0"/>
          <w:szCs w:val="24"/>
          <w:highlight w:val="none"/>
          <w:lang w:eastAsia="zh-CN"/>
        </w:rPr>
        <w:t>供应商</w:t>
      </w:r>
      <w:r>
        <w:rPr>
          <w:rFonts w:hint="eastAsia" w:ascii="宋体" w:hAnsi="宋体" w:cs="宋体"/>
          <w:kern w:val="0"/>
          <w:szCs w:val="24"/>
          <w:highlight w:val="none"/>
        </w:rPr>
        <w:t>通过电子交易平台交换数据电文，</w:t>
      </w:r>
      <w:r>
        <w:rPr>
          <w:rFonts w:hint="eastAsia" w:ascii="宋体" w:hAnsi="宋体" w:cs="宋体"/>
          <w:kern w:val="0"/>
          <w:szCs w:val="24"/>
          <w:highlight w:val="none"/>
          <w:lang w:eastAsia="zh-CN"/>
        </w:rPr>
        <w:t>供应商</w:t>
      </w:r>
      <w:r>
        <w:rPr>
          <w:rFonts w:hint="eastAsia" w:ascii="宋体" w:hAnsi="宋体" w:cs="宋体"/>
          <w:kern w:val="0"/>
          <w:szCs w:val="24"/>
          <w:highlight w:val="none"/>
        </w:rPr>
        <w:t>提交使用电子签名的相关数据电文或通过平台上传加盖公章的扫描件。给予</w:t>
      </w:r>
      <w:r>
        <w:rPr>
          <w:rFonts w:hint="eastAsia" w:ascii="宋体" w:hAnsi="宋体" w:cs="宋体"/>
          <w:kern w:val="0"/>
          <w:szCs w:val="24"/>
          <w:highlight w:val="none"/>
          <w:lang w:eastAsia="zh-CN"/>
        </w:rPr>
        <w:t>供应商</w:t>
      </w:r>
      <w:r>
        <w:rPr>
          <w:rFonts w:hint="eastAsia" w:ascii="宋体" w:hAnsi="宋体" w:cs="宋体"/>
          <w:kern w:val="0"/>
          <w:szCs w:val="24"/>
          <w:highlight w:val="none"/>
        </w:rPr>
        <w:t>提交澄清、说明或补正的时间不得少于半小时，</w:t>
      </w:r>
      <w:r>
        <w:rPr>
          <w:rFonts w:hint="eastAsia" w:ascii="宋体" w:hAnsi="宋体" w:cs="宋体"/>
          <w:kern w:val="0"/>
          <w:szCs w:val="24"/>
          <w:highlight w:val="none"/>
          <w:lang w:eastAsia="zh-CN"/>
        </w:rPr>
        <w:t>供应商</w:t>
      </w:r>
      <w:r>
        <w:rPr>
          <w:rFonts w:hint="eastAsia" w:ascii="宋体" w:hAnsi="宋体" w:cs="宋体"/>
          <w:kern w:val="0"/>
          <w:szCs w:val="24"/>
          <w:highlight w:val="none"/>
        </w:rPr>
        <w:t>已经明确表示澄清说明或补正完毕的除外。</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的澄清、说明或者补正不得超出投标文件的范围或者改变投标文件的实质性内容。</w:t>
      </w:r>
    </w:p>
    <w:p>
      <w:pPr>
        <w:pStyle w:val="24"/>
        <w:kinsoku/>
        <w:wordWrap/>
        <w:overflowPunct/>
        <w:topLinePunct w:val="0"/>
        <w:bidi w:val="0"/>
        <w:spacing w:line="360" w:lineRule="auto"/>
        <w:ind w:left="954" w:leftChars="226" w:hanging="479" w:firstLineChars="0"/>
        <w:outlineLvl w:val="9"/>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w:t>
      </w:r>
      <w:r>
        <w:rPr>
          <w:rFonts w:hint="eastAsia" w:ascii="宋体" w:hAnsi="宋体" w:cs="宋体"/>
          <w:kern w:val="0"/>
          <w:sz w:val="24"/>
          <w:highlight w:val="none"/>
          <w:lang w:eastAsia="zh-CN"/>
        </w:rPr>
        <w:t>供应商</w:t>
      </w:r>
      <w:r>
        <w:rPr>
          <w:rFonts w:hint="eastAsia" w:ascii="宋体" w:hAnsi="宋体" w:cs="宋体"/>
          <w:kern w:val="0"/>
          <w:sz w:val="24"/>
          <w:highlight w:val="none"/>
        </w:rPr>
        <w:t>不具备招标文件中规定的资格要求的（</w:t>
      </w:r>
      <w:r>
        <w:rPr>
          <w:rFonts w:hint="eastAsia" w:ascii="宋体" w:hAnsi="宋体" w:cs="宋体"/>
          <w:kern w:val="0"/>
          <w:sz w:val="24"/>
          <w:highlight w:val="none"/>
          <w:lang w:eastAsia="zh-CN"/>
        </w:rPr>
        <w:t>供应商</w:t>
      </w:r>
      <w:r>
        <w:rPr>
          <w:rFonts w:hint="eastAsia" w:ascii="宋体" w:hAnsi="宋体" w:cs="宋体"/>
          <w:kern w:val="0"/>
          <w:sz w:val="24"/>
          <w:highlight w:val="none"/>
        </w:rPr>
        <w:t>未提供有效的资格文件的，视为</w:t>
      </w:r>
      <w:r>
        <w:rPr>
          <w:rFonts w:hint="eastAsia" w:ascii="宋体" w:hAnsi="宋体" w:cs="宋体"/>
          <w:kern w:val="0"/>
          <w:sz w:val="24"/>
          <w:highlight w:val="none"/>
          <w:lang w:eastAsia="zh-CN"/>
        </w:rPr>
        <w:t>供应商</w:t>
      </w:r>
      <w:r>
        <w:rPr>
          <w:rFonts w:hint="eastAsia" w:ascii="宋体" w:hAnsi="宋体" w:cs="宋体"/>
          <w:kern w:val="0"/>
          <w:sz w:val="24"/>
          <w:highlight w:val="none"/>
        </w:rPr>
        <w:t>不具备招标文件中规定的资格要求）；</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w:t>
      </w:r>
      <w:r>
        <w:rPr>
          <w:rFonts w:hint="eastAsia" w:ascii="宋体" w:hAnsi="宋体" w:cs="宋体"/>
          <w:kern w:val="0"/>
          <w:sz w:val="24"/>
          <w:highlight w:val="none"/>
          <w:lang w:eastAsia="zh-CN"/>
        </w:rPr>
        <w:t>供应商</w:t>
      </w:r>
      <w:r>
        <w:rPr>
          <w:rFonts w:hint="eastAsia" w:ascii="宋体" w:hAnsi="宋体" w:cs="宋体"/>
          <w:kern w:val="0"/>
          <w:sz w:val="24"/>
          <w:highlight w:val="none"/>
        </w:rPr>
        <w:t>相应的投标产品未获得国家确定的认证机构出具的、处于有效期之内的节能产品认证证书的；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kinsoku/>
        <w:wordWrap/>
        <w:overflowPunct/>
        <w:topLinePunct w:val="0"/>
        <w:bidi w:val="0"/>
        <w:spacing w:line="360" w:lineRule="auto"/>
        <w:ind w:firstLine="480" w:firstLineChars="200"/>
        <w:outlineLvl w:val="9"/>
        <w:rPr>
          <w:rFonts w:hint="eastAsia" w:ascii="宋体" w:hAnsi="宋体" w:eastAsia="宋体" w:cs="宋体"/>
          <w:kern w:val="0"/>
          <w:sz w:val="24"/>
          <w:highlight w:val="none"/>
          <w:lang w:eastAsia="zh-CN"/>
        </w:rPr>
      </w:pPr>
      <w:r>
        <w:rPr>
          <w:rFonts w:hint="eastAsia" w:ascii="宋体" w:hAnsi="宋体" w:cs="宋体"/>
          <w:kern w:val="0"/>
          <w:sz w:val="24"/>
          <w:highlight w:val="none"/>
        </w:rPr>
        <w:t>4.2.6</w:t>
      </w:r>
      <w:r>
        <w:rPr>
          <w:rFonts w:hint="eastAsia" w:ascii="宋体" w:hAnsi="宋体" w:eastAsia="宋体" w:cs="宋体"/>
          <w:kern w:val="0"/>
          <w:sz w:val="24"/>
          <w:highlight w:val="none"/>
        </w:rPr>
        <w:t>投标</w:t>
      </w:r>
      <w:r>
        <w:rPr>
          <w:rFonts w:hint="eastAsia" w:ascii="宋体" w:hAnsi="宋体" w:cs="宋体"/>
          <w:kern w:val="0"/>
          <w:sz w:val="24"/>
          <w:highlight w:val="none"/>
        </w:rPr>
        <w:t>文件出现不是唯一的、有选择性投标报价的</w:t>
      </w:r>
      <w:r>
        <w:rPr>
          <w:rFonts w:hint="eastAsia" w:ascii="宋体" w:hAnsi="宋体" w:cs="宋体"/>
          <w:kern w:val="0"/>
          <w:sz w:val="24"/>
          <w:highlight w:val="none"/>
          <w:lang w:eastAsia="zh-CN"/>
        </w:rPr>
        <w:t>；</w:t>
      </w:r>
    </w:p>
    <w:p>
      <w:pPr>
        <w:kinsoku/>
        <w:wordWrap/>
        <w:overflowPunct/>
        <w:topLinePunct w:val="0"/>
        <w:bidi w:val="0"/>
        <w:spacing w:line="360" w:lineRule="auto"/>
        <w:ind w:firstLine="480" w:firstLineChars="200"/>
        <w:outlineLvl w:val="9"/>
        <w:rPr>
          <w:rFonts w:hint="eastAsia" w:ascii="宋体" w:hAnsi="宋体" w:eastAsia="宋体" w:cs="宋体"/>
          <w:kern w:val="0"/>
          <w:sz w:val="24"/>
          <w:highlight w:val="none"/>
          <w:lang w:eastAsia="zh-CN"/>
        </w:rPr>
      </w:pPr>
      <w:r>
        <w:rPr>
          <w:rFonts w:hint="eastAsia" w:ascii="宋体" w:hAnsi="宋体" w:cs="宋体"/>
          <w:kern w:val="0"/>
          <w:sz w:val="24"/>
          <w:highlight w:val="none"/>
        </w:rPr>
        <w:t>4.2.7投标报价超过招标文件中规定的预算金额或者最高限价的</w:t>
      </w:r>
      <w:r>
        <w:rPr>
          <w:rFonts w:hint="eastAsia" w:ascii="宋体" w:hAnsi="宋体" w:cs="宋体"/>
          <w:kern w:val="0"/>
          <w:sz w:val="24"/>
          <w:highlight w:val="none"/>
          <w:lang w:eastAsia="zh-CN"/>
        </w:rPr>
        <w:t>；</w:t>
      </w:r>
    </w:p>
    <w:p>
      <w:pPr>
        <w:kinsoku/>
        <w:wordWrap/>
        <w:overflowPunct/>
        <w:topLinePunct w:val="0"/>
        <w:bidi w:val="0"/>
        <w:spacing w:line="360" w:lineRule="auto"/>
        <w:ind w:firstLine="480" w:firstLineChars="200"/>
        <w:outlineLvl w:val="9"/>
        <w:rPr>
          <w:rFonts w:hint="eastAsia" w:ascii="宋体" w:hAnsi="宋体" w:eastAsia="宋体" w:cs="宋体"/>
          <w:kern w:val="0"/>
          <w:sz w:val="24"/>
          <w:highlight w:val="none"/>
          <w:lang w:eastAsia="zh-CN"/>
        </w:rPr>
      </w:pPr>
      <w:r>
        <w:rPr>
          <w:rFonts w:hint="eastAsia" w:ascii="宋体" w:hAnsi="宋体" w:cs="宋体"/>
          <w:kern w:val="0"/>
          <w:sz w:val="24"/>
          <w:highlight w:val="none"/>
        </w:rPr>
        <w:t>4.2.8报价明显低于其他通过符合性审查</w:t>
      </w:r>
      <w:r>
        <w:rPr>
          <w:rFonts w:hint="eastAsia" w:ascii="宋体" w:hAnsi="宋体" w:cs="宋体"/>
          <w:kern w:val="0"/>
          <w:sz w:val="24"/>
          <w:highlight w:val="none"/>
          <w:lang w:eastAsia="zh-CN"/>
        </w:rPr>
        <w:t>供应商</w:t>
      </w:r>
      <w:r>
        <w:rPr>
          <w:rFonts w:hint="eastAsia" w:ascii="宋体" w:hAnsi="宋体" w:cs="宋体"/>
          <w:kern w:val="0"/>
          <w:sz w:val="24"/>
          <w:highlight w:val="none"/>
        </w:rPr>
        <w:t>的报价，有可能影响产品质量或者不能诚信履约的，未能按要求提供书面说明或者提交相关证明材料，不能证明其报价合理性的</w:t>
      </w:r>
      <w:r>
        <w:rPr>
          <w:rFonts w:hint="eastAsia" w:ascii="宋体" w:hAnsi="宋体" w:cs="宋体"/>
          <w:kern w:val="0"/>
          <w:sz w:val="24"/>
          <w:highlight w:val="none"/>
          <w:lang w:eastAsia="zh-CN"/>
        </w:rPr>
        <w:t>；</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4.2.9</w:t>
      </w:r>
      <w:r>
        <w:rPr>
          <w:rFonts w:hint="eastAsia" w:ascii="宋体" w:hAnsi="宋体" w:cs="宋体"/>
          <w:kern w:val="0"/>
          <w:sz w:val="24"/>
          <w:highlight w:val="none"/>
          <w:lang w:eastAsia="zh-CN"/>
        </w:rPr>
        <w:t>供应商</w:t>
      </w:r>
      <w:r>
        <w:rPr>
          <w:rFonts w:hint="eastAsia" w:ascii="宋体" w:hAnsi="宋体" w:cs="宋体"/>
          <w:kern w:val="0"/>
          <w:sz w:val="24"/>
          <w:highlight w:val="none"/>
        </w:rPr>
        <w:t>对根据修正原则修正后的报价不确认的；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4.2.10</w:t>
      </w:r>
      <w:r>
        <w:rPr>
          <w:rFonts w:hint="eastAsia" w:ascii="宋体" w:hAnsi="宋体" w:cs="宋体"/>
          <w:kern w:val="0"/>
          <w:sz w:val="24"/>
          <w:highlight w:val="none"/>
          <w:lang w:eastAsia="zh-CN"/>
        </w:rPr>
        <w:t>供应商</w:t>
      </w:r>
      <w:r>
        <w:rPr>
          <w:rFonts w:hint="eastAsia" w:ascii="宋体" w:hAnsi="宋体" w:cs="宋体"/>
          <w:kern w:val="0"/>
          <w:sz w:val="24"/>
          <w:highlight w:val="none"/>
        </w:rPr>
        <w:t>提供虚假材料投标的；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4.2.11</w:t>
      </w:r>
      <w:r>
        <w:rPr>
          <w:rFonts w:hint="eastAsia" w:ascii="宋体" w:hAnsi="宋体" w:cs="宋体"/>
          <w:kern w:val="0"/>
          <w:sz w:val="24"/>
          <w:highlight w:val="none"/>
          <w:lang w:eastAsia="zh-CN"/>
        </w:rPr>
        <w:t>供应商</w:t>
      </w:r>
      <w:r>
        <w:rPr>
          <w:rFonts w:hint="eastAsia" w:ascii="宋体" w:hAnsi="宋体" w:cs="宋体"/>
          <w:kern w:val="0"/>
          <w:sz w:val="24"/>
          <w:highlight w:val="none"/>
        </w:rPr>
        <w:t>有恶意串通、妨碍其他</w:t>
      </w:r>
      <w:r>
        <w:rPr>
          <w:rFonts w:hint="eastAsia" w:ascii="宋体" w:hAnsi="宋体" w:cs="宋体"/>
          <w:kern w:val="0"/>
          <w:sz w:val="24"/>
          <w:highlight w:val="none"/>
          <w:lang w:eastAsia="zh-CN"/>
        </w:rPr>
        <w:t>供应商</w:t>
      </w:r>
      <w:r>
        <w:rPr>
          <w:rFonts w:hint="eastAsia" w:ascii="宋体" w:hAnsi="宋体" w:cs="宋体"/>
          <w:kern w:val="0"/>
          <w:sz w:val="24"/>
          <w:highlight w:val="none"/>
        </w:rPr>
        <w:t>的竞争行为、损害采购人或者其他</w:t>
      </w:r>
      <w:r>
        <w:rPr>
          <w:rFonts w:hint="eastAsia" w:ascii="宋体" w:hAnsi="宋体" w:cs="宋体"/>
          <w:kern w:val="0"/>
          <w:sz w:val="24"/>
          <w:highlight w:val="none"/>
          <w:lang w:eastAsia="zh-CN"/>
        </w:rPr>
        <w:t>供应商</w:t>
      </w:r>
      <w:r>
        <w:rPr>
          <w:rFonts w:hint="eastAsia" w:ascii="宋体" w:hAnsi="宋体" w:cs="宋体"/>
          <w:kern w:val="0"/>
          <w:sz w:val="24"/>
          <w:highlight w:val="none"/>
        </w:rPr>
        <w:t>的合法权益情形的；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4.2.12</w:t>
      </w:r>
      <w:r>
        <w:rPr>
          <w:rFonts w:hint="eastAsia" w:ascii="宋体" w:hAnsi="宋体" w:cs="宋体"/>
          <w:kern w:val="0"/>
          <w:sz w:val="24"/>
          <w:highlight w:val="none"/>
          <w:lang w:eastAsia="zh-CN"/>
        </w:rPr>
        <w:t>供应商</w:t>
      </w:r>
      <w:r>
        <w:rPr>
          <w:rFonts w:hint="eastAsia" w:ascii="宋体" w:hAnsi="宋体" w:cs="宋体"/>
          <w:kern w:val="0"/>
          <w:sz w:val="24"/>
          <w:highlight w:val="none"/>
        </w:rPr>
        <w:t>仅提交备份投标文件，未在电子交易平台传输递交投标文件的，投标无效；</w:t>
      </w:r>
    </w:p>
    <w:p>
      <w:pPr>
        <w:kinsoku/>
        <w:wordWrap/>
        <w:overflowPunct/>
        <w:topLinePunct w:val="0"/>
        <w:bidi w:val="0"/>
        <w:spacing w:line="360" w:lineRule="auto"/>
        <w:ind w:firstLine="480" w:firstLineChars="200"/>
        <w:outlineLvl w:val="9"/>
        <w:rPr>
          <w:rFonts w:hint="eastAsia" w:ascii="宋体" w:hAnsi="宋体" w:eastAsia="宋体" w:cs="宋体"/>
          <w:kern w:val="0"/>
          <w:sz w:val="24"/>
          <w:highlight w:val="none"/>
          <w:lang w:val="en-US"/>
        </w:rPr>
      </w:pPr>
      <w:r>
        <w:rPr>
          <w:rFonts w:hint="eastAsia" w:ascii="宋体" w:hAnsi="宋体" w:eastAsia="宋体" w:cs="宋体"/>
          <w:b w:val="0"/>
          <w:bCs w:val="0"/>
          <w:kern w:val="0"/>
          <w:sz w:val="24"/>
          <w:szCs w:val="24"/>
          <w:highlight w:val="none"/>
          <w:lang w:val="en-US"/>
        </w:rPr>
        <w:t>4.2.13 投标</w:t>
      </w:r>
      <w:r>
        <w:rPr>
          <w:rFonts w:hint="eastAsia" w:ascii="宋体" w:hAnsi="宋体" w:eastAsia="宋体" w:cs="宋体"/>
          <w:kern w:val="0"/>
          <w:sz w:val="24"/>
          <w:highlight w:val="none"/>
          <w:lang w:val="en-US"/>
        </w:rPr>
        <w:t>文件不满足招标文件的其它实质性要求的；</w:t>
      </w:r>
    </w:p>
    <w:p>
      <w:pPr>
        <w:kinsoku/>
        <w:wordWrap/>
        <w:overflowPunct/>
        <w:topLinePunct w:val="0"/>
        <w:bidi w:val="0"/>
        <w:spacing w:line="360" w:lineRule="auto"/>
        <w:ind w:firstLine="480" w:firstLineChars="200"/>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4.2.14法律、法规、规章（适用本市的）及省级以上规范性文件（适用本市的）规定的其他无效情形。</w:t>
      </w:r>
    </w:p>
    <w:p>
      <w:pPr>
        <w:pStyle w:val="24"/>
        <w:kinsoku/>
        <w:wordWrap/>
        <w:overflowPunct/>
        <w:topLinePunct w:val="0"/>
        <w:bidi w:val="0"/>
        <w:snapToGrid w:val="0"/>
        <w:spacing w:line="360" w:lineRule="auto"/>
        <w:ind w:firstLine="472" w:firstLineChars="196"/>
        <w:outlineLvl w:val="9"/>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5.1符合专业条件的供应商或者对招标文件作实质响应的供应商不足3家的；</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5.2出现影响采购公正的违法、违规行为的；</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5.3</w:t>
      </w:r>
      <w:r>
        <w:rPr>
          <w:rFonts w:hint="eastAsia" w:cs="宋体"/>
          <w:highlight w:val="none"/>
          <w:lang w:eastAsia="zh-CN"/>
        </w:rPr>
        <w:t>供应商</w:t>
      </w:r>
      <w:r>
        <w:rPr>
          <w:rFonts w:hint="eastAsia" w:cs="宋体"/>
          <w:highlight w:val="none"/>
        </w:rPr>
        <w:t>的报价均超过了采购预算，采购人不能支付的；</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5.4因重大变故，采购任务取消的。</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废标后，</w:t>
      </w:r>
      <w:r>
        <w:rPr>
          <w:rFonts w:hint="eastAsia" w:cs="宋体"/>
          <w:highlight w:val="none"/>
          <w:lang w:eastAsia="zh-CN"/>
        </w:rPr>
        <w:t>采购代理机构</w:t>
      </w:r>
      <w:r>
        <w:rPr>
          <w:rFonts w:hint="eastAsia" w:cs="宋体"/>
          <w:highlight w:val="none"/>
        </w:rPr>
        <w:t>应当将废标理由通知所有</w:t>
      </w:r>
      <w:r>
        <w:rPr>
          <w:rFonts w:hint="eastAsia" w:cs="宋体"/>
          <w:highlight w:val="none"/>
          <w:lang w:eastAsia="zh-CN"/>
        </w:rPr>
        <w:t>供应商</w:t>
      </w:r>
      <w:r>
        <w:rPr>
          <w:rFonts w:hint="eastAsia" w:cs="宋体"/>
          <w:highlight w:val="none"/>
        </w:rPr>
        <w:t>。</w:t>
      </w:r>
    </w:p>
    <w:p>
      <w:pPr>
        <w:pStyle w:val="24"/>
        <w:kinsoku/>
        <w:wordWrap/>
        <w:overflowPunct/>
        <w:topLinePunct w:val="0"/>
        <w:bidi w:val="0"/>
        <w:snapToGrid w:val="0"/>
        <w:spacing w:line="360" w:lineRule="auto"/>
        <w:ind w:firstLine="590" w:firstLineChars="245"/>
        <w:outlineLvl w:val="9"/>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w:t>
      </w:r>
      <w:r>
        <w:rPr>
          <w:rFonts w:hint="eastAsia" w:cs="宋体"/>
          <w:highlight w:val="none"/>
          <w:lang w:eastAsia="zh-CN"/>
        </w:rPr>
        <w:t>采购代理机构</w:t>
      </w:r>
      <w:r>
        <w:rPr>
          <w:rFonts w:hint="eastAsia" w:cs="宋体"/>
          <w:highlight w:val="none"/>
        </w:rPr>
        <w:t>沟通并作书面记录。采购人、</w:t>
      </w:r>
      <w:r>
        <w:rPr>
          <w:rFonts w:hint="eastAsia" w:cs="宋体"/>
          <w:highlight w:val="none"/>
          <w:lang w:eastAsia="zh-CN"/>
        </w:rPr>
        <w:t>采购代理机构</w:t>
      </w:r>
      <w:r>
        <w:rPr>
          <w:rFonts w:hint="eastAsia" w:cs="宋体"/>
          <w:highlight w:val="none"/>
        </w:rPr>
        <w:t>确认后，将修改招标文件，重新组织采购活动。</w:t>
      </w:r>
    </w:p>
    <w:p>
      <w:pPr>
        <w:pStyle w:val="24"/>
        <w:kinsoku/>
        <w:wordWrap/>
        <w:overflowPunct/>
        <w:topLinePunct w:val="0"/>
        <w:bidi w:val="0"/>
        <w:snapToGrid w:val="0"/>
        <w:spacing w:line="360" w:lineRule="auto"/>
        <w:ind w:firstLine="482"/>
        <w:outlineLvl w:val="9"/>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7.1未确定中标供应商的，终止本次政府采购活动，重新开展政府采购活动。</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7.4政府采购合同已经履行，给采购人、供应商造成损失的，由责任人承担赔偿责任。</w:t>
      </w:r>
    </w:p>
    <w:p>
      <w:pPr>
        <w:pStyle w:val="24"/>
        <w:kinsoku/>
        <w:wordWrap/>
        <w:overflowPunct/>
        <w:topLinePunct w:val="0"/>
        <w:bidi w:val="0"/>
        <w:snapToGrid w:val="0"/>
        <w:spacing w:line="360" w:lineRule="auto"/>
        <w:outlineLvl w:val="9"/>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kinsoku/>
        <w:wordWrap/>
        <w:overflowPunct/>
        <w:topLinePunct w:val="0"/>
        <w:bidi w:val="0"/>
        <w:snapToGrid w:val="0"/>
        <w:spacing w:line="360" w:lineRule="auto"/>
        <w:ind w:firstLine="0" w:firstLineChars="0"/>
        <w:outlineLvl w:val="9"/>
        <w:rPr>
          <w:rFonts w:cs="宋体"/>
          <w:highlight w:val="none"/>
        </w:rPr>
      </w:pPr>
    </w:p>
    <w:bookmarkEnd w:id="33"/>
    <w:p>
      <w:pPr>
        <w:kinsoku/>
        <w:wordWrap/>
        <w:overflowPunct/>
        <w:topLinePunct w:val="0"/>
        <w:bidi w:val="0"/>
        <w:spacing w:line="360" w:lineRule="auto"/>
        <w:ind w:left="720" w:leftChars="343" w:firstLine="1084" w:firstLineChars="300"/>
        <w:outlineLvl w:val="9"/>
        <w:rPr>
          <w:rFonts w:ascii="宋体" w:hAnsi="宋体" w:cs="宋体"/>
          <w:b/>
          <w:sz w:val="36"/>
          <w:szCs w:val="36"/>
          <w:highlight w:val="none"/>
        </w:rPr>
      </w:pPr>
      <w:bookmarkStart w:id="403" w:name="第五部分"/>
      <w:bookmarkStart w:id="404" w:name="_Toc86217003"/>
    </w:p>
    <w:p>
      <w:pPr>
        <w:kinsoku/>
        <w:wordWrap/>
        <w:overflowPunct/>
        <w:topLinePunct w:val="0"/>
        <w:bidi w:val="0"/>
        <w:outlineLvl w:val="9"/>
        <w:rPr>
          <w:rFonts w:hint="eastAsia" w:ascii="宋体" w:hAnsi="宋体" w:cs="宋体"/>
          <w:b/>
          <w:sz w:val="36"/>
          <w:szCs w:val="36"/>
          <w:highlight w:val="none"/>
        </w:rPr>
      </w:pPr>
      <w:r>
        <w:rPr>
          <w:rFonts w:hint="eastAsia" w:ascii="宋体" w:hAnsi="宋体" w:cs="宋体"/>
          <w:b/>
          <w:sz w:val="36"/>
          <w:szCs w:val="36"/>
          <w:highlight w:val="none"/>
        </w:rPr>
        <w:br w:type="page"/>
      </w:r>
    </w:p>
    <w:p>
      <w:pPr>
        <w:kinsoku/>
        <w:wordWrap/>
        <w:overflowPunct/>
        <w:topLinePunct w:val="0"/>
        <w:bidi w:val="0"/>
        <w:spacing w:line="360" w:lineRule="auto"/>
        <w:ind w:left="720" w:leftChars="343" w:firstLine="1084" w:firstLineChars="300"/>
        <w:outlineLvl w:val="0"/>
        <w:rPr>
          <w:rFonts w:ascii="宋体" w:hAnsi="宋体" w:cs="宋体"/>
          <w:b/>
          <w:sz w:val="36"/>
          <w:szCs w:val="36"/>
          <w:highlight w:val="none"/>
        </w:rPr>
      </w:pPr>
      <w:bookmarkStart w:id="405" w:name="_Toc8264"/>
      <w:r>
        <w:rPr>
          <w:rFonts w:hint="eastAsia" w:ascii="宋体" w:hAnsi="宋体" w:cs="宋体"/>
          <w:b/>
          <w:sz w:val="36"/>
          <w:szCs w:val="36"/>
          <w:highlight w:val="none"/>
        </w:rPr>
        <w:t>第五部分 拟签订的合同文本</w:t>
      </w:r>
      <w:bookmarkEnd w:id="405"/>
    </w:p>
    <w:p>
      <w:pPr>
        <w:kinsoku/>
        <w:wordWrap/>
        <w:overflowPunct/>
        <w:topLinePunct w:val="0"/>
        <w:bidi w:val="0"/>
        <w:outlineLvl w:val="9"/>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kinsoku/>
        <w:wordWrap/>
        <w:overflowPunct/>
        <w:topLinePunct w:val="0"/>
        <w:bidi w:val="0"/>
        <w:spacing w:line="480" w:lineRule="auto"/>
        <w:jc w:val="center"/>
        <w:outlineLvl w:val="9"/>
        <w:rPr>
          <w:rFonts w:ascii="宋体" w:hAnsi="宋体" w:cs="宋体"/>
          <w:b/>
          <w:sz w:val="28"/>
          <w:szCs w:val="28"/>
          <w:highlight w:val="none"/>
        </w:rPr>
      </w:pPr>
    </w:p>
    <w:p>
      <w:pPr>
        <w:kinsoku/>
        <w:wordWrap/>
        <w:overflowPunct/>
        <w:topLinePunct w:val="0"/>
        <w:bidi w:val="0"/>
        <w:spacing w:line="480" w:lineRule="auto"/>
        <w:jc w:val="center"/>
        <w:outlineLvl w:val="9"/>
        <w:rPr>
          <w:rFonts w:ascii="宋体" w:hAnsi="宋体" w:cs="宋体"/>
          <w:b/>
          <w:sz w:val="24"/>
          <w:highlight w:val="none"/>
        </w:rPr>
      </w:pPr>
    </w:p>
    <w:p>
      <w:pPr>
        <w:kinsoku/>
        <w:wordWrap/>
        <w:overflowPunct/>
        <w:topLinePunct w:val="0"/>
        <w:bidi w:val="0"/>
        <w:spacing w:line="480" w:lineRule="auto"/>
        <w:jc w:val="center"/>
        <w:outlineLvl w:val="9"/>
        <w:rPr>
          <w:rFonts w:ascii="宋体" w:hAnsi="宋体" w:cs="宋体"/>
          <w:b/>
          <w:sz w:val="24"/>
          <w:highlight w:val="none"/>
        </w:rPr>
      </w:pPr>
    </w:p>
    <w:p>
      <w:pPr>
        <w:kinsoku/>
        <w:wordWrap/>
        <w:overflowPunct/>
        <w:topLinePunct w:val="0"/>
        <w:bidi w:val="0"/>
        <w:spacing w:line="480" w:lineRule="auto"/>
        <w:jc w:val="center"/>
        <w:outlineLvl w:val="9"/>
        <w:rPr>
          <w:rFonts w:ascii="宋体" w:hAnsi="宋体" w:cs="宋体"/>
          <w:b/>
          <w:sz w:val="36"/>
          <w:szCs w:val="36"/>
          <w:highlight w:val="none"/>
        </w:rPr>
      </w:pPr>
      <w:r>
        <w:rPr>
          <w:rFonts w:hint="eastAsia" w:ascii="宋体" w:hAnsi="宋体" w:cs="宋体"/>
          <w:b/>
          <w:sz w:val="36"/>
          <w:szCs w:val="36"/>
          <w:highlight w:val="none"/>
        </w:rPr>
        <w:t>政府采购合同参考范本</w:t>
      </w:r>
    </w:p>
    <w:p>
      <w:pPr>
        <w:kinsoku/>
        <w:wordWrap/>
        <w:overflowPunct/>
        <w:topLinePunct w:val="0"/>
        <w:bidi w:val="0"/>
        <w:spacing w:line="480" w:lineRule="auto"/>
        <w:jc w:val="center"/>
        <w:outlineLvl w:val="9"/>
        <w:rPr>
          <w:rFonts w:ascii="宋体" w:hAnsi="宋体" w:cs="宋体"/>
          <w:b/>
          <w:sz w:val="36"/>
          <w:szCs w:val="36"/>
          <w:highlight w:val="none"/>
        </w:rPr>
      </w:pPr>
      <w:r>
        <w:rPr>
          <w:rFonts w:hint="eastAsia" w:ascii="宋体" w:hAnsi="宋体" w:cs="宋体"/>
          <w:b/>
          <w:sz w:val="36"/>
          <w:szCs w:val="36"/>
          <w:highlight w:val="none"/>
        </w:rPr>
        <w:t>（货物类）</w:t>
      </w:r>
    </w:p>
    <w:p>
      <w:pPr>
        <w:pStyle w:val="700"/>
        <w:kinsoku/>
        <w:wordWrap/>
        <w:overflowPunct/>
        <w:topLinePunct w:val="0"/>
        <w:bidi w:val="0"/>
        <w:outlineLvl w:val="9"/>
        <w:rPr>
          <w:rFonts w:ascii="宋体" w:hAnsi="宋体" w:cs="宋体"/>
          <w:szCs w:val="24"/>
          <w:highlight w:val="none"/>
        </w:rPr>
      </w:pPr>
    </w:p>
    <w:p>
      <w:pPr>
        <w:pStyle w:val="700"/>
        <w:kinsoku/>
        <w:wordWrap/>
        <w:overflowPunct/>
        <w:topLinePunct w:val="0"/>
        <w:bidi w:val="0"/>
        <w:outlineLvl w:val="9"/>
        <w:rPr>
          <w:rFonts w:ascii="宋体" w:hAnsi="宋体" w:cs="宋体"/>
          <w:szCs w:val="24"/>
          <w:highlight w:val="none"/>
        </w:rPr>
      </w:pPr>
    </w:p>
    <w:p>
      <w:pPr>
        <w:pStyle w:val="700"/>
        <w:kinsoku/>
        <w:wordWrap/>
        <w:overflowPunct/>
        <w:topLinePunct w:val="0"/>
        <w:bidi w:val="0"/>
        <w:jc w:val="center"/>
        <w:outlineLvl w:val="9"/>
        <w:rPr>
          <w:rFonts w:ascii="宋体" w:hAnsi="宋体" w:cs="宋体"/>
          <w:szCs w:val="24"/>
          <w:highlight w:val="none"/>
        </w:rPr>
      </w:pPr>
    </w:p>
    <w:p>
      <w:pPr>
        <w:pStyle w:val="700"/>
        <w:keepNext w:val="0"/>
        <w:keepLines w:val="0"/>
        <w:pageBreakBefore w:val="0"/>
        <w:widowControl w:val="0"/>
        <w:kinsoku/>
        <w:wordWrap/>
        <w:overflowPunct/>
        <w:topLinePunct w:val="0"/>
        <w:autoSpaceDE w:val="0"/>
        <w:autoSpaceDN w:val="0"/>
        <w:bidi w:val="0"/>
        <w:adjustRightInd w:val="0"/>
        <w:snapToGrid w:val="0"/>
        <w:ind w:firstLine="2843" w:firstLineChars="1180"/>
        <w:textAlignment w:val="auto"/>
        <w:outlineLvl w:val="9"/>
        <w:rPr>
          <w:rFonts w:ascii="宋体" w:hAnsi="宋体" w:cs="宋体"/>
          <w:b/>
          <w:szCs w:val="24"/>
          <w:highlight w:val="none"/>
        </w:rPr>
      </w:pPr>
      <w:r>
        <w:rPr>
          <w:rFonts w:hint="eastAsia" w:ascii="宋体" w:hAnsi="宋体" w:cs="宋体"/>
          <w:b/>
          <w:szCs w:val="24"/>
          <w:highlight w:val="none"/>
        </w:rPr>
        <w:t>第一部分 合同书</w:t>
      </w:r>
    </w:p>
    <w:p>
      <w:pPr>
        <w:pStyle w:val="700"/>
        <w:kinsoku/>
        <w:wordWrap/>
        <w:overflowPunct/>
        <w:topLinePunct w:val="0"/>
        <w:bidi w:val="0"/>
        <w:outlineLvl w:val="9"/>
        <w:rPr>
          <w:rFonts w:ascii="宋体" w:hAnsi="宋体" w:cs="宋体"/>
          <w:szCs w:val="24"/>
          <w:highlight w:val="none"/>
        </w:rPr>
      </w:pPr>
    </w:p>
    <w:p>
      <w:pPr>
        <w:pStyle w:val="700"/>
        <w:kinsoku/>
        <w:wordWrap/>
        <w:overflowPunct/>
        <w:topLinePunct w:val="0"/>
        <w:bidi w:val="0"/>
        <w:outlineLvl w:val="9"/>
        <w:rPr>
          <w:rFonts w:ascii="宋体" w:hAnsi="宋体" w:cs="宋体"/>
          <w:szCs w:val="24"/>
          <w:highlight w:val="none"/>
        </w:rPr>
      </w:pP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left="960"/>
        <w:outlineLvl w:val="9"/>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lang w:eastAsia="zh-CN"/>
        </w:rPr>
        <w:t>宁海县第三医院电子胃肠镜等医疗设备采购项目</w:t>
      </w:r>
    </w:p>
    <w:p>
      <w:pPr>
        <w:pStyle w:val="597"/>
        <w:kinsoku/>
        <w:wordWrap/>
        <w:overflowPunct/>
        <w:topLinePunct w:val="0"/>
        <w:bidi w:val="0"/>
        <w:spacing w:before="120" w:line="22" w:lineRule="atLeast"/>
        <w:outlineLvl w:val="9"/>
        <w:rPr>
          <w:rFonts w:ascii="宋体" w:hAnsi="宋体" w:eastAsia="宋体" w:cs="宋体"/>
          <w:szCs w:val="24"/>
          <w:highlight w:val="none"/>
        </w:rPr>
      </w:pPr>
    </w:p>
    <w:p>
      <w:pPr>
        <w:kinsoku/>
        <w:wordWrap/>
        <w:overflowPunct/>
        <w:topLinePunct w:val="0"/>
        <w:bidi w:val="0"/>
        <w:outlineLvl w:val="9"/>
        <w:rPr>
          <w:rFonts w:ascii="宋体" w:hAnsi="宋体" w:cs="宋体"/>
          <w:sz w:val="24"/>
          <w:highlight w:val="none"/>
        </w:rPr>
      </w:pPr>
    </w:p>
    <w:p>
      <w:pPr>
        <w:kinsoku/>
        <w:wordWrap/>
        <w:overflowPunct/>
        <w:topLinePunct w:val="0"/>
        <w:bidi w:val="0"/>
        <w:spacing w:before="120" w:line="22" w:lineRule="atLeast"/>
        <w:ind w:left="960"/>
        <w:outlineLvl w:val="9"/>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lang w:eastAsia="zh-CN"/>
        </w:rPr>
        <w:t>宁海县第三医院</w:t>
      </w: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left="960"/>
        <w:outlineLvl w:val="9"/>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firstLine="960" w:firstLineChars="400"/>
        <w:outlineLvl w:val="9"/>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宁海县</w:t>
      </w:r>
      <w:r>
        <w:rPr>
          <w:rFonts w:hint="eastAsia" w:ascii="宋体" w:hAnsi="宋体" w:cs="宋体"/>
          <w:sz w:val="24"/>
          <w:highlight w:val="none"/>
          <w:u w:val="single"/>
        </w:rPr>
        <w:t xml:space="preserve">  </w:t>
      </w: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firstLine="960" w:firstLineChars="400"/>
        <w:outlineLvl w:val="9"/>
        <w:rPr>
          <w:rFonts w:hint="eastAsia" w:ascii="宋体" w:hAnsi="宋体" w:cs="宋体"/>
          <w:sz w:val="24"/>
          <w:highlight w:val="non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82"/>
        <w:rPr>
          <w:highlight w:val="none"/>
        </w:rPr>
      </w:pPr>
    </w:p>
    <w:p>
      <w:pPr>
        <w:kinsoku/>
        <w:wordWrap/>
        <w:overflowPunct/>
        <w:topLinePunct w:val="0"/>
        <w:bidi w:val="0"/>
        <w:spacing w:before="120" w:line="22" w:lineRule="atLeast"/>
        <w:ind w:firstLine="960" w:firstLineChars="400"/>
        <w:outlineLvl w:val="9"/>
        <w:rPr>
          <w:rFonts w:hint="eastAsia" w:ascii="宋体" w:hAnsi="宋体" w:eastAsia="宋体" w:cs="宋体"/>
          <w:sz w:val="24"/>
          <w:highlight w:val="none"/>
          <w:lang w:val="en-US" w:eastAsia="zh-CN"/>
        </w:rPr>
        <w:sectPr>
          <w:pgSz w:w="11907" w:h="16840"/>
          <w:pgMar w:top="1474" w:right="1814" w:bottom="1474" w:left="1814" w:header="851" w:footer="851" w:gutter="0"/>
          <w:pgNumType w:fmt="decimal"/>
          <w:cols w:space="720" w:num="1"/>
        </w:sectPr>
      </w:pPr>
      <w:r>
        <w:rPr>
          <w:rFonts w:hint="eastAsia" w:ascii="宋体" w:hAnsi="宋体" w:eastAsia="宋体" w:cs="宋体"/>
          <w:sz w:val="24"/>
          <w:highlight w:val="none"/>
          <w:lang w:val="en-US" w:eastAsia="zh-CN"/>
        </w:rPr>
        <w:t>见证方：</w:t>
      </w:r>
      <w:r>
        <w:rPr>
          <w:rFonts w:hint="eastAsia" w:ascii="宋体" w:hAnsi="宋体" w:eastAsia="宋体" w:cs="宋体"/>
          <w:sz w:val="24"/>
          <w:highlight w:val="none"/>
          <w:u w:val="single"/>
          <w:lang w:val="en-US" w:eastAsia="zh-CN"/>
        </w:rPr>
        <w:t>浙江中基正采管理咨询有限公司</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宁海县第三医院</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公开招标</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宁海县第三医院电子胃肠镜等医疗设备采购项目（</w:t>
      </w:r>
      <w:r>
        <w:rPr>
          <w:rFonts w:hint="eastAsia" w:ascii="宋体" w:hAnsi="宋体" w:cs="宋体"/>
          <w:color w:val="auto"/>
          <w:sz w:val="24"/>
          <w:highlight w:val="none"/>
          <w:u w:val="single"/>
          <w:lang w:val="en-US" w:eastAsia="zh-CN"/>
        </w:rPr>
        <w:t>项目编号CBZJ-20236172G</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lang w:val="en-US" w:eastAsia="zh-CN"/>
        </w:rPr>
        <w:t>评标委员会</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w:t>
      </w:r>
      <w:r>
        <w:rPr>
          <w:rFonts w:hint="eastAsia" w:ascii="宋体" w:hAnsi="宋体" w:cs="宋体"/>
          <w:color w:val="auto"/>
          <w:sz w:val="24"/>
          <w:highlight w:val="none"/>
        </w:rPr>
        <w:t>为该项目中标或者成交供应商。现于中标或者成</w:t>
      </w:r>
      <w:r>
        <w:rPr>
          <w:rFonts w:hint="eastAsia" w:ascii="宋体" w:hAnsi="宋体" w:cs="宋体"/>
          <w:sz w:val="24"/>
          <w:highlight w:val="none"/>
        </w:rPr>
        <w:t>交通知书发出之日起10个工作日内，按照</w:t>
      </w:r>
      <w:r>
        <w:rPr>
          <w:rFonts w:hint="eastAsia" w:ascii="宋体" w:hAnsi="宋体" w:cs="宋体"/>
          <w:sz w:val="24"/>
          <w:highlight w:val="none"/>
          <w:lang w:eastAsia="zh-CN"/>
        </w:rPr>
        <w:t>招标文件</w:t>
      </w:r>
      <w:r>
        <w:rPr>
          <w:rFonts w:hint="eastAsia" w:ascii="宋体" w:hAnsi="宋体" w:cs="宋体"/>
          <w:sz w:val="24"/>
          <w:highlight w:val="none"/>
        </w:rPr>
        <w:t>等确定的事项签订本合同。</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宁海县第三医院</w:t>
      </w:r>
      <w:r>
        <w:rPr>
          <w:rFonts w:hint="eastAsia" w:ascii="宋体" w:hAnsi="宋体" w:cs="宋体"/>
          <w:sz w:val="24"/>
          <w:highlight w:val="none"/>
          <w:u w:val="single"/>
        </w:rPr>
        <w:t xml:space="preserve"> </w:t>
      </w:r>
      <w:r>
        <w:rPr>
          <w:rFonts w:hint="eastAsia" w:ascii="宋体" w:hAnsi="宋体" w:cs="宋体"/>
          <w:sz w:val="24"/>
          <w:highlight w:val="none"/>
          <w:lang w:val="zh-CN"/>
        </w:rPr>
        <w:t>(以下简称：甲方)和</w:t>
      </w:r>
      <w:r>
        <w:rPr>
          <w:rFonts w:hint="eastAsia" w:ascii="宋体" w:hAnsi="宋体" w:cs="宋体"/>
          <w:sz w:val="24"/>
          <w:highlight w:val="none"/>
          <w:u w:val="single"/>
        </w:rPr>
        <w:t xml:space="preserve">   （中标或者成交供应商名称）   </w:t>
      </w:r>
      <w:r>
        <w:rPr>
          <w:rFonts w:hint="eastAsia" w:ascii="宋体" w:hAnsi="宋体" w:cs="宋体"/>
          <w:sz w:val="24"/>
          <w:highlight w:val="none"/>
          <w:lang w:val="zh-CN"/>
        </w:rPr>
        <w:t>(以下简称：乙方)协商一致，约定以下合同</w:t>
      </w:r>
      <w:r>
        <w:rPr>
          <w:rFonts w:hint="eastAsia" w:ascii="宋体" w:hAnsi="宋体" w:cs="宋体"/>
          <w:sz w:val="24"/>
          <w:highlight w:val="none"/>
        </w:rPr>
        <w:t>条款，以兹共同遵守、全面履行。</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sz w:val="24"/>
          <w:highlight w:val="none"/>
        </w:rPr>
      </w:pPr>
      <w:bookmarkStart w:id="406" w:name="_Toc3029"/>
      <w:bookmarkStart w:id="407" w:name="_Toc24059"/>
      <w:bookmarkStart w:id="408" w:name="_Toc2232"/>
      <w:r>
        <w:rPr>
          <w:rFonts w:hint="eastAsia" w:ascii="宋体" w:hAnsi="宋体" w:cs="宋体"/>
          <w:b/>
          <w:sz w:val="24"/>
          <w:highlight w:val="none"/>
        </w:rPr>
        <w:t>1.1 合同组成部分</w:t>
      </w:r>
      <w:bookmarkEnd w:id="406"/>
      <w:bookmarkEnd w:id="407"/>
      <w:bookmarkEnd w:id="408"/>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下列文件为本合同的组成部分，并构成一个整体，需综合解释、相互补充。如果下列文件内容出现不一致的情形，那么在保证按照</w:t>
      </w:r>
      <w:r>
        <w:rPr>
          <w:rFonts w:hint="eastAsia" w:ascii="宋体" w:hAnsi="宋体" w:cs="宋体"/>
          <w:sz w:val="24"/>
          <w:highlight w:val="none"/>
          <w:lang w:eastAsia="zh-CN"/>
        </w:rPr>
        <w:t>招标文件</w:t>
      </w:r>
      <w:r>
        <w:rPr>
          <w:rFonts w:hint="eastAsia" w:ascii="宋体" w:hAnsi="宋体" w:cs="宋体"/>
          <w:sz w:val="24"/>
          <w:highlight w:val="none"/>
        </w:rPr>
        <w:t>确定的事项的前提下，组成本合同的多个文件的优先适用顺序如下：</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1.1.1 本合同及其补充合同、变更协议；</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1.1.2 中标或者成交通知书；</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1.1.3 投标或者响应文件（含澄清或者说明文件）；</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1.1.4 </w:t>
      </w:r>
      <w:r>
        <w:rPr>
          <w:rFonts w:hint="eastAsia" w:ascii="宋体" w:hAnsi="宋体" w:cs="宋体"/>
          <w:sz w:val="24"/>
          <w:highlight w:val="none"/>
          <w:lang w:eastAsia="zh-CN"/>
        </w:rPr>
        <w:t>招标文件</w:t>
      </w:r>
      <w:r>
        <w:rPr>
          <w:rFonts w:hint="eastAsia" w:ascii="宋体" w:hAnsi="宋体" w:cs="宋体"/>
          <w:sz w:val="24"/>
          <w:highlight w:val="none"/>
        </w:rPr>
        <w:t>（含澄清或者修改文件）；</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1.1.5 其他相关</w:t>
      </w:r>
      <w:r>
        <w:rPr>
          <w:rFonts w:hint="eastAsia" w:ascii="宋体" w:hAnsi="宋体" w:cs="宋体"/>
          <w:sz w:val="24"/>
          <w:highlight w:val="none"/>
          <w:lang w:eastAsia="zh-CN"/>
        </w:rPr>
        <w:t>招标文件</w:t>
      </w:r>
      <w:r>
        <w:rPr>
          <w:rFonts w:hint="eastAsia" w:ascii="宋体" w:hAnsi="宋体" w:cs="宋体"/>
          <w:sz w:val="24"/>
          <w:highlight w:val="none"/>
        </w:rPr>
        <w:t>。</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sz w:val="24"/>
          <w:highlight w:val="none"/>
        </w:rPr>
      </w:pPr>
      <w:bookmarkStart w:id="409" w:name="_Toc24300"/>
      <w:bookmarkStart w:id="410" w:name="_Toc27126"/>
      <w:bookmarkStart w:id="411" w:name="_Toc21295"/>
      <w:r>
        <w:rPr>
          <w:rFonts w:hint="eastAsia" w:ascii="宋体" w:hAnsi="宋体" w:cs="宋体"/>
          <w:b/>
          <w:sz w:val="24"/>
          <w:highlight w:val="none"/>
        </w:rPr>
        <w:t>1.2 货物</w:t>
      </w:r>
      <w:bookmarkEnd w:id="409"/>
      <w:bookmarkEnd w:id="410"/>
      <w:bookmarkEnd w:id="411"/>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u w:val="single"/>
        </w:rPr>
      </w:pPr>
      <w:r>
        <w:rPr>
          <w:rFonts w:hint="eastAsia" w:ascii="宋体" w:hAnsi="宋体" w:cs="宋体"/>
          <w:sz w:val="24"/>
          <w:highlight w:val="none"/>
        </w:rPr>
        <w:t>1.2.1 货物名称、品牌、规格型号：</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u w:val="single"/>
        </w:rPr>
      </w:pPr>
      <w:r>
        <w:rPr>
          <w:rFonts w:hint="eastAsia" w:ascii="宋体" w:hAnsi="宋体" w:cs="宋体"/>
          <w:sz w:val="24"/>
          <w:highlight w:val="none"/>
        </w:rPr>
        <w:t>1.2.2 货物数量：</w:t>
      </w:r>
      <w:r>
        <w:rPr>
          <w:rFonts w:hint="eastAsia" w:ascii="宋体" w:hAnsi="宋体" w:cs="宋体"/>
          <w:sz w:val="24"/>
          <w:highlight w:val="none"/>
          <w:u w:val="single"/>
        </w:rPr>
        <w:t xml:space="preserve">                                                </w:t>
      </w:r>
      <w:r>
        <w:rPr>
          <w:rFonts w:hint="eastAsia" w:ascii="宋体" w:hAnsi="宋体" w:cs="宋体"/>
          <w:sz w:val="24"/>
          <w:highlight w:val="none"/>
        </w:rPr>
        <w:t>；</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u w:val="single"/>
        </w:rPr>
      </w:pPr>
      <w:r>
        <w:rPr>
          <w:rFonts w:hint="eastAsia" w:ascii="宋体" w:hAnsi="宋体" w:cs="宋体"/>
          <w:sz w:val="24"/>
          <w:highlight w:val="none"/>
        </w:rPr>
        <w:t>1.2.3 货物质量：</w:t>
      </w:r>
      <w:r>
        <w:rPr>
          <w:rFonts w:hint="eastAsia" w:ascii="宋体" w:hAnsi="宋体" w:cs="宋体"/>
          <w:sz w:val="24"/>
          <w:highlight w:val="none"/>
          <w:u w:val="single"/>
        </w:rPr>
        <w:t>　　　　　　　　　                      　      ；</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sz w:val="24"/>
          <w:highlight w:val="none"/>
        </w:rPr>
      </w:pPr>
      <w:bookmarkStart w:id="412" w:name="_Toc23292"/>
      <w:bookmarkStart w:id="413" w:name="_Toc21551"/>
      <w:bookmarkStart w:id="414" w:name="_Toc21631"/>
      <w:r>
        <w:rPr>
          <w:rFonts w:hint="eastAsia" w:ascii="宋体" w:hAnsi="宋体" w:cs="宋体"/>
          <w:b/>
          <w:sz w:val="24"/>
          <w:highlight w:val="none"/>
        </w:rPr>
        <w:t>1.3 价款</w:t>
      </w:r>
      <w:bookmarkEnd w:id="412"/>
      <w:bookmarkEnd w:id="413"/>
      <w:bookmarkEnd w:id="414"/>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hint="eastAsia" w:ascii="宋体" w:hAnsi="宋体" w:eastAsia="宋体" w:cs="宋体"/>
          <w:sz w:val="24"/>
          <w:highlight w:val="none"/>
          <w:lang w:eastAsia="zh-CN"/>
        </w:rPr>
      </w:pPr>
      <w:r>
        <w:rPr>
          <w:rFonts w:hint="eastAsia" w:ascii="宋体" w:hAnsi="宋体" w:cs="宋体"/>
          <w:sz w:val="24"/>
          <w:highlight w:val="none"/>
        </w:rPr>
        <w:t>本合同</w:t>
      </w:r>
      <w:r>
        <w:rPr>
          <w:rFonts w:hint="eastAsia" w:ascii="宋体" w:hAnsi="宋体" w:cs="宋体"/>
          <w:sz w:val="24"/>
          <w:highlight w:val="none"/>
          <w:lang w:val="en-US" w:eastAsia="zh-CN"/>
        </w:rPr>
        <w:t>单</w:t>
      </w:r>
      <w:r>
        <w:rPr>
          <w:rFonts w:hint="eastAsia" w:ascii="宋体" w:hAnsi="宋体" w:cs="宋体"/>
          <w:sz w:val="24"/>
          <w:highlight w:val="none"/>
        </w:rPr>
        <w:t>价（含税）为：￥</w:t>
      </w:r>
      <w:r>
        <w:rPr>
          <w:rFonts w:hint="eastAsia" w:ascii="宋体" w:hAnsi="宋体" w:cs="宋体"/>
          <w:sz w:val="24"/>
          <w:highlight w:val="none"/>
          <w:u w:val="single"/>
        </w:rPr>
        <w:t xml:space="preserve">           </w:t>
      </w:r>
      <w:r>
        <w:rPr>
          <w:rFonts w:hint="eastAsia" w:ascii="宋体" w:hAnsi="宋体" w:cs="宋体"/>
          <w:sz w:val="24"/>
          <w:highlight w:val="none"/>
        </w:rPr>
        <w:t>元</w:t>
      </w:r>
      <w:bookmarkStart w:id="415" w:name="_Toc10340"/>
      <w:bookmarkStart w:id="416" w:name="_Toc1814"/>
      <w:bookmarkStart w:id="417" w:name="_Toc22618"/>
      <w:r>
        <w:rPr>
          <w:rFonts w:hint="eastAsia" w:ascii="宋体" w:hAnsi="宋体" w:eastAsia="宋体" w:cs="宋体"/>
          <w:sz w:val="24"/>
          <w:highlight w:val="none"/>
        </w:rPr>
        <w:t>（含公路运输）</w:t>
      </w:r>
      <w:r>
        <w:rPr>
          <w:rFonts w:hint="eastAsia" w:ascii="宋体" w:hAnsi="宋体" w:eastAsia="宋体" w:cs="宋体"/>
          <w:sz w:val="24"/>
          <w:highlight w:val="none"/>
          <w:lang w:eastAsia="zh-CN"/>
        </w:rPr>
        <w:t>。</w:t>
      </w:r>
    </w:p>
    <w:p>
      <w:pPr>
        <w:pStyle w:val="958"/>
        <w:keepNext w:val="0"/>
        <w:keepLines w:val="0"/>
        <w:pageBreakBefore w:val="0"/>
        <w:kinsoku/>
        <w:wordWrap/>
        <w:overflowPunct/>
        <w:topLinePunct w:val="0"/>
        <w:autoSpaceDE/>
        <w:autoSpaceDN/>
        <w:bidi w:val="0"/>
        <w:snapToGrid/>
        <w:spacing w:before="0" w:beforeAutospacing="0" w:after="0" w:afterAutospacing="0" w:line="348" w:lineRule="auto"/>
        <w:ind w:firstLine="480"/>
        <w:textAlignment w:val="auto"/>
        <w:outlineLvl w:val="9"/>
        <w:rPr>
          <w:b/>
          <w:highlight w:val="none"/>
        </w:rPr>
      </w:pPr>
      <w:r>
        <w:rPr>
          <w:rFonts w:hint="eastAsia"/>
          <w:b/>
          <w:highlight w:val="none"/>
        </w:rPr>
        <w:t>1.4履约保证金</w:t>
      </w:r>
    </w:p>
    <w:p>
      <w:pPr>
        <w:pStyle w:val="958"/>
        <w:keepNext w:val="0"/>
        <w:keepLines w:val="0"/>
        <w:pageBreakBefore w:val="0"/>
        <w:kinsoku/>
        <w:wordWrap/>
        <w:overflowPunct/>
        <w:topLinePunct w:val="0"/>
        <w:autoSpaceDE/>
        <w:autoSpaceDN/>
        <w:bidi w:val="0"/>
        <w:snapToGrid/>
        <w:spacing w:before="0" w:beforeAutospacing="0" w:after="0" w:afterAutospacing="0" w:line="348" w:lineRule="auto"/>
        <w:ind w:firstLine="480"/>
        <w:textAlignment w:val="auto"/>
        <w:outlineLvl w:val="9"/>
        <w:rPr>
          <w:highlight w:val="none"/>
        </w:rPr>
      </w:pPr>
      <w:r>
        <w:rPr>
          <w:rFonts w:hint="eastAsia"/>
          <w:highlight w:val="none"/>
        </w:rPr>
        <w:t>乙方</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kern w:val="0"/>
          <w:sz w:val="24"/>
          <w:highlight w:val="none"/>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kern w:val="0"/>
          <w:sz w:val="24"/>
          <w:highlight w:val="none"/>
        </w:rPr>
      </w:pPr>
      <w:r>
        <w:rPr>
          <w:rFonts w:hint="eastAsia" w:ascii="宋体" w:hAnsi="宋体" w:cs="宋体"/>
          <w:kern w:val="0"/>
          <w:sz w:val="24"/>
          <w:highlight w:val="none"/>
        </w:rPr>
        <w:t>1.4.2履约保证金支付方式详见</w:t>
      </w:r>
      <w:r>
        <w:rPr>
          <w:rFonts w:hint="eastAsia" w:ascii="宋体" w:hAnsi="宋体" w:cs="宋体"/>
          <w:kern w:val="0"/>
          <w:sz w:val="24"/>
          <w:highlight w:val="none"/>
          <w:u w:val="single"/>
        </w:rPr>
        <w:t xml:space="preserve">    </w:t>
      </w:r>
      <w:r>
        <w:rPr>
          <w:rFonts w:hint="eastAsia" w:ascii="宋体" w:hAnsi="宋体" w:cs="宋体"/>
          <w:b/>
          <w:i w:val="0"/>
          <w:iCs/>
          <w:sz w:val="24"/>
          <w:highlight w:val="none"/>
          <w:u w:val="single"/>
        </w:rPr>
        <w:t>合同专用条款</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keepNext w:val="0"/>
        <w:keepLines w:val="0"/>
        <w:pageBreakBefore w:val="0"/>
        <w:tabs>
          <w:tab w:val="left" w:pos="0"/>
        </w:tabs>
        <w:kinsoku/>
        <w:wordWrap/>
        <w:overflowPunct/>
        <w:topLinePunct w:val="0"/>
        <w:autoSpaceDE/>
        <w:autoSpaceDN/>
        <w:bidi w:val="0"/>
        <w:snapToGrid/>
        <w:spacing w:line="348" w:lineRule="auto"/>
        <w:ind w:left="0" w:firstLine="480" w:firstLineChars="200"/>
        <w:textAlignment w:val="auto"/>
        <w:outlineLvl w:val="9"/>
        <w:rPr>
          <w:rFonts w:eastAsia="宋体"/>
          <w:highlight w:val="none"/>
          <w:lang w:val="en-US"/>
        </w:rPr>
      </w:pPr>
      <w:r>
        <w:rPr>
          <w:rFonts w:hint="eastAsia" w:ascii="宋体" w:hAnsi="宋体" w:eastAsia="宋体" w:cs="宋体"/>
          <w:b w:val="0"/>
          <w:b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i w:val="0"/>
          <w:iCs w:val="0"/>
          <w:sz w:val="24"/>
          <w:highlight w:val="none"/>
        </w:rPr>
      </w:pPr>
      <w:r>
        <w:rPr>
          <w:rFonts w:hint="eastAsia" w:ascii="宋体" w:hAnsi="宋体" w:cs="宋体"/>
          <w:b/>
          <w:i w:val="0"/>
          <w:iCs w:val="0"/>
          <w:sz w:val="24"/>
          <w:highlight w:val="none"/>
        </w:rPr>
        <w:t>1.5</w:t>
      </w:r>
      <w:bookmarkEnd w:id="415"/>
      <w:bookmarkEnd w:id="416"/>
      <w:bookmarkEnd w:id="417"/>
      <w:r>
        <w:rPr>
          <w:rFonts w:hint="eastAsia" w:ascii="宋体" w:hAnsi="宋体" w:cs="宋体"/>
          <w:b/>
          <w:i w:val="0"/>
          <w:iCs w:val="0"/>
          <w:sz w:val="24"/>
          <w:highlight w:val="none"/>
        </w:rPr>
        <w:t>预付款</w:t>
      </w:r>
    </w:p>
    <w:p>
      <w:pPr>
        <w:pStyle w:val="958"/>
        <w:keepNext w:val="0"/>
        <w:keepLines w:val="0"/>
        <w:pageBreakBefore w:val="0"/>
        <w:kinsoku/>
        <w:wordWrap/>
        <w:overflowPunct/>
        <w:topLinePunct w:val="0"/>
        <w:autoSpaceDE/>
        <w:autoSpaceDN/>
        <w:bidi w:val="0"/>
        <w:snapToGrid/>
        <w:spacing w:before="0" w:beforeAutospacing="0" w:after="0" w:afterAutospacing="0" w:line="348" w:lineRule="auto"/>
        <w:ind w:firstLine="480"/>
        <w:textAlignment w:val="auto"/>
        <w:outlineLvl w:val="9"/>
        <w:rPr>
          <w:i w:val="0"/>
          <w:iCs w:val="0"/>
          <w:highlight w:val="none"/>
        </w:rPr>
      </w:pPr>
      <w:r>
        <w:rPr>
          <w:rFonts w:hint="eastAsia"/>
          <w:i w:val="0"/>
          <w:iCs w:val="0"/>
          <w:highlight w:val="none"/>
        </w:rPr>
        <w:t>甲方</w:t>
      </w:r>
      <w:r>
        <w:rPr>
          <w:rFonts w:hint="eastAsia"/>
          <w:i w:val="0"/>
          <w:iCs w:val="0"/>
          <w:highlight w:val="none"/>
          <w:u w:val="single"/>
        </w:rPr>
        <w:t xml:space="preserve">     </w:t>
      </w:r>
      <w:r>
        <w:rPr>
          <w:rFonts w:hint="eastAsia"/>
          <w:i w:val="0"/>
          <w:iCs w:val="0"/>
          <w:highlight w:val="none"/>
        </w:rPr>
        <w:t>（是</w:t>
      </w:r>
      <w:r>
        <w:rPr>
          <w:rFonts w:hint="eastAsia" w:ascii="仿宋" w:hAnsi="仿宋" w:eastAsia="仿宋" w:cs="仿宋"/>
          <w:i w:val="0"/>
          <w:iCs w:val="0"/>
          <w:highlight w:val="none"/>
        </w:rPr>
        <w:t>/</w:t>
      </w:r>
      <w:r>
        <w:rPr>
          <w:rFonts w:hint="eastAsia"/>
          <w:i w:val="0"/>
          <w:iCs w:val="0"/>
          <w:highlight w:val="none"/>
        </w:rPr>
        <w:t>否）需要支付预付款。若需要支付预付款的，则：</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i w:val="0"/>
          <w:iCs w:val="0"/>
          <w:kern w:val="0"/>
          <w:sz w:val="24"/>
          <w:highlight w:val="none"/>
        </w:rPr>
      </w:pPr>
      <w:r>
        <w:rPr>
          <w:rFonts w:hint="eastAsia" w:ascii="宋体" w:hAnsi="宋体" w:cs="宋体"/>
          <w:i w:val="0"/>
          <w:iCs w:val="0"/>
          <w:kern w:val="0"/>
          <w:sz w:val="24"/>
          <w:highlight w:val="none"/>
        </w:rPr>
        <w:t>1.5.1预付款比例、支付方式、时间详见</w:t>
      </w:r>
      <w:r>
        <w:rPr>
          <w:rFonts w:hint="eastAsia" w:ascii="宋体" w:hAnsi="宋体" w:cs="宋体"/>
          <w:i w:val="0"/>
          <w:iCs w:val="0"/>
          <w:kern w:val="0"/>
          <w:sz w:val="24"/>
          <w:highlight w:val="none"/>
          <w:u w:val="single"/>
        </w:rPr>
        <w:t xml:space="preserve">    </w:t>
      </w:r>
      <w:r>
        <w:rPr>
          <w:rFonts w:hint="eastAsia" w:ascii="宋体" w:hAnsi="宋体" w:cs="宋体"/>
          <w:b/>
          <w:i w:val="0"/>
          <w:iCs w:val="0"/>
          <w:sz w:val="24"/>
          <w:highlight w:val="none"/>
          <w:u w:val="single"/>
        </w:rPr>
        <w:t>合同专用条款</w:t>
      </w:r>
      <w:r>
        <w:rPr>
          <w:rFonts w:hint="eastAsia" w:ascii="宋体" w:hAnsi="宋体" w:cs="宋体"/>
          <w:i w:val="0"/>
          <w:iCs w:val="0"/>
          <w:kern w:val="0"/>
          <w:sz w:val="24"/>
          <w:highlight w:val="none"/>
          <w:u w:val="single"/>
        </w:rPr>
        <w:t xml:space="preserve">           </w:t>
      </w:r>
      <w:r>
        <w:rPr>
          <w:rFonts w:hint="eastAsia" w:ascii="宋体" w:hAnsi="宋体" w:cs="宋体"/>
          <w:i w:val="0"/>
          <w:iCs w:val="0"/>
          <w:kern w:val="0"/>
          <w:sz w:val="24"/>
          <w:highlight w:val="none"/>
        </w:rPr>
        <w:t>；</w:t>
      </w:r>
    </w:p>
    <w:p>
      <w:pPr>
        <w:pStyle w:val="958"/>
        <w:keepNext w:val="0"/>
        <w:keepLines w:val="0"/>
        <w:pageBreakBefore w:val="0"/>
        <w:kinsoku/>
        <w:wordWrap/>
        <w:overflowPunct/>
        <w:topLinePunct w:val="0"/>
        <w:autoSpaceDE/>
        <w:autoSpaceDN/>
        <w:bidi w:val="0"/>
        <w:snapToGrid/>
        <w:spacing w:before="0" w:beforeAutospacing="0" w:after="0" w:afterAutospacing="0" w:line="348" w:lineRule="auto"/>
        <w:ind w:firstLine="480"/>
        <w:textAlignment w:val="auto"/>
        <w:outlineLvl w:val="9"/>
        <w:rPr>
          <w:i w:val="0"/>
          <w:iCs w:val="0"/>
          <w:highlight w:val="none"/>
        </w:rPr>
      </w:pPr>
      <w:r>
        <w:rPr>
          <w:rFonts w:hint="eastAsia"/>
          <w:i w:val="0"/>
          <w:iCs w:val="0"/>
          <w:highlight w:val="none"/>
        </w:rPr>
        <w:t>1.5.2预付款的扣回方式详见</w:t>
      </w:r>
      <w:r>
        <w:rPr>
          <w:rFonts w:hint="eastAsia"/>
          <w:i w:val="0"/>
          <w:iCs w:val="0"/>
          <w:highlight w:val="none"/>
          <w:u w:val="single"/>
        </w:rPr>
        <w:t xml:space="preserve">    </w:t>
      </w:r>
      <w:r>
        <w:rPr>
          <w:rFonts w:hint="eastAsia"/>
          <w:b/>
          <w:i w:val="0"/>
          <w:iCs w:val="0"/>
          <w:highlight w:val="none"/>
          <w:u w:val="single"/>
        </w:rPr>
        <w:t>合同专用条款</w:t>
      </w:r>
      <w:r>
        <w:rPr>
          <w:rFonts w:hint="eastAsia"/>
          <w:i w:val="0"/>
          <w:iCs w:val="0"/>
          <w:highlight w:val="none"/>
          <w:u w:val="single"/>
        </w:rPr>
        <w:t xml:space="preserve">           </w:t>
      </w:r>
      <w:r>
        <w:rPr>
          <w:rFonts w:hint="eastAsia"/>
          <w:i w:val="0"/>
          <w:iCs w:val="0"/>
          <w:highlight w:val="none"/>
        </w:rPr>
        <w:t>；</w:t>
      </w:r>
    </w:p>
    <w:p>
      <w:pPr>
        <w:pStyle w:val="958"/>
        <w:keepNext w:val="0"/>
        <w:keepLines w:val="0"/>
        <w:pageBreakBefore w:val="0"/>
        <w:kinsoku/>
        <w:wordWrap/>
        <w:overflowPunct/>
        <w:topLinePunct w:val="0"/>
        <w:autoSpaceDE/>
        <w:autoSpaceDN/>
        <w:bidi w:val="0"/>
        <w:snapToGrid/>
        <w:spacing w:before="0" w:beforeAutospacing="0" w:after="0" w:afterAutospacing="0" w:line="348" w:lineRule="auto"/>
        <w:ind w:firstLine="480"/>
        <w:textAlignment w:val="auto"/>
        <w:outlineLvl w:val="9"/>
        <w:rPr>
          <w:i w:val="0"/>
          <w:iCs w:val="0"/>
          <w:highlight w:val="none"/>
          <w:u w:val="single"/>
        </w:rPr>
      </w:pPr>
      <w:r>
        <w:rPr>
          <w:rFonts w:hint="eastAsia"/>
          <w:i w:val="0"/>
          <w:iCs w:val="0"/>
          <w:highlight w:val="none"/>
        </w:rPr>
        <w:t>1.5.3预付款的担保措施详见</w:t>
      </w:r>
      <w:r>
        <w:rPr>
          <w:rFonts w:hint="eastAsia"/>
          <w:i w:val="0"/>
          <w:iCs w:val="0"/>
          <w:highlight w:val="none"/>
          <w:u w:val="single"/>
        </w:rPr>
        <w:t xml:space="preserve">    </w:t>
      </w:r>
      <w:r>
        <w:rPr>
          <w:rFonts w:hint="eastAsia"/>
          <w:b/>
          <w:i w:val="0"/>
          <w:iCs w:val="0"/>
          <w:highlight w:val="none"/>
          <w:u w:val="single"/>
        </w:rPr>
        <w:t>合同专用条款</w:t>
      </w:r>
      <w:r>
        <w:rPr>
          <w:rFonts w:hint="eastAsia"/>
          <w:i w:val="0"/>
          <w:iCs w:val="0"/>
          <w:highlight w:val="none"/>
          <w:u w:val="single"/>
        </w:rPr>
        <w:t xml:space="preserve">          </w:t>
      </w:r>
      <w:r>
        <w:rPr>
          <w:rFonts w:hint="eastAsia"/>
          <w:i w:val="0"/>
          <w:iCs w:val="0"/>
          <w:highlight w:val="none"/>
        </w:rPr>
        <w:t>。</w:t>
      </w:r>
    </w:p>
    <w:p>
      <w:pPr>
        <w:pStyle w:val="958"/>
        <w:keepNext w:val="0"/>
        <w:keepLines w:val="0"/>
        <w:pageBreakBefore w:val="0"/>
        <w:kinsoku/>
        <w:wordWrap/>
        <w:overflowPunct/>
        <w:topLinePunct w:val="0"/>
        <w:autoSpaceDE/>
        <w:autoSpaceDN/>
        <w:bidi w:val="0"/>
        <w:snapToGrid/>
        <w:spacing w:before="0" w:beforeAutospacing="0" w:after="0" w:afterAutospacing="0" w:line="348" w:lineRule="auto"/>
        <w:ind w:firstLine="480"/>
        <w:textAlignment w:val="auto"/>
        <w:outlineLvl w:val="9"/>
        <w:rPr>
          <w:b/>
          <w:bCs/>
          <w:i w:val="0"/>
          <w:iCs w:val="0"/>
          <w:highlight w:val="none"/>
        </w:rPr>
      </w:pPr>
      <w:r>
        <w:rPr>
          <w:rFonts w:hint="eastAsia"/>
          <w:b/>
          <w:bCs/>
          <w:i w:val="0"/>
          <w:iCs w:val="0"/>
          <w:highlight w:val="none"/>
        </w:rPr>
        <w:t>1.6资金支付</w:t>
      </w:r>
    </w:p>
    <w:p>
      <w:pPr>
        <w:pStyle w:val="958"/>
        <w:keepNext w:val="0"/>
        <w:keepLines w:val="0"/>
        <w:pageBreakBefore w:val="0"/>
        <w:kinsoku/>
        <w:wordWrap/>
        <w:overflowPunct/>
        <w:topLinePunct w:val="0"/>
        <w:autoSpaceDE/>
        <w:autoSpaceDN/>
        <w:bidi w:val="0"/>
        <w:snapToGrid/>
        <w:spacing w:before="0" w:beforeAutospacing="0" w:after="0" w:afterAutospacing="0" w:line="348" w:lineRule="auto"/>
        <w:ind w:firstLine="480"/>
        <w:textAlignment w:val="auto"/>
        <w:outlineLvl w:val="9"/>
        <w:rPr>
          <w:i w:val="0"/>
          <w:iCs w:val="0"/>
          <w:highlight w:val="none"/>
        </w:rPr>
      </w:pPr>
      <w:r>
        <w:rPr>
          <w:rFonts w:hint="eastAsia"/>
          <w:i w:val="0"/>
          <w:iCs w:val="0"/>
          <w:highlight w:val="none"/>
        </w:rPr>
        <w:t>1.6.1甲方应严格履行合同，及时组织验收。</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i w:val="0"/>
          <w:iCs w:val="0"/>
          <w:sz w:val="24"/>
          <w:highlight w:val="none"/>
        </w:rPr>
      </w:pPr>
      <w:r>
        <w:rPr>
          <w:rFonts w:hint="eastAsia" w:ascii="宋体" w:hAnsi="宋体" w:cs="宋体"/>
          <w:i w:val="0"/>
          <w:iCs w:val="0"/>
          <w:sz w:val="24"/>
          <w:highlight w:val="none"/>
        </w:rPr>
        <w:t>1.6.2资金支付的方式、时间和条件详见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i w:val="0"/>
          <w:iCs w:val="0"/>
          <w:sz w:val="24"/>
          <w:highlight w:val="none"/>
        </w:rPr>
      </w:pPr>
      <w:bookmarkStart w:id="418" w:name="_Toc32071"/>
      <w:bookmarkStart w:id="419" w:name="_Toc2846"/>
      <w:bookmarkStart w:id="420" w:name="_Toc19304"/>
      <w:r>
        <w:rPr>
          <w:rFonts w:hint="eastAsia" w:ascii="宋体" w:hAnsi="宋体" w:cs="宋体"/>
          <w:b/>
          <w:i w:val="0"/>
          <w:iCs w:val="0"/>
          <w:sz w:val="24"/>
          <w:highlight w:val="none"/>
        </w:rPr>
        <w:t>1.7货物交付期限、地点和方式</w:t>
      </w:r>
      <w:bookmarkEnd w:id="418"/>
      <w:bookmarkEnd w:id="419"/>
      <w:bookmarkEnd w:id="420"/>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i w:val="0"/>
          <w:iCs w:val="0"/>
          <w:sz w:val="24"/>
          <w:highlight w:val="none"/>
          <w:u w:val="single"/>
        </w:rPr>
      </w:pPr>
      <w:r>
        <w:rPr>
          <w:rFonts w:hint="eastAsia" w:ascii="宋体" w:hAnsi="宋体" w:cs="宋体"/>
          <w:i w:val="0"/>
          <w:iCs w:val="0"/>
          <w:sz w:val="24"/>
          <w:highlight w:val="none"/>
        </w:rPr>
        <w:t>1.7.1 交付期限：详见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i w:val="0"/>
          <w:iCs w:val="0"/>
          <w:sz w:val="24"/>
          <w:highlight w:val="none"/>
        </w:rPr>
      </w:pPr>
      <w:r>
        <w:rPr>
          <w:rFonts w:hint="eastAsia" w:ascii="宋体" w:hAnsi="宋体" w:cs="宋体"/>
          <w:i w:val="0"/>
          <w:iCs w:val="0"/>
          <w:sz w:val="24"/>
          <w:highlight w:val="none"/>
        </w:rPr>
        <w:t>1.7.2 交付地点：</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i w:val="0"/>
          <w:iCs w:val="0"/>
          <w:sz w:val="24"/>
          <w:highlight w:val="none"/>
        </w:rPr>
      </w:pPr>
      <w:r>
        <w:rPr>
          <w:rFonts w:hint="eastAsia" w:ascii="宋体" w:hAnsi="宋体" w:cs="宋体"/>
          <w:i w:val="0"/>
          <w:iCs w:val="0"/>
          <w:sz w:val="24"/>
          <w:highlight w:val="none"/>
        </w:rPr>
        <w:t>1.7.3 交付方式：</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sz w:val="24"/>
          <w:highlight w:val="none"/>
        </w:rPr>
      </w:pPr>
      <w:bookmarkStart w:id="421" w:name="_Toc21423"/>
      <w:bookmarkStart w:id="422" w:name="_Toc27250"/>
      <w:bookmarkStart w:id="423" w:name="_Toc19554"/>
      <w:r>
        <w:rPr>
          <w:rFonts w:hint="eastAsia" w:ascii="宋体" w:hAnsi="宋体" w:cs="宋体"/>
          <w:b/>
          <w:sz w:val="24"/>
          <w:highlight w:val="none"/>
        </w:rPr>
        <w:t>1.8违约责任</w:t>
      </w:r>
      <w:bookmarkEnd w:id="421"/>
      <w:bookmarkEnd w:id="422"/>
      <w:bookmarkEnd w:id="423"/>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highlight w:val="none"/>
          <w:u w:val="single"/>
        </w:rPr>
        <w:t xml:space="preserve">  0.05</w:t>
      </w:r>
      <w:r>
        <w:rPr>
          <w:rFonts w:hint="eastAsia" w:ascii="宋体" w:hAnsi="宋体" w:cs="宋体"/>
          <w:kern w:val="0"/>
          <w:sz w:val="24"/>
          <w:highlight w:val="none"/>
          <w:u w:val="single"/>
        </w:rPr>
        <w:t>（可根据情况修改）</w:t>
      </w:r>
      <w:r>
        <w:rPr>
          <w:rFonts w:hint="eastAsia" w:ascii="宋体" w:hAnsi="宋体" w:cs="宋体"/>
          <w:sz w:val="24"/>
          <w:highlight w:val="none"/>
          <w:u w:val="single"/>
        </w:rPr>
        <w:t xml:space="preserve">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   </w:t>
      </w:r>
      <w:r>
        <w:rPr>
          <w:rFonts w:hint="eastAsia" w:ascii="宋体" w:hAnsi="宋体" w:cs="宋体"/>
          <w:sz w:val="24"/>
          <w:highlight w:val="none"/>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1.8.2 本合同有效期内，甲、乙双方任何一方均不能擅自解除或终止本合同，一方确有客观原因需要解除或终止本合同得，应提前三个月以书面形式向另一方进行说明解除或终止合同得原因，并应向另一方支付壹万元违约金，方能解除或终止合同，如果通过诉讼或仲裁追究违约方的违约责任，则违约方应承担守约方为此而支出的诉讼或仲裁费、保全费、保全担保费、律师费、审计评估费、鉴定费和公证费等全部费用。</w:t>
      </w:r>
    </w:p>
    <w:p>
      <w:pPr>
        <w:keepNext w:val="0"/>
        <w:keepLines w:val="0"/>
        <w:pageBreakBefore w:val="0"/>
        <w:kinsoku/>
        <w:wordWrap/>
        <w:overflowPunct/>
        <w:topLinePunct w:val="0"/>
        <w:autoSpaceDE/>
        <w:autoSpaceDN/>
        <w:bidi w:val="0"/>
        <w:snapToGrid/>
        <w:spacing w:line="348" w:lineRule="auto"/>
        <w:ind w:left="-420" w:leftChars="-200" w:right="-420" w:rightChars="-200" w:firstLine="960" w:firstLineChars="400"/>
        <w:textAlignment w:val="auto"/>
        <w:outlineLvl w:val="9"/>
        <w:rPr>
          <w:rFonts w:ascii="宋体" w:hAnsi="宋体" w:cs="宋体"/>
          <w:i w:val="0"/>
          <w:iCs w:val="0"/>
          <w:highlight w:val="none"/>
        </w:rPr>
      </w:pPr>
      <w:r>
        <w:rPr>
          <w:rFonts w:hint="eastAsia" w:ascii="宋体" w:hAnsi="宋体" w:cs="宋体"/>
          <w:i w:val="0"/>
          <w:iCs w:val="0"/>
          <w:sz w:val="24"/>
          <w:highlight w:val="none"/>
          <w:lang w:val="en-US" w:eastAsia="zh-CN"/>
        </w:rPr>
        <w:t>1.8.3</w:t>
      </w:r>
      <w:r>
        <w:rPr>
          <w:rFonts w:hint="eastAsia" w:ascii="宋体" w:hAnsi="宋体" w:cs="宋体"/>
          <w:i w:val="0"/>
          <w:iCs w:val="0"/>
          <w:sz w:val="24"/>
          <w:highlight w:val="none"/>
        </w:rPr>
        <w:t>违约责任</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另有约定的，从其约定。</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i w:val="0"/>
          <w:iCs w:val="0"/>
          <w:sz w:val="24"/>
          <w:highlight w:val="none"/>
        </w:rPr>
      </w:pPr>
      <w:bookmarkStart w:id="424" w:name="_Toc28375"/>
      <w:bookmarkStart w:id="425" w:name="_Toc16021"/>
      <w:bookmarkStart w:id="426" w:name="_Toc15583"/>
      <w:r>
        <w:rPr>
          <w:rFonts w:hint="eastAsia" w:ascii="宋体" w:hAnsi="宋体" w:cs="宋体"/>
          <w:b/>
          <w:i w:val="0"/>
          <w:iCs w:val="0"/>
          <w:sz w:val="24"/>
          <w:highlight w:val="none"/>
        </w:rPr>
        <w:t>1.9合同争议的解决</w:t>
      </w:r>
      <w:bookmarkEnd w:id="424"/>
      <w:bookmarkEnd w:id="425"/>
      <w:bookmarkEnd w:id="426"/>
    </w:p>
    <w:p>
      <w:pPr>
        <w:keepNext w:val="0"/>
        <w:keepLines w:val="0"/>
        <w:pageBreakBefore w:val="0"/>
        <w:kinsoku/>
        <w:wordWrap/>
        <w:overflowPunct/>
        <w:topLinePunct w:val="0"/>
        <w:autoSpaceDE/>
        <w:autoSpaceDN/>
        <w:bidi w:val="0"/>
        <w:snapToGrid/>
        <w:spacing w:line="348" w:lineRule="auto"/>
        <w:ind w:left="-61" w:leftChars="-29" w:right="-420" w:rightChars="-200" w:firstLine="240" w:firstLineChars="100"/>
        <w:textAlignment w:val="auto"/>
        <w:outlineLvl w:val="9"/>
        <w:rPr>
          <w:rFonts w:ascii="宋体" w:hAnsi="宋体" w:cs="宋体"/>
          <w:i w:val="0"/>
          <w:iCs w:val="0"/>
          <w:sz w:val="24"/>
          <w:highlight w:val="none"/>
        </w:rPr>
      </w:pPr>
      <w:r>
        <w:rPr>
          <w:rFonts w:hint="eastAsia" w:ascii="宋体" w:hAnsi="宋体" w:cs="宋体"/>
          <w:i w:val="0"/>
          <w:iCs w:val="0"/>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sz w:val="24"/>
          <w:highlight w:val="none"/>
          <w:u w:val="single"/>
        </w:rPr>
        <w:t xml:space="preserve">      </w:t>
      </w:r>
      <w:r>
        <w:rPr>
          <w:rFonts w:hint="eastAsia" w:ascii="宋体" w:hAnsi="宋体" w:cs="宋体"/>
          <w:i w:val="0"/>
          <w:iCs w:val="0"/>
          <w:sz w:val="24"/>
          <w:highlight w:val="none"/>
        </w:rPr>
        <w:t>条款规定的方式解决：</w:t>
      </w:r>
    </w:p>
    <w:p>
      <w:pPr>
        <w:keepNext w:val="0"/>
        <w:keepLines w:val="0"/>
        <w:pageBreakBefore w:val="0"/>
        <w:kinsoku/>
        <w:wordWrap/>
        <w:overflowPunct/>
        <w:topLinePunct w:val="0"/>
        <w:autoSpaceDE/>
        <w:autoSpaceDN/>
        <w:bidi w:val="0"/>
        <w:snapToGrid/>
        <w:spacing w:line="348" w:lineRule="auto"/>
        <w:ind w:left="-420" w:leftChars="-200" w:right="-420" w:rightChars="-200" w:firstLine="840" w:firstLineChars="350"/>
        <w:textAlignment w:val="auto"/>
        <w:outlineLvl w:val="9"/>
        <w:rPr>
          <w:rFonts w:ascii="宋体" w:hAnsi="宋体" w:cs="宋体"/>
          <w:i w:val="0"/>
          <w:iCs w:val="0"/>
          <w:sz w:val="24"/>
          <w:highlight w:val="none"/>
        </w:rPr>
      </w:pPr>
      <w:r>
        <w:rPr>
          <w:rFonts w:hint="eastAsia" w:ascii="宋体" w:hAnsi="宋体" w:cs="宋体"/>
          <w:i w:val="0"/>
          <w:iCs w:val="0"/>
          <w:sz w:val="24"/>
          <w:highlight w:val="none"/>
        </w:rPr>
        <w:t>1.9.1 将争议提交</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仲裁委员会依申请仲裁时其现行有效的仲裁规则裁决；</w:t>
      </w:r>
    </w:p>
    <w:p>
      <w:pPr>
        <w:keepNext w:val="0"/>
        <w:keepLines w:val="0"/>
        <w:pageBreakBefore w:val="0"/>
        <w:kinsoku/>
        <w:wordWrap/>
        <w:overflowPunct/>
        <w:topLinePunct w:val="0"/>
        <w:autoSpaceDE/>
        <w:autoSpaceDN/>
        <w:bidi w:val="0"/>
        <w:snapToGrid/>
        <w:spacing w:line="348" w:lineRule="auto"/>
        <w:ind w:left="-420" w:leftChars="-200" w:right="-420" w:rightChars="-200" w:firstLine="840" w:firstLineChars="350"/>
        <w:textAlignment w:val="auto"/>
        <w:outlineLvl w:val="9"/>
        <w:rPr>
          <w:rFonts w:ascii="宋体" w:hAnsi="宋体" w:cs="宋体"/>
          <w:i w:val="0"/>
          <w:iCs w:val="0"/>
          <w:sz w:val="24"/>
          <w:highlight w:val="none"/>
        </w:rPr>
      </w:pPr>
      <w:r>
        <w:rPr>
          <w:rFonts w:hint="eastAsia" w:ascii="宋体" w:hAnsi="宋体" w:cs="宋体"/>
          <w:i w:val="0"/>
          <w:iCs w:val="0"/>
          <w:sz w:val="24"/>
          <w:highlight w:val="none"/>
        </w:rPr>
        <w:t>1.9.2 向</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人民法院起诉。</w:t>
      </w:r>
    </w:p>
    <w:p>
      <w:pPr>
        <w:keepNext w:val="0"/>
        <w:keepLines w:val="0"/>
        <w:pageBreakBefore w:val="0"/>
        <w:kinsoku/>
        <w:wordWrap/>
        <w:overflowPunct/>
        <w:topLinePunct w:val="0"/>
        <w:autoSpaceDE/>
        <w:autoSpaceDN/>
        <w:bidi w:val="0"/>
        <w:snapToGrid/>
        <w:spacing w:line="348" w:lineRule="auto"/>
        <w:ind w:firstLine="482" w:firstLineChars="200"/>
        <w:textAlignment w:val="auto"/>
        <w:outlineLvl w:val="9"/>
        <w:rPr>
          <w:rFonts w:ascii="宋体" w:hAnsi="宋体" w:cs="宋体"/>
          <w:b/>
          <w:sz w:val="24"/>
          <w:highlight w:val="none"/>
        </w:rPr>
      </w:pPr>
      <w:bookmarkStart w:id="427" w:name="_Toc7245"/>
      <w:bookmarkStart w:id="428" w:name="_Toc11173"/>
      <w:bookmarkStart w:id="429" w:name="_Toc15322"/>
      <w:r>
        <w:rPr>
          <w:rFonts w:hint="eastAsia" w:ascii="宋体" w:hAnsi="宋体" w:cs="宋体"/>
          <w:b/>
          <w:sz w:val="24"/>
          <w:highlight w:val="none"/>
        </w:rPr>
        <w:t>2.0 合同生效</w:t>
      </w:r>
      <w:bookmarkEnd w:id="427"/>
      <w:bookmarkEnd w:id="428"/>
      <w:bookmarkEnd w:id="429"/>
    </w:p>
    <w:p>
      <w:pPr>
        <w:keepNext w:val="0"/>
        <w:keepLines w:val="0"/>
        <w:pageBreakBefore w:val="0"/>
        <w:kinsoku/>
        <w:wordWrap/>
        <w:overflowPunct/>
        <w:topLinePunct w:val="0"/>
        <w:autoSpaceDE/>
        <w:autoSpaceDN/>
        <w:bidi w:val="0"/>
        <w:snapToGrid/>
        <w:spacing w:line="348" w:lineRule="auto"/>
        <w:ind w:firstLine="480" w:firstLineChars="200"/>
        <w:textAlignment w:val="auto"/>
        <w:outlineLvl w:val="9"/>
        <w:rPr>
          <w:rFonts w:ascii="宋体" w:hAnsi="宋体" w:cs="宋体"/>
          <w:b/>
          <w:sz w:val="24"/>
          <w:highlight w:val="none"/>
        </w:rPr>
      </w:pPr>
      <w:r>
        <w:rPr>
          <w:rFonts w:hint="eastAsia" w:ascii="宋体" w:hAnsi="宋体" w:cs="宋体"/>
          <w:sz w:val="24"/>
          <w:highlight w:val="none"/>
        </w:rPr>
        <w:t>本合同自双方当事人盖章签字时生效。</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b/>
          <w:sz w:val="24"/>
          <w:highlight w:val="none"/>
          <w:lang w:val="zh-CN"/>
        </w:rPr>
        <w:t>甲方</w:t>
      </w:r>
      <w:r>
        <w:rPr>
          <w:rFonts w:hint="eastAsia" w:ascii="宋体" w:hAnsi="宋体" w:cs="宋体"/>
          <w:sz w:val="24"/>
          <w:highlight w:val="none"/>
          <w:lang w:val="zh-CN"/>
        </w:rPr>
        <w:t xml:space="preserve">：                             </w:t>
      </w:r>
      <w:r>
        <w:rPr>
          <w:rFonts w:hint="eastAsia" w:ascii="宋体" w:hAnsi="宋体" w:cs="宋体"/>
          <w:b/>
          <w:sz w:val="24"/>
          <w:highlight w:val="none"/>
          <w:lang w:val="zh-CN"/>
        </w:rPr>
        <w:t xml:space="preserve">      乙方</w:t>
      </w:r>
      <w:r>
        <w:rPr>
          <w:rFonts w:hint="eastAsia" w:ascii="宋体" w:hAnsi="宋体" w:cs="宋体"/>
          <w:sz w:val="24"/>
          <w:highlight w:val="none"/>
          <w:lang w:val="zh-CN"/>
        </w:rPr>
        <w:t>：</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住所：                                   住所：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法定代表人或                             法定代表人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联系人：                                 联系人：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约定送达地址：                           约定送达地址：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邮政编码：                               邮政编码：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 xml:space="preserve">电话:                                    电话: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传真:                                    传真:</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rPr>
      </w:pPr>
      <w:r>
        <w:rPr>
          <w:rFonts w:hint="eastAsia" w:ascii="宋体" w:hAnsi="宋体" w:cs="宋体"/>
          <w:sz w:val="24"/>
          <w:highlight w:val="none"/>
          <w:lang w:val="zh-CN"/>
        </w:rPr>
        <w:t>电子邮箱：                               电子邮箱：</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rPr>
      </w:pPr>
      <w:r>
        <w:rPr>
          <w:rFonts w:hint="eastAsia" w:ascii="宋体" w:hAnsi="宋体" w:cs="宋体"/>
          <w:sz w:val="24"/>
          <w:highlight w:val="none"/>
        </w:rPr>
        <w:t xml:space="preserve">开户银行：                               开户银行：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rPr>
      </w:pPr>
      <w:r>
        <w:rPr>
          <w:rFonts w:hint="eastAsia" w:ascii="宋体" w:hAnsi="宋体" w:cs="宋体"/>
          <w:sz w:val="24"/>
          <w:highlight w:val="none"/>
        </w:rPr>
        <w:t xml:space="preserve">开户名称：                               开户名称： </w:t>
      </w: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sz w:val="24"/>
          <w:highlight w:val="none"/>
        </w:rPr>
      </w:pPr>
      <w:r>
        <w:rPr>
          <w:rFonts w:hint="eastAsia" w:ascii="宋体" w:hAnsi="宋体" w:cs="宋体"/>
          <w:sz w:val="24"/>
          <w:highlight w:val="none"/>
        </w:rPr>
        <w:t>开户账号：</w:t>
      </w:r>
      <w:r>
        <w:rPr>
          <w:rFonts w:hint="eastAsia" w:ascii="宋体" w:hAnsi="宋体" w:cs="宋体"/>
          <w:sz w:val="24"/>
          <w:highlight w:val="none"/>
          <w:lang w:val="zh-CN"/>
        </w:rPr>
        <w:t xml:space="preserve">                               </w:t>
      </w:r>
      <w:r>
        <w:rPr>
          <w:rFonts w:hint="eastAsia" w:ascii="宋体" w:hAnsi="宋体" w:cs="宋体"/>
          <w:sz w:val="24"/>
          <w:highlight w:val="none"/>
        </w:rPr>
        <w:t>开户账号：</w:t>
      </w: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sz w:val="24"/>
          <w:highlight w:val="none"/>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见证方：浙江中基正采管理咨询有限公司</w:t>
      </w:r>
    </w:p>
    <w:p>
      <w:pPr>
        <w:tabs>
          <w:tab w:val="left" w:pos="432"/>
        </w:tabs>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ascii="宋体" w:hAnsi="宋体" w:cs="宋体"/>
          <w:sz w:val="24"/>
          <w:highlight w:val="none"/>
        </w:rPr>
      </w:pPr>
    </w:p>
    <w:p>
      <w:pPr>
        <w:tabs>
          <w:tab w:val="left" w:pos="432"/>
        </w:tabs>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ascii="宋体" w:hAnsi="宋体" w:cs="宋体"/>
          <w:sz w:val="24"/>
          <w:highlight w:val="none"/>
        </w:rPr>
      </w:pPr>
    </w:p>
    <w:p>
      <w:pPr>
        <w:tabs>
          <w:tab w:val="left" w:pos="432"/>
        </w:tabs>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hint="eastAsia" w:ascii="宋体" w:hAnsi="宋体" w:cs="宋体"/>
          <w:b/>
          <w:szCs w:val="24"/>
          <w:highlight w:val="none"/>
        </w:rPr>
      </w:pPr>
      <w:r>
        <w:rPr>
          <w:rFonts w:hint="eastAsia" w:ascii="宋体" w:hAnsi="宋体" w:cs="宋体"/>
          <w:b/>
          <w:szCs w:val="24"/>
          <w:highlight w:val="none"/>
        </w:rPr>
        <w:br w:type="page"/>
      </w:r>
    </w:p>
    <w:p>
      <w:pPr>
        <w:pStyle w:val="700"/>
        <w:keepNext w:val="0"/>
        <w:keepLines w:val="0"/>
        <w:pageBreakBefore w:val="0"/>
        <w:widowControl w:val="0"/>
        <w:kinsoku/>
        <w:wordWrap/>
        <w:overflowPunct/>
        <w:topLinePunct w:val="0"/>
        <w:autoSpaceDE w:val="0"/>
        <w:autoSpaceDN w:val="0"/>
        <w:bidi w:val="0"/>
        <w:adjustRightInd w:val="0"/>
        <w:snapToGrid w:val="0"/>
        <w:spacing w:line="560" w:lineRule="exact"/>
        <w:ind w:firstLine="482"/>
        <w:jc w:val="center"/>
        <w:textAlignment w:val="auto"/>
        <w:outlineLvl w:val="9"/>
        <w:rPr>
          <w:rFonts w:ascii="宋体" w:hAnsi="宋体" w:cs="宋体"/>
          <w:b/>
          <w:szCs w:val="24"/>
          <w:highlight w:val="none"/>
        </w:rPr>
      </w:pPr>
      <w:r>
        <w:rPr>
          <w:rFonts w:hint="eastAsia" w:ascii="宋体" w:hAnsi="宋体" w:cs="宋体"/>
          <w:b/>
          <w:szCs w:val="24"/>
          <w:highlight w:val="none"/>
        </w:rPr>
        <w:t>第二部分 合同一般条款</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30" w:name="_Ref467378404"/>
      <w:bookmarkStart w:id="431" w:name="_Ref467379214"/>
      <w:bookmarkStart w:id="432" w:name="_Toc28763"/>
      <w:bookmarkStart w:id="433" w:name="_Toc279701240"/>
      <w:bookmarkStart w:id="434" w:name="_Toc487900349"/>
      <w:bookmarkStart w:id="435" w:name="_Ref467378499"/>
      <w:bookmarkStart w:id="436" w:name="_Toc19614"/>
      <w:bookmarkStart w:id="437" w:name="_Ref467379101"/>
      <w:bookmarkStart w:id="438" w:name="_Ref467379094"/>
      <w:bookmarkStart w:id="439" w:name="_Ref467379195"/>
      <w:bookmarkStart w:id="440" w:name="_Ref467379109"/>
      <w:bookmarkStart w:id="441" w:name="_Toc259093669"/>
      <w:bookmarkStart w:id="442" w:name="_Ref467379225"/>
      <w:bookmarkStart w:id="443" w:name="_Toc16917"/>
      <w:bookmarkStart w:id="444" w:name="_Ref467378463"/>
      <w:bookmarkStart w:id="445" w:name="_Ref467379205"/>
      <w:r>
        <w:rPr>
          <w:rFonts w:hint="eastAsia" w:ascii="宋体" w:hAnsi="宋体" w:cs="宋体"/>
          <w:b/>
          <w:i w:val="0"/>
          <w:iCs w:val="0"/>
          <w:sz w:val="24"/>
          <w:highlight w:val="none"/>
        </w:rPr>
        <w:t>2.1 定义</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本合同中的下列词语应按以下内容进行解释：</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2.1.1 “合同”系指采购人和中标或成交供应商签订的载明双方当事人所达成的协议，并包括所有的附件、附录和构成合同的其他文件。</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 “合同价”系指根据合同约定，中标或成交供应商在完全履行合同义务后，采购人应支付给中标或成交供应商的价格。</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46" w:name="_Ref467378840"/>
      <w:r>
        <w:rPr>
          <w:rFonts w:hint="eastAsia" w:ascii="宋体" w:hAnsi="宋体" w:cs="宋体"/>
          <w:i w:val="0"/>
          <w:iCs w:val="0"/>
          <w:sz w:val="24"/>
          <w:highlight w:val="none"/>
        </w:rPr>
        <w:t>2.1.4 “甲方”系指与中标或成交供应商签署合同的采购人</w:t>
      </w:r>
      <w:bookmarkEnd w:id="446"/>
      <w:r>
        <w:rPr>
          <w:rFonts w:hint="eastAsia" w:ascii="宋体" w:hAnsi="宋体" w:cs="宋体"/>
          <w:i w:val="0"/>
          <w:iCs w:val="0"/>
          <w:sz w:val="24"/>
          <w:highlight w:val="none"/>
        </w:rPr>
        <w:t>；采购人委托采购代理机构代表其与乙方签订合同的，采购人的授权委托书作为合同附件。</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47" w:name="_Ref467379400"/>
      <w:r>
        <w:rPr>
          <w:rFonts w:hint="eastAsia" w:ascii="宋体" w:hAnsi="宋体" w:cs="宋体"/>
          <w:i w:val="0"/>
          <w:iCs w:val="0"/>
          <w:sz w:val="24"/>
          <w:highlight w:val="none"/>
        </w:rPr>
        <w:t>2.1.5 “乙方”系指根据合同约定交付货物的中标或成交供应商</w:t>
      </w:r>
      <w:bookmarkEnd w:id="447"/>
      <w:r>
        <w:rPr>
          <w:rFonts w:hint="eastAsia" w:ascii="宋体" w:hAnsi="宋体" w:cs="宋体"/>
          <w:i w:val="0"/>
          <w:iCs w:val="0"/>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48" w:name="_Ref467379436"/>
      <w:r>
        <w:rPr>
          <w:rFonts w:hint="eastAsia" w:ascii="宋体" w:hAnsi="宋体" w:cs="宋体"/>
          <w:i w:val="0"/>
          <w:iCs w:val="0"/>
          <w:sz w:val="24"/>
          <w:highlight w:val="none"/>
        </w:rPr>
        <w:t>2.1.6 “现场”系指合同约定货物将要运至或者安装的地点。</w:t>
      </w:r>
      <w:bookmarkEnd w:id="448"/>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49" w:name="_Toc487900350"/>
      <w:bookmarkStart w:id="450" w:name="_Toc13336"/>
      <w:bookmarkStart w:id="451" w:name="_Toc279701241"/>
      <w:bookmarkStart w:id="452" w:name="_Toc259093670"/>
      <w:bookmarkStart w:id="453" w:name="_Toc27635"/>
      <w:bookmarkStart w:id="454" w:name="_Toc32504"/>
      <w:r>
        <w:rPr>
          <w:rFonts w:hint="eastAsia" w:ascii="宋体" w:hAnsi="宋体" w:cs="宋体"/>
          <w:b/>
          <w:i w:val="0"/>
          <w:iCs w:val="0"/>
          <w:sz w:val="24"/>
          <w:highlight w:val="none"/>
        </w:rPr>
        <w:t>2.2 技术规范</w:t>
      </w:r>
      <w:bookmarkEnd w:id="449"/>
      <w:bookmarkEnd w:id="450"/>
      <w:bookmarkEnd w:id="451"/>
      <w:bookmarkEnd w:id="452"/>
      <w:bookmarkEnd w:id="453"/>
      <w:bookmarkEnd w:id="454"/>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货物所应遵守的技术规范应与</w:t>
      </w:r>
      <w:r>
        <w:rPr>
          <w:rFonts w:hint="eastAsia" w:ascii="宋体" w:hAnsi="宋体" w:cs="宋体"/>
          <w:i w:val="0"/>
          <w:iCs w:val="0"/>
          <w:sz w:val="24"/>
          <w:highlight w:val="none"/>
          <w:lang w:eastAsia="zh-CN"/>
        </w:rPr>
        <w:t>招标文件</w:t>
      </w:r>
      <w:r>
        <w:rPr>
          <w:rFonts w:hint="eastAsia" w:ascii="宋体" w:hAnsi="宋体" w:cs="宋体"/>
          <w:i w:val="0"/>
          <w:iCs w:val="0"/>
          <w:sz w:val="24"/>
          <w:highlight w:val="none"/>
        </w:rPr>
        <w:t>规定的技术规范和技术规范附件(如果有的话)及其技术规范偏差表(如果被甲方接受的话)相一致；如果</w:t>
      </w:r>
      <w:r>
        <w:rPr>
          <w:rFonts w:hint="eastAsia" w:ascii="宋体" w:hAnsi="宋体" w:cs="宋体"/>
          <w:i w:val="0"/>
          <w:iCs w:val="0"/>
          <w:sz w:val="24"/>
          <w:highlight w:val="none"/>
          <w:lang w:eastAsia="zh-CN"/>
        </w:rPr>
        <w:t>招标文件</w:t>
      </w:r>
      <w:r>
        <w:rPr>
          <w:rFonts w:hint="eastAsia" w:ascii="宋体" w:hAnsi="宋体" w:cs="宋体"/>
          <w:i w:val="0"/>
          <w:iCs w:val="0"/>
          <w:sz w:val="24"/>
          <w:highlight w:val="none"/>
        </w:rPr>
        <w:t>中没有技术规范的相应说明，那么应以国家有关部门最新颁布的相应标准和规范为准。</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55" w:name="_Toc31634"/>
      <w:bookmarkStart w:id="456" w:name="_Toc9829"/>
      <w:bookmarkStart w:id="457" w:name="_Toc259093671"/>
      <w:bookmarkStart w:id="458" w:name="_Toc279701242"/>
      <w:bookmarkStart w:id="459" w:name="_Toc27853"/>
      <w:bookmarkStart w:id="460" w:name="_Toc487900351"/>
      <w:r>
        <w:rPr>
          <w:rFonts w:hint="eastAsia" w:ascii="宋体" w:hAnsi="宋体" w:cs="宋体"/>
          <w:b/>
          <w:i w:val="0"/>
          <w:iCs w:val="0"/>
          <w:sz w:val="24"/>
          <w:highlight w:val="none"/>
        </w:rPr>
        <w:t>2.3 知识产权</w:t>
      </w:r>
      <w:bookmarkEnd w:id="455"/>
      <w:bookmarkEnd w:id="456"/>
      <w:bookmarkEnd w:id="457"/>
      <w:bookmarkEnd w:id="458"/>
      <w:bookmarkEnd w:id="459"/>
      <w:bookmarkEnd w:id="460"/>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i w:val="0"/>
          <w:iCs w:val="0"/>
          <w:sz w:val="24"/>
          <w:highlight w:val="none"/>
        </w:rPr>
        <w:t>乙方还应及时澄清相关信息，使甲方声誉免受损害，甲方保留追责的权利。</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2.3.2具有知识产权的计算机软件等货物的知识产权归属，详见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61" w:name="_Toc29149"/>
      <w:bookmarkStart w:id="462" w:name="_Toc11932"/>
      <w:bookmarkStart w:id="463" w:name="_Toc4194"/>
      <w:r>
        <w:rPr>
          <w:rFonts w:hint="eastAsia" w:ascii="宋体" w:hAnsi="宋体" w:cs="宋体"/>
          <w:b/>
          <w:i w:val="0"/>
          <w:iCs w:val="0"/>
          <w:sz w:val="24"/>
          <w:highlight w:val="none"/>
        </w:rPr>
        <w:t>2.4 包装和装运</w:t>
      </w:r>
      <w:bookmarkEnd w:id="461"/>
      <w:bookmarkEnd w:id="462"/>
      <w:bookmarkEnd w:id="463"/>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2.4.1除</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2.4.3 装运货物的要求和通知，详见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64" w:name="_Ref467378591"/>
      <w:bookmarkStart w:id="465" w:name="_Ref467379536"/>
      <w:bookmarkStart w:id="466" w:name="_Toc279701245"/>
      <w:bookmarkStart w:id="467" w:name="_Toc259093674"/>
      <w:bookmarkStart w:id="468" w:name="_Toc487900354"/>
      <w:bookmarkStart w:id="469" w:name="_Ref467379542"/>
      <w:bookmarkStart w:id="470" w:name="_Ref467379527"/>
      <w:bookmarkStart w:id="471" w:name="_Ref467378541"/>
      <w:bookmarkStart w:id="472" w:name="_Toc19074"/>
      <w:bookmarkStart w:id="473" w:name="_Toc26182"/>
      <w:bookmarkStart w:id="474" w:name="_Toc30272"/>
      <w:r>
        <w:rPr>
          <w:rFonts w:hint="eastAsia" w:ascii="宋体" w:hAnsi="宋体" w:cs="宋体"/>
          <w:b/>
          <w:i w:val="0"/>
          <w:iCs w:val="0"/>
          <w:sz w:val="24"/>
          <w:highlight w:val="none"/>
        </w:rPr>
        <w:t>2.</w:t>
      </w:r>
      <w:bookmarkEnd w:id="464"/>
      <w:bookmarkEnd w:id="465"/>
      <w:bookmarkEnd w:id="466"/>
      <w:bookmarkEnd w:id="467"/>
      <w:bookmarkEnd w:id="468"/>
      <w:bookmarkEnd w:id="469"/>
      <w:bookmarkEnd w:id="470"/>
      <w:bookmarkEnd w:id="471"/>
      <w:r>
        <w:rPr>
          <w:rFonts w:hint="eastAsia" w:ascii="宋体" w:hAnsi="宋体" w:cs="宋体"/>
          <w:b/>
          <w:i w:val="0"/>
          <w:iCs w:val="0"/>
          <w:sz w:val="24"/>
          <w:highlight w:val="none"/>
        </w:rPr>
        <w:t>5 履约检查和问题反馈</w:t>
      </w:r>
      <w:bookmarkEnd w:id="472"/>
      <w:bookmarkEnd w:id="473"/>
      <w:bookmarkEnd w:id="474"/>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75" w:name="_Ref467379657"/>
      <w:r>
        <w:rPr>
          <w:rFonts w:hint="eastAsia" w:ascii="宋体" w:hAnsi="宋体" w:cs="宋体"/>
          <w:i w:val="0"/>
          <w:iCs w:val="0"/>
          <w:sz w:val="24"/>
          <w:highlight w:val="none"/>
        </w:rPr>
        <w:t>2.5.1</w:t>
      </w:r>
      <w:bookmarkEnd w:id="475"/>
      <w:bookmarkStart w:id="476" w:name="_Toc186431854"/>
      <w:bookmarkStart w:id="477" w:name="_Ref467379807"/>
      <w:bookmarkStart w:id="478" w:name="_Toc487900357"/>
      <w:bookmarkStart w:id="479" w:name="_Ref467379793"/>
      <w:bookmarkStart w:id="480" w:name="_Toc279701247"/>
      <w:bookmarkStart w:id="481" w:name="_Toc259093676"/>
      <w:r>
        <w:rPr>
          <w:rFonts w:hint="eastAsia" w:ascii="宋体" w:hAnsi="宋体" w:cs="宋体"/>
          <w:i w:val="0"/>
          <w:iCs w:val="0"/>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2.5.2 合同履行期间，甲方有权将履行过程中出现的问题反馈给乙方，双方当事人应以书面形式约定需要完善和改进的内容</w:t>
      </w:r>
      <w:bookmarkEnd w:id="476"/>
      <w:bookmarkStart w:id="482" w:name="_Toc186431855"/>
      <w:r>
        <w:rPr>
          <w:rFonts w:hint="eastAsia" w:ascii="宋体" w:hAnsi="宋体" w:cs="宋体"/>
          <w:i w:val="0"/>
          <w:iCs w:val="0"/>
          <w:sz w:val="24"/>
          <w:highlight w:val="none"/>
        </w:rPr>
        <w:t>。</w:t>
      </w:r>
    </w:p>
    <w:bookmarkEnd w:id="477"/>
    <w:bookmarkEnd w:id="478"/>
    <w:bookmarkEnd w:id="479"/>
    <w:bookmarkEnd w:id="480"/>
    <w:bookmarkEnd w:id="481"/>
    <w:bookmarkEnd w:id="482"/>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83" w:name="_Ref467379923"/>
      <w:bookmarkStart w:id="484" w:name="_Toc279701248"/>
      <w:bookmarkStart w:id="485" w:name="_Toc259093677"/>
      <w:bookmarkStart w:id="486" w:name="_Toc487900358"/>
      <w:bookmarkStart w:id="487" w:name="_Ref467379852"/>
      <w:bookmarkStart w:id="488" w:name="_Ref467379863"/>
      <w:bookmarkStart w:id="489" w:name="_Toc3225"/>
      <w:bookmarkStart w:id="490" w:name="_Toc16110"/>
      <w:bookmarkStart w:id="491" w:name="_Toc774"/>
      <w:r>
        <w:rPr>
          <w:rFonts w:hint="eastAsia" w:ascii="宋体" w:hAnsi="宋体" w:cs="宋体"/>
          <w:b/>
          <w:i w:val="0"/>
          <w:iCs w:val="0"/>
          <w:sz w:val="24"/>
          <w:highlight w:val="none"/>
        </w:rPr>
        <w:t>2.6 技术资料</w:t>
      </w:r>
      <w:bookmarkEnd w:id="483"/>
      <w:bookmarkEnd w:id="484"/>
      <w:bookmarkEnd w:id="485"/>
      <w:bookmarkEnd w:id="486"/>
      <w:bookmarkEnd w:id="487"/>
      <w:bookmarkEnd w:id="488"/>
      <w:r>
        <w:rPr>
          <w:rFonts w:hint="eastAsia" w:ascii="宋体" w:hAnsi="宋体" w:cs="宋体"/>
          <w:b/>
          <w:i w:val="0"/>
          <w:iCs w:val="0"/>
          <w:sz w:val="24"/>
          <w:highlight w:val="none"/>
        </w:rPr>
        <w:t>和保密义务</w:t>
      </w:r>
      <w:bookmarkEnd w:id="489"/>
      <w:bookmarkEnd w:id="490"/>
      <w:bookmarkEnd w:id="491"/>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2.6.1 乙方有权依据合同约定和项目需要，向甲方了解有关情况，调阅有关资料等，甲方应予积极配合；</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2.6.2 乙方有义务妥善保管和保护由甲方提供的前款信息和资料等；</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2" w:name="_Toc7860"/>
      <w:r>
        <w:rPr>
          <w:rFonts w:hint="eastAsia" w:ascii="宋体" w:hAnsi="宋体" w:cs="宋体"/>
          <w:b/>
          <w:i w:val="0"/>
          <w:iCs w:val="0"/>
          <w:sz w:val="24"/>
          <w:highlight w:val="none"/>
        </w:rPr>
        <w:t>2.7 质量保证</w:t>
      </w:r>
      <w:bookmarkEnd w:id="492"/>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2.7.1 乙方应建立和完善履行合同的内部质量保证体系，并提供相关内部规章制度给甲方，以便甲方进行监督检查；</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2.7.2 乙方应保证履行合同的人员数量和素质、软件和硬件设备的配置、场地、环境和设施等满足全面履行合同的要求，并应接受甲方的监督检查。</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3" w:name="_Toc17244"/>
      <w:bookmarkStart w:id="494" w:name="_Toc259093681"/>
      <w:bookmarkStart w:id="495" w:name="_Toc279701252"/>
      <w:bookmarkStart w:id="496" w:name="_Toc487900362"/>
      <w:r>
        <w:rPr>
          <w:rFonts w:hint="eastAsia" w:ascii="宋体" w:hAnsi="宋体" w:cs="宋体"/>
          <w:b/>
          <w:i w:val="0"/>
          <w:iCs w:val="0"/>
          <w:sz w:val="24"/>
          <w:highlight w:val="none"/>
        </w:rPr>
        <w:t>2.8 货物的风险负担</w:t>
      </w:r>
      <w:bookmarkEnd w:id="493"/>
    </w:p>
    <w:p>
      <w:pPr>
        <w:kinsoku/>
        <w:wordWrap/>
        <w:overflowPunct/>
        <w:topLinePunct w:val="0"/>
        <w:bidi w:val="0"/>
        <w:spacing w:line="560" w:lineRule="exact"/>
        <w:ind w:firstLine="480" w:firstLineChars="200"/>
        <w:outlineLvl w:val="9"/>
        <w:rPr>
          <w:rFonts w:ascii="宋体" w:hAnsi="宋体" w:cs="宋体"/>
          <w:b/>
          <w:i w:val="0"/>
          <w:iCs w:val="0"/>
          <w:sz w:val="24"/>
          <w:highlight w:val="none"/>
        </w:rPr>
      </w:pPr>
      <w:r>
        <w:rPr>
          <w:rFonts w:hint="eastAsia" w:ascii="宋体" w:hAnsi="宋体" w:cs="宋体"/>
          <w:i w:val="0"/>
          <w:iCs w:val="0"/>
          <w:sz w:val="24"/>
          <w:highlight w:val="none"/>
        </w:rPr>
        <w:t>货物或者在途货物或者交付给第一承运人后的货物毁损、灭失的风险负担详见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7" w:name="_Toc14055"/>
      <w:r>
        <w:rPr>
          <w:rFonts w:hint="eastAsia" w:ascii="宋体" w:hAnsi="宋体" w:cs="宋体"/>
          <w:b/>
          <w:i w:val="0"/>
          <w:iCs w:val="0"/>
          <w:sz w:val="24"/>
          <w:highlight w:val="none"/>
        </w:rPr>
        <w:t>2.9 延迟交货</w:t>
      </w:r>
      <w:bookmarkEnd w:id="494"/>
      <w:bookmarkEnd w:id="495"/>
      <w:bookmarkEnd w:id="496"/>
      <w:bookmarkEnd w:id="497"/>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i w:val="0"/>
          <w:iCs w:val="0"/>
          <w:sz w:val="24"/>
          <w:highlight w:val="none"/>
        </w:rPr>
        <w:t>甲乙双方签订合同后，乙方应按照合同约定履行合同义务，除不可抗力外，乙方不得延迟交货。</w:t>
      </w:r>
      <w:r>
        <w:rPr>
          <w:rFonts w:hint="eastAsia" w:ascii="宋体" w:hAnsi="宋体" w:cs="宋体"/>
          <w:i w:val="0"/>
          <w:iCs w:val="0"/>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8" w:name="_Toc7502"/>
      <w:bookmarkStart w:id="499" w:name="_Ref467378121"/>
      <w:bookmarkStart w:id="500" w:name="_Toc259093683"/>
      <w:bookmarkStart w:id="501" w:name="_Toc487900364"/>
      <w:bookmarkStart w:id="502" w:name="_Toc279701254"/>
      <w:r>
        <w:rPr>
          <w:rFonts w:hint="eastAsia" w:ascii="宋体" w:hAnsi="宋体" w:cs="宋体"/>
          <w:b/>
          <w:i w:val="0"/>
          <w:iCs w:val="0"/>
          <w:sz w:val="24"/>
          <w:highlight w:val="none"/>
        </w:rPr>
        <w:t>2.10 合同变更</w:t>
      </w:r>
      <w:bookmarkEnd w:id="498"/>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合同继续履行将损害国家利益和社会公共利益的，双方当事人应当以书面形式变更合同。有过错的一方应当承担赔偿责任，双方当事人都有过错的，各自承担相应的责任。</w:t>
      </w:r>
      <w:bookmarkStart w:id="503" w:name="_Toc259093688"/>
      <w:bookmarkStart w:id="504" w:name="_Toc487900369"/>
      <w:bookmarkStart w:id="505" w:name="_Toc279701259"/>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06" w:name="_Toc10366"/>
      <w:bookmarkStart w:id="507" w:name="_Toc22955"/>
      <w:bookmarkStart w:id="508" w:name="_Toc15237"/>
      <w:r>
        <w:rPr>
          <w:rFonts w:hint="eastAsia" w:ascii="宋体" w:hAnsi="宋体" w:cs="宋体"/>
          <w:b/>
          <w:i w:val="0"/>
          <w:iCs w:val="0"/>
          <w:sz w:val="24"/>
          <w:highlight w:val="none"/>
        </w:rPr>
        <w:t>2.11 合同转让</w:t>
      </w:r>
      <w:bookmarkEnd w:id="503"/>
      <w:bookmarkEnd w:id="504"/>
      <w:bookmarkEnd w:id="505"/>
      <w:r>
        <w:rPr>
          <w:rFonts w:hint="eastAsia" w:ascii="宋体" w:hAnsi="宋体" w:cs="宋体"/>
          <w:b/>
          <w:i w:val="0"/>
          <w:iCs w:val="0"/>
          <w:sz w:val="24"/>
          <w:highlight w:val="none"/>
        </w:rPr>
        <w:t>和分包</w:t>
      </w:r>
      <w:bookmarkEnd w:id="506"/>
      <w:bookmarkEnd w:id="507"/>
      <w:bookmarkEnd w:id="508"/>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2.11.2乙方采取分包方式履行合同的，甲方可直接向分包供应商支付款项。</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09" w:name="_Toc13566"/>
      <w:bookmarkStart w:id="510" w:name="_Toc14066"/>
      <w:bookmarkStart w:id="511" w:name="_Toc16508"/>
      <w:r>
        <w:rPr>
          <w:rFonts w:hint="eastAsia" w:ascii="宋体" w:hAnsi="宋体" w:cs="宋体"/>
          <w:b/>
          <w:i w:val="0"/>
          <w:iCs w:val="0"/>
          <w:sz w:val="24"/>
          <w:highlight w:val="none"/>
        </w:rPr>
        <w:t>2.12 不可抗力</w:t>
      </w:r>
      <w:bookmarkEnd w:id="509"/>
      <w:bookmarkEnd w:id="510"/>
      <w:bookmarkEnd w:id="511"/>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2.12.1如果任何一方遭遇法律规定的不可抗力，致使合同履行受阻时，履行合同的期限应予延长，延长的期限应相当于不可抗力所影响的时间；</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2.12.2 因不可抗力致使不能实现合同目的的，当事人可以解除合同；</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2.12.3 因不可抗力致使合同有变更必要的，双方当事人应在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约定时间内以书面形式变更合同；</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2.12.4受不可抗力影响的一方在不可抗力发生后，应在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约定时间内以书面形式通知对方当事人，并在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约定时间内，将有关部门出具的证明文件送达对方当事人。</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12" w:name="_Toc6969"/>
      <w:bookmarkStart w:id="513" w:name="_Toc279701255"/>
      <w:bookmarkStart w:id="514" w:name="_Toc689"/>
      <w:bookmarkStart w:id="515" w:name="_Toc30676"/>
      <w:bookmarkStart w:id="516" w:name="_Toc259093684"/>
      <w:bookmarkStart w:id="517" w:name="_Toc487900365"/>
      <w:r>
        <w:rPr>
          <w:rFonts w:hint="eastAsia" w:ascii="宋体" w:hAnsi="宋体" w:cs="宋体"/>
          <w:b/>
          <w:i w:val="0"/>
          <w:iCs w:val="0"/>
          <w:sz w:val="24"/>
          <w:highlight w:val="none"/>
        </w:rPr>
        <w:t>2.13 税费</w:t>
      </w:r>
      <w:bookmarkEnd w:id="512"/>
      <w:bookmarkEnd w:id="513"/>
      <w:bookmarkEnd w:id="514"/>
      <w:bookmarkEnd w:id="515"/>
      <w:bookmarkEnd w:id="516"/>
      <w:bookmarkEnd w:id="517"/>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与合同有关的一切税费，均按照中华人民共和国法律的相关规定。</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18" w:name="_Toc259093687"/>
      <w:bookmarkStart w:id="519" w:name="_Toc16959"/>
      <w:bookmarkStart w:id="520" w:name="_Toc7102"/>
      <w:bookmarkStart w:id="521" w:name="_Toc487900368"/>
      <w:bookmarkStart w:id="522" w:name="_Toc8298"/>
      <w:bookmarkStart w:id="523" w:name="_Toc279701258"/>
      <w:r>
        <w:rPr>
          <w:rFonts w:hint="eastAsia" w:ascii="宋体" w:hAnsi="宋体" w:cs="宋体"/>
          <w:b/>
          <w:i w:val="0"/>
          <w:iCs w:val="0"/>
          <w:sz w:val="24"/>
          <w:highlight w:val="none"/>
        </w:rPr>
        <w:t>2.14乙方破产</w:t>
      </w:r>
      <w:bookmarkEnd w:id="518"/>
      <w:bookmarkEnd w:id="519"/>
      <w:bookmarkEnd w:id="520"/>
      <w:bookmarkEnd w:id="521"/>
      <w:bookmarkEnd w:id="522"/>
      <w:bookmarkEnd w:id="523"/>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24" w:name="_Toc15387"/>
      <w:bookmarkStart w:id="525" w:name="_Toc6134"/>
      <w:bookmarkStart w:id="526" w:name="_Toc29333"/>
      <w:r>
        <w:rPr>
          <w:rFonts w:hint="eastAsia" w:ascii="宋体" w:hAnsi="宋体" w:cs="宋体"/>
          <w:b/>
          <w:i w:val="0"/>
          <w:iCs w:val="0"/>
          <w:sz w:val="24"/>
          <w:highlight w:val="none"/>
        </w:rPr>
        <w:t>2.15 合同中止、终止</w:t>
      </w:r>
      <w:bookmarkEnd w:id="524"/>
      <w:bookmarkEnd w:id="525"/>
      <w:bookmarkEnd w:id="526"/>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2.15.1 双方当事人不得擅自中止或者终止合同；</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2.15.2合同继续履行将损害国家利益和社会公共利益的，双方当事人应当中止或者终止合同。有过错的一方应当承担赔偿责任，双方当事人都有过错的，各自承担相应的责任。</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27" w:name="_Toc14563"/>
      <w:bookmarkStart w:id="528" w:name="_Toc1125"/>
      <w:bookmarkStart w:id="529" w:name="_Toc6596"/>
      <w:r>
        <w:rPr>
          <w:rFonts w:hint="eastAsia" w:ascii="宋体" w:hAnsi="宋体" w:cs="宋体"/>
          <w:b/>
          <w:i w:val="0"/>
          <w:iCs w:val="0"/>
          <w:sz w:val="24"/>
          <w:highlight w:val="none"/>
        </w:rPr>
        <w:t>2.16检验和验收</w:t>
      </w:r>
      <w:bookmarkEnd w:id="527"/>
      <w:bookmarkEnd w:id="528"/>
      <w:bookmarkEnd w:id="529"/>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约定时间内组织验收，并可依法邀请相关方参加，验收应出具验收书。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2.16.3 检验和验收标准、程序等具体内容以及前述验收书的效力详见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bookmarkEnd w:id="499"/>
    <w:bookmarkEnd w:id="500"/>
    <w:bookmarkEnd w:id="501"/>
    <w:bookmarkEnd w:id="502"/>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30" w:name="_Toc279701261"/>
      <w:bookmarkStart w:id="531" w:name="_Toc487900371"/>
      <w:bookmarkStart w:id="532" w:name="_Toc259093690"/>
      <w:bookmarkStart w:id="533" w:name="_Toc19604"/>
      <w:bookmarkStart w:id="534" w:name="_Toc25182"/>
      <w:bookmarkStart w:id="535" w:name="_Toc11284"/>
      <w:r>
        <w:rPr>
          <w:rFonts w:hint="eastAsia" w:ascii="宋体" w:hAnsi="宋体" w:cs="宋体"/>
          <w:b/>
          <w:i w:val="0"/>
          <w:iCs w:val="0"/>
          <w:sz w:val="24"/>
          <w:highlight w:val="none"/>
        </w:rPr>
        <w:t>2.17 通知</w:t>
      </w:r>
      <w:bookmarkEnd w:id="530"/>
      <w:bookmarkEnd w:id="531"/>
      <w:bookmarkEnd w:id="532"/>
      <w:r>
        <w:rPr>
          <w:rFonts w:hint="eastAsia" w:ascii="宋体" w:hAnsi="宋体" w:cs="宋体"/>
          <w:b/>
          <w:i w:val="0"/>
          <w:iCs w:val="0"/>
          <w:sz w:val="24"/>
          <w:highlight w:val="none"/>
        </w:rPr>
        <w:t>和送达</w:t>
      </w:r>
      <w:bookmarkEnd w:id="533"/>
      <w:bookmarkEnd w:id="534"/>
      <w:bookmarkEnd w:id="535"/>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536" w:name="_Toc6698"/>
      <w:bookmarkStart w:id="537" w:name="_Toc3135"/>
      <w:bookmarkStart w:id="538" w:name="_Toc487900372"/>
      <w:bookmarkStart w:id="539" w:name="_Toc259093691"/>
      <w:bookmarkStart w:id="540" w:name="_Toc279701262"/>
      <w:r>
        <w:rPr>
          <w:rFonts w:hint="eastAsia" w:ascii="宋体" w:hAnsi="宋体" w:cs="宋体"/>
          <w:i w:val="0"/>
          <w:iCs w:val="0"/>
          <w:sz w:val="24"/>
          <w:highlight w:val="none"/>
        </w:rPr>
        <w:t>2.17.1任何一方因履行合同而以合同第一部分尾部所列明的传真或电子邮件发出的所有通知、文件、材料，均视为已向对方当事人送达；任何一方变更上述送达方式或者地址的，应于</w:t>
      </w:r>
      <w:r>
        <w:rPr>
          <w:rFonts w:hint="eastAsia" w:ascii="宋体" w:hAnsi="宋体" w:cs="宋体"/>
          <w:i w:val="0"/>
          <w:iCs w:val="0"/>
          <w:sz w:val="24"/>
          <w:highlight w:val="none"/>
          <w:u w:val="single"/>
        </w:rPr>
        <w:t>3</w:t>
      </w:r>
      <w:r>
        <w:rPr>
          <w:rFonts w:hint="eastAsia" w:ascii="宋体" w:hAnsi="宋体" w:cs="宋体"/>
          <w:i w:val="0"/>
          <w:iCs w:val="0"/>
          <w:sz w:val="24"/>
          <w:highlight w:val="none"/>
        </w:rPr>
        <w:t>个工作日内书面通知对方当事人，在对方当事人收到有关变更通知之前，变更前的约定送达方式或者地址仍视为有效。</w:t>
      </w:r>
      <w:bookmarkEnd w:id="536"/>
      <w:bookmarkEnd w:id="537"/>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541" w:name="_Toc23128"/>
      <w:bookmarkStart w:id="542" w:name="_Toc23294"/>
      <w:r>
        <w:rPr>
          <w:rFonts w:hint="eastAsia" w:ascii="宋体" w:hAnsi="宋体" w:cs="宋体"/>
          <w:i w:val="0"/>
          <w:iCs w:val="0"/>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1"/>
      <w:bookmarkEnd w:id="542"/>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43" w:name="_Toc4355"/>
      <w:bookmarkStart w:id="544" w:name="_Toc18540"/>
      <w:bookmarkStart w:id="545" w:name="_Toc30599"/>
      <w:r>
        <w:rPr>
          <w:rFonts w:hint="eastAsia" w:ascii="宋体" w:hAnsi="宋体" w:cs="宋体"/>
          <w:b/>
          <w:i w:val="0"/>
          <w:iCs w:val="0"/>
          <w:sz w:val="24"/>
          <w:highlight w:val="none"/>
        </w:rPr>
        <w:t>2.18 计量单位</w:t>
      </w:r>
      <w:bookmarkEnd w:id="538"/>
      <w:bookmarkEnd w:id="539"/>
      <w:bookmarkEnd w:id="540"/>
      <w:bookmarkEnd w:id="543"/>
      <w:bookmarkEnd w:id="544"/>
      <w:bookmarkEnd w:id="545"/>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除技术规范中另有规定外,合同的计量单位均使用国家法定计量单位。</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46" w:name="_Toc10330"/>
      <w:bookmarkStart w:id="547" w:name="_Toc259093692"/>
      <w:bookmarkStart w:id="548" w:name="_Toc487900373"/>
      <w:bookmarkStart w:id="549" w:name="_Toc279701263"/>
      <w:bookmarkStart w:id="550" w:name="_Toc12773"/>
      <w:bookmarkStart w:id="551" w:name="_Toc18567"/>
      <w:r>
        <w:rPr>
          <w:rFonts w:hint="eastAsia" w:ascii="宋体" w:hAnsi="宋体" w:cs="宋体"/>
          <w:b/>
          <w:i w:val="0"/>
          <w:iCs w:val="0"/>
          <w:sz w:val="24"/>
          <w:highlight w:val="none"/>
        </w:rPr>
        <w:t>2.19 合同使用的文字和适用的法律</w:t>
      </w:r>
      <w:bookmarkEnd w:id="546"/>
      <w:bookmarkEnd w:id="547"/>
      <w:bookmarkEnd w:id="548"/>
      <w:bookmarkEnd w:id="549"/>
      <w:bookmarkEnd w:id="550"/>
      <w:bookmarkEnd w:id="551"/>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2.19.1 合同使用汉语书就、变更和解释；</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2.19.2 合同适用中华人民共和国法律。</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52" w:name="_Toc19890"/>
      <w:bookmarkStart w:id="553" w:name="_Toc6885"/>
      <w:bookmarkStart w:id="554" w:name="_Toc14001"/>
      <w:r>
        <w:rPr>
          <w:rFonts w:hint="eastAsia" w:ascii="宋体" w:hAnsi="宋体" w:cs="宋体"/>
          <w:b/>
          <w:i w:val="0"/>
          <w:iCs w:val="0"/>
          <w:sz w:val="24"/>
          <w:highlight w:val="none"/>
        </w:rPr>
        <w:t>2.20 合同份数</w:t>
      </w:r>
      <w:bookmarkEnd w:id="552"/>
      <w:bookmarkEnd w:id="553"/>
      <w:bookmarkEnd w:id="554"/>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合同份数按</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规定，每份均具有同等法律效力。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2513" w:firstLineChars="1197"/>
        <w:textAlignment w:val="auto"/>
        <w:outlineLvl w:val="9"/>
        <w:rPr>
          <w:rFonts w:ascii="宋体" w:hAnsi="宋体" w:cs="宋体"/>
          <w:b/>
          <w:highlight w:val="none"/>
        </w:rPr>
      </w:pPr>
      <w:r>
        <w:rPr>
          <w:rFonts w:hint="eastAsia" w:ascii="宋体" w:hAnsi="宋体" w:cs="宋体"/>
          <w:i w:val="0"/>
          <w:iCs w:val="0"/>
          <w:kern w:val="0"/>
          <w:highlight w:val="none"/>
        </w:rPr>
        <w:br w:type="page"/>
      </w:r>
      <w:r>
        <w:rPr>
          <w:rFonts w:hint="eastAsia" w:ascii="宋体" w:hAnsi="宋体" w:cs="宋体"/>
          <w:b/>
          <w:sz w:val="32"/>
          <w:szCs w:val="20"/>
          <w:highlight w:val="none"/>
        </w:rPr>
        <w:t xml:space="preserve"> 第三部分  合同专用条款</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right="-420" w:rightChars="-200" w:firstLine="480" w:firstLineChars="200"/>
        <w:textAlignment w:val="auto"/>
        <w:outlineLvl w:val="9"/>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sz w:val="24"/>
                <w:highlight w:val="none"/>
              </w:rPr>
            </w:pPr>
            <w:r>
              <w:rPr>
                <w:rFonts w:hint="eastAsia" w:ascii="宋体" w:hAnsi="宋体" w:eastAsia="宋体" w:cs="宋体"/>
                <w:b/>
                <w:sz w:val="24"/>
                <w:highlight w:val="none"/>
              </w:rPr>
              <w:t>条款号</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sz w:val="24"/>
                <w:highlight w:val="none"/>
              </w:rPr>
            </w:pPr>
            <w:r>
              <w:rPr>
                <w:rFonts w:hint="eastAsia" w:ascii="宋体" w:hAnsi="宋体" w:eastAsia="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1.4.2</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1.5.1</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lang w:val="en-US" w:eastAsia="zh-CN"/>
              </w:rPr>
              <w:t>合同生效且具备实施条件后，七个工作日内支付合同总额的40%作为预付款；（合同签订时</w:t>
            </w:r>
            <w:r>
              <w:rPr>
                <w:rFonts w:hint="eastAsia" w:ascii="宋体" w:hAnsi="宋体" w:cs="宋体"/>
                <w:sz w:val="24"/>
                <w:highlight w:val="none"/>
                <w:lang w:val="en-US" w:eastAsia="zh-CN"/>
              </w:rPr>
              <w:t>乙方</w:t>
            </w:r>
            <w:r>
              <w:rPr>
                <w:rFonts w:hint="eastAsia" w:ascii="宋体" w:hAnsi="宋体" w:eastAsia="宋体" w:cs="宋体"/>
                <w:sz w:val="24"/>
                <w:highlight w:val="none"/>
                <w:lang w:val="en-US" w:eastAsia="zh-CN"/>
              </w:rPr>
              <w:t>主动要求不需要预付款的</w:t>
            </w:r>
            <w:r>
              <w:rPr>
                <w:rFonts w:hint="eastAsia" w:ascii="宋体" w:hAnsi="宋体" w:cs="宋体"/>
                <w:sz w:val="24"/>
                <w:highlight w:val="none"/>
                <w:lang w:val="en-US" w:eastAsia="zh-CN"/>
              </w:rPr>
              <w:t>甲方</w:t>
            </w:r>
            <w:r>
              <w:rPr>
                <w:rFonts w:hint="eastAsia" w:ascii="宋体" w:hAnsi="宋体" w:eastAsia="宋体" w:cs="宋体"/>
                <w:sz w:val="24"/>
                <w:highlight w:val="none"/>
                <w:lang w:val="en-US" w:eastAsia="zh-CN"/>
              </w:rPr>
              <w:t>可以不支付）；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 xml:space="preserve">1.5.2 </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1.5.3</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乙方需提供等额的预付款保函（保单）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1.6.2</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①合同生效且具备实施条件后，七个工作日内支付合同总额的55%作为预付款；（合同签订时</w:t>
            </w:r>
            <w:r>
              <w:rPr>
                <w:rFonts w:hint="eastAsia" w:ascii="宋体" w:hAnsi="宋体" w:cs="宋体"/>
                <w:sz w:val="24"/>
                <w:highlight w:val="none"/>
                <w:lang w:val="en-US" w:eastAsia="zh-CN"/>
              </w:rPr>
              <w:t>乙方</w:t>
            </w:r>
            <w:r>
              <w:rPr>
                <w:rFonts w:hint="eastAsia" w:ascii="宋体" w:hAnsi="宋体" w:eastAsia="宋体" w:cs="宋体"/>
                <w:sz w:val="24"/>
                <w:highlight w:val="none"/>
                <w:lang w:val="en-US" w:eastAsia="zh-CN"/>
              </w:rPr>
              <w:t>主动要求不需要预付款的</w:t>
            </w:r>
            <w:r>
              <w:rPr>
                <w:rFonts w:hint="eastAsia" w:ascii="宋体" w:hAnsi="宋体" w:cs="宋体"/>
                <w:sz w:val="24"/>
                <w:highlight w:val="none"/>
                <w:lang w:val="en-US" w:eastAsia="zh-CN"/>
              </w:rPr>
              <w:t>甲方</w:t>
            </w:r>
            <w:r>
              <w:rPr>
                <w:rFonts w:hint="eastAsia" w:ascii="宋体" w:hAnsi="宋体" w:eastAsia="宋体" w:cs="宋体"/>
                <w:sz w:val="24"/>
                <w:highlight w:val="none"/>
                <w:lang w:val="en-US" w:eastAsia="zh-CN"/>
              </w:rPr>
              <w:t>可以不支付）；</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②货到验收合格后七个工作日内一次性付清余款。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1.7.1</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合同签订之日起   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1.7.2</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1.7.3</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满足甲方要求，现场交货。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rPr>
              <w:t>1.8.</w:t>
            </w:r>
            <w:r>
              <w:rPr>
                <w:rFonts w:hint="eastAsia" w:ascii="宋体" w:hAnsi="宋体" w:cs="宋体"/>
                <w:sz w:val="24"/>
                <w:highlight w:val="none"/>
                <w:lang w:val="en-US" w:eastAsia="zh-CN"/>
              </w:rPr>
              <w:t>3</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rPr>
              <w:t>1.9</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宁波市宁海县。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2.3.2</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2.4.1</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2.4.3</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满足甲方要求</w:t>
            </w: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 xml:space="preserve">2.8 </w:t>
            </w:r>
          </w:p>
        </w:tc>
        <w:tc>
          <w:tcPr>
            <w:tcW w:w="8277" w:type="dxa"/>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责任方承担</w:t>
            </w: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2.12.3</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不可抗力时间发生后7天</w:t>
            </w:r>
            <w:r>
              <w:rPr>
                <w:rFonts w:hint="eastAsia" w:ascii="宋体" w:hAnsi="宋体" w:eastAsia="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2.12.4</w:t>
            </w:r>
          </w:p>
        </w:tc>
        <w:tc>
          <w:tcPr>
            <w:tcW w:w="8277" w:type="dxa"/>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2.16.1</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以甲方约定为准</w:t>
            </w: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2.16.3</w:t>
            </w:r>
          </w:p>
        </w:tc>
        <w:tc>
          <w:tcPr>
            <w:tcW w:w="827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1）验收标准：与产品原始样本技术数据及标书技术文件一致，符合国家有关技术规范和技术标准。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cs="宋体"/>
                <w:sz w:val="24"/>
                <w:highlight w:val="none"/>
                <w:lang w:val="en-US" w:eastAsia="zh-CN"/>
              </w:rPr>
              <w:t>2）安装、验收所产生的一切费用（包括卸货、搬运费等）由乙方负责。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 xml:space="preserve">2.20 </w:t>
            </w:r>
          </w:p>
        </w:tc>
        <w:tc>
          <w:tcPr>
            <w:tcW w:w="8277" w:type="dxa"/>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本合同一式   份，甲方执   份，乙方执   份</w:t>
            </w:r>
            <w:r>
              <w:rPr>
                <w:rFonts w:hint="eastAsia" w:ascii="宋体" w:hAnsi="宋体" w:cs="宋体"/>
                <w:sz w:val="24"/>
                <w:highlight w:val="none"/>
                <w:lang w:eastAsia="zh-CN"/>
              </w:rPr>
              <w:t>，</w:t>
            </w:r>
            <w:r>
              <w:rPr>
                <w:rFonts w:hint="eastAsia" w:ascii="宋体" w:hAnsi="宋体" w:cs="宋体"/>
                <w:sz w:val="24"/>
                <w:highlight w:val="none"/>
                <w:lang w:val="en-US" w:eastAsia="zh-CN"/>
              </w:rPr>
              <w:t>采购办存档一份</w:t>
            </w:r>
            <w:r>
              <w:rPr>
                <w:rFonts w:hint="eastAsia" w:ascii="宋体" w:hAnsi="宋体" w:eastAsia="宋体" w:cs="宋体"/>
                <w:sz w:val="24"/>
                <w:highlight w:val="none"/>
              </w:rPr>
              <w:t>。每份均具有同等法律效力。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49"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双方的责任</w:t>
            </w:r>
          </w:p>
        </w:tc>
        <w:tc>
          <w:tcPr>
            <w:tcW w:w="8277" w:type="dxa"/>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rPr>
            </w:pPr>
            <w:r>
              <w:rPr>
                <w:rFonts w:hint="eastAsia" w:ascii="宋体" w:hAnsi="宋体" w:eastAsia="宋体" w:cs="宋体"/>
                <w:kern w:val="0"/>
                <w:sz w:val="24"/>
                <w:szCs w:val="24"/>
                <w:highlight w:val="none"/>
                <w:lang w:val="en-US" w:eastAsia="zh-CN"/>
              </w:rPr>
              <w:t>在</w:t>
            </w:r>
            <w:r>
              <w:rPr>
                <w:rFonts w:hint="eastAsia" w:ascii="宋体" w:hAnsi="宋体" w:cs="宋体"/>
                <w:kern w:val="0"/>
                <w:sz w:val="24"/>
                <w:szCs w:val="24"/>
                <w:highlight w:val="none"/>
                <w:lang w:val="en-US" w:eastAsia="zh-CN"/>
              </w:rPr>
              <w:t>招标文件</w:t>
            </w:r>
            <w:r>
              <w:rPr>
                <w:rFonts w:hint="eastAsia" w:ascii="宋体" w:hAnsi="宋体" w:eastAsia="宋体" w:cs="宋体"/>
                <w:kern w:val="0"/>
                <w:sz w:val="24"/>
                <w:szCs w:val="24"/>
                <w:highlight w:val="none"/>
                <w:lang w:val="en-US" w:eastAsia="zh-CN"/>
              </w:rPr>
              <w:t>要求的交货时间</w:t>
            </w:r>
            <w:r>
              <w:rPr>
                <w:rFonts w:hint="eastAsia" w:ascii="宋体" w:hAnsi="宋体" w:eastAsia="宋体" w:cs="宋体"/>
                <w:kern w:val="0"/>
                <w:sz w:val="24"/>
                <w:szCs w:val="24"/>
                <w:highlight w:val="none"/>
              </w:rPr>
              <w:t>内，由于</w:t>
            </w:r>
            <w:r>
              <w:rPr>
                <w:rFonts w:hint="eastAsia" w:ascii="宋体" w:hAnsi="宋体" w:eastAsia="宋体" w:cs="宋体"/>
                <w:kern w:val="0"/>
                <w:sz w:val="24"/>
                <w:szCs w:val="24"/>
                <w:highlight w:val="none"/>
                <w:lang w:val="en-US" w:eastAsia="zh-CN"/>
              </w:rPr>
              <w:t>乙方</w:t>
            </w:r>
            <w:r>
              <w:rPr>
                <w:rFonts w:hint="eastAsia" w:ascii="宋体" w:hAnsi="宋体" w:eastAsia="宋体" w:cs="宋体"/>
                <w:kern w:val="0"/>
                <w:sz w:val="24"/>
                <w:szCs w:val="24"/>
                <w:highlight w:val="none"/>
              </w:rPr>
              <w:t>（或其关联公司、委托公司等）的原因，导致</w:t>
            </w:r>
            <w:r>
              <w:rPr>
                <w:rFonts w:hint="eastAsia" w:ascii="宋体" w:hAnsi="宋体" w:eastAsia="宋体" w:cs="宋体"/>
                <w:kern w:val="0"/>
                <w:sz w:val="24"/>
                <w:szCs w:val="24"/>
                <w:highlight w:val="none"/>
                <w:lang w:val="en-US" w:eastAsia="zh-CN"/>
              </w:rPr>
              <w:t>设备未能按时交货</w:t>
            </w:r>
            <w:r>
              <w:rPr>
                <w:rFonts w:hint="eastAsia" w:ascii="宋体" w:hAnsi="宋体" w:eastAsia="宋体" w:cs="宋体"/>
                <w:kern w:val="0"/>
                <w:sz w:val="24"/>
                <w:szCs w:val="24"/>
                <w:highlight w:val="none"/>
              </w:rPr>
              <w:t>的，每超出</w:t>
            </w:r>
            <w:r>
              <w:rPr>
                <w:rFonts w:hint="eastAsia" w:ascii="宋体" w:hAnsi="宋体" w:eastAsia="宋体" w:cs="宋体"/>
                <w:kern w:val="0"/>
                <w:sz w:val="24"/>
                <w:szCs w:val="24"/>
                <w:highlight w:val="none"/>
                <w:lang w:val="en-US" w:eastAsia="zh-CN"/>
              </w:rPr>
              <w:t>要求时间</w:t>
            </w:r>
            <w:r>
              <w:rPr>
                <w:rFonts w:hint="eastAsia" w:ascii="宋体" w:hAnsi="宋体" w:eastAsia="宋体" w:cs="宋体"/>
                <w:kern w:val="0"/>
                <w:sz w:val="24"/>
                <w:szCs w:val="24"/>
                <w:highlight w:val="none"/>
              </w:rPr>
              <w:t>1天，</w:t>
            </w:r>
            <w:r>
              <w:rPr>
                <w:rFonts w:hint="eastAsia" w:ascii="宋体" w:hAnsi="宋体" w:eastAsia="宋体" w:cs="宋体"/>
                <w:kern w:val="0"/>
                <w:sz w:val="24"/>
                <w:szCs w:val="24"/>
                <w:highlight w:val="none"/>
                <w:lang w:val="en-US" w:eastAsia="zh-CN"/>
              </w:rPr>
              <w:t>乙方</w:t>
            </w:r>
            <w:r>
              <w:rPr>
                <w:rFonts w:hint="eastAsia" w:ascii="宋体" w:hAnsi="宋体" w:eastAsia="宋体" w:cs="宋体"/>
                <w:kern w:val="0"/>
                <w:sz w:val="24"/>
                <w:szCs w:val="24"/>
                <w:highlight w:val="none"/>
              </w:rPr>
              <w:t>须向采购人支付合同金额的</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‰作为违约款</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当累计违约款金额达到合同</w:t>
            </w:r>
            <w:r>
              <w:rPr>
                <w:rFonts w:hint="eastAsia" w:ascii="宋体" w:hAnsi="宋体" w:eastAsia="宋体" w:cs="宋体"/>
                <w:kern w:val="0"/>
                <w:sz w:val="24"/>
                <w:szCs w:val="24"/>
                <w:highlight w:val="none"/>
                <w:lang w:val="en-US" w:eastAsia="zh-CN"/>
              </w:rPr>
              <w:t>金额</w:t>
            </w:r>
            <w:r>
              <w:rPr>
                <w:rFonts w:hint="eastAsia" w:ascii="宋体" w:hAnsi="宋体" w:eastAsia="宋体" w:cs="宋体"/>
                <w:kern w:val="0"/>
                <w:sz w:val="24"/>
                <w:szCs w:val="24"/>
                <w:highlight w:val="none"/>
              </w:rPr>
              <w:t>的</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%时，</w:t>
            </w:r>
            <w:r>
              <w:rPr>
                <w:rFonts w:hint="eastAsia" w:ascii="宋体" w:hAnsi="宋体" w:eastAsia="宋体" w:cs="宋体"/>
                <w:kern w:val="0"/>
                <w:sz w:val="24"/>
                <w:szCs w:val="24"/>
                <w:highlight w:val="none"/>
                <w:lang w:val="en-US" w:eastAsia="zh-CN"/>
              </w:rPr>
              <w:t>甲方</w:t>
            </w:r>
            <w:r>
              <w:rPr>
                <w:rFonts w:hint="eastAsia" w:ascii="宋体" w:hAnsi="宋体" w:eastAsia="宋体" w:cs="宋体"/>
                <w:kern w:val="0"/>
                <w:sz w:val="24"/>
                <w:szCs w:val="24"/>
                <w:highlight w:val="none"/>
              </w:rPr>
              <w:t>有权终止全部合同</w:t>
            </w:r>
            <w:r>
              <w:rPr>
                <w:rFonts w:hint="eastAsia" w:ascii="宋体" w:hAnsi="宋体" w:eastAsia="宋体" w:cs="宋体"/>
                <w:kern w:val="0"/>
                <w:sz w:val="24"/>
                <w:szCs w:val="24"/>
                <w:highlight w:val="none"/>
                <w:lang w:val="en-US" w:eastAsia="zh-CN"/>
              </w:rPr>
              <w:t>并没收履约保证金，且乙方</w:t>
            </w:r>
            <w:r>
              <w:rPr>
                <w:rFonts w:hint="eastAsia" w:ascii="宋体" w:hAnsi="宋体" w:eastAsia="宋体" w:cs="宋体"/>
                <w:kern w:val="0"/>
                <w:sz w:val="24"/>
                <w:szCs w:val="24"/>
                <w:highlight w:val="none"/>
              </w:rPr>
              <w:t>必须退还全部货款。</w:t>
            </w:r>
          </w:p>
        </w:tc>
      </w:tr>
    </w:tbl>
    <w:p>
      <w:pPr>
        <w:kinsoku/>
        <w:wordWrap/>
        <w:overflowPunct/>
        <w:topLinePunct w:val="0"/>
        <w:bidi w:val="0"/>
        <w:outlineLvl w:val="9"/>
        <w:rPr>
          <w:highlight w:val="none"/>
        </w:rPr>
      </w:pPr>
    </w:p>
    <w:p>
      <w:pPr>
        <w:rPr>
          <w:rFonts w:hint="eastAsia" w:ascii="宋体" w:hAnsi="宋体" w:cs="宋体"/>
          <w:b/>
          <w:sz w:val="36"/>
          <w:szCs w:val="20"/>
          <w:highlight w:val="none"/>
        </w:rPr>
      </w:pPr>
      <w:bookmarkStart w:id="555" w:name="_Toc22993"/>
      <w:r>
        <w:rPr>
          <w:rFonts w:hint="eastAsia" w:ascii="宋体" w:hAnsi="宋体" w:cs="宋体"/>
          <w:b/>
          <w:sz w:val="36"/>
          <w:szCs w:val="20"/>
          <w:highlight w:val="none"/>
        </w:rPr>
        <w:br w:type="page"/>
      </w:r>
    </w:p>
    <w:p>
      <w:pPr>
        <w:kinsoku/>
        <w:wordWrap/>
        <w:overflowPunct/>
        <w:topLinePunct w:val="0"/>
        <w:bidi w:val="0"/>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第六部分</w:t>
      </w:r>
      <w:bookmarkEnd w:id="403"/>
      <w:r>
        <w:rPr>
          <w:rFonts w:hint="eastAsia" w:ascii="宋体" w:hAnsi="宋体" w:cs="宋体"/>
          <w:b/>
          <w:sz w:val="36"/>
          <w:szCs w:val="20"/>
          <w:highlight w:val="none"/>
        </w:rPr>
        <w:t xml:space="preserve"> </w:t>
      </w:r>
      <w:bookmarkEnd w:id="404"/>
      <w:r>
        <w:rPr>
          <w:rFonts w:hint="eastAsia" w:ascii="宋体" w:hAnsi="宋体" w:cs="宋体"/>
          <w:b/>
          <w:sz w:val="36"/>
          <w:szCs w:val="20"/>
          <w:highlight w:val="none"/>
        </w:rPr>
        <w:t>应提交的有关格式范例</w:t>
      </w:r>
      <w:bookmarkEnd w:id="555"/>
    </w:p>
    <w:p>
      <w:pPr>
        <w:kinsoku/>
        <w:wordWrap/>
        <w:overflowPunct/>
        <w:topLinePunct w:val="0"/>
        <w:bidi w:val="0"/>
        <w:spacing w:line="360" w:lineRule="auto"/>
        <w:jc w:val="center"/>
        <w:outlineLvl w:val="9"/>
        <w:rPr>
          <w:rFonts w:ascii="宋体" w:hAnsi="宋体" w:cs="宋体"/>
          <w:b/>
          <w:kern w:val="0"/>
          <w:sz w:val="36"/>
          <w:szCs w:val="36"/>
          <w:highlight w:val="none"/>
        </w:rPr>
      </w:pP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目录</w:t>
      </w:r>
    </w:p>
    <w:p>
      <w:pPr>
        <w:kinsoku/>
        <w:wordWrap/>
        <w:overflowPunct/>
        <w:topLinePunct w:val="0"/>
        <w:bidi w:val="0"/>
        <w:spacing w:line="360" w:lineRule="auto"/>
        <w:jc w:val="center"/>
        <w:outlineLvl w:val="9"/>
        <w:rPr>
          <w:rFonts w:ascii="宋体" w:hAnsi="宋体" w:cs="宋体"/>
          <w:b/>
          <w:kern w:val="0"/>
          <w:sz w:val="36"/>
          <w:szCs w:val="36"/>
          <w:highlight w:val="none"/>
        </w:rPr>
      </w:pP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p>
    <w:p>
      <w:pPr>
        <w:kinsoku/>
        <w:wordWrap/>
        <w:overflowPunct/>
        <w:topLinePunct w:val="0"/>
        <w:bidi w:val="0"/>
        <w:spacing w:line="360" w:lineRule="auto"/>
        <w:ind w:firstLine="480" w:firstLineChars="200"/>
        <w:outlineLvl w:val="9"/>
        <w:rPr>
          <w:rFonts w:ascii="宋体" w:hAnsi="宋体" w:cs="宋体"/>
          <w:sz w:val="24"/>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一、符合参加政府采购活动应当具备的一般条件的承诺函</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kinsoku/>
        <w:wordWrap/>
        <w:overflowPunct/>
        <w:topLinePunct w:val="0"/>
        <w:bidi w:val="0"/>
        <w:snapToGrid w:val="0"/>
        <w:spacing w:line="360" w:lineRule="auto"/>
        <w:ind w:firstLine="360" w:firstLineChars="150"/>
        <w:outlineLvl w:val="9"/>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4、有依法缴纳税收和社会保障资金的良好记录；</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6、具有法律、行政法规规定的其他条件。</w:t>
      </w:r>
    </w:p>
    <w:p>
      <w:pPr>
        <w:kinsoku/>
        <w:wordWrap/>
        <w:overflowPunct/>
        <w:topLinePunct w:val="0"/>
        <w:bidi w:val="0"/>
        <w:snapToGrid w:val="0"/>
        <w:spacing w:line="360" w:lineRule="auto"/>
        <w:ind w:firstLine="480" w:firstLineChars="200"/>
        <w:outlineLvl w:val="9"/>
        <w:rPr>
          <w:rFonts w:hint="eastAsia" w:ascii="宋体" w:hAnsi="宋体" w:eastAsia="宋体" w:cs="宋体"/>
          <w:sz w:val="24"/>
          <w:highlight w:val="none"/>
          <w:lang w:eastAsia="zh-CN"/>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（二）未被信用中国（www.creditchina.gov.cn)、中国政府采购网（www.ccgp.gov.cn）列入失信被执行人、重大税收违法案件当事人名单、政府采购严重违法失信行为记录名单。未在中国裁判文书网有行贿犯罪相关记录</w:t>
      </w:r>
      <w:r>
        <w:rPr>
          <w:rFonts w:hint="eastAsia" w:ascii="宋体" w:hAnsi="宋体" w:cs="宋体"/>
          <w:sz w:val="24"/>
          <w:highlight w:val="none"/>
          <w:lang w:eastAsia="zh-CN"/>
        </w:rPr>
        <w:t>。</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（三）不存在以下情况：</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outlineLvl w:val="9"/>
        <w:rPr>
          <w:rFonts w:hint="eastAsia"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kinsoku/>
        <w:wordWrap/>
        <w:overflowPunct/>
        <w:topLinePunct w:val="0"/>
        <w:bidi w:val="0"/>
        <w:snapToGrid w:val="0"/>
        <w:spacing w:line="360" w:lineRule="auto"/>
        <w:ind w:firstLine="480" w:firstLineChars="200"/>
        <w:outlineLvl w:val="9"/>
        <w:rPr>
          <w:rFonts w:hint="eastAsia" w:ascii="宋体" w:hAnsi="宋体" w:eastAsia="宋体" w:cs="宋体"/>
          <w:sz w:val="24"/>
          <w:highlight w:val="none"/>
          <w:lang w:eastAsia="zh-CN"/>
        </w:rPr>
      </w:pPr>
    </w:p>
    <w:p>
      <w:pPr>
        <w:kinsoku/>
        <w:wordWrap/>
        <w:overflowPunct/>
        <w:topLinePunct w:val="0"/>
        <w:bidi w:val="0"/>
        <w:snapToGrid w:val="0"/>
        <w:spacing w:line="360" w:lineRule="auto"/>
        <w:ind w:firstLine="5520" w:firstLineChars="2300"/>
        <w:outlineLvl w:val="9"/>
        <w:rPr>
          <w:rFonts w:hint="eastAsia" w:ascii="宋体" w:hAnsi="宋体" w:cs="宋体"/>
          <w:kern w:val="0"/>
          <w:sz w:val="24"/>
          <w:highlight w:val="none"/>
          <w:lang w:val="zh-CN"/>
        </w:rPr>
      </w:pPr>
    </w:p>
    <w:p>
      <w:pPr>
        <w:kinsoku/>
        <w:wordWrap/>
        <w:overflowPunct/>
        <w:topLinePunct w:val="0"/>
        <w:bidi w:val="0"/>
        <w:snapToGrid w:val="0"/>
        <w:spacing w:line="360" w:lineRule="auto"/>
        <w:ind w:firstLine="5520" w:firstLineChars="2300"/>
        <w:outlineLvl w:val="9"/>
        <w:rPr>
          <w:rFonts w:ascii="宋体" w:hAnsi="宋体" w:cs="宋体"/>
          <w:kern w:val="0"/>
          <w:sz w:val="24"/>
          <w:highlight w:val="none"/>
        </w:rPr>
      </w:pPr>
      <w:r>
        <w:rPr>
          <w:rFonts w:hint="eastAsia" w:ascii="宋体" w:hAnsi="宋体" w:cs="宋体"/>
          <w:kern w:val="0"/>
          <w:sz w:val="24"/>
          <w:highlight w:val="none"/>
          <w:lang w:val="zh-CN"/>
        </w:rPr>
        <w:t>供应商名称(电子签名)：</w:t>
      </w:r>
    </w:p>
    <w:p>
      <w:pPr>
        <w:kinsoku/>
        <w:wordWrap/>
        <w:overflowPunct/>
        <w:topLinePunct w:val="0"/>
        <w:bidi w:val="0"/>
        <w:snapToGrid w:val="0"/>
        <w:spacing w:line="360" w:lineRule="auto"/>
        <w:outlineLvl w:val="9"/>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outlineLvl w:val="9"/>
        <w:rPr>
          <w:rFonts w:ascii="宋体" w:hAnsi="宋体" w:cs="宋体"/>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kinsoku/>
        <w:wordWrap/>
        <w:overflowPunct/>
        <w:topLinePunct w:val="0"/>
        <w:bidi w:val="0"/>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w:t>
      </w:r>
      <w:r>
        <w:rPr>
          <w:rFonts w:hint="eastAsia" w:ascii="宋体" w:hAnsi="宋体" w:cs="宋体"/>
          <w:b/>
          <w:sz w:val="24"/>
          <w:highlight w:val="none"/>
          <w:lang w:eastAsia="zh-CN"/>
        </w:rPr>
        <w:t>供应商</w:t>
      </w:r>
      <w:r>
        <w:rPr>
          <w:rFonts w:hint="eastAsia" w:ascii="宋体" w:hAnsi="宋体" w:cs="宋体"/>
          <w:b/>
          <w:sz w:val="24"/>
          <w:highlight w:val="none"/>
        </w:rPr>
        <w:t>不以联合体形式投标的，则不需要提供]</w:t>
      </w: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outlineLvl w:val="9"/>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.专门面向中小企业，货物全部由符合政策要求的中小企业（或小微企业）制造的，提供相应的中小企业声明函（附件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kinsoku/>
        <w:wordWrap/>
        <w:overflowPunct/>
        <w:topLinePunct w:val="0"/>
        <w:bidi w:val="0"/>
        <w:spacing w:line="360" w:lineRule="auto"/>
        <w:ind w:firstLine="480"/>
        <w:jc w:val="left"/>
        <w:outlineLvl w:val="9"/>
        <w:rPr>
          <w:rFonts w:ascii="宋体" w:hAnsi="宋体" w:cs="宋体"/>
          <w:sz w:val="24"/>
          <w:highlight w:val="none"/>
        </w:rPr>
      </w:pPr>
    </w:p>
    <w:p>
      <w:pPr>
        <w:widowControl/>
        <w:kinsoku/>
        <w:wordWrap/>
        <w:overflowPunct/>
        <w:topLinePunct w:val="0"/>
        <w:bidi w:val="0"/>
        <w:spacing w:line="360" w:lineRule="auto"/>
        <w:ind w:firstLine="472" w:firstLineChars="196"/>
        <w:jc w:val="left"/>
        <w:outlineLvl w:val="9"/>
        <w:rPr>
          <w:rFonts w:ascii="宋体" w:hAnsi="宋体" w:cs="宋体"/>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w:t>
      </w:r>
      <w:r>
        <w:rPr>
          <w:rFonts w:ascii="宋体" w:hAnsi="宋体" w:cs="宋体"/>
          <w:sz w:val="24"/>
          <w:highlight w:val="none"/>
        </w:rPr>
        <w:t>5</w:t>
      </w:r>
      <w:r>
        <w:rPr>
          <w:rFonts w:hint="eastAsia" w:ascii="宋体" w:hAnsi="宋体" w:cs="宋体"/>
          <w:sz w:val="24"/>
          <w:highlight w:val="none"/>
        </w:rPr>
        <w:t>）和中小企业声明函（附件</w:t>
      </w:r>
      <w:r>
        <w:rPr>
          <w:rFonts w:ascii="宋体" w:hAnsi="宋体" w:cs="宋体"/>
          <w:sz w:val="24"/>
          <w:highlight w:val="none"/>
        </w:rPr>
        <w:t>7</w:t>
      </w:r>
      <w:r>
        <w:rPr>
          <w:rFonts w:hint="eastAsia" w:ascii="宋体" w:hAnsi="宋体" w:cs="宋体"/>
          <w:sz w:val="24"/>
          <w:highlight w:val="none"/>
        </w:rPr>
        <w:t>），联合协议中中小企业合同金额应当达到招标公告载明的比例；如果供应商本身提供所有标的均由中小企业制造的，</w:t>
      </w:r>
      <w:r>
        <w:rPr>
          <w:rFonts w:hint="eastAsia" w:ascii="宋体" w:hAnsi="宋体" w:cs="宋体"/>
          <w:spacing w:val="8"/>
          <w:kern w:val="0"/>
          <w:sz w:val="24"/>
          <w:highlight w:val="none"/>
        </w:rPr>
        <w:t>并相应达到了前述比例要求，</w:t>
      </w:r>
      <w:r>
        <w:rPr>
          <w:rFonts w:hint="eastAsia" w:ascii="宋体" w:hAnsi="宋体" w:cs="宋体"/>
          <w:sz w:val="24"/>
          <w:highlight w:val="none"/>
        </w:rPr>
        <w:t>视同符合了资格条件，无需再与其他中小企业组成联合体参加政府采购活动，无需提供联合协议。</w:t>
      </w:r>
    </w:p>
    <w:p>
      <w:pPr>
        <w:kinsoku/>
        <w:wordWrap/>
        <w:overflowPunct/>
        <w:topLinePunct w:val="0"/>
        <w:bidi w:val="0"/>
        <w:snapToGrid w:val="0"/>
        <w:spacing w:before="50" w:after="50" w:line="360" w:lineRule="auto"/>
        <w:jc w:val="center"/>
        <w:outlineLvl w:val="9"/>
        <w:rPr>
          <w:rFonts w:ascii="宋体" w:hAnsi="宋体" w:cs="宋体"/>
          <w:sz w:val="24"/>
          <w:highlight w:val="none"/>
        </w:rPr>
      </w:pPr>
      <w:r>
        <w:rPr>
          <w:rFonts w:hint="eastAsia" w:ascii="宋体" w:hAnsi="宋体" w:cs="宋体"/>
          <w:b/>
          <w:sz w:val="24"/>
          <w:highlight w:val="none"/>
        </w:rPr>
        <w:t xml:space="preserve">    </w:t>
      </w:r>
    </w:p>
    <w:p>
      <w:pPr>
        <w:kinsoku/>
        <w:wordWrap/>
        <w:overflowPunct/>
        <w:topLinePunct w:val="0"/>
        <w:bidi w:val="0"/>
        <w:spacing w:line="360" w:lineRule="auto"/>
        <w:ind w:firstLine="482" w:firstLineChars="200"/>
        <w:outlineLvl w:val="9"/>
        <w:rPr>
          <w:rFonts w:ascii="宋体" w:hAnsi="宋体" w:cs="宋体"/>
          <w:sz w:val="24"/>
          <w:highlight w:val="none"/>
        </w:rPr>
      </w:pPr>
      <w:r>
        <w:rPr>
          <w:rFonts w:hint="eastAsia" w:ascii="宋体" w:hAnsi="宋体" w:cs="宋体"/>
          <w:b/>
          <w:sz w:val="24"/>
          <w:highlight w:val="none"/>
        </w:rPr>
        <w:t>C、</w:t>
      </w:r>
      <w:r>
        <w:rPr>
          <w:rFonts w:hint="eastAsia" w:ascii="宋体" w:hAnsi="宋体" w:cs="宋体"/>
          <w:sz w:val="24"/>
          <w:highlight w:val="none"/>
        </w:rPr>
        <w:t>要求合同分包的，提供分包意向协议（附件6）和中小企业声明函（附件</w:t>
      </w:r>
      <w:r>
        <w:rPr>
          <w:rFonts w:ascii="宋体" w:hAnsi="宋体" w:cs="宋体"/>
          <w:sz w:val="24"/>
          <w:highlight w:val="none"/>
        </w:rPr>
        <w:t>7</w:t>
      </w:r>
      <w:r>
        <w:rPr>
          <w:rFonts w:hint="eastAsia" w:ascii="宋体" w:hAnsi="宋体" w:cs="宋体"/>
          <w:sz w:val="24"/>
          <w:highlight w:val="none"/>
        </w:rPr>
        <w:t>），分包意向协议中中小企业合同金额应当达到招标公告载明的比例；如果供应商本身提供所有标的均由中小企业制造的，</w:t>
      </w:r>
      <w:r>
        <w:rPr>
          <w:rFonts w:hint="eastAsia" w:ascii="宋体" w:hAnsi="宋体" w:cs="宋体"/>
          <w:spacing w:val="8"/>
          <w:kern w:val="0"/>
          <w:sz w:val="24"/>
          <w:highlight w:val="none"/>
        </w:rPr>
        <w:t>并相应达到了前述比例要求，</w:t>
      </w:r>
      <w:r>
        <w:rPr>
          <w:rFonts w:hint="eastAsia" w:ascii="宋体" w:hAnsi="宋体" w:cs="宋体"/>
          <w:sz w:val="24"/>
          <w:highlight w:val="none"/>
        </w:rPr>
        <w:t>视同符合了资格条件，无需再向中小企业分包，无需提供分包意向协议。</w:t>
      </w:r>
    </w:p>
    <w:p>
      <w:pPr>
        <w:widowControl/>
        <w:kinsoku/>
        <w:wordWrap/>
        <w:overflowPunct/>
        <w:topLinePunct w:val="0"/>
        <w:bidi w:val="0"/>
        <w:spacing w:line="360" w:lineRule="auto"/>
        <w:ind w:left="150"/>
        <w:jc w:val="center"/>
        <w:outlineLvl w:val="9"/>
        <w:rPr>
          <w:rFonts w:ascii="宋体" w:hAnsi="宋体" w:cs="宋体"/>
          <w:b/>
          <w:kern w:val="0"/>
          <w:sz w:val="32"/>
          <w:szCs w:val="32"/>
          <w:highlight w:val="none"/>
        </w:rPr>
      </w:pPr>
    </w:p>
    <w:p>
      <w:pPr>
        <w:widowControl/>
        <w:kinsoku/>
        <w:wordWrap/>
        <w:overflowPunct/>
        <w:topLinePunct w:val="0"/>
        <w:bidi w:val="0"/>
        <w:spacing w:line="360" w:lineRule="auto"/>
        <w:ind w:left="15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kinsoku/>
        <w:wordWrap/>
        <w:overflowPunct/>
        <w:topLinePunct w:val="0"/>
        <w:bidi w:val="0"/>
        <w:spacing w:line="360" w:lineRule="auto"/>
        <w:jc w:val="center"/>
        <w:outlineLvl w:val="9"/>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kinsoku/>
        <w:wordWrap/>
        <w:overflowPunct/>
        <w:topLinePunct w:val="0"/>
        <w:bidi w:val="0"/>
        <w:outlineLvl w:val="9"/>
        <w:rPr>
          <w:rFonts w:ascii="宋体" w:hAnsi="宋体" w:cs="宋体"/>
          <w:highlight w:val="none"/>
        </w:rPr>
      </w:pP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kinsoku/>
        <w:wordWrap/>
        <w:overflowPunct/>
        <w:topLinePunct w:val="0"/>
        <w:bidi w:val="0"/>
        <w:spacing w:line="360" w:lineRule="auto"/>
        <w:jc w:val="center"/>
        <w:outlineLvl w:val="9"/>
        <w:rPr>
          <w:rFonts w:ascii="宋体" w:hAnsi="宋体" w:cs="宋体"/>
          <w:b/>
          <w:kern w:val="0"/>
          <w:sz w:val="28"/>
          <w:szCs w:val="28"/>
          <w:highlight w:val="none"/>
        </w:rPr>
      </w:pPr>
      <w:r>
        <w:rPr>
          <w:rFonts w:hint="eastAsia" w:ascii="宋体" w:hAnsi="宋体" w:cs="宋体"/>
          <w:b/>
          <w:kern w:val="0"/>
          <w:sz w:val="28"/>
          <w:szCs w:val="28"/>
          <w:highlight w:val="none"/>
        </w:rPr>
        <w:t>目录</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kinsoku/>
        <w:wordWrap/>
        <w:overflowPunct/>
        <w:topLinePunct w:val="0"/>
        <w:bidi w:val="0"/>
        <w:snapToGrid w:val="0"/>
        <w:spacing w:line="360" w:lineRule="auto"/>
        <w:ind w:firstLine="480" w:firstLineChars="200"/>
        <w:outlineLvl w:val="9"/>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）商务技术偏离表</w:t>
      </w:r>
      <w:r>
        <w:rPr>
          <w:rFonts w:hint="eastAsia" w:ascii="宋体" w:hAnsi="宋体" w:cs="宋体"/>
          <w:highlight w:val="none"/>
        </w:rPr>
        <w:t>………………………………………………………………………（页码）</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lang w:val="en-US" w:eastAsia="zh-CN"/>
        </w:rPr>
        <w:t>7</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kinsoku/>
        <w:wordWrap/>
        <w:overflowPunct/>
        <w:topLinePunct w:val="0"/>
        <w:bidi w:val="0"/>
        <w:outlineLvl w:val="9"/>
        <w:rPr>
          <w:rFonts w:ascii="宋体" w:hAnsi="宋体" w:cs="宋体"/>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tabs>
          <w:tab w:val="left" w:pos="432"/>
        </w:tabs>
        <w:kinsoku/>
        <w:wordWrap/>
        <w:overflowPunct/>
        <w:topLinePunct w:val="0"/>
        <w:bidi w:val="0"/>
        <w:outlineLvl w:val="9"/>
        <w:rPr>
          <w:highlight w:val="none"/>
          <w:lang w:val="en-US"/>
        </w:rPr>
      </w:pPr>
    </w:p>
    <w:p>
      <w:pPr>
        <w:kinsoku/>
        <w:wordWrap/>
        <w:overflowPunct/>
        <w:topLinePunct w:val="0"/>
        <w:bidi w:val="0"/>
        <w:outlineLvl w:val="9"/>
        <w:rPr>
          <w:highlight w:val="none"/>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highlight w:val="none"/>
        </w:rPr>
      </w:pP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kinsoku/>
        <w:wordWrap/>
        <w:overflowPunct/>
        <w:topLinePunct w:val="0"/>
        <w:bidi w:val="0"/>
        <w:snapToGrid w:val="0"/>
        <w:spacing w:line="360" w:lineRule="auto"/>
        <w:ind w:firstLine="3855" w:firstLineChars="1200"/>
        <w:outlineLvl w:val="9"/>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4.4在合同约定的期限内完成合同规定的全部义务。</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lang w:val="en-US" w:eastAsia="zh-CN"/>
        </w:rPr>
        <w:t>4.5</w:t>
      </w:r>
      <w:r>
        <w:rPr>
          <w:rFonts w:hint="eastAsia" w:cs="宋体" w:asciiTheme="minorEastAsia" w:hAnsiTheme="minorEastAsia" w:eastAsiaTheme="minorEastAsia"/>
          <w:sz w:val="24"/>
          <w:highlight w:val="none"/>
          <w:lang w:val="en-US" w:eastAsia="zh-CN"/>
        </w:rPr>
        <w:t>按照招标文件的规定，在中标后向采购代理机构一次性支付招标代理服务费。</w:t>
      </w:r>
      <w:r>
        <w:rPr>
          <w:rFonts w:hint="eastAsia" w:ascii="宋体" w:hAnsi="宋体" w:cs="宋体"/>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outlineLvl w:val="9"/>
        <w:rPr>
          <w:rFonts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 xml:space="preserve">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outlineLvl w:val="9"/>
        <w:rPr>
          <w:rFonts w:ascii="宋体" w:hAnsi="宋体" w:cs="宋体"/>
          <w:sz w:val="24"/>
          <w:highlight w:val="none"/>
        </w:rPr>
      </w:pPr>
      <w:r>
        <w:rPr>
          <w:rFonts w:hint="eastAsia" w:ascii="宋体" w:hAnsi="宋体" w:cs="宋体"/>
          <w:sz w:val="24"/>
          <w:highlight w:val="none"/>
        </w:rPr>
        <w:t xml:space="preserve">     日期：  年   月   日</w:t>
      </w:r>
    </w:p>
    <w:p>
      <w:pPr>
        <w:widowControl/>
        <w:kinsoku/>
        <w:wordWrap/>
        <w:overflowPunct/>
        <w:topLinePunct w:val="0"/>
        <w:bidi w:val="0"/>
        <w:adjustRightInd/>
        <w:jc w:val="left"/>
        <w:outlineLvl w:val="9"/>
        <w:rPr>
          <w:rFonts w:ascii="宋体" w:hAnsi="宋体" w:cs="宋体"/>
          <w:b/>
          <w:kern w:val="0"/>
          <w:sz w:val="32"/>
          <w:szCs w:val="32"/>
          <w:highlight w:val="none"/>
        </w:rPr>
      </w:pPr>
      <w:r>
        <w:rPr>
          <w:rFonts w:hint="eastAsia" w:ascii="宋体" w:hAnsi="宋体" w:cs="宋体"/>
          <w:sz w:val="24"/>
          <w:highlight w:val="none"/>
        </w:rPr>
        <w:t>注：按本格式和要求提供。</w:t>
      </w:r>
      <w:r>
        <w:rPr>
          <w:rFonts w:ascii="宋体" w:hAnsi="宋体" w:cs="宋体"/>
          <w:b/>
          <w:kern w:val="0"/>
          <w:sz w:val="32"/>
          <w:szCs w:val="32"/>
          <w:highlight w:val="none"/>
        </w:rPr>
        <w:br w:type="page"/>
      </w:r>
    </w:p>
    <w:p>
      <w:pPr>
        <w:kinsoku/>
        <w:wordWrap/>
        <w:overflowPunct/>
        <w:topLinePunct w:val="0"/>
        <w:bidi w:val="0"/>
        <w:jc w:val="center"/>
        <w:outlineLvl w:val="9"/>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 xml:space="preserve">                                </w:t>
      </w:r>
    </w:p>
    <w:p>
      <w:pPr>
        <w:kinsoku/>
        <w:wordWrap/>
        <w:overflowPunct/>
        <w:topLinePunct w:val="0"/>
        <w:bidi w:val="0"/>
        <w:snapToGrid w:val="0"/>
        <w:spacing w:line="360" w:lineRule="auto"/>
        <w:ind w:firstLine="2872" w:firstLineChars="894"/>
        <w:outlineLvl w:val="9"/>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kinsoku/>
        <w:wordWrap/>
        <w:overflowPunct/>
        <w:topLinePunct w:val="0"/>
        <w:bidi w:val="0"/>
        <w:snapToGrid w:val="0"/>
        <w:spacing w:line="360" w:lineRule="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sz w:val="24"/>
          <w:highlight w:val="none"/>
        </w:rPr>
      </w:pPr>
    </w:p>
    <w:p>
      <w:pPr>
        <w:kinsoku/>
        <w:wordWrap/>
        <w:overflowPunct/>
        <w:topLinePunct w:val="0"/>
        <w:bidi w:val="0"/>
        <w:snapToGrid w:val="0"/>
        <w:spacing w:line="360" w:lineRule="auto"/>
        <w:outlineLvl w:val="9"/>
        <w:rPr>
          <w:rFonts w:ascii="宋体" w:hAnsi="宋体" w:cs="宋体"/>
          <w:sz w:val="24"/>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outlineLvl w:val="9"/>
        <w:rPr>
          <w:rFonts w:ascii="宋体" w:hAnsi="宋体" w:cs="宋体"/>
          <w:highlight w:val="none"/>
        </w:rPr>
      </w:pPr>
    </w:p>
    <w:p>
      <w:pPr>
        <w:kinsoku/>
        <w:wordWrap/>
        <w:overflowPunct/>
        <w:topLinePunct w:val="0"/>
        <w:bidi w:val="0"/>
        <w:snapToGrid w:val="0"/>
        <w:spacing w:line="360" w:lineRule="auto"/>
        <w:ind w:firstLine="5040" w:firstLineChars="2100"/>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insoku/>
        <w:wordWrap/>
        <w:overflowPunct/>
        <w:topLinePunct w:val="0"/>
        <w:bidi w:val="0"/>
        <w:snapToGrid w:val="0"/>
        <w:spacing w:line="360" w:lineRule="auto"/>
        <w:ind w:firstLine="5040" w:firstLineChars="2100"/>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insoku/>
        <w:wordWrap/>
        <w:overflowPunct/>
        <w:topLinePunct w:val="0"/>
        <w:bidi w:val="0"/>
        <w:snapToGrid w:val="0"/>
        <w:spacing w:line="360" w:lineRule="auto"/>
        <w:ind w:firstLine="5760" w:firstLineChars="2400"/>
        <w:outlineLvl w:val="9"/>
        <w:rPr>
          <w:rFonts w:ascii="宋体" w:hAnsi="宋体" w:cs="宋体"/>
          <w:highlight w:val="none"/>
        </w:rPr>
      </w:pPr>
      <w:r>
        <w:rPr>
          <w:rFonts w:hint="eastAsia" w:ascii="宋体" w:hAnsi="宋体" w:cs="宋体"/>
          <w:kern w:val="0"/>
          <w:sz w:val="24"/>
          <w:highlight w:val="none"/>
          <w:lang w:val="zh-CN"/>
        </w:rPr>
        <w:t>……</w:t>
      </w:r>
    </w:p>
    <w:p>
      <w:pPr>
        <w:kinsoku/>
        <w:wordWrap/>
        <w:overflowPunct/>
        <w:topLinePunct w:val="0"/>
        <w:bidi w:val="0"/>
        <w:snapToGrid w:val="0"/>
        <w:spacing w:line="360" w:lineRule="auto"/>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kinsoku/>
        <w:wordWrap/>
        <w:overflowPunct/>
        <w:topLinePunct w:val="0"/>
        <w:autoSpaceDE w:val="0"/>
        <w:autoSpaceDN w:val="0"/>
        <w:bidi w:val="0"/>
        <w:spacing w:line="360" w:lineRule="auto"/>
        <w:jc w:val="center"/>
        <w:outlineLvl w:val="9"/>
        <w:rPr>
          <w:rFonts w:hint="eastAsia" w:ascii="宋体" w:hAnsi="宋体" w:cs="宋体"/>
          <w:b/>
          <w:kern w:val="0"/>
          <w:sz w:val="32"/>
          <w:szCs w:val="32"/>
          <w:highlight w:val="none"/>
          <w:lang w:val="zh-CN"/>
        </w:rPr>
      </w:pPr>
    </w:p>
    <w:p>
      <w:pPr>
        <w:kinsoku/>
        <w:wordWrap/>
        <w:overflowPunct/>
        <w:topLinePunct w:val="0"/>
        <w:autoSpaceDE w:val="0"/>
        <w:autoSpaceDN w:val="0"/>
        <w:bidi w:val="0"/>
        <w:spacing w:line="360" w:lineRule="auto"/>
        <w:jc w:val="center"/>
        <w:outlineLvl w:val="9"/>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w:t>
      </w:r>
      <w:r>
        <w:rPr>
          <w:rFonts w:hint="eastAsia" w:ascii="宋体" w:hAnsi="宋体" w:cs="宋体"/>
          <w:b/>
          <w:sz w:val="30"/>
          <w:szCs w:val="30"/>
          <w:highlight w:val="none"/>
          <w:lang w:eastAsia="zh-CN"/>
        </w:rPr>
        <w:t>供应商</w:t>
      </w:r>
      <w:r>
        <w:rPr>
          <w:rFonts w:hint="eastAsia" w:ascii="宋体" w:hAnsi="宋体" w:cs="宋体"/>
          <w:b/>
          <w:sz w:val="30"/>
          <w:szCs w:val="30"/>
          <w:highlight w:val="none"/>
        </w:rPr>
        <w:t>参加投标）</w:t>
      </w:r>
    </w:p>
    <w:p>
      <w:pPr>
        <w:pStyle w:val="150"/>
        <w:kinsoku/>
        <w:wordWrap/>
        <w:overflowPunct/>
        <w:topLinePunct w:val="0"/>
        <w:bidi w:val="0"/>
        <w:spacing w:line="360" w:lineRule="auto"/>
        <w:outlineLvl w:val="9"/>
        <w:rPr>
          <w:rFonts w:hAnsi="宋体" w:cs="宋体"/>
          <w:bCs/>
          <w:sz w:val="24"/>
          <w:highlight w:val="none"/>
        </w:rPr>
      </w:pPr>
      <w:r>
        <w:rPr>
          <w:rFonts w:hint="eastAsia" w:hAnsi="宋体" w:cs="宋体"/>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highlight w:val="none"/>
              </w:rPr>
            </w:pPr>
            <w:r>
              <w:rPr>
                <w:rFonts w:hint="eastAsia" w:hAnsi="宋体" w:cs="宋体"/>
                <w:bCs/>
                <w:sz w:val="24"/>
                <w:highlight w:val="none"/>
              </w:rPr>
              <w:t>正面：                                 反面：</w:t>
            </w:r>
          </w:p>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highlight w:val="none"/>
              </w:rPr>
            </w:pPr>
          </w:p>
        </w:tc>
      </w:tr>
    </w:tbl>
    <w:p>
      <w:pPr>
        <w:kinsoku/>
        <w:wordWrap/>
        <w:overflowPunct/>
        <w:topLinePunct w:val="0"/>
        <w:bidi w:val="0"/>
        <w:snapToGrid w:val="0"/>
        <w:spacing w:line="360" w:lineRule="auto"/>
        <w:ind w:firstLine="576"/>
        <w:jc w:val="center"/>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kinsoku/>
        <w:wordWrap/>
        <w:overflowPunct/>
        <w:topLinePunct w:val="0"/>
        <w:bidi w:val="0"/>
        <w:snapToGrid w:val="0"/>
        <w:spacing w:line="360" w:lineRule="auto"/>
        <w:ind w:firstLine="576"/>
        <w:jc w:val="center"/>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供应商名称(电子签名)：                              </w:t>
      </w:r>
    </w:p>
    <w:p>
      <w:pPr>
        <w:kinsoku/>
        <w:wordWrap/>
        <w:overflowPunct/>
        <w:topLinePunct w:val="0"/>
        <w:bidi w:val="0"/>
        <w:spacing w:line="360" w:lineRule="auto"/>
        <w:jc w:val="center"/>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outlineLvl w:val="9"/>
        <w:rPr>
          <w:rFonts w:ascii="宋体" w:hAnsi="宋体" w:cs="宋体"/>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kinsoku/>
        <w:wordWrap/>
        <w:overflowPunct/>
        <w:topLinePunct w:val="0"/>
        <w:bidi w:val="0"/>
        <w:spacing w:line="360" w:lineRule="auto"/>
        <w:ind w:firstLine="120" w:firstLineChars="50"/>
        <w:jc w:val="left"/>
        <w:outlineLvl w:val="9"/>
        <w:rPr>
          <w:rFonts w:ascii="宋体" w:hAnsi="宋体" w:cs="宋体"/>
          <w:sz w:val="24"/>
          <w:highlight w:val="none"/>
        </w:rPr>
      </w:pPr>
      <w:bookmarkStart w:id="556" w:name="_Hlk101169080"/>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w:t>
      </w:r>
      <w:r>
        <w:rPr>
          <w:rFonts w:hint="eastAsia" w:ascii="宋体" w:hAnsi="宋体" w:cs="宋体"/>
          <w:b/>
          <w:sz w:val="24"/>
          <w:highlight w:val="none"/>
          <w:lang w:eastAsia="zh-CN"/>
        </w:rPr>
        <w:t>供应商</w:t>
      </w:r>
      <w:r>
        <w:rPr>
          <w:rFonts w:hint="eastAsia" w:ascii="宋体" w:hAnsi="宋体" w:cs="宋体"/>
          <w:b/>
          <w:sz w:val="24"/>
          <w:highlight w:val="none"/>
        </w:rPr>
        <w:t>中标后不以分包方式履行合同的，则不需要提供。</w:t>
      </w:r>
      <w:r>
        <w:rPr>
          <w:rFonts w:hint="eastAsia" w:ascii="宋体" w:hAnsi="宋体" w:cs="宋体"/>
          <w:sz w:val="24"/>
          <w:highlight w:val="none"/>
        </w:rPr>
        <w:t>]</w:t>
      </w:r>
    </w:p>
    <w:bookmarkEnd w:id="556"/>
    <w:p>
      <w:pPr>
        <w:kinsoku/>
        <w:wordWrap/>
        <w:overflowPunct/>
        <w:topLinePunct w:val="0"/>
        <w:bidi w:val="0"/>
        <w:snapToGrid w:val="0"/>
        <w:spacing w:line="360" w:lineRule="auto"/>
        <w:outlineLvl w:val="9"/>
        <w:rPr>
          <w:rFonts w:ascii="宋体" w:hAnsi="宋体" w:cs="宋体"/>
          <w:kern w:val="0"/>
          <w:sz w:val="24"/>
          <w:highlight w:val="none"/>
        </w:rPr>
      </w:pPr>
    </w:p>
    <w:p>
      <w:pPr>
        <w:kinsoku/>
        <w:wordWrap/>
        <w:overflowPunct/>
        <w:topLinePunct w:val="0"/>
        <w:bidi w:val="0"/>
        <w:jc w:val="center"/>
        <w:outlineLvl w:val="9"/>
        <w:rPr>
          <w:rFonts w:ascii="宋体" w:hAnsi="宋体" w:cs="宋体"/>
          <w:b/>
          <w:kern w:val="0"/>
          <w:sz w:val="32"/>
          <w:szCs w:val="32"/>
          <w:highlight w:val="none"/>
        </w:rPr>
      </w:pPr>
    </w:p>
    <w:p>
      <w:pPr>
        <w:tabs>
          <w:tab w:val="left" w:pos="432"/>
        </w:tabs>
        <w:kinsoku/>
        <w:wordWrap/>
        <w:overflowPunct/>
        <w:topLinePunct w:val="0"/>
        <w:bidi w:val="0"/>
        <w:outlineLvl w:val="9"/>
        <w:rPr>
          <w:highlight w:val="none"/>
          <w:lang w:val="en-US"/>
        </w:rPr>
      </w:pPr>
    </w:p>
    <w:p>
      <w:pPr>
        <w:kinsoku/>
        <w:wordWrap/>
        <w:overflowPunct/>
        <w:topLinePunct w:val="0"/>
        <w:bidi w:val="0"/>
        <w:outlineLvl w:val="9"/>
        <w:rPr>
          <w:highlight w:val="none"/>
        </w:rPr>
      </w:pPr>
    </w:p>
    <w:p>
      <w:pPr>
        <w:tabs>
          <w:tab w:val="left" w:pos="432"/>
        </w:tabs>
        <w:kinsoku/>
        <w:wordWrap/>
        <w:overflowPunct/>
        <w:topLinePunct w:val="0"/>
        <w:bidi w:val="0"/>
        <w:outlineLvl w:val="9"/>
        <w:rPr>
          <w:highlight w:val="none"/>
          <w:lang w:val="en-US"/>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kinsoku/>
        <w:wordWrap/>
        <w:overflowPunct/>
        <w:topLinePunct w:val="0"/>
        <w:bidi w:val="0"/>
        <w:jc w:val="center"/>
        <w:outlineLvl w:val="9"/>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41"/>
        <w:gridCol w:w="31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序号</w:t>
            </w:r>
          </w:p>
        </w:tc>
        <w:tc>
          <w:tcPr>
            <w:tcW w:w="4441"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实质性要求</w:t>
            </w:r>
          </w:p>
        </w:tc>
        <w:tc>
          <w:tcPr>
            <w:tcW w:w="3101"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投标文件中的</w:t>
            </w:r>
          </w:p>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highlight w:val="none"/>
              </w:rPr>
            </w:pPr>
            <w:r>
              <w:rPr>
                <w:rFonts w:hint="eastAsia" w:ascii="宋体" w:hAnsi="宋体" w:cs="宋体"/>
                <w:sz w:val="24"/>
                <w:highlight w:val="none"/>
              </w:rPr>
              <w:t>1</w:t>
            </w:r>
          </w:p>
        </w:tc>
        <w:tc>
          <w:tcPr>
            <w:tcW w:w="444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highlight w:val="none"/>
              </w:rPr>
            </w:pPr>
            <w:r>
              <w:rPr>
                <w:rFonts w:hint="eastAsia" w:ascii="宋体" w:hAnsi="宋体" w:cs="宋体"/>
                <w:sz w:val="24"/>
                <w:highlight w:val="none"/>
              </w:rPr>
              <w:t>投标文件按照招标文件要求签署、盖章。</w:t>
            </w:r>
          </w:p>
        </w:tc>
        <w:tc>
          <w:tcPr>
            <w:tcW w:w="3101"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sz w:val="24"/>
                <w:highlight w:val="none"/>
              </w:rPr>
            </w:pPr>
            <w:r>
              <w:rPr>
                <w:rFonts w:hint="eastAsia" w:ascii="宋体" w:hAnsi="宋体" w:cs="宋体"/>
                <w:sz w:val="24"/>
                <w:highlight w:val="none"/>
              </w:rPr>
              <w:t>见投标文件</w:t>
            </w:r>
          </w:p>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highlight w:val="none"/>
              </w:rPr>
            </w:pPr>
            <w:r>
              <w:rPr>
                <w:rFonts w:hint="eastAsia" w:ascii="宋体" w:hAnsi="宋体" w:cs="宋体"/>
                <w:sz w:val="24"/>
                <w:highlight w:val="none"/>
              </w:rPr>
              <w:t>2</w:t>
            </w:r>
          </w:p>
        </w:tc>
        <w:tc>
          <w:tcPr>
            <w:tcW w:w="444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3101"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highlight w:val="none"/>
              </w:rPr>
            </w:pPr>
            <w:r>
              <w:rPr>
                <w:rFonts w:hint="eastAsia" w:ascii="宋体" w:hAnsi="宋体" w:cs="宋体"/>
                <w:sz w:val="24"/>
                <w:highlight w:val="none"/>
              </w:rPr>
              <w:t>投标函</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highlight w:val="none"/>
              </w:rPr>
            </w:pPr>
            <w:r>
              <w:rPr>
                <w:rFonts w:hint="eastAsia" w:ascii="宋体" w:hAnsi="宋体" w:cs="宋体"/>
                <w:sz w:val="24"/>
                <w:highlight w:val="none"/>
              </w:rPr>
              <w:t>3</w:t>
            </w:r>
          </w:p>
        </w:tc>
        <w:tc>
          <w:tcPr>
            <w:tcW w:w="444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highlight w:val="none"/>
              </w:rPr>
            </w:pPr>
            <w:r>
              <w:rPr>
                <w:rFonts w:hint="eastAsia" w:ascii="宋体" w:hAnsi="宋体" w:cs="宋体"/>
                <w:sz w:val="24"/>
                <w:highlight w:val="none"/>
              </w:rPr>
              <w:t>投标文件满足招标文件的其它实质性要求。</w:t>
            </w:r>
          </w:p>
        </w:tc>
        <w:tc>
          <w:tcPr>
            <w:tcW w:w="3101"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highlight w:val="none"/>
              </w:rPr>
            </w:pPr>
            <w:r>
              <w:rPr>
                <w:rFonts w:hint="eastAsia" w:ascii="宋体" w:hAnsi="宋体" w:cs="宋体"/>
                <w:kern w:val="0"/>
                <w:sz w:val="24"/>
                <w:highlight w:val="none"/>
              </w:rPr>
              <w:t>招标文件其它实质性要求相应的材料（“</w:t>
            </w:r>
            <w:r>
              <w:rPr>
                <w:rFonts w:hint="eastAsia" w:ascii="宋体" w:hAnsi="宋体" w:cs="宋体"/>
                <w:kern w:val="0"/>
                <w:sz w:val="24"/>
                <w:highlight w:val="none"/>
                <w:lang w:eastAsia="zh-CN"/>
              </w:rPr>
              <w:t>★</w:t>
            </w:r>
            <w:r>
              <w:rPr>
                <w:rFonts w:hint="eastAsia" w:ascii="宋体" w:hAnsi="宋体" w:cs="宋体"/>
                <w:kern w:val="0"/>
                <w:sz w:val="24"/>
                <w:highlight w:val="none"/>
              </w:rPr>
              <w:t>” 系指实质性要求条款，招标文件无其它实质性要求的，无需提供）</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kinsoku/>
        <w:wordWrap/>
        <w:overflowPunct/>
        <w:topLinePunct w:val="0"/>
        <w:bidi w:val="0"/>
        <w:spacing w:line="360" w:lineRule="auto"/>
        <w:ind w:right="420"/>
        <w:outlineLvl w:val="9"/>
        <w:rPr>
          <w:rFonts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kinsoku/>
        <w:wordWrap/>
        <w:overflowPunct/>
        <w:topLinePunct w:val="0"/>
        <w:bidi w:val="0"/>
        <w:jc w:val="center"/>
        <w:outlineLvl w:val="9"/>
        <w:rPr>
          <w:rFonts w:ascii="宋体" w:hAnsi="宋体" w:cs="宋体"/>
          <w:highlight w:val="none"/>
        </w:rPr>
      </w:pPr>
      <w:r>
        <w:rPr>
          <w:rFonts w:hint="eastAsia" w:ascii="宋体" w:hAnsi="宋体" w:cs="宋体"/>
          <w:b/>
          <w:kern w:val="0"/>
          <w:sz w:val="32"/>
          <w:szCs w:val="32"/>
          <w:highlight w:val="none"/>
        </w:rPr>
        <w:t>五、评标标准相应的商务技术资料</w:t>
      </w:r>
    </w:p>
    <w:p>
      <w:pPr>
        <w:kinsoku/>
        <w:wordWrap/>
        <w:overflowPunct/>
        <w:topLinePunct w:val="0"/>
        <w:bidi w:val="0"/>
        <w:snapToGrid w:val="0"/>
        <w:spacing w:line="360" w:lineRule="auto"/>
        <w:jc w:val="left"/>
        <w:outlineLvl w:val="9"/>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序号</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highlight w:val="none"/>
              </w:rPr>
            </w:pPr>
            <w:r>
              <w:rPr>
                <w:rFonts w:hint="eastAsia" w:ascii="宋体" w:hAnsi="宋体" w:cs="宋体"/>
                <w:kern w:val="0"/>
                <w:sz w:val="24"/>
                <w:highlight w:val="none"/>
              </w:rPr>
              <w:t>1</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highlight w:val="none"/>
              </w:rPr>
            </w:pPr>
            <w:r>
              <w:rPr>
                <w:rFonts w:hint="eastAsia" w:ascii="宋体" w:hAnsi="宋体" w:cs="宋体"/>
                <w:kern w:val="0"/>
                <w:sz w:val="24"/>
                <w:highlight w:val="none"/>
              </w:rPr>
              <w:t>2</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highlight w:val="none"/>
              </w:rPr>
            </w:pPr>
            <w:r>
              <w:rPr>
                <w:rFonts w:hint="eastAsia" w:ascii="宋体" w:hAnsi="宋体" w:cs="宋体"/>
                <w:kern w:val="0"/>
                <w:sz w:val="24"/>
                <w:highlight w:val="none"/>
              </w:rPr>
              <w:t>……</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r>
    </w:tbl>
    <w:p>
      <w:pPr>
        <w:kinsoku/>
        <w:wordWrap/>
        <w:overflowPunct/>
        <w:topLinePunct w:val="0"/>
        <w:bidi w:val="0"/>
        <w:jc w:val="left"/>
        <w:outlineLvl w:val="9"/>
        <w:rPr>
          <w:rFonts w:ascii="宋体" w:hAnsi="宋体" w:cs="宋体"/>
          <w:kern w:val="0"/>
          <w:sz w:val="24"/>
          <w:highlight w:val="none"/>
        </w:rPr>
      </w:pPr>
      <w:r>
        <w:rPr>
          <w:rFonts w:hint="eastAsia" w:ascii="宋体" w:hAnsi="宋体" w:cs="宋体"/>
          <w:kern w:val="0"/>
          <w:sz w:val="24"/>
          <w:highlight w:val="none"/>
          <w:lang w:eastAsia="zh-CN"/>
        </w:rPr>
        <w:t>供应商</w:t>
      </w:r>
      <w:r>
        <w:rPr>
          <w:rFonts w:hint="eastAsia" w:ascii="宋体" w:hAnsi="宋体" w:cs="宋体"/>
          <w:kern w:val="0"/>
          <w:sz w:val="24"/>
          <w:highlight w:val="none"/>
        </w:rPr>
        <w:t>保证：除商务技术偏离表列出的偏离外，</w:t>
      </w:r>
      <w:r>
        <w:rPr>
          <w:rFonts w:hint="eastAsia" w:ascii="宋体" w:hAnsi="宋体" w:cs="宋体"/>
          <w:kern w:val="0"/>
          <w:sz w:val="24"/>
          <w:highlight w:val="none"/>
          <w:lang w:eastAsia="zh-CN"/>
        </w:rPr>
        <w:t>供应商</w:t>
      </w:r>
      <w:r>
        <w:rPr>
          <w:rFonts w:hint="eastAsia" w:ascii="宋体" w:hAnsi="宋体" w:cs="宋体"/>
          <w:kern w:val="0"/>
          <w:sz w:val="24"/>
          <w:highlight w:val="none"/>
        </w:rPr>
        <w:t>响应招标文件的全部要求</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spacing w:line="360" w:lineRule="auto"/>
        <w:ind w:right="420"/>
        <w:outlineLvl w:val="9"/>
        <w:rPr>
          <w:rFonts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widowControl/>
        <w:kinsoku/>
        <w:wordWrap/>
        <w:overflowPunct/>
        <w:topLinePunct w:val="0"/>
        <w:bidi w:val="0"/>
        <w:adjustRightInd/>
        <w:jc w:val="left"/>
        <w:outlineLvl w:val="9"/>
        <w:rPr>
          <w:rFonts w:ascii="宋体" w:hAnsi="宋体" w:cs="宋体"/>
          <w:b/>
          <w:bCs/>
          <w:sz w:val="32"/>
          <w:szCs w:val="32"/>
          <w:highlight w:val="none"/>
        </w:rPr>
      </w:pPr>
      <w:r>
        <w:rPr>
          <w:rFonts w:ascii="宋体" w:hAnsi="宋体" w:cs="宋体"/>
          <w:b/>
          <w:bCs/>
          <w:sz w:val="32"/>
          <w:szCs w:val="32"/>
          <w:highlight w:val="none"/>
        </w:rPr>
        <w:br w:type="page"/>
      </w:r>
    </w:p>
    <w:p>
      <w:pPr>
        <w:kinsoku/>
        <w:wordWrap/>
        <w:overflowPunct/>
        <w:topLinePunct w:val="0"/>
        <w:bidi w:val="0"/>
        <w:ind w:firstLine="1911" w:firstLineChars="595"/>
        <w:outlineLvl w:val="9"/>
        <w:rPr>
          <w:rFonts w:ascii="宋体" w:hAnsi="宋体" w:cs="宋体"/>
          <w:b/>
          <w:kern w:val="0"/>
          <w:sz w:val="32"/>
          <w:szCs w:val="32"/>
          <w:highlight w:val="none"/>
        </w:rPr>
      </w:pPr>
      <w:r>
        <w:rPr>
          <w:rFonts w:hint="eastAsia" w:ascii="宋体" w:hAnsi="宋体" w:cs="宋体"/>
          <w:b/>
          <w:bCs/>
          <w:sz w:val="32"/>
          <w:szCs w:val="32"/>
          <w:highlight w:val="none"/>
          <w:lang w:eastAsia="zh-CN"/>
        </w:rPr>
        <w:t>七</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kinsoku/>
        <w:wordWrap/>
        <w:overflowPunct/>
        <w:topLinePunct w:val="0"/>
        <w:bidi w:val="0"/>
        <w:snapToGrid w:val="0"/>
        <w:spacing w:line="360" w:lineRule="auto"/>
        <w:outlineLvl w:val="9"/>
        <w:rPr>
          <w:rFonts w:ascii="宋体" w:hAnsi="宋体" w:cs="宋体"/>
          <w:sz w:val="24"/>
          <w:highlight w:val="none"/>
        </w:rPr>
      </w:pP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好处；</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kinsoku/>
        <w:wordWrap/>
        <w:overflowPunct/>
        <w:topLinePunct w:val="0"/>
        <w:autoSpaceDE w:val="0"/>
        <w:autoSpaceDN w:val="0"/>
        <w:bidi w:val="0"/>
        <w:spacing w:line="360" w:lineRule="auto"/>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kinsoku/>
        <w:wordWrap/>
        <w:overflowPunct/>
        <w:topLinePunct w:val="0"/>
        <w:autoSpaceDE w:val="0"/>
        <w:autoSpaceDN w:val="0"/>
        <w:bidi w:val="0"/>
        <w:spacing w:line="360" w:lineRule="auto"/>
        <w:ind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outlineLvl w:val="9"/>
        <w:rPr>
          <w:rFonts w:ascii="宋体" w:hAnsi="宋体" w:cs="宋体"/>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highlight w:val="none"/>
          <w:lang w:val="zh-CN"/>
        </w:rPr>
      </w:pPr>
    </w:p>
    <w:p>
      <w:pPr>
        <w:kinsoku/>
        <w:wordWrap/>
        <w:overflowPunct/>
        <w:topLinePunct w:val="0"/>
        <w:autoSpaceDE w:val="0"/>
        <w:autoSpaceDN w:val="0"/>
        <w:bidi w:val="0"/>
        <w:spacing w:line="360" w:lineRule="auto"/>
        <w:ind w:left="2" w:leftChars="1" w:right="1120" w:firstLine="4560" w:firstLineChars="19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供应商名称（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kinsoku/>
        <w:wordWrap/>
        <w:overflowPunct/>
        <w:topLinePunct w:val="0"/>
        <w:bidi w:val="0"/>
        <w:spacing w:line="360" w:lineRule="auto"/>
        <w:ind w:left="4620" w:leftChars="2200"/>
        <w:outlineLvl w:val="9"/>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kinsoku/>
        <w:wordWrap/>
        <w:overflowPunct/>
        <w:topLinePunct w:val="0"/>
        <w:bidi w:val="0"/>
        <w:spacing w:line="360" w:lineRule="auto"/>
        <w:jc w:val="center"/>
        <w:outlineLvl w:val="9"/>
        <w:rPr>
          <w:rFonts w:ascii="宋体" w:hAnsi="宋体" w:cs="宋体"/>
          <w:b/>
          <w:bCs/>
          <w:sz w:val="24"/>
          <w:highlight w:val="none"/>
        </w:rPr>
      </w:pPr>
    </w:p>
    <w:p>
      <w:pPr>
        <w:kinsoku/>
        <w:wordWrap/>
        <w:overflowPunct/>
        <w:topLinePunct w:val="0"/>
        <w:bidi w:val="0"/>
        <w:spacing w:line="360" w:lineRule="auto"/>
        <w:ind w:right="420"/>
        <w:outlineLvl w:val="9"/>
        <w:rPr>
          <w:rFonts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spacing w:line="360" w:lineRule="auto"/>
        <w:jc w:val="center"/>
        <w:outlineLvl w:val="9"/>
        <w:rPr>
          <w:rFonts w:ascii="宋体" w:hAnsi="宋体"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目录</w:t>
      </w:r>
    </w:p>
    <w:p>
      <w:pPr>
        <w:kinsoku/>
        <w:wordWrap/>
        <w:overflowPunct/>
        <w:topLinePunct w:val="0"/>
        <w:bidi w:val="0"/>
        <w:spacing w:line="360" w:lineRule="auto"/>
        <w:jc w:val="center"/>
        <w:outlineLvl w:val="9"/>
        <w:rPr>
          <w:rFonts w:ascii="宋体" w:hAnsi="宋体" w:cs="宋体"/>
          <w:b/>
          <w:kern w:val="0"/>
          <w:sz w:val="36"/>
          <w:szCs w:val="36"/>
          <w:highlight w:val="none"/>
        </w:rPr>
      </w:pP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（1）开标一览表（报价表）………………………………………………………（页码）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（2）中小企业声明函………………………………………………………………（页码）</w:t>
      </w: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pStyle w:val="691"/>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691"/>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pPr>
      <w:bookmarkStart w:id="557" w:name="_Toc18859"/>
      <w:bookmarkStart w:id="558" w:name="_Toc26425"/>
      <w:r>
        <w:rPr>
          <w:rFonts w:hint="eastAsia" w:ascii="宋体" w:hAnsi="宋体" w:eastAsia="宋体" w:cs="宋体"/>
          <w:kern w:val="2"/>
          <w:sz w:val="32"/>
          <w:szCs w:val="32"/>
          <w:highlight w:val="none"/>
        </w:rPr>
        <w:t>一、开标一览表（报价表）</w:t>
      </w:r>
      <w:bookmarkEnd w:id="557"/>
      <w:bookmarkEnd w:id="558"/>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482"/>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kinsoku/>
        <w:wordWrap/>
        <w:overflowPunct/>
        <w:topLinePunct w:val="0"/>
        <w:bidi w:val="0"/>
        <w:spacing w:line="360" w:lineRule="auto"/>
        <w:jc w:val="center"/>
        <w:outlineLvl w:val="9"/>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2251"/>
        <w:gridCol w:w="1860"/>
        <w:gridCol w:w="2127"/>
        <w:gridCol w:w="2282"/>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序号</w:t>
            </w:r>
          </w:p>
        </w:tc>
        <w:tc>
          <w:tcPr>
            <w:tcW w:w="141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名称</w:t>
            </w:r>
          </w:p>
        </w:tc>
        <w:tc>
          <w:tcPr>
            <w:tcW w:w="1843" w:type="dxa"/>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lang w:val="en-US" w:eastAsia="zh-CN"/>
              </w:rPr>
              <w:t>产地</w:t>
            </w:r>
            <w:r>
              <w:rPr>
                <w:rFonts w:hint="eastAsia" w:ascii="宋体" w:hAnsi="宋体" w:cs="宋体"/>
                <w:b/>
                <w:sz w:val="24"/>
                <w:highlight w:val="none"/>
              </w:rPr>
              <w:t>品牌</w:t>
            </w:r>
          </w:p>
        </w:tc>
        <w:tc>
          <w:tcPr>
            <w:tcW w:w="225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规格型号</w:t>
            </w:r>
          </w:p>
        </w:tc>
        <w:tc>
          <w:tcPr>
            <w:tcW w:w="186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数量</w:t>
            </w: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eastAsia="宋体" w:cs="宋体"/>
                <w:b/>
                <w:sz w:val="24"/>
                <w:highlight w:val="none"/>
                <w:lang w:val="en-US" w:eastAsia="zh-CN"/>
              </w:rPr>
            </w:pPr>
            <w:r>
              <w:rPr>
                <w:rFonts w:hint="eastAsia" w:ascii="宋体" w:hAnsi="宋体" w:cs="宋体"/>
                <w:b/>
                <w:sz w:val="24"/>
                <w:highlight w:val="none"/>
              </w:rPr>
              <w:t>单价</w:t>
            </w:r>
            <w:r>
              <w:rPr>
                <w:rFonts w:hint="eastAsia" w:ascii="宋体" w:hAnsi="宋体" w:cs="宋体"/>
                <w:b/>
                <w:sz w:val="24"/>
                <w:highlight w:val="none"/>
                <w:lang w:eastAsia="zh-CN"/>
              </w:rPr>
              <w:t>（</w:t>
            </w:r>
            <w:r>
              <w:rPr>
                <w:rFonts w:hint="eastAsia" w:ascii="宋体" w:hAnsi="宋体" w:cs="宋体"/>
                <w:b/>
                <w:sz w:val="24"/>
                <w:highlight w:val="none"/>
                <w:lang w:val="en-US" w:eastAsia="zh-CN"/>
              </w:rPr>
              <w:t>元）</w:t>
            </w: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cs="宋体"/>
                <w:b/>
                <w:sz w:val="24"/>
                <w:highlight w:val="none"/>
                <w:lang w:val="en-US" w:eastAsia="zh-CN"/>
              </w:rPr>
            </w:pPr>
            <w:r>
              <w:rPr>
                <w:rFonts w:hint="eastAsia" w:ascii="宋体" w:hAnsi="宋体" w:cs="宋体"/>
                <w:b/>
                <w:sz w:val="24"/>
                <w:highlight w:val="none"/>
                <w:lang w:val="en-US" w:eastAsia="zh-CN"/>
              </w:rPr>
              <w:t>交货时间</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eastAsia="宋体" w:cs="宋体"/>
                <w:b/>
                <w:sz w:val="24"/>
                <w:highlight w:val="none"/>
                <w:lang w:eastAsia="zh-CN"/>
              </w:rPr>
            </w:pPr>
            <w:r>
              <w:rPr>
                <w:rFonts w:hint="eastAsia" w:ascii="宋体" w:hAnsi="宋体" w:cs="宋体"/>
                <w:b/>
                <w:sz w:val="24"/>
                <w:highlight w:val="none"/>
                <w:lang w:val="en-US" w:eastAsia="zh-CN"/>
              </w:rPr>
              <w:t>（合同履约期限）</w:t>
            </w: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备注（如果有）</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lang w:val="en-US"/>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045"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lang w:val="en-US"/>
              </w:rPr>
            </w:pPr>
            <w:r>
              <w:rPr>
                <w:rFonts w:hint="eastAsia" w:ascii="宋体" w:hAnsi="宋体" w:cs="宋体"/>
                <w:b/>
                <w:sz w:val="24"/>
                <w:highlight w:val="none"/>
              </w:rPr>
              <w:t>投标</w:t>
            </w:r>
            <w:r>
              <w:rPr>
                <w:rFonts w:hint="eastAsia" w:ascii="宋体" w:hAnsi="宋体" w:cs="宋体"/>
                <w:b/>
                <w:sz w:val="24"/>
                <w:highlight w:val="none"/>
                <w:lang w:val="en-US" w:eastAsia="zh-CN"/>
              </w:rPr>
              <w:t>总价</w:t>
            </w:r>
            <w:r>
              <w:rPr>
                <w:rFonts w:hint="eastAsia" w:ascii="宋体" w:hAnsi="宋体" w:cs="宋体"/>
                <w:b/>
                <w:sz w:val="24"/>
                <w:highlight w:val="none"/>
                <w:lang w:eastAsia="zh-CN"/>
              </w:rPr>
              <w:t>（</w:t>
            </w:r>
            <w:r>
              <w:rPr>
                <w:rFonts w:hint="eastAsia" w:ascii="宋体" w:hAnsi="宋体" w:cs="宋体"/>
                <w:b/>
                <w:sz w:val="24"/>
                <w:highlight w:val="none"/>
                <w:lang w:val="en-US" w:eastAsia="zh-CN"/>
              </w:rPr>
              <w:t>元</w:t>
            </w:r>
            <w:r>
              <w:rPr>
                <w:rFonts w:hint="eastAsia" w:ascii="宋体" w:hAnsi="宋体" w:cs="宋体"/>
                <w:b/>
                <w:sz w:val="24"/>
                <w:highlight w:val="none"/>
                <w:lang w:eastAsia="zh-CN"/>
              </w:rPr>
              <w:t>）</w:t>
            </w:r>
          </w:p>
        </w:tc>
        <w:tc>
          <w:tcPr>
            <w:tcW w:w="8522"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eastAsia" w:ascii="宋体" w:hAnsi="宋体" w:cs="宋体"/>
                <w:b/>
                <w:sz w:val="24"/>
                <w:highlight w:val="none"/>
                <w:lang w:val="en-US" w:eastAsia="zh-CN"/>
              </w:rPr>
            </w:pPr>
            <w:r>
              <w:rPr>
                <w:rFonts w:hint="eastAsia" w:ascii="宋体" w:hAnsi="宋体" w:cs="宋体"/>
                <w:b/>
                <w:sz w:val="24"/>
                <w:highlight w:val="none"/>
                <w:lang w:val="en-US" w:eastAsia="zh-CN"/>
              </w:rPr>
              <w:t>大写：</w:t>
            </w:r>
          </w:p>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Times New Roman" w:hAnsi="Times New Roman" w:cs="Times New Roman"/>
                <w:highlight w:val="none"/>
                <w:lang w:val="en-US" w:eastAsia="zh-CN"/>
              </w:rPr>
            </w:pPr>
            <w:r>
              <w:rPr>
                <w:rFonts w:hint="eastAsia" w:ascii="宋体" w:hAnsi="宋体" w:cs="宋体"/>
                <w:b/>
                <w:sz w:val="24"/>
                <w:highlight w:val="none"/>
                <w:lang w:val="en-US" w:eastAsia="zh-CN"/>
              </w:rPr>
              <w:t>小写：</w:t>
            </w:r>
          </w:p>
        </w:tc>
      </w:tr>
    </w:tbl>
    <w:p>
      <w:pPr>
        <w:kinsoku/>
        <w:wordWrap/>
        <w:overflowPunct/>
        <w:topLinePunct w:val="0"/>
        <w:bidi w:val="0"/>
        <w:snapToGrid w:val="0"/>
        <w:spacing w:line="360" w:lineRule="auto"/>
        <w:ind w:left="480"/>
        <w:outlineLvl w:val="9"/>
        <w:rPr>
          <w:rFonts w:hint="eastAsia" w:ascii="宋体" w:hAnsi="宋体" w:cs="宋体"/>
          <w:b/>
          <w:kern w:val="0"/>
          <w:sz w:val="24"/>
          <w:highlight w:val="none"/>
          <w:lang w:val="zh-CN"/>
        </w:rPr>
      </w:pPr>
    </w:p>
    <w:p>
      <w:pPr>
        <w:kinsoku/>
        <w:wordWrap/>
        <w:overflowPunct/>
        <w:topLinePunct w:val="0"/>
        <w:bidi w:val="0"/>
        <w:snapToGrid w:val="0"/>
        <w:spacing w:line="360" w:lineRule="auto"/>
        <w:ind w:left="480"/>
        <w:outlineLvl w:val="9"/>
        <w:rPr>
          <w:rFonts w:hint="eastAsia" w:ascii="宋体" w:hAnsi="宋体" w:cs="宋体"/>
          <w:b/>
          <w:kern w:val="0"/>
          <w:sz w:val="24"/>
          <w:highlight w:val="none"/>
          <w:lang w:val="zh-CN"/>
        </w:rPr>
      </w:pPr>
    </w:p>
    <w:p>
      <w:pPr>
        <w:kinsoku/>
        <w:wordWrap/>
        <w:overflowPunct/>
        <w:topLinePunct w:val="0"/>
        <w:bidi w:val="0"/>
        <w:snapToGrid w:val="0"/>
        <w:spacing w:line="360" w:lineRule="auto"/>
        <w:ind w:left="480"/>
        <w:outlineLvl w:val="9"/>
        <w:rPr>
          <w:rFonts w:hint="eastAsia" w:ascii="宋体" w:hAnsi="宋体" w:cs="宋体"/>
          <w:b/>
          <w:kern w:val="0"/>
          <w:sz w:val="24"/>
          <w:highlight w:val="none"/>
          <w:lang w:val="zh-CN"/>
        </w:rPr>
      </w:pPr>
    </w:p>
    <w:p>
      <w:pPr>
        <w:kinsoku/>
        <w:wordWrap/>
        <w:overflowPunct/>
        <w:topLinePunct w:val="0"/>
        <w:bidi w:val="0"/>
        <w:snapToGrid w:val="0"/>
        <w:spacing w:line="360" w:lineRule="auto"/>
        <w:ind w:left="480"/>
        <w:outlineLvl w:val="9"/>
        <w:rPr>
          <w:rFonts w:ascii="宋体" w:hAnsi="宋体" w:cs="宋体"/>
          <w:b/>
          <w:kern w:val="0"/>
          <w:sz w:val="24"/>
          <w:highlight w:val="none"/>
          <w:lang w:val="zh-CN"/>
        </w:rPr>
      </w:pPr>
      <w:r>
        <w:rPr>
          <w:rFonts w:hint="eastAsia" w:ascii="宋体" w:hAnsi="宋体" w:cs="宋体"/>
          <w:b/>
          <w:kern w:val="0"/>
          <w:sz w:val="24"/>
          <w:highlight w:val="none"/>
          <w:lang w:val="zh-CN"/>
        </w:rPr>
        <w:t>注：</w:t>
      </w:r>
    </w:p>
    <w:p>
      <w:pPr>
        <w:kinsoku/>
        <w:wordWrap/>
        <w:overflowPunct/>
        <w:topLinePunct w:val="0"/>
        <w:bidi w:val="0"/>
        <w:spacing w:line="360" w:lineRule="auto"/>
        <w:ind w:left="-2" w:leftChars="-1" w:firstLine="480" w:firstLineChars="200"/>
        <w:outlineLvl w:val="9"/>
        <w:rPr>
          <w:rFonts w:ascii="宋体" w:hAnsi="宋体" w:cs="宋体"/>
          <w:kern w:val="0"/>
          <w:sz w:val="24"/>
          <w:highlight w:val="none"/>
          <w:lang w:val="zh-CN"/>
        </w:rPr>
      </w:pPr>
      <w:r>
        <w:rPr>
          <w:rFonts w:hint="eastAsia" w:ascii="宋体" w:hAnsi="宋体" w:cs="宋体"/>
          <w:kern w:val="0"/>
          <w:sz w:val="24"/>
          <w:highlight w:val="none"/>
          <w:lang w:val="zh-CN"/>
        </w:rPr>
        <w:t>1、供应商需按本表格式填写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采购人将以合同形式有偿取得货物或服务，不接受供应商给予的赠品、回扣或者与采购无关的其他商品、服务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；采购内容未包含在《开标一览表（报价表）》名称栏中，供应商不能作出合理解释的，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3、特别提示：采购代理机构将对项目名称和项目编号，中标供应商名称、地址和中标金额，主要中标标的名称、品牌（如果有）、规格型号、数量、单价等予以公示。</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691"/>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pPr>
    </w:p>
    <w:p>
      <w:pPr>
        <w:pStyle w:val="691"/>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691"/>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sz w:val="32"/>
          <w:szCs w:val="32"/>
          <w:highlight w:val="none"/>
        </w:rPr>
      </w:pPr>
      <w:bookmarkStart w:id="559" w:name="_Toc25773"/>
      <w:bookmarkStart w:id="560" w:name="_Toc30621"/>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61" w:name="_Hlk101259491"/>
      <w:r>
        <w:rPr>
          <w:rFonts w:hint="eastAsia" w:ascii="宋体" w:hAnsi="宋体" w:eastAsia="宋体" w:cs="宋体"/>
          <w:color w:val="auto"/>
          <w:sz w:val="32"/>
          <w:szCs w:val="32"/>
          <w:highlight w:val="none"/>
        </w:rPr>
        <w:t>（如果有）</w:t>
      </w:r>
      <w:bookmarkEnd w:id="559"/>
      <w:bookmarkEnd w:id="560"/>
      <w:bookmarkEnd w:id="561"/>
    </w:p>
    <w:p>
      <w:pPr>
        <w:widowControl/>
        <w:kinsoku/>
        <w:wordWrap/>
        <w:overflowPunct/>
        <w:topLinePunct w:val="0"/>
        <w:bidi w:val="0"/>
        <w:spacing w:line="360" w:lineRule="auto"/>
        <w:ind w:firstLine="120" w:firstLineChars="50"/>
        <w:jc w:val="left"/>
        <w:outlineLvl w:val="9"/>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1"/>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b w:val="0"/>
          <w:color w:val="FF0000"/>
          <w:sz w:val="32"/>
          <w:szCs w:val="32"/>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eepNext w:val="0"/>
        <w:keepLines w:val="0"/>
        <w:pageBreakBefore/>
        <w:widowControl/>
        <w:tabs>
          <w:tab w:val="left" w:pos="432"/>
        </w:tabs>
        <w:kinsoku/>
        <w:wordWrap/>
        <w:overflowPunct/>
        <w:topLinePunct w:val="0"/>
        <w:bidi w:val="0"/>
        <w:spacing w:before="100" w:beforeAutospacing="1" w:after="100" w:afterAutospacing="1" w:line="360" w:lineRule="auto"/>
        <w:jc w:val="center"/>
        <w:outlineLvl w:val="9"/>
        <w:rPr>
          <w:rFonts w:ascii="宋体" w:hAnsi="宋体" w:cs="宋体"/>
          <w:b/>
          <w:bCs/>
          <w:highlight w:val="none"/>
        </w:rPr>
      </w:pPr>
      <w:bookmarkStart w:id="562" w:name="_Toc465665161"/>
      <w:r>
        <w:rPr>
          <w:rFonts w:hint="eastAsia" w:ascii="宋体" w:hAnsi="宋体" w:cs="宋体"/>
          <w:b/>
          <w:bCs/>
          <w:highlight w:val="none"/>
        </w:rPr>
        <w:t>附件</w:t>
      </w:r>
      <w:bookmarkEnd w:id="562"/>
    </w:p>
    <w:p>
      <w:pPr>
        <w:kinsoku/>
        <w:wordWrap/>
        <w:overflowPunct/>
        <w:topLinePunct w:val="0"/>
        <w:bidi w:val="0"/>
        <w:spacing w:line="360" w:lineRule="auto"/>
        <w:outlineLvl w:val="9"/>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kinsoku/>
        <w:wordWrap/>
        <w:overflowPunct/>
        <w:topLinePunct w:val="0"/>
        <w:bidi w:val="0"/>
        <w:spacing w:line="360" w:lineRule="auto"/>
        <w:jc w:val="center"/>
        <w:outlineLvl w:val="9"/>
        <w:rPr>
          <w:rFonts w:ascii="宋体" w:hAnsi="宋体" w:cs="宋体"/>
          <w:b/>
          <w:spacing w:val="6"/>
          <w:sz w:val="32"/>
          <w:szCs w:val="32"/>
          <w:highlight w:val="none"/>
        </w:rPr>
      </w:pPr>
      <w:bookmarkStart w:id="563" w:name="OLE_LINK13"/>
      <w:bookmarkStart w:id="564" w:name="OLE_LINK14"/>
      <w:r>
        <w:rPr>
          <w:rFonts w:hint="eastAsia" w:ascii="宋体" w:hAnsi="宋体" w:cs="宋体"/>
          <w:b/>
          <w:spacing w:val="6"/>
          <w:sz w:val="32"/>
          <w:szCs w:val="32"/>
          <w:highlight w:val="none"/>
        </w:rPr>
        <w:t>残疾人福利性单位声明函</w:t>
      </w:r>
    </w:p>
    <w:bookmarkEnd w:id="563"/>
    <w:bookmarkEnd w:id="564"/>
    <w:p>
      <w:pPr>
        <w:kinsoku/>
        <w:wordWrap/>
        <w:overflowPunct/>
        <w:topLinePunct w:val="0"/>
        <w:bidi w:val="0"/>
        <w:spacing w:line="360" w:lineRule="auto"/>
        <w:outlineLvl w:val="9"/>
        <w:rPr>
          <w:rFonts w:ascii="宋体" w:hAnsi="宋体" w:cs="宋体"/>
          <w:b/>
          <w:spacing w:val="6"/>
          <w:sz w:val="30"/>
          <w:szCs w:val="30"/>
          <w:highlight w:val="none"/>
        </w:rPr>
      </w:pPr>
    </w:p>
    <w:p>
      <w:pPr>
        <w:kinsoku/>
        <w:wordWrap/>
        <w:overflowPunct/>
        <w:topLinePunct w:val="0"/>
        <w:bidi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w:t>
      </w:r>
      <w:r>
        <w:rPr>
          <w:rFonts w:hint="eastAsia" w:ascii="宋体" w:hAnsi="宋体" w:cs="宋体"/>
          <w:color w:val="auto"/>
          <w:sz w:val="24"/>
          <w:highlight w:val="none"/>
        </w:rPr>
        <w:t>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w:t>
      </w:r>
      <w:r>
        <w:rPr>
          <w:rFonts w:hint="eastAsia" w:ascii="宋体" w:hAnsi="宋体" w:cs="宋体"/>
          <w:sz w:val="24"/>
          <w:highlight w:val="none"/>
        </w:rPr>
        <w:t>造的货物（不包括使用非残疾人福利性单位注册商标的货物）。</w:t>
      </w:r>
    </w:p>
    <w:p>
      <w:pPr>
        <w:kinsoku/>
        <w:wordWrap/>
        <w:overflowPunct/>
        <w:topLinePunct w:val="0"/>
        <w:bidi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kinsoku/>
        <w:wordWrap/>
        <w:overflowPunct/>
        <w:topLinePunct w:val="0"/>
        <w:bidi w:val="0"/>
        <w:spacing w:line="360" w:lineRule="auto"/>
        <w:ind w:firstLine="480" w:firstLineChars="200"/>
        <w:outlineLvl w:val="9"/>
        <w:rPr>
          <w:rFonts w:ascii="宋体" w:hAnsi="宋体" w:cs="宋体"/>
          <w:sz w:val="24"/>
          <w:highlight w:val="none"/>
        </w:rPr>
      </w:pPr>
    </w:p>
    <w:p>
      <w:pPr>
        <w:kinsoku/>
        <w:wordWrap/>
        <w:overflowPunct/>
        <w:topLinePunct w:val="0"/>
        <w:bidi w:val="0"/>
        <w:spacing w:line="360" w:lineRule="auto"/>
        <w:ind w:firstLine="480" w:firstLineChars="200"/>
        <w:outlineLvl w:val="9"/>
        <w:rPr>
          <w:rFonts w:ascii="宋体" w:hAnsi="宋体" w:cs="宋体"/>
          <w:sz w:val="24"/>
          <w:highlight w:val="none"/>
        </w:rPr>
      </w:pP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供应商名称（电子签名）</w:t>
      </w:r>
      <w:r>
        <w:rPr>
          <w:rFonts w:hint="eastAsia" w:ascii="宋体" w:hAnsi="宋体" w:cs="宋体"/>
          <w:sz w:val="24"/>
          <w:highlight w:val="none"/>
        </w:rPr>
        <w:t>：</w:t>
      </w: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highlight w:val="none"/>
        </w:rPr>
      </w:pPr>
      <w:r>
        <w:rPr>
          <w:rFonts w:hint="eastAsia" w:ascii="宋体" w:hAnsi="宋体" w:cs="宋体"/>
          <w:sz w:val="24"/>
          <w:highlight w:val="none"/>
        </w:rPr>
        <w:t xml:space="preserve">       日  期：</w:t>
      </w:r>
    </w:p>
    <w:p>
      <w:pPr>
        <w:kinsoku/>
        <w:wordWrap/>
        <w:overflowPunct/>
        <w:topLinePunct w:val="0"/>
        <w:bidi w:val="0"/>
        <w:spacing w:line="360" w:lineRule="auto"/>
        <w:ind w:firstLine="480" w:firstLineChars="200"/>
        <w:outlineLvl w:val="9"/>
        <w:rPr>
          <w:rFonts w:ascii="宋体" w:hAnsi="宋体" w:cs="宋体"/>
          <w:sz w:val="24"/>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jc w:val="left"/>
        <w:outlineLvl w:val="9"/>
        <w:rPr>
          <w:rFonts w:hint="eastAsia"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kinsoku/>
        <w:wordWrap/>
        <w:overflowPunct/>
        <w:topLinePunct w:val="0"/>
        <w:bidi w:val="0"/>
        <w:spacing w:line="360" w:lineRule="auto"/>
        <w:jc w:val="center"/>
        <w:outlineLvl w:val="9"/>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kinsoku/>
        <w:wordWrap/>
        <w:overflowPunct/>
        <w:topLinePunct w:val="0"/>
        <w:bidi w:val="0"/>
        <w:snapToGrid w:val="0"/>
        <w:spacing w:before="240" w:beforeLines="100" w:line="360" w:lineRule="auto"/>
        <w:outlineLvl w:val="9"/>
        <w:rPr>
          <w:rFonts w:ascii="宋体" w:hAnsi="宋体" w:cs="宋体"/>
          <w:bCs/>
          <w:sz w:val="24"/>
          <w:highlight w:val="none"/>
        </w:rPr>
      </w:pPr>
      <w:r>
        <w:rPr>
          <w:rFonts w:hint="eastAsia" w:ascii="宋体" w:hAnsi="宋体" w:cs="宋体"/>
          <w:bCs/>
          <w:sz w:val="24"/>
          <w:highlight w:val="none"/>
        </w:rPr>
        <w:t>一、质疑供应商基本信息</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bCs/>
          <w:sz w:val="24"/>
          <w:highlight w:val="none"/>
        </w:rPr>
      </w:pPr>
      <w:r>
        <w:rPr>
          <w:rFonts w:hint="eastAsia" w:ascii="宋体" w:hAnsi="宋体" w:cs="宋体"/>
          <w:bCs/>
          <w:sz w:val="24"/>
          <w:highlight w:val="none"/>
        </w:rPr>
        <w:t>二、质疑项目基本情况</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lang w:eastAsia="zh-CN"/>
        </w:rPr>
        <w:t>招标文件</w:t>
      </w:r>
      <w:r>
        <w:rPr>
          <w:rFonts w:hint="eastAsia" w:ascii="宋体" w:hAnsi="宋体" w:cs="宋体"/>
          <w:sz w:val="24"/>
          <w:highlight w:val="none"/>
        </w:rPr>
        <w:t>获取日期：</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bCs/>
          <w:sz w:val="24"/>
          <w:highlight w:val="none"/>
        </w:rPr>
      </w:pPr>
      <w:r>
        <w:rPr>
          <w:rFonts w:hint="eastAsia" w:ascii="宋体" w:hAnsi="宋体" w:cs="宋体"/>
          <w:bCs/>
          <w:sz w:val="24"/>
          <w:highlight w:val="none"/>
        </w:rPr>
        <w:t>三、质疑事项具体内容</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质疑事项2</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w:t>
      </w:r>
    </w:p>
    <w:p>
      <w:pPr>
        <w:kinsoku/>
        <w:wordWrap/>
        <w:overflowPunct/>
        <w:topLinePunct w:val="0"/>
        <w:bidi w:val="0"/>
        <w:snapToGrid w:val="0"/>
        <w:spacing w:line="360" w:lineRule="auto"/>
        <w:outlineLvl w:val="9"/>
        <w:rPr>
          <w:rFonts w:ascii="宋体" w:hAnsi="宋体" w:cs="宋体"/>
          <w:bCs/>
          <w:sz w:val="24"/>
          <w:highlight w:val="none"/>
        </w:rPr>
      </w:pPr>
      <w:r>
        <w:rPr>
          <w:rFonts w:hint="eastAsia" w:ascii="宋体" w:hAnsi="宋体" w:cs="宋体"/>
          <w:bCs/>
          <w:sz w:val="24"/>
          <w:highlight w:val="none"/>
        </w:rPr>
        <w:t>四、与质疑事项相关的质疑请求</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签字(签章)：                   公章：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日期：    </w:t>
      </w:r>
    </w:p>
    <w:p>
      <w:pPr>
        <w:kinsoku/>
        <w:wordWrap/>
        <w:overflowPunct/>
        <w:topLinePunct w:val="0"/>
        <w:bidi w:val="0"/>
        <w:spacing w:line="360" w:lineRule="auto"/>
        <w:jc w:val="center"/>
        <w:outlineLvl w:val="9"/>
        <w:rPr>
          <w:rFonts w:ascii="宋体" w:hAnsi="宋体" w:cs="宋体"/>
          <w:b/>
          <w:bCs/>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r>
        <w:rPr>
          <w:rFonts w:hint="eastAsia" w:ascii="宋体" w:hAnsi="宋体" w:cs="宋体"/>
          <w:b/>
          <w:sz w:val="24"/>
          <w:highlight w:val="none"/>
        </w:rPr>
        <w:t>质疑函制作说明：</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5.质疑函的质疑请求应与质疑事项相关。</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outlineLvl w:val="9"/>
        <w:rPr>
          <w:rFonts w:ascii="宋体" w:hAnsi="宋体" w:cs="宋体"/>
          <w:sz w:val="30"/>
          <w:szCs w:val="30"/>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kinsoku/>
        <w:wordWrap/>
        <w:overflowPunct/>
        <w:topLinePunct w:val="0"/>
        <w:bidi w:val="0"/>
        <w:spacing w:line="360" w:lineRule="auto"/>
        <w:jc w:val="center"/>
        <w:outlineLvl w:val="9"/>
        <w:rPr>
          <w:rFonts w:ascii="宋体" w:hAnsi="宋体" w:cs="宋体"/>
          <w:b/>
          <w:sz w:val="24"/>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一、投诉相关主体基本情况</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kinsoku/>
        <w:wordWrap/>
        <w:overflowPunct/>
        <w:topLinePunct w:val="0"/>
        <w:bidi w:val="0"/>
        <w:spacing w:line="360" w:lineRule="auto"/>
        <w:jc w:val="left"/>
        <w:outlineLvl w:val="9"/>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被投诉人2</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二、投诉项目基本情况</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lang w:eastAsia="zh-CN"/>
        </w:rPr>
        <w:t>招标文件</w:t>
      </w:r>
      <w:r>
        <w:rPr>
          <w:rFonts w:hint="eastAsia" w:ascii="宋体" w:hAnsi="宋体" w:cs="宋体"/>
          <w:sz w:val="24"/>
          <w:highlight w:val="none"/>
        </w:rPr>
        <w:t>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三、质疑基本情况</w:t>
      </w:r>
    </w:p>
    <w:p>
      <w:pPr>
        <w:kinsoku/>
        <w:wordWrap/>
        <w:overflowPunct/>
        <w:topLinePunct w:val="0"/>
        <w:bidi w:val="0"/>
        <w:spacing w:line="360" w:lineRule="auto"/>
        <w:ind w:firstLine="480" w:firstLineChars="200"/>
        <w:outlineLvl w:val="9"/>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kinsoku/>
        <w:wordWrap/>
        <w:overflowPunct/>
        <w:topLinePunct w:val="0"/>
        <w:bidi w:val="0"/>
        <w:spacing w:line="360" w:lineRule="auto"/>
        <w:ind w:firstLine="360" w:firstLineChars="150"/>
        <w:outlineLvl w:val="9"/>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四、投诉事项具体内容</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投诉事项2</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五、与投诉事项相关的投诉请求</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签字(签章)：                   公章：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日期：    </w:t>
      </w: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r>
        <w:rPr>
          <w:rFonts w:hint="eastAsia" w:ascii="宋体" w:hAnsi="宋体" w:cs="宋体"/>
          <w:b/>
          <w:sz w:val="24"/>
          <w:highlight w:val="none"/>
        </w:rPr>
        <w:t>投诉书制作说明：</w:t>
      </w:r>
    </w:p>
    <w:p>
      <w:pPr>
        <w:widowControl/>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outlineLvl w:val="9"/>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6.投诉书的投诉请求应与投诉事项相关。</w:t>
      </w:r>
    </w:p>
    <w:p>
      <w:pPr>
        <w:widowControl/>
        <w:kinsoku/>
        <w:wordWrap/>
        <w:overflowPunct/>
        <w:topLinePunct w:val="0"/>
        <w:bidi w:val="0"/>
        <w:spacing w:line="360" w:lineRule="auto"/>
        <w:ind w:firstLine="480" w:firstLineChars="200"/>
        <w:jc w:val="left"/>
        <w:outlineLvl w:val="9"/>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kinsoku/>
        <w:wordWrap/>
        <w:overflowPunct/>
        <w:topLinePunct w:val="0"/>
        <w:bidi w:val="0"/>
        <w:spacing w:line="360" w:lineRule="auto"/>
        <w:outlineLvl w:val="9"/>
        <w:rPr>
          <w:rFonts w:ascii="宋体" w:hAnsi="宋体" w:cs="宋体"/>
          <w:color w:val="0000FF"/>
          <w:sz w:val="24"/>
          <w:highlight w:val="none"/>
          <w:u w:val="single"/>
        </w:rPr>
      </w:pP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kinsoku/>
        <w:wordWrap/>
        <w:overflowPunct/>
        <w:topLinePunct w:val="0"/>
        <w:bidi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特此说明。</w:t>
      </w:r>
    </w:p>
    <w:p>
      <w:pPr>
        <w:kinsoku/>
        <w:wordWrap/>
        <w:overflowPunct/>
        <w:topLinePunct w:val="0"/>
        <w:bidi w:val="0"/>
        <w:spacing w:line="360" w:lineRule="auto"/>
        <w:ind w:firstLine="494"/>
        <w:outlineLvl w:val="9"/>
        <w:rPr>
          <w:rFonts w:ascii="宋体" w:hAnsi="宋体" w:cs="宋体"/>
          <w:sz w:val="24"/>
          <w:highlight w:val="none"/>
        </w:rPr>
      </w:pPr>
    </w:p>
    <w:p>
      <w:pPr>
        <w:kinsoku/>
        <w:wordWrap/>
        <w:overflowPunct/>
        <w:topLinePunct w:val="0"/>
        <w:bidi w:val="0"/>
        <w:spacing w:line="360" w:lineRule="auto"/>
        <w:ind w:firstLine="494"/>
        <w:outlineLvl w:val="9"/>
        <w:rPr>
          <w:rFonts w:ascii="宋体" w:hAnsi="宋体" w:cs="宋体"/>
          <w:sz w:val="24"/>
          <w:highlight w:val="none"/>
        </w:rPr>
      </w:pPr>
    </w:p>
    <w:p>
      <w:pPr>
        <w:kinsoku/>
        <w:wordWrap/>
        <w:overflowPunct/>
        <w:topLinePunct w:val="0"/>
        <w:bidi w:val="0"/>
        <w:spacing w:line="360" w:lineRule="auto"/>
        <w:ind w:firstLine="494"/>
        <w:outlineLvl w:val="9"/>
        <w:rPr>
          <w:rFonts w:ascii="宋体" w:hAnsi="宋体" w:cs="宋体"/>
          <w:sz w:val="24"/>
          <w:highlight w:val="none"/>
        </w:rPr>
      </w:pPr>
    </w:p>
    <w:p>
      <w:pPr>
        <w:kinsoku/>
        <w:wordWrap/>
        <w:overflowPunct/>
        <w:topLinePunct w:val="0"/>
        <w:bidi w:val="0"/>
        <w:spacing w:line="360" w:lineRule="auto"/>
        <w:ind w:right="480" w:firstLine="4080" w:firstLineChars="1700"/>
        <w:outlineLvl w:val="9"/>
        <w:rPr>
          <w:rFonts w:ascii="宋体" w:hAnsi="宋体" w:cs="宋体"/>
          <w:sz w:val="24"/>
          <w:highlight w:val="none"/>
        </w:rPr>
      </w:pPr>
      <w:r>
        <w:rPr>
          <w:rFonts w:hint="eastAsia" w:ascii="宋体" w:hAnsi="宋体" w:cs="宋体"/>
          <w:sz w:val="24"/>
          <w:highlight w:val="none"/>
        </w:rPr>
        <w:t>投标单位（法定名称章）：</w:t>
      </w:r>
    </w:p>
    <w:p>
      <w:pPr>
        <w:kinsoku/>
        <w:wordWrap/>
        <w:overflowPunct/>
        <w:topLinePunct w:val="0"/>
        <w:bidi w:val="0"/>
        <w:ind w:right="1440" w:firstLine="494"/>
        <w:jc w:val="center"/>
        <w:outlineLvl w:val="9"/>
        <w:rPr>
          <w:rFonts w:ascii="宋体" w:hAnsi="宋体" w:cs="宋体"/>
          <w:sz w:val="24"/>
          <w:highlight w:val="none"/>
        </w:rPr>
      </w:pPr>
      <w:r>
        <w:rPr>
          <w:rFonts w:hint="eastAsia" w:ascii="宋体" w:hAnsi="宋体" w:cs="宋体"/>
          <w:sz w:val="24"/>
          <w:highlight w:val="none"/>
        </w:rPr>
        <w:t xml:space="preserve">                              日期：       年     月     日</w:t>
      </w:r>
    </w:p>
    <w:p>
      <w:pPr>
        <w:kinsoku/>
        <w:wordWrap/>
        <w:overflowPunct/>
        <w:topLinePunct w:val="0"/>
        <w:bidi w:val="0"/>
        <w:outlineLvl w:val="9"/>
        <w:rPr>
          <w:rFonts w:ascii="宋体" w:hAnsi="宋体" w:cs="宋体"/>
          <w:sz w:val="24"/>
          <w:highlight w:val="none"/>
        </w:rPr>
      </w:pPr>
      <w:r>
        <w:rPr>
          <w:rFonts w:hint="eastAsia" w:ascii="宋体" w:hAnsi="宋体" w:cs="宋体"/>
          <w:b/>
          <w:bCs/>
          <w:sz w:val="24"/>
          <w:highlight w:val="none"/>
        </w:rPr>
        <w:t>附：</w:t>
      </w:r>
    </w:p>
    <w:p>
      <w:pPr>
        <w:kinsoku/>
        <w:wordWrap/>
        <w:overflowPunct/>
        <w:topLinePunct w:val="0"/>
        <w:bidi w:val="0"/>
        <w:spacing w:line="360" w:lineRule="auto"/>
        <w:outlineLvl w:val="9"/>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highlight w:val="none"/>
        </w:rPr>
        <w:t>投标单位法定名称章（印模）                投标单位“XX专用章”（印模）</w:t>
      </w: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bidi w:val="0"/>
        <w:snapToGrid w:val="0"/>
        <w:spacing w:line="360" w:lineRule="auto"/>
        <w:jc w:val="center"/>
        <w:outlineLvl w:val="9"/>
        <w:rPr>
          <w:rFonts w:hint="eastAsia" w:ascii="宋体" w:hAnsi="宋体" w:cs="宋体"/>
          <w:b/>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附件</w:t>
      </w:r>
      <w:r>
        <w:rPr>
          <w:rFonts w:ascii="宋体" w:hAnsi="宋体" w:cs="宋体"/>
          <w:b/>
          <w:kern w:val="0"/>
          <w:sz w:val="32"/>
          <w:szCs w:val="32"/>
          <w:highlight w:val="none"/>
        </w:rPr>
        <w:t>5</w:t>
      </w:r>
      <w:r>
        <w:rPr>
          <w:rFonts w:hint="eastAsia" w:ascii="宋体" w:hAnsi="宋体" w:cs="宋体"/>
          <w:b/>
          <w:kern w:val="0"/>
          <w:sz w:val="32"/>
          <w:szCs w:val="32"/>
          <w:highlight w:val="none"/>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outlineLvl w:val="9"/>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w:t>
      </w:r>
      <w:r>
        <w:rPr>
          <w:rFonts w:hint="eastAsia" w:ascii="宋体" w:hAnsi="宋体" w:cs="宋体"/>
          <w:sz w:val="24"/>
          <w:highlight w:val="none"/>
        </w:rPr>
        <w:t>表所有联合体成员负责投标和合同实施阶段的主办、协调工作</w:t>
      </w:r>
      <w:r>
        <w:rPr>
          <w:rFonts w:hint="eastAsia" w:ascii="宋体" w:hAnsi="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bookmarkStart w:id="565" w:name="_Hlk101134295"/>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w:t>
      </w:r>
    </w:p>
    <w:bookmarkEnd w:id="565"/>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（联合体成员</w:t>
      </w:r>
      <w:r>
        <w:rPr>
          <w:rFonts w:ascii="宋体" w:hAnsi="宋体" w:cs="宋体"/>
          <w:kern w:val="0"/>
          <w:sz w:val="24"/>
          <w:highlight w:val="none"/>
          <w:u w:val="single"/>
        </w:rPr>
        <w:t>X,</w:t>
      </w:r>
      <w:r>
        <w:rPr>
          <w:rFonts w:hint="eastAsia" w:ascii="宋体" w:hAnsi="宋体" w:cs="宋体"/>
          <w:kern w:val="0"/>
          <w:sz w:val="24"/>
          <w:highlight w:val="none"/>
          <w:u w:val="single"/>
        </w:rPr>
        <w:t>……）</w:t>
      </w:r>
      <w:r>
        <w:rPr>
          <w:rFonts w:hint="eastAsia" w:ascii="宋体" w:hAnsi="宋体" w:cs="宋体"/>
          <w:kern w:val="0"/>
          <w:sz w:val="24"/>
          <w:highlight w:val="none"/>
        </w:rPr>
        <w:t>提供的全部货物由小微企业制造，其合同份额占到合同总金额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%，其中小微企业合同金额达到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right="960"/>
        <w:jc w:val="center"/>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jc w:val="righ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日期：  年  月   日</w:t>
      </w:r>
    </w:p>
    <w:p>
      <w:pPr>
        <w:kinsoku/>
        <w:wordWrap/>
        <w:overflowPunct/>
        <w:topLinePunct w:val="0"/>
        <w:bidi w:val="0"/>
        <w:snapToGrid w:val="0"/>
        <w:spacing w:line="360" w:lineRule="auto"/>
        <w:jc w:val="both"/>
        <w:outlineLvl w:val="9"/>
        <w:rPr>
          <w:rFonts w:hint="eastAsia"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outlineLvl w:val="9"/>
        <w:rPr>
          <w:rFonts w:hint="eastAsia" w:ascii="宋体" w:hAnsi="宋体" w:cs="宋体"/>
          <w:sz w:val="24"/>
          <w:highlight w:val="none"/>
        </w:rPr>
      </w:pPr>
      <w:r>
        <w:rPr>
          <w:rFonts w:hint="eastAsia" w:ascii="宋体" w:hAnsi="宋体" w:cs="宋体"/>
          <w:sz w:val="24"/>
          <w:highlight w:val="none"/>
        </w:rPr>
        <w:br w:type="page"/>
      </w:r>
    </w:p>
    <w:p>
      <w:pPr>
        <w:pageBreakBefore w:val="0"/>
        <w:kinsoku/>
        <w:wordWrap/>
        <w:overflowPunct/>
        <w:topLinePunct w:val="0"/>
        <w:autoSpaceDE/>
        <w:autoSpaceDN/>
        <w:bidi w:val="0"/>
        <w:snapToGrid w:val="0"/>
        <w:spacing w:line="312" w:lineRule="auto"/>
        <w:jc w:val="center"/>
        <w:textAlignment w:val="auto"/>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12" w:lineRule="auto"/>
        <w:ind w:firstLine="120" w:firstLineChars="5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ageBreakBefore w:val="0"/>
        <w:tabs>
          <w:tab w:val="left" w:pos="432"/>
        </w:tabs>
        <w:kinsoku/>
        <w:wordWrap/>
        <w:overflowPunct/>
        <w:topLinePunct w:val="0"/>
        <w:autoSpaceDE/>
        <w:autoSpaceDN/>
        <w:bidi w:val="0"/>
        <w:spacing w:line="312" w:lineRule="auto"/>
        <w:ind w:left="664" w:leftChars="316" w:firstLine="228" w:firstLineChars="95"/>
        <w:textAlignment w:val="auto"/>
        <w:outlineLvl w:val="9"/>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pageBreakBefore w:val="0"/>
        <w:kinsoku/>
        <w:wordWrap/>
        <w:overflowPunct/>
        <w:topLinePunct w:val="0"/>
        <w:autoSpaceDE/>
        <w:autoSpaceDN/>
        <w:bidi w:val="0"/>
        <w:spacing w:line="312" w:lineRule="auto"/>
        <w:ind w:firstLine="480" w:firstLineChars="200"/>
        <w:textAlignment w:val="auto"/>
        <w:outlineLvl w:val="9"/>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6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66"/>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highlight w:val="none"/>
          <w:u w:val="single"/>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58" w:leftChars="342" w:hanging="5040" w:hanging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pageBreakBefore w:val="0"/>
        <w:kinsoku/>
        <w:wordWrap/>
        <w:overflowPunct/>
        <w:topLinePunct w:val="0"/>
        <w:autoSpaceDE/>
        <w:autoSpaceDN/>
        <w:bidi w:val="0"/>
        <w:snapToGrid w:val="0"/>
        <w:spacing w:line="312" w:lineRule="auto"/>
        <w:jc w:val="righ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pageBreakBefore w:val="0"/>
        <w:kinsoku/>
        <w:wordWrap/>
        <w:overflowPunct/>
        <w:topLinePunct w:val="0"/>
        <w:autoSpaceDE/>
        <w:autoSpaceDN/>
        <w:bidi w:val="0"/>
        <w:snapToGrid w:val="0"/>
        <w:spacing w:line="312" w:lineRule="auto"/>
        <w:ind w:firstLine="5760" w:firstLineChars="2400"/>
        <w:textAlignment w:val="auto"/>
        <w:outlineLvl w:val="9"/>
        <w:rPr>
          <w:rFonts w:ascii="宋体" w:hAns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12" w:lineRule="auto"/>
        <w:jc w:val="center"/>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widowControl/>
        <w:kinsoku/>
        <w:wordWrap/>
        <w:overflowPunct/>
        <w:topLinePunct w:val="0"/>
        <w:bidi w:val="0"/>
        <w:adjustRightInd/>
        <w:jc w:val="left"/>
        <w:outlineLvl w:val="9"/>
        <w:rPr>
          <w:rFonts w:hint="eastAsia" w:ascii="宋体" w:hAnsi="宋体" w:cs="宋体"/>
          <w:color w:val="auto"/>
          <w:sz w:val="24"/>
          <w:highlight w:val="none"/>
        </w:rPr>
      </w:pPr>
      <w:r>
        <w:rPr>
          <w:rFonts w:hint="eastAsia" w:ascii="宋体" w:hAnsi="宋体" w:cs="宋体"/>
          <w:color w:val="auto"/>
          <w:sz w:val="24"/>
          <w:highlight w:val="none"/>
        </w:rPr>
        <w:t>注：按本格式和要求提供。</w:t>
      </w: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附件7：中小企业声明函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ascii="宋体" w:hAnsi="宋体" w:cs="宋体"/>
          <w:b/>
          <w:sz w:val="32"/>
          <w:szCs w:val="32"/>
          <w:highlight w:val="none"/>
        </w:rPr>
      </w:pPr>
      <w:r>
        <w:rPr>
          <w:rFonts w:hint="eastAsia" w:ascii="宋体" w:hAnsi="宋体" w:cs="宋体"/>
          <w:b/>
          <w:sz w:val="32"/>
          <w:szCs w:val="32"/>
          <w:highlight w:val="none"/>
        </w:rPr>
        <w:t>中小企业声明函（货物）</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sz w:val="24"/>
          <w:highlight w:val="none"/>
        </w:rPr>
        <w:t>本公司（联合体）郑重声明，根据《政府采购促进中小企业发展管理办法》（财库﹝2020﹞46 号）的规定，本公司（联合体</w:t>
      </w:r>
      <w:r>
        <w:rPr>
          <w:rFonts w:hint="eastAsia" w:ascii="宋体" w:hAnsi="宋体" w:cs="宋体"/>
          <w:color w:val="auto"/>
          <w:sz w:val="24"/>
          <w:highlight w:val="none"/>
        </w:rPr>
        <w:t xml:space="preserve">）参加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工业</w:t>
      </w:r>
      <w:r>
        <w:rPr>
          <w:rFonts w:hint="eastAsia" w:ascii="宋体" w:hAnsi="宋体" w:cs="宋体"/>
          <w:color w:val="auto"/>
          <w:sz w:val="24"/>
          <w:highlight w:val="none"/>
          <w:u w:val="single"/>
        </w:rPr>
        <w:t>）</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工业</w:t>
      </w:r>
      <w:r>
        <w:rPr>
          <w:rFonts w:hint="eastAsia" w:ascii="宋体" w:hAnsi="宋体" w:cs="宋体"/>
          <w:color w:val="auto"/>
          <w:sz w:val="24"/>
          <w:highlight w:val="none"/>
          <w:u w:val="single"/>
        </w:rPr>
        <w:t>）</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w:t>
      </w:r>
      <w:r>
        <w:rPr>
          <w:rFonts w:hint="eastAsia" w:ascii="宋体" w:hAnsi="宋体" w:cs="宋体"/>
          <w:sz w:val="24"/>
          <w:highlight w:val="none"/>
          <w:u w:val="single"/>
        </w:rPr>
        <w:t>业、小型企业、微型企业）</w:t>
      </w:r>
      <w:r>
        <w:rPr>
          <w:rFonts w:hint="eastAsia" w:ascii="宋体" w:hAnsi="宋体" w:cs="宋体"/>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288" w:lineRule="auto"/>
        <w:ind w:firstLine="5160" w:firstLineChars="2150"/>
        <w:textAlignment w:val="auto"/>
        <w:outlineLvl w:val="9"/>
        <w:rPr>
          <w:rFonts w:ascii="宋体" w:hAnsi="宋体" w:cs="宋体"/>
          <w:kern w:val="0"/>
          <w:sz w:val="24"/>
          <w:highlight w:val="none"/>
        </w:rPr>
      </w:pPr>
      <w:r>
        <w:rPr>
          <w:rFonts w:hint="eastAsia" w:ascii="宋体" w:hAnsi="宋体" w:cs="宋体"/>
          <w:kern w:val="0"/>
          <w:sz w:val="24"/>
          <w:highlight w:val="none"/>
          <w:lang w:val="zh-CN"/>
        </w:rPr>
        <w:t>供应商名称(电子签名)：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sz w:val="24"/>
          <w:highlight w:val="none"/>
        </w:rPr>
      </w:pPr>
      <w:r>
        <w:rPr>
          <w:rFonts w:hint="eastAsia" w:ascii="宋体" w:hAnsi="宋体" w:cs="宋体"/>
          <w:sz w:val="24"/>
          <w:highlight w:val="none"/>
        </w:rPr>
        <w:t>注：</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sz w:val="24"/>
          <w:highlight w:val="none"/>
        </w:rPr>
      </w:pPr>
      <w:r>
        <w:rPr>
          <w:rFonts w:hint="eastAsia" w:ascii="宋体" w:hAnsi="宋体" w:cs="宋体"/>
          <w:sz w:val="24"/>
          <w:highlight w:val="none"/>
        </w:rPr>
        <w:t>1、填写要求：①“标的名称”、“</w:t>
      </w:r>
      <w:r>
        <w:rPr>
          <w:rFonts w:hint="eastAsia" w:ascii="宋体" w:hAnsi="宋体" w:cs="宋体"/>
          <w:sz w:val="24"/>
          <w:highlight w:val="none"/>
          <w:lang w:eastAsia="zh-CN"/>
        </w:rPr>
        <w:t>招标文件</w:t>
      </w:r>
      <w:r>
        <w:rPr>
          <w:rFonts w:hint="eastAsia" w:ascii="宋体" w:hAnsi="宋体" w:cs="宋体"/>
          <w:sz w:val="24"/>
          <w:highlight w:val="none"/>
        </w:rPr>
        <w:t>中明确的所属行业”依据招标文件第二部分</w:t>
      </w:r>
      <w:r>
        <w:rPr>
          <w:rFonts w:hint="eastAsia" w:ascii="宋体" w:hAnsi="宋体" w:cs="宋体"/>
          <w:sz w:val="24"/>
          <w:highlight w:val="none"/>
          <w:lang w:eastAsia="zh-CN"/>
        </w:rPr>
        <w:t>供应商</w:t>
      </w:r>
      <w:r>
        <w:rPr>
          <w:rFonts w:hint="eastAsia" w:ascii="宋体" w:hAnsi="宋体" w:cs="宋体"/>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sz w:val="24"/>
          <w:highlight w:val="none"/>
          <w:lang w:eastAsia="zh-CN"/>
        </w:rPr>
        <w:t>供应商</w:t>
      </w:r>
      <w:r>
        <w:rPr>
          <w:rFonts w:hint="eastAsia" w:ascii="宋体" w:hAnsi="宋体" w:cs="宋体"/>
          <w:sz w:val="24"/>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sz w:val="24"/>
          <w:highlight w:val="none"/>
          <w:lang w:eastAsia="zh-CN"/>
        </w:rPr>
        <w:t>供应商</w:t>
      </w:r>
      <w:r>
        <w:rPr>
          <w:rFonts w:hint="eastAsia" w:ascii="宋体" w:hAnsi="宋体" w:cs="宋体"/>
          <w:sz w:val="24"/>
          <w:highlight w:val="none"/>
        </w:rPr>
        <w:t>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3、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lang w:val="en-US" w:eastAsia="zh-CN"/>
        </w:rPr>
      </w:pP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rPr>
        <w:t>★附件八：</w:t>
      </w:r>
      <w:r>
        <w:rPr>
          <w:rFonts w:hint="eastAsia" w:ascii="宋体" w:hAnsi="宋体" w:eastAsia="宋体" w:cs="宋体"/>
          <w:b/>
          <w:color w:val="auto"/>
          <w:kern w:val="0"/>
          <w:sz w:val="32"/>
          <w:szCs w:val="32"/>
          <w:highlight w:val="none"/>
        </w:rPr>
        <w:t>制造商出具的授权函（如为进口产品必须提供）；</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制造商出具的授权函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val="0"/>
          <w:bCs/>
          <w:sz w:val="32"/>
          <w:szCs w:val="32"/>
          <w:highlight w:val="none"/>
          <w:lang w:val="en-US" w:eastAsia="zh-CN"/>
        </w:rPr>
      </w:pPr>
      <w:r>
        <w:rPr>
          <w:rFonts w:hint="eastAsia" w:ascii="宋体" w:hAnsi="宋体" w:eastAsia="宋体" w:cs="宋体"/>
          <w:b w:val="0"/>
          <w:bCs/>
          <w:sz w:val="32"/>
          <w:szCs w:val="32"/>
          <w:highlight w:val="none"/>
          <w:lang w:val="en-US" w:eastAsia="zh-CN"/>
        </w:rPr>
        <w:t>（供应商为代理商时需提供）</w:t>
      </w:r>
    </w:p>
    <w:p>
      <w:pPr>
        <w:spacing w:after="120" w:afterLines="0" w:line="360" w:lineRule="auto"/>
        <w:ind w:left="420" w:leftChars="200"/>
        <w:rPr>
          <w:rFonts w:hint="eastAsia" w:ascii="宋体" w:hAnsi="宋体" w:eastAsia="宋体" w:cs="宋体"/>
          <w:color w:val="auto"/>
          <w:sz w:val="21"/>
          <w:szCs w:val="21"/>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致：</w:t>
      </w:r>
      <w:r>
        <w:rPr>
          <w:rFonts w:hint="eastAsia" w:ascii="宋体" w:hAnsi="宋体" w:eastAsia="宋体" w:cs="宋体"/>
          <w:color w:val="auto"/>
          <w:sz w:val="24"/>
          <w:szCs w:val="24"/>
          <w:highlight w:val="none"/>
          <w:u w:val="single"/>
          <w:lang w:val="en-US" w:eastAsia="zh-CN" w:bidi="ar-SA"/>
        </w:rPr>
        <w:t>（招标代理公司）</w:t>
      </w:r>
    </w:p>
    <w:p>
      <w:pPr>
        <w:spacing w:after="120" w:afterLines="0" w:line="360" w:lineRule="auto"/>
        <w:ind w:left="420" w:leftChars="200"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我们</w:t>
      </w:r>
      <w:r>
        <w:rPr>
          <w:rFonts w:hint="eastAsia" w:ascii="宋体" w:hAnsi="宋体" w:eastAsia="宋体" w:cs="宋体"/>
          <w:color w:val="auto"/>
          <w:sz w:val="24"/>
          <w:szCs w:val="24"/>
          <w:highlight w:val="none"/>
          <w:u w:val="single"/>
          <w:lang w:val="en-US" w:eastAsia="zh-CN" w:bidi="ar-SA"/>
        </w:rPr>
        <w:t>（制造商名称或者进口机电产品的国内总代理商名称）</w:t>
      </w:r>
      <w:r>
        <w:rPr>
          <w:rFonts w:hint="eastAsia" w:ascii="宋体" w:hAnsi="宋体" w:eastAsia="宋体" w:cs="宋体"/>
          <w:color w:val="auto"/>
          <w:sz w:val="24"/>
          <w:szCs w:val="24"/>
          <w:highlight w:val="none"/>
          <w:lang w:val="en-US" w:eastAsia="zh-CN" w:bidi="ar-SA"/>
        </w:rPr>
        <w:t>是按中华人民共和国法律成立的一家货物制造（或开发）商，主要营业地点设在</w:t>
      </w:r>
      <w:r>
        <w:rPr>
          <w:rFonts w:hint="eastAsia" w:ascii="宋体" w:hAnsi="宋体" w:eastAsia="宋体" w:cs="宋体"/>
          <w:color w:val="auto"/>
          <w:sz w:val="24"/>
          <w:szCs w:val="24"/>
          <w:highlight w:val="none"/>
          <w:u w:val="single"/>
          <w:lang w:val="en-US" w:eastAsia="zh-CN" w:bidi="ar-SA"/>
        </w:rPr>
        <w:t>（制造商地址）</w:t>
      </w:r>
      <w:r>
        <w:rPr>
          <w:rFonts w:hint="eastAsia" w:ascii="宋体" w:hAnsi="宋体" w:eastAsia="宋体" w:cs="宋体"/>
          <w:color w:val="auto"/>
          <w:sz w:val="24"/>
          <w:szCs w:val="24"/>
          <w:highlight w:val="none"/>
          <w:lang w:val="en-US" w:eastAsia="zh-CN" w:bidi="ar-SA"/>
        </w:rPr>
        <w:t>。兹指派按中华人民共和国法律正式成立的，主要营业地点设在</w:t>
      </w:r>
      <w:r>
        <w:rPr>
          <w:rFonts w:hint="eastAsia" w:ascii="宋体" w:hAnsi="宋体" w:eastAsia="宋体" w:cs="宋体"/>
          <w:color w:val="auto"/>
          <w:sz w:val="24"/>
          <w:szCs w:val="24"/>
          <w:highlight w:val="none"/>
          <w:u w:val="single"/>
          <w:lang w:val="en-US" w:eastAsia="zh-CN" w:bidi="ar-SA"/>
        </w:rPr>
        <w:t>（供应商地址）</w:t>
      </w:r>
      <w:r>
        <w:rPr>
          <w:rFonts w:hint="eastAsia" w:ascii="宋体" w:hAnsi="宋体" w:eastAsia="宋体" w:cs="宋体"/>
          <w:color w:val="auto"/>
          <w:sz w:val="24"/>
          <w:szCs w:val="24"/>
          <w:highlight w:val="none"/>
          <w:lang w:val="en-US" w:eastAsia="zh-CN" w:bidi="ar-SA"/>
        </w:rPr>
        <w:t>的</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作为我方真正的和合法的代理人进行下列有效的活动：</w:t>
      </w:r>
    </w:p>
    <w:p>
      <w:pPr>
        <w:numPr>
          <w:ilvl w:val="0"/>
          <w:numId w:val="3"/>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代表我方办理贵方</w:t>
      </w:r>
      <w:r>
        <w:rPr>
          <w:rFonts w:hint="eastAsia" w:ascii="宋体" w:hAnsi="宋体" w:eastAsia="宋体" w:cs="宋体"/>
          <w:color w:val="auto"/>
          <w:sz w:val="24"/>
          <w:szCs w:val="24"/>
          <w:highlight w:val="none"/>
          <w:u w:val="single"/>
          <w:lang w:val="en-US" w:eastAsia="zh-CN" w:bidi="ar-SA"/>
        </w:rPr>
        <w:t>（招标编号）</w:t>
      </w:r>
      <w:r>
        <w:rPr>
          <w:rFonts w:hint="eastAsia" w:ascii="宋体" w:hAnsi="宋体" w:eastAsia="宋体" w:cs="宋体"/>
          <w:color w:val="auto"/>
          <w:sz w:val="24"/>
          <w:szCs w:val="24"/>
          <w:highlight w:val="none"/>
          <w:lang w:val="en-US" w:eastAsia="zh-CN" w:bidi="ar-SA"/>
        </w:rPr>
        <w:t>招标项目的投标邀请要求提供的由我方制造（或开发）的货物的有关事宜，并对我方具有约束力。</w:t>
      </w:r>
    </w:p>
    <w:p>
      <w:pPr>
        <w:numPr>
          <w:ilvl w:val="0"/>
          <w:numId w:val="3"/>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作为制造商，我方保证以投标合作者来约束自己，并对该投标共同和分别承担</w:t>
      </w:r>
      <w:r>
        <w:rPr>
          <w:rFonts w:hint="eastAsia" w:ascii="宋体" w:hAnsi="宋体" w:cs="宋体"/>
          <w:color w:val="auto"/>
          <w:sz w:val="24"/>
          <w:szCs w:val="24"/>
          <w:highlight w:val="none"/>
          <w:lang w:val="en-US" w:eastAsia="zh-CN" w:bidi="ar-SA"/>
        </w:rPr>
        <w:t>招标文件</w:t>
      </w:r>
      <w:r>
        <w:rPr>
          <w:rFonts w:hint="eastAsia" w:ascii="宋体" w:hAnsi="宋体" w:eastAsia="宋体" w:cs="宋体"/>
          <w:color w:val="auto"/>
          <w:sz w:val="24"/>
          <w:szCs w:val="24"/>
          <w:highlight w:val="none"/>
          <w:lang w:val="en-US" w:eastAsia="zh-CN" w:bidi="ar-SA"/>
        </w:rPr>
        <w:t>中所规定的义务。</w:t>
      </w:r>
    </w:p>
    <w:p>
      <w:pPr>
        <w:numPr>
          <w:ilvl w:val="0"/>
          <w:numId w:val="3"/>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我方兹授予</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全权办理和履行上述我方为完成上述各点所必须的事宜，具有替换或撤销的全权。兹确认</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或其正式被授权代表依此合法地办理一切事宜。</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制造商（公章）</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签字人姓名职务（印刷体）              </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签字人签名                            </w:t>
      </w: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说明：本授权书应是由制造商为本招标项目专门出具的正本。若无</w:t>
      </w:r>
      <w:r>
        <w:rPr>
          <w:rFonts w:hint="eastAsia" w:ascii="宋体" w:hAnsi="宋体" w:cs="宋体"/>
          <w:color w:val="auto"/>
          <w:kern w:val="0"/>
          <w:sz w:val="24"/>
          <w:szCs w:val="24"/>
          <w:highlight w:val="none"/>
          <w:lang w:eastAsia="zh-CN"/>
        </w:rPr>
        <w:t>招标文件</w:t>
      </w:r>
      <w:r>
        <w:rPr>
          <w:rFonts w:hint="eastAsia" w:ascii="宋体" w:hAnsi="宋体" w:eastAsia="宋体" w:cs="宋体"/>
          <w:color w:val="auto"/>
          <w:kern w:val="0"/>
          <w:sz w:val="24"/>
          <w:szCs w:val="24"/>
          <w:highlight w:val="none"/>
        </w:rPr>
        <w:t>许可，制造商出具的授权代理经销证书不能代替本授权书。</w:t>
      </w:r>
    </w:p>
    <w:p>
      <w:pPr>
        <w:widowControl/>
        <w:adjustRightInd/>
        <w:snapToGrid w:val="0"/>
        <w:spacing w:line="360" w:lineRule="auto"/>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注：联合体投标的，可只由联合体牵头人签章。</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56FBE"/>
    <w:multiLevelType w:val="singleLevel"/>
    <w:tmpl w:val="D2156FBE"/>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700"/>
        </w:tabs>
        <w:ind w:left="0" w:firstLine="340"/>
      </w:pPr>
      <w:rPr>
        <w:rFonts w:hint="eastAsia"/>
      </w:rPr>
    </w:lvl>
  </w:abstractNum>
  <w:abstractNum w:abstractNumId="2">
    <w:nsid w:val="6A90DB4D"/>
    <w:multiLevelType w:val="singleLevel"/>
    <w:tmpl w:val="6A90DB4D"/>
    <w:lvl w:ilvl="0" w:tentative="0">
      <w:start w:val="4"/>
      <w:numFmt w:val="decimal"/>
      <w:lvlText w:val="%1."/>
      <w:lvlJc w:val="left"/>
      <w:pPr>
        <w:tabs>
          <w:tab w:val="left" w:pos="312"/>
        </w:tabs>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I0OTFhZGFlZDc0OTlhZjI2NTdiOTJhMDU4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4EC"/>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D6D"/>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33B"/>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465"/>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2453C2"/>
    <w:rsid w:val="013E5467"/>
    <w:rsid w:val="019F7441"/>
    <w:rsid w:val="01B37585"/>
    <w:rsid w:val="01D55165"/>
    <w:rsid w:val="01DF6BF8"/>
    <w:rsid w:val="01EC2C57"/>
    <w:rsid w:val="02590923"/>
    <w:rsid w:val="025F0711"/>
    <w:rsid w:val="026B2E25"/>
    <w:rsid w:val="02824D4D"/>
    <w:rsid w:val="02DC4B10"/>
    <w:rsid w:val="02DD76CE"/>
    <w:rsid w:val="02F36323"/>
    <w:rsid w:val="02F5619C"/>
    <w:rsid w:val="0326446A"/>
    <w:rsid w:val="032D5555"/>
    <w:rsid w:val="0350044F"/>
    <w:rsid w:val="036634D2"/>
    <w:rsid w:val="0398103B"/>
    <w:rsid w:val="039D3F92"/>
    <w:rsid w:val="03DD35E4"/>
    <w:rsid w:val="04076900"/>
    <w:rsid w:val="041A5A3B"/>
    <w:rsid w:val="042311BA"/>
    <w:rsid w:val="042B157A"/>
    <w:rsid w:val="043F299D"/>
    <w:rsid w:val="048F763B"/>
    <w:rsid w:val="04956A61"/>
    <w:rsid w:val="049F330E"/>
    <w:rsid w:val="04AA775C"/>
    <w:rsid w:val="04AF1889"/>
    <w:rsid w:val="04F66F48"/>
    <w:rsid w:val="05251E14"/>
    <w:rsid w:val="05A16594"/>
    <w:rsid w:val="05A7762D"/>
    <w:rsid w:val="05BA3E5F"/>
    <w:rsid w:val="060E5941"/>
    <w:rsid w:val="06110FAF"/>
    <w:rsid w:val="06493CA7"/>
    <w:rsid w:val="065A6178"/>
    <w:rsid w:val="06605C46"/>
    <w:rsid w:val="066F1CF3"/>
    <w:rsid w:val="067A7832"/>
    <w:rsid w:val="067E0BC4"/>
    <w:rsid w:val="06930BB8"/>
    <w:rsid w:val="06AF04B5"/>
    <w:rsid w:val="06D96D2F"/>
    <w:rsid w:val="070059CA"/>
    <w:rsid w:val="07245D42"/>
    <w:rsid w:val="07261BF2"/>
    <w:rsid w:val="07264C62"/>
    <w:rsid w:val="07352BC0"/>
    <w:rsid w:val="0779354C"/>
    <w:rsid w:val="077C5361"/>
    <w:rsid w:val="07EA5437"/>
    <w:rsid w:val="08061376"/>
    <w:rsid w:val="081568C9"/>
    <w:rsid w:val="08452D77"/>
    <w:rsid w:val="086401F8"/>
    <w:rsid w:val="08653E27"/>
    <w:rsid w:val="08751CAA"/>
    <w:rsid w:val="0878647D"/>
    <w:rsid w:val="087E4C40"/>
    <w:rsid w:val="08A871D0"/>
    <w:rsid w:val="08D66AD6"/>
    <w:rsid w:val="08DA33A3"/>
    <w:rsid w:val="08E80F13"/>
    <w:rsid w:val="0904379A"/>
    <w:rsid w:val="09335624"/>
    <w:rsid w:val="0944690F"/>
    <w:rsid w:val="09535675"/>
    <w:rsid w:val="095F057D"/>
    <w:rsid w:val="09642282"/>
    <w:rsid w:val="09733572"/>
    <w:rsid w:val="09772C16"/>
    <w:rsid w:val="098353B5"/>
    <w:rsid w:val="098F7F12"/>
    <w:rsid w:val="09A92330"/>
    <w:rsid w:val="09B06B87"/>
    <w:rsid w:val="09C13146"/>
    <w:rsid w:val="09CC26B4"/>
    <w:rsid w:val="09D709B0"/>
    <w:rsid w:val="09E04166"/>
    <w:rsid w:val="0A1C0718"/>
    <w:rsid w:val="0A1E12A6"/>
    <w:rsid w:val="0A3E7710"/>
    <w:rsid w:val="0A481E7F"/>
    <w:rsid w:val="0A5B7E63"/>
    <w:rsid w:val="0A791D33"/>
    <w:rsid w:val="0A83110A"/>
    <w:rsid w:val="0A956499"/>
    <w:rsid w:val="0AA277E2"/>
    <w:rsid w:val="0AA374A5"/>
    <w:rsid w:val="0AA74B5F"/>
    <w:rsid w:val="0AAB7649"/>
    <w:rsid w:val="0AB93EDC"/>
    <w:rsid w:val="0ABC5606"/>
    <w:rsid w:val="0B30404E"/>
    <w:rsid w:val="0B4C6C14"/>
    <w:rsid w:val="0B547599"/>
    <w:rsid w:val="0B631A88"/>
    <w:rsid w:val="0B683D45"/>
    <w:rsid w:val="0B7F3F11"/>
    <w:rsid w:val="0B884417"/>
    <w:rsid w:val="0BAE0AB9"/>
    <w:rsid w:val="0BF6188C"/>
    <w:rsid w:val="0BF73C91"/>
    <w:rsid w:val="0C170175"/>
    <w:rsid w:val="0C571A41"/>
    <w:rsid w:val="0C5C1171"/>
    <w:rsid w:val="0C5E1CBC"/>
    <w:rsid w:val="0C615B50"/>
    <w:rsid w:val="0C8445DA"/>
    <w:rsid w:val="0C87121B"/>
    <w:rsid w:val="0CBC19AB"/>
    <w:rsid w:val="0CC007F7"/>
    <w:rsid w:val="0CC617AC"/>
    <w:rsid w:val="0CE618DF"/>
    <w:rsid w:val="0CFE707A"/>
    <w:rsid w:val="0D063BDA"/>
    <w:rsid w:val="0D08375F"/>
    <w:rsid w:val="0D184CFB"/>
    <w:rsid w:val="0D2F7ACF"/>
    <w:rsid w:val="0D4A7419"/>
    <w:rsid w:val="0D5F5E5E"/>
    <w:rsid w:val="0D67257C"/>
    <w:rsid w:val="0D787B4E"/>
    <w:rsid w:val="0D827401"/>
    <w:rsid w:val="0D84094E"/>
    <w:rsid w:val="0D8A00E9"/>
    <w:rsid w:val="0D8D589E"/>
    <w:rsid w:val="0DA01C73"/>
    <w:rsid w:val="0DD63300"/>
    <w:rsid w:val="0DF50604"/>
    <w:rsid w:val="0DF702FE"/>
    <w:rsid w:val="0E060E51"/>
    <w:rsid w:val="0E1409F6"/>
    <w:rsid w:val="0E5604B2"/>
    <w:rsid w:val="0E6D5D79"/>
    <w:rsid w:val="0E9A03FC"/>
    <w:rsid w:val="0E9D0089"/>
    <w:rsid w:val="0EB803EE"/>
    <w:rsid w:val="0EF94D4B"/>
    <w:rsid w:val="0F4958DC"/>
    <w:rsid w:val="0F515DF7"/>
    <w:rsid w:val="0F596BA8"/>
    <w:rsid w:val="0F6248D2"/>
    <w:rsid w:val="0F693536"/>
    <w:rsid w:val="0F7B0511"/>
    <w:rsid w:val="0F7B76D9"/>
    <w:rsid w:val="0F816ACD"/>
    <w:rsid w:val="0F8B4F2A"/>
    <w:rsid w:val="0F9832DB"/>
    <w:rsid w:val="0FBF3FD2"/>
    <w:rsid w:val="0FBF7FF3"/>
    <w:rsid w:val="104447E9"/>
    <w:rsid w:val="10646583"/>
    <w:rsid w:val="107D4B15"/>
    <w:rsid w:val="108A3C80"/>
    <w:rsid w:val="10C02B10"/>
    <w:rsid w:val="10C26171"/>
    <w:rsid w:val="10F257A5"/>
    <w:rsid w:val="10F33360"/>
    <w:rsid w:val="10FC16EA"/>
    <w:rsid w:val="110F1D40"/>
    <w:rsid w:val="11266F33"/>
    <w:rsid w:val="115B1D80"/>
    <w:rsid w:val="118963A1"/>
    <w:rsid w:val="118A3F16"/>
    <w:rsid w:val="11C6522A"/>
    <w:rsid w:val="11D067E4"/>
    <w:rsid w:val="11E104CC"/>
    <w:rsid w:val="11E20309"/>
    <w:rsid w:val="11E81ABA"/>
    <w:rsid w:val="1201785C"/>
    <w:rsid w:val="12255233"/>
    <w:rsid w:val="12530213"/>
    <w:rsid w:val="127723A9"/>
    <w:rsid w:val="12862074"/>
    <w:rsid w:val="12883966"/>
    <w:rsid w:val="129E45B4"/>
    <w:rsid w:val="12C307F9"/>
    <w:rsid w:val="12D81596"/>
    <w:rsid w:val="13072A44"/>
    <w:rsid w:val="1346119F"/>
    <w:rsid w:val="134E545E"/>
    <w:rsid w:val="135F4BE2"/>
    <w:rsid w:val="13815EDF"/>
    <w:rsid w:val="139B1A0A"/>
    <w:rsid w:val="139D25C7"/>
    <w:rsid w:val="13BF3CE4"/>
    <w:rsid w:val="13CA16CE"/>
    <w:rsid w:val="141008D8"/>
    <w:rsid w:val="14125FE6"/>
    <w:rsid w:val="146D271E"/>
    <w:rsid w:val="147B31CB"/>
    <w:rsid w:val="14982588"/>
    <w:rsid w:val="149A5AD9"/>
    <w:rsid w:val="14A7619D"/>
    <w:rsid w:val="14ED5D0A"/>
    <w:rsid w:val="150536C3"/>
    <w:rsid w:val="150C1963"/>
    <w:rsid w:val="151447A0"/>
    <w:rsid w:val="154A6454"/>
    <w:rsid w:val="15651DEA"/>
    <w:rsid w:val="15762120"/>
    <w:rsid w:val="157E577E"/>
    <w:rsid w:val="15D157AE"/>
    <w:rsid w:val="164442E3"/>
    <w:rsid w:val="16837C5E"/>
    <w:rsid w:val="16A8729C"/>
    <w:rsid w:val="16B33777"/>
    <w:rsid w:val="16BC70A7"/>
    <w:rsid w:val="16C6339E"/>
    <w:rsid w:val="16E34270"/>
    <w:rsid w:val="172F2D79"/>
    <w:rsid w:val="17557BEF"/>
    <w:rsid w:val="1770333C"/>
    <w:rsid w:val="1787048B"/>
    <w:rsid w:val="17D349C1"/>
    <w:rsid w:val="18244F26"/>
    <w:rsid w:val="1830729E"/>
    <w:rsid w:val="1870062C"/>
    <w:rsid w:val="18817102"/>
    <w:rsid w:val="18830A15"/>
    <w:rsid w:val="18852B28"/>
    <w:rsid w:val="188B5321"/>
    <w:rsid w:val="18D36267"/>
    <w:rsid w:val="190C75C5"/>
    <w:rsid w:val="191A0E8B"/>
    <w:rsid w:val="19932372"/>
    <w:rsid w:val="19A20DD5"/>
    <w:rsid w:val="19AE03F1"/>
    <w:rsid w:val="19FE1DA9"/>
    <w:rsid w:val="1A071A03"/>
    <w:rsid w:val="1A1F16AE"/>
    <w:rsid w:val="1A3B5C77"/>
    <w:rsid w:val="1A984BAD"/>
    <w:rsid w:val="1AB8220E"/>
    <w:rsid w:val="1AE4166C"/>
    <w:rsid w:val="1AF06CFB"/>
    <w:rsid w:val="1AF11B8D"/>
    <w:rsid w:val="1B11359C"/>
    <w:rsid w:val="1B1D623E"/>
    <w:rsid w:val="1B2A271F"/>
    <w:rsid w:val="1B530544"/>
    <w:rsid w:val="1B713184"/>
    <w:rsid w:val="1BA209CF"/>
    <w:rsid w:val="1BB4777D"/>
    <w:rsid w:val="1BD75AB8"/>
    <w:rsid w:val="1C0459C2"/>
    <w:rsid w:val="1C1B3B4A"/>
    <w:rsid w:val="1C4C1333"/>
    <w:rsid w:val="1C88086E"/>
    <w:rsid w:val="1C9A47BD"/>
    <w:rsid w:val="1CC1038E"/>
    <w:rsid w:val="1D1E62D0"/>
    <w:rsid w:val="1D266CE1"/>
    <w:rsid w:val="1D38799C"/>
    <w:rsid w:val="1D3963AF"/>
    <w:rsid w:val="1D6A673C"/>
    <w:rsid w:val="1D9247AE"/>
    <w:rsid w:val="1DB567EC"/>
    <w:rsid w:val="1DF51A98"/>
    <w:rsid w:val="1E051CD9"/>
    <w:rsid w:val="1E3B5B2B"/>
    <w:rsid w:val="1E3D060F"/>
    <w:rsid w:val="1E3F7D2E"/>
    <w:rsid w:val="1E4134E4"/>
    <w:rsid w:val="1E5062B3"/>
    <w:rsid w:val="1E523514"/>
    <w:rsid w:val="1E6E7089"/>
    <w:rsid w:val="1E714A66"/>
    <w:rsid w:val="1E797C58"/>
    <w:rsid w:val="1E802593"/>
    <w:rsid w:val="1E8B6156"/>
    <w:rsid w:val="1EA703CC"/>
    <w:rsid w:val="1EB7330C"/>
    <w:rsid w:val="1EEA12FF"/>
    <w:rsid w:val="1EEC32CA"/>
    <w:rsid w:val="1F0A0FF3"/>
    <w:rsid w:val="1F47684D"/>
    <w:rsid w:val="1F5771FF"/>
    <w:rsid w:val="1FD52574"/>
    <w:rsid w:val="1FE1400E"/>
    <w:rsid w:val="1FE868A9"/>
    <w:rsid w:val="1FF10BF4"/>
    <w:rsid w:val="20034907"/>
    <w:rsid w:val="20173E4B"/>
    <w:rsid w:val="204E48BC"/>
    <w:rsid w:val="208921B3"/>
    <w:rsid w:val="20973DEB"/>
    <w:rsid w:val="20B26522"/>
    <w:rsid w:val="20B44310"/>
    <w:rsid w:val="21035A46"/>
    <w:rsid w:val="211116EB"/>
    <w:rsid w:val="212C0848"/>
    <w:rsid w:val="216133FC"/>
    <w:rsid w:val="21D56769"/>
    <w:rsid w:val="21E52EF3"/>
    <w:rsid w:val="21F42677"/>
    <w:rsid w:val="21FB5D7B"/>
    <w:rsid w:val="22015E94"/>
    <w:rsid w:val="220B1C3D"/>
    <w:rsid w:val="221D1D20"/>
    <w:rsid w:val="22334A87"/>
    <w:rsid w:val="228046E2"/>
    <w:rsid w:val="22B365D8"/>
    <w:rsid w:val="22BE6801"/>
    <w:rsid w:val="233500BF"/>
    <w:rsid w:val="23377FF7"/>
    <w:rsid w:val="235002CB"/>
    <w:rsid w:val="236B425F"/>
    <w:rsid w:val="23836192"/>
    <w:rsid w:val="23901F29"/>
    <w:rsid w:val="239C0061"/>
    <w:rsid w:val="23AD1279"/>
    <w:rsid w:val="23B908A4"/>
    <w:rsid w:val="23C131E2"/>
    <w:rsid w:val="23E95BEF"/>
    <w:rsid w:val="23FD0064"/>
    <w:rsid w:val="245375B0"/>
    <w:rsid w:val="245B6DB7"/>
    <w:rsid w:val="24642C0A"/>
    <w:rsid w:val="24B22173"/>
    <w:rsid w:val="24B95AD9"/>
    <w:rsid w:val="24BE24DA"/>
    <w:rsid w:val="24CF5825"/>
    <w:rsid w:val="24D663E6"/>
    <w:rsid w:val="24D757B6"/>
    <w:rsid w:val="24D77F2B"/>
    <w:rsid w:val="24EC4023"/>
    <w:rsid w:val="251D2E07"/>
    <w:rsid w:val="258B00E2"/>
    <w:rsid w:val="25A917A6"/>
    <w:rsid w:val="25BE27CC"/>
    <w:rsid w:val="25CD79B1"/>
    <w:rsid w:val="25DA20CE"/>
    <w:rsid w:val="25F74A5C"/>
    <w:rsid w:val="26106BD0"/>
    <w:rsid w:val="26284BE7"/>
    <w:rsid w:val="2628662C"/>
    <w:rsid w:val="262D45DE"/>
    <w:rsid w:val="26413603"/>
    <w:rsid w:val="26871DC8"/>
    <w:rsid w:val="26A53EF9"/>
    <w:rsid w:val="26A94201"/>
    <w:rsid w:val="26AC274F"/>
    <w:rsid w:val="27044A29"/>
    <w:rsid w:val="271D34C8"/>
    <w:rsid w:val="276142BF"/>
    <w:rsid w:val="27673848"/>
    <w:rsid w:val="27783712"/>
    <w:rsid w:val="278C7E6E"/>
    <w:rsid w:val="27907362"/>
    <w:rsid w:val="27DD2B2D"/>
    <w:rsid w:val="28333E1D"/>
    <w:rsid w:val="28454BD6"/>
    <w:rsid w:val="28455253"/>
    <w:rsid w:val="28551971"/>
    <w:rsid w:val="285B1C53"/>
    <w:rsid w:val="289F7086"/>
    <w:rsid w:val="28C32028"/>
    <w:rsid w:val="28CC490F"/>
    <w:rsid w:val="28DE40AA"/>
    <w:rsid w:val="29345E77"/>
    <w:rsid w:val="294C65AD"/>
    <w:rsid w:val="2965010A"/>
    <w:rsid w:val="29713AED"/>
    <w:rsid w:val="29806583"/>
    <w:rsid w:val="298B3C4C"/>
    <w:rsid w:val="298F27C5"/>
    <w:rsid w:val="29F26D24"/>
    <w:rsid w:val="2A15033F"/>
    <w:rsid w:val="2A1662C1"/>
    <w:rsid w:val="2A1C7367"/>
    <w:rsid w:val="2A2815FA"/>
    <w:rsid w:val="2A6D6092"/>
    <w:rsid w:val="2A7D76B4"/>
    <w:rsid w:val="2ABF1892"/>
    <w:rsid w:val="2AC33130"/>
    <w:rsid w:val="2B09293F"/>
    <w:rsid w:val="2B437463"/>
    <w:rsid w:val="2B7807EE"/>
    <w:rsid w:val="2BA50BF7"/>
    <w:rsid w:val="2BBF00EC"/>
    <w:rsid w:val="2BC37CFD"/>
    <w:rsid w:val="2BD5237F"/>
    <w:rsid w:val="2BE536CE"/>
    <w:rsid w:val="2BE758D9"/>
    <w:rsid w:val="2BF346BB"/>
    <w:rsid w:val="2C09049E"/>
    <w:rsid w:val="2C0A653C"/>
    <w:rsid w:val="2C191F85"/>
    <w:rsid w:val="2C843A49"/>
    <w:rsid w:val="2CBE4367"/>
    <w:rsid w:val="2CE82D6F"/>
    <w:rsid w:val="2CEE3684"/>
    <w:rsid w:val="2D0B5263"/>
    <w:rsid w:val="2D18662B"/>
    <w:rsid w:val="2D343236"/>
    <w:rsid w:val="2D575011"/>
    <w:rsid w:val="2D6F535B"/>
    <w:rsid w:val="2DAC5EA2"/>
    <w:rsid w:val="2DD15014"/>
    <w:rsid w:val="2DF72DE4"/>
    <w:rsid w:val="2E0220AF"/>
    <w:rsid w:val="2E4B082A"/>
    <w:rsid w:val="2E5D4E86"/>
    <w:rsid w:val="2E5D790B"/>
    <w:rsid w:val="2E9A3C18"/>
    <w:rsid w:val="2EB07460"/>
    <w:rsid w:val="2EBA484A"/>
    <w:rsid w:val="2EBB0FEE"/>
    <w:rsid w:val="2EC63002"/>
    <w:rsid w:val="2EE55AE5"/>
    <w:rsid w:val="2EEB0659"/>
    <w:rsid w:val="2F0A6B38"/>
    <w:rsid w:val="2F7760A6"/>
    <w:rsid w:val="2F827A5E"/>
    <w:rsid w:val="2F8E0570"/>
    <w:rsid w:val="2F911123"/>
    <w:rsid w:val="2F946CCB"/>
    <w:rsid w:val="2FD25781"/>
    <w:rsid w:val="2FDC745C"/>
    <w:rsid w:val="2FFD7934"/>
    <w:rsid w:val="30733ACD"/>
    <w:rsid w:val="3080081B"/>
    <w:rsid w:val="308271CF"/>
    <w:rsid w:val="308C3862"/>
    <w:rsid w:val="309379D8"/>
    <w:rsid w:val="30A270F7"/>
    <w:rsid w:val="30DF1478"/>
    <w:rsid w:val="30EC586F"/>
    <w:rsid w:val="319C6071"/>
    <w:rsid w:val="31AC537E"/>
    <w:rsid w:val="31AE2A82"/>
    <w:rsid w:val="31E3679B"/>
    <w:rsid w:val="31E732FD"/>
    <w:rsid w:val="320C5DC2"/>
    <w:rsid w:val="32517576"/>
    <w:rsid w:val="32A75470"/>
    <w:rsid w:val="32BE5C2C"/>
    <w:rsid w:val="32FB6478"/>
    <w:rsid w:val="33263B3F"/>
    <w:rsid w:val="335A6C2F"/>
    <w:rsid w:val="336963EB"/>
    <w:rsid w:val="337C3B78"/>
    <w:rsid w:val="33816EEB"/>
    <w:rsid w:val="33EB55CD"/>
    <w:rsid w:val="33EC4C02"/>
    <w:rsid w:val="340D2360"/>
    <w:rsid w:val="3410665D"/>
    <w:rsid w:val="34211214"/>
    <w:rsid w:val="342E63AB"/>
    <w:rsid w:val="34321327"/>
    <w:rsid w:val="34950E68"/>
    <w:rsid w:val="34986E94"/>
    <w:rsid w:val="34AF62C9"/>
    <w:rsid w:val="34B61F58"/>
    <w:rsid w:val="34CB4388"/>
    <w:rsid w:val="34FA6E12"/>
    <w:rsid w:val="354D7158"/>
    <w:rsid w:val="358D5588"/>
    <w:rsid w:val="359009FB"/>
    <w:rsid w:val="363A3B40"/>
    <w:rsid w:val="363B0967"/>
    <w:rsid w:val="365302AE"/>
    <w:rsid w:val="36607A0A"/>
    <w:rsid w:val="366E227C"/>
    <w:rsid w:val="366F2E0D"/>
    <w:rsid w:val="367B6A5C"/>
    <w:rsid w:val="368F41DF"/>
    <w:rsid w:val="36A74ADA"/>
    <w:rsid w:val="36AD60D5"/>
    <w:rsid w:val="36B224F9"/>
    <w:rsid w:val="36EC0CC9"/>
    <w:rsid w:val="373F410B"/>
    <w:rsid w:val="37EE7094"/>
    <w:rsid w:val="38006E2C"/>
    <w:rsid w:val="38296C89"/>
    <w:rsid w:val="382F62A9"/>
    <w:rsid w:val="383002EB"/>
    <w:rsid w:val="38586797"/>
    <w:rsid w:val="385D15DF"/>
    <w:rsid w:val="38BC0149"/>
    <w:rsid w:val="38D87D1C"/>
    <w:rsid w:val="394A3E0E"/>
    <w:rsid w:val="39551D3F"/>
    <w:rsid w:val="39636459"/>
    <w:rsid w:val="396B7F6C"/>
    <w:rsid w:val="39B417A9"/>
    <w:rsid w:val="39FC5695"/>
    <w:rsid w:val="39FC665F"/>
    <w:rsid w:val="3A006D8E"/>
    <w:rsid w:val="3A1F469C"/>
    <w:rsid w:val="3A3651E5"/>
    <w:rsid w:val="3A641596"/>
    <w:rsid w:val="3A744481"/>
    <w:rsid w:val="3A854C95"/>
    <w:rsid w:val="3A8A76A9"/>
    <w:rsid w:val="3A8C7BEF"/>
    <w:rsid w:val="3A906246"/>
    <w:rsid w:val="3AB147DF"/>
    <w:rsid w:val="3AD63DEE"/>
    <w:rsid w:val="3AFF68F7"/>
    <w:rsid w:val="3B131EB2"/>
    <w:rsid w:val="3B1D4650"/>
    <w:rsid w:val="3B2349B7"/>
    <w:rsid w:val="3B471B5C"/>
    <w:rsid w:val="3B616CFF"/>
    <w:rsid w:val="3B6259F6"/>
    <w:rsid w:val="3B673FAC"/>
    <w:rsid w:val="3B976654"/>
    <w:rsid w:val="3BC01EFC"/>
    <w:rsid w:val="3BCA786A"/>
    <w:rsid w:val="3BD31E2F"/>
    <w:rsid w:val="3BF15831"/>
    <w:rsid w:val="3C105946"/>
    <w:rsid w:val="3C471448"/>
    <w:rsid w:val="3C536A3E"/>
    <w:rsid w:val="3C5F759A"/>
    <w:rsid w:val="3C6C525A"/>
    <w:rsid w:val="3C762E6D"/>
    <w:rsid w:val="3CCE23CB"/>
    <w:rsid w:val="3CD17D17"/>
    <w:rsid w:val="3CD8042F"/>
    <w:rsid w:val="3CFF19FA"/>
    <w:rsid w:val="3D3C7F39"/>
    <w:rsid w:val="3D440F09"/>
    <w:rsid w:val="3D4504A0"/>
    <w:rsid w:val="3D8734BB"/>
    <w:rsid w:val="3D9A11D4"/>
    <w:rsid w:val="3DA16D89"/>
    <w:rsid w:val="3DA364BE"/>
    <w:rsid w:val="3DBB238D"/>
    <w:rsid w:val="3DE041CB"/>
    <w:rsid w:val="3E0D48F6"/>
    <w:rsid w:val="3E1868B4"/>
    <w:rsid w:val="3E2628E2"/>
    <w:rsid w:val="3E377251"/>
    <w:rsid w:val="3E3F72C8"/>
    <w:rsid w:val="3E42664B"/>
    <w:rsid w:val="3E4270F2"/>
    <w:rsid w:val="3E5A7334"/>
    <w:rsid w:val="3E7B5D6B"/>
    <w:rsid w:val="3E843E66"/>
    <w:rsid w:val="3E8F51FE"/>
    <w:rsid w:val="3E926F87"/>
    <w:rsid w:val="3E9A59DE"/>
    <w:rsid w:val="3EAF4836"/>
    <w:rsid w:val="3EC05173"/>
    <w:rsid w:val="3EC33DFA"/>
    <w:rsid w:val="3F060E16"/>
    <w:rsid w:val="3F145318"/>
    <w:rsid w:val="3F1D1096"/>
    <w:rsid w:val="3F2F0234"/>
    <w:rsid w:val="3F6363FE"/>
    <w:rsid w:val="3F6A23FD"/>
    <w:rsid w:val="3F756B8F"/>
    <w:rsid w:val="3F95482B"/>
    <w:rsid w:val="3FB86B84"/>
    <w:rsid w:val="4019356B"/>
    <w:rsid w:val="401D6836"/>
    <w:rsid w:val="40592157"/>
    <w:rsid w:val="406E1CAE"/>
    <w:rsid w:val="40A0133A"/>
    <w:rsid w:val="40C31A53"/>
    <w:rsid w:val="40ED6E75"/>
    <w:rsid w:val="40FF545D"/>
    <w:rsid w:val="410067C8"/>
    <w:rsid w:val="418F0D2A"/>
    <w:rsid w:val="41D01505"/>
    <w:rsid w:val="42474939"/>
    <w:rsid w:val="424C3C57"/>
    <w:rsid w:val="42613FF3"/>
    <w:rsid w:val="42660D96"/>
    <w:rsid w:val="426B1140"/>
    <w:rsid w:val="428667D2"/>
    <w:rsid w:val="42CD1CE0"/>
    <w:rsid w:val="42E1381E"/>
    <w:rsid w:val="42ED6459"/>
    <w:rsid w:val="42FE58DD"/>
    <w:rsid w:val="43174B3D"/>
    <w:rsid w:val="434B790E"/>
    <w:rsid w:val="43575CAD"/>
    <w:rsid w:val="435B55A5"/>
    <w:rsid w:val="4360274F"/>
    <w:rsid w:val="436A63E7"/>
    <w:rsid w:val="43977AB6"/>
    <w:rsid w:val="43A3342B"/>
    <w:rsid w:val="43C77C27"/>
    <w:rsid w:val="43D2638E"/>
    <w:rsid w:val="43DE09EE"/>
    <w:rsid w:val="44002FAD"/>
    <w:rsid w:val="444C3D3F"/>
    <w:rsid w:val="449101DD"/>
    <w:rsid w:val="44DE1391"/>
    <w:rsid w:val="451B225C"/>
    <w:rsid w:val="452410C9"/>
    <w:rsid w:val="45317DFB"/>
    <w:rsid w:val="456D3CE4"/>
    <w:rsid w:val="4579042C"/>
    <w:rsid w:val="457F0571"/>
    <w:rsid w:val="45851176"/>
    <w:rsid w:val="45C63B94"/>
    <w:rsid w:val="460E7DA5"/>
    <w:rsid w:val="46202E05"/>
    <w:rsid w:val="46422483"/>
    <w:rsid w:val="4647199E"/>
    <w:rsid w:val="4659254A"/>
    <w:rsid w:val="465B0637"/>
    <w:rsid w:val="465E3F0D"/>
    <w:rsid w:val="466A16E6"/>
    <w:rsid w:val="46893F2B"/>
    <w:rsid w:val="469D0882"/>
    <w:rsid w:val="46C4686E"/>
    <w:rsid w:val="46E6681C"/>
    <w:rsid w:val="46EE10DD"/>
    <w:rsid w:val="477B778F"/>
    <w:rsid w:val="478203EC"/>
    <w:rsid w:val="47B025FA"/>
    <w:rsid w:val="47D91395"/>
    <w:rsid w:val="47ED67F5"/>
    <w:rsid w:val="4809698F"/>
    <w:rsid w:val="480C3F11"/>
    <w:rsid w:val="4811697D"/>
    <w:rsid w:val="4812283E"/>
    <w:rsid w:val="487A3E25"/>
    <w:rsid w:val="488B5503"/>
    <w:rsid w:val="48937E21"/>
    <w:rsid w:val="489A0361"/>
    <w:rsid w:val="48B94FF3"/>
    <w:rsid w:val="48DA7B6B"/>
    <w:rsid w:val="48E37AAB"/>
    <w:rsid w:val="48FD4B4C"/>
    <w:rsid w:val="490A68E0"/>
    <w:rsid w:val="491055FE"/>
    <w:rsid w:val="495F5B3E"/>
    <w:rsid w:val="496025F6"/>
    <w:rsid w:val="496F77D7"/>
    <w:rsid w:val="497654FD"/>
    <w:rsid w:val="49B64211"/>
    <w:rsid w:val="49F6167F"/>
    <w:rsid w:val="4A021939"/>
    <w:rsid w:val="4A064FA0"/>
    <w:rsid w:val="4A16615C"/>
    <w:rsid w:val="4A4424D7"/>
    <w:rsid w:val="4A5B5E8E"/>
    <w:rsid w:val="4AB82D0F"/>
    <w:rsid w:val="4AEB7664"/>
    <w:rsid w:val="4AFD7C19"/>
    <w:rsid w:val="4B0567D1"/>
    <w:rsid w:val="4B236AAE"/>
    <w:rsid w:val="4B412124"/>
    <w:rsid w:val="4B707271"/>
    <w:rsid w:val="4B9739F7"/>
    <w:rsid w:val="4B9C1A50"/>
    <w:rsid w:val="4BAD1567"/>
    <w:rsid w:val="4BBF5506"/>
    <w:rsid w:val="4BE86A43"/>
    <w:rsid w:val="4BEE2503"/>
    <w:rsid w:val="4BF06BB2"/>
    <w:rsid w:val="4C245A30"/>
    <w:rsid w:val="4C352698"/>
    <w:rsid w:val="4CB6685F"/>
    <w:rsid w:val="4CC367FE"/>
    <w:rsid w:val="4D077F3C"/>
    <w:rsid w:val="4D123355"/>
    <w:rsid w:val="4D1C671D"/>
    <w:rsid w:val="4D2A3B31"/>
    <w:rsid w:val="4D312C52"/>
    <w:rsid w:val="4D7C3C4A"/>
    <w:rsid w:val="4D822DD2"/>
    <w:rsid w:val="4D905305"/>
    <w:rsid w:val="4D964A72"/>
    <w:rsid w:val="4D9C1254"/>
    <w:rsid w:val="4DB049C0"/>
    <w:rsid w:val="4DCB4CA4"/>
    <w:rsid w:val="4DD21759"/>
    <w:rsid w:val="4E1A6EFE"/>
    <w:rsid w:val="4E5926A7"/>
    <w:rsid w:val="4E793892"/>
    <w:rsid w:val="4E800872"/>
    <w:rsid w:val="4EC569ED"/>
    <w:rsid w:val="4ED50EA1"/>
    <w:rsid w:val="4EEC050C"/>
    <w:rsid w:val="4F104EC3"/>
    <w:rsid w:val="4F47354A"/>
    <w:rsid w:val="4F911C54"/>
    <w:rsid w:val="4FC5018F"/>
    <w:rsid w:val="4FE625E0"/>
    <w:rsid w:val="5021480F"/>
    <w:rsid w:val="50253C24"/>
    <w:rsid w:val="50962ECB"/>
    <w:rsid w:val="50A42E38"/>
    <w:rsid w:val="50A4577F"/>
    <w:rsid w:val="50B73D1F"/>
    <w:rsid w:val="50BD5BC9"/>
    <w:rsid w:val="50C11EEE"/>
    <w:rsid w:val="50E97CFC"/>
    <w:rsid w:val="50FA4028"/>
    <w:rsid w:val="510D65B7"/>
    <w:rsid w:val="511157AB"/>
    <w:rsid w:val="5142540C"/>
    <w:rsid w:val="51510BE7"/>
    <w:rsid w:val="518832C8"/>
    <w:rsid w:val="519D3C50"/>
    <w:rsid w:val="51A0432A"/>
    <w:rsid w:val="51A86090"/>
    <w:rsid w:val="51B6604B"/>
    <w:rsid w:val="51B7396D"/>
    <w:rsid w:val="52263AC6"/>
    <w:rsid w:val="522E4CC3"/>
    <w:rsid w:val="5244713B"/>
    <w:rsid w:val="52615633"/>
    <w:rsid w:val="526F4DE4"/>
    <w:rsid w:val="52721B97"/>
    <w:rsid w:val="52977FD4"/>
    <w:rsid w:val="52A25790"/>
    <w:rsid w:val="52A96B6F"/>
    <w:rsid w:val="52B45975"/>
    <w:rsid w:val="52C91F89"/>
    <w:rsid w:val="52D94AA4"/>
    <w:rsid w:val="52E023E7"/>
    <w:rsid w:val="52EA3A62"/>
    <w:rsid w:val="52ED34E5"/>
    <w:rsid w:val="52F50BB8"/>
    <w:rsid w:val="53097272"/>
    <w:rsid w:val="53544462"/>
    <w:rsid w:val="5397158E"/>
    <w:rsid w:val="539D4A6A"/>
    <w:rsid w:val="53AA0A2F"/>
    <w:rsid w:val="53EA44B8"/>
    <w:rsid w:val="54013861"/>
    <w:rsid w:val="54487265"/>
    <w:rsid w:val="544D6070"/>
    <w:rsid w:val="54605E1E"/>
    <w:rsid w:val="549A4A45"/>
    <w:rsid w:val="54B3506A"/>
    <w:rsid w:val="54C97AC2"/>
    <w:rsid w:val="54CA0D16"/>
    <w:rsid w:val="54DD4057"/>
    <w:rsid w:val="54E7490F"/>
    <w:rsid w:val="550764A4"/>
    <w:rsid w:val="550B2BF6"/>
    <w:rsid w:val="55214EB5"/>
    <w:rsid w:val="55313209"/>
    <w:rsid w:val="55364EFD"/>
    <w:rsid w:val="555D4828"/>
    <w:rsid w:val="556C45C4"/>
    <w:rsid w:val="557A4C8B"/>
    <w:rsid w:val="558931E1"/>
    <w:rsid w:val="55923347"/>
    <w:rsid w:val="55925180"/>
    <w:rsid w:val="55983B1B"/>
    <w:rsid w:val="55A8376B"/>
    <w:rsid w:val="55B32AE8"/>
    <w:rsid w:val="55B611EB"/>
    <w:rsid w:val="55CF47D0"/>
    <w:rsid w:val="55DC29B6"/>
    <w:rsid w:val="55DD4241"/>
    <w:rsid w:val="56000E0D"/>
    <w:rsid w:val="56411BDC"/>
    <w:rsid w:val="56446F6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1C1DD1"/>
    <w:rsid w:val="595E1678"/>
    <w:rsid w:val="596D5BD4"/>
    <w:rsid w:val="597E3DD8"/>
    <w:rsid w:val="59AC5554"/>
    <w:rsid w:val="59B352CD"/>
    <w:rsid w:val="59EF245F"/>
    <w:rsid w:val="59F04EA1"/>
    <w:rsid w:val="59F80043"/>
    <w:rsid w:val="5A09252F"/>
    <w:rsid w:val="5A0B2778"/>
    <w:rsid w:val="5A2A7C7B"/>
    <w:rsid w:val="5A2D7804"/>
    <w:rsid w:val="5A3612C1"/>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444429"/>
    <w:rsid w:val="5C80234E"/>
    <w:rsid w:val="5C8A680C"/>
    <w:rsid w:val="5CAB62A2"/>
    <w:rsid w:val="5CD7058A"/>
    <w:rsid w:val="5CFA1A85"/>
    <w:rsid w:val="5D0C4701"/>
    <w:rsid w:val="5D0F0395"/>
    <w:rsid w:val="5D221076"/>
    <w:rsid w:val="5D397964"/>
    <w:rsid w:val="5D5A391C"/>
    <w:rsid w:val="5D5F10C0"/>
    <w:rsid w:val="5D79574D"/>
    <w:rsid w:val="5D891B7B"/>
    <w:rsid w:val="5DAD38EE"/>
    <w:rsid w:val="5DB402AB"/>
    <w:rsid w:val="5DB51056"/>
    <w:rsid w:val="5E006862"/>
    <w:rsid w:val="5E0207B9"/>
    <w:rsid w:val="5E1834A1"/>
    <w:rsid w:val="5E1A6F32"/>
    <w:rsid w:val="5E261785"/>
    <w:rsid w:val="5E286DCB"/>
    <w:rsid w:val="5E4A7017"/>
    <w:rsid w:val="5E4B2BAB"/>
    <w:rsid w:val="5E552BBA"/>
    <w:rsid w:val="5E611C10"/>
    <w:rsid w:val="5E762B94"/>
    <w:rsid w:val="5E7A0F3F"/>
    <w:rsid w:val="5E9A1E1F"/>
    <w:rsid w:val="5EB332BF"/>
    <w:rsid w:val="5EFC7377"/>
    <w:rsid w:val="5F0454EA"/>
    <w:rsid w:val="5F06174D"/>
    <w:rsid w:val="5F3A3602"/>
    <w:rsid w:val="5F45733B"/>
    <w:rsid w:val="5F6277C6"/>
    <w:rsid w:val="5F6D0B1D"/>
    <w:rsid w:val="5F8D0B82"/>
    <w:rsid w:val="5FC067D0"/>
    <w:rsid w:val="5FCC5339"/>
    <w:rsid w:val="5FCE540F"/>
    <w:rsid w:val="5FE34A5B"/>
    <w:rsid w:val="5FFE1E36"/>
    <w:rsid w:val="60232584"/>
    <w:rsid w:val="607330CE"/>
    <w:rsid w:val="60825176"/>
    <w:rsid w:val="608A5EC3"/>
    <w:rsid w:val="609F2AC4"/>
    <w:rsid w:val="60BF21E7"/>
    <w:rsid w:val="60FA2EE8"/>
    <w:rsid w:val="61054A27"/>
    <w:rsid w:val="610A52BC"/>
    <w:rsid w:val="611D2366"/>
    <w:rsid w:val="61421856"/>
    <w:rsid w:val="615227C4"/>
    <w:rsid w:val="61551709"/>
    <w:rsid w:val="61654E3F"/>
    <w:rsid w:val="61744FF9"/>
    <w:rsid w:val="6182292A"/>
    <w:rsid w:val="619C2CA1"/>
    <w:rsid w:val="619F7F92"/>
    <w:rsid w:val="61C807BC"/>
    <w:rsid w:val="61E81EE3"/>
    <w:rsid w:val="61F94C26"/>
    <w:rsid w:val="62000E56"/>
    <w:rsid w:val="624F3E49"/>
    <w:rsid w:val="62632286"/>
    <w:rsid w:val="62885958"/>
    <w:rsid w:val="62D07794"/>
    <w:rsid w:val="62DA1D5D"/>
    <w:rsid w:val="62F17359"/>
    <w:rsid w:val="62F31C3F"/>
    <w:rsid w:val="62F40B65"/>
    <w:rsid w:val="62FC2CFE"/>
    <w:rsid w:val="63024505"/>
    <w:rsid w:val="635600A5"/>
    <w:rsid w:val="63560E04"/>
    <w:rsid w:val="635B1DB5"/>
    <w:rsid w:val="63711FED"/>
    <w:rsid w:val="63880DDC"/>
    <w:rsid w:val="638D750D"/>
    <w:rsid w:val="63AC6CC0"/>
    <w:rsid w:val="63DE27AE"/>
    <w:rsid w:val="64055776"/>
    <w:rsid w:val="64240056"/>
    <w:rsid w:val="643E143A"/>
    <w:rsid w:val="64491666"/>
    <w:rsid w:val="648B6EEF"/>
    <w:rsid w:val="64C158BF"/>
    <w:rsid w:val="64CE2EAA"/>
    <w:rsid w:val="64CF659A"/>
    <w:rsid w:val="65294F03"/>
    <w:rsid w:val="653C3090"/>
    <w:rsid w:val="6568206F"/>
    <w:rsid w:val="65854376"/>
    <w:rsid w:val="658767BE"/>
    <w:rsid w:val="65892531"/>
    <w:rsid w:val="65D83457"/>
    <w:rsid w:val="66195831"/>
    <w:rsid w:val="661B0E4D"/>
    <w:rsid w:val="662E75B1"/>
    <w:rsid w:val="66342C2E"/>
    <w:rsid w:val="663E784C"/>
    <w:rsid w:val="664A36FF"/>
    <w:rsid w:val="668B6A45"/>
    <w:rsid w:val="66BA34A1"/>
    <w:rsid w:val="66D165FA"/>
    <w:rsid w:val="67154E99"/>
    <w:rsid w:val="672F3F24"/>
    <w:rsid w:val="673E055F"/>
    <w:rsid w:val="6751439C"/>
    <w:rsid w:val="67551CE3"/>
    <w:rsid w:val="676A4358"/>
    <w:rsid w:val="67A22552"/>
    <w:rsid w:val="67B22DCC"/>
    <w:rsid w:val="67BE71AA"/>
    <w:rsid w:val="67D90273"/>
    <w:rsid w:val="67DE5875"/>
    <w:rsid w:val="67E55852"/>
    <w:rsid w:val="67EB1AB4"/>
    <w:rsid w:val="67FA1285"/>
    <w:rsid w:val="68270D00"/>
    <w:rsid w:val="68551F4F"/>
    <w:rsid w:val="687C10C9"/>
    <w:rsid w:val="68840C16"/>
    <w:rsid w:val="68876EFB"/>
    <w:rsid w:val="68884654"/>
    <w:rsid w:val="689F444F"/>
    <w:rsid w:val="68B96DBB"/>
    <w:rsid w:val="68CA2805"/>
    <w:rsid w:val="68E937A3"/>
    <w:rsid w:val="693E15D3"/>
    <w:rsid w:val="69627681"/>
    <w:rsid w:val="69750E54"/>
    <w:rsid w:val="6977531D"/>
    <w:rsid w:val="69797303"/>
    <w:rsid w:val="69951B60"/>
    <w:rsid w:val="69CC2BFF"/>
    <w:rsid w:val="69DB32EB"/>
    <w:rsid w:val="69FD55B8"/>
    <w:rsid w:val="6A0B1C62"/>
    <w:rsid w:val="6A121AF2"/>
    <w:rsid w:val="6A2406C8"/>
    <w:rsid w:val="6A9E4BB6"/>
    <w:rsid w:val="6ADE0BD1"/>
    <w:rsid w:val="6AE96859"/>
    <w:rsid w:val="6B147746"/>
    <w:rsid w:val="6B24787C"/>
    <w:rsid w:val="6B573233"/>
    <w:rsid w:val="6B5B6274"/>
    <w:rsid w:val="6B5F16FF"/>
    <w:rsid w:val="6B847F5E"/>
    <w:rsid w:val="6B935D53"/>
    <w:rsid w:val="6C196F71"/>
    <w:rsid w:val="6C226FCB"/>
    <w:rsid w:val="6C31226F"/>
    <w:rsid w:val="6C37132C"/>
    <w:rsid w:val="6C552F0B"/>
    <w:rsid w:val="6C8C67B7"/>
    <w:rsid w:val="6C9D744C"/>
    <w:rsid w:val="6CAF00E2"/>
    <w:rsid w:val="6D167928"/>
    <w:rsid w:val="6D26299B"/>
    <w:rsid w:val="6D3B47CD"/>
    <w:rsid w:val="6D4772EC"/>
    <w:rsid w:val="6D9078AF"/>
    <w:rsid w:val="6DAA3FEF"/>
    <w:rsid w:val="6DC0172B"/>
    <w:rsid w:val="6DC9706E"/>
    <w:rsid w:val="6DCB690C"/>
    <w:rsid w:val="6DD41A5B"/>
    <w:rsid w:val="6DE210F3"/>
    <w:rsid w:val="6DF43C2E"/>
    <w:rsid w:val="6DF51CA3"/>
    <w:rsid w:val="6E681920"/>
    <w:rsid w:val="6E8335BD"/>
    <w:rsid w:val="6E893C14"/>
    <w:rsid w:val="6E8E12EF"/>
    <w:rsid w:val="6E972936"/>
    <w:rsid w:val="6EB40202"/>
    <w:rsid w:val="6ED446C5"/>
    <w:rsid w:val="6F130D38"/>
    <w:rsid w:val="6F2A7D94"/>
    <w:rsid w:val="6F8331F1"/>
    <w:rsid w:val="6FAE1A09"/>
    <w:rsid w:val="6FD75BF8"/>
    <w:rsid w:val="6FF922DA"/>
    <w:rsid w:val="700D583A"/>
    <w:rsid w:val="7049140D"/>
    <w:rsid w:val="707723D0"/>
    <w:rsid w:val="70F5661B"/>
    <w:rsid w:val="71360107"/>
    <w:rsid w:val="713B688E"/>
    <w:rsid w:val="71A6677C"/>
    <w:rsid w:val="71D43752"/>
    <w:rsid w:val="71F1796A"/>
    <w:rsid w:val="72154626"/>
    <w:rsid w:val="72262B5D"/>
    <w:rsid w:val="72283FF7"/>
    <w:rsid w:val="722E7212"/>
    <w:rsid w:val="723A0474"/>
    <w:rsid w:val="725923E4"/>
    <w:rsid w:val="72864BF7"/>
    <w:rsid w:val="729023FC"/>
    <w:rsid w:val="73C0646E"/>
    <w:rsid w:val="74212243"/>
    <w:rsid w:val="742222F5"/>
    <w:rsid w:val="744645AA"/>
    <w:rsid w:val="74476126"/>
    <w:rsid w:val="74706664"/>
    <w:rsid w:val="747F3682"/>
    <w:rsid w:val="74930F19"/>
    <w:rsid w:val="749C4185"/>
    <w:rsid w:val="75067759"/>
    <w:rsid w:val="752E6DCD"/>
    <w:rsid w:val="7551380D"/>
    <w:rsid w:val="75514D93"/>
    <w:rsid w:val="75600BE5"/>
    <w:rsid w:val="7564475C"/>
    <w:rsid w:val="75732004"/>
    <w:rsid w:val="7583797F"/>
    <w:rsid w:val="75917B29"/>
    <w:rsid w:val="75A679D1"/>
    <w:rsid w:val="75D20F1D"/>
    <w:rsid w:val="75DA2C18"/>
    <w:rsid w:val="75F54412"/>
    <w:rsid w:val="761D08E0"/>
    <w:rsid w:val="765D347C"/>
    <w:rsid w:val="76826699"/>
    <w:rsid w:val="76A870A5"/>
    <w:rsid w:val="76C87133"/>
    <w:rsid w:val="76CD08D5"/>
    <w:rsid w:val="76DB4B92"/>
    <w:rsid w:val="77052AA4"/>
    <w:rsid w:val="77136511"/>
    <w:rsid w:val="7727104C"/>
    <w:rsid w:val="77340A39"/>
    <w:rsid w:val="77351FD0"/>
    <w:rsid w:val="77472422"/>
    <w:rsid w:val="777F31F2"/>
    <w:rsid w:val="77AB3955"/>
    <w:rsid w:val="77D1700D"/>
    <w:rsid w:val="77EC04CC"/>
    <w:rsid w:val="786344A3"/>
    <w:rsid w:val="78775729"/>
    <w:rsid w:val="78A42DB0"/>
    <w:rsid w:val="78A656AB"/>
    <w:rsid w:val="78B2245C"/>
    <w:rsid w:val="78B81351"/>
    <w:rsid w:val="78E172CC"/>
    <w:rsid w:val="78EA1D1F"/>
    <w:rsid w:val="78FD502C"/>
    <w:rsid w:val="7904172F"/>
    <w:rsid w:val="790F7E27"/>
    <w:rsid w:val="792A231A"/>
    <w:rsid w:val="79316829"/>
    <w:rsid w:val="797E66A9"/>
    <w:rsid w:val="798518A4"/>
    <w:rsid w:val="7988014E"/>
    <w:rsid w:val="79A97383"/>
    <w:rsid w:val="79E27E8B"/>
    <w:rsid w:val="79F850CE"/>
    <w:rsid w:val="79FD443C"/>
    <w:rsid w:val="7A1D1975"/>
    <w:rsid w:val="7A3E5150"/>
    <w:rsid w:val="7A4670D6"/>
    <w:rsid w:val="7A534B63"/>
    <w:rsid w:val="7A615382"/>
    <w:rsid w:val="7A664E79"/>
    <w:rsid w:val="7A67303B"/>
    <w:rsid w:val="7AAB1D04"/>
    <w:rsid w:val="7ABA4368"/>
    <w:rsid w:val="7ABB43DA"/>
    <w:rsid w:val="7AD05746"/>
    <w:rsid w:val="7AE2097E"/>
    <w:rsid w:val="7B257FFD"/>
    <w:rsid w:val="7B343476"/>
    <w:rsid w:val="7B5A2978"/>
    <w:rsid w:val="7B5A7E4C"/>
    <w:rsid w:val="7B66335D"/>
    <w:rsid w:val="7B667AF9"/>
    <w:rsid w:val="7B7468F8"/>
    <w:rsid w:val="7BEE0103"/>
    <w:rsid w:val="7C0A0FE4"/>
    <w:rsid w:val="7C254906"/>
    <w:rsid w:val="7C590818"/>
    <w:rsid w:val="7C7C10F6"/>
    <w:rsid w:val="7C853BEA"/>
    <w:rsid w:val="7C8716F3"/>
    <w:rsid w:val="7C881368"/>
    <w:rsid w:val="7C8820A3"/>
    <w:rsid w:val="7C944A9A"/>
    <w:rsid w:val="7CE27788"/>
    <w:rsid w:val="7D0C32F1"/>
    <w:rsid w:val="7D0F408D"/>
    <w:rsid w:val="7D28392F"/>
    <w:rsid w:val="7D491C6C"/>
    <w:rsid w:val="7D5429C0"/>
    <w:rsid w:val="7D6E6D43"/>
    <w:rsid w:val="7DB57A34"/>
    <w:rsid w:val="7DBD2FDC"/>
    <w:rsid w:val="7DE60973"/>
    <w:rsid w:val="7DEF0916"/>
    <w:rsid w:val="7E1E5218"/>
    <w:rsid w:val="7E9A4E1F"/>
    <w:rsid w:val="7EA7723A"/>
    <w:rsid w:val="7EDB19FC"/>
    <w:rsid w:val="7EF56FBB"/>
    <w:rsid w:val="7F0768EB"/>
    <w:rsid w:val="7F143BEC"/>
    <w:rsid w:val="7F6477A9"/>
    <w:rsid w:val="7F715AF2"/>
    <w:rsid w:val="7F7973D7"/>
    <w:rsid w:val="7F886E69"/>
    <w:rsid w:val="7FDE63E7"/>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3"/>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5"/>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2"/>
    <w:qFormat/>
    <w:uiPriority w:val="0"/>
    <w:pPr>
      <w:ind w:left="100" w:leftChars="2500"/>
    </w:pPr>
    <w:rPr>
      <w:rFonts w:ascii="宋体"/>
      <w:sz w:val="24"/>
      <w:szCs w:val="21"/>
      <w:lang w:val="zh-CN"/>
    </w:rPr>
  </w:style>
  <w:style w:type="paragraph" w:styleId="36">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9"/>
    <w:qFormat/>
    <w:uiPriority w:val="0"/>
    <w:rPr>
      <w:sz w:val="18"/>
      <w:szCs w:val="18"/>
    </w:rPr>
  </w:style>
  <w:style w:type="paragraph" w:styleId="39">
    <w:name w:val="footer"/>
    <w:basedOn w:val="1"/>
    <w:link w:val="383"/>
    <w:qFormat/>
    <w:uiPriority w:val="99"/>
    <w:pPr>
      <w:tabs>
        <w:tab w:val="center" w:pos="4153"/>
        <w:tab w:val="right" w:pos="8306"/>
      </w:tabs>
      <w:snapToGrid w:val="0"/>
      <w:jc w:val="left"/>
    </w:pPr>
    <w:rPr>
      <w:sz w:val="18"/>
      <w:szCs w:val="18"/>
    </w:rPr>
  </w:style>
  <w:style w:type="paragraph" w:styleId="40">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10"/>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5"/>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2"/>
    <w:qFormat/>
    <w:uiPriority w:val="0"/>
    <w:pPr>
      <w:spacing w:after="120" w:line="480" w:lineRule="auto"/>
    </w:pPr>
  </w:style>
  <w:style w:type="paragraph" w:styleId="56">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7"/>
    <w:qFormat/>
    <w:uiPriority w:val="0"/>
    <w:rPr>
      <w:b/>
      <w:bCs/>
    </w:rPr>
  </w:style>
  <w:style w:type="paragraph" w:styleId="60">
    <w:name w:val="Body Text First Indent"/>
    <w:basedOn w:val="23"/>
    <w:next w:val="50"/>
    <w:link w:val="321"/>
    <w:qFormat/>
    <w:uiPriority w:val="0"/>
    <w:pPr>
      <w:ind w:firstLine="420"/>
    </w:pPr>
    <w:rPr>
      <w:rFonts w:hAnsi="Calibri" w:cs="Times New Roman"/>
      <w:snapToGrid/>
      <w:szCs w:val="20"/>
    </w:rPr>
  </w:style>
  <w:style w:type="paragraph" w:styleId="61">
    <w:name w:val="Body Text First Indent 2"/>
    <w:basedOn w:val="24"/>
    <w:link w:val="12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样式3"/>
    <w:basedOn w:val="81"/>
    <w:next w:val="1"/>
    <w:qFormat/>
    <w:uiPriority w:val="0"/>
    <w:pPr>
      <w:tabs>
        <w:tab w:val="left" w:pos="2790"/>
        <w:tab w:val="left" w:pos="4230"/>
      </w:tabs>
      <w:spacing w:before="312" w:beforeLines="100"/>
      <w:jc w:val="left"/>
    </w:pPr>
  </w:style>
  <w:style w:type="paragraph" w:customStyle="1" w:styleId="8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styleId="82">
    <w:name w:val="List Paragraph"/>
    <w:basedOn w:val="1"/>
    <w:qFormat/>
    <w:uiPriority w:val="34"/>
    <w:pPr>
      <w:spacing w:line="360" w:lineRule="auto"/>
      <w:ind w:firstLine="200" w:firstLineChars="200"/>
    </w:pPr>
    <w:rPr>
      <w:rFonts w:eastAsia="楷体_GB2312" w:cs="Lucida Sans"/>
      <w:sz w:val="24"/>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59"/>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1"/>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69"/>
    <w:qFormat/>
    <w:uiPriority w:val="0"/>
    <w:rPr>
      <w:rFonts w:ascii="Arial" w:hAnsi="Arial" w:eastAsia="黑体" w:cs="Arial"/>
      <w:snapToGrid w:val="0"/>
      <w:kern w:val="0"/>
      <w:szCs w:val="21"/>
    </w:rPr>
  </w:style>
  <w:style w:type="character" w:customStyle="1" w:styleId="12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6"/>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8"/>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3"/>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5"/>
    <w:qFormat/>
    <w:uiPriority w:val="0"/>
    <w:rPr>
      <w:rFonts w:ascii="宋体"/>
      <w:kern w:val="2"/>
      <w:sz w:val="24"/>
      <w:szCs w:val="21"/>
      <w:lang w:val="zh-CN"/>
    </w:rPr>
  </w:style>
  <w:style w:type="character" w:customStyle="1" w:styleId="183">
    <w:name w:val="标题 9 Char"/>
    <w:link w:val="11"/>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0"/>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38"/>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5"/>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18"/>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69"/>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29"/>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6"/>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6"/>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82"/>
    <w:link w:val="257"/>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4"/>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8"/>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6"/>
    <w:qFormat/>
    <w:uiPriority w:val="0"/>
    <w:rPr>
      <w:rFonts w:ascii="黑体" w:hAnsi="Courier New" w:eastAsia="黑体"/>
    </w:rPr>
  </w:style>
  <w:style w:type="character" w:customStyle="1" w:styleId="302">
    <w:name w:val="正文文本 2 Char1"/>
    <w:link w:val="55"/>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9"/>
    <w:qFormat/>
    <w:uiPriority w:val="0"/>
    <w:rPr>
      <w:b/>
      <w:bCs/>
      <w:kern w:val="2"/>
      <w:sz w:val="24"/>
      <w:szCs w:val="24"/>
    </w:rPr>
  </w:style>
  <w:style w:type="character" w:customStyle="1" w:styleId="308">
    <w:name w:val="正文文本缩进 2 Char"/>
    <w:link w:val="36"/>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49"/>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60"/>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0"/>
    <w:rPr>
      <w:kern w:val="2"/>
      <w:sz w:val="21"/>
      <w:szCs w:val="24"/>
    </w:rPr>
  </w:style>
  <w:style w:type="character" w:customStyle="1" w:styleId="345">
    <w:name w:val="签名 Char"/>
    <w:link w:val="41"/>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2"/>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39"/>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0"/>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8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6"/>
    <w:next w:val="236"/>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6"/>
    <w:next w:val="236"/>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2"/>
    <w:qFormat/>
    <w:uiPriority w:val="0"/>
    <w:pPr>
      <w:tabs>
        <w:tab w:val="left" w:pos="840"/>
      </w:tabs>
      <w:adjustRightInd/>
      <w:ind w:left="840" w:hanging="420"/>
    </w:pPr>
  </w:style>
  <w:style w:type="paragraph" w:customStyle="1" w:styleId="624">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8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82"/>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3"/>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82"/>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964">
    <w:name w:val="WPSOffice手动目录 1"/>
    <w:qFormat/>
    <w:uiPriority w:val="0"/>
    <w:pPr>
      <w:ind w:leftChars="0"/>
    </w:pPr>
    <w:rPr>
      <w:rFonts w:ascii="Times New Roman" w:hAnsi="Times New Roman" w:eastAsia="宋体" w:cs="Times New Roman"/>
      <w:sz w:val="20"/>
      <w:szCs w:val="20"/>
    </w:rPr>
  </w:style>
  <w:style w:type="character" w:customStyle="1" w:styleId="965">
    <w:name w:val="标题 1 Char1"/>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36881</Words>
  <Characters>39260</Characters>
  <Lines>1</Lines>
  <Paragraphs>1</Paragraphs>
  <TotalTime>5</TotalTime>
  <ScaleCrop>false</ScaleCrop>
  <LinksUpToDate>false</LinksUpToDate>
  <CharactersWithSpaces>44390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朱同学。</cp:lastModifiedBy>
  <cp:lastPrinted>2023-03-28T06:19:00Z</cp:lastPrinted>
  <dcterms:modified xsi:type="dcterms:W3CDTF">2023-11-10T07:12:52Z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0D65CCA805844FC781561E586E5D4776</vt:lpwstr>
  </property>
</Properties>
</file>