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lang w:eastAsia="zh-CN"/>
        </w:rPr>
        <w:t>宁波市奉化区溪口镇人民政府维稳治安服务项目</w:t>
      </w:r>
      <w:r>
        <w:rPr>
          <w:rFonts w:hint="eastAsia"/>
          <w:sz w:val="32"/>
          <w:szCs w:val="32"/>
        </w:rPr>
        <w:t>采购需求</w:t>
      </w:r>
    </w:p>
    <w:p>
      <w:pPr>
        <w:pStyle w:val="8"/>
        <w:adjustRightInd w:val="0"/>
        <w:snapToGrid w:val="0"/>
        <w:spacing w:beforeLines="0" w:afterLines="0" w:line="360" w:lineRule="auto"/>
        <w:ind w:firstLine="420" w:firstLineChars="200"/>
        <w:jc w:val="left"/>
        <w:outlineLvl w:val="1"/>
        <w:rPr>
          <w:rFonts w:hAnsi="宋体" w:cs="宋体"/>
          <w:b/>
          <w:color w:val="000000"/>
          <w:sz w:val="21"/>
          <w:szCs w:val="21"/>
        </w:rPr>
      </w:pPr>
      <w:bookmarkStart w:id="0" w:name="_Toc470009588"/>
      <w:bookmarkStart w:id="1" w:name="_Toc469778244"/>
      <w:bookmarkStart w:id="2" w:name="_Toc485799625"/>
      <w:r>
        <w:rPr>
          <w:rFonts w:hint="eastAsia" w:hAnsi="宋体" w:cs="宋体"/>
          <w:b/>
          <w:color w:val="000000"/>
          <w:sz w:val="21"/>
          <w:szCs w:val="21"/>
        </w:rPr>
        <w:t>一、项目清单</w:t>
      </w:r>
      <w:bookmarkEnd w:id="0"/>
      <w:bookmarkEnd w:id="1"/>
      <w:bookmarkEnd w:id="2"/>
    </w:p>
    <w:tbl>
      <w:tblPr>
        <w:tblStyle w:val="14"/>
        <w:tblW w:w="890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984"/>
        <w:gridCol w:w="496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1" w:type="dxa"/>
            <w:noWrap w:val="0"/>
            <w:vAlign w:val="center"/>
          </w:tcPr>
          <w:p>
            <w:pPr>
              <w:pStyle w:val="8"/>
              <w:adjustRightInd w:val="0"/>
              <w:snapToGrid w:val="0"/>
              <w:spacing w:beforeLines="0" w:afterLines="0" w:line="240" w:lineRule="auto"/>
              <w:jc w:val="center"/>
              <w:rPr>
                <w:rFonts w:hAnsi="宋体" w:cs="宋体"/>
                <w:color w:val="000000"/>
                <w:sz w:val="21"/>
                <w:szCs w:val="21"/>
              </w:rPr>
            </w:pPr>
            <w:bookmarkStart w:id="3" w:name="_Toc469778245"/>
            <w:r>
              <w:rPr>
                <w:rFonts w:hint="eastAsia" w:hAnsi="宋体" w:cs="宋体"/>
                <w:color w:val="000000"/>
                <w:sz w:val="21"/>
                <w:szCs w:val="21"/>
              </w:rPr>
              <w:t>序号</w:t>
            </w:r>
            <w:bookmarkEnd w:id="3"/>
          </w:p>
        </w:tc>
        <w:tc>
          <w:tcPr>
            <w:tcW w:w="1984" w:type="dxa"/>
            <w:noWrap w:val="0"/>
            <w:vAlign w:val="center"/>
          </w:tcPr>
          <w:p>
            <w:pPr>
              <w:pStyle w:val="8"/>
              <w:adjustRightInd w:val="0"/>
              <w:snapToGrid w:val="0"/>
              <w:spacing w:beforeLines="0" w:afterLines="0" w:line="240" w:lineRule="auto"/>
              <w:ind w:firstLine="420" w:firstLineChars="200"/>
              <w:rPr>
                <w:rFonts w:hAnsi="宋体" w:cs="宋体"/>
                <w:color w:val="000000"/>
                <w:sz w:val="21"/>
                <w:szCs w:val="21"/>
              </w:rPr>
            </w:pPr>
            <w:bookmarkStart w:id="4" w:name="_Toc469778246"/>
            <w:r>
              <w:rPr>
                <w:rFonts w:hint="eastAsia" w:hAnsi="宋体" w:cs="宋体"/>
                <w:color w:val="000000"/>
                <w:sz w:val="21"/>
                <w:szCs w:val="21"/>
              </w:rPr>
              <w:t>项目名称</w:t>
            </w:r>
            <w:bookmarkEnd w:id="4"/>
          </w:p>
        </w:tc>
        <w:tc>
          <w:tcPr>
            <w:tcW w:w="4961" w:type="dxa"/>
            <w:noWrap w:val="0"/>
            <w:vAlign w:val="center"/>
          </w:tcPr>
          <w:p>
            <w:pPr>
              <w:pStyle w:val="8"/>
              <w:adjustRightInd w:val="0"/>
              <w:snapToGrid w:val="0"/>
              <w:spacing w:beforeLines="0" w:afterLines="0" w:line="240" w:lineRule="auto"/>
              <w:jc w:val="center"/>
              <w:rPr>
                <w:rFonts w:hAnsi="宋体" w:cs="宋体"/>
                <w:color w:val="000000"/>
                <w:sz w:val="21"/>
                <w:szCs w:val="21"/>
              </w:rPr>
            </w:pPr>
            <w:bookmarkStart w:id="5" w:name="_Toc469778247"/>
            <w:r>
              <w:rPr>
                <w:rFonts w:hint="eastAsia" w:hAnsi="宋体" w:cs="宋体"/>
                <w:color w:val="000000"/>
                <w:sz w:val="21"/>
                <w:szCs w:val="21"/>
              </w:rPr>
              <w:t>服务期限</w:t>
            </w:r>
            <w:bookmarkEnd w:id="5"/>
          </w:p>
        </w:tc>
        <w:tc>
          <w:tcPr>
            <w:tcW w:w="1276" w:type="dxa"/>
            <w:noWrap w:val="0"/>
            <w:vAlign w:val="center"/>
          </w:tcPr>
          <w:p>
            <w:pPr>
              <w:pStyle w:val="8"/>
              <w:adjustRightInd w:val="0"/>
              <w:snapToGrid w:val="0"/>
              <w:spacing w:beforeLines="0" w:afterLines="0" w:line="240" w:lineRule="auto"/>
              <w:jc w:val="center"/>
              <w:rPr>
                <w:rFonts w:hAnsi="宋体" w:cs="宋体"/>
                <w:color w:val="000000"/>
                <w:sz w:val="21"/>
                <w:szCs w:val="21"/>
              </w:rPr>
            </w:pPr>
            <w:bookmarkStart w:id="6" w:name="_Toc469778248"/>
            <w:r>
              <w:rPr>
                <w:rFonts w:hint="eastAsia" w:hAnsi="宋体" w:cs="宋体"/>
                <w:color w:val="000000"/>
                <w:sz w:val="21"/>
                <w:szCs w:val="21"/>
              </w:rPr>
              <w:t>最高限价</w:t>
            </w:r>
            <w:bookmarkEnd w:id="6"/>
          </w:p>
          <w:p>
            <w:pPr>
              <w:pStyle w:val="8"/>
              <w:adjustRightInd w:val="0"/>
              <w:snapToGrid w:val="0"/>
              <w:spacing w:beforeLines="0" w:afterLines="0" w:line="240" w:lineRule="auto"/>
              <w:jc w:val="center"/>
              <w:rPr>
                <w:rFonts w:hAnsi="宋体" w:cs="宋体"/>
                <w:color w:val="000000"/>
                <w:sz w:val="21"/>
                <w:szCs w:val="21"/>
              </w:rPr>
            </w:pPr>
            <w:bookmarkStart w:id="7" w:name="_Toc469778249"/>
            <w:r>
              <w:rPr>
                <w:rFonts w:hint="eastAsia" w:hAnsi="宋体" w:cs="宋体"/>
                <w:color w:val="000000"/>
                <w:sz w:val="21"/>
                <w:szCs w:val="21"/>
              </w:rPr>
              <w:t>（万元/年）</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1" w:type="dxa"/>
            <w:noWrap w:val="0"/>
            <w:vAlign w:val="center"/>
          </w:tcPr>
          <w:p>
            <w:pPr>
              <w:pStyle w:val="8"/>
              <w:adjustRightInd w:val="0"/>
              <w:snapToGrid w:val="0"/>
              <w:spacing w:beforeLines="0" w:afterLines="0" w:line="240" w:lineRule="auto"/>
              <w:jc w:val="center"/>
              <w:rPr>
                <w:rFonts w:hAnsi="宋体" w:cs="宋体"/>
                <w:color w:val="000000"/>
                <w:sz w:val="21"/>
                <w:szCs w:val="21"/>
              </w:rPr>
            </w:pPr>
            <w:bookmarkStart w:id="8" w:name="_Toc469778250"/>
            <w:r>
              <w:rPr>
                <w:rFonts w:hint="eastAsia" w:hAnsi="宋体" w:cs="宋体"/>
                <w:color w:val="000000"/>
                <w:sz w:val="21"/>
                <w:szCs w:val="21"/>
              </w:rPr>
              <w:t>1</w:t>
            </w:r>
            <w:bookmarkEnd w:id="8"/>
          </w:p>
        </w:tc>
        <w:tc>
          <w:tcPr>
            <w:tcW w:w="1984" w:type="dxa"/>
            <w:noWrap w:val="0"/>
            <w:vAlign w:val="center"/>
          </w:tcPr>
          <w:p>
            <w:pPr>
              <w:pStyle w:val="8"/>
              <w:adjustRightInd w:val="0"/>
              <w:snapToGrid w:val="0"/>
              <w:spacing w:beforeLines="0" w:afterLines="0" w:line="240" w:lineRule="auto"/>
              <w:jc w:val="center"/>
              <w:rPr>
                <w:rFonts w:hAnsi="宋体" w:cs="宋体"/>
                <w:color w:val="000000"/>
                <w:sz w:val="21"/>
                <w:szCs w:val="21"/>
              </w:rPr>
            </w:pPr>
            <w:r>
              <w:rPr>
                <w:rFonts w:hAnsi="宋体" w:cs="宋体"/>
                <w:color w:val="000000"/>
                <w:sz w:val="21"/>
                <w:szCs w:val="21"/>
              </w:rPr>
              <w:t>维稳治安服务项目</w:t>
            </w:r>
          </w:p>
        </w:tc>
        <w:tc>
          <w:tcPr>
            <w:tcW w:w="4961" w:type="dxa"/>
            <w:noWrap w:val="0"/>
            <w:vAlign w:val="center"/>
          </w:tcPr>
          <w:p>
            <w:pPr>
              <w:pStyle w:val="8"/>
              <w:adjustRightInd w:val="0"/>
              <w:snapToGrid w:val="0"/>
              <w:spacing w:beforeLines="0" w:afterLines="0" w:line="240" w:lineRule="auto"/>
              <w:rPr>
                <w:rFonts w:hAnsi="宋体" w:cs="宋体"/>
                <w:color w:val="000000"/>
                <w:sz w:val="21"/>
                <w:szCs w:val="21"/>
              </w:rPr>
            </w:pPr>
            <w:bookmarkStart w:id="9" w:name="_Toc469778252"/>
            <w:r>
              <w:rPr>
                <w:rFonts w:hint="eastAsia" w:hAnsi="宋体"/>
                <w:sz w:val="21"/>
                <w:szCs w:val="21"/>
              </w:rPr>
              <w:t>服务期限：自合同签订之日起三年，合同为一年一签。如中标单位在上一年度合同履约情况良好，经甲乙双方同意，并报奉化区采购办批准，可续签下一年度合同。</w:t>
            </w:r>
            <w:bookmarkEnd w:id="9"/>
          </w:p>
        </w:tc>
        <w:tc>
          <w:tcPr>
            <w:tcW w:w="1276" w:type="dxa"/>
            <w:noWrap w:val="0"/>
            <w:vAlign w:val="center"/>
          </w:tcPr>
          <w:p>
            <w:pPr>
              <w:pStyle w:val="8"/>
              <w:adjustRightInd w:val="0"/>
              <w:snapToGrid w:val="0"/>
              <w:spacing w:beforeLines="0" w:afterLines="0" w:line="240" w:lineRule="auto"/>
              <w:rPr>
                <w:rFonts w:hAnsi="宋体" w:cs="宋体"/>
                <w:color w:val="000000"/>
                <w:sz w:val="21"/>
                <w:szCs w:val="21"/>
              </w:rPr>
            </w:pPr>
            <w:bookmarkStart w:id="17" w:name="_GoBack"/>
            <w:bookmarkEnd w:id="17"/>
            <w:r>
              <w:rPr>
                <w:rFonts w:hint="eastAsia" w:ascii="宋体" w:hAnsi="宋体" w:eastAsia="宋体" w:cs="宋体"/>
                <w:color w:val="333333"/>
                <w:sz w:val="21"/>
                <w:szCs w:val="21"/>
                <w:lang w:val="en-US" w:eastAsia="zh-CN"/>
              </w:rPr>
              <w:t>298万</w:t>
            </w:r>
            <w:r>
              <w:rPr>
                <w:rFonts w:hint="eastAsia" w:ascii="宋体" w:hAnsi="宋体" w:eastAsia="宋体" w:cs="宋体"/>
                <w:color w:val="333333"/>
                <w:sz w:val="21"/>
                <w:szCs w:val="21"/>
              </w:rPr>
              <w:t>元/年，合同期限三年，一年一签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02" w:type="dxa"/>
            <w:gridSpan w:val="4"/>
            <w:noWrap w:val="0"/>
            <w:vAlign w:val="center"/>
          </w:tcPr>
          <w:p>
            <w:pPr>
              <w:pStyle w:val="8"/>
              <w:adjustRightInd w:val="0"/>
              <w:snapToGrid w:val="0"/>
              <w:spacing w:beforeLines="0" w:afterLines="0" w:line="240" w:lineRule="auto"/>
              <w:rPr>
                <w:rFonts w:hAnsi="宋体" w:cs="宋体"/>
                <w:color w:val="000000"/>
                <w:sz w:val="21"/>
                <w:szCs w:val="21"/>
              </w:rPr>
            </w:pPr>
            <w:bookmarkStart w:id="10" w:name="_Toc469778253"/>
            <w:r>
              <w:rPr>
                <w:rFonts w:hint="eastAsia" w:hAnsi="宋体" w:cs="宋体"/>
                <w:color w:val="000000"/>
                <w:sz w:val="21"/>
                <w:szCs w:val="21"/>
              </w:rPr>
              <w:t>备注：（1）供应商应对整个项目报价，否则作无效报价处理；</w:t>
            </w:r>
            <w:bookmarkEnd w:id="10"/>
          </w:p>
          <w:p>
            <w:pPr>
              <w:pStyle w:val="8"/>
              <w:adjustRightInd w:val="0"/>
              <w:snapToGrid w:val="0"/>
              <w:spacing w:beforeLines="0" w:afterLines="0" w:line="240" w:lineRule="auto"/>
              <w:ind w:firstLine="420" w:firstLineChars="200"/>
              <w:rPr>
                <w:rFonts w:hAnsi="宋体" w:cs="宋体"/>
                <w:color w:val="000000"/>
                <w:sz w:val="21"/>
                <w:szCs w:val="21"/>
              </w:rPr>
            </w:pPr>
            <w:bookmarkStart w:id="11" w:name="_Toc469778254"/>
            <w:r>
              <w:rPr>
                <w:rFonts w:hint="eastAsia" w:hAnsi="宋体" w:cs="宋体"/>
                <w:color w:val="000000"/>
                <w:sz w:val="21"/>
                <w:szCs w:val="21"/>
              </w:rPr>
              <w:t>（2）本次招标设有最高限价，超出限价的投标作无效标处理。</w:t>
            </w:r>
            <w:bookmarkEnd w:id="11"/>
          </w:p>
        </w:tc>
      </w:tr>
    </w:tbl>
    <w:p>
      <w:pPr>
        <w:pStyle w:val="13"/>
        <w:adjustRightInd w:val="0"/>
        <w:snapToGrid w:val="0"/>
        <w:spacing w:before="0" w:after="0" w:line="400" w:lineRule="exact"/>
        <w:ind w:firstLine="420" w:firstLineChars="200"/>
        <w:jc w:val="both"/>
        <w:outlineLvl w:val="1"/>
        <w:rPr>
          <w:rFonts w:ascii="宋体" w:hAnsi="宋体" w:cs="宋体"/>
          <w:sz w:val="21"/>
          <w:szCs w:val="21"/>
        </w:rPr>
      </w:pPr>
      <w:bookmarkStart w:id="12" w:name="_Toc470009589"/>
      <w:bookmarkStart w:id="13" w:name="_Toc485799626"/>
      <w:r>
        <w:rPr>
          <w:rFonts w:hint="eastAsia" w:ascii="宋体" w:hAnsi="宋体" w:cs="宋体"/>
          <w:color w:val="000000"/>
          <w:sz w:val="21"/>
          <w:szCs w:val="21"/>
        </w:rPr>
        <w:t>二、项目概况</w:t>
      </w:r>
      <w:bookmarkEnd w:id="12"/>
      <w:bookmarkEnd w:id="13"/>
    </w:p>
    <w:p>
      <w:pPr>
        <w:pStyle w:val="8"/>
        <w:adjustRightInd w:val="0"/>
        <w:snapToGrid w:val="0"/>
        <w:spacing w:beforeLines="0" w:afterLines="0"/>
        <w:ind w:firstLine="420" w:firstLineChars="200"/>
        <w:jc w:val="left"/>
        <w:rPr>
          <w:rFonts w:hAnsi="宋体" w:cs="宋体"/>
          <w:kern w:val="58"/>
          <w:sz w:val="21"/>
          <w:szCs w:val="21"/>
        </w:rPr>
      </w:pPr>
      <w:bookmarkStart w:id="14" w:name="_Toc469778256"/>
      <w:r>
        <w:rPr>
          <w:rFonts w:hint="eastAsia" w:hAnsi="宋体" w:cs="宋体"/>
          <w:sz w:val="21"/>
          <w:szCs w:val="21"/>
        </w:rPr>
        <w:t>奉化溪口</w:t>
      </w:r>
      <w:r>
        <w:rPr>
          <w:rFonts w:hint="eastAsia" w:hAnsi="宋体" w:cs="宋体"/>
          <w:color w:val="333333"/>
          <w:sz w:val="21"/>
          <w:szCs w:val="21"/>
          <w:shd w:val="clear" w:color="auto" w:fill="FFFFFF"/>
        </w:rPr>
        <w:t>行政区域面积381.6平方公里，下辖7个便民服务工作站、55个行政村、6个居委会，是目前浙江省行政区域面积最大的一个行政镇。辖内的“溪口—雪窦山风景名胜区”是国家级重点风景名胜区</w:t>
      </w:r>
      <w:r>
        <w:rPr>
          <w:rFonts w:hint="eastAsia" w:hAnsi="宋体" w:cs="宋体"/>
          <w:kern w:val="58"/>
          <w:sz w:val="21"/>
          <w:szCs w:val="21"/>
        </w:rPr>
        <w:t>。</w:t>
      </w:r>
      <w:bookmarkEnd w:id="14"/>
    </w:p>
    <w:p>
      <w:pPr>
        <w:pStyle w:val="8"/>
        <w:adjustRightInd w:val="0"/>
        <w:snapToGrid w:val="0"/>
        <w:spacing w:beforeLines="0" w:afterLines="0"/>
        <w:ind w:firstLine="420" w:firstLineChars="200"/>
        <w:jc w:val="left"/>
        <w:rPr>
          <w:rFonts w:hAnsi="宋体" w:cs="宋体"/>
          <w:kern w:val="58"/>
          <w:sz w:val="21"/>
          <w:szCs w:val="21"/>
        </w:rPr>
      </w:pPr>
      <w:r>
        <w:rPr>
          <w:rFonts w:hint="eastAsia" w:hAnsi="宋体" w:cs="宋体"/>
          <w:kern w:val="58"/>
          <w:sz w:val="21"/>
          <w:szCs w:val="21"/>
        </w:rPr>
        <w:t>当前，溪口镇正处于佛教名山建设、产业结构转型等前所未有的重大发展机遇，但也面临诸多矛盾叠加、风险隐患增多的严竣挑战，需要通过创新社会治理模式，提高社会治理现代化水平。为此，通过政府购买服务的方式，引入第三方企业参与溪口辖区（包括各村、社区、景区）的安保维稳工作。</w:t>
      </w:r>
    </w:p>
    <w:p>
      <w:pPr>
        <w:adjustRightInd w:val="0"/>
        <w:snapToGrid w:val="0"/>
        <w:spacing w:line="400" w:lineRule="exact"/>
        <w:ind w:firstLine="420" w:firstLineChars="200"/>
        <w:jc w:val="left"/>
        <w:outlineLvl w:val="1"/>
        <w:rPr>
          <w:rFonts w:ascii="宋体" w:hAnsi="宋体" w:cs="宋体"/>
          <w:b/>
          <w:color w:val="000000"/>
          <w:szCs w:val="21"/>
        </w:rPr>
      </w:pPr>
      <w:bookmarkStart w:id="15" w:name="_Toc470009590"/>
      <w:bookmarkStart w:id="16" w:name="_Toc485799627"/>
      <w:r>
        <w:rPr>
          <w:rFonts w:hint="eastAsia" w:ascii="宋体" w:hAnsi="宋体" w:cs="宋体"/>
          <w:b/>
          <w:color w:val="000000"/>
          <w:szCs w:val="21"/>
        </w:rPr>
        <w:t>三、人员配备和服务内容、服务要求</w:t>
      </w:r>
      <w:bookmarkEnd w:id="15"/>
      <w:bookmarkEnd w:id="16"/>
    </w:p>
    <w:p>
      <w:pPr>
        <w:adjustRightInd w:val="0"/>
        <w:snapToGrid w:val="0"/>
        <w:spacing w:line="400" w:lineRule="exact"/>
        <w:ind w:firstLine="420" w:firstLineChars="200"/>
        <w:jc w:val="left"/>
        <w:rPr>
          <w:rFonts w:ascii="宋体" w:hAnsi="宋体" w:cs="宋体"/>
          <w:b/>
          <w:color w:val="000000"/>
          <w:szCs w:val="21"/>
        </w:rPr>
      </w:pPr>
      <w:r>
        <w:rPr>
          <w:rFonts w:hint="eastAsia" w:ascii="宋体" w:hAnsi="宋体" w:cs="宋体"/>
          <w:bCs/>
          <w:szCs w:val="21"/>
        </w:rPr>
        <w:t>人员配备不少于</w:t>
      </w:r>
      <w:r>
        <w:rPr>
          <w:rFonts w:hint="eastAsia" w:ascii="宋体" w:hAnsi="宋体" w:cs="宋体"/>
          <w:bCs/>
          <w:szCs w:val="21"/>
          <w:lang w:val="en-US" w:eastAsia="zh-CN"/>
        </w:rPr>
        <w:t>62</w:t>
      </w:r>
      <w:r>
        <w:rPr>
          <w:rFonts w:hint="eastAsia" w:ascii="宋体" w:hAnsi="宋体" w:cs="宋体"/>
          <w:bCs/>
          <w:szCs w:val="21"/>
        </w:rPr>
        <w:t>人，</w:t>
      </w:r>
      <w:r>
        <w:rPr>
          <w:rFonts w:hint="eastAsia" w:ascii="宋体" w:hAnsi="宋体" w:cs="宋体"/>
          <w:bCs/>
          <w:color w:val="000000"/>
          <w:szCs w:val="21"/>
        </w:rPr>
        <w:t>其中项</w:t>
      </w:r>
      <w:r>
        <w:rPr>
          <w:rFonts w:hint="eastAsia" w:ascii="宋体" w:hAnsi="宋体" w:cs="宋体"/>
          <w:color w:val="000000"/>
          <w:szCs w:val="21"/>
        </w:rPr>
        <w:t>目经理1名（注：工种类别为“其他企业管理人员”），项目内勤1名（注：工种类别为“文员”），保安员60名（注：工种类别为“保安”）。</w:t>
      </w:r>
    </w:p>
    <w:p>
      <w:pPr>
        <w:numPr>
          <w:ilvl w:val="0"/>
          <w:numId w:val="2"/>
        </w:numPr>
        <w:adjustRightInd w:val="0"/>
        <w:snapToGrid w:val="0"/>
        <w:spacing w:line="400" w:lineRule="exact"/>
        <w:ind w:firstLine="420" w:firstLineChars="200"/>
        <w:jc w:val="left"/>
        <w:rPr>
          <w:rFonts w:ascii="宋体" w:hAnsi="宋体" w:cs="宋体"/>
          <w:b/>
          <w:color w:val="000000"/>
          <w:szCs w:val="21"/>
        </w:rPr>
      </w:pPr>
      <w:r>
        <w:rPr>
          <w:rFonts w:hint="eastAsia" w:ascii="宋体" w:hAnsi="宋体" w:cs="宋体"/>
          <w:b/>
          <w:color w:val="000000"/>
          <w:szCs w:val="21"/>
        </w:rPr>
        <w:t>管理人员基本要求</w:t>
      </w:r>
    </w:p>
    <w:p>
      <w:pPr>
        <w:adjustRightInd w:val="0"/>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项目经理要求：有较好的政治素质和较强事业心、责任感，有较高的业务水准，较强的组织协调与管理能力；现场应急处置能力强，具备复杂环境下较强的应急处置能力；有类似保安项目管理经历，持保安经理上岗资格证，年龄在40周岁以内。</w:t>
      </w:r>
    </w:p>
    <w:p>
      <w:pPr>
        <w:adjustRightInd w:val="0"/>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项目内勤人员素质要求：工作责任性强，能熟练使用电脑，具备一定的文字和语言表达能力，年龄在40周岁以内。</w:t>
      </w:r>
    </w:p>
    <w:p>
      <w:pPr>
        <w:adjustRightInd w:val="0"/>
        <w:snapToGrid w:val="0"/>
        <w:spacing w:line="400" w:lineRule="exact"/>
        <w:ind w:firstLine="420" w:firstLineChars="200"/>
        <w:jc w:val="left"/>
        <w:rPr>
          <w:rFonts w:ascii="宋体" w:hAnsi="宋体" w:cs="宋体"/>
          <w:b/>
          <w:color w:val="000000"/>
          <w:szCs w:val="21"/>
        </w:rPr>
      </w:pPr>
      <w:r>
        <w:rPr>
          <w:rFonts w:hint="eastAsia" w:ascii="宋体" w:hAnsi="宋体" w:cs="宋体"/>
          <w:b/>
          <w:color w:val="000000"/>
          <w:szCs w:val="21"/>
        </w:rPr>
        <w:t>2、安保人员基本要求</w:t>
      </w:r>
    </w:p>
    <w:p>
      <w:pPr>
        <w:adjustRightInd w:val="0"/>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素质要求：要求年龄不超过40周岁，品貌端正，工作责任性强，政治思想好，身体健康，无不良记录和嗜好；持保安员上岗证，工作认真负责（其中保安员中的女性保安应占比例不低于总数的1/5）。</w:t>
      </w:r>
    </w:p>
    <w:p>
      <w:pPr>
        <w:numPr>
          <w:ilvl w:val="0"/>
          <w:numId w:val="3"/>
        </w:numPr>
        <w:adjustRightInd w:val="0"/>
        <w:snapToGrid w:val="0"/>
        <w:spacing w:line="400" w:lineRule="exact"/>
        <w:ind w:firstLine="420" w:firstLineChars="200"/>
        <w:jc w:val="left"/>
        <w:rPr>
          <w:rFonts w:ascii="宋体" w:hAnsi="宋体" w:cs="宋体"/>
          <w:b/>
          <w:bCs/>
          <w:color w:val="000000"/>
          <w:szCs w:val="21"/>
        </w:rPr>
      </w:pPr>
      <w:r>
        <w:rPr>
          <w:rFonts w:hint="eastAsia" w:ascii="宋体" w:hAnsi="宋体" w:cs="宋体"/>
          <w:b/>
          <w:bCs/>
          <w:color w:val="000000"/>
          <w:szCs w:val="21"/>
        </w:rPr>
        <w:t>项目主要内容</w:t>
      </w:r>
    </w:p>
    <w:p>
      <w:pPr>
        <w:adjustRightInd w:val="0"/>
        <w:snapToGrid w:val="0"/>
        <w:spacing w:line="400" w:lineRule="exact"/>
        <w:ind w:firstLine="421"/>
        <w:jc w:val="left"/>
        <w:rPr>
          <w:rFonts w:ascii="宋体" w:hAnsi="宋体" w:cs="宋体"/>
          <w:color w:val="000000"/>
          <w:szCs w:val="21"/>
        </w:rPr>
      </w:pPr>
      <w:r>
        <w:rPr>
          <w:rFonts w:hint="eastAsia" w:ascii="宋体" w:hAnsi="宋体" w:cs="宋体"/>
          <w:color w:val="000000"/>
          <w:szCs w:val="21"/>
        </w:rPr>
        <w:t>以建设更高水平的“平安溪口”为目标，加强和创新社会治理，通过引入社会力量，加强群防群治，提升溪口治安品质和群众安全感。</w:t>
      </w:r>
    </w:p>
    <w:p>
      <w:pPr>
        <w:adjustRightInd w:val="0"/>
        <w:snapToGrid w:val="0"/>
        <w:spacing w:line="400" w:lineRule="exact"/>
        <w:ind w:firstLine="421"/>
        <w:jc w:val="left"/>
        <w:rPr>
          <w:rFonts w:ascii="宋体" w:hAnsi="宋体" w:cs="宋体"/>
          <w:color w:val="000000"/>
          <w:szCs w:val="21"/>
        </w:rPr>
      </w:pPr>
      <w:r>
        <w:rPr>
          <w:rFonts w:hint="eastAsia" w:ascii="宋体" w:hAnsi="宋体" w:cs="宋体"/>
          <w:color w:val="000000"/>
          <w:szCs w:val="21"/>
        </w:rPr>
        <w:t>1、重点区域、重点时段巡逻安保服务。基于辖区警情研判，在公安***、交警和综合执法等部门的指导下，科学制定勤务，开展针对性强的常态化巡防工作。</w:t>
      </w:r>
    </w:p>
    <w:p>
      <w:pPr>
        <w:pStyle w:val="8"/>
        <w:adjustRightInd w:val="0"/>
        <w:snapToGrid w:val="0"/>
        <w:spacing w:beforeLines="0" w:afterLines="0"/>
        <w:ind w:firstLine="420" w:firstLineChars="200"/>
        <w:jc w:val="left"/>
        <w:rPr>
          <w:rFonts w:hAnsi="宋体" w:cs="宋体"/>
          <w:kern w:val="58"/>
          <w:sz w:val="21"/>
          <w:szCs w:val="21"/>
        </w:rPr>
      </w:pPr>
      <w:r>
        <w:rPr>
          <w:rFonts w:hint="eastAsia" w:hAnsi="宋体" w:cs="宋体"/>
          <w:color w:val="000000"/>
          <w:sz w:val="21"/>
          <w:szCs w:val="21"/>
        </w:rPr>
        <w:t>2、重大节假日及重大节庆安保服务。在清明节、劳动节、端午节、国庆节、中秋节、春节等节假日和辖区内较大规模活动期间，在辖区公安、交警、综合执法等部门的指导下，参与维护整个溪口辖区</w:t>
      </w:r>
      <w:r>
        <w:rPr>
          <w:rFonts w:hint="eastAsia" w:hAnsi="宋体" w:cs="宋体"/>
          <w:kern w:val="58"/>
          <w:sz w:val="21"/>
          <w:szCs w:val="21"/>
        </w:rPr>
        <w:t>（包括各村、社区、景区）的安全稳定和交通有序。</w:t>
      </w:r>
    </w:p>
    <w:p>
      <w:pPr>
        <w:pStyle w:val="8"/>
        <w:adjustRightInd w:val="0"/>
        <w:snapToGrid w:val="0"/>
        <w:spacing w:beforeLines="0" w:afterLines="0"/>
        <w:ind w:firstLine="420" w:firstLineChars="200"/>
        <w:jc w:val="left"/>
        <w:rPr>
          <w:rFonts w:hAnsi="宋体" w:cs="宋体"/>
          <w:kern w:val="58"/>
          <w:sz w:val="21"/>
          <w:szCs w:val="21"/>
        </w:rPr>
      </w:pPr>
      <w:r>
        <w:rPr>
          <w:rFonts w:hint="eastAsia" w:hAnsi="宋体" w:cs="宋体"/>
          <w:kern w:val="58"/>
          <w:sz w:val="21"/>
          <w:szCs w:val="21"/>
        </w:rPr>
        <w:t>3、征地拆迁安保服务。在溪口镇重大项目征地拆迁过程中，参与现场秩序维护，配合处置各类突发事件。</w:t>
      </w:r>
    </w:p>
    <w:p>
      <w:pPr>
        <w:pStyle w:val="8"/>
        <w:adjustRightInd w:val="0"/>
        <w:snapToGrid w:val="0"/>
        <w:spacing w:beforeLines="0" w:afterLines="0"/>
        <w:ind w:firstLine="420" w:firstLineChars="200"/>
        <w:jc w:val="left"/>
        <w:rPr>
          <w:rFonts w:hAnsi="宋体" w:cs="宋体"/>
          <w:kern w:val="58"/>
          <w:sz w:val="21"/>
          <w:szCs w:val="21"/>
        </w:rPr>
      </w:pPr>
      <w:r>
        <w:rPr>
          <w:rFonts w:hint="eastAsia" w:hAnsi="宋体" w:cs="宋体"/>
          <w:kern w:val="58"/>
          <w:sz w:val="21"/>
          <w:szCs w:val="21"/>
        </w:rPr>
        <w:t>4、清除抢种花木安保服务。在综合执法过程中，配合职能部门，做好制止非法“抢种”苗木的现场安保工作。</w:t>
      </w:r>
    </w:p>
    <w:p>
      <w:pPr>
        <w:pStyle w:val="8"/>
        <w:adjustRightInd w:val="0"/>
        <w:snapToGrid w:val="0"/>
        <w:spacing w:beforeLines="0" w:afterLines="0"/>
        <w:ind w:firstLine="420" w:firstLineChars="200"/>
        <w:jc w:val="left"/>
        <w:rPr>
          <w:rFonts w:hAnsi="宋体" w:cs="宋体"/>
          <w:kern w:val="58"/>
          <w:sz w:val="21"/>
          <w:szCs w:val="21"/>
        </w:rPr>
      </w:pPr>
      <w:r>
        <w:rPr>
          <w:rFonts w:hint="eastAsia" w:hAnsi="宋体" w:cs="宋体"/>
          <w:kern w:val="58"/>
          <w:sz w:val="21"/>
          <w:szCs w:val="21"/>
        </w:rPr>
        <w:t>5、其他需要中标单位提供安保服务的工作。</w:t>
      </w:r>
    </w:p>
    <w:p>
      <w:pPr>
        <w:pStyle w:val="8"/>
        <w:adjustRightInd w:val="0"/>
        <w:snapToGrid w:val="0"/>
        <w:spacing w:beforeLines="0" w:afterLines="0"/>
        <w:ind w:firstLine="420" w:firstLineChars="200"/>
        <w:jc w:val="left"/>
        <w:rPr>
          <w:rFonts w:hAnsi="宋体" w:cs="宋体"/>
          <w:b/>
          <w:bCs/>
          <w:kern w:val="58"/>
          <w:sz w:val="21"/>
          <w:szCs w:val="21"/>
        </w:rPr>
      </w:pPr>
      <w:r>
        <w:rPr>
          <w:rFonts w:hint="eastAsia" w:hAnsi="宋体" w:cs="宋体"/>
          <w:b/>
          <w:bCs/>
          <w:kern w:val="58"/>
          <w:sz w:val="21"/>
          <w:szCs w:val="21"/>
        </w:rPr>
        <w:t>五、服务要求</w:t>
      </w:r>
    </w:p>
    <w:p>
      <w:pPr>
        <w:adjustRightInd w:val="0"/>
        <w:snapToGrid w:val="0"/>
        <w:spacing w:line="400" w:lineRule="exact"/>
        <w:ind w:firstLine="420" w:firstLineChars="200"/>
        <w:jc w:val="left"/>
        <w:rPr>
          <w:rFonts w:ascii="宋体" w:hAnsi="宋体" w:cs="宋体"/>
          <w:szCs w:val="21"/>
        </w:rPr>
      </w:pPr>
      <w:r>
        <w:rPr>
          <w:rFonts w:hint="eastAsia" w:ascii="宋体" w:hAnsi="宋体" w:cs="宋体"/>
          <w:kern w:val="58"/>
          <w:szCs w:val="21"/>
        </w:rPr>
        <w:t>1、</w:t>
      </w:r>
      <w:r>
        <w:rPr>
          <w:rFonts w:hint="eastAsia" w:ascii="宋体" w:hAnsi="宋体" w:cs="宋体"/>
          <w:szCs w:val="21"/>
        </w:rPr>
        <w:t>具备在短时间内，组织动员60人以上且训练有素、装备齐全的安保维稳队伍能力，及时到达指定地点，参与安保服务。</w:t>
      </w:r>
    </w:p>
    <w:p>
      <w:pPr>
        <w:adjustRightInd w:val="0"/>
        <w:snapToGrid w:val="0"/>
        <w:spacing w:line="400" w:lineRule="exact"/>
        <w:ind w:firstLine="420" w:firstLineChars="200"/>
        <w:jc w:val="left"/>
        <w:rPr>
          <w:rFonts w:ascii="宋体" w:hAnsi="宋体" w:cs="宋体"/>
          <w:color w:val="000000"/>
          <w:szCs w:val="21"/>
        </w:rPr>
      </w:pPr>
      <w:r>
        <w:rPr>
          <w:rFonts w:hint="eastAsia" w:ascii="宋体" w:hAnsi="宋体" w:cs="宋体"/>
          <w:szCs w:val="21"/>
        </w:rPr>
        <w:t>2、能够按照要求承担辖区各类安保工作。</w:t>
      </w:r>
    </w:p>
    <w:p>
      <w:pPr>
        <w:jc w:val="left"/>
        <w:rPr>
          <w:rFonts w:hint="eastAsia"/>
          <w:bCs/>
          <w:szCs w:val="21"/>
        </w:rPr>
      </w:pPr>
    </w:p>
    <w:p>
      <w:pPr>
        <w:jc w:val="left"/>
        <w:rPr>
          <w:rFonts w:hint="eastAsia"/>
          <w:bCs/>
          <w:szCs w:val="21"/>
        </w:rPr>
      </w:pPr>
    </w:p>
    <w:p>
      <w:pPr>
        <w:jc w:val="left"/>
        <w:rPr>
          <w:b/>
          <w:szCs w:val="21"/>
        </w:rPr>
      </w:pPr>
      <w:r>
        <w:rPr>
          <w:rFonts w:hint="eastAsia"/>
          <w:bCs/>
          <w:szCs w:val="21"/>
        </w:rPr>
        <w:t>▲</w:t>
      </w:r>
      <w:r>
        <w:rPr>
          <w:rFonts w:hint="eastAsia"/>
          <w:bCs/>
          <w:szCs w:val="21"/>
          <w:lang w:val="en-US" w:eastAsia="zh-CN"/>
        </w:rPr>
        <w:t>六</w:t>
      </w:r>
      <w:r>
        <w:rPr>
          <w:rFonts w:hint="eastAsia" w:ascii="Cambria" w:hAnsi="Cambria"/>
          <w:b/>
          <w:bCs/>
          <w:kern w:val="28"/>
          <w:szCs w:val="21"/>
        </w:rPr>
        <w:t>、商务要求</w:t>
      </w:r>
    </w:p>
    <w:tbl>
      <w:tblPr>
        <w:tblStyle w:val="14"/>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951" w:type="dxa"/>
            <w:noWrap w:val="0"/>
            <w:vAlign w:val="center"/>
          </w:tcPr>
          <w:p>
            <w:pPr>
              <w:jc w:val="center"/>
              <w:rPr>
                <w:szCs w:val="21"/>
              </w:rPr>
            </w:pPr>
            <w:r>
              <w:rPr>
                <w:rFonts w:hint="eastAsia"/>
                <w:szCs w:val="21"/>
              </w:rPr>
              <w:t>服务期限</w:t>
            </w:r>
          </w:p>
        </w:tc>
        <w:tc>
          <w:tcPr>
            <w:tcW w:w="6975" w:type="dxa"/>
            <w:noWrap w:val="0"/>
            <w:vAlign w:val="center"/>
          </w:tcPr>
          <w:p>
            <w:pPr>
              <w:rPr>
                <w:szCs w:val="21"/>
              </w:rPr>
            </w:pPr>
            <w:r>
              <w:rPr>
                <w:rFonts w:hint="eastAsia"/>
                <w:szCs w:val="21"/>
              </w:rPr>
              <w:t>合同签订之日起三年，合同为一年一签，招标人根据中标单位上一年度的履约考核情况及财政资金审批情况决定是否续签，如续签，最多可续签两年。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951" w:type="dxa"/>
            <w:noWrap w:val="0"/>
            <w:vAlign w:val="center"/>
          </w:tcPr>
          <w:p>
            <w:pPr>
              <w:jc w:val="center"/>
              <w:rPr>
                <w:szCs w:val="21"/>
              </w:rPr>
            </w:pPr>
            <w:r>
              <w:rPr>
                <w:rFonts w:hint="eastAsia"/>
                <w:szCs w:val="21"/>
              </w:rPr>
              <w:t>付款条件</w:t>
            </w:r>
          </w:p>
        </w:tc>
        <w:tc>
          <w:tcPr>
            <w:tcW w:w="6975" w:type="dxa"/>
            <w:noWrap w:val="0"/>
            <w:vAlign w:val="center"/>
          </w:tcPr>
          <w:p>
            <w:pPr>
              <w:numPr>
                <w:ilvl w:val="0"/>
                <w:numId w:val="0"/>
              </w:numPr>
              <w:rPr>
                <w:szCs w:val="21"/>
              </w:rPr>
            </w:pPr>
            <w:r>
              <w:rPr>
                <w:rFonts w:hint="eastAsia"/>
                <w:color w:val="000000"/>
                <w:szCs w:val="21"/>
                <w:lang w:val="en-US" w:eastAsia="zh-CN"/>
              </w:rPr>
              <w:t>合同签订后支付合同价款的30%作为预付款，剩余70%为年合同价款，在确认工作完成的情况下，按每月一次等比例支付给中标人。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951" w:type="dxa"/>
            <w:noWrap w:val="0"/>
            <w:vAlign w:val="center"/>
          </w:tcPr>
          <w:p>
            <w:pPr>
              <w:jc w:val="center"/>
              <w:rPr>
                <w:szCs w:val="21"/>
              </w:rPr>
            </w:pPr>
            <w:r>
              <w:rPr>
                <w:szCs w:val="21"/>
              </w:rPr>
              <w:t>合同中止</w:t>
            </w:r>
          </w:p>
        </w:tc>
        <w:tc>
          <w:tcPr>
            <w:tcW w:w="6975" w:type="dxa"/>
            <w:noWrap w:val="0"/>
            <w:vAlign w:val="center"/>
          </w:tcPr>
          <w:p>
            <w:pPr>
              <w:rPr>
                <w:szCs w:val="21"/>
              </w:rPr>
            </w:pPr>
            <w:r>
              <w:rPr>
                <w:rFonts w:hint="eastAsia"/>
                <w:szCs w:val="21"/>
              </w:rPr>
              <w:t>中标人在合同有效期内，不得以任何理由终止合同，确有特殊情况的，须提前2个月向采购人提出书面申请，经采购人同意后，方可终止合同。因中标人达不到招标人要求及投标时各项服务承诺，招标人有权要求其整改、扣款直至终止合同，中标人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951" w:type="dxa"/>
            <w:noWrap w:val="0"/>
            <w:vAlign w:val="center"/>
          </w:tcPr>
          <w:p>
            <w:pPr>
              <w:jc w:val="center"/>
              <w:rPr>
                <w:szCs w:val="21"/>
              </w:rPr>
            </w:pPr>
            <w:r>
              <w:rPr>
                <w:szCs w:val="21"/>
              </w:rPr>
              <w:t>报价构成</w:t>
            </w:r>
          </w:p>
        </w:tc>
        <w:tc>
          <w:tcPr>
            <w:tcW w:w="6975" w:type="dxa"/>
            <w:noWrap w:val="0"/>
            <w:vAlign w:val="center"/>
          </w:tcPr>
          <w:p>
            <w:pPr>
              <w:rPr>
                <w:szCs w:val="21"/>
              </w:rPr>
            </w:pPr>
            <w:r>
              <w:rPr>
                <w:rFonts w:hint="eastAsia"/>
                <w:szCs w:val="21"/>
              </w:rPr>
              <w:t>本项目中标费用包括员工的工资、福利、社会保险，服装费用（中标人自行负责按标准配备，但服装样式需经招标人核准），应纳税金等费用；包括项目涉及的应急备勤车辆、保安器械等。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1951" w:type="dxa"/>
            <w:noWrap w:val="0"/>
            <w:vAlign w:val="center"/>
          </w:tcPr>
          <w:p>
            <w:pPr>
              <w:jc w:val="center"/>
              <w:rPr>
                <w:szCs w:val="21"/>
              </w:rPr>
            </w:pPr>
            <w:r>
              <w:rPr>
                <w:szCs w:val="21"/>
              </w:rPr>
              <w:t>其他要求</w:t>
            </w:r>
          </w:p>
        </w:tc>
        <w:tc>
          <w:tcPr>
            <w:tcW w:w="6975" w:type="dxa"/>
            <w:noWrap w:val="0"/>
            <w:vAlign w:val="center"/>
          </w:tcPr>
          <w:p>
            <w:pPr>
              <w:rPr>
                <w:rFonts w:hint="eastAsia"/>
                <w:szCs w:val="21"/>
              </w:rPr>
            </w:pPr>
            <w:r>
              <w:rPr>
                <w:rFonts w:hint="eastAsia"/>
                <w:szCs w:val="21"/>
              </w:rPr>
              <w:t>1、本次保安服务由一家中标人单位承包，实行统一管理，综合服务，中标人不得将项目分包或整体转包给任何单位和个人，否则招标人有权即刻终止合同，并要求中标人按中标金额的10%赔偿损失。</w:t>
            </w:r>
          </w:p>
          <w:p>
            <w:pPr>
              <w:rPr>
                <w:rFonts w:hint="eastAsia"/>
                <w:szCs w:val="21"/>
              </w:rPr>
            </w:pPr>
            <w:r>
              <w:rPr>
                <w:rFonts w:hint="eastAsia"/>
                <w:szCs w:val="21"/>
              </w:rPr>
              <w:t>2、人员配置应符合项目核定人数、性别比例及年龄结构等，身体健康，适宜承担本项目保安服务工作。</w:t>
            </w:r>
          </w:p>
          <w:p>
            <w:pPr>
              <w:rPr>
                <w:rFonts w:hint="eastAsia"/>
                <w:szCs w:val="21"/>
              </w:rPr>
            </w:pPr>
            <w:r>
              <w:rPr>
                <w:rFonts w:hint="eastAsia"/>
                <w:szCs w:val="21"/>
              </w:rPr>
              <w:t xml:space="preserve">3、中标合同签订一周内，中标方全体人员必须到位，并完成岗前培训等工作。   </w:t>
            </w:r>
          </w:p>
          <w:p>
            <w:pPr>
              <w:rPr>
                <w:rFonts w:hint="eastAsia"/>
                <w:szCs w:val="21"/>
              </w:rPr>
            </w:pPr>
            <w:r>
              <w:rPr>
                <w:rFonts w:hint="eastAsia"/>
                <w:szCs w:val="21"/>
              </w:rPr>
              <w:t>4、中标人需建立健全保安管理档案资料，如保安执勤记录及其他需要记录在案的文档，并做好各项保密工作。</w:t>
            </w:r>
          </w:p>
          <w:p>
            <w:pPr>
              <w:rPr>
                <w:rFonts w:hint="eastAsia"/>
                <w:szCs w:val="21"/>
              </w:rPr>
            </w:pPr>
            <w:r>
              <w:rPr>
                <w:rFonts w:hint="eastAsia"/>
                <w:szCs w:val="21"/>
              </w:rPr>
              <w:t>5、中标人应认真听取招标人提出的建议和意见，并接受招标人的考核管理规定，对在保安管理中出现的问题和薄弱环节应立即整改。</w:t>
            </w:r>
          </w:p>
          <w:p>
            <w:pPr>
              <w:rPr>
                <w:rFonts w:hint="eastAsia"/>
                <w:szCs w:val="21"/>
              </w:rPr>
            </w:pPr>
            <w:r>
              <w:rPr>
                <w:rFonts w:hint="eastAsia"/>
                <w:szCs w:val="21"/>
              </w:rPr>
              <w:t>6、投诉处理率达100%。</w:t>
            </w:r>
          </w:p>
          <w:p>
            <w:pPr>
              <w:rPr>
                <w:rFonts w:hint="eastAsia"/>
                <w:szCs w:val="21"/>
              </w:rPr>
            </w:pPr>
            <w:r>
              <w:rPr>
                <w:rFonts w:hint="eastAsia"/>
                <w:szCs w:val="21"/>
              </w:rPr>
              <w:t>7、所有工作人员应履行保密义务，做到不随意摄录、不传播（包括微信、QQ等网络渠道）、不扩散等，遵守招标单位的规章制度。</w:t>
            </w:r>
          </w:p>
          <w:p>
            <w:pPr>
              <w:rPr>
                <w:rFonts w:hint="eastAsia"/>
                <w:szCs w:val="21"/>
              </w:rPr>
            </w:pPr>
            <w:r>
              <w:rPr>
                <w:rFonts w:hint="eastAsia"/>
                <w:szCs w:val="21"/>
              </w:rPr>
              <w:t>8、建立执勤、巡逻、应急处置以及其他需要记录在案的文档制度，并妥善保管。</w:t>
            </w:r>
          </w:p>
          <w:p>
            <w:pPr>
              <w:rPr>
                <w:rFonts w:hint="eastAsia"/>
                <w:szCs w:val="21"/>
              </w:rPr>
            </w:pPr>
            <w:r>
              <w:rPr>
                <w:rFonts w:hint="eastAsia"/>
                <w:szCs w:val="21"/>
              </w:rPr>
              <w:t>9、在合同期内项目负责人不得变动，有特殊原因必须更换的，需事先征得招标人同意。</w:t>
            </w:r>
          </w:p>
          <w:p>
            <w:pPr>
              <w:rPr>
                <w:rFonts w:hint="eastAsia"/>
                <w:szCs w:val="21"/>
              </w:rPr>
            </w:pPr>
            <w:r>
              <w:rPr>
                <w:rFonts w:hint="eastAsia"/>
                <w:szCs w:val="21"/>
              </w:rPr>
              <w:t>1</w:t>
            </w:r>
            <w:r>
              <w:rPr>
                <w:rFonts w:hint="eastAsia"/>
                <w:szCs w:val="21"/>
                <w:lang w:val="en-US" w:eastAsia="zh-CN"/>
              </w:rPr>
              <w:t>0</w:t>
            </w:r>
            <w:r>
              <w:rPr>
                <w:rFonts w:hint="eastAsia"/>
                <w:szCs w:val="21"/>
              </w:rPr>
              <w:t>、在处理特殊事件和紧急、突发事故，招标人对中标人派驻本项目人员有直接指挥权。</w:t>
            </w:r>
          </w:p>
          <w:p>
            <w:pPr>
              <w:rPr>
                <w:rFonts w:hint="eastAsia"/>
                <w:szCs w:val="21"/>
              </w:rPr>
            </w:pPr>
            <w:r>
              <w:rPr>
                <w:rFonts w:hint="eastAsia"/>
                <w:szCs w:val="21"/>
              </w:rPr>
              <w:t>1</w:t>
            </w:r>
            <w:r>
              <w:rPr>
                <w:rFonts w:hint="eastAsia"/>
                <w:szCs w:val="21"/>
                <w:lang w:val="en-US" w:eastAsia="zh-CN"/>
              </w:rPr>
              <w:t>1</w:t>
            </w:r>
            <w:r>
              <w:rPr>
                <w:rFonts w:hint="eastAsia"/>
                <w:szCs w:val="21"/>
              </w:rPr>
              <w:t>、中标人派驻的所有工作人员应遵守国家法律法规、采购人的规章制度，若不服从，中标人应在三个工作日内调换人员。</w:t>
            </w:r>
          </w:p>
          <w:p>
            <w:pPr>
              <w:rPr>
                <w:rFonts w:hint="eastAsia"/>
                <w:szCs w:val="21"/>
              </w:rPr>
            </w:pPr>
            <w:r>
              <w:rPr>
                <w:rFonts w:hint="eastAsia"/>
                <w:szCs w:val="21"/>
              </w:rPr>
              <w:t>1</w:t>
            </w:r>
            <w:r>
              <w:rPr>
                <w:rFonts w:hint="eastAsia"/>
                <w:szCs w:val="21"/>
                <w:lang w:val="en-US" w:eastAsia="zh-CN"/>
              </w:rPr>
              <w:t>2</w:t>
            </w:r>
            <w:r>
              <w:rPr>
                <w:rFonts w:hint="eastAsia"/>
                <w:szCs w:val="21"/>
              </w:rPr>
              <w:t>、保安服务所需的备勤车辆、保安器械等设施及日常耗材均由中标人负担。</w:t>
            </w:r>
          </w:p>
          <w:p>
            <w:pPr>
              <w:rPr>
                <w:rFonts w:hint="eastAsia"/>
                <w:szCs w:val="21"/>
                <w:lang w:eastAsia="zh-CN"/>
              </w:rPr>
            </w:pPr>
            <w:r>
              <w:rPr>
                <w:rFonts w:hint="eastAsia"/>
                <w:szCs w:val="21"/>
              </w:rPr>
              <w:t>1</w:t>
            </w:r>
            <w:r>
              <w:rPr>
                <w:rFonts w:hint="eastAsia"/>
                <w:szCs w:val="21"/>
                <w:lang w:val="en-US" w:eastAsia="zh-CN"/>
              </w:rPr>
              <w:t>3</w:t>
            </w:r>
            <w:r>
              <w:rPr>
                <w:rFonts w:hint="eastAsia"/>
                <w:szCs w:val="21"/>
              </w:rPr>
              <w:t>、如供应商提交伪造证书、合同文件等，一经发现按有关规定进行处罚，投标保证金不予退还，并报监管部门处理。</w:t>
            </w:r>
          </w:p>
        </w:tc>
      </w:tr>
    </w:tbl>
    <w:p>
      <w:pPr>
        <w:rPr>
          <w:rFonts w:ascii="宋体" w:hAnsi="宋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287" w:bottom="1134" w:left="1622"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0F90"/>
    <w:multiLevelType w:val="multilevel"/>
    <w:tmpl w:val="44C50F90"/>
    <w:lvl w:ilvl="0" w:tentative="0">
      <w:start w:val="1"/>
      <w:numFmt w:val="decimal"/>
      <w:pStyle w:val="33"/>
      <w:lvlText w:val="（%1）"/>
      <w:lvlJc w:val="left"/>
      <w:pPr>
        <w:tabs>
          <w:tab w:val="left" w:pos="840"/>
        </w:tabs>
        <w:ind w:left="839" w:hanging="419"/>
      </w:pPr>
      <w:rPr>
        <w:rFonts w:ascii="宋体" w:hAnsi="宋体" w:eastAsia="宋体" w:cs="Times New Roman"/>
        <w:b w:val="0"/>
        <w:i w:val="0"/>
        <w:sz w:val="21"/>
        <w:szCs w:val="21"/>
        <w:lang w:val="en-US"/>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1">
    <w:nsid w:val="5903E339"/>
    <w:multiLevelType w:val="singleLevel"/>
    <w:tmpl w:val="5903E339"/>
    <w:lvl w:ilvl="0" w:tentative="0">
      <w:start w:val="4"/>
      <w:numFmt w:val="chineseCounting"/>
      <w:suff w:val="nothing"/>
      <w:lvlText w:val="%1、"/>
      <w:lvlJc w:val="left"/>
    </w:lvl>
  </w:abstractNum>
  <w:abstractNum w:abstractNumId="2">
    <w:nsid w:val="590548EB"/>
    <w:multiLevelType w:val="singleLevel"/>
    <w:tmpl w:val="590548EB"/>
    <w:lvl w:ilvl="0" w:tentative="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778B"/>
    <w:rsid w:val="00087607"/>
    <w:rsid w:val="000A7216"/>
    <w:rsid w:val="0013563D"/>
    <w:rsid w:val="001B5B09"/>
    <w:rsid w:val="0021594B"/>
    <w:rsid w:val="002C3A71"/>
    <w:rsid w:val="00371B98"/>
    <w:rsid w:val="003A5193"/>
    <w:rsid w:val="003D393F"/>
    <w:rsid w:val="005121FC"/>
    <w:rsid w:val="0057058C"/>
    <w:rsid w:val="005D2E30"/>
    <w:rsid w:val="005F5FDA"/>
    <w:rsid w:val="006B376E"/>
    <w:rsid w:val="008520A5"/>
    <w:rsid w:val="009659E9"/>
    <w:rsid w:val="00987D83"/>
    <w:rsid w:val="00A02478"/>
    <w:rsid w:val="00A10675"/>
    <w:rsid w:val="00A95596"/>
    <w:rsid w:val="00AB71C0"/>
    <w:rsid w:val="00AD3083"/>
    <w:rsid w:val="00AD7E0F"/>
    <w:rsid w:val="00AE4E24"/>
    <w:rsid w:val="00B83924"/>
    <w:rsid w:val="00C15B34"/>
    <w:rsid w:val="00C472F6"/>
    <w:rsid w:val="00C6059C"/>
    <w:rsid w:val="00C82A28"/>
    <w:rsid w:val="00D3778B"/>
    <w:rsid w:val="00DC7313"/>
    <w:rsid w:val="00EF195B"/>
    <w:rsid w:val="00FF0923"/>
    <w:rsid w:val="043C6C7D"/>
    <w:rsid w:val="07075F66"/>
    <w:rsid w:val="13A07034"/>
    <w:rsid w:val="24BE49C2"/>
    <w:rsid w:val="2FCD1E00"/>
    <w:rsid w:val="35993D6C"/>
    <w:rsid w:val="417F4E51"/>
    <w:rsid w:val="440D4808"/>
    <w:rsid w:val="48E74E43"/>
    <w:rsid w:val="50413ED4"/>
    <w:rsid w:val="527B705A"/>
    <w:rsid w:val="5780492C"/>
    <w:rsid w:val="6E0D3A9A"/>
    <w:rsid w:val="733E359F"/>
    <w:rsid w:val="743326B7"/>
    <w:rsid w:val="74462307"/>
    <w:rsid w:val="7B96068B"/>
    <w:rsid w:val="7DC408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22"/>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4">
    <w:name w:val="Normal Indent"/>
    <w:basedOn w:val="1"/>
    <w:qFormat/>
    <w:uiPriority w:val="0"/>
    <w:pPr>
      <w:ind w:firstLine="420"/>
    </w:pPr>
    <w:rPr>
      <w:rFonts w:eastAsia="宋体"/>
      <w:kern w:val="2"/>
      <w:sz w:val="21"/>
      <w:lang w:val="en-US" w:eastAsia="zh-CN" w:bidi="ar-SA"/>
    </w:rPr>
  </w:style>
  <w:style w:type="paragraph" w:styleId="5">
    <w:name w:val="annotation text"/>
    <w:basedOn w:val="1"/>
    <w:qFormat/>
    <w:uiPriority w:val="0"/>
    <w:pPr>
      <w:jc w:val="left"/>
    </w:pPr>
  </w:style>
  <w:style w:type="paragraph" w:styleId="6">
    <w:name w:val="Body Text"/>
    <w:basedOn w:val="1"/>
    <w:next w:val="1"/>
    <w:qFormat/>
    <w:uiPriority w:val="0"/>
    <w:pPr>
      <w:spacing w:after="120"/>
    </w:pPr>
    <w:rPr>
      <w:kern w:val="1"/>
    </w:rPr>
  </w:style>
  <w:style w:type="paragraph" w:styleId="7">
    <w:name w:val="Body Text Indent"/>
    <w:basedOn w:val="1"/>
    <w:link w:val="27"/>
    <w:qFormat/>
    <w:uiPriority w:val="0"/>
    <w:pPr>
      <w:spacing w:line="360" w:lineRule="auto"/>
      <w:ind w:firstLine="420"/>
    </w:pPr>
    <w:rPr>
      <w:sz w:val="24"/>
      <w:szCs w:val="24"/>
    </w:rPr>
  </w:style>
  <w:style w:type="paragraph" w:styleId="8">
    <w:name w:val="Plain Text"/>
    <w:basedOn w:val="1"/>
    <w:link w:val="23"/>
    <w:qFormat/>
    <w:uiPriority w:val="0"/>
    <w:pPr>
      <w:spacing w:beforeLines="50" w:afterLines="50" w:line="400" w:lineRule="exact"/>
    </w:pPr>
    <w:rPr>
      <w:rFonts w:ascii="宋体" w:hAnsi="Courier New" w:eastAsia="宋体"/>
      <w:sz w:val="24"/>
      <w:szCs w:val="24"/>
    </w:rPr>
  </w:style>
  <w:style w:type="paragraph" w:styleId="9">
    <w:name w:val="footer"/>
    <w:basedOn w:val="1"/>
    <w:link w:val="20"/>
    <w:unhideWhenUsed/>
    <w:qFormat/>
    <w:uiPriority w:val="0"/>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12">
    <w:name w:val="Normal (Web)"/>
    <w:basedOn w:val="1"/>
    <w:qFormat/>
    <w:uiPriority w:val="0"/>
    <w:pPr>
      <w:widowControl/>
      <w:jc w:val="left"/>
    </w:pPr>
    <w:rPr>
      <w:rFonts w:ascii="宋体" w:hAnsi="宋体" w:cs="宋体"/>
      <w:sz w:val="24"/>
    </w:rPr>
  </w:style>
  <w:style w:type="paragraph" w:styleId="13">
    <w:name w:val="Title"/>
    <w:basedOn w:val="1"/>
    <w:next w:val="1"/>
    <w:link w:val="24"/>
    <w:qFormat/>
    <w:uiPriority w:val="0"/>
    <w:pPr>
      <w:spacing w:before="240" w:after="60"/>
      <w:jc w:val="center"/>
      <w:outlineLvl w:val="0"/>
    </w:pPr>
    <w:rPr>
      <w:rFonts w:ascii="Cambria" w:hAnsi="Cambria" w:cs="Times New Roman"/>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paragraph" w:customStyle="1" w:styleId="18">
    <w:name w:val="表格文字"/>
    <w:basedOn w:val="1"/>
    <w:next w:val="6"/>
    <w:qFormat/>
    <w:uiPriority w:val="0"/>
    <w:pPr>
      <w:jc w:val="center"/>
    </w:pPr>
    <w:rPr>
      <w:sz w:val="24"/>
      <w:szCs w:val="20"/>
    </w:rPr>
  </w:style>
  <w:style w:type="character" w:customStyle="1" w:styleId="19">
    <w:name w:val="页眉 Char"/>
    <w:basedOn w:val="16"/>
    <w:link w:val="10"/>
    <w:semiHidden/>
    <w:qFormat/>
    <w:uiPriority w:val="0"/>
    <w:rPr>
      <w:sz w:val="18"/>
      <w:szCs w:val="18"/>
    </w:rPr>
  </w:style>
  <w:style w:type="character" w:customStyle="1" w:styleId="20">
    <w:name w:val="页脚 Char"/>
    <w:basedOn w:val="16"/>
    <w:link w:val="9"/>
    <w:semiHidden/>
    <w:qFormat/>
    <w:uiPriority w:val="0"/>
    <w:rPr>
      <w:sz w:val="18"/>
      <w:szCs w:val="18"/>
    </w:rPr>
  </w:style>
  <w:style w:type="character" w:customStyle="1" w:styleId="21">
    <w:name w:val="标题 3 Char"/>
    <w:basedOn w:val="16"/>
    <w:semiHidden/>
    <w:qFormat/>
    <w:uiPriority w:val="9"/>
    <w:rPr>
      <w:b/>
      <w:bCs/>
      <w:sz w:val="32"/>
      <w:szCs w:val="32"/>
    </w:rPr>
  </w:style>
  <w:style w:type="character" w:customStyle="1" w:styleId="22">
    <w:name w:val="标题 3 Char1"/>
    <w:basedOn w:val="16"/>
    <w:link w:val="3"/>
    <w:qFormat/>
    <w:uiPriority w:val="0"/>
    <w:rPr>
      <w:rFonts w:ascii="Times New Roman" w:hAnsi="Times New Roman" w:eastAsia="宋体" w:cs="Times New Roman"/>
      <w:b/>
      <w:bCs/>
      <w:sz w:val="32"/>
      <w:szCs w:val="32"/>
    </w:rPr>
  </w:style>
  <w:style w:type="character" w:customStyle="1" w:styleId="23">
    <w:name w:val="纯文本 Char"/>
    <w:link w:val="8"/>
    <w:qFormat/>
    <w:uiPriority w:val="0"/>
    <w:rPr>
      <w:rFonts w:ascii="宋体" w:hAnsi="Courier New" w:eastAsia="宋体"/>
      <w:sz w:val="24"/>
      <w:szCs w:val="24"/>
    </w:rPr>
  </w:style>
  <w:style w:type="character" w:customStyle="1" w:styleId="24">
    <w:name w:val="标题 Char"/>
    <w:link w:val="13"/>
    <w:qFormat/>
    <w:uiPriority w:val="0"/>
    <w:rPr>
      <w:rFonts w:ascii="Cambria" w:hAnsi="Cambria" w:cs="Times New Roman"/>
      <w:b/>
      <w:bCs/>
      <w:sz w:val="32"/>
      <w:szCs w:val="32"/>
    </w:rPr>
  </w:style>
  <w:style w:type="character" w:customStyle="1" w:styleId="25">
    <w:name w:val="标题 Char1"/>
    <w:basedOn w:val="16"/>
    <w:qFormat/>
    <w:uiPriority w:val="10"/>
    <w:rPr>
      <w:rFonts w:eastAsia="宋体" w:asciiTheme="majorHAnsi" w:hAnsiTheme="majorHAnsi" w:cstheme="majorBidi"/>
      <w:b/>
      <w:bCs/>
      <w:sz w:val="32"/>
      <w:szCs w:val="32"/>
    </w:rPr>
  </w:style>
  <w:style w:type="character" w:customStyle="1" w:styleId="26">
    <w:name w:val="纯文本 Char1"/>
    <w:basedOn w:val="16"/>
    <w:semiHidden/>
    <w:qFormat/>
    <w:uiPriority w:val="99"/>
    <w:rPr>
      <w:rFonts w:ascii="宋体" w:hAnsi="Courier New" w:eastAsia="宋体" w:cs="Courier New"/>
      <w:szCs w:val="21"/>
    </w:rPr>
  </w:style>
  <w:style w:type="character" w:customStyle="1" w:styleId="27">
    <w:name w:val="正文文本缩进 Char"/>
    <w:link w:val="7"/>
    <w:qFormat/>
    <w:uiPriority w:val="0"/>
    <w:rPr>
      <w:sz w:val="24"/>
      <w:szCs w:val="24"/>
    </w:rPr>
  </w:style>
  <w:style w:type="character" w:customStyle="1" w:styleId="28">
    <w:name w:val="正文文本缩进 Char1"/>
    <w:basedOn w:val="16"/>
    <w:semiHidden/>
    <w:qFormat/>
    <w:uiPriority w:val="99"/>
  </w:style>
  <w:style w:type="character" w:customStyle="1" w:styleId="29">
    <w:name w:val="页眉 字符"/>
    <w:semiHidden/>
    <w:qFormat/>
    <w:uiPriority w:val="0"/>
    <w:rPr>
      <w:rFonts w:ascii="Calibri" w:hAnsi="Calibri" w:eastAsia="宋体"/>
      <w:kern w:val="2"/>
      <w:sz w:val="18"/>
      <w:szCs w:val="18"/>
      <w:lang w:val="en-US" w:eastAsia="zh-CN" w:bidi="ar-SA"/>
    </w:rPr>
  </w:style>
  <w:style w:type="character" w:customStyle="1" w:styleId="30">
    <w:name w:val="标题 字符"/>
    <w:qFormat/>
    <w:uiPriority w:val="0"/>
    <w:rPr>
      <w:rFonts w:ascii="Cambria" w:hAnsi="Cambria" w:cs="Times New Roman"/>
      <w:b/>
      <w:bCs/>
      <w:kern w:val="2"/>
      <w:sz w:val="32"/>
      <w:szCs w:val="32"/>
    </w:rPr>
  </w:style>
  <w:style w:type="character" w:customStyle="1" w:styleId="31">
    <w:name w:val="页脚 字符"/>
    <w:semiHidden/>
    <w:qFormat/>
    <w:uiPriority w:val="0"/>
    <w:rPr>
      <w:rFonts w:ascii="Calibri" w:hAnsi="Calibri" w:eastAsia="宋体"/>
      <w:kern w:val="2"/>
      <w:sz w:val="18"/>
      <w:szCs w:val="18"/>
      <w:lang w:val="en-US" w:eastAsia="zh-CN" w:bidi="ar-SA"/>
    </w:rPr>
  </w:style>
  <w:style w:type="paragraph" w:customStyle="1" w:styleId="32">
    <w:name w:val="Other|1"/>
    <w:basedOn w:val="1"/>
    <w:qFormat/>
    <w:uiPriority w:val="0"/>
    <w:pPr>
      <w:widowControl w:val="0"/>
      <w:shd w:val="clear" w:color="auto" w:fill="auto"/>
      <w:spacing w:line="322" w:lineRule="auto"/>
    </w:pPr>
    <w:rPr>
      <w:rFonts w:ascii="MingLiU" w:hAnsi="MingLiU" w:eastAsia="MingLiU" w:cs="MingLiU"/>
      <w:color w:val="000000"/>
      <w:sz w:val="20"/>
      <w:szCs w:val="20"/>
      <w:u w:val="none"/>
      <w:shd w:val="clear" w:color="auto" w:fill="auto"/>
    </w:rPr>
  </w:style>
  <w:style w:type="paragraph" w:customStyle="1" w:styleId="33">
    <w:name w:val="字母编号列项（一级）"/>
    <w:qFormat/>
    <w:uiPriority w:val="0"/>
    <w:pPr>
      <w:numPr>
        <w:ilvl w:val="0"/>
        <w:numId w:val="1"/>
      </w:numPr>
      <w:jc w:val="both"/>
    </w:pPr>
    <w:rPr>
      <w:rFonts w:ascii="宋体" w:hAnsi="Times New Roman" w:eastAsia="宋体" w:cs="Times New Roman"/>
      <w:kern w:val="0"/>
      <w:sz w:val="21"/>
      <w:szCs w:val="20"/>
      <w:lang w:val="en-US" w:eastAsia="zh-CN" w:bidi="ar-SA"/>
    </w:rPr>
  </w:style>
  <w:style w:type="character" w:customStyle="1" w:styleId="34">
    <w:name w:val="ca-11"/>
    <w:qFormat/>
    <w:uiPriority w:val="0"/>
    <w:rPr>
      <w:rFonts w:ascii="仿宋_GB2312" w:eastAsia="仿宋_GB2312" w:cs="仿宋_GB2312"/>
      <w:sz w:val="32"/>
      <w:szCs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187</Words>
  <Characters>1070</Characters>
  <Lines>8</Lines>
  <Paragraphs>2</Paragraphs>
  <TotalTime>0</TotalTime>
  <ScaleCrop>false</ScaleCrop>
  <LinksUpToDate>false</LinksUpToDate>
  <CharactersWithSpaces>1255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2018-04-27T07:05:00Z</dcterms:created>
  <dc:creator>Alienware</dc:creator>
  <cp:lastModifiedBy>L.</cp:lastModifiedBy>
  <dcterms:modified xsi:type="dcterms:W3CDTF">2020-07-06T08:47:04Z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