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rPr>
      </w:pPr>
      <w:bookmarkStart w:id="9" w:name="_GoBack"/>
      <w:r>
        <w:rPr>
          <w:rFonts w:hint="eastAsia"/>
          <w:sz w:val="32"/>
          <w:szCs w:val="32"/>
          <w:lang w:eastAsia="zh-CN"/>
        </w:rPr>
        <w:t>宁波市奉化区医疗保障局奉化区城镇职工医疗大病救助保障采购项目</w:t>
      </w:r>
      <w:bookmarkEnd w:id="9"/>
      <w:r>
        <w:rPr>
          <w:rFonts w:hint="eastAsia"/>
          <w:sz w:val="32"/>
          <w:szCs w:val="32"/>
        </w:rPr>
        <w:t>采购需求</w:t>
      </w:r>
    </w:p>
    <w:p>
      <w:pPr>
        <w:pStyle w:val="8"/>
        <w:adjustRightInd w:val="0"/>
        <w:snapToGrid w:val="0"/>
        <w:spacing w:beforeLines="0" w:afterLines="0" w:line="360" w:lineRule="auto"/>
        <w:ind w:firstLine="420" w:firstLineChars="200"/>
        <w:jc w:val="left"/>
        <w:outlineLvl w:val="1"/>
        <w:rPr>
          <w:rFonts w:hAnsi="宋体" w:cs="宋体"/>
          <w:b/>
          <w:color w:val="000000"/>
          <w:sz w:val="21"/>
          <w:szCs w:val="21"/>
        </w:rPr>
      </w:pPr>
      <w:bookmarkStart w:id="0" w:name="_Toc470009588"/>
      <w:bookmarkStart w:id="1" w:name="_Toc485799625"/>
      <w:bookmarkStart w:id="2" w:name="_Toc469778244"/>
      <w:r>
        <w:rPr>
          <w:rFonts w:hint="eastAsia" w:hAnsi="宋体" w:cs="宋体"/>
          <w:b/>
          <w:color w:val="000000"/>
          <w:sz w:val="21"/>
          <w:szCs w:val="21"/>
        </w:rPr>
        <w:t>一、项目清单</w:t>
      </w:r>
      <w:bookmarkEnd w:id="0"/>
      <w:bookmarkEnd w:id="1"/>
      <w:bookmarkEnd w:id="2"/>
    </w:p>
    <w:tbl>
      <w:tblPr>
        <w:tblStyle w:val="13"/>
        <w:tblW w:w="9073"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984"/>
        <w:gridCol w:w="3856"/>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81" w:type="dxa"/>
            <w:noWrap w:val="0"/>
            <w:vAlign w:val="center"/>
          </w:tcPr>
          <w:p>
            <w:pPr>
              <w:pStyle w:val="8"/>
              <w:adjustRightInd w:val="0"/>
              <w:snapToGrid w:val="0"/>
              <w:spacing w:beforeLines="0" w:afterLines="0" w:line="240" w:lineRule="auto"/>
              <w:jc w:val="center"/>
              <w:rPr>
                <w:rFonts w:hAnsi="宋体" w:cs="宋体"/>
                <w:color w:val="000000"/>
                <w:sz w:val="21"/>
                <w:szCs w:val="21"/>
              </w:rPr>
            </w:pPr>
            <w:bookmarkStart w:id="3" w:name="_Toc469778245"/>
            <w:r>
              <w:rPr>
                <w:rFonts w:hint="eastAsia" w:hAnsi="宋体" w:cs="宋体"/>
                <w:color w:val="000000"/>
                <w:sz w:val="21"/>
                <w:szCs w:val="21"/>
              </w:rPr>
              <w:t>序号</w:t>
            </w:r>
            <w:bookmarkEnd w:id="3"/>
          </w:p>
        </w:tc>
        <w:tc>
          <w:tcPr>
            <w:tcW w:w="1984" w:type="dxa"/>
            <w:noWrap w:val="0"/>
            <w:vAlign w:val="center"/>
          </w:tcPr>
          <w:p>
            <w:pPr>
              <w:pStyle w:val="8"/>
              <w:adjustRightInd w:val="0"/>
              <w:snapToGrid w:val="0"/>
              <w:spacing w:beforeLines="0" w:afterLines="0" w:line="240" w:lineRule="auto"/>
              <w:ind w:firstLine="420" w:firstLineChars="200"/>
              <w:rPr>
                <w:rFonts w:hAnsi="宋体" w:cs="宋体"/>
                <w:color w:val="000000"/>
                <w:sz w:val="21"/>
                <w:szCs w:val="21"/>
              </w:rPr>
            </w:pPr>
            <w:bookmarkStart w:id="4" w:name="_Toc469778246"/>
            <w:r>
              <w:rPr>
                <w:rFonts w:hint="eastAsia" w:hAnsi="宋体" w:cs="宋体"/>
                <w:color w:val="000000"/>
                <w:sz w:val="21"/>
                <w:szCs w:val="21"/>
              </w:rPr>
              <w:t>项目名称</w:t>
            </w:r>
            <w:bookmarkEnd w:id="4"/>
          </w:p>
        </w:tc>
        <w:tc>
          <w:tcPr>
            <w:tcW w:w="3856" w:type="dxa"/>
            <w:noWrap w:val="0"/>
            <w:vAlign w:val="center"/>
          </w:tcPr>
          <w:p>
            <w:pPr>
              <w:pStyle w:val="8"/>
              <w:adjustRightInd w:val="0"/>
              <w:snapToGrid w:val="0"/>
              <w:spacing w:beforeLines="0" w:afterLines="0" w:line="240" w:lineRule="auto"/>
              <w:jc w:val="center"/>
              <w:rPr>
                <w:rFonts w:hAnsi="宋体" w:cs="宋体"/>
                <w:color w:val="000000"/>
                <w:sz w:val="21"/>
                <w:szCs w:val="21"/>
              </w:rPr>
            </w:pPr>
            <w:bookmarkStart w:id="5" w:name="_Toc469778247"/>
            <w:r>
              <w:rPr>
                <w:rFonts w:hint="eastAsia" w:hAnsi="宋体" w:cs="宋体"/>
                <w:color w:val="000000"/>
                <w:sz w:val="21"/>
                <w:szCs w:val="21"/>
              </w:rPr>
              <w:t>服务期限</w:t>
            </w:r>
            <w:bookmarkEnd w:id="5"/>
          </w:p>
        </w:tc>
        <w:tc>
          <w:tcPr>
            <w:tcW w:w="1276" w:type="dxa"/>
            <w:noWrap w:val="0"/>
            <w:vAlign w:val="center"/>
          </w:tcPr>
          <w:p>
            <w:pPr>
              <w:jc w:val="center"/>
              <w:rPr>
                <w:rFonts w:hint="eastAsia" w:ascii="宋体" w:hAnsi="宋体" w:cs="宋体"/>
              </w:rPr>
            </w:pPr>
            <w:r>
              <w:rPr>
                <w:rFonts w:hint="eastAsia" w:ascii="宋体" w:hAnsi="宋体" w:cs="宋体"/>
              </w:rPr>
              <w:t>预算金额</w:t>
            </w:r>
          </w:p>
          <w:p>
            <w:pPr>
              <w:jc w:val="center"/>
              <w:rPr>
                <w:rFonts w:hAnsi="宋体" w:cs="宋体"/>
                <w:color w:val="000000"/>
                <w:sz w:val="21"/>
                <w:szCs w:val="21"/>
              </w:rPr>
            </w:pPr>
            <w:r>
              <w:rPr>
                <w:rFonts w:hint="eastAsia" w:ascii="宋体" w:hAnsi="宋体" w:cs="宋体"/>
              </w:rPr>
              <w:t>（万元/</w:t>
            </w:r>
            <w:r>
              <w:rPr>
                <w:rFonts w:hint="eastAsia" w:ascii="宋体" w:hAnsi="宋体" w:cs="宋体"/>
                <w:lang w:eastAsia="zh-CN"/>
              </w:rPr>
              <w:t>第一</w:t>
            </w:r>
            <w:r>
              <w:rPr>
                <w:rFonts w:hint="eastAsia" w:ascii="宋体" w:hAnsi="宋体" w:cs="宋体"/>
                <w:lang w:val="en-US" w:eastAsia="zh-CN"/>
              </w:rPr>
              <w:t>年</w:t>
            </w:r>
            <w:r>
              <w:rPr>
                <w:rFonts w:hint="eastAsia" w:ascii="宋体" w:hAnsi="宋体" w:cs="宋体"/>
              </w:rPr>
              <w:t>）</w:t>
            </w:r>
          </w:p>
        </w:tc>
        <w:tc>
          <w:tcPr>
            <w:tcW w:w="1276" w:type="dxa"/>
            <w:noWrap w:val="0"/>
            <w:vAlign w:val="top"/>
          </w:tcPr>
          <w:p>
            <w:pPr>
              <w:jc w:val="center"/>
              <w:rPr>
                <w:rFonts w:hint="eastAsia" w:ascii="宋体" w:hAnsi="宋体" w:cs="宋体"/>
                <w:szCs w:val="21"/>
              </w:rPr>
            </w:pPr>
            <w:r>
              <w:rPr>
                <w:rFonts w:hint="eastAsia" w:ascii="宋体" w:hAnsi="宋体" w:cs="宋体"/>
                <w:szCs w:val="21"/>
              </w:rPr>
              <w:t>单价最高限价</w:t>
            </w:r>
          </w:p>
          <w:p>
            <w:pPr>
              <w:jc w:val="center"/>
              <w:rPr>
                <w:rFonts w:hint="eastAsia" w:hAnsi="宋体" w:cs="宋体"/>
                <w:color w:val="000000"/>
                <w:sz w:val="21"/>
                <w:szCs w:val="21"/>
              </w:rPr>
            </w:pPr>
            <w:r>
              <w:rPr>
                <w:rFonts w:hint="eastAsia" w:ascii="宋体" w:hAnsi="宋体" w:cs="宋体"/>
                <w:szCs w:val="21"/>
              </w:rPr>
              <w:t>（</w:t>
            </w:r>
            <w:r>
              <w:rPr>
                <w:rFonts w:hint="eastAsia" w:ascii="宋体" w:hAnsi="宋体" w:cs="宋体"/>
              </w:rPr>
              <w:t>元/月/人</w:t>
            </w: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81" w:type="dxa"/>
            <w:vMerge w:val="restart"/>
            <w:noWrap w:val="0"/>
            <w:vAlign w:val="center"/>
          </w:tcPr>
          <w:p>
            <w:pPr>
              <w:pStyle w:val="8"/>
              <w:adjustRightInd w:val="0"/>
              <w:snapToGrid w:val="0"/>
              <w:spacing w:beforeLines="0" w:afterLines="0" w:line="240" w:lineRule="auto"/>
              <w:jc w:val="center"/>
              <w:rPr>
                <w:rFonts w:hAnsi="宋体" w:cs="宋体"/>
                <w:color w:val="000000"/>
                <w:sz w:val="21"/>
                <w:szCs w:val="21"/>
              </w:rPr>
            </w:pPr>
            <w:bookmarkStart w:id="6" w:name="_Toc469778250"/>
            <w:r>
              <w:rPr>
                <w:rFonts w:hint="eastAsia" w:hAnsi="宋体" w:cs="宋体"/>
                <w:color w:val="000000"/>
                <w:sz w:val="21"/>
                <w:szCs w:val="21"/>
              </w:rPr>
              <w:t>1</w:t>
            </w:r>
            <w:bookmarkEnd w:id="6"/>
          </w:p>
        </w:tc>
        <w:tc>
          <w:tcPr>
            <w:tcW w:w="1984" w:type="dxa"/>
            <w:vMerge w:val="restart"/>
            <w:noWrap w:val="0"/>
            <w:vAlign w:val="center"/>
          </w:tcPr>
          <w:p>
            <w:pPr>
              <w:pStyle w:val="8"/>
              <w:adjustRightInd w:val="0"/>
              <w:snapToGrid w:val="0"/>
              <w:spacing w:beforeLines="0" w:afterLines="0" w:line="240" w:lineRule="auto"/>
              <w:jc w:val="center"/>
              <w:rPr>
                <w:rFonts w:hAnsi="宋体" w:cs="宋体"/>
                <w:color w:val="000000"/>
                <w:sz w:val="21"/>
                <w:szCs w:val="21"/>
              </w:rPr>
            </w:pPr>
            <w:r>
              <w:rPr>
                <w:rFonts w:hint="eastAsia" w:hAnsi="宋体" w:cs="宋体"/>
                <w:color w:val="000000"/>
                <w:sz w:val="21"/>
                <w:szCs w:val="21"/>
                <w:lang w:eastAsia="zh-CN"/>
              </w:rPr>
              <w:t>奉化区城镇职工医疗</w:t>
            </w:r>
            <w:r>
              <w:rPr>
                <w:rFonts w:hint="eastAsia" w:hAnsi="宋体" w:cs="宋体"/>
                <w:color w:val="000000"/>
                <w:sz w:val="21"/>
                <w:szCs w:val="21"/>
                <w:lang w:val="en-US" w:eastAsia="zh-CN"/>
              </w:rPr>
              <w:t>大病</w:t>
            </w:r>
            <w:r>
              <w:rPr>
                <w:rFonts w:hint="eastAsia" w:hAnsi="宋体" w:cs="宋体"/>
                <w:color w:val="000000"/>
                <w:sz w:val="21"/>
                <w:szCs w:val="21"/>
                <w:lang w:eastAsia="zh-CN"/>
              </w:rPr>
              <w:t>救助保障采购项目</w:t>
            </w:r>
          </w:p>
        </w:tc>
        <w:tc>
          <w:tcPr>
            <w:tcW w:w="3856" w:type="dxa"/>
            <w:noWrap w:val="0"/>
            <w:vAlign w:val="center"/>
          </w:tcPr>
          <w:p>
            <w:pPr>
              <w:widowControl/>
              <w:jc w:val="left"/>
              <w:rPr>
                <w:rFonts w:hAnsi="宋体" w:cs="宋体"/>
                <w:color w:val="000000"/>
                <w:sz w:val="21"/>
                <w:szCs w:val="21"/>
              </w:rPr>
            </w:pPr>
            <w:r>
              <w:rPr>
                <w:rFonts w:hint="eastAsia" w:hAnsi="宋体" w:cs="宋体"/>
                <w:color w:val="000000"/>
                <w:sz w:val="21"/>
                <w:szCs w:val="21"/>
                <w:lang w:val="en-US" w:eastAsia="zh-CN"/>
              </w:rPr>
              <w:t>第一年：2020年5月1日-2020年12月31日</w:t>
            </w:r>
          </w:p>
        </w:tc>
        <w:tc>
          <w:tcPr>
            <w:tcW w:w="1276" w:type="dxa"/>
            <w:noWrap w:val="0"/>
            <w:vAlign w:val="center"/>
          </w:tcPr>
          <w:p>
            <w:pPr>
              <w:pStyle w:val="8"/>
              <w:adjustRightInd w:val="0"/>
              <w:snapToGrid w:val="0"/>
              <w:spacing w:beforeLines="0" w:afterLines="0" w:line="240" w:lineRule="auto"/>
              <w:ind w:firstLine="420" w:firstLineChars="200"/>
              <w:rPr>
                <w:rFonts w:hint="default" w:hAnsi="宋体" w:eastAsia="宋体" w:cs="宋体"/>
                <w:color w:val="000000"/>
                <w:sz w:val="21"/>
                <w:szCs w:val="21"/>
                <w:lang w:val="en-US" w:eastAsia="zh-CN"/>
              </w:rPr>
            </w:pPr>
            <w:r>
              <w:rPr>
                <w:rFonts w:hint="eastAsia" w:hAnsi="宋体" w:eastAsia="宋体" w:cs="宋体"/>
                <w:color w:val="000000"/>
                <w:sz w:val="21"/>
                <w:szCs w:val="21"/>
                <w:lang w:val="en-US" w:eastAsia="zh-CN"/>
              </w:rPr>
              <w:t>2400</w:t>
            </w:r>
          </w:p>
        </w:tc>
        <w:tc>
          <w:tcPr>
            <w:tcW w:w="1276" w:type="dxa"/>
            <w:noWrap w:val="0"/>
            <w:vAlign w:val="center"/>
          </w:tcPr>
          <w:p>
            <w:pPr>
              <w:widowControl/>
              <w:jc w:val="center"/>
              <w:rPr>
                <w:rFonts w:hint="default" w:hAnsi="宋体" w:cs="宋体"/>
                <w:color w:val="000000"/>
                <w:sz w:val="21"/>
                <w:szCs w:val="21"/>
                <w:lang w:val="en-US" w:eastAsia="zh-CN"/>
              </w:rPr>
            </w:pPr>
            <w:r>
              <w:rPr>
                <w:rFonts w:hint="eastAsia" w:ascii="宋体" w:hAnsi="宋体" w:cs="宋体"/>
                <w:lang w:val="en-US" w:eastAsia="zh-CN"/>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681" w:type="dxa"/>
            <w:vMerge w:val="continue"/>
            <w:noWrap w:val="0"/>
            <w:vAlign w:val="center"/>
          </w:tcPr>
          <w:p>
            <w:pPr>
              <w:pStyle w:val="8"/>
              <w:adjustRightInd w:val="0"/>
              <w:snapToGrid w:val="0"/>
              <w:spacing w:beforeLines="0" w:afterLines="0" w:line="240" w:lineRule="auto"/>
              <w:jc w:val="center"/>
              <w:rPr>
                <w:rFonts w:hint="eastAsia" w:hAnsi="宋体" w:cs="宋体"/>
                <w:color w:val="000000"/>
                <w:sz w:val="21"/>
                <w:szCs w:val="21"/>
              </w:rPr>
            </w:pPr>
          </w:p>
        </w:tc>
        <w:tc>
          <w:tcPr>
            <w:tcW w:w="1984" w:type="dxa"/>
            <w:vMerge w:val="continue"/>
            <w:noWrap w:val="0"/>
            <w:vAlign w:val="center"/>
          </w:tcPr>
          <w:p>
            <w:pPr>
              <w:pStyle w:val="8"/>
              <w:adjustRightInd w:val="0"/>
              <w:snapToGrid w:val="0"/>
              <w:spacing w:beforeLines="0" w:afterLines="0" w:line="240" w:lineRule="auto"/>
              <w:jc w:val="center"/>
              <w:rPr>
                <w:rFonts w:hint="eastAsia" w:hAnsi="宋体" w:cs="宋体"/>
                <w:color w:val="000000"/>
                <w:sz w:val="21"/>
                <w:szCs w:val="21"/>
                <w:lang w:eastAsia="zh-CN"/>
              </w:rPr>
            </w:pPr>
          </w:p>
        </w:tc>
        <w:tc>
          <w:tcPr>
            <w:tcW w:w="3856" w:type="dxa"/>
            <w:noWrap w:val="0"/>
            <w:vAlign w:val="center"/>
          </w:tcPr>
          <w:p>
            <w:pPr>
              <w:widowControl/>
              <w:jc w:val="left"/>
              <w:rPr>
                <w:rFonts w:hAnsi="宋体" w:cs="宋体"/>
                <w:color w:val="000000"/>
                <w:sz w:val="21"/>
                <w:szCs w:val="21"/>
              </w:rPr>
            </w:pPr>
            <w:r>
              <w:rPr>
                <w:rFonts w:hint="eastAsia" w:hAnsi="宋体" w:cs="宋体"/>
                <w:color w:val="000000"/>
                <w:sz w:val="21"/>
                <w:szCs w:val="21"/>
                <w:lang w:val="en-US" w:eastAsia="zh-CN"/>
              </w:rPr>
              <w:t>第二年：2021年1月1日-2021年12月31日</w:t>
            </w:r>
          </w:p>
        </w:tc>
        <w:tc>
          <w:tcPr>
            <w:tcW w:w="1276" w:type="dxa"/>
            <w:vMerge w:val="restart"/>
            <w:noWrap w:val="0"/>
            <w:vAlign w:val="center"/>
          </w:tcPr>
          <w:p>
            <w:pPr>
              <w:pStyle w:val="8"/>
              <w:adjustRightInd w:val="0"/>
              <w:snapToGrid w:val="0"/>
              <w:spacing w:beforeLines="0" w:afterLines="0" w:line="240" w:lineRule="auto"/>
              <w:ind w:firstLine="420" w:firstLineChars="200"/>
              <w:rPr>
                <w:rFonts w:hint="default" w:hAnsi="宋体" w:eastAsia="宋体" w:cs="宋体"/>
                <w:color w:val="000000"/>
                <w:sz w:val="21"/>
                <w:szCs w:val="21"/>
                <w:lang w:val="en-US" w:eastAsia="zh-CN"/>
              </w:rPr>
            </w:pPr>
            <w:r>
              <w:rPr>
                <w:rFonts w:hint="eastAsia" w:hAnsi="宋体" w:eastAsia="宋体" w:cs="宋体"/>
                <w:color w:val="000000"/>
                <w:sz w:val="21"/>
                <w:szCs w:val="21"/>
                <w:lang w:val="en-US" w:eastAsia="zh-CN"/>
              </w:rPr>
              <w:t>/</w:t>
            </w:r>
          </w:p>
        </w:tc>
        <w:tc>
          <w:tcPr>
            <w:tcW w:w="1276" w:type="dxa"/>
            <w:noWrap w:val="0"/>
            <w:vAlign w:val="center"/>
          </w:tcPr>
          <w:p>
            <w:pPr>
              <w:widowControl/>
              <w:jc w:val="center"/>
              <w:rPr>
                <w:rFonts w:hint="eastAsia" w:hAnsi="宋体" w:cs="宋体"/>
                <w:color w:val="000000"/>
                <w:sz w:val="21"/>
                <w:szCs w:val="21"/>
                <w:lang w:val="en-US" w:eastAsia="zh-CN"/>
              </w:rPr>
            </w:pPr>
            <w:r>
              <w:rPr>
                <w:rFonts w:hint="eastAsia" w:ascii="宋体" w:hAnsi="宋体" w:cs="宋体"/>
                <w:lang w:val="en-US" w:eastAsia="zh-CN"/>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81" w:type="dxa"/>
            <w:vMerge w:val="continue"/>
            <w:noWrap w:val="0"/>
            <w:vAlign w:val="center"/>
          </w:tcPr>
          <w:p>
            <w:pPr>
              <w:pStyle w:val="8"/>
              <w:adjustRightInd w:val="0"/>
              <w:snapToGrid w:val="0"/>
              <w:spacing w:beforeLines="0" w:afterLines="0" w:line="240" w:lineRule="auto"/>
              <w:jc w:val="center"/>
              <w:rPr>
                <w:rFonts w:hint="eastAsia" w:hAnsi="宋体" w:cs="宋体"/>
                <w:color w:val="000000"/>
                <w:sz w:val="21"/>
                <w:szCs w:val="21"/>
              </w:rPr>
            </w:pPr>
          </w:p>
        </w:tc>
        <w:tc>
          <w:tcPr>
            <w:tcW w:w="1984" w:type="dxa"/>
            <w:vMerge w:val="continue"/>
            <w:noWrap w:val="0"/>
            <w:vAlign w:val="center"/>
          </w:tcPr>
          <w:p>
            <w:pPr>
              <w:pStyle w:val="8"/>
              <w:adjustRightInd w:val="0"/>
              <w:snapToGrid w:val="0"/>
              <w:spacing w:beforeLines="0" w:afterLines="0" w:line="240" w:lineRule="auto"/>
              <w:jc w:val="center"/>
              <w:rPr>
                <w:rFonts w:hint="eastAsia" w:hAnsi="宋体" w:cs="宋体"/>
                <w:color w:val="000000"/>
                <w:sz w:val="21"/>
                <w:szCs w:val="21"/>
                <w:lang w:eastAsia="zh-CN"/>
              </w:rPr>
            </w:pPr>
          </w:p>
        </w:tc>
        <w:tc>
          <w:tcPr>
            <w:tcW w:w="3856" w:type="dxa"/>
            <w:noWrap w:val="0"/>
            <w:vAlign w:val="center"/>
          </w:tcPr>
          <w:p>
            <w:pPr>
              <w:widowControl/>
              <w:jc w:val="left"/>
              <w:rPr>
                <w:rFonts w:hAnsi="宋体" w:cs="宋体"/>
                <w:color w:val="000000"/>
                <w:sz w:val="21"/>
                <w:szCs w:val="21"/>
              </w:rPr>
            </w:pPr>
            <w:r>
              <w:rPr>
                <w:rFonts w:hint="eastAsia" w:hAnsi="宋体" w:cs="宋体"/>
                <w:color w:val="000000"/>
                <w:sz w:val="21"/>
                <w:szCs w:val="21"/>
                <w:lang w:val="en-US" w:eastAsia="zh-CN"/>
              </w:rPr>
              <w:t>第三年：2022年1月1日-2022年12月31日</w:t>
            </w:r>
          </w:p>
        </w:tc>
        <w:tc>
          <w:tcPr>
            <w:tcW w:w="1276" w:type="dxa"/>
            <w:vMerge w:val="continue"/>
            <w:noWrap w:val="0"/>
            <w:vAlign w:val="center"/>
          </w:tcPr>
          <w:p>
            <w:pPr>
              <w:pStyle w:val="8"/>
              <w:adjustRightInd w:val="0"/>
              <w:snapToGrid w:val="0"/>
              <w:spacing w:beforeLines="0" w:afterLines="0" w:line="240" w:lineRule="auto"/>
              <w:ind w:firstLine="420" w:firstLineChars="200"/>
              <w:rPr>
                <w:rFonts w:hint="eastAsia" w:hAnsi="宋体" w:eastAsia="宋体" w:cs="宋体"/>
                <w:color w:val="000000"/>
                <w:sz w:val="21"/>
                <w:szCs w:val="21"/>
                <w:lang w:val="en-US" w:eastAsia="zh-CN"/>
              </w:rPr>
            </w:pPr>
          </w:p>
        </w:tc>
        <w:tc>
          <w:tcPr>
            <w:tcW w:w="1276" w:type="dxa"/>
            <w:noWrap w:val="0"/>
            <w:vAlign w:val="center"/>
          </w:tcPr>
          <w:p>
            <w:pPr>
              <w:widowControl/>
              <w:jc w:val="center"/>
              <w:rPr>
                <w:rFonts w:hint="eastAsia" w:hAnsi="宋体" w:cs="宋体"/>
                <w:color w:val="000000"/>
                <w:sz w:val="21"/>
                <w:szCs w:val="21"/>
                <w:lang w:val="en-US" w:eastAsia="zh-CN"/>
              </w:rPr>
            </w:pPr>
            <w:r>
              <w:rPr>
                <w:rFonts w:hint="eastAsia" w:ascii="宋体" w:hAnsi="宋体" w:cs="宋体"/>
                <w:lang w:val="en-US" w:eastAsia="zh-CN"/>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797" w:type="dxa"/>
            <w:gridSpan w:val="4"/>
            <w:noWrap w:val="0"/>
            <w:vAlign w:val="center"/>
          </w:tcPr>
          <w:p>
            <w:pPr>
              <w:pStyle w:val="8"/>
              <w:adjustRightInd w:val="0"/>
              <w:snapToGrid w:val="0"/>
              <w:spacing w:beforeLines="0" w:afterLines="0" w:line="240" w:lineRule="auto"/>
              <w:rPr>
                <w:rFonts w:hAnsi="宋体" w:cs="宋体"/>
                <w:color w:val="000000"/>
                <w:sz w:val="21"/>
                <w:szCs w:val="21"/>
              </w:rPr>
            </w:pPr>
            <w:bookmarkStart w:id="7" w:name="_Toc469778253"/>
            <w:r>
              <w:rPr>
                <w:rFonts w:hint="eastAsia" w:hAnsi="宋体" w:cs="宋体"/>
                <w:color w:val="000000"/>
                <w:sz w:val="21"/>
                <w:szCs w:val="21"/>
              </w:rPr>
              <w:t>备注：（1）供应商应对</w:t>
            </w:r>
            <w:r>
              <w:rPr>
                <w:rFonts w:hint="eastAsia" w:hAnsi="宋体" w:cs="宋体"/>
                <w:color w:val="000000"/>
                <w:sz w:val="21"/>
                <w:szCs w:val="21"/>
                <w:lang w:val="en-US" w:eastAsia="zh-CN"/>
              </w:rPr>
              <w:t>三年单价进行</w:t>
            </w:r>
            <w:r>
              <w:rPr>
                <w:rFonts w:hint="eastAsia" w:hAnsi="宋体" w:cs="宋体"/>
                <w:color w:val="000000"/>
                <w:sz w:val="21"/>
                <w:szCs w:val="21"/>
              </w:rPr>
              <w:t>报价，否则作无效报价处理；</w:t>
            </w:r>
            <w:bookmarkEnd w:id="7"/>
          </w:p>
          <w:p>
            <w:pPr>
              <w:pStyle w:val="8"/>
              <w:adjustRightInd w:val="0"/>
              <w:snapToGrid w:val="0"/>
              <w:spacing w:beforeLines="0" w:afterLines="0" w:line="240" w:lineRule="auto"/>
              <w:ind w:firstLine="420" w:firstLineChars="200"/>
              <w:rPr>
                <w:rFonts w:hAnsi="宋体" w:cs="宋体"/>
                <w:color w:val="000000"/>
                <w:sz w:val="21"/>
                <w:szCs w:val="21"/>
              </w:rPr>
            </w:pPr>
            <w:bookmarkStart w:id="8" w:name="_Toc469778254"/>
            <w:r>
              <w:rPr>
                <w:rFonts w:hint="eastAsia" w:hAnsi="宋体" w:cs="宋体"/>
                <w:color w:val="000000"/>
                <w:sz w:val="21"/>
                <w:szCs w:val="21"/>
              </w:rPr>
              <w:t>（2）本次招标设有最高限价，超出限价的投标作无效标处理。</w:t>
            </w:r>
            <w:bookmarkEnd w:id="8"/>
          </w:p>
        </w:tc>
        <w:tc>
          <w:tcPr>
            <w:tcW w:w="1276" w:type="dxa"/>
            <w:noWrap w:val="0"/>
            <w:vAlign w:val="center"/>
          </w:tcPr>
          <w:p>
            <w:pPr>
              <w:pStyle w:val="8"/>
              <w:adjustRightInd w:val="0"/>
              <w:snapToGrid w:val="0"/>
              <w:spacing w:beforeLines="0" w:afterLines="0" w:line="240" w:lineRule="auto"/>
              <w:ind w:firstLine="420" w:firstLineChars="200"/>
              <w:rPr>
                <w:rFonts w:hint="eastAsia" w:hAnsi="宋体" w:cs="宋体"/>
                <w:color w:val="000000"/>
                <w:sz w:val="21"/>
                <w:szCs w:val="21"/>
              </w:rPr>
            </w:pPr>
          </w:p>
        </w:tc>
      </w:tr>
    </w:tbl>
    <w:p>
      <w:pPr>
        <w:spacing w:line="360" w:lineRule="auto"/>
        <w:ind w:firstLine="420" w:firstLineChars="200"/>
        <w:rPr>
          <w:rFonts w:ascii="宋体" w:hAnsi="宋体" w:cs="宋体"/>
          <w:b/>
          <w:szCs w:val="21"/>
        </w:rPr>
      </w:pPr>
      <w:r>
        <w:rPr>
          <w:rFonts w:hint="eastAsia" w:ascii="宋体" w:hAnsi="宋体" w:cs="宋体"/>
          <w:b/>
          <w:szCs w:val="21"/>
          <w:lang w:val="en-US" w:eastAsia="zh-CN"/>
        </w:rPr>
        <w:t>二</w:t>
      </w:r>
      <w:r>
        <w:rPr>
          <w:rFonts w:hint="eastAsia" w:ascii="宋体" w:hAnsi="宋体" w:cs="宋体"/>
          <w:b/>
          <w:szCs w:val="21"/>
        </w:rPr>
        <w:t>、项目基本原则</w:t>
      </w:r>
    </w:p>
    <w:p>
      <w:pPr>
        <w:pStyle w:val="5"/>
        <w:spacing w:line="360" w:lineRule="auto"/>
        <w:ind w:firstLine="420" w:firstLineChars="200"/>
        <w:rPr>
          <w:rFonts w:ascii="宋体" w:hAnsi="宋体" w:cs="宋体"/>
          <w:szCs w:val="21"/>
        </w:rPr>
      </w:pPr>
      <w:r>
        <w:rPr>
          <w:rFonts w:hint="eastAsia" w:ascii="宋体" w:hAnsi="宋体" w:cs="宋体"/>
          <w:szCs w:val="21"/>
        </w:rPr>
        <w:t>1.控制年度盈亏。对保险公司承办该项目年度盈亏进行控制，降低基金运行风险。赔付率介于9</w:t>
      </w:r>
      <w:r>
        <w:rPr>
          <w:rFonts w:hint="eastAsia" w:ascii="宋体" w:hAnsi="宋体" w:cs="宋体"/>
          <w:szCs w:val="21"/>
          <w:lang w:val="en-US" w:eastAsia="zh-CN"/>
        </w:rPr>
        <w:t>7</w:t>
      </w:r>
      <w:r>
        <w:rPr>
          <w:rFonts w:hint="eastAsia" w:ascii="宋体" w:hAnsi="宋体" w:cs="宋体"/>
          <w:szCs w:val="21"/>
        </w:rPr>
        <w:t>%-102%的，保险</w:t>
      </w:r>
      <w:r>
        <w:rPr>
          <w:rFonts w:ascii="宋体" w:hAnsi="宋体" w:cs="宋体"/>
          <w:szCs w:val="21"/>
        </w:rPr>
        <w:t>公司自负盈亏，</w:t>
      </w:r>
      <w:r>
        <w:rPr>
          <w:rFonts w:hint="eastAsia" w:ascii="宋体" w:hAnsi="宋体" w:cs="宋体"/>
          <w:szCs w:val="21"/>
        </w:rPr>
        <w:t>赔付率不足9</w:t>
      </w:r>
      <w:r>
        <w:rPr>
          <w:rFonts w:hint="eastAsia" w:ascii="宋体" w:hAnsi="宋体" w:cs="宋体"/>
          <w:szCs w:val="21"/>
          <w:lang w:val="en-US" w:eastAsia="zh-CN"/>
        </w:rPr>
        <w:t>7</w:t>
      </w:r>
      <w:r>
        <w:rPr>
          <w:rFonts w:hint="eastAsia" w:ascii="宋体" w:hAnsi="宋体" w:cs="宋体"/>
          <w:szCs w:val="21"/>
        </w:rPr>
        <w:t>%的</w:t>
      </w:r>
      <w:r>
        <w:rPr>
          <w:rFonts w:ascii="宋体" w:hAnsi="宋体" w:cs="宋体"/>
          <w:szCs w:val="21"/>
        </w:rPr>
        <w:t>部分</w:t>
      </w:r>
      <w:r>
        <w:rPr>
          <w:rFonts w:hint="eastAsia" w:ascii="宋体" w:hAnsi="宋体" w:cs="宋体"/>
          <w:szCs w:val="21"/>
        </w:rPr>
        <w:t>，</w:t>
      </w:r>
      <w:r>
        <w:rPr>
          <w:rFonts w:ascii="宋体" w:hAnsi="宋体" w:cs="宋体"/>
          <w:szCs w:val="21"/>
        </w:rPr>
        <w:t>全额</w:t>
      </w:r>
      <w:r>
        <w:rPr>
          <w:rFonts w:hint="eastAsia" w:ascii="宋体" w:hAnsi="宋体" w:cs="宋体"/>
          <w:szCs w:val="21"/>
        </w:rPr>
        <w:t>返还</w:t>
      </w:r>
      <w:r>
        <w:rPr>
          <w:rFonts w:ascii="宋体" w:hAnsi="宋体" w:cs="宋体"/>
          <w:szCs w:val="21"/>
        </w:rPr>
        <w:t>基金，赔付率超过</w:t>
      </w:r>
      <w:r>
        <w:rPr>
          <w:rFonts w:hint="eastAsia" w:ascii="宋体" w:hAnsi="宋体" w:cs="宋体"/>
          <w:szCs w:val="21"/>
        </w:rPr>
        <w:t>102%的</w:t>
      </w:r>
      <w:r>
        <w:rPr>
          <w:rFonts w:ascii="宋体" w:hAnsi="宋体" w:cs="宋体"/>
          <w:szCs w:val="21"/>
        </w:rPr>
        <w:t>部分，</w:t>
      </w:r>
      <w:r>
        <w:rPr>
          <w:rFonts w:hint="eastAsia" w:ascii="宋体" w:hAnsi="宋体" w:cs="宋体"/>
          <w:szCs w:val="21"/>
        </w:rPr>
        <w:t>基金</w:t>
      </w:r>
      <w:r>
        <w:rPr>
          <w:rFonts w:ascii="宋体" w:hAnsi="宋体" w:cs="宋体"/>
          <w:szCs w:val="21"/>
        </w:rPr>
        <w:t>全额补偿</w:t>
      </w:r>
      <w:r>
        <w:rPr>
          <w:rFonts w:hint="eastAsia" w:ascii="宋体" w:hAnsi="宋体" w:cs="宋体"/>
          <w:szCs w:val="21"/>
        </w:rPr>
        <w:t>。</w:t>
      </w:r>
    </w:p>
    <w:p>
      <w:pPr>
        <w:pStyle w:val="5"/>
        <w:spacing w:line="360" w:lineRule="auto"/>
        <w:ind w:firstLine="420" w:firstLineChars="200"/>
        <w:rPr>
          <w:rFonts w:ascii="宋体" w:hAnsi="宋体" w:cs="宋体"/>
          <w:szCs w:val="21"/>
        </w:rPr>
      </w:pPr>
      <w:r>
        <w:rPr>
          <w:rFonts w:hint="eastAsia" w:ascii="宋体" w:hAnsi="宋体" w:cs="宋体"/>
          <w:szCs w:val="21"/>
        </w:rPr>
        <w:t>2.深化合作共赢。保险公司参与医疗服务监管，配备专职人员，开展医疗稽核等</w:t>
      </w:r>
      <w:r>
        <w:rPr>
          <w:rFonts w:ascii="宋体" w:hAnsi="宋体" w:cs="宋体"/>
          <w:szCs w:val="21"/>
        </w:rPr>
        <w:t>工作</w:t>
      </w:r>
      <w:r>
        <w:rPr>
          <w:rFonts w:hint="eastAsia" w:ascii="宋体" w:hAnsi="宋体" w:cs="宋体"/>
          <w:szCs w:val="21"/>
        </w:rPr>
        <w:t>。通过双方协同监管，促进医疗服务规范，控制不合理医疗费用增长，减少医保基金的不合理支出。</w:t>
      </w:r>
    </w:p>
    <w:p>
      <w:pPr>
        <w:spacing w:line="360" w:lineRule="auto"/>
        <w:ind w:firstLine="340" w:firstLineChars="200"/>
        <w:rPr>
          <w:rFonts w:ascii="宋体" w:hAnsi="宋体" w:cs="宋体"/>
          <w:b/>
          <w:spacing w:val="-20"/>
          <w:kern w:val="0"/>
          <w:szCs w:val="21"/>
        </w:rPr>
      </w:pPr>
      <w:r>
        <w:rPr>
          <w:rFonts w:hint="eastAsia" w:ascii="宋体" w:hAnsi="宋体" w:cs="宋体"/>
          <w:b/>
          <w:spacing w:val="-20"/>
          <w:kern w:val="0"/>
          <w:szCs w:val="21"/>
          <w:lang w:val="en-US" w:eastAsia="zh-CN"/>
        </w:rPr>
        <w:t>三</w:t>
      </w:r>
      <w:r>
        <w:rPr>
          <w:rFonts w:hint="eastAsia" w:ascii="宋体" w:hAnsi="宋体" w:cs="宋体"/>
          <w:b/>
          <w:spacing w:val="-20"/>
          <w:kern w:val="0"/>
          <w:szCs w:val="21"/>
        </w:rPr>
        <w:t>、项目基本情况</w:t>
      </w:r>
    </w:p>
    <w:p>
      <w:pPr>
        <w:pStyle w:val="5"/>
        <w:spacing w:line="360" w:lineRule="auto"/>
        <w:ind w:firstLine="300"/>
        <w:rPr>
          <w:rFonts w:ascii="宋体" w:hAnsi="宋体" w:cs="宋体"/>
          <w:szCs w:val="21"/>
        </w:rPr>
      </w:pPr>
      <w:r>
        <w:rPr>
          <w:rFonts w:hint="eastAsia" w:ascii="宋体" w:hAnsi="宋体" w:cs="宋体"/>
          <w:szCs w:val="21"/>
          <w:lang w:val="en-US" w:eastAsia="zh-CN"/>
        </w:rPr>
        <w:t>1、</w:t>
      </w:r>
      <w:r>
        <w:rPr>
          <w:rFonts w:hint="eastAsia" w:ascii="宋体" w:hAnsi="宋体" w:cs="宋体"/>
          <w:szCs w:val="21"/>
        </w:rPr>
        <w:t>项目</w:t>
      </w:r>
      <w:r>
        <w:rPr>
          <w:rFonts w:ascii="宋体" w:hAnsi="宋体" w:cs="宋体"/>
          <w:szCs w:val="21"/>
        </w:rPr>
        <w:t>保险期间为</w:t>
      </w:r>
      <w:r>
        <w:rPr>
          <w:rFonts w:hint="eastAsia" w:ascii="宋体" w:hAnsi="宋体" w:cs="宋体"/>
          <w:szCs w:val="21"/>
          <w:lang w:val="en-US" w:eastAsia="zh-CN"/>
        </w:rPr>
        <w:t>2</w:t>
      </w:r>
      <w:r>
        <w:rPr>
          <w:rFonts w:hint="eastAsia" w:ascii="宋体" w:hAnsi="宋体" w:cs="宋体"/>
          <w:szCs w:val="21"/>
        </w:rPr>
        <w:t>年</w:t>
      </w:r>
      <w:r>
        <w:rPr>
          <w:rFonts w:ascii="宋体" w:hAnsi="宋体" w:cs="宋体"/>
          <w:szCs w:val="21"/>
        </w:rPr>
        <w:t>8</w:t>
      </w:r>
      <w:r>
        <w:rPr>
          <w:rFonts w:hint="eastAsia" w:ascii="宋体" w:hAnsi="宋体" w:cs="宋体"/>
          <w:szCs w:val="21"/>
        </w:rPr>
        <w:t>个月，</w:t>
      </w:r>
      <w:r>
        <w:rPr>
          <w:rFonts w:ascii="宋体" w:hAnsi="宋体" w:cs="宋体"/>
          <w:szCs w:val="21"/>
        </w:rPr>
        <w:t>从</w:t>
      </w:r>
      <w:r>
        <w:rPr>
          <w:rFonts w:hint="eastAsia" w:ascii="宋体" w:hAnsi="宋体" w:cs="宋体"/>
          <w:szCs w:val="21"/>
        </w:rPr>
        <w:t>2020年</w:t>
      </w:r>
      <w:r>
        <w:rPr>
          <w:rFonts w:ascii="宋体" w:hAnsi="宋体" w:cs="宋体"/>
          <w:szCs w:val="21"/>
        </w:rPr>
        <w:t>5</w:t>
      </w:r>
      <w:r>
        <w:rPr>
          <w:rFonts w:hint="eastAsia" w:ascii="宋体" w:hAnsi="宋体" w:cs="宋体"/>
          <w:szCs w:val="21"/>
        </w:rPr>
        <w:t>月1日0时起至202</w:t>
      </w:r>
      <w:r>
        <w:rPr>
          <w:rFonts w:hint="eastAsia" w:ascii="宋体" w:hAnsi="宋体" w:cs="宋体"/>
          <w:szCs w:val="21"/>
          <w:lang w:val="en-US" w:eastAsia="zh-CN"/>
        </w:rPr>
        <w:t>2</w:t>
      </w:r>
      <w:r>
        <w:rPr>
          <w:rFonts w:hint="eastAsia" w:ascii="宋体" w:hAnsi="宋体" w:cs="宋体"/>
          <w:szCs w:val="21"/>
        </w:rPr>
        <w:t>年12月31日24时止，</w:t>
      </w:r>
      <w:r>
        <w:rPr>
          <w:rFonts w:ascii="宋体" w:hAnsi="宋体" w:cs="宋体"/>
          <w:szCs w:val="21"/>
        </w:rPr>
        <w:t>参保人数约</w:t>
      </w:r>
      <w:r>
        <w:rPr>
          <w:rFonts w:hint="eastAsia" w:ascii="宋体" w:hAnsi="宋体" w:cs="宋体"/>
          <w:szCs w:val="21"/>
        </w:rPr>
        <w:t>21万人。202</w:t>
      </w:r>
      <w:r>
        <w:rPr>
          <w:rFonts w:ascii="宋体" w:hAnsi="宋体" w:cs="宋体"/>
          <w:szCs w:val="21"/>
        </w:rPr>
        <w:t>0</w:t>
      </w:r>
      <w:r>
        <w:rPr>
          <w:rFonts w:hint="eastAsia" w:ascii="宋体" w:hAnsi="宋体" w:cs="宋体"/>
          <w:szCs w:val="21"/>
        </w:rPr>
        <w:t>年5月1日</w:t>
      </w:r>
      <w:r>
        <w:rPr>
          <w:rFonts w:ascii="宋体" w:hAnsi="宋体" w:cs="宋体"/>
          <w:szCs w:val="21"/>
        </w:rPr>
        <w:t>至</w:t>
      </w:r>
      <w:r>
        <w:rPr>
          <w:rFonts w:hint="eastAsia" w:ascii="宋体" w:hAnsi="宋体" w:cs="宋体"/>
          <w:szCs w:val="21"/>
        </w:rPr>
        <w:t>2020年12月31日</w:t>
      </w:r>
      <w:r>
        <w:rPr>
          <w:rFonts w:ascii="宋体" w:hAnsi="宋体" w:cs="宋体"/>
          <w:szCs w:val="21"/>
        </w:rPr>
        <w:t>为第</w:t>
      </w:r>
      <w:r>
        <w:rPr>
          <w:rFonts w:hint="eastAsia" w:ascii="宋体" w:hAnsi="宋体" w:cs="宋体"/>
          <w:szCs w:val="21"/>
          <w:lang w:val="en-US" w:eastAsia="zh-CN"/>
        </w:rPr>
        <w:t>一年</w:t>
      </w:r>
      <w:r>
        <w:rPr>
          <w:rFonts w:hint="eastAsia" w:ascii="宋体" w:hAnsi="宋体" w:cs="宋体"/>
          <w:szCs w:val="21"/>
        </w:rPr>
        <w:t>，</w:t>
      </w:r>
      <w:r>
        <w:rPr>
          <w:rFonts w:hint="eastAsia" w:hAnsi="宋体" w:cs="宋体"/>
          <w:color w:val="000000"/>
          <w:sz w:val="21"/>
          <w:szCs w:val="21"/>
          <w:lang w:val="en-US" w:eastAsia="zh-CN"/>
        </w:rPr>
        <w:t>第二年：2021年1月1日-2021年12月31日</w:t>
      </w:r>
      <w:r>
        <w:rPr>
          <w:rFonts w:hint="eastAsia" w:ascii="宋体" w:hAnsi="宋体" w:cs="宋体"/>
          <w:szCs w:val="21"/>
          <w:lang w:eastAsia="zh-CN"/>
        </w:rPr>
        <w:t>，</w:t>
      </w:r>
      <w:r>
        <w:rPr>
          <w:rFonts w:hint="eastAsia" w:ascii="宋体" w:hAnsi="宋体" w:cs="宋体"/>
          <w:szCs w:val="21"/>
          <w:lang w:val="en-US" w:eastAsia="zh-CN"/>
        </w:rPr>
        <w:t>第三年</w:t>
      </w:r>
      <w:r>
        <w:rPr>
          <w:rFonts w:hint="eastAsia" w:hAnsi="宋体" w:cs="宋体"/>
          <w:color w:val="000000"/>
          <w:sz w:val="21"/>
          <w:szCs w:val="21"/>
          <w:lang w:val="en-US" w:eastAsia="zh-CN"/>
        </w:rPr>
        <w:t>：2022年1月1日-2022年12月31日</w:t>
      </w:r>
      <w:r>
        <w:rPr>
          <w:rFonts w:ascii="宋体" w:hAnsi="宋体" w:cs="宋体"/>
          <w:szCs w:val="21"/>
        </w:rPr>
        <w:t>。</w:t>
      </w:r>
      <w:r>
        <w:rPr>
          <w:rFonts w:hint="eastAsia" w:ascii="宋体" w:hAnsi="宋体" w:cs="宋体"/>
          <w:szCs w:val="21"/>
        </w:rPr>
        <w:t>本次</w:t>
      </w:r>
      <w:r>
        <w:rPr>
          <w:rFonts w:ascii="宋体" w:hAnsi="宋体" w:cs="宋体"/>
          <w:szCs w:val="21"/>
        </w:rPr>
        <w:t>投标</w:t>
      </w:r>
      <w:r>
        <w:rPr>
          <w:rFonts w:hint="eastAsia" w:ascii="宋体" w:hAnsi="宋体" w:cs="宋体"/>
          <w:szCs w:val="21"/>
        </w:rPr>
        <w:t>需提交</w:t>
      </w:r>
      <w:r>
        <w:rPr>
          <w:rFonts w:hint="eastAsia" w:ascii="宋体" w:hAnsi="宋体" w:cs="宋体"/>
          <w:szCs w:val="21"/>
          <w:lang w:val="en-US" w:eastAsia="zh-CN"/>
        </w:rPr>
        <w:t>三年</w:t>
      </w:r>
      <w:r>
        <w:rPr>
          <w:rFonts w:hint="eastAsia" w:ascii="宋体" w:hAnsi="宋体" w:cs="宋体"/>
          <w:szCs w:val="21"/>
        </w:rPr>
        <w:t>的</w:t>
      </w:r>
      <w:r>
        <w:rPr>
          <w:rFonts w:hint="eastAsia" w:ascii="宋体" w:hAnsi="宋体" w:cs="宋体"/>
          <w:szCs w:val="21"/>
          <w:lang w:val="en-US" w:eastAsia="zh-CN"/>
        </w:rPr>
        <w:t>单价</w:t>
      </w:r>
      <w:r>
        <w:rPr>
          <w:rFonts w:ascii="宋体" w:hAnsi="宋体" w:cs="宋体"/>
          <w:szCs w:val="21"/>
        </w:rPr>
        <w:t>。</w:t>
      </w:r>
    </w:p>
    <w:p>
      <w:pPr>
        <w:pStyle w:val="5"/>
        <w:spacing w:line="360" w:lineRule="auto"/>
        <w:ind w:firstLine="300"/>
        <w:rPr>
          <w:rFonts w:hint="eastAsia" w:ascii="宋体" w:hAnsi="宋体" w:cs="宋体"/>
          <w:szCs w:val="21"/>
          <w:lang w:val="en-US" w:eastAsia="zh-CN"/>
        </w:rPr>
      </w:pPr>
      <w:r>
        <w:rPr>
          <w:rFonts w:hint="eastAsia" w:ascii="宋体" w:hAnsi="宋体" w:cs="宋体"/>
          <w:szCs w:val="21"/>
          <w:lang w:val="en-US" w:eastAsia="zh-CN"/>
        </w:rPr>
        <w:t>2、2017年度到2019年度（每年5-12月），每人月大病合计支出从9.28元/人/月增加到11.8元/人/月。2018-2019年度每人月大病合计支出同比增加7.8%，其中大病救助减少9.6%、大病保险增长20.34%。</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5"/>
        <w:gridCol w:w="2001"/>
        <w:gridCol w:w="2303"/>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项目 </w:t>
            </w:r>
          </w:p>
        </w:tc>
        <w:tc>
          <w:tcPr>
            <w:tcW w:w="2001"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2017年度 </w:t>
            </w:r>
          </w:p>
        </w:tc>
        <w:tc>
          <w:tcPr>
            <w:tcW w:w="2303"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2018年度 </w:t>
            </w:r>
          </w:p>
        </w:tc>
        <w:tc>
          <w:tcPr>
            <w:tcW w:w="2304"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2019年度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大病救助（万元） </w:t>
            </w:r>
          </w:p>
        </w:tc>
        <w:tc>
          <w:tcPr>
            <w:tcW w:w="2001"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484.1 </w:t>
            </w:r>
          </w:p>
        </w:tc>
        <w:tc>
          <w:tcPr>
            <w:tcW w:w="2303"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669.88 </w:t>
            </w:r>
          </w:p>
        </w:tc>
        <w:tc>
          <w:tcPr>
            <w:tcW w:w="2304"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644.9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大病保险（万元） </w:t>
            </w:r>
          </w:p>
        </w:tc>
        <w:tc>
          <w:tcPr>
            <w:tcW w:w="2001"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750.6 </w:t>
            </w:r>
          </w:p>
        </w:tc>
        <w:tc>
          <w:tcPr>
            <w:tcW w:w="2303"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933.92 </w:t>
            </w:r>
          </w:p>
        </w:tc>
        <w:tc>
          <w:tcPr>
            <w:tcW w:w="2304"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1196.43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合计（万元） </w:t>
            </w:r>
          </w:p>
        </w:tc>
        <w:tc>
          <w:tcPr>
            <w:tcW w:w="2001"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1234.7 </w:t>
            </w:r>
          </w:p>
        </w:tc>
        <w:tc>
          <w:tcPr>
            <w:tcW w:w="2303"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1603.8 </w:t>
            </w:r>
          </w:p>
        </w:tc>
        <w:tc>
          <w:tcPr>
            <w:tcW w:w="2304"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1841.33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年参保人数（人） </w:t>
            </w:r>
          </w:p>
        </w:tc>
        <w:tc>
          <w:tcPr>
            <w:tcW w:w="2001"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166275 </w:t>
            </w:r>
          </w:p>
        </w:tc>
        <w:tc>
          <w:tcPr>
            <w:tcW w:w="2303"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183174 </w:t>
            </w:r>
          </w:p>
        </w:tc>
        <w:tc>
          <w:tcPr>
            <w:tcW w:w="2304"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194997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每人大病合计支出（元） </w:t>
            </w:r>
          </w:p>
        </w:tc>
        <w:tc>
          <w:tcPr>
            <w:tcW w:w="2001"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74.26 </w:t>
            </w:r>
          </w:p>
        </w:tc>
        <w:tc>
          <w:tcPr>
            <w:tcW w:w="2303"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87.56 </w:t>
            </w:r>
          </w:p>
        </w:tc>
        <w:tc>
          <w:tcPr>
            <w:tcW w:w="2304"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94.43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每人月大病合计支出（元） </w:t>
            </w:r>
          </w:p>
        </w:tc>
        <w:tc>
          <w:tcPr>
            <w:tcW w:w="2001"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9.28 </w:t>
            </w:r>
          </w:p>
        </w:tc>
        <w:tc>
          <w:tcPr>
            <w:tcW w:w="2303"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10.94 </w:t>
            </w:r>
          </w:p>
        </w:tc>
        <w:tc>
          <w:tcPr>
            <w:tcW w:w="2304"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11.80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其中：大病救助（元） </w:t>
            </w:r>
          </w:p>
        </w:tc>
        <w:tc>
          <w:tcPr>
            <w:tcW w:w="2001"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3.64 </w:t>
            </w:r>
          </w:p>
        </w:tc>
        <w:tc>
          <w:tcPr>
            <w:tcW w:w="2303"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4.57 </w:t>
            </w:r>
          </w:p>
        </w:tc>
        <w:tc>
          <w:tcPr>
            <w:tcW w:w="2304"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4.13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5"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大病保险（元） </w:t>
            </w:r>
          </w:p>
        </w:tc>
        <w:tc>
          <w:tcPr>
            <w:tcW w:w="2001"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5.64 </w:t>
            </w:r>
          </w:p>
        </w:tc>
        <w:tc>
          <w:tcPr>
            <w:tcW w:w="2303"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6.37 </w:t>
            </w:r>
          </w:p>
        </w:tc>
        <w:tc>
          <w:tcPr>
            <w:tcW w:w="2304" w:type="dxa"/>
            <w:noWrap w:val="0"/>
            <w:vAlign w:val="top"/>
          </w:tcPr>
          <w:p>
            <w:pPr>
              <w:spacing w:line="360" w:lineRule="auto"/>
              <w:rPr>
                <w:rFonts w:hint="eastAsia" w:ascii="宋体" w:hAnsi="宋体" w:eastAsia="宋体" w:cs="宋体"/>
                <w:szCs w:val="21"/>
                <w:vertAlign w:val="baseline"/>
                <w:lang w:val="en-US" w:eastAsia="zh-CN"/>
              </w:rPr>
            </w:pPr>
            <w:r>
              <w:rPr>
                <w:rFonts w:hint="eastAsia" w:ascii="宋体" w:hAnsi="宋体" w:eastAsia="宋体" w:cs="宋体"/>
              </w:rPr>
              <w:t xml:space="preserve">7.67 </w:t>
            </w:r>
          </w:p>
        </w:tc>
      </w:tr>
    </w:tbl>
    <w:p>
      <w:pPr>
        <w:pStyle w:val="5"/>
        <w:spacing w:line="360" w:lineRule="auto"/>
        <w:ind w:firstLine="300"/>
        <w:rPr>
          <w:rFonts w:hint="default" w:ascii="宋体" w:hAnsi="宋体" w:cs="宋体"/>
          <w:szCs w:val="21"/>
          <w:lang w:val="en-US" w:eastAsia="zh-CN"/>
        </w:rPr>
      </w:pPr>
      <w:r>
        <w:rPr>
          <w:rFonts w:hint="default" w:ascii="宋体" w:hAnsi="宋体" w:cs="宋体"/>
          <w:szCs w:val="21"/>
          <w:lang w:val="en-US" w:eastAsia="zh-CN"/>
        </w:rPr>
        <w:t>说明：</w:t>
      </w:r>
      <w:r>
        <w:rPr>
          <w:rFonts w:hint="eastAsia" w:ascii="宋体" w:hAnsi="宋体" w:cs="宋体"/>
          <w:szCs w:val="21"/>
          <w:lang w:val="en-US" w:eastAsia="zh-CN"/>
        </w:rPr>
        <w:t>1、</w:t>
      </w:r>
      <w:r>
        <w:rPr>
          <w:rFonts w:hint="default" w:ascii="宋体" w:hAnsi="宋体" w:cs="宋体"/>
          <w:szCs w:val="21"/>
          <w:lang w:val="en-US" w:eastAsia="zh-CN"/>
        </w:rPr>
        <w:t>上述数据都为每年5-12月数据</w:t>
      </w:r>
    </w:p>
    <w:p>
      <w:pPr>
        <w:pStyle w:val="5"/>
        <w:spacing w:line="360" w:lineRule="auto"/>
        <w:ind w:firstLine="300"/>
        <w:rPr>
          <w:rFonts w:hint="default" w:ascii="宋体" w:hAnsi="宋体" w:cs="宋体"/>
          <w:szCs w:val="21"/>
          <w:lang w:val="en-US" w:eastAsia="zh-CN"/>
        </w:rPr>
      </w:pPr>
      <w:r>
        <w:rPr>
          <w:rFonts w:hint="eastAsia" w:ascii="宋体" w:hAnsi="宋体" w:cs="宋体"/>
          <w:szCs w:val="21"/>
          <w:lang w:val="en-US" w:eastAsia="zh-CN"/>
        </w:rPr>
        <w:t xml:space="preserve">      2、自2020年1月1日起，在三甲医院住院的起付标准从1200元提升到1500元。</w:t>
      </w:r>
    </w:p>
    <w:p>
      <w:pPr>
        <w:pStyle w:val="4"/>
        <w:spacing w:line="360" w:lineRule="auto"/>
        <w:rPr>
          <w:rFonts w:ascii="宋体" w:hAnsi="宋体" w:cs="宋体"/>
          <w:b/>
          <w:szCs w:val="21"/>
        </w:rPr>
      </w:pPr>
      <w:r>
        <w:rPr>
          <w:rFonts w:hint="eastAsia" w:ascii="宋体" w:hAnsi="宋体" w:cs="宋体"/>
          <w:b/>
          <w:szCs w:val="21"/>
          <w:lang w:val="en-US" w:eastAsia="zh-CN"/>
        </w:rPr>
        <w:t>四</w:t>
      </w:r>
      <w:r>
        <w:rPr>
          <w:rFonts w:hint="eastAsia" w:ascii="宋体" w:hAnsi="宋体" w:cs="宋体"/>
          <w:b/>
          <w:szCs w:val="21"/>
        </w:rPr>
        <w:t>、项目服务要求：</w:t>
      </w:r>
    </w:p>
    <w:p>
      <w:pPr>
        <w:pStyle w:val="4"/>
        <w:spacing w:line="360" w:lineRule="auto"/>
        <w:rPr>
          <w:rFonts w:ascii="宋体" w:hAnsi="宋体" w:cs="宋体"/>
          <w:szCs w:val="21"/>
        </w:rPr>
      </w:pPr>
      <w:r>
        <w:rPr>
          <w:rFonts w:hint="eastAsia" w:ascii="宋体" w:hAnsi="宋体" w:cs="宋体"/>
          <w:szCs w:val="21"/>
        </w:rPr>
        <w:t>协同监管，促进医疗服务提升。按医保管理要求，保险公司参与医疗服务监管，承担医疗服务稽核、外地大额医疗费用、</w:t>
      </w:r>
      <w:r>
        <w:rPr>
          <w:rFonts w:ascii="宋体" w:hAnsi="宋体" w:cs="宋体"/>
          <w:szCs w:val="21"/>
        </w:rPr>
        <w:t>外伤调查</w:t>
      </w:r>
      <w:r>
        <w:rPr>
          <w:rFonts w:hint="eastAsia" w:ascii="宋体" w:hAnsi="宋体" w:cs="宋体"/>
          <w:szCs w:val="21"/>
        </w:rPr>
        <w:t>等工作。要求保险公司配备专职项目专项服务人员至少</w:t>
      </w:r>
      <w:r>
        <w:rPr>
          <w:rFonts w:ascii="宋体" w:hAnsi="宋体" w:cs="宋体"/>
          <w:szCs w:val="21"/>
        </w:rPr>
        <w:t>6</w:t>
      </w:r>
      <w:r>
        <w:rPr>
          <w:rFonts w:hint="eastAsia" w:ascii="宋体" w:hAnsi="宋体" w:cs="宋体"/>
          <w:szCs w:val="21"/>
        </w:rPr>
        <w:t>名，其中专职巡查人员不少于</w:t>
      </w:r>
      <w:r>
        <w:rPr>
          <w:rFonts w:ascii="宋体" w:hAnsi="宋体" w:cs="宋体"/>
          <w:szCs w:val="21"/>
        </w:rPr>
        <w:t>5</w:t>
      </w:r>
      <w:r>
        <w:rPr>
          <w:rFonts w:hint="eastAsia" w:ascii="宋体" w:hAnsi="宋体" w:cs="宋体"/>
          <w:szCs w:val="21"/>
        </w:rPr>
        <w:t>人（具备一定</w:t>
      </w:r>
      <w:r>
        <w:rPr>
          <w:rFonts w:ascii="宋体" w:hAnsi="宋体" w:cs="宋体"/>
          <w:szCs w:val="21"/>
        </w:rPr>
        <w:t>的</w:t>
      </w:r>
      <w:r>
        <w:rPr>
          <w:rFonts w:hint="eastAsia" w:ascii="宋体" w:hAnsi="宋体" w:cs="宋体"/>
          <w:szCs w:val="21"/>
        </w:rPr>
        <w:t>医药学专业背景），开展医疗稽核、</w:t>
      </w:r>
      <w:r>
        <w:rPr>
          <w:rFonts w:ascii="宋体" w:hAnsi="宋体" w:cs="宋体"/>
          <w:szCs w:val="21"/>
        </w:rPr>
        <w:t>外伤调查、异地调查</w:t>
      </w:r>
      <w:r>
        <w:rPr>
          <w:rFonts w:hint="eastAsia" w:ascii="宋体" w:hAnsi="宋体" w:cs="宋体"/>
          <w:szCs w:val="21"/>
        </w:rPr>
        <w:t>等活动，</w:t>
      </w:r>
      <w:r>
        <w:rPr>
          <w:rFonts w:ascii="宋体" w:hAnsi="宋体" w:cs="宋体"/>
          <w:szCs w:val="21"/>
        </w:rPr>
        <w:t>另配备</w:t>
      </w:r>
      <w:r>
        <w:rPr>
          <w:rFonts w:hint="eastAsia" w:ascii="宋体" w:hAnsi="宋体" w:cs="宋体"/>
          <w:szCs w:val="21"/>
        </w:rPr>
        <w:t>1</w:t>
      </w:r>
      <w:r>
        <w:rPr>
          <w:rFonts w:ascii="宋体" w:hAnsi="宋体" w:cs="宋体"/>
          <w:szCs w:val="21"/>
        </w:rPr>
        <w:t>辆服务用车</w:t>
      </w:r>
      <w:r>
        <w:rPr>
          <w:rFonts w:hint="eastAsia" w:ascii="宋体" w:hAnsi="宋体" w:cs="宋体"/>
          <w:szCs w:val="21"/>
        </w:rPr>
        <w:t xml:space="preserve">。相关工作接受医保中心指导。保险公司应专人负责保险业务服务，按照“主动、迅速、准确、合理”的原则优先为投保人提供理赔服务。  </w:t>
      </w:r>
    </w:p>
    <w:p>
      <w:pPr>
        <w:spacing w:line="360" w:lineRule="auto"/>
        <w:ind w:firstLine="420" w:firstLineChars="200"/>
        <w:rPr>
          <w:rFonts w:ascii="宋体" w:hAnsi="宋体" w:cs="宋体"/>
          <w:b/>
          <w:szCs w:val="21"/>
        </w:rPr>
      </w:pPr>
      <w:r>
        <w:rPr>
          <w:rFonts w:hint="eastAsia" w:ascii="宋体" w:hAnsi="宋体" w:cs="宋体"/>
          <w:b/>
          <w:szCs w:val="21"/>
          <w:lang w:val="en-US" w:eastAsia="zh-CN"/>
        </w:rPr>
        <w:t>五</w:t>
      </w:r>
      <w:r>
        <w:rPr>
          <w:rFonts w:hint="eastAsia" w:ascii="宋体" w:hAnsi="宋体" w:cs="宋体"/>
          <w:b/>
          <w:szCs w:val="21"/>
        </w:rPr>
        <w:t>、项目赔付范围和标准。</w:t>
      </w:r>
    </w:p>
    <w:p>
      <w:pPr>
        <w:pStyle w:val="4"/>
        <w:spacing w:line="360" w:lineRule="auto"/>
        <w:ind w:firstLine="520"/>
        <w:rPr>
          <w:rFonts w:ascii="宋体" w:hAnsi="宋体" w:cs="宋体"/>
          <w:spacing w:val="-20"/>
          <w:kern w:val="0"/>
          <w:szCs w:val="21"/>
        </w:rPr>
      </w:pPr>
      <w:r>
        <w:rPr>
          <w:rFonts w:hint="eastAsia" w:ascii="宋体" w:hAnsi="宋体" w:cs="宋体"/>
          <w:spacing w:val="-20"/>
          <w:kern w:val="0"/>
          <w:szCs w:val="21"/>
        </w:rPr>
        <w:t>1.项目赔付责任：</w:t>
      </w:r>
    </w:p>
    <w:p>
      <w:pPr>
        <w:spacing w:line="360" w:lineRule="auto"/>
        <w:ind w:firstLine="420" w:firstLineChars="200"/>
        <w:rPr>
          <w:rFonts w:ascii="宋体" w:hAnsi="宋体" w:cs="宋体"/>
          <w:szCs w:val="21"/>
        </w:rPr>
      </w:pPr>
      <w:r>
        <w:rPr>
          <w:rFonts w:hint="eastAsia" w:ascii="宋体" w:hAnsi="宋体" w:cs="宋体"/>
          <w:szCs w:val="21"/>
        </w:rPr>
        <w:t>（1）参保人员年度内住院发生的符合城镇职工基本医疗保险规定的合规医疗费超过20万元以上部分，按95%赔付。</w:t>
      </w:r>
    </w:p>
    <w:p>
      <w:pPr>
        <w:spacing w:line="360" w:lineRule="auto"/>
        <w:ind w:firstLine="420" w:firstLineChars="200"/>
        <w:rPr>
          <w:rFonts w:ascii="宋体" w:hAnsi="宋体" w:cs="宋体"/>
          <w:szCs w:val="21"/>
        </w:rPr>
      </w:pPr>
      <w:r>
        <w:rPr>
          <w:rFonts w:hint="eastAsia" w:ascii="宋体" w:hAnsi="宋体" w:cs="宋体"/>
          <w:szCs w:val="21"/>
        </w:rPr>
        <w:t>（2）参保人员年度内在特病门诊治疗和住院时发生的医疗费，由医疗保险统筹基金、重大疾病医疗救助金、公务员补助金和当年个人账户资金支付后，个人自负和个人承担的医疗费累计超过3000元（含）以上至2万元部分，按80%赔付，2万元（含）以上至50万元</w:t>
      </w:r>
      <w:r>
        <w:rPr>
          <w:rFonts w:ascii="宋体" w:hAnsi="宋体" w:cs="宋体"/>
          <w:szCs w:val="21"/>
        </w:rPr>
        <w:t>（</w:t>
      </w:r>
      <w:r>
        <w:rPr>
          <w:rFonts w:hint="eastAsia" w:ascii="宋体" w:hAnsi="宋体" w:cs="宋体"/>
          <w:szCs w:val="21"/>
        </w:rPr>
        <w:t>含</w:t>
      </w:r>
      <w:r>
        <w:rPr>
          <w:rFonts w:ascii="宋体" w:hAnsi="宋体" w:cs="宋体"/>
          <w:szCs w:val="21"/>
        </w:rPr>
        <w:t>）</w:t>
      </w:r>
      <w:r>
        <w:rPr>
          <w:rFonts w:hint="eastAsia" w:ascii="宋体" w:hAnsi="宋体" w:cs="宋体"/>
          <w:szCs w:val="21"/>
        </w:rPr>
        <w:t>部分，按90%赔付。</w:t>
      </w:r>
      <w:r>
        <w:rPr>
          <w:rFonts w:ascii="宋体" w:hAnsi="宋体" w:cs="宋体"/>
          <w:szCs w:val="21"/>
        </w:rPr>
        <w:t xml:space="preserve"> </w:t>
      </w:r>
    </w:p>
    <w:p>
      <w:pPr>
        <w:jc w:val="left"/>
        <w:rPr>
          <w:rFonts w:ascii="宋体" w:hAnsi="宋体" w:cs="宋体"/>
          <w:b/>
          <w:color w:val="FF0000"/>
          <w:szCs w:val="21"/>
        </w:rPr>
      </w:pPr>
    </w:p>
    <w:p>
      <w:pPr>
        <w:jc w:val="left"/>
        <w:rPr>
          <w:b/>
          <w:szCs w:val="21"/>
        </w:rPr>
      </w:pPr>
      <w:r>
        <w:rPr>
          <w:rFonts w:hint="eastAsia"/>
          <w:bCs/>
          <w:szCs w:val="21"/>
        </w:rPr>
        <w:br w:type="page"/>
      </w:r>
      <w:r>
        <w:rPr>
          <w:rFonts w:hint="eastAsia"/>
          <w:bCs/>
          <w:szCs w:val="21"/>
        </w:rPr>
        <w:t>▲</w:t>
      </w:r>
      <w:r>
        <w:rPr>
          <w:rFonts w:hint="eastAsia"/>
          <w:bCs/>
          <w:szCs w:val="21"/>
          <w:lang w:val="en-US" w:eastAsia="zh-CN"/>
        </w:rPr>
        <w:t>六</w:t>
      </w:r>
      <w:r>
        <w:rPr>
          <w:rFonts w:hint="eastAsia" w:ascii="Cambria" w:hAnsi="Cambria"/>
          <w:b/>
          <w:bCs/>
          <w:kern w:val="28"/>
          <w:szCs w:val="21"/>
        </w:rPr>
        <w:t>、商务要求</w:t>
      </w:r>
    </w:p>
    <w:tbl>
      <w:tblPr>
        <w:tblStyle w:val="13"/>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6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1951" w:type="dxa"/>
            <w:noWrap w:val="0"/>
            <w:vAlign w:val="center"/>
          </w:tcPr>
          <w:p>
            <w:pPr>
              <w:jc w:val="center"/>
              <w:rPr>
                <w:color w:val="FF0000"/>
                <w:szCs w:val="21"/>
              </w:rPr>
            </w:pPr>
            <w:r>
              <w:rPr>
                <w:rFonts w:hint="eastAsia" w:ascii="宋体" w:hAnsi="宋体" w:cs="宋体"/>
                <w:szCs w:val="21"/>
                <w:lang w:val="en-US" w:eastAsia="zh-CN"/>
              </w:rPr>
              <w:t>服务期限</w:t>
            </w:r>
          </w:p>
        </w:tc>
        <w:tc>
          <w:tcPr>
            <w:tcW w:w="6975" w:type="dxa"/>
            <w:noWrap w:val="0"/>
            <w:vAlign w:val="center"/>
          </w:tcPr>
          <w:p>
            <w:pPr>
              <w:rPr>
                <w:rFonts w:hint="default" w:eastAsia="宋体"/>
                <w:color w:val="FF0000"/>
                <w:szCs w:val="21"/>
                <w:lang w:val="en-US" w:eastAsia="zh-CN"/>
              </w:rPr>
            </w:pPr>
            <w:r>
              <w:rPr>
                <w:rFonts w:hint="eastAsia" w:hAnsi="宋体" w:cs="宋体"/>
                <w:color w:val="000000"/>
                <w:sz w:val="21"/>
                <w:szCs w:val="21"/>
                <w:lang w:val="en-US" w:eastAsia="zh-CN"/>
              </w:rPr>
              <w:t>服务期限2年8个月，第一年：2020年5月1日-2020年12月31日，第二年：2021年1月1日-2021年12月31日</w:t>
            </w:r>
            <w:r>
              <w:rPr>
                <w:rFonts w:hint="eastAsia" w:ascii="宋体" w:hAnsi="宋体" w:cs="宋体"/>
                <w:szCs w:val="21"/>
                <w:lang w:eastAsia="zh-CN"/>
              </w:rPr>
              <w:t>，</w:t>
            </w:r>
            <w:r>
              <w:rPr>
                <w:rFonts w:hint="eastAsia" w:ascii="宋体" w:hAnsi="宋体" w:cs="宋体"/>
                <w:szCs w:val="21"/>
                <w:lang w:val="en-US" w:eastAsia="zh-CN"/>
              </w:rPr>
              <w:t>第三年</w:t>
            </w:r>
            <w:r>
              <w:rPr>
                <w:rFonts w:hint="eastAsia" w:hAnsi="宋体" w:cs="宋体"/>
                <w:color w:val="000000"/>
                <w:sz w:val="21"/>
                <w:szCs w:val="21"/>
                <w:lang w:val="en-US" w:eastAsia="zh-CN"/>
              </w:rPr>
              <w:t>：2022年1月1日-2022年12月31日</w:t>
            </w:r>
            <w:r>
              <w:rPr>
                <w:rFonts w:hint="eastAsia" w:ascii="宋体" w:hAnsi="宋体" w:cs="宋体"/>
                <w:szCs w:val="21"/>
                <w:lang w:eastAsia="zh-CN"/>
              </w:rPr>
              <w:t>，</w:t>
            </w:r>
            <w:r>
              <w:rPr>
                <w:rFonts w:hint="eastAsia" w:ascii="宋体" w:hAnsi="宋体" w:cs="宋体"/>
                <w:szCs w:val="21"/>
                <w:lang w:val="en-US" w:eastAsia="zh-CN"/>
              </w:rPr>
              <w:t>合同一年一签。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951" w:type="dxa"/>
            <w:noWrap w:val="0"/>
            <w:vAlign w:val="center"/>
          </w:tcPr>
          <w:p>
            <w:pPr>
              <w:jc w:val="center"/>
              <w:rPr>
                <w:szCs w:val="21"/>
              </w:rPr>
            </w:pPr>
            <w:r>
              <w:rPr>
                <w:rFonts w:hint="eastAsia"/>
                <w:szCs w:val="21"/>
              </w:rPr>
              <w:t>付款条件</w:t>
            </w:r>
          </w:p>
        </w:tc>
        <w:tc>
          <w:tcPr>
            <w:tcW w:w="6975" w:type="dxa"/>
            <w:noWrap w:val="0"/>
            <w:vAlign w:val="center"/>
          </w:tcPr>
          <w:p>
            <w:pPr>
              <w:numPr>
                <w:ilvl w:val="0"/>
                <w:numId w:val="1"/>
              </w:numPr>
              <w:jc w:val="left"/>
              <w:rPr>
                <w:rFonts w:hint="eastAsia"/>
              </w:rPr>
            </w:pPr>
            <w:r>
              <w:rPr>
                <w:rFonts w:hint="eastAsia"/>
              </w:rPr>
              <w:t>医疗救助投保保费由投保人在</w:t>
            </w:r>
            <w:r>
              <w:t>合同签署后</w:t>
            </w:r>
            <w:r>
              <w:rPr>
                <w:rFonts w:hint="eastAsia"/>
              </w:rPr>
              <w:t>1个月</w:t>
            </w:r>
            <w:r>
              <w:t>内</w:t>
            </w:r>
            <w:r>
              <w:rPr>
                <w:rFonts w:hint="eastAsia"/>
              </w:rPr>
              <w:t>一次性支付9</w:t>
            </w:r>
            <w:r>
              <w:t>5</w:t>
            </w:r>
            <w:r>
              <w:rPr>
                <w:rFonts w:hint="eastAsia"/>
              </w:rPr>
              <w:t>%。每年合同期满后，由招标人对合同期内应付保费进行统算后在十个工作日内支付余款。</w:t>
            </w:r>
          </w:p>
          <w:p>
            <w:pPr>
              <w:pStyle w:val="17"/>
              <w:numPr>
                <w:ilvl w:val="0"/>
                <w:numId w:val="1"/>
              </w:numPr>
            </w:pPr>
            <w:r>
              <w:rPr>
                <w:rFonts w:hint="eastAsia"/>
                <w:lang w:val="en-US" w:eastAsia="zh-CN"/>
              </w:rPr>
              <w:t>后续两年根据实际参保人数及后续两年投标单价进行结算。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1951" w:type="dxa"/>
            <w:noWrap w:val="0"/>
            <w:vAlign w:val="center"/>
          </w:tcPr>
          <w:p>
            <w:pPr>
              <w:jc w:val="center"/>
              <w:rPr>
                <w:szCs w:val="21"/>
              </w:rPr>
            </w:pPr>
            <w:r>
              <w:rPr>
                <w:szCs w:val="21"/>
              </w:rPr>
              <w:t>合同中止</w:t>
            </w:r>
          </w:p>
        </w:tc>
        <w:tc>
          <w:tcPr>
            <w:tcW w:w="6975" w:type="dxa"/>
            <w:noWrap w:val="0"/>
            <w:vAlign w:val="center"/>
          </w:tcPr>
          <w:p>
            <w:pPr>
              <w:rPr>
                <w:szCs w:val="21"/>
              </w:rPr>
            </w:pPr>
            <w:r>
              <w:rPr>
                <w:rFonts w:hint="eastAsia"/>
                <w:szCs w:val="21"/>
              </w:rPr>
              <w:t>中标人在合同有效期内，不得以任何理由终止合同，确有特殊情况的，须提前2个月向采购人提出书面申请，经采购人同意后，方可终止合同。因中标人达不到招标人要求及投标时各项服务承诺，招标人有权要求其整改、扣款直至终止合同，中标人承担全部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1951" w:type="dxa"/>
            <w:noWrap w:val="0"/>
            <w:vAlign w:val="center"/>
          </w:tcPr>
          <w:p>
            <w:pPr>
              <w:jc w:val="center"/>
              <w:rPr>
                <w:rFonts w:hint="eastAsia"/>
                <w:szCs w:val="21"/>
              </w:rPr>
            </w:pPr>
            <w:r>
              <w:rPr>
                <w:rFonts w:hint="eastAsia"/>
                <w:szCs w:val="21"/>
              </w:rPr>
              <w:t>调整机制</w:t>
            </w:r>
          </w:p>
          <w:p>
            <w:pPr>
              <w:jc w:val="center"/>
              <w:rPr>
                <w:rFonts w:hint="eastAsia"/>
                <w:szCs w:val="21"/>
              </w:rPr>
            </w:pPr>
          </w:p>
        </w:tc>
        <w:tc>
          <w:tcPr>
            <w:tcW w:w="6975" w:type="dxa"/>
            <w:noWrap w:val="0"/>
            <w:vAlign w:val="center"/>
          </w:tcPr>
          <w:p>
            <w:pPr>
              <w:spacing w:line="360" w:lineRule="auto"/>
              <w:rPr>
                <w:szCs w:val="21"/>
              </w:rPr>
            </w:pPr>
            <w:r>
              <w:rPr>
                <w:rFonts w:hint="eastAsia" w:ascii="宋体" w:hAnsi="宋体" w:cs="宋体"/>
                <w:szCs w:val="21"/>
              </w:rPr>
              <w:t>合同执行期间，因上级政策调整导致相关待遇支出项目调整的，根据实际发生费用调整。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1951" w:type="dxa"/>
            <w:noWrap w:val="0"/>
            <w:vAlign w:val="center"/>
          </w:tcPr>
          <w:p>
            <w:pPr>
              <w:jc w:val="center"/>
              <w:rPr>
                <w:rFonts w:hint="eastAsia"/>
                <w:szCs w:val="21"/>
              </w:rPr>
            </w:pPr>
            <w:r>
              <w:rPr>
                <w:rFonts w:hint="eastAsia"/>
                <w:szCs w:val="21"/>
              </w:rPr>
              <w:t>项目违约责任</w:t>
            </w:r>
          </w:p>
        </w:tc>
        <w:tc>
          <w:tcPr>
            <w:tcW w:w="6975" w:type="dxa"/>
            <w:noWrap w:val="0"/>
            <w:vAlign w:val="center"/>
          </w:tcPr>
          <w:p>
            <w:pPr>
              <w:rPr>
                <w:szCs w:val="21"/>
              </w:rPr>
            </w:pPr>
            <w:r>
              <w:rPr>
                <w:rFonts w:hint="eastAsia" w:ascii="宋体" w:hAnsi="宋体" w:cs="宋体"/>
                <w:szCs w:val="21"/>
              </w:rPr>
              <w:t>保险合作方未履行本合同规定或单方面终止合同的，应全额退还已付保费与理赔款的差额，当年度预留的保费不予支付。同时，承担违约责任:支付违约金，违约金为已支付投保额的10%。</w:t>
            </w:r>
          </w:p>
        </w:tc>
      </w:tr>
    </w:tbl>
    <w:p>
      <w:pPr>
        <w:rPr>
          <w:rFonts w:ascii="宋体" w:hAnsi="宋体"/>
          <w:szCs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1418" w:right="1287" w:bottom="1134" w:left="1622" w:header="851" w:footer="992" w:gutter="0"/>
      <w:pgNumType w:start="1"/>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auto"/>
    <w:pitch w:val="default"/>
    <w:sig w:usb0="A00002FF" w:usb1="28CFFCFA" w:usb2="00000016" w:usb3="00000000" w:csb0="00100001"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7A3D6B"/>
    <w:multiLevelType w:val="singleLevel"/>
    <w:tmpl w:val="E77A3D6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3778B"/>
    <w:rsid w:val="00087607"/>
    <w:rsid w:val="000A7216"/>
    <w:rsid w:val="0013563D"/>
    <w:rsid w:val="001B5B09"/>
    <w:rsid w:val="0021594B"/>
    <w:rsid w:val="002C3A71"/>
    <w:rsid w:val="00371B98"/>
    <w:rsid w:val="003A5193"/>
    <w:rsid w:val="003D393F"/>
    <w:rsid w:val="005121FC"/>
    <w:rsid w:val="0057058C"/>
    <w:rsid w:val="005D2E30"/>
    <w:rsid w:val="005F5FDA"/>
    <w:rsid w:val="006B376E"/>
    <w:rsid w:val="008520A5"/>
    <w:rsid w:val="009659E9"/>
    <w:rsid w:val="00987D83"/>
    <w:rsid w:val="00A02478"/>
    <w:rsid w:val="00A10675"/>
    <w:rsid w:val="00A95596"/>
    <w:rsid w:val="00AB71C0"/>
    <w:rsid w:val="00AD3083"/>
    <w:rsid w:val="00AD7E0F"/>
    <w:rsid w:val="00AE4E24"/>
    <w:rsid w:val="00B83924"/>
    <w:rsid w:val="00C15B34"/>
    <w:rsid w:val="00C472F6"/>
    <w:rsid w:val="00C6059C"/>
    <w:rsid w:val="00C82A28"/>
    <w:rsid w:val="00D3778B"/>
    <w:rsid w:val="00DC7313"/>
    <w:rsid w:val="00EF195B"/>
    <w:rsid w:val="00FF0923"/>
    <w:rsid w:val="07075F66"/>
    <w:rsid w:val="13A07034"/>
    <w:rsid w:val="24BE49C2"/>
    <w:rsid w:val="2FCD1E00"/>
    <w:rsid w:val="35993D6C"/>
    <w:rsid w:val="440D4808"/>
    <w:rsid w:val="48E74E43"/>
    <w:rsid w:val="50413ED4"/>
    <w:rsid w:val="527B705A"/>
    <w:rsid w:val="5780492C"/>
    <w:rsid w:val="6E0D3A9A"/>
    <w:rsid w:val="733E359F"/>
    <w:rsid w:val="743326B7"/>
    <w:rsid w:val="74462307"/>
    <w:rsid w:val="7DC408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link w:val="22"/>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0"/>
    <w:unhideWhenUsed/>
    <w:qFormat/>
    <w:uiPriority w:val="0"/>
    <w:pPr>
      <w:tabs>
        <w:tab w:val="center" w:pos="4153"/>
        <w:tab w:val="right" w:pos="8306"/>
      </w:tabs>
      <w:snapToGrid w:val="0"/>
      <w:jc w:val="left"/>
    </w:pPr>
    <w:rPr>
      <w:sz w:val="18"/>
      <w:szCs w:val="18"/>
    </w:rPr>
  </w:style>
  <w:style w:type="paragraph" w:styleId="4">
    <w:name w:val="Normal Indent"/>
    <w:basedOn w:val="1"/>
    <w:qFormat/>
    <w:uiPriority w:val="0"/>
    <w:pPr>
      <w:ind w:firstLine="420"/>
    </w:pPr>
    <w:rPr>
      <w:rFonts w:eastAsia="宋体"/>
      <w:kern w:val="2"/>
      <w:sz w:val="21"/>
      <w:lang w:val="en-US" w:eastAsia="zh-CN" w:bidi="ar-SA"/>
    </w:rPr>
  </w:style>
  <w:style w:type="paragraph" w:styleId="5">
    <w:name w:val="annotation text"/>
    <w:basedOn w:val="1"/>
    <w:qFormat/>
    <w:uiPriority w:val="0"/>
    <w:pPr>
      <w:jc w:val="left"/>
    </w:pPr>
  </w:style>
  <w:style w:type="paragraph" w:styleId="6">
    <w:name w:val="Body Text"/>
    <w:basedOn w:val="1"/>
    <w:next w:val="1"/>
    <w:qFormat/>
    <w:uiPriority w:val="0"/>
    <w:pPr>
      <w:spacing w:after="120"/>
    </w:pPr>
    <w:rPr>
      <w:kern w:val="1"/>
    </w:rPr>
  </w:style>
  <w:style w:type="paragraph" w:styleId="7">
    <w:name w:val="Body Text Indent"/>
    <w:basedOn w:val="1"/>
    <w:link w:val="27"/>
    <w:qFormat/>
    <w:uiPriority w:val="0"/>
    <w:pPr>
      <w:spacing w:line="360" w:lineRule="auto"/>
      <w:ind w:firstLine="420"/>
    </w:pPr>
    <w:rPr>
      <w:sz w:val="24"/>
      <w:szCs w:val="24"/>
    </w:rPr>
  </w:style>
  <w:style w:type="paragraph" w:styleId="8">
    <w:name w:val="Plain Text"/>
    <w:basedOn w:val="1"/>
    <w:link w:val="23"/>
    <w:qFormat/>
    <w:uiPriority w:val="0"/>
    <w:pPr>
      <w:spacing w:beforeLines="50" w:afterLines="50" w:line="400" w:lineRule="exact"/>
    </w:pPr>
    <w:rPr>
      <w:rFonts w:ascii="宋体" w:hAnsi="Courier New" w:eastAsia="宋体"/>
      <w:sz w:val="24"/>
      <w:szCs w:val="24"/>
    </w:rPr>
  </w:style>
  <w:style w:type="paragraph" w:styleId="9">
    <w:name w:val="header"/>
    <w:basedOn w:val="1"/>
    <w:link w:val="19"/>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Subtitle"/>
    <w:basedOn w:val="1"/>
    <w:next w:val="1"/>
    <w:qFormat/>
    <w:uiPriority w:val="0"/>
    <w:pPr>
      <w:spacing w:before="240" w:beforeLines="0" w:after="60" w:afterLines="0" w:line="312" w:lineRule="auto"/>
      <w:jc w:val="center"/>
      <w:outlineLvl w:val="1"/>
    </w:pPr>
    <w:rPr>
      <w:rFonts w:ascii="Cambria" w:hAnsi="Cambria" w:cs="Times New Roman"/>
      <w:b/>
      <w:bCs/>
      <w:kern w:val="28"/>
      <w:sz w:val="32"/>
      <w:szCs w:val="32"/>
    </w:rPr>
  </w:style>
  <w:style w:type="paragraph" w:styleId="11">
    <w:name w:val="Normal (Web)"/>
    <w:basedOn w:val="1"/>
    <w:qFormat/>
    <w:uiPriority w:val="0"/>
    <w:pPr>
      <w:widowControl/>
      <w:jc w:val="left"/>
    </w:pPr>
    <w:rPr>
      <w:rFonts w:ascii="宋体" w:hAnsi="宋体" w:cs="宋体"/>
      <w:sz w:val="24"/>
    </w:rPr>
  </w:style>
  <w:style w:type="paragraph" w:styleId="12">
    <w:name w:val="Title"/>
    <w:basedOn w:val="1"/>
    <w:next w:val="1"/>
    <w:link w:val="24"/>
    <w:qFormat/>
    <w:uiPriority w:val="0"/>
    <w:pPr>
      <w:spacing w:before="240" w:after="60"/>
      <w:jc w:val="center"/>
      <w:outlineLvl w:val="0"/>
    </w:pPr>
    <w:rPr>
      <w:rFonts w:ascii="Cambria" w:hAnsi="Cambria" w:cs="Times New Roman"/>
      <w:b/>
      <w:bCs/>
      <w:sz w:val="32"/>
      <w:szCs w:val="32"/>
    </w:rPr>
  </w:style>
  <w:style w:type="table" w:styleId="14">
    <w:name w:val="Table Grid"/>
    <w:basedOn w:val="1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paragraph" w:customStyle="1" w:styleId="17">
    <w:name w:val="_Style 3"/>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18">
    <w:name w:val="表格文字"/>
    <w:basedOn w:val="1"/>
    <w:next w:val="6"/>
    <w:qFormat/>
    <w:uiPriority w:val="0"/>
    <w:pPr>
      <w:jc w:val="center"/>
    </w:pPr>
    <w:rPr>
      <w:sz w:val="24"/>
      <w:szCs w:val="20"/>
    </w:rPr>
  </w:style>
  <w:style w:type="character" w:customStyle="1" w:styleId="19">
    <w:name w:val="页眉 Char"/>
    <w:basedOn w:val="15"/>
    <w:link w:val="9"/>
    <w:semiHidden/>
    <w:qFormat/>
    <w:uiPriority w:val="0"/>
    <w:rPr>
      <w:sz w:val="18"/>
      <w:szCs w:val="18"/>
    </w:rPr>
  </w:style>
  <w:style w:type="character" w:customStyle="1" w:styleId="20">
    <w:name w:val="页脚 Char"/>
    <w:basedOn w:val="15"/>
    <w:link w:val="2"/>
    <w:semiHidden/>
    <w:qFormat/>
    <w:uiPriority w:val="0"/>
    <w:rPr>
      <w:sz w:val="18"/>
      <w:szCs w:val="18"/>
    </w:rPr>
  </w:style>
  <w:style w:type="character" w:customStyle="1" w:styleId="21">
    <w:name w:val="标题 3 Char"/>
    <w:basedOn w:val="15"/>
    <w:semiHidden/>
    <w:qFormat/>
    <w:uiPriority w:val="9"/>
    <w:rPr>
      <w:b/>
      <w:bCs/>
      <w:sz w:val="32"/>
      <w:szCs w:val="32"/>
    </w:rPr>
  </w:style>
  <w:style w:type="character" w:customStyle="1" w:styleId="22">
    <w:name w:val="标题 3 Char1"/>
    <w:basedOn w:val="15"/>
    <w:link w:val="3"/>
    <w:qFormat/>
    <w:uiPriority w:val="0"/>
    <w:rPr>
      <w:rFonts w:ascii="Times New Roman" w:hAnsi="Times New Roman" w:eastAsia="宋体" w:cs="Times New Roman"/>
      <w:b/>
      <w:bCs/>
      <w:sz w:val="32"/>
      <w:szCs w:val="32"/>
    </w:rPr>
  </w:style>
  <w:style w:type="character" w:customStyle="1" w:styleId="23">
    <w:name w:val="纯文本 Char"/>
    <w:link w:val="8"/>
    <w:qFormat/>
    <w:uiPriority w:val="0"/>
    <w:rPr>
      <w:rFonts w:ascii="宋体" w:hAnsi="Courier New" w:eastAsia="宋体"/>
      <w:sz w:val="24"/>
      <w:szCs w:val="24"/>
    </w:rPr>
  </w:style>
  <w:style w:type="character" w:customStyle="1" w:styleId="24">
    <w:name w:val="标题 Char"/>
    <w:link w:val="12"/>
    <w:qFormat/>
    <w:uiPriority w:val="0"/>
    <w:rPr>
      <w:rFonts w:ascii="Cambria" w:hAnsi="Cambria" w:cs="Times New Roman"/>
      <w:b/>
      <w:bCs/>
      <w:sz w:val="32"/>
      <w:szCs w:val="32"/>
    </w:rPr>
  </w:style>
  <w:style w:type="character" w:customStyle="1" w:styleId="25">
    <w:name w:val="标题 Char1"/>
    <w:basedOn w:val="15"/>
    <w:qFormat/>
    <w:uiPriority w:val="10"/>
    <w:rPr>
      <w:rFonts w:eastAsia="宋体" w:asciiTheme="majorHAnsi" w:hAnsiTheme="majorHAnsi" w:cstheme="majorBidi"/>
      <w:b/>
      <w:bCs/>
      <w:sz w:val="32"/>
      <w:szCs w:val="32"/>
    </w:rPr>
  </w:style>
  <w:style w:type="character" w:customStyle="1" w:styleId="26">
    <w:name w:val="纯文本 Char1"/>
    <w:basedOn w:val="15"/>
    <w:semiHidden/>
    <w:qFormat/>
    <w:uiPriority w:val="99"/>
    <w:rPr>
      <w:rFonts w:ascii="宋体" w:hAnsi="Courier New" w:eastAsia="宋体" w:cs="Courier New"/>
      <w:szCs w:val="21"/>
    </w:rPr>
  </w:style>
  <w:style w:type="character" w:customStyle="1" w:styleId="27">
    <w:name w:val="正文文本缩进 Char"/>
    <w:link w:val="7"/>
    <w:qFormat/>
    <w:uiPriority w:val="0"/>
    <w:rPr>
      <w:sz w:val="24"/>
      <w:szCs w:val="24"/>
    </w:rPr>
  </w:style>
  <w:style w:type="character" w:customStyle="1" w:styleId="28">
    <w:name w:val="正文文本缩进 Char1"/>
    <w:basedOn w:val="15"/>
    <w:semiHidden/>
    <w:qFormat/>
    <w:uiPriority w:val="99"/>
  </w:style>
  <w:style w:type="character" w:customStyle="1" w:styleId="29">
    <w:name w:val="页眉 字符"/>
    <w:semiHidden/>
    <w:qFormat/>
    <w:uiPriority w:val="0"/>
    <w:rPr>
      <w:rFonts w:ascii="Calibri" w:hAnsi="Calibri" w:eastAsia="宋体"/>
      <w:kern w:val="2"/>
      <w:sz w:val="18"/>
      <w:szCs w:val="18"/>
      <w:lang w:val="en-US" w:eastAsia="zh-CN" w:bidi="ar-SA"/>
    </w:rPr>
  </w:style>
  <w:style w:type="character" w:customStyle="1" w:styleId="30">
    <w:name w:val="标题 字符"/>
    <w:qFormat/>
    <w:uiPriority w:val="0"/>
    <w:rPr>
      <w:rFonts w:ascii="Cambria" w:hAnsi="Cambria" w:cs="Times New Roman"/>
      <w:b/>
      <w:bCs/>
      <w:kern w:val="2"/>
      <w:sz w:val="32"/>
      <w:szCs w:val="32"/>
    </w:rPr>
  </w:style>
  <w:style w:type="character" w:customStyle="1" w:styleId="31">
    <w:name w:val="页脚 字符"/>
    <w:semiHidden/>
    <w:qFormat/>
    <w:uiPriority w:val="0"/>
    <w:rPr>
      <w:rFonts w:ascii="Calibri" w:hAnsi="Calibri" w:eastAsia="宋体"/>
      <w:kern w:val="2"/>
      <w:sz w:val="18"/>
      <w:szCs w:val="18"/>
      <w:lang w:val="en-US" w:eastAsia="zh-CN" w:bidi="ar-SA"/>
    </w:rPr>
  </w:style>
  <w:style w:type="paragraph" w:customStyle="1" w:styleId="32">
    <w:name w:val="Other|1"/>
    <w:basedOn w:val="1"/>
    <w:qFormat/>
    <w:uiPriority w:val="0"/>
    <w:pPr>
      <w:widowControl w:val="0"/>
      <w:shd w:val="clear" w:color="auto" w:fill="auto"/>
      <w:spacing w:line="322" w:lineRule="auto"/>
    </w:pPr>
    <w:rPr>
      <w:rFonts w:ascii="MingLiU" w:hAnsi="MingLiU" w:eastAsia="MingLiU" w:cs="MingLiU"/>
      <w:color w:val="000000"/>
      <w:sz w:val="20"/>
      <w:szCs w:val="20"/>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187</Words>
  <Characters>1070</Characters>
  <Lines>8</Lines>
  <Paragraphs>2</Paragraphs>
  <TotalTime>4</TotalTime>
  <ScaleCrop>false</ScaleCrop>
  <LinksUpToDate>false</LinksUpToDate>
  <CharactersWithSpaces>1255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2018-04-27T07:05:00Z</dcterms:created>
  <dc:creator>Alienware</dc:creator>
  <cp:lastModifiedBy>L.</cp:lastModifiedBy>
  <dcterms:modified xsi:type="dcterms:W3CDTF">2020-06-08T03:00:26Z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