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0" w:name="_GoBack"/>
      <w:r>
        <w:rPr>
          <w:rFonts w:hint="eastAsia"/>
          <w:sz w:val="32"/>
          <w:szCs w:val="32"/>
        </w:rPr>
        <w:t xml:space="preserve"> </w:t>
      </w:r>
      <w:r>
        <w:rPr>
          <w:rFonts w:hint="eastAsia"/>
          <w:sz w:val="32"/>
          <w:szCs w:val="32"/>
        </w:rPr>
        <w:t>宁波市奉化区人民政府西坞街道办事处西坞道路小城镇秩序辅助管理服务项目</w:t>
      </w:r>
      <w:bookmarkEnd w:id="0"/>
      <w:r>
        <w:rPr>
          <w:rFonts w:hint="eastAsia"/>
          <w:sz w:val="32"/>
          <w:szCs w:val="32"/>
        </w:rPr>
        <w:t>采购需求</w:t>
      </w:r>
    </w:p>
    <w:p>
      <w:pPr>
        <w:spacing w:line="440" w:lineRule="exact"/>
        <w:outlineLvl w:val="1"/>
        <w:rPr>
          <w:rFonts w:ascii="宋体" w:hAnsi="宋体"/>
          <w:b/>
          <w:szCs w:val="21"/>
        </w:rPr>
      </w:pPr>
      <w:r>
        <w:rPr>
          <w:rFonts w:hint="eastAsia" w:ascii="宋体" w:hAnsi="宋体"/>
          <w:b/>
          <w:szCs w:val="21"/>
        </w:rPr>
        <w:t>一、招标项目清单</w:t>
      </w:r>
    </w:p>
    <w:tbl>
      <w:tblPr>
        <w:tblStyle w:val="10"/>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5"/>
        <w:gridCol w:w="253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09" w:type="dxa"/>
            <w:noWrap w:val="0"/>
            <w:vAlign w:val="top"/>
          </w:tcPr>
          <w:p>
            <w:pPr>
              <w:spacing w:line="360" w:lineRule="exact"/>
              <w:jc w:val="center"/>
              <w:rPr>
                <w:rFonts w:ascii="宋体" w:hAnsi="宋体"/>
                <w:b/>
                <w:szCs w:val="21"/>
              </w:rPr>
            </w:pPr>
            <w:r>
              <w:rPr>
                <w:rFonts w:hint="eastAsia" w:ascii="宋体" w:hAnsi="宋体"/>
                <w:b/>
                <w:szCs w:val="21"/>
              </w:rPr>
              <w:t>序号</w:t>
            </w:r>
          </w:p>
        </w:tc>
        <w:tc>
          <w:tcPr>
            <w:tcW w:w="2385" w:type="dxa"/>
            <w:noWrap w:val="0"/>
            <w:vAlign w:val="center"/>
          </w:tcPr>
          <w:p>
            <w:pPr>
              <w:spacing w:line="360" w:lineRule="exact"/>
              <w:jc w:val="center"/>
              <w:rPr>
                <w:rFonts w:ascii="宋体" w:hAnsi="宋体"/>
                <w:b/>
                <w:szCs w:val="21"/>
              </w:rPr>
            </w:pPr>
            <w:r>
              <w:rPr>
                <w:rFonts w:hint="eastAsia" w:ascii="宋体" w:hAnsi="宋体"/>
                <w:b/>
                <w:szCs w:val="21"/>
              </w:rPr>
              <w:t>名称</w:t>
            </w:r>
          </w:p>
        </w:tc>
        <w:tc>
          <w:tcPr>
            <w:tcW w:w="2535" w:type="dxa"/>
            <w:noWrap w:val="0"/>
            <w:vAlign w:val="center"/>
          </w:tcPr>
          <w:p>
            <w:pPr>
              <w:spacing w:line="360" w:lineRule="exact"/>
              <w:jc w:val="center"/>
              <w:rPr>
                <w:rFonts w:ascii="宋体" w:hAnsi="宋体"/>
                <w:b/>
                <w:szCs w:val="21"/>
              </w:rPr>
            </w:pPr>
            <w:r>
              <w:rPr>
                <w:rFonts w:hint="eastAsia" w:ascii="宋体" w:hAnsi="宋体"/>
                <w:b/>
                <w:szCs w:val="21"/>
              </w:rPr>
              <w:t>主要工作内容</w:t>
            </w:r>
          </w:p>
        </w:tc>
        <w:tc>
          <w:tcPr>
            <w:tcW w:w="3135" w:type="dxa"/>
            <w:noWrap w:val="0"/>
            <w:vAlign w:val="center"/>
          </w:tcPr>
          <w:p>
            <w:pPr>
              <w:spacing w:line="360" w:lineRule="exact"/>
              <w:jc w:val="center"/>
              <w:rPr>
                <w:rFonts w:ascii="宋体" w:hAnsi="宋体"/>
                <w:b/>
                <w:szCs w:val="21"/>
              </w:rPr>
            </w:pPr>
            <w:r>
              <w:rPr>
                <w:rFonts w:hint="eastAsia" w:ascii="宋体" w:hAnsi="宋体"/>
                <w:b/>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09" w:type="dxa"/>
            <w:noWrap w:val="0"/>
            <w:vAlign w:val="center"/>
          </w:tcPr>
          <w:p>
            <w:pPr>
              <w:spacing w:line="400" w:lineRule="exact"/>
              <w:jc w:val="center"/>
              <w:rPr>
                <w:rFonts w:ascii="宋体" w:hAnsi="宋体" w:cs="Arial"/>
                <w:color w:val="000000"/>
                <w:szCs w:val="21"/>
              </w:rPr>
            </w:pPr>
            <w:r>
              <w:rPr>
                <w:rFonts w:hint="eastAsia" w:ascii="宋体" w:hAnsi="宋体" w:cs="Arial"/>
                <w:color w:val="000000"/>
                <w:szCs w:val="21"/>
              </w:rPr>
              <w:t>一</w:t>
            </w:r>
          </w:p>
        </w:tc>
        <w:tc>
          <w:tcPr>
            <w:tcW w:w="2385" w:type="dxa"/>
            <w:noWrap w:val="0"/>
            <w:vAlign w:val="center"/>
          </w:tcPr>
          <w:p>
            <w:pPr>
              <w:spacing w:line="400" w:lineRule="exact"/>
              <w:jc w:val="left"/>
              <w:rPr>
                <w:rFonts w:ascii="宋体" w:hAnsi="宋体" w:cs="Arial"/>
                <w:color w:val="000000"/>
                <w:szCs w:val="21"/>
              </w:rPr>
            </w:pPr>
            <w:r>
              <w:rPr>
                <w:rFonts w:hint="eastAsia" w:ascii="Calibri" w:hAnsi="Calibri"/>
                <w:color w:val="000000"/>
                <w:szCs w:val="21"/>
              </w:rPr>
              <w:t>西坞道路小城镇秩序辅助管理服务项目</w:t>
            </w:r>
          </w:p>
        </w:tc>
        <w:tc>
          <w:tcPr>
            <w:tcW w:w="2535" w:type="dxa"/>
            <w:noWrap w:val="0"/>
            <w:vAlign w:val="center"/>
          </w:tcPr>
          <w:p>
            <w:pPr>
              <w:spacing w:line="360" w:lineRule="exact"/>
              <w:rPr>
                <w:rFonts w:ascii="宋体" w:hAnsi="宋体"/>
                <w:color w:val="000000"/>
                <w:szCs w:val="21"/>
              </w:rPr>
            </w:pPr>
            <w:r>
              <w:rPr>
                <w:rFonts w:hint="eastAsia" w:ascii="宋体" w:hAnsi="宋体"/>
                <w:color w:val="000000"/>
                <w:szCs w:val="21"/>
              </w:rPr>
              <w:t>早高峰、晚高峰主路、支路秩序维护，车子乱停放</w:t>
            </w:r>
            <w:r>
              <w:rPr>
                <w:rFonts w:hint="eastAsia" w:ascii="宋体" w:hAnsi="宋体"/>
                <w:color w:val="000000"/>
                <w:szCs w:val="21"/>
                <w:lang w:eastAsia="zh-CN"/>
              </w:rPr>
              <w:t>、乱占道，乱摆摊，秩序管理</w:t>
            </w:r>
            <w:r>
              <w:rPr>
                <w:rFonts w:hint="eastAsia" w:ascii="宋体" w:hAnsi="宋体"/>
                <w:color w:val="000000"/>
                <w:szCs w:val="21"/>
              </w:rPr>
              <w:t>管理</w:t>
            </w:r>
          </w:p>
        </w:tc>
        <w:tc>
          <w:tcPr>
            <w:tcW w:w="3135" w:type="dxa"/>
            <w:noWrap w:val="0"/>
            <w:vAlign w:val="center"/>
          </w:tcPr>
          <w:p>
            <w:pPr>
              <w:spacing w:line="400" w:lineRule="exact"/>
              <w:rPr>
                <w:rFonts w:ascii="宋体" w:hAnsi="宋体"/>
                <w:color w:val="000000"/>
                <w:szCs w:val="21"/>
              </w:rPr>
            </w:pPr>
            <w:r>
              <w:rPr>
                <w:rFonts w:hint="eastAsia" w:ascii="宋体" w:hAnsi="宋体"/>
                <w:color w:val="000000"/>
                <w:szCs w:val="21"/>
              </w:rPr>
              <w:t>合同签订之日起一年。</w:t>
            </w:r>
          </w:p>
        </w:tc>
      </w:tr>
    </w:tbl>
    <w:p>
      <w:pPr>
        <w:spacing w:line="440" w:lineRule="exact"/>
        <w:outlineLvl w:val="1"/>
        <w:rPr>
          <w:rFonts w:ascii="宋体" w:hAnsi="宋体"/>
          <w:b/>
          <w:szCs w:val="21"/>
        </w:rPr>
      </w:pPr>
      <w:r>
        <w:rPr>
          <w:rFonts w:hint="eastAsia" w:ascii="宋体" w:hAnsi="宋体"/>
          <w:b/>
          <w:szCs w:val="21"/>
        </w:rPr>
        <w:t>二、招标需求</w:t>
      </w:r>
    </w:p>
    <w:p>
      <w:pPr>
        <w:autoSpaceDN w:val="0"/>
        <w:spacing w:line="360" w:lineRule="auto"/>
        <w:ind w:firstLine="210" w:firstLineChars="100"/>
        <w:jc w:val="left"/>
        <w:rPr>
          <w:rFonts w:ascii="宋体" w:hAnsi="宋体"/>
          <w:szCs w:val="21"/>
        </w:rPr>
      </w:pPr>
      <w:r>
        <w:rPr>
          <w:rFonts w:hint="eastAsia" w:ascii="宋体" w:hAnsi="宋体"/>
          <w:szCs w:val="21"/>
        </w:rPr>
        <w:t>1、工作责任心强，身体健康。</w:t>
      </w:r>
    </w:p>
    <w:p>
      <w:pPr>
        <w:autoSpaceDN w:val="0"/>
        <w:spacing w:line="360" w:lineRule="auto"/>
        <w:jc w:val="left"/>
        <w:rPr>
          <w:rFonts w:ascii="宋体" w:hAnsi="宋体"/>
          <w:szCs w:val="21"/>
        </w:rPr>
      </w:pPr>
      <w:r>
        <w:rPr>
          <w:rFonts w:hint="eastAsia" w:ascii="宋体" w:hAnsi="宋体"/>
          <w:szCs w:val="21"/>
        </w:rPr>
        <w:t xml:space="preserve">  2、男性、</w:t>
      </w:r>
      <w:r>
        <w:rPr>
          <w:rFonts w:ascii="宋体" w:hAnsi="宋体"/>
          <w:szCs w:val="21"/>
        </w:rPr>
        <w:t>55</w:t>
      </w:r>
      <w:r>
        <w:rPr>
          <w:rFonts w:hint="eastAsia" w:ascii="宋体" w:hAnsi="宋体"/>
          <w:szCs w:val="21"/>
        </w:rPr>
        <w:t>周岁（含）以下。</w:t>
      </w:r>
    </w:p>
    <w:p>
      <w:pPr>
        <w:autoSpaceDN w:val="0"/>
        <w:spacing w:line="360" w:lineRule="auto"/>
        <w:jc w:val="left"/>
        <w:rPr>
          <w:rFonts w:ascii="宋体" w:hAnsi="宋体"/>
          <w:szCs w:val="21"/>
        </w:rPr>
      </w:pPr>
      <w:r>
        <w:rPr>
          <w:rFonts w:hint="eastAsia" w:ascii="宋体" w:hAnsi="宋体"/>
          <w:szCs w:val="21"/>
        </w:rPr>
        <w:t xml:space="preserve">  3、身高要求165CM及以上。</w:t>
      </w:r>
    </w:p>
    <w:p>
      <w:pPr>
        <w:autoSpaceDN w:val="0"/>
        <w:spacing w:line="360" w:lineRule="auto"/>
        <w:jc w:val="left"/>
        <w:rPr>
          <w:rFonts w:ascii="宋体" w:hAnsi="宋体"/>
          <w:b/>
          <w:szCs w:val="21"/>
        </w:rPr>
      </w:pPr>
      <w:r>
        <w:rPr>
          <w:rFonts w:hint="eastAsia" w:ascii="宋体" w:hAnsi="宋体"/>
          <w:b/>
          <w:szCs w:val="21"/>
        </w:rPr>
        <w:t>三、服务要求</w:t>
      </w:r>
    </w:p>
    <w:p>
      <w:pPr>
        <w:autoSpaceDN w:val="0"/>
        <w:spacing w:line="360" w:lineRule="auto"/>
        <w:ind w:firstLine="420" w:firstLineChars="200"/>
        <w:jc w:val="left"/>
        <w:rPr>
          <w:rFonts w:ascii="宋体" w:hAnsi="宋体"/>
          <w:szCs w:val="21"/>
        </w:rPr>
      </w:pPr>
      <w:r>
        <w:rPr>
          <w:rFonts w:hint="eastAsia" w:ascii="宋体" w:hAnsi="宋体"/>
          <w:szCs w:val="21"/>
        </w:rPr>
        <w:t>1、中标人须按照采购人要求派出服务人员维护规定区域内的主干道路交通安全秩序、市政设施损坏反馈、制止临街车子乱停放等，派出的服务人员每人每周工作时间为40小时(弹性工作时间，40小时指实际工作时间)，服务期限为合同结束日止。</w:t>
      </w:r>
    </w:p>
    <w:p>
      <w:pPr>
        <w:autoSpaceDN w:val="0"/>
        <w:spacing w:line="360" w:lineRule="auto"/>
        <w:ind w:firstLine="420" w:firstLineChars="200"/>
        <w:jc w:val="left"/>
        <w:rPr>
          <w:rFonts w:ascii="宋体" w:hAnsi="宋体"/>
          <w:b/>
          <w:szCs w:val="21"/>
        </w:rPr>
      </w:pPr>
      <w:r>
        <w:rPr>
          <w:rFonts w:hint="eastAsia" w:ascii="宋体" w:hAnsi="宋体"/>
          <w:b/>
          <w:szCs w:val="21"/>
        </w:rPr>
        <w:t>2、▲人员配置不少于</w:t>
      </w:r>
      <w:r>
        <w:rPr>
          <w:rFonts w:ascii="宋体" w:hAnsi="宋体"/>
          <w:b/>
          <w:szCs w:val="21"/>
        </w:rPr>
        <w:t>7</w:t>
      </w:r>
      <w:r>
        <w:rPr>
          <w:rFonts w:hint="eastAsia" w:ascii="宋体" w:hAnsi="宋体"/>
          <w:b/>
          <w:szCs w:val="21"/>
        </w:rPr>
        <w:t>人（</w:t>
      </w:r>
      <w:r>
        <w:rPr>
          <w:rFonts w:hint="eastAsia" w:ascii="Calibri" w:hAnsi="Calibri"/>
          <w:szCs w:val="21"/>
        </w:rPr>
        <w:t>西坞街道区域内2条主道、3条支路早、晚高峰及平时秩序维护</w:t>
      </w:r>
      <w:r>
        <w:rPr>
          <w:rFonts w:hint="eastAsia" w:ascii="宋体" w:hAnsi="宋体"/>
          <w:b/>
          <w:szCs w:val="21"/>
        </w:rPr>
        <w:t>）。监督人（业主）负责对投入人员进行核查后，按实支付费用。监督人（业主）同时委派专人对项目运行情况进行综合考核，按考核结果支付。</w:t>
      </w:r>
    </w:p>
    <w:p>
      <w:pPr>
        <w:autoSpaceDN w:val="0"/>
        <w:spacing w:line="360" w:lineRule="auto"/>
        <w:ind w:firstLine="420" w:firstLineChars="200"/>
        <w:jc w:val="left"/>
        <w:rPr>
          <w:rFonts w:ascii="宋体" w:hAnsi="宋体"/>
          <w:szCs w:val="21"/>
        </w:rPr>
      </w:pPr>
      <w:r>
        <w:rPr>
          <w:rFonts w:hint="eastAsia" w:ascii="宋体" w:hAnsi="宋体"/>
          <w:szCs w:val="21"/>
        </w:rPr>
        <w:t>3、服务人员的管理和考核：中标人必须接受业主的管理和考核及上级监督部门抽查、巡查。</w:t>
      </w:r>
    </w:p>
    <w:p>
      <w:pPr>
        <w:autoSpaceDN w:val="0"/>
        <w:spacing w:line="360" w:lineRule="auto"/>
        <w:ind w:firstLine="420" w:firstLineChars="200"/>
        <w:jc w:val="left"/>
        <w:rPr>
          <w:rFonts w:ascii="宋体" w:hAnsi="宋体"/>
          <w:szCs w:val="21"/>
        </w:rPr>
      </w:pPr>
      <w:r>
        <w:rPr>
          <w:rFonts w:hint="eastAsia" w:ascii="宋体" w:hAnsi="宋体"/>
          <w:szCs w:val="21"/>
        </w:rPr>
        <w:t>4、因服务人员管理不当而引起的堵车或交通事故，发生投诉或诉讼的由中标人全权负责，与采购人和实际监督人无关。</w:t>
      </w:r>
    </w:p>
    <w:p>
      <w:pPr>
        <w:autoSpaceDN w:val="0"/>
        <w:spacing w:line="360" w:lineRule="auto"/>
        <w:ind w:firstLine="420" w:firstLineChars="200"/>
        <w:jc w:val="left"/>
        <w:rPr>
          <w:rFonts w:ascii="宋体" w:hAnsi="宋体"/>
          <w:szCs w:val="21"/>
        </w:rPr>
      </w:pPr>
      <w:r>
        <w:rPr>
          <w:rFonts w:hint="eastAsia" w:ascii="宋体" w:hAnsi="宋体"/>
          <w:szCs w:val="21"/>
        </w:rPr>
        <w:t>5、投标人须为协管员投保人身意外保险。</w:t>
      </w:r>
    </w:p>
    <w:p>
      <w:pPr>
        <w:autoSpaceDN w:val="0"/>
        <w:spacing w:line="360" w:lineRule="auto"/>
        <w:ind w:firstLine="420" w:firstLineChars="200"/>
        <w:jc w:val="left"/>
        <w:rPr>
          <w:rFonts w:ascii="宋体" w:hAnsi="宋体"/>
          <w:szCs w:val="21"/>
        </w:rPr>
      </w:pPr>
      <w:r>
        <w:rPr>
          <w:rFonts w:hint="eastAsia" w:ascii="宋体" w:hAnsi="宋体"/>
          <w:szCs w:val="21"/>
        </w:rPr>
        <w:t>7、对服务人员的考核：按照业主对协管人员的考核办法执行。同时：根据业主的考核意见，有权作出中止服务外包合同决定。</w:t>
      </w:r>
    </w:p>
    <w:p>
      <w:pPr>
        <w:autoSpaceDN w:val="0"/>
        <w:spacing w:line="360" w:lineRule="auto"/>
        <w:jc w:val="left"/>
        <w:rPr>
          <w:rFonts w:ascii="宋体" w:hAnsi="宋体"/>
          <w:b/>
          <w:szCs w:val="21"/>
        </w:rPr>
      </w:pPr>
      <w:r>
        <w:rPr>
          <w:rFonts w:hint="eastAsia" w:ascii="宋体" w:hAnsi="宋体"/>
          <w:b/>
          <w:szCs w:val="21"/>
        </w:rPr>
        <w:t>四、队伍的管理</w:t>
      </w:r>
    </w:p>
    <w:p>
      <w:pPr>
        <w:autoSpaceDN w:val="0"/>
        <w:spacing w:line="360" w:lineRule="auto"/>
        <w:ind w:firstLine="420" w:firstLineChars="200"/>
        <w:jc w:val="left"/>
        <w:rPr>
          <w:rFonts w:ascii="宋体" w:hAnsi="宋体"/>
          <w:szCs w:val="21"/>
        </w:rPr>
      </w:pPr>
      <w:r>
        <w:rPr>
          <w:rFonts w:hint="eastAsia" w:ascii="宋体" w:hAnsi="宋体"/>
          <w:szCs w:val="21"/>
        </w:rPr>
        <w:t>1、服务人员由中标人负责领导，由中标人具体执行管理监督及业务培训，并接受业主管理。</w:t>
      </w:r>
    </w:p>
    <w:p>
      <w:pPr>
        <w:autoSpaceDN w:val="0"/>
        <w:spacing w:line="360" w:lineRule="auto"/>
        <w:ind w:firstLine="420" w:firstLineChars="200"/>
        <w:jc w:val="left"/>
        <w:rPr>
          <w:rFonts w:ascii="宋体" w:hAnsi="宋体"/>
          <w:szCs w:val="21"/>
        </w:rPr>
      </w:pPr>
      <w:r>
        <w:rPr>
          <w:rFonts w:hint="eastAsia" w:ascii="宋体" w:hAnsi="宋体"/>
          <w:szCs w:val="21"/>
        </w:rPr>
        <w:t>2、业主将组织不定期的查岗，查岗情况及时向中标人通报，并严格按照《奖惩条例》进行处罚或奖励。</w:t>
      </w:r>
    </w:p>
    <w:p>
      <w:pPr>
        <w:autoSpaceDN w:val="0"/>
        <w:spacing w:line="360" w:lineRule="auto"/>
        <w:ind w:firstLine="420" w:firstLineChars="200"/>
        <w:jc w:val="left"/>
        <w:rPr>
          <w:rFonts w:ascii="宋体" w:hAnsi="宋体"/>
          <w:szCs w:val="21"/>
        </w:rPr>
      </w:pPr>
      <w:r>
        <w:rPr>
          <w:rFonts w:hint="eastAsia" w:ascii="宋体" w:hAnsi="宋体"/>
          <w:szCs w:val="21"/>
        </w:rPr>
        <w:t>3、业主有权指派管理人员对服务人员队伍进行管理，发现问题及时沟通，对不称职队员可随时调换。</w:t>
      </w:r>
    </w:p>
    <w:p>
      <w:pPr>
        <w:autoSpaceDN w:val="0"/>
        <w:spacing w:line="360" w:lineRule="auto"/>
        <w:jc w:val="left"/>
        <w:rPr>
          <w:rFonts w:ascii="宋体" w:hAnsi="宋体"/>
          <w:b/>
          <w:i/>
          <w:szCs w:val="21"/>
        </w:rPr>
      </w:pPr>
      <w:r>
        <w:rPr>
          <w:rFonts w:hint="eastAsia" w:ascii="宋体" w:hAnsi="宋体"/>
          <w:b/>
          <w:szCs w:val="21"/>
        </w:rPr>
        <w:t>五、其他</w:t>
      </w:r>
    </w:p>
    <w:p>
      <w:pPr>
        <w:autoSpaceDN w:val="0"/>
        <w:spacing w:line="360" w:lineRule="auto"/>
        <w:ind w:firstLine="420" w:firstLineChars="200"/>
        <w:jc w:val="left"/>
        <w:rPr>
          <w:rFonts w:ascii="宋体" w:hAnsi="宋体"/>
          <w:b/>
          <w:szCs w:val="21"/>
        </w:rPr>
      </w:pPr>
      <w:r>
        <w:rPr>
          <w:rFonts w:hint="eastAsia" w:ascii="宋体" w:hAnsi="宋体"/>
          <w:b/>
          <w:szCs w:val="21"/>
        </w:rPr>
        <w:t>本项目合同期内，如遇本地区政策性社保缴费调整，均由中标人自行承担。</w:t>
      </w:r>
    </w:p>
    <w:p>
      <w:pPr>
        <w:tabs>
          <w:tab w:val="left" w:pos="8161"/>
        </w:tabs>
        <w:spacing w:line="420" w:lineRule="exact"/>
        <w:jc w:val="left"/>
        <w:outlineLvl w:val="1"/>
        <w:rPr>
          <w:rFonts w:hAnsi="宋体"/>
          <w:b/>
          <w:szCs w:val="21"/>
        </w:rPr>
      </w:pPr>
      <w:r>
        <w:rPr>
          <w:rFonts w:hint="eastAsia" w:hAnsi="宋体"/>
          <w:b/>
          <w:szCs w:val="21"/>
        </w:rPr>
        <w:t>六、主要考核内容</w:t>
      </w:r>
    </w:p>
    <w:tbl>
      <w:tblPr>
        <w:tblStyle w:val="10"/>
        <w:tblW w:w="92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5920"/>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top"/>
          </w:tcPr>
          <w:p>
            <w:pPr>
              <w:tabs>
                <w:tab w:val="left" w:pos="8161"/>
              </w:tabs>
              <w:jc w:val="center"/>
              <w:outlineLvl w:val="1"/>
              <w:rPr>
                <w:rFonts w:ascii="宋体" w:hAnsi="宋体"/>
                <w:szCs w:val="21"/>
              </w:rPr>
            </w:pPr>
            <w:r>
              <w:rPr>
                <w:rFonts w:hint="eastAsia" w:ascii="宋体" w:hAnsi="宋体"/>
                <w:szCs w:val="21"/>
              </w:rPr>
              <w:t>序号</w:t>
            </w:r>
          </w:p>
        </w:tc>
        <w:tc>
          <w:tcPr>
            <w:tcW w:w="5920" w:type="dxa"/>
            <w:noWrap w:val="0"/>
            <w:vAlign w:val="top"/>
          </w:tcPr>
          <w:p>
            <w:pPr>
              <w:tabs>
                <w:tab w:val="left" w:pos="8161"/>
              </w:tabs>
              <w:jc w:val="center"/>
              <w:outlineLvl w:val="1"/>
              <w:rPr>
                <w:rFonts w:ascii="宋体" w:hAnsi="宋体"/>
                <w:szCs w:val="21"/>
              </w:rPr>
            </w:pPr>
            <w:r>
              <w:rPr>
                <w:rFonts w:hint="eastAsia" w:ascii="宋体" w:hAnsi="宋体"/>
                <w:szCs w:val="21"/>
              </w:rPr>
              <w:t>考核内容</w:t>
            </w:r>
          </w:p>
        </w:tc>
        <w:tc>
          <w:tcPr>
            <w:tcW w:w="2359" w:type="dxa"/>
            <w:noWrap w:val="0"/>
            <w:vAlign w:val="top"/>
          </w:tcPr>
          <w:p>
            <w:pPr>
              <w:tabs>
                <w:tab w:val="left" w:pos="8161"/>
              </w:tabs>
              <w:jc w:val="center"/>
              <w:outlineLvl w:val="1"/>
              <w:rPr>
                <w:rFonts w:ascii="宋体" w:hAnsi="宋体"/>
                <w:szCs w:val="21"/>
              </w:rPr>
            </w:pPr>
            <w:r>
              <w:rPr>
                <w:rFonts w:hint="eastAsia" w:ascii="宋体" w:hAnsi="宋体"/>
                <w:szCs w:val="21"/>
              </w:rPr>
              <w:t>扣分及处罚措施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1</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着装、携装不规范</w:t>
            </w:r>
          </w:p>
        </w:tc>
        <w:tc>
          <w:tcPr>
            <w:tcW w:w="2359" w:type="dxa"/>
            <w:noWrap w:val="0"/>
            <w:vAlign w:val="top"/>
          </w:tcPr>
          <w:p>
            <w:pPr>
              <w:tabs>
                <w:tab w:val="left" w:pos="8161"/>
              </w:tabs>
              <w:jc w:val="center"/>
              <w:outlineLvl w:val="1"/>
              <w:rPr>
                <w:rFonts w:ascii="宋体" w:hAnsi="宋体"/>
                <w:szCs w:val="21"/>
              </w:rPr>
            </w:pPr>
            <w:r>
              <w:rPr>
                <w:rFonts w:hint="eastAsia" w:ascii="宋体" w:hAnsi="宋体"/>
                <w:szCs w:val="21"/>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2</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遇到情况未及时报告</w:t>
            </w:r>
          </w:p>
        </w:tc>
        <w:tc>
          <w:tcPr>
            <w:tcW w:w="2359" w:type="dxa"/>
            <w:noWrap w:val="0"/>
            <w:vAlign w:val="top"/>
          </w:tcPr>
          <w:p>
            <w:pPr>
              <w:tabs>
                <w:tab w:val="left" w:pos="8161"/>
              </w:tabs>
              <w:jc w:val="center"/>
              <w:outlineLvl w:val="1"/>
              <w:rPr>
                <w:rFonts w:ascii="宋体" w:hAnsi="宋体"/>
                <w:szCs w:val="21"/>
              </w:rPr>
            </w:pPr>
            <w:r>
              <w:rPr>
                <w:rFonts w:hint="eastAsia" w:ascii="宋体" w:hAnsi="宋体"/>
                <w:szCs w:val="21"/>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3</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在岗时发生脱岗、离岗事件，擅离职守的</w:t>
            </w:r>
          </w:p>
        </w:tc>
        <w:tc>
          <w:tcPr>
            <w:tcW w:w="2359" w:type="dxa"/>
            <w:noWrap w:val="0"/>
            <w:vAlign w:val="top"/>
          </w:tcPr>
          <w:p>
            <w:pPr>
              <w:tabs>
                <w:tab w:val="left" w:pos="8161"/>
              </w:tabs>
              <w:jc w:val="center"/>
              <w:outlineLvl w:val="1"/>
              <w:rPr>
                <w:rFonts w:ascii="宋体" w:hAnsi="宋体"/>
                <w:szCs w:val="21"/>
              </w:rPr>
            </w:pPr>
            <w:r>
              <w:rPr>
                <w:rFonts w:hint="eastAsia" w:ascii="宋体" w:hAnsi="宋体"/>
                <w:szCs w:val="21"/>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4</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业主日常巡查时发现有执勤不规范问题</w:t>
            </w:r>
          </w:p>
        </w:tc>
        <w:tc>
          <w:tcPr>
            <w:tcW w:w="2359" w:type="dxa"/>
            <w:noWrap w:val="0"/>
            <w:vAlign w:val="top"/>
          </w:tcPr>
          <w:p>
            <w:pPr>
              <w:tabs>
                <w:tab w:val="left" w:pos="8161"/>
              </w:tabs>
              <w:jc w:val="center"/>
              <w:outlineLvl w:val="1"/>
              <w:rPr>
                <w:rFonts w:ascii="宋体" w:hAnsi="宋体"/>
                <w:szCs w:val="21"/>
              </w:rPr>
            </w:pPr>
            <w:r>
              <w:rPr>
                <w:rFonts w:hint="eastAsia" w:ascii="宋体" w:hAnsi="宋体"/>
                <w:szCs w:val="21"/>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5</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执勤过错责任在道路协管人员的</w:t>
            </w:r>
          </w:p>
        </w:tc>
        <w:tc>
          <w:tcPr>
            <w:tcW w:w="2359" w:type="dxa"/>
            <w:noWrap w:val="0"/>
            <w:vAlign w:val="top"/>
          </w:tcPr>
          <w:p>
            <w:pPr>
              <w:tabs>
                <w:tab w:val="left" w:pos="8161"/>
              </w:tabs>
              <w:jc w:val="center"/>
              <w:outlineLvl w:val="1"/>
              <w:rPr>
                <w:rFonts w:ascii="宋体" w:hAnsi="宋体"/>
                <w:szCs w:val="21"/>
              </w:rPr>
            </w:pPr>
            <w:r>
              <w:rPr>
                <w:rFonts w:hint="eastAsia" w:ascii="宋体" w:hAnsi="宋体"/>
                <w:szCs w:val="21"/>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6</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经检查发现实际工作中有弄虚作假行为的</w:t>
            </w:r>
          </w:p>
        </w:tc>
        <w:tc>
          <w:tcPr>
            <w:tcW w:w="2359" w:type="dxa"/>
            <w:vMerge w:val="restart"/>
            <w:noWrap w:val="0"/>
            <w:vAlign w:val="center"/>
          </w:tcPr>
          <w:p>
            <w:pPr>
              <w:tabs>
                <w:tab w:val="left" w:pos="8161"/>
              </w:tabs>
              <w:jc w:val="center"/>
              <w:outlineLvl w:val="1"/>
              <w:rPr>
                <w:rFonts w:ascii="宋体" w:hAnsi="宋体"/>
                <w:szCs w:val="21"/>
              </w:rPr>
            </w:pPr>
            <w:r>
              <w:rPr>
                <w:rFonts w:hint="eastAsia" w:ascii="宋体" w:hAnsi="宋体"/>
                <w:szCs w:val="21"/>
              </w:rPr>
              <w:t>6-11项每发生一次均扣10分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7</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执勤服务态度差，被投诉经查实被区级及以上督查部门处理的</w:t>
            </w:r>
          </w:p>
        </w:tc>
        <w:tc>
          <w:tcPr>
            <w:tcW w:w="2359" w:type="dxa"/>
            <w:vMerge w:val="continue"/>
            <w:noWrap w:val="0"/>
            <w:vAlign w:val="top"/>
          </w:tcPr>
          <w:p>
            <w:pPr>
              <w:tabs>
                <w:tab w:val="left" w:pos="8161"/>
              </w:tabs>
              <w:jc w:val="center"/>
              <w:outlineLvl w:val="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8</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因管理漏洞或工作失误被新闻媒体曝光的</w:t>
            </w:r>
          </w:p>
        </w:tc>
        <w:tc>
          <w:tcPr>
            <w:tcW w:w="2359" w:type="dxa"/>
            <w:vMerge w:val="continue"/>
            <w:noWrap w:val="0"/>
            <w:vAlign w:val="top"/>
          </w:tcPr>
          <w:p>
            <w:pPr>
              <w:tabs>
                <w:tab w:val="left" w:pos="8161"/>
              </w:tabs>
              <w:jc w:val="center"/>
              <w:outlineLvl w:val="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9</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因不认真履行执勤任务造成严重后果或恶劣影响的（例重大事故、重大拥堵）</w:t>
            </w:r>
          </w:p>
        </w:tc>
        <w:tc>
          <w:tcPr>
            <w:tcW w:w="2359" w:type="dxa"/>
            <w:vMerge w:val="continue"/>
            <w:noWrap w:val="0"/>
            <w:vAlign w:val="top"/>
          </w:tcPr>
          <w:p>
            <w:pPr>
              <w:tabs>
                <w:tab w:val="left" w:pos="8161"/>
              </w:tabs>
              <w:jc w:val="center"/>
              <w:outlineLvl w:val="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10</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发生违法乱纪等行为的</w:t>
            </w:r>
          </w:p>
        </w:tc>
        <w:tc>
          <w:tcPr>
            <w:tcW w:w="2359" w:type="dxa"/>
            <w:vMerge w:val="continue"/>
            <w:noWrap w:val="0"/>
            <w:vAlign w:val="top"/>
          </w:tcPr>
          <w:p>
            <w:pPr>
              <w:tabs>
                <w:tab w:val="left" w:pos="8161"/>
              </w:tabs>
              <w:jc w:val="center"/>
              <w:outlineLvl w:val="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noWrap w:val="0"/>
            <w:vAlign w:val="center"/>
          </w:tcPr>
          <w:p>
            <w:pPr>
              <w:tabs>
                <w:tab w:val="left" w:pos="8161"/>
              </w:tabs>
              <w:jc w:val="center"/>
              <w:outlineLvl w:val="1"/>
              <w:rPr>
                <w:rFonts w:ascii="宋体" w:hAnsi="宋体"/>
                <w:szCs w:val="21"/>
              </w:rPr>
            </w:pPr>
            <w:r>
              <w:rPr>
                <w:rFonts w:hint="eastAsia" w:ascii="宋体" w:hAnsi="宋体"/>
                <w:szCs w:val="21"/>
              </w:rPr>
              <w:t>11</w:t>
            </w:r>
          </w:p>
        </w:tc>
        <w:tc>
          <w:tcPr>
            <w:tcW w:w="5920" w:type="dxa"/>
            <w:noWrap w:val="0"/>
            <w:vAlign w:val="top"/>
          </w:tcPr>
          <w:p>
            <w:pPr>
              <w:tabs>
                <w:tab w:val="left" w:pos="8161"/>
              </w:tabs>
              <w:jc w:val="left"/>
              <w:outlineLvl w:val="1"/>
              <w:rPr>
                <w:rFonts w:ascii="宋体" w:hAnsi="宋体"/>
                <w:szCs w:val="21"/>
              </w:rPr>
            </w:pPr>
            <w:r>
              <w:rPr>
                <w:rFonts w:hint="eastAsia" w:ascii="宋体" w:hAnsi="宋体"/>
                <w:szCs w:val="21"/>
              </w:rPr>
              <w:t>业主单位认为应视为重大事件、事故的</w:t>
            </w:r>
          </w:p>
        </w:tc>
        <w:tc>
          <w:tcPr>
            <w:tcW w:w="2359" w:type="dxa"/>
            <w:vMerge w:val="continue"/>
            <w:noWrap w:val="0"/>
            <w:vAlign w:val="top"/>
          </w:tcPr>
          <w:p>
            <w:pPr>
              <w:tabs>
                <w:tab w:val="left" w:pos="8161"/>
              </w:tabs>
              <w:jc w:val="center"/>
              <w:outlineLvl w:val="1"/>
              <w:rPr>
                <w:rFonts w:ascii="宋体" w:hAnsi="宋体"/>
                <w:szCs w:val="21"/>
              </w:rPr>
            </w:pPr>
          </w:p>
        </w:tc>
      </w:tr>
    </w:tbl>
    <w:p/>
    <w:p>
      <w:pPr>
        <w:rPr>
          <w:b/>
        </w:rPr>
      </w:pPr>
      <w:r>
        <w:rPr>
          <w:rFonts w:hint="eastAsia"/>
          <w:b/>
        </w:rPr>
        <w:t>七、结算时业主将结合考核内容后进行结算：按照扣一分减少该月度结算工资的</w:t>
      </w:r>
      <w:r>
        <w:rPr>
          <w:b/>
        </w:rPr>
        <w:t>2</w:t>
      </w:r>
      <w:r>
        <w:rPr>
          <w:rFonts w:hint="eastAsia"/>
          <w:b/>
        </w:rPr>
        <w:t>%计算。</w:t>
      </w:r>
    </w:p>
    <w:p>
      <w:pPr>
        <w:rPr>
          <w:b/>
        </w:rPr>
      </w:pPr>
    </w:p>
    <w:p>
      <w:pPr>
        <w:rPr>
          <w:b/>
        </w:rPr>
      </w:pPr>
      <w:r>
        <w:rPr>
          <w:rFonts w:hint="eastAsia"/>
          <w:b/>
        </w:rPr>
        <w:t>八、其他要求（投标人在投标文件中需提供的其他资料）</w:t>
      </w:r>
    </w:p>
    <w:p>
      <w:pPr>
        <w:tabs>
          <w:tab w:val="left" w:pos="8161"/>
        </w:tabs>
        <w:spacing w:line="420" w:lineRule="exact"/>
        <w:jc w:val="left"/>
        <w:outlineLvl w:val="1"/>
        <w:rPr>
          <w:rFonts w:ascii="宋体" w:hAnsi="宋体"/>
          <w:szCs w:val="21"/>
        </w:rPr>
      </w:pPr>
      <w:r>
        <w:rPr>
          <w:rFonts w:hint="eastAsia" w:ascii="宋体" w:hAnsi="宋体"/>
          <w:szCs w:val="21"/>
        </w:rPr>
        <w:t>1、本项目的具体实施方案；</w:t>
      </w:r>
    </w:p>
    <w:p>
      <w:pPr>
        <w:tabs>
          <w:tab w:val="left" w:pos="8161"/>
        </w:tabs>
        <w:spacing w:line="420" w:lineRule="exact"/>
        <w:jc w:val="left"/>
        <w:outlineLvl w:val="1"/>
        <w:rPr>
          <w:rFonts w:ascii="宋体" w:hAnsi="宋体"/>
          <w:szCs w:val="21"/>
        </w:rPr>
      </w:pPr>
      <w:r>
        <w:rPr>
          <w:rFonts w:hint="eastAsia" w:ascii="宋体" w:hAnsi="宋体"/>
          <w:szCs w:val="21"/>
        </w:rPr>
        <w:t>2、管理机构设置及管理制度；</w:t>
      </w:r>
    </w:p>
    <w:p>
      <w:pPr>
        <w:widowControl/>
        <w:ind w:right="25" w:rightChars="12"/>
        <w:jc w:val="left"/>
        <w:rPr>
          <w:rFonts w:ascii="宋体" w:hAnsi="宋体"/>
          <w:szCs w:val="21"/>
        </w:rPr>
      </w:pPr>
      <w:r>
        <w:rPr>
          <w:rFonts w:hint="eastAsia" w:ascii="宋体" w:hAnsi="宋体"/>
          <w:szCs w:val="21"/>
        </w:rPr>
        <w:t>3、人员配置、管理及培训；</w:t>
      </w:r>
    </w:p>
    <w:p>
      <w:pPr>
        <w:widowControl/>
        <w:ind w:right="25" w:rightChars="12"/>
        <w:jc w:val="left"/>
        <w:rPr>
          <w:rFonts w:ascii="宋体" w:hAnsi="宋体"/>
          <w:szCs w:val="21"/>
        </w:rPr>
      </w:pPr>
      <w:r>
        <w:rPr>
          <w:rFonts w:hint="eastAsia" w:ascii="宋体" w:hAnsi="宋体"/>
          <w:szCs w:val="21"/>
        </w:rPr>
        <w:t>4、拟投入设备明细；</w:t>
      </w:r>
    </w:p>
    <w:p>
      <w:pPr>
        <w:widowControl/>
        <w:ind w:right="25" w:rightChars="12"/>
        <w:jc w:val="left"/>
        <w:rPr>
          <w:rFonts w:ascii="宋体" w:hAnsi="宋体"/>
          <w:szCs w:val="21"/>
        </w:rPr>
      </w:pPr>
      <w:r>
        <w:rPr>
          <w:rFonts w:hint="eastAsia" w:ascii="宋体" w:hAnsi="宋体"/>
          <w:szCs w:val="21"/>
        </w:rPr>
        <w:t>5、针对本项目合理化建议。</w:t>
      </w:r>
    </w:p>
    <w:p>
      <w:pPr>
        <w:widowControl/>
        <w:ind w:right="25" w:rightChars="12"/>
        <w:jc w:val="left"/>
        <w:rPr>
          <w:rFonts w:ascii="宋体" w:hAnsi="宋体"/>
          <w:szCs w:val="21"/>
        </w:rPr>
      </w:pPr>
    </w:p>
    <w:p>
      <w:pPr>
        <w:rPr>
          <w:b/>
        </w:rPr>
      </w:pPr>
      <w:r>
        <w:rPr>
          <w:b/>
        </w:rPr>
        <w:br w:type="page"/>
      </w:r>
      <w:r>
        <w:rPr>
          <w:rFonts w:hint="eastAsia"/>
          <w:b/>
        </w:rPr>
        <w:t>九、商务条款或要求</w:t>
      </w:r>
    </w:p>
    <w:p>
      <w:pPr>
        <w:rPr>
          <w:color w:val="FF0000"/>
          <w:kern w:val="1"/>
        </w:rPr>
      </w:pPr>
      <w:r>
        <w:rPr>
          <w:color w:val="FF0000"/>
          <w:kern w:val="1"/>
        </w:rPr>
        <w:t xml:space="preserve"> </w:t>
      </w:r>
    </w:p>
    <w:tbl>
      <w:tblPr>
        <w:tblStyle w:val="10"/>
        <w:tblW w:w="9180"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74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6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pPr>
            <w:r>
              <w:rPr>
                <w:rFonts w:hint="eastAsia"/>
              </w:rPr>
              <w:t>项目</w:t>
            </w:r>
          </w:p>
        </w:tc>
        <w:tc>
          <w:tcPr>
            <w:tcW w:w="74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pPr>
            <w:r>
              <w:rPr>
                <w:rFonts w:hint="eastAsia"/>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trPr>
        <w:tc>
          <w:tcPr>
            <w:tcW w:w="1728" w:type="dxa"/>
            <w:tcBorders>
              <w:top w:val="single" w:color="auto" w:sz="4" w:space="0"/>
              <w:left w:val="single" w:color="auto" w:sz="4" w:space="0"/>
              <w:right w:val="single" w:color="auto" w:sz="4" w:space="0"/>
            </w:tcBorders>
            <w:noWrap w:val="0"/>
            <w:vAlign w:val="center"/>
          </w:tcPr>
          <w:p>
            <w:pPr>
              <w:spacing w:line="300" w:lineRule="exact"/>
            </w:pPr>
            <w:r>
              <w:rPr>
                <w:rFonts w:hint="eastAsia"/>
                <w:kern w:val="1"/>
              </w:rPr>
              <w:t>▲</w:t>
            </w:r>
            <w:r>
              <w:rPr>
                <w:rFonts w:hint="eastAsia"/>
              </w:rPr>
              <w:t>服务期限</w:t>
            </w:r>
          </w:p>
        </w:tc>
        <w:tc>
          <w:tcPr>
            <w:tcW w:w="74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FF0000"/>
                <w:szCs w:val="21"/>
              </w:rPr>
            </w:pPr>
            <w:r>
              <w:rPr>
                <w:rFonts w:hint="eastAsia" w:ascii="宋体" w:hAnsi="宋体"/>
                <w:color w:val="000000"/>
                <w:szCs w:val="21"/>
              </w:rPr>
              <w:t>合同签订之日起一年。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pPr>
            <w:r>
              <w:rPr>
                <w:rFonts w:hint="eastAsia"/>
                <w:kern w:val="1"/>
              </w:rPr>
              <w:t>▲</w:t>
            </w:r>
            <w:r>
              <w:rPr>
                <w:rFonts w:hint="eastAsia"/>
              </w:rPr>
              <w:t>付款方式</w:t>
            </w:r>
          </w:p>
        </w:tc>
        <w:tc>
          <w:tcPr>
            <w:tcW w:w="7452" w:type="dxa"/>
            <w:tcBorders>
              <w:top w:val="single" w:color="auto" w:sz="4" w:space="0"/>
              <w:left w:val="single" w:color="auto" w:sz="4" w:space="0"/>
              <w:bottom w:val="single" w:color="auto" w:sz="4" w:space="0"/>
              <w:right w:val="single" w:color="auto" w:sz="4" w:space="0"/>
            </w:tcBorders>
            <w:noWrap w:val="0"/>
            <w:vAlign w:val="center"/>
          </w:tcPr>
          <w:p>
            <w:pPr>
              <w:tabs>
                <w:tab w:val="left" w:pos="8161"/>
              </w:tabs>
              <w:spacing w:line="420" w:lineRule="exact"/>
              <w:jc w:val="left"/>
              <w:outlineLvl w:val="1"/>
            </w:pPr>
            <w:r>
              <w:rPr>
                <w:rFonts w:hint="eastAsia"/>
              </w:rPr>
              <w:t>在确认工作完成的情况下，如考核合格，每月按实支付给中标人。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宋体" w:hAnsi="宋体" w:cs="宋体"/>
              </w:rPr>
            </w:pPr>
            <w:r>
              <w:rPr>
                <w:rFonts w:hint="eastAsia" w:ascii="宋体" w:hAnsi="宋体" w:cs="宋体"/>
              </w:rPr>
              <w:t>合同终止</w:t>
            </w:r>
          </w:p>
        </w:tc>
        <w:tc>
          <w:tcPr>
            <w:tcW w:w="74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ascii="宋体" w:hAnsi="宋体" w:cs="宋体"/>
                <w:bCs/>
                <w:szCs w:val="21"/>
              </w:rPr>
            </w:pPr>
            <w:r>
              <w:rPr>
                <w:rFonts w:hint="eastAsia" w:ascii="宋体" w:hAnsi="宋体" w:cs="宋体"/>
                <w:szCs w:val="21"/>
              </w:rPr>
              <w:t>中标人在合同有效期内，不得以任何理由终止合同，确有特殊情况的，须提前2个月向采购人提出书面申请，经采购人同意后，方可终止合同，同时酌情扣除保证金。因中标人不能保证工作质量，或发生重大差错事故的，采购人有权终止合同，中标人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宋体" w:hAnsi="宋体" w:cs="宋体"/>
                <w:szCs w:val="21"/>
              </w:rPr>
            </w:pPr>
            <w:r>
              <w:rPr>
                <w:rFonts w:hint="eastAsia" w:ascii="宋体" w:hAnsi="宋体" w:cs="宋体"/>
              </w:rPr>
              <w:t>第三方检测机制</w:t>
            </w:r>
          </w:p>
        </w:tc>
        <w:tc>
          <w:tcPr>
            <w:tcW w:w="74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ascii="宋体" w:hAnsi="宋体" w:cs="宋体"/>
              </w:rPr>
            </w:pPr>
            <w:r>
              <w:rPr>
                <w:rFonts w:hint="eastAsia" w:ascii="宋体" w:hAnsi="宋体" w:cs="宋体"/>
              </w:rPr>
              <w:t>本次采购项目对采购质量履约引入第三方检测机构检测机制。中标投标人如不能严格按照投标文件的响应内容及合同约定履约的，将按《中华人民共和国政府采购法》第七十七条第一款认定为提供虚假材料谋取中标、成交。并按《中华人民共和国政府采购法》第七十七条的规定列入不良行为记录名单，在一至三年内禁止参加政府采购活动。</w:t>
            </w:r>
          </w:p>
        </w:tc>
      </w:tr>
    </w:tbl>
    <w:p>
      <w:pPr>
        <w:spacing w:line="360" w:lineRule="auto"/>
        <w:rPr>
          <w:rFonts w:ascii="宋体" w:hAnsi="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287" w:bottom="1134" w:left="1622"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778B"/>
    <w:rsid w:val="00087607"/>
    <w:rsid w:val="000A7216"/>
    <w:rsid w:val="0013563D"/>
    <w:rsid w:val="001B5B09"/>
    <w:rsid w:val="0021594B"/>
    <w:rsid w:val="002C3A71"/>
    <w:rsid w:val="00371B98"/>
    <w:rsid w:val="003A5193"/>
    <w:rsid w:val="003D393F"/>
    <w:rsid w:val="005121FC"/>
    <w:rsid w:val="0057058C"/>
    <w:rsid w:val="005D2E30"/>
    <w:rsid w:val="005F5FDA"/>
    <w:rsid w:val="006B376E"/>
    <w:rsid w:val="008520A5"/>
    <w:rsid w:val="009659E9"/>
    <w:rsid w:val="00987D83"/>
    <w:rsid w:val="00A02478"/>
    <w:rsid w:val="00A10675"/>
    <w:rsid w:val="00A95596"/>
    <w:rsid w:val="00AB71C0"/>
    <w:rsid w:val="00AD3083"/>
    <w:rsid w:val="00AD7E0F"/>
    <w:rsid w:val="00AE4E24"/>
    <w:rsid w:val="00B83924"/>
    <w:rsid w:val="00C15B34"/>
    <w:rsid w:val="00C472F6"/>
    <w:rsid w:val="00C6059C"/>
    <w:rsid w:val="00C82A28"/>
    <w:rsid w:val="00D3778B"/>
    <w:rsid w:val="00DC7313"/>
    <w:rsid w:val="00EF195B"/>
    <w:rsid w:val="00FF0923"/>
    <w:rsid w:val="07075F66"/>
    <w:rsid w:val="13A07034"/>
    <w:rsid w:val="22A60B6E"/>
    <w:rsid w:val="24BE49C2"/>
    <w:rsid w:val="2FCD1E00"/>
    <w:rsid w:val="35993D6C"/>
    <w:rsid w:val="440D4808"/>
    <w:rsid w:val="527B705A"/>
    <w:rsid w:val="743326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uiPriority w:val="0"/>
    <w:pPr>
      <w:ind w:firstLine="420"/>
    </w:pPr>
    <w:rPr>
      <w:rFonts w:eastAsia="宋体"/>
      <w:kern w:val="2"/>
      <w:sz w:val="21"/>
      <w:lang w:val="en-US" w:eastAsia="zh-CN" w:bidi="ar-SA"/>
    </w:rPr>
  </w:style>
  <w:style w:type="paragraph" w:styleId="4">
    <w:name w:val="Body Text Indent"/>
    <w:basedOn w:val="1"/>
    <w:link w:val="21"/>
    <w:qFormat/>
    <w:uiPriority w:val="0"/>
    <w:pPr>
      <w:spacing w:line="360" w:lineRule="auto"/>
      <w:ind w:firstLine="420"/>
    </w:pPr>
    <w:rPr>
      <w:sz w:val="24"/>
      <w:szCs w:val="24"/>
    </w:rPr>
  </w:style>
  <w:style w:type="paragraph" w:styleId="5">
    <w:name w:val="Plain Text"/>
    <w:basedOn w:val="1"/>
    <w:link w:val="17"/>
    <w:qFormat/>
    <w:uiPriority w:val="0"/>
    <w:pPr>
      <w:spacing w:beforeLines="50" w:afterLines="50" w:line="400" w:lineRule="exact"/>
    </w:pPr>
    <w:rPr>
      <w:rFonts w:ascii="宋体" w:hAnsi="Courier New" w:eastAsia="宋体"/>
      <w:sz w:val="24"/>
      <w:szCs w:val="24"/>
    </w:rPr>
  </w:style>
  <w:style w:type="paragraph" w:styleId="6">
    <w:name w:val="footer"/>
    <w:basedOn w:val="1"/>
    <w:link w:val="14"/>
    <w:unhideWhenUsed/>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9">
    <w:name w:val="Title"/>
    <w:basedOn w:val="1"/>
    <w:next w:val="1"/>
    <w:link w:val="18"/>
    <w:qFormat/>
    <w:uiPriority w:val="0"/>
    <w:pPr>
      <w:spacing w:before="240" w:after="60"/>
      <w:jc w:val="center"/>
      <w:outlineLvl w:val="0"/>
    </w:pPr>
    <w:rPr>
      <w:rFonts w:ascii="Cambria" w:hAnsi="Cambria" w:cs="Times New Roman"/>
      <w:b/>
      <w:bCs/>
      <w:sz w:val="32"/>
      <w:szCs w:val="32"/>
    </w:rPr>
  </w:style>
  <w:style w:type="character" w:styleId="12">
    <w:name w:val="page number"/>
    <w:basedOn w:val="11"/>
    <w:qFormat/>
    <w:uiPriority w:val="0"/>
  </w:style>
  <w:style w:type="character" w:customStyle="1" w:styleId="13">
    <w:name w:val="页眉 Char"/>
    <w:basedOn w:val="11"/>
    <w:link w:val="7"/>
    <w:semiHidden/>
    <w:qFormat/>
    <w:uiPriority w:val="0"/>
    <w:rPr>
      <w:sz w:val="18"/>
      <w:szCs w:val="18"/>
    </w:rPr>
  </w:style>
  <w:style w:type="character" w:customStyle="1" w:styleId="14">
    <w:name w:val="页脚 Char"/>
    <w:basedOn w:val="11"/>
    <w:link w:val="6"/>
    <w:semiHidden/>
    <w:qFormat/>
    <w:uiPriority w:val="0"/>
    <w:rPr>
      <w:sz w:val="18"/>
      <w:szCs w:val="18"/>
    </w:rPr>
  </w:style>
  <w:style w:type="character" w:customStyle="1" w:styleId="15">
    <w:name w:val="标题 3 Char"/>
    <w:basedOn w:val="11"/>
    <w:semiHidden/>
    <w:qFormat/>
    <w:uiPriority w:val="9"/>
    <w:rPr>
      <w:b/>
      <w:bCs/>
      <w:sz w:val="32"/>
      <w:szCs w:val="32"/>
    </w:rPr>
  </w:style>
  <w:style w:type="character" w:customStyle="1" w:styleId="16">
    <w:name w:val="标题 3 Char1"/>
    <w:basedOn w:val="11"/>
    <w:link w:val="2"/>
    <w:qFormat/>
    <w:uiPriority w:val="0"/>
    <w:rPr>
      <w:rFonts w:ascii="Times New Roman" w:hAnsi="Times New Roman" w:eastAsia="宋体" w:cs="Times New Roman"/>
      <w:b/>
      <w:bCs/>
      <w:sz w:val="32"/>
      <w:szCs w:val="32"/>
    </w:rPr>
  </w:style>
  <w:style w:type="character" w:customStyle="1" w:styleId="17">
    <w:name w:val="纯文本 Char"/>
    <w:link w:val="5"/>
    <w:qFormat/>
    <w:uiPriority w:val="0"/>
    <w:rPr>
      <w:rFonts w:ascii="宋体" w:hAnsi="Courier New" w:eastAsia="宋体"/>
      <w:sz w:val="24"/>
      <w:szCs w:val="24"/>
    </w:rPr>
  </w:style>
  <w:style w:type="character" w:customStyle="1" w:styleId="18">
    <w:name w:val="标题 Char"/>
    <w:link w:val="9"/>
    <w:qFormat/>
    <w:uiPriority w:val="0"/>
    <w:rPr>
      <w:rFonts w:ascii="Cambria" w:hAnsi="Cambria" w:cs="Times New Roman"/>
      <w:b/>
      <w:bCs/>
      <w:sz w:val="32"/>
      <w:szCs w:val="32"/>
    </w:rPr>
  </w:style>
  <w:style w:type="character" w:customStyle="1" w:styleId="19">
    <w:name w:val="标题 Char1"/>
    <w:basedOn w:val="11"/>
    <w:qFormat/>
    <w:uiPriority w:val="10"/>
    <w:rPr>
      <w:rFonts w:eastAsia="宋体" w:asciiTheme="majorHAnsi" w:hAnsiTheme="majorHAnsi" w:cstheme="majorBidi"/>
      <w:b/>
      <w:bCs/>
      <w:sz w:val="32"/>
      <w:szCs w:val="32"/>
    </w:rPr>
  </w:style>
  <w:style w:type="character" w:customStyle="1" w:styleId="20">
    <w:name w:val="纯文本 Char1"/>
    <w:basedOn w:val="11"/>
    <w:semiHidden/>
    <w:qFormat/>
    <w:uiPriority w:val="99"/>
    <w:rPr>
      <w:rFonts w:ascii="宋体" w:hAnsi="Courier New" w:eastAsia="宋体" w:cs="Courier New"/>
      <w:szCs w:val="21"/>
    </w:rPr>
  </w:style>
  <w:style w:type="character" w:customStyle="1" w:styleId="21">
    <w:name w:val="正文文本缩进 Char"/>
    <w:link w:val="4"/>
    <w:qFormat/>
    <w:uiPriority w:val="0"/>
    <w:rPr>
      <w:sz w:val="24"/>
      <w:szCs w:val="24"/>
    </w:rPr>
  </w:style>
  <w:style w:type="character" w:customStyle="1" w:styleId="22">
    <w:name w:val="正文文本缩进 Char1"/>
    <w:basedOn w:val="11"/>
    <w:semiHidden/>
    <w:qFormat/>
    <w:uiPriority w:val="99"/>
  </w:style>
  <w:style w:type="character" w:customStyle="1" w:styleId="23">
    <w:name w:val="页眉 字符"/>
    <w:semiHidden/>
    <w:qFormat/>
    <w:uiPriority w:val="0"/>
    <w:rPr>
      <w:rFonts w:ascii="Calibri" w:hAnsi="Calibri" w:eastAsia="宋体"/>
      <w:kern w:val="2"/>
      <w:sz w:val="18"/>
      <w:szCs w:val="18"/>
      <w:lang w:val="en-US" w:eastAsia="zh-CN" w:bidi="ar-SA"/>
    </w:rPr>
  </w:style>
  <w:style w:type="character" w:customStyle="1" w:styleId="24">
    <w:name w:val="标题 字符"/>
    <w:qFormat/>
    <w:uiPriority w:val="0"/>
    <w:rPr>
      <w:rFonts w:ascii="Cambria" w:hAnsi="Cambria" w:cs="Times New Roman"/>
      <w:b/>
      <w:bCs/>
      <w:kern w:val="2"/>
      <w:sz w:val="32"/>
      <w:szCs w:val="32"/>
    </w:rPr>
  </w:style>
  <w:style w:type="character" w:customStyle="1" w:styleId="25">
    <w:name w:val="页脚 字符"/>
    <w:semiHidden/>
    <w:qFormat/>
    <w:uiPriority w:val="0"/>
    <w:rPr>
      <w:rFonts w:ascii="Calibri" w:hAnsi="Calibri" w:eastAsia="宋体"/>
      <w:kern w:val="2"/>
      <w:sz w:val="18"/>
      <w:szCs w:val="18"/>
      <w:lang w:val="en-US" w:eastAsia="zh-CN" w:bidi="ar-SA"/>
    </w:rPr>
  </w:style>
  <w:style w:type="paragraph" w:customStyle="1" w:styleId="26">
    <w:name w:val="Other|1"/>
    <w:basedOn w:val="1"/>
    <w:qFormat/>
    <w:uiPriority w:val="0"/>
    <w:pPr>
      <w:widowControl w:val="0"/>
      <w:shd w:val="clear" w:color="auto" w:fill="auto"/>
      <w:spacing w:line="322" w:lineRule="auto"/>
    </w:pPr>
    <w:rPr>
      <w:rFonts w:ascii="MingLiU" w:hAnsi="MingLiU" w:eastAsia="MingLiU" w:cs="MingLiU"/>
      <w:color w:val="000000"/>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187</Words>
  <Characters>1070</Characters>
  <Lines>8</Lines>
  <Paragraphs>2</Paragraphs>
  <TotalTime>1</TotalTime>
  <ScaleCrop>false</ScaleCrop>
  <LinksUpToDate>false</LinksUpToDate>
  <CharactersWithSpaces>1255</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2018-04-27T07:05:00Z</dcterms:created>
  <dc:creator>Alienware</dc:creator>
  <cp:lastModifiedBy>L.</cp:lastModifiedBy>
  <dcterms:modified xsi:type="dcterms:W3CDTF">2019-10-23T07:34:16Z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