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54A59">
      <w:pPr>
        <w:spacing w:line="360" w:lineRule="auto"/>
        <w:jc w:val="center"/>
        <w:rPr>
          <w:rFonts w:hint="eastAsia" w:ascii="宋体" w:hAnsi="宋体"/>
          <w:b/>
          <w:bCs/>
          <w:color w:val="auto"/>
          <w:sz w:val="36"/>
          <w:szCs w:val="36"/>
          <w:lang w:val="en-US" w:eastAsia="zh-CN"/>
        </w:rPr>
      </w:pPr>
      <w:r>
        <w:rPr>
          <w:rFonts w:hint="eastAsia" w:ascii="宋体" w:hAnsi="宋体"/>
          <w:b/>
          <w:bCs/>
          <w:color w:val="auto"/>
          <w:sz w:val="36"/>
          <w:szCs w:val="36"/>
          <w:lang w:val="en-US" w:eastAsia="zh-CN"/>
        </w:rPr>
        <w:t>宁波市效实中学（白杨校区）田径场维修工程</w:t>
      </w:r>
    </w:p>
    <w:p w14:paraId="1D642E6E">
      <w:pPr>
        <w:spacing w:line="360" w:lineRule="auto"/>
        <w:jc w:val="center"/>
        <w:rPr>
          <w:rFonts w:hint="eastAsia" w:ascii="宋体" w:hAnsi="宋体"/>
          <w:b/>
          <w:bCs/>
          <w:color w:val="auto"/>
          <w:sz w:val="32"/>
          <w:szCs w:val="32"/>
        </w:rPr>
      </w:pPr>
      <w:r>
        <w:rPr>
          <w:rFonts w:hint="eastAsia" w:ascii="宋体" w:hAnsi="宋体"/>
          <w:b/>
          <w:bCs/>
          <w:color w:val="auto"/>
          <w:sz w:val="32"/>
          <w:szCs w:val="32"/>
          <w:lang w:val="en-US" w:eastAsia="zh-CN"/>
        </w:rPr>
        <w:t>工程量清单</w:t>
      </w:r>
      <w:r>
        <w:rPr>
          <w:rFonts w:hint="eastAsia" w:ascii="宋体" w:hAnsi="宋体"/>
          <w:b/>
          <w:bCs/>
          <w:color w:val="auto"/>
          <w:sz w:val="32"/>
          <w:szCs w:val="32"/>
        </w:rPr>
        <w:t>编制说明</w:t>
      </w:r>
    </w:p>
    <w:p w14:paraId="744C1C7A">
      <w:pPr>
        <w:numPr>
          <w:ilvl w:val="0"/>
          <w:numId w:val="1"/>
        </w:numPr>
        <w:tabs>
          <w:tab w:val="left" w:pos="764"/>
          <w:tab w:val="left" w:pos="1080"/>
          <w:tab w:val="left" w:pos="9180"/>
          <w:tab w:val="left" w:pos="9360"/>
        </w:tabs>
        <w:spacing w:line="360" w:lineRule="auto"/>
        <w:ind w:right="25" w:rightChars="12"/>
        <w:outlineLvl w:val="0"/>
        <w:rPr>
          <w:rFonts w:hint="eastAsia" w:ascii="宋体" w:hAnsi="宋体"/>
          <w:b/>
          <w:color w:val="auto"/>
          <w:sz w:val="24"/>
        </w:rPr>
      </w:pPr>
      <w:r>
        <w:rPr>
          <w:rFonts w:hint="eastAsia" w:ascii="宋体" w:hAnsi="宋体" w:cs="宋体"/>
          <w:b/>
          <w:color w:val="auto"/>
          <w:sz w:val="24"/>
        </w:rPr>
        <w:t>项目概况</w:t>
      </w:r>
    </w:p>
    <w:p w14:paraId="10085C3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本项目</w:t>
      </w:r>
      <w:r>
        <w:rPr>
          <w:rFonts w:hint="eastAsia" w:ascii="宋体" w:hAnsi="宋体" w:eastAsia="宋体" w:cs="宋体"/>
          <w:color w:val="auto"/>
          <w:sz w:val="24"/>
          <w:szCs w:val="24"/>
        </w:rPr>
        <w:t>位于</w:t>
      </w:r>
      <w:r>
        <w:rPr>
          <w:rFonts w:hint="eastAsia" w:ascii="宋体" w:hAnsi="宋体" w:eastAsia="宋体" w:cs="宋体"/>
          <w:color w:val="auto"/>
          <w:sz w:val="24"/>
          <w:szCs w:val="24"/>
          <w:lang w:val="en-US" w:eastAsia="zh-CN"/>
        </w:rPr>
        <w:t>宁波市效实中学白杨校区内。</w:t>
      </w:r>
      <w:r>
        <w:rPr>
          <w:rFonts w:hint="eastAsia" w:ascii="宋体" w:hAnsi="宋体" w:cs="宋体"/>
          <w:strike w:val="0"/>
          <w:dstrike w:val="0"/>
          <w:color w:val="auto"/>
          <w:sz w:val="24"/>
          <w:szCs w:val="24"/>
          <w:highlight w:val="none"/>
          <w:lang w:val="en-US" w:eastAsia="zh-CN"/>
        </w:rPr>
        <w:t>该工程</w:t>
      </w:r>
      <w:r>
        <w:rPr>
          <w:rFonts w:hint="eastAsia" w:ascii="宋体" w:hAnsi="宋体" w:eastAsia="宋体" w:cs="宋体"/>
          <w:strike w:val="0"/>
          <w:dstrike w:val="0"/>
          <w:color w:val="auto"/>
          <w:sz w:val="24"/>
          <w:szCs w:val="24"/>
          <w:highlight w:val="none"/>
          <w:lang w:val="en-US" w:eastAsia="zh-CN"/>
        </w:rPr>
        <w:t>由</w:t>
      </w:r>
      <w:r>
        <w:rPr>
          <w:rFonts w:hint="eastAsia" w:ascii="宋体" w:hAnsi="宋体" w:cs="宋体"/>
          <w:color w:val="auto"/>
          <w:sz w:val="24"/>
          <w:szCs w:val="24"/>
          <w:lang w:val="en-US" w:eastAsia="zh-CN"/>
        </w:rPr>
        <w:t>宁波效实中学</w:t>
      </w:r>
      <w:r>
        <w:rPr>
          <w:rFonts w:hint="eastAsia" w:ascii="宋体" w:hAnsi="宋体" w:eastAsia="宋体" w:cs="宋体"/>
          <w:strike w:val="0"/>
          <w:dstrike w:val="0"/>
          <w:color w:val="auto"/>
          <w:sz w:val="24"/>
          <w:szCs w:val="24"/>
          <w:highlight w:val="none"/>
          <w:lang w:val="en-US" w:eastAsia="zh-CN"/>
        </w:rPr>
        <w:t>负责建设，由</w:t>
      </w:r>
      <w:r>
        <w:rPr>
          <w:rFonts w:hint="eastAsia" w:ascii="宋体" w:hAnsi="宋体"/>
          <w:strike w:val="0"/>
          <w:dstrike w:val="0"/>
          <w:color w:val="auto"/>
          <w:sz w:val="24"/>
          <w:highlight w:val="none"/>
          <w:lang w:val="en-US" w:eastAsia="zh-CN"/>
        </w:rPr>
        <w:t>宁波理工建筑设计研究院</w:t>
      </w:r>
      <w:r>
        <w:rPr>
          <w:rFonts w:hint="eastAsia" w:ascii="宋体" w:hAnsi="宋体"/>
          <w:strike w:val="0"/>
          <w:dstrike w:val="0"/>
          <w:color w:val="auto"/>
          <w:sz w:val="24"/>
          <w:highlight w:val="none"/>
          <w:lang w:eastAsia="zh-CN"/>
        </w:rPr>
        <w:t>有限公司</w:t>
      </w:r>
      <w:r>
        <w:rPr>
          <w:rFonts w:hint="eastAsia" w:ascii="宋体" w:hAnsi="宋体" w:eastAsia="宋体" w:cs="宋体"/>
          <w:strike w:val="0"/>
          <w:dstrike w:val="0"/>
          <w:color w:val="auto"/>
          <w:sz w:val="24"/>
          <w:szCs w:val="24"/>
          <w:highlight w:val="none"/>
          <w:lang w:val="en-US" w:eastAsia="zh-CN"/>
        </w:rPr>
        <w:t>负责</w:t>
      </w:r>
      <w:r>
        <w:rPr>
          <w:rFonts w:hint="eastAsia" w:ascii="宋体" w:hAnsi="宋体" w:eastAsia="宋体" w:cs="宋体"/>
          <w:color w:val="auto"/>
          <w:sz w:val="24"/>
          <w:szCs w:val="24"/>
          <w:lang w:val="en-US" w:eastAsia="zh-CN"/>
        </w:rPr>
        <w:t>施工图</w:t>
      </w:r>
      <w:r>
        <w:rPr>
          <w:rFonts w:hint="eastAsia" w:ascii="宋体" w:hAnsi="宋体" w:eastAsia="宋体" w:cs="宋体"/>
          <w:strike w:val="0"/>
          <w:dstrike w:val="0"/>
          <w:color w:val="auto"/>
          <w:sz w:val="24"/>
          <w:szCs w:val="24"/>
          <w:highlight w:val="none"/>
          <w:lang w:val="en-US" w:eastAsia="zh-CN"/>
        </w:rPr>
        <w:t>设计，</w:t>
      </w:r>
      <w:r>
        <w:rPr>
          <w:rFonts w:hint="eastAsia" w:ascii="宋体" w:hAnsi="宋体" w:cs="宋体"/>
          <w:strike w:val="0"/>
          <w:dstrike w:val="0"/>
          <w:color w:val="auto"/>
          <w:sz w:val="24"/>
          <w:szCs w:val="24"/>
          <w:highlight w:val="none"/>
          <w:lang w:val="en-US" w:eastAsia="zh-CN"/>
        </w:rPr>
        <w:t>资金由市财政资金予以解决</w:t>
      </w:r>
      <w:r>
        <w:rPr>
          <w:rFonts w:hint="eastAsia" w:ascii="宋体" w:hAnsi="宋体" w:cs="宋体"/>
          <w:strike w:val="0"/>
          <w:dstrike w:val="0"/>
          <w:color w:val="auto"/>
          <w:sz w:val="24"/>
          <w:szCs w:val="24"/>
          <w:highlight w:val="none"/>
          <w:lang w:eastAsia="zh-CN"/>
        </w:rPr>
        <w:t>。</w:t>
      </w:r>
    </w:p>
    <w:p w14:paraId="282D494C">
      <w:pPr>
        <w:numPr>
          <w:ilvl w:val="0"/>
          <w:numId w:val="1"/>
        </w:numPr>
        <w:tabs>
          <w:tab w:val="left" w:pos="764"/>
          <w:tab w:val="left" w:pos="1080"/>
          <w:tab w:val="left" w:pos="9180"/>
          <w:tab w:val="left" w:pos="9360"/>
        </w:tabs>
        <w:spacing w:line="360" w:lineRule="auto"/>
        <w:ind w:right="25" w:rightChars="12"/>
        <w:outlineLvl w:val="0"/>
        <w:rPr>
          <w:rFonts w:hint="eastAsia" w:ascii="宋体" w:hAnsi="宋体"/>
          <w:b/>
          <w:color w:val="auto"/>
          <w:sz w:val="24"/>
        </w:rPr>
      </w:pPr>
      <w:r>
        <w:rPr>
          <w:rFonts w:hint="eastAsia" w:ascii="宋体" w:hAnsi="宋体"/>
          <w:b/>
          <w:color w:val="auto"/>
          <w:sz w:val="24"/>
          <w:lang w:val="en-US" w:eastAsia="zh-CN"/>
        </w:rPr>
        <w:t>编制范围</w:t>
      </w:r>
    </w:p>
    <w:p w14:paraId="6DDDE7A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color w:val="auto"/>
        </w:rPr>
      </w:pPr>
      <w:r>
        <w:rPr>
          <w:rFonts w:hint="eastAsia" w:ascii="宋体" w:hAnsi="宋体" w:cs="宋体"/>
          <w:strike w:val="0"/>
          <w:dstrike w:val="0"/>
          <w:color w:val="auto"/>
          <w:sz w:val="24"/>
          <w:szCs w:val="24"/>
          <w:highlight w:val="none"/>
          <w:lang w:val="en-US" w:eastAsia="zh-CN"/>
        </w:rPr>
        <w:t>维修工程</w:t>
      </w:r>
      <w:r>
        <w:rPr>
          <w:rFonts w:hint="eastAsia" w:ascii="宋体" w:hAnsi="宋体" w:eastAsia="宋体" w:cs="宋体"/>
          <w:strike w:val="0"/>
          <w:dstrike w:val="0"/>
          <w:color w:val="auto"/>
          <w:sz w:val="24"/>
          <w:szCs w:val="24"/>
          <w:highlight w:val="none"/>
          <w:lang w:val="en-US" w:eastAsia="zh-CN"/>
        </w:rPr>
        <w:t>总面积约 17557 平方米，包括田径场跑道及辅区约 8722 平方米、风雨跑道面积约750 平方米、足球场</w:t>
      </w:r>
      <w:r>
        <w:rPr>
          <w:rFonts w:hint="eastAsia" w:ascii="宋体" w:hAnsi="宋体" w:eastAsia="宋体" w:cs="宋体"/>
          <w:strike w:val="0"/>
          <w:dstrike w:val="0"/>
          <w:color w:val="auto"/>
          <w:sz w:val="24"/>
          <w:szCs w:val="24"/>
          <w:highlight w:val="none"/>
          <w:lang w:val="en-US" w:eastAsia="zh-CN"/>
        </w:rPr>
        <w:t>面积约 8085 平方米的更新改造，以及排水系统等。</w:t>
      </w:r>
    </w:p>
    <w:p w14:paraId="6DAA03D7">
      <w:pPr>
        <w:numPr>
          <w:ilvl w:val="0"/>
          <w:numId w:val="1"/>
        </w:numPr>
        <w:tabs>
          <w:tab w:val="left" w:pos="764"/>
          <w:tab w:val="left" w:pos="1080"/>
          <w:tab w:val="left" w:pos="9180"/>
          <w:tab w:val="left" w:pos="9360"/>
        </w:tabs>
        <w:spacing w:line="360" w:lineRule="auto"/>
        <w:ind w:right="25" w:rightChars="12"/>
        <w:outlineLvl w:val="0"/>
        <w:rPr>
          <w:rFonts w:hint="eastAsia" w:ascii="宋体" w:hAnsi="宋体"/>
          <w:b/>
          <w:color w:val="auto"/>
          <w:sz w:val="24"/>
        </w:rPr>
      </w:pPr>
      <w:r>
        <w:rPr>
          <w:rFonts w:hint="eastAsia" w:ascii="宋体" w:hAnsi="宋体"/>
          <w:b/>
          <w:color w:val="auto"/>
          <w:sz w:val="24"/>
        </w:rPr>
        <w:t>编制依据</w:t>
      </w:r>
    </w:p>
    <w:p w14:paraId="6A9F8041">
      <w:pPr>
        <w:numPr>
          <w:ilvl w:val="0"/>
          <w:numId w:val="2"/>
        </w:numPr>
        <w:tabs>
          <w:tab w:val="left" w:pos="360"/>
          <w:tab w:val="left" w:pos="900"/>
          <w:tab w:val="left" w:pos="1236"/>
          <w:tab w:val="left" w:pos="9180"/>
          <w:tab w:val="left" w:pos="9360"/>
          <w:tab w:val="clear" w:pos="1350"/>
        </w:tabs>
        <w:spacing w:line="360" w:lineRule="auto"/>
        <w:ind w:left="0" w:right="25" w:rightChars="12" w:firstLine="540"/>
        <w:rPr>
          <w:rFonts w:hint="eastAsia" w:ascii="宋体" w:hAnsi="宋体"/>
          <w:color w:val="auto"/>
          <w:sz w:val="24"/>
        </w:rPr>
      </w:pPr>
      <w:r>
        <w:rPr>
          <w:rFonts w:hint="eastAsia" w:ascii="宋体" w:hAnsi="宋体"/>
          <w:color w:val="auto"/>
          <w:sz w:val="24"/>
        </w:rPr>
        <w:t>建设单位提供的</w:t>
      </w:r>
      <w:r>
        <w:rPr>
          <w:rFonts w:hint="eastAsia" w:ascii="宋体" w:hAnsi="宋体"/>
          <w:color w:val="auto"/>
          <w:sz w:val="24"/>
          <w:lang w:val="en-US" w:eastAsia="zh-CN"/>
        </w:rPr>
        <w:t>由</w:t>
      </w:r>
      <w:r>
        <w:rPr>
          <w:rFonts w:hint="eastAsia" w:ascii="宋体" w:hAnsi="宋体"/>
          <w:strike w:val="0"/>
          <w:dstrike w:val="0"/>
          <w:color w:val="auto"/>
          <w:sz w:val="24"/>
          <w:highlight w:val="none"/>
          <w:lang w:val="en-US" w:eastAsia="zh-CN"/>
        </w:rPr>
        <w:t>宁波理工建筑设计研究院</w:t>
      </w:r>
      <w:r>
        <w:rPr>
          <w:rFonts w:hint="eastAsia" w:ascii="宋体" w:hAnsi="宋体"/>
          <w:strike w:val="0"/>
          <w:dstrike w:val="0"/>
          <w:color w:val="auto"/>
          <w:sz w:val="24"/>
          <w:highlight w:val="none"/>
          <w:lang w:eastAsia="zh-CN"/>
        </w:rPr>
        <w:t>有限公司</w:t>
      </w:r>
      <w:r>
        <w:rPr>
          <w:rFonts w:hint="eastAsia" w:ascii="宋体" w:hAnsi="宋体"/>
          <w:strike w:val="0"/>
          <w:dstrike w:val="0"/>
          <w:color w:val="auto"/>
          <w:sz w:val="24"/>
          <w:highlight w:val="none"/>
        </w:rPr>
        <w:t>设计的</w:t>
      </w:r>
      <w:r>
        <w:rPr>
          <w:rFonts w:hint="eastAsia" w:ascii="宋体" w:hAnsi="宋体"/>
          <w:strike w:val="0"/>
          <w:dstrike w:val="0"/>
          <w:color w:val="auto"/>
          <w:sz w:val="24"/>
          <w:highlight w:val="none"/>
          <w:lang w:val="en-US" w:eastAsia="zh-CN"/>
        </w:rPr>
        <w:t>宁波市效实中学（白杨校区）田径场维修工程施工</w:t>
      </w:r>
      <w:r>
        <w:rPr>
          <w:rFonts w:hint="eastAsia" w:ascii="宋体" w:hAnsi="宋体"/>
          <w:strike w:val="0"/>
          <w:dstrike w:val="0"/>
          <w:color w:val="auto"/>
          <w:sz w:val="24"/>
          <w:highlight w:val="none"/>
          <w:lang w:eastAsia="zh-CN"/>
        </w:rPr>
        <w:t>图纸；</w:t>
      </w:r>
    </w:p>
    <w:p w14:paraId="1A144CF1">
      <w:pPr>
        <w:numPr>
          <w:ilvl w:val="0"/>
          <w:numId w:val="2"/>
        </w:numPr>
        <w:tabs>
          <w:tab w:val="left" w:pos="360"/>
          <w:tab w:val="left" w:pos="900"/>
          <w:tab w:val="left" w:pos="1236"/>
          <w:tab w:val="left" w:pos="9180"/>
          <w:tab w:val="left" w:pos="9360"/>
          <w:tab w:val="clear" w:pos="1350"/>
        </w:tabs>
        <w:spacing w:line="360" w:lineRule="auto"/>
        <w:ind w:left="0" w:right="25" w:rightChars="12" w:firstLine="540"/>
        <w:rPr>
          <w:rFonts w:hint="eastAsia" w:ascii="宋体" w:hAnsi="宋体"/>
          <w:color w:val="auto"/>
          <w:sz w:val="24"/>
        </w:rPr>
      </w:pPr>
      <w:r>
        <w:rPr>
          <w:rFonts w:hint="eastAsia" w:ascii="宋体" w:hAnsi="宋体"/>
          <w:color w:val="auto"/>
          <w:sz w:val="24"/>
        </w:rPr>
        <w:t>建设单位提供的</w:t>
      </w:r>
      <w:r>
        <w:rPr>
          <w:rFonts w:hint="eastAsia" w:ascii="宋体" w:hAnsi="宋体"/>
          <w:strike w:val="0"/>
          <w:dstrike w:val="0"/>
          <w:color w:val="auto"/>
          <w:sz w:val="24"/>
          <w:highlight w:val="none"/>
          <w:lang w:val="en-US" w:eastAsia="zh-CN"/>
        </w:rPr>
        <w:t>招标文件等资料</w:t>
      </w:r>
      <w:r>
        <w:rPr>
          <w:rFonts w:hint="eastAsia" w:ascii="宋体" w:hAnsi="宋体"/>
          <w:strike w:val="0"/>
          <w:dstrike w:val="0"/>
          <w:color w:val="auto"/>
          <w:sz w:val="24"/>
          <w:highlight w:val="none"/>
        </w:rPr>
        <w:t>。</w:t>
      </w:r>
    </w:p>
    <w:p w14:paraId="3A49E1DA">
      <w:pPr>
        <w:numPr>
          <w:ilvl w:val="0"/>
          <w:numId w:val="2"/>
        </w:numPr>
        <w:tabs>
          <w:tab w:val="left" w:pos="360"/>
          <w:tab w:val="left" w:pos="900"/>
          <w:tab w:val="left" w:pos="1236"/>
          <w:tab w:val="left" w:pos="9180"/>
          <w:tab w:val="left" w:pos="9360"/>
          <w:tab w:val="clear" w:pos="1350"/>
        </w:tabs>
        <w:spacing w:line="360" w:lineRule="auto"/>
        <w:ind w:left="0" w:right="25" w:rightChars="12" w:firstLine="540"/>
        <w:rPr>
          <w:rFonts w:hint="eastAsia" w:ascii="宋体" w:hAnsi="宋体"/>
          <w:color w:val="auto"/>
          <w:sz w:val="24"/>
        </w:rPr>
      </w:pPr>
      <w:r>
        <w:rPr>
          <w:rFonts w:ascii="宋体" w:hAnsi="宋体"/>
          <w:color w:val="auto"/>
          <w:sz w:val="24"/>
        </w:rPr>
        <w:t>《建设工程工程量清单计价规范》</w:t>
      </w:r>
      <w:r>
        <w:rPr>
          <w:rFonts w:hint="eastAsia" w:ascii="宋体" w:hAnsi="宋体"/>
          <w:color w:val="auto"/>
          <w:sz w:val="24"/>
        </w:rPr>
        <w:t>(</w:t>
      </w:r>
      <w:r>
        <w:rPr>
          <w:rFonts w:ascii="宋体" w:hAnsi="宋体"/>
          <w:color w:val="auto"/>
          <w:sz w:val="24"/>
        </w:rPr>
        <w:t>GB50500-2013</w:t>
      </w:r>
      <w:r>
        <w:rPr>
          <w:rFonts w:hint="eastAsia" w:ascii="宋体" w:hAnsi="宋体"/>
          <w:color w:val="auto"/>
          <w:sz w:val="24"/>
        </w:rPr>
        <w:t>)、《工程工程量计算规范》(</w:t>
      </w:r>
      <w:r>
        <w:rPr>
          <w:rFonts w:ascii="宋体" w:hAnsi="宋体"/>
          <w:color w:val="auto"/>
          <w:sz w:val="24"/>
        </w:rPr>
        <w:t>GB50857-2013</w:t>
      </w:r>
      <w:r>
        <w:rPr>
          <w:rFonts w:hint="eastAsia" w:ascii="宋体" w:hAnsi="宋体"/>
          <w:color w:val="auto"/>
          <w:sz w:val="24"/>
        </w:rPr>
        <w:t>)各专业</w:t>
      </w:r>
      <w:r>
        <w:rPr>
          <w:rFonts w:ascii="宋体" w:hAnsi="宋体"/>
          <w:color w:val="auto"/>
          <w:sz w:val="24"/>
        </w:rPr>
        <w:t>、《浙江省建设工程计价规则》</w:t>
      </w:r>
      <w:r>
        <w:rPr>
          <w:rFonts w:hint="eastAsia" w:ascii="宋体" w:hAnsi="宋体"/>
          <w:color w:val="auto"/>
          <w:sz w:val="24"/>
        </w:rPr>
        <w:t>(</w:t>
      </w:r>
      <w:r>
        <w:rPr>
          <w:rFonts w:ascii="宋体" w:hAnsi="宋体"/>
          <w:color w:val="auto"/>
          <w:sz w:val="24"/>
        </w:rPr>
        <w:t>201</w:t>
      </w:r>
      <w:r>
        <w:rPr>
          <w:rFonts w:hint="eastAsia" w:ascii="宋体" w:hAnsi="宋体"/>
          <w:color w:val="auto"/>
          <w:sz w:val="24"/>
        </w:rPr>
        <w:t>8</w:t>
      </w:r>
      <w:r>
        <w:rPr>
          <w:rFonts w:ascii="宋体" w:hAnsi="宋体"/>
          <w:color w:val="auto"/>
          <w:sz w:val="24"/>
        </w:rPr>
        <w:t>版</w:t>
      </w:r>
      <w:r>
        <w:rPr>
          <w:rFonts w:hint="eastAsia" w:ascii="宋体" w:hAnsi="宋体"/>
          <w:color w:val="auto"/>
          <w:sz w:val="24"/>
        </w:rPr>
        <w:t>) 、《建设工程工程量清单计算规范（2013）浙江省补充规定（一、二）》（</w:t>
      </w:r>
      <w:r>
        <w:rPr>
          <w:rFonts w:hint="eastAsia" w:ascii="宋体" w:hAnsi="宋体" w:cs="宋体"/>
          <w:color w:val="auto"/>
          <w:kern w:val="0"/>
          <w:sz w:val="24"/>
          <w:lang w:val="zh-CN"/>
        </w:rPr>
        <w:t>浙建站计</w:t>
      </w:r>
      <w:r>
        <w:rPr>
          <w:rFonts w:hint="eastAsia" w:ascii="宋体" w:hAnsi="宋体"/>
          <w:color w:val="auto"/>
          <w:sz w:val="24"/>
        </w:rPr>
        <w:t>[</w:t>
      </w:r>
      <w:r>
        <w:rPr>
          <w:rFonts w:hint="eastAsia" w:ascii="宋体" w:hAnsi="宋体" w:cs="宋体"/>
          <w:color w:val="auto"/>
          <w:kern w:val="0"/>
          <w:sz w:val="24"/>
          <w:lang w:val="zh-CN"/>
        </w:rPr>
        <w:t>2013</w:t>
      </w:r>
      <w:r>
        <w:rPr>
          <w:rFonts w:hint="eastAsia" w:ascii="宋体" w:hAnsi="宋体"/>
          <w:color w:val="auto"/>
          <w:sz w:val="24"/>
        </w:rPr>
        <w:t>]</w:t>
      </w:r>
      <w:r>
        <w:rPr>
          <w:rFonts w:hint="eastAsia" w:ascii="宋体" w:hAnsi="宋体" w:cs="宋体"/>
          <w:color w:val="auto"/>
          <w:kern w:val="0"/>
          <w:sz w:val="24"/>
          <w:lang w:val="zh-CN"/>
        </w:rPr>
        <w:t>63号</w:t>
      </w:r>
      <w:r>
        <w:rPr>
          <w:rFonts w:hint="eastAsia" w:ascii="宋体" w:hAnsi="宋体"/>
          <w:color w:val="auto"/>
          <w:sz w:val="24"/>
        </w:rPr>
        <w:t>、浙建站计[2014]31号) 及省市建设和造价管理机构颁发的有关文件。</w:t>
      </w:r>
    </w:p>
    <w:p w14:paraId="63F47F98">
      <w:pPr>
        <w:numPr>
          <w:ilvl w:val="0"/>
          <w:numId w:val="2"/>
        </w:numPr>
        <w:tabs>
          <w:tab w:val="left" w:pos="360"/>
          <w:tab w:val="left" w:pos="900"/>
          <w:tab w:val="left" w:pos="9180"/>
          <w:tab w:val="left" w:pos="9360"/>
        </w:tabs>
        <w:spacing w:line="360" w:lineRule="auto"/>
        <w:ind w:left="0" w:right="25" w:rightChars="12" w:firstLine="540"/>
        <w:rPr>
          <w:rFonts w:hint="eastAsia" w:ascii="宋体" w:hAnsi="宋体"/>
          <w:color w:val="auto"/>
          <w:sz w:val="24"/>
          <w:highlight w:val="none"/>
        </w:rPr>
      </w:pPr>
      <w:r>
        <w:rPr>
          <w:rFonts w:ascii="宋体" w:hAnsi="宋体"/>
          <w:color w:val="auto"/>
          <w:sz w:val="24"/>
          <w:highlight w:val="none"/>
        </w:rPr>
        <w:t>《浙江省</w:t>
      </w:r>
      <w:r>
        <w:rPr>
          <w:rFonts w:hint="eastAsia" w:ascii="宋体" w:hAnsi="宋体"/>
          <w:color w:val="auto"/>
          <w:sz w:val="24"/>
          <w:highlight w:val="none"/>
        </w:rPr>
        <w:t>房屋建筑与装饰</w:t>
      </w:r>
      <w:r>
        <w:rPr>
          <w:rFonts w:ascii="宋体" w:hAnsi="宋体"/>
          <w:color w:val="auto"/>
          <w:sz w:val="24"/>
          <w:highlight w:val="none"/>
        </w:rPr>
        <w:t>工程预算定额》</w:t>
      </w:r>
      <w:r>
        <w:rPr>
          <w:rFonts w:hint="eastAsia" w:ascii="宋体" w:hAnsi="宋体"/>
          <w:color w:val="auto"/>
          <w:sz w:val="24"/>
          <w:highlight w:val="none"/>
        </w:rPr>
        <w:t>(</w:t>
      </w:r>
      <w:r>
        <w:rPr>
          <w:rFonts w:ascii="宋体" w:hAnsi="宋体"/>
          <w:color w:val="auto"/>
          <w:sz w:val="24"/>
          <w:highlight w:val="none"/>
        </w:rPr>
        <w:t>201</w:t>
      </w:r>
      <w:r>
        <w:rPr>
          <w:rFonts w:hint="eastAsia" w:ascii="宋体" w:hAnsi="宋体"/>
          <w:color w:val="auto"/>
          <w:sz w:val="24"/>
          <w:highlight w:val="none"/>
        </w:rPr>
        <w:t>8</w:t>
      </w:r>
      <w:r>
        <w:rPr>
          <w:rFonts w:ascii="宋体" w:hAnsi="宋体"/>
          <w:color w:val="auto"/>
          <w:sz w:val="24"/>
          <w:highlight w:val="none"/>
        </w:rPr>
        <w:t>版</w:t>
      </w:r>
      <w:r>
        <w:rPr>
          <w:rFonts w:hint="eastAsia" w:ascii="宋体" w:hAnsi="宋体"/>
          <w:color w:val="auto"/>
          <w:sz w:val="24"/>
          <w:highlight w:val="none"/>
        </w:rPr>
        <w:t>)</w:t>
      </w:r>
      <w:r>
        <w:rPr>
          <w:rFonts w:ascii="宋体" w:hAnsi="宋体"/>
          <w:color w:val="auto"/>
          <w:sz w:val="24"/>
          <w:highlight w:val="none"/>
        </w:rPr>
        <w:t>、《浙江省</w:t>
      </w:r>
      <w:r>
        <w:rPr>
          <w:rFonts w:hint="eastAsia" w:ascii="宋体" w:hAnsi="宋体"/>
          <w:color w:val="auto"/>
          <w:sz w:val="24"/>
          <w:highlight w:val="none"/>
        </w:rPr>
        <w:t>通用安装</w:t>
      </w:r>
      <w:r>
        <w:rPr>
          <w:rFonts w:ascii="宋体" w:hAnsi="宋体"/>
          <w:color w:val="auto"/>
          <w:sz w:val="24"/>
          <w:highlight w:val="none"/>
        </w:rPr>
        <w:t>工程预算定额》</w:t>
      </w:r>
      <w:r>
        <w:rPr>
          <w:rFonts w:hint="eastAsia" w:ascii="宋体" w:hAnsi="宋体"/>
          <w:color w:val="auto"/>
          <w:sz w:val="24"/>
          <w:highlight w:val="none"/>
        </w:rPr>
        <w:t>(</w:t>
      </w:r>
      <w:r>
        <w:rPr>
          <w:rFonts w:ascii="宋体" w:hAnsi="宋体"/>
          <w:color w:val="auto"/>
          <w:sz w:val="24"/>
          <w:highlight w:val="none"/>
        </w:rPr>
        <w:t>201</w:t>
      </w:r>
      <w:r>
        <w:rPr>
          <w:rFonts w:hint="eastAsia" w:ascii="宋体" w:hAnsi="宋体"/>
          <w:color w:val="auto"/>
          <w:sz w:val="24"/>
          <w:highlight w:val="none"/>
        </w:rPr>
        <w:t>8</w:t>
      </w:r>
      <w:r>
        <w:rPr>
          <w:rFonts w:ascii="宋体" w:hAnsi="宋体"/>
          <w:color w:val="auto"/>
          <w:sz w:val="24"/>
          <w:highlight w:val="none"/>
        </w:rPr>
        <w:t>版</w:t>
      </w:r>
      <w:r>
        <w:rPr>
          <w:rFonts w:hint="eastAsia" w:ascii="宋体" w:hAnsi="宋体"/>
          <w:color w:val="auto"/>
          <w:sz w:val="24"/>
          <w:highlight w:val="none"/>
        </w:rPr>
        <w:t>)</w:t>
      </w:r>
      <w:r>
        <w:rPr>
          <w:rFonts w:ascii="宋体" w:hAnsi="宋体"/>
          <w:color w:val="auto"/>
          <w:sz w:val="24"/>
          <w:highlight w:val="none"/>
        </w:rPr>
        <w:t>、《浙江省</w:t>
      </w:r>
      <w:r>
        <w:rPr>
          <w:rFonts w:hint="eastAsia" w:ascii="宋体" w:hAnsi="宋体"/>
          <w:color w:val="auto"/>
          <w:sz w:val="24"/>
          <w:highlight w:val="none"/>
        </w:rPr>
        <w:t>市政</w:t>
      </w:r>
      <w:r>
        <w:rPr>
          <w:rFonts w:ascii="宋体" w:hAnsi="宋体"/>
          <w:color w:val="auto"/>
          <w:sz w:val="24"/>
          <w:highlight w:val="none"/>
        </w:rPr>
        <w:t>工程预算定额》</w:t>
      </w:r>
      <w:r>
        <w:rPr>
          <w:rFonts w:hint="eastAsia" w:ascii="宋体" w:hAnsi="宋体"/>
          <w:color w:val="auto"/>
          <w:sz w:val="24"/>
          <w:highlight w:val="none"/>
        </w:rPr>
        <w:t>(</w:t>
      </w:r>
      <w:r>
        <w:rPr>
          <w:rFonts w:ascii="宋体" w:hAnsi="宋体"/>
          <w:color w:val="auto"/>
          <w:sz w:val="24"/>
          <w:highlight w:val="none"/>
        </w:rPr>
        <w:t>201</w:t>
      </w:r>
      <w:r>
        <w:rPr>
          <w:rFonts w:hint="eastAsia" w:ascii="宋体" w:hAnsi="宋体"/>
          <w:color w:val="auto"/>
          <w:sz w:val="24"/>
          <w:highlight w:val="none"/>
        </w:rPr>
        <w:t>8</w:t>
      </w:r>
      <w:r>
        <w:rPr>
          <w:rFonts w:ascii="宋体" w:hAnsi="宋体"/>
          <w:color w:val="auto"/>
          <w:sz w:val="24"/>
          <w:highlight w:val="none"/>
        </w:rPr>
        <w:t>版</w:t>
      </w:r>
      <w:r>
        <w:rPr>
          <w:rFonts w:hint="eastAsia" w:ascii="宋体" w:hAnsi="宋体"/>
          <w:color w:val="auto"/>
          <w:sz w:val="24"/>
          <w:highlight w:val="none"/>
        </w:rPr>
        <w:t>)</w:t>
      </w:r>
      <w:r>
        <w:rPr>
          <w:rFonts w:ascii="宋体" w:hAnsi="宋体"/>
          <w:color w:val="auto"/>
          <w:sz w:val="24"/>
          <w:highlight w:val="none"/>
        </w:rPr>
        <w:t>、《浙江省</w:t>
      </w:r>
      <w:r>
        <w:rPr>
          <w:rFonts w:hint="eastAsia" w:ascii="宋体" w:hAnsi="宋体"/>
          <w:color w:val="auto"/>
          <w:sz w:val="24"/>
          <w:highlight w:val="none"/>
        </w:rPr>
        <w:t>园林绿化及仿古建筑</w:t>
      </w:r>
      <w:r>
        <w:rPr>
          <w:rFonts w:ascii="宋体" w:hAnsi="宋体"/>
          <w:color w:val="auto"/>
          <w:sz w:val="24"/>
          <w:highlight w:val="none"/>
        </w:rPr>
        <w:t>工程预算定额》</w:t>
      </w:r>
      <w:r>
        <w:rPr>
          <w:rFonts w:hint="eastAsia" w:ascii="宋体" w:hAnsi="宋体"/>
          <w:color w:val="auto"/>
          <w:sz w:val="24"/>
          <w:highlight w:val="none"/>
        </w:rPr>
        <w:t>(</w:t>
      </w:r>
      <w:r>
        <w:rPr>
          <w:rFonts w:ascii="宋体" w:hAnsi="宋体"/>
          <w:color w:val="auto"/>
          <w:sz w:val="24"/>
          <w:highlight w:val="none"/>
        </w:rPr>
        <w:t>201</w:t>
      </w:r>
      <w:r>
        <w:rPr>
          <w:rFonts w:hint="eastAsia" w:ascii="宋体" w:hAnsi="宋体"/>
          <w:color w:val="auto"/>
          <w:sz w:val="24"/>
          <w:highlight w:val="none"/>
        </w:rPr>
        <w:t>8</w:t>
      </w:r>
      <w:r>
        <w:rPr>
          <w:rFonts w:ascii="宋体" w:hAnsi="宋体"/>
          <w:color w:val="auto"/>
          <w:sz w:val="24"/>
          <w:highlight w:val="none"/>
        </w:rPr>
        <w:t>版</w:t>
      </w:r>
      <w:r>
        <w:rPr>
          <w:rFonts w:hint="eastAsia" w:ascii="宋体" w:hAnsi="宋体"/>
          <w:color w:val="auto"/>
          <w:sz w:val="24"/>
          <w:highlight w:val="none"/>
        </w:rPr>
        <w:t>)</w:t>
      </w:r>
      <w:r>
        <w:rPr>
          <w:rFonts w:ascii="宋体" w:hAnsi="宋体"/>
          <w:color w:val="auto"/>
          <w:sz w:val="24"/>
          <w:highlight w:val="none"/>
        </w:rPr>
        <w:t>、《浙江省</w:t>
      </w:r>
      <w:r>
        <w:rPr>
          <w:rFonts w:hint="eastAsia" w:ascii="宋体" w:hAnsi="宋体"/>
          <w:color w:val="auto"/>
          <w:sz w:val="24"/>
          <w:highlight w:val="none"/>
        </w:rPr>
        <w:t>施工机械台班费用定额</w:t>
      </w:r>
      <w:r>
        <w:rPr>
          <w:rFonts w:ascii="宋体" w:hAnsi="宋体"/>
          <w:color w:val="auto"/>
          <w:sz w:val="24"/>
          <w:highlight w:val="none"/>
        </w:rPr>
        <w:t>》</w:t>
      </w:r>
      <w:r>
        <w:rPr>
          <w:rFonts w:hint="eastAsia" w:ascii="宋体" w:hAnsi="宋体"/>
          <w:color w:val="auto"/>
          <w:sz w:val="24"/>
          <w:highlight w:val="none"/>
        </w:rPr>
        <w:t>(</w:t>
      </w:r>
      <w:r>
        <w:rPr>
          <w:rFonts w:ascii="宋体" w:hAnsi="宋体"/>
          <w:color w:val="auto"/>
          <w:sz w:val="24"/>
          <w:highlight w:val="none"/>
        </w:rPr>
        <w:t>201</w:t>
      </w:r>
      <w:r>
        <w:rPr>
          <w:rFonts w:hint="eastAsia" w:ascii="宋体" w:hAnsi="宋体"/>
          <w:color w:val="auto"/>
          <w:sz w:val="24"/>
          <w:highlight w:val="none"/>
        </w:rPr>
        <w:t>8</w:t>
      </w:r>
      <w:r>
        <w:rPr>
          <w:rFonts w:ascii="宋体" w:hAnsi="宋体"/>
          <w:color w:val="auto"/>
          <w:sz w:val="24"/>
          <w:highlight w:val="none"/>
        </w:rPr>
        <w:t>版</w:t>
      </w:r>
      <w:r>
        <w:rPr>
          <w:rFonts w:hint="eastAsia" w:ascii="宋体" w:hAnsi="宋体"/>
          <w:color w:val="auto"/>
          <w:sz w:val="24"/>
          <w:highlight w:val="none"/>
        </w:rPr>
        <w:t>)及省市建设和造价管理机构颁发的有关文件</w:t>
      </w:r>
      <w:r>
        <w:rPr>
          <w:rFonts w:ascii="宋体" w:hAnsi="宋体"/>
          <w:color w:val="auto"/>
          <w:sz w:val="24"/>
          <w:highlight w:val="none"/>
        </w:rPr>
        <w:t>。</w:t>
      </w:r>
    </w:p>
    <w:p w14:paraId="4E9A2CE2">
      <w:pPr>
        <w:numPr>
          <w:ilvl w:val="0"/>
          <w:numId w:val="2"/>
        </w:numPr>
        <w:tabs>
          <w:tab w:val="left" w:pos="360"/>
          <w:tab w:val="left" w:pos="900"/>
          <w:tab w:val="left" w:pos="1080"/>
          <w:tab w:val="left" w:pos="1260"/>
          <w:tab w:val="left" w:pos="9180"/>
          <w:tab w:val="left" w:pos="9360"/>
          <w:tab w:val="clear" w:pos="1350"/>
        </w:tabs>
        <w:spacing w:line="360" w:lineRule="auto"/>
        <w:ind w:left="0" w:right="25" w:rightChars="12" w:firstLine="54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相关技术标准、标准图集与验收规范</w:t>
      </w:r>
      <w:r>
        <w:rPr>
          <w:rFonts w:hint="eastAsia" w:ascii="宋体" w:hAnsi="宋体" w:eastAsia="宋体" w:cs="Times New Roman"/>
          <w:color w:val="auto"/>
          <w:sz w:val="24"/>
          <w:highlight w:val="none"/>
          <w:lang w:eastAsia="zh-CN"/>
        </w:rPr>
        <w:t>。</w:t>
      </w:r>
    </w:p>
    <w:p w14:paraId="3A988E8D">
      <w:pPr>
        <w:numPr>
          <w:ilvl w:val="0"/>
          <w:numId w:val="2"/>
        </w:numPr>
        <w:tabs>
          <w:tab w:val="left" w:pos="360"/>
          <w:tab w:val="left" w:pos="900"/>
          <w:tab w:val="left" w:pos="1080"/>
          <w:tab w:val="left" w:pos="1260"/>
          <w:tab w:val="left" w:pos="9180"/>
          <w:tab w:val="left" w:pos="9360"/>
          <w:tab w:val="clear" w:pos="1350"/>
        </w:tabs>
        <w:spacing w:line="360" w:lineRule="auto"/>
        <w:ind w:left="0" w:right="25" w:rightChars="12" w:firstLine="54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省、市</w:t>
      </w:r>
      <w:r>
        <w:rPr>
          <w:rFonts w:hint="eastAsia" w:ascii="宋体" w:hAnsi="宋体" w:eastAsia="宋体" w:cs="Times New Roman"/>
          <w:color w:val="auto"/>
          <w:sz w:val="24"/>
          <w:highlight w:val="none"/>
          <w:lang w:val="en-US" w:eastAsia="zh-CN"/>
        </w:rPr>
        <w:t>现行</w:t>
      </w:r>
      <w:r>
        <w:rPr>
          <w:rFonts w:hint="eastAsia" w:ascii="宋体" w:hAnsi="宋体" w:eastAsia="宋体" w:cs="Times New Roman"/>
          <w:color w:val="auto"/>
          <w:sz w:val="24"/>
          <w:highlight w:val="none"/>
        </w:rPr>
        <w:t>有关文件规定</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解释及补充定额等。</w:t>
      </w:r>
    </w:p>
    <w:p w14:paraId="6382DD57">
      <w:pPr>
        <w:numPr>
          <w:ilvl w:val="0"/>
          <w:numId w:val="2"/>
        </w:numPr>
        <w:tabs>
          <w:tab w:val="left" w:pos="360"/>
          <w:tab w:val="left" w:pos="900"/>
          <w:tab w:val="left" w:pos="1080"/>
          <w:tab w:val="left" w:pos="1260"/>
          <w:tab w:val="left" w:pos="9180"/>
          <w:tab w:val="left" w:pos="9360"/>
          <w:tab w:val="clear" w:pos="1350"/>
        </w:tabs>
        <w:spacing w:line="360" w:lineRule="auto"/>
        <w:ind w:left="0" w:right="25" w:rightChars="12" w:firstLine="54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委托方</w:t>
      </w:r>
      <w:r>
        <w:rPr>
          <w:rFonts w:hint="eastAsia" w:ascii="宋体" w:hAnsi="宋体" w:eastAsia="宋体" w:cs="Times New Roman"/>
          <w:color w:val="auto"/>
          <w:sz w:val="24"/>
          <w:highlight w:val="none"/>
          <w:lang w:val="en-US" w:eastAsia="zh-CN"/>
        </w:rPr>
        <w:t>关于招标控制价编制的相关</w:t>
      </w:r>
      <w:r>
        <w:rPr>
          <w:rFonts w:hint="eastAsia" w:ascii="宋体" w:hAnsi="宋体" w:eastAsia="宋体" w:cs="Times New Roman"/>
          <w:color w:val="auto"/>
          <w:sz w:val="24"/>
          <w:highlight w:val="none"/>
        </w:rPr>
        <w:t>要求。</w:t>
      </w:r>
    </w:p>
    <w:p w14:paraId="3D4C51C5">
      <w:pPr>
        <w:numPr>
          <w:ilvl w:val="0"/>
          <w:numId w:val="1"/>
        </w:numPr>
        <w:tabs>
          <w:tab w:val="left" w:pos="764"/>
          <w:tab w:val="left" w:pos="1080"/>
          <w:tab w:val="left" w:pos="9180"/>
          <w:tab w:val="left" w:pos="9360"/>
        </w:tabs>
        <w:spacing w:line="360" w:lineRule="auto"/>
        <w:ind w:right="25" w:rightChars="12"/>
        <w:outlineLvl w:val="0"/>
        <w:rPr>
          <w:rFonts w:ascii="宋体" w:hAnsi="宋体"/>
          <w:b/>
          <w:color w:val="auto"/>
          <w:sz w:val="24"/>
        </w:rPr>
      </w:pPr>
      <w:r>
        <w:rPr>
          <w:rFonts w:hint="eastAsia" w:ascii="宋体" w:hAnsi="宋体"/>
          <w:b/>
          <w:color w:val="auto"/>
          <w:sz w:val="24"/>
        </w:rPr>
        <w:t>编制原则及办法</w:t>
      </w:r>
    </w:p>
    <w:p w14:paraId="5C585F17">
      <w:pPr>
        <w:numPr>
          <w:ilvl w:val="0"/>
          <w:numId w:val="3"/>
        </w:numPr>
        <w:tabs>
          <w:tab w:val="left" w:pos="840"/>
          <w:tab w:val="left" w:pos="9180"/>
          <w:tab w:val="left" w:pos="9360"/>
        </w:tabs>
        <w:spacing w:line="360" w:lineRule="auto"/>
        <w:ind w:left="0" w:leftChars="0" w:right="25" w:rightChars="12" w:firstLine="480" w:firstLineChars="0"/>
        <w:rPr>
          <w:rFonts w:hint="eastAsia" w:ascii="宋体" w:hAnsi="宋体"/>
          <w:color w:val="auto"/>
          <w:sz w:val="24"/>
        </w:rPr>
      </w:pPr>
      <w:r>
        <w:rPr>
          <w:rFonts w:hint="eastAsia" w:ascii="宋体" w:hAnsi="宋体"/>
          <w:color w:val="auto"/>
          <w:sz w:val="24"/>
        </w:rPr>
        <w:t>编制方法：采用</w:t>
      </w:r>
      <w:r>
        <w:rPr>
          <w:rFonts w:hint="eastAsia" w:ascii="宋体" w:hAnsi="宋体"/>
          <w:color w:val="auto"/>
          <w:sz w:val="24"/>
          <w:lang w:val="en-US" w:eastAsia="zh-CN"/>
        </w:rPr>
        <w:t>国标清单计价法</w:t>
      </w:r>
      <w:r>
        <w:rPr>
          <w:rFonts w:hint="eastAsia" w:ascii="宋体" w:hAnsi="宋体"/>
          <w:color w:val="auto"/>
          <w:sz w:val="24"/>
        </w:rPr>
        <w:t>。</w:t>
      </w:r>
    </w:p>
    <w:p w14:paraId="4C86CCC3">
      <w:pPr>
        <w:numPr>
          <w:ilvl w:val="0"/>
          <w:numId w:val="3"/>
        </w:numPr>
        <w:tabs>
          <w:tab w:val="left" w:pos="840"/>
          <w:tab w:val="left" w:pos="9180"/>
          <w:tab w:val="left" w:pos="9360"/>
        </w:tabs>
        <w:spacing w:line="360" w:lineRule="auto"/>
        <w:ind w:left="0" w:leftChars="0" w:right="25" w:rightChars="12" w:firstLine="480" w:firstLineChars="0"/>
        <w:rPr>
          <w:rFonts w:hint="eastAsia" w:ascii="宋体" w:hAnsi="宋体"/>
          <w:color w:val="auto"/>
          <w:sz w:val="24"/>
        </w:rPr>
      </w:pPr>
      <w:r>
        <w:rPr>
          <w:rFonts w:hint="eastAsia" w:ascii="宋体" w:hAnsi="宋体"/>
          <w:color w:val="auto"/>
          <w:sz w:val="24"/>
        </w:rPr>
        <w:t>工程量：根据建设单位提供的施工图结合计算规则计算。</w:t>
      </w:r>
    </w:p>
    <w:p w14:paraId="63936DB7">
      <w:pPr>
        <w:numPr>
          <w:ilvl w:val="0"/>
          <w:numId w:val="0"/>
        </w:numPr>
        <w:autoSpaceDE w:val="0"/>
        <w:autoSpaceDN w:val="0"/>
        <w:adjustRightInd w:val="0"/>
        <w:spacing w:line="480" w:lineRule="exact"/>
        <w:ind w:left="210" w:leftChars="0" w:firstLine="240" w:firstLineChars="100"/>
        <w:jc w:val="left"/>
        <w:rPr>
          <w:rFonts w:hint="eastAsia" w:ascii="宋体" w:hAnsi="宋体" w:cs="宋体"/>
          <w:color w:val="auto"/>
          <w:sz w:val="24"/>
          <w:lang w:val="en-US" w:eastAsia="zh-CN"/>
        </w:rPr>
      </w:pPr>
      <w:r>
        <w:rPr>
          <w:rFonts w:hint="eastAsia" w:ascii="宋体" w:hAnsi="宋体" w:cs="宋体"/>
          <w:color w:val="auto"/>
          <w:sz w:val="24"/>
          <w:lang w:val="en-US" w:eastAsia="zh-CN"/>
        </w:rPr>
        <w:t>3、</w:t>
      </w:r>
      <w:r>
        <w:rPr>
          <w:rFonts w:ascii="宋体" w:hAnsi="宋体" w:cs="宋体"/>
          <w:color w:val="auto"/>
          <w:sz w:val="24"/>
        </w:rPr>
        <w:t>规费按相应专业工程的规费费率的30%计取</w:t>
      </w:r>
      <w:r>
        <w:rPr>
          <w:rFonts w:hint="eastAsia" w:ascii="宋体" w:hAnsi="宋体" w:cs="宋体"/>
          <w:color w:val="auto"/>
          <w:sz w:val="24"/>
          <w:lang w:eastAsia="zh-CN"/>
        </w:rPr>
        <w:t>。</w:t>
      </w:r>
    </w:p>
    <w:p w14:paraId="244915FC">
      <w:pPr>
        <w:numPr>
          <w:ilvl w:val="0"/>
          <w:numId w:val="0"/>
        </w:numPr>
        <w:autoSpaceDE w:val="0"/>
        <w:autoSpaceDN w:val="0"/>
        <w:adjustRightInd w:val="0"/>
        <w:spacing w:line="480" w:lineRule="exact"/>
        <w:ind w:left="210" w:leftChars="0" w:firstLine="240" w:firstLineChars="100"/>
        <w:jc w:val="left"/>
        <w:rPr>
          <w:rFonts w:hint="eastAsia" w:ascii="宋体" w:hAnsi="宋体" w:cs="宋体"/>
          <w:color w:val="auto"/>
          <w:sz w:val="24"/>
          <w:lang w:eastAsia="zh-CN"/>
        </w:rPr>
      </w:pPr>
      <w:r>
        <w:rPr>
          <w:rFonts w:hint="eastAsia" w:ascii="宋体" w:hAnsi="宋体" w:cs="宋体"/>
          <w:color w:val="auto"/>
          <w:sz w:val="24"/>
          <w:lang w:val="en-US" w:eastAsia="zh-CN"/>
        </w:rPr>
        <w:t>4、</w:t>
      </w:r>
      <w:r>
        <w:rPr>
          <w:rFonts w:ascii="宋体" w:hAnsi="宋体" w:cs="宋体"/>
          <w:color w:val="auto"/>
          <w:sz w:val="24"/>
        </w:rPr>
        <w:t>税金：按</w:t>
      </w:r>
      <w:r>
        <w:rPr>
          <w:rFonts w:hint="eastAsia" w:ascii="宋体" w:hAnsi="宋体" w:cs="宋体"/>
          <w:color w:val="auto"/>
          <w:sz w:val="24"/>
          <w:lang w:eastAsia="zh-CN"/>
        </w:rPr>
        <w:t>《</w:t>
      </w:r>
      <w:r>
        <w:rPr>
          <w:rFonts w:ascii="宋体" w:hAnsi="宋体" w:cs="宋体"/>
          <w:color w:val="auto"/>
          <w:sz w:val="24"/>
        </w:rPr>
        <w:t>浙建建发[2019]92号</w:t>
      </w:r>
      <w:r>
        <w:rPr>
          <w:rFonts w:hint="eastAsia" w:ascii="宋体" w:hAnsi="宋体" w:cs="宋体"/>
          <w:color w:val="auto"/>
          <w:sz w:val="24"/>
          <w:lang w:eastAsia="zh-CN"/>
        </w:rPr>
        <w:t>》</w:t>
      </w:r>
      <w:r>
        <w:rPr>
          <w:rFonts w:ascii="宋体" w:hAnsi="宋体" w:cs="宋体"/>
          <w:color w:val="auto"/>
          <w:sz w:val="24"/>
        </w:rPr>
        <w:t>文件规定，采用一般计税法，</w:t>
      </w:r>
      <w:r>
        <w:rPr>
          <w:rFonts w:ascii="宋体" w:hAnsi="宋体"/>
          <w:color w:val="auto"/>
          <w:sz w:val="24"/>
        </w:rPr>
        <w:t>税率</w:t>
      </w:r>
      <w:r>
        <w:rPr>
          <w:rFonts w:ascii="宋体" w:hAnsi="宋体" w:cs="宋体"/>
          <w:color w:val="auto"/>
          <w:sz w:val="24"/>
        </w:rPr>
        <w:t>为9%。</w:t>
      </w:r>
    </w:p>
    <w:p w14:paraId="747F6294">
      <w:pPr>
        <w:numPr>
          <w:ilvl w:val="0"/>
          <w:numId w:val="1"/>
        </w:numPr>
        <w:tabs>
          <w:tab w:val="left" w:pos="764"/>
          <w:tab w:val="left" w:pos="1080"/>
          <w:tab w:val="left" w:pos="9180"/>
          <w:tab w:val="left" w:pos="9360"/>
        </w:tabs>
        <w:spacing w:line="360" w:lineRule="auto"/>
        <w:ind w:right="25" w:rightChars="12"/>
        <w:outlineLvl w:val="0"/>
        <w:rPr>
          <w:rFonts w:hint="eastAsia" w:ascii="宋体" w:hAnsi="宋体"/>
          <w:b/>
          <w:bCs w:val="0"/>
          <w:color w:val="auto"/>
          <w:kern w:val="0"/>
          <w:sz w:val="24"/>
        </w:rPr>
      </w:pPr>
      <w:r>
        <w:rPr>
          <w:rFonts w:hint="eastAsia" w:ascii="宋体" w:hAnsi="宋体"/>
          <w:b/>
          <w:bCs w:val="0"/>
          <w:color w:val="auto"/>
          <w:sz w:val="24"/>
        </w:rPr>
        <w:t>有关事项说明</w:t>
      </w:r>
    </w:p>
    <w:p w14:paraId="1A28960D">
      <w:pPr>
        <w:numPr>
          <w:ilvl w:val="0"/>
          <w:numId w:val="4"/>
        </w:numPr>
        <w:tabs>
          <w:tab w:val="left" w:pos="764"/>
          <w:tab w:val="left" w:pos="1080"/>
          <w:tab w:val="left" w:pos="9180"/>
          <w:tab w:val="left" w:pos="9360"/>
        </w:tabs>
        <w:spacing w:line="360" w:lineRule="auto"/>
        <w:ind w:left="344" w:right="25" w:rightChars="12"/>
        <w:outlineLvl w:val="0"/>
        <w:rPr>
          <w:rFonts w:hint="eastAsia" w:ascii="宋体" w:hAnsi="宋体"/>
          <w:b/>
          <w:color w:val="auto"/>
          <w:sz w:val="24"/>
          <w:lang w:val="en-US" w:eastAsia="zh-CN"/>
        </w:rPr>
      </w:pPr>
      <w:r>
        <w:rPr>
          <w:rFonts w:hint="eastAsia" w:ascii="宋体" w:hAnsi="宋体"/>
          <w:b/>
          <w:color w:val="auto"/>
          <w:sz w:val="24"/>
          <w:lang w:val="en-US" w:eastAsia="zh-CN"/>
        </w:rPr>
        <w:t>通用部分</w:t>
      </w:r>
    </w:p>
    <w:p w14:paraId="05F7E856">
      <w:pPr>
        <w:tabs>
          <w:tab w:val="left" w:pos="764"/>
          <w:tab w:val="left" w:pos="1080"/>
          <w:tab w:val="left" w:pos="9180"/>
          <w:tab w:val="left" w:pos="9360"/>
        </w:tabs>
        <w:spacing w:line="360" w:lineRule="auto"/>
        <w:ind w:left="344" w:right="25" w:rightChars="12"/>
        <w:outlineLvl w:val="0"/>
        <w:rPr>
          <w:rFonts w:hint="eastAsia" w:ascii="宋体" w:hAnsi="宋体"/>
          <w:b/>
          <w:color w:val="auto"/>
          <w:sz w:val="24"/>
        </w:rPr>
      </w:pPr>
      <w:r>
        <w:rPr>
          <w:rFonts w:hint="eastAsia"/>
          <w:color w:val="auto"/>
          <w:lang w:val="en-US" w:eastAsia="zh-CN"/>
        </w:rPr>
        <w:t xml:space="preserve">  </w:t>
      </w:r>
      <w:r>
        <w:rPr>
          <w:rFonts w:hint="eastAsia" w:ascii="宋体" w:hAnsi="宋体" w:eastAsia="宋体" w:cs="宋体"/>
          <w:color w:val="auto"/>
          <w:sz w:val="24"/>
          <w:szCs w:val="24"/>
          <w:lang w:val="en-US" w:eastAsia="zh-CN"/>
        </w:rPr>
        <w:t xml:space="preserve">  1、本次招标人提供的综合单价组价明细仅作为招标人编制招标控制价的依据，投标人应根据图纸和本项目特点</w:t>
      </w:r>
      <w:r>
        <w:rPr>
          <w:rFonts w:hint="eastAsia" w:ascii="宋体" w:hAnsi="宋体" w:eastAsia="宋体" w:cs="宋体"/>
          <w:color w:val="auto"/>
          <w:sz w:val="24"/>
          <w:szCs w:val="24"/>
          <w:lang w:val="en-US" w:eastAsia="zh-CN"/>
        </w:rPr>
        <w:t>自行组价。</w:t>
      </w:r>
    </w:p>
    <w:p w14:paraId="01BD3DC2">
      <w:pPr>
        <w:tabs>
          <w:tab w:val="left" w:pos="764"/>
          <w:tab w:val="left" w:pos="1080"/>
          <w:tab w:val="left" w:pos="9180"/>
          <w:tab w:val="left" w:pos="9360"/>
        </w:tabs>
        <w:spacing w:line="360" w:lineRule="auto"/>
        <w:ind w:left="344" w:right="25" w:rightChars="12"/>
        <w:outlineLvl w:val="0"/>
        <w:rPr>
          <w:rFonts w:hint="eastAsia" w:ascii="宋体" w:hAnsi="宋体"/>
          <w:color w:val="auto"/>
          <w:kern w:val="0"/>
          <w:sz w:val="24"/>
        </w:rPr>
      </w:pPr>
      <w:r>
        <w:rPr>
          <w:rFonts w:hint="eastAsia" w:ascii="宋体" w:hAnsi="宋体"/>
          <w:b/>
          <w:color w:val="auto"/>
          <w:sz w:val="24"/>
          <w:lang w:val="en-US" w:eastAsia="zh-CN"/>
        </w:rPr>
        <w:t>（二）市政</w:t>
      </w:r>
      <w:r>
        <w:rPr>
          <w:rFonts w:hint="eastAsia" w:ascii="宋体" w:hAnsi="宋体"/>
          <w:b/>
          <w:color w:val="auto"/>
          <w:sz w:val="24"/>
        </w:rPr>
        <w:t>部分</w:t>
      </w:r>
    </w:p>
    <w:p w14:paraId="2AFD4B22">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1、跑道维修中拆除原塑胶跑道面层，基层沥青，压顶，排水沟盖板等均已考虑外运处理及残值回收，投标单位自行报价，结算时单价不作调整。 </w:t>
      </w:r>
    </w:p>
    <w:p w14:paraId="58C0F77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720" w:firstLineChars="3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2、渣土处置费根据《关于部分调整宁波市中心城区建筑渣土处理费市场信息参考价的通知》(甬渣领办联[2021]1号)，及项目单位提供的处置地点(渣土外运按陆运11公里运至李花桥码头，海域处置考虑)进行编制</w:t>
      </w:r>
      <w:r>
        <w:rPr>
          <w:rFonts w:hint="eastAsia" w:ascii="宋体" w:hAnsi="宋体" w:eastAsia="宋体" w:cs="宋体"/>
          <w:color w:val="auto"/>
          <w:sz w:val="24"/>
          <w:szCs w:val="24"/>
          <w:highlight w:val="none"/>
          <w:lang w:val="en-US" w:eastAsia="zh-CN"/>
        </w:rPr>
        <w:t>。土方外运包含装车费、运输费、车辆及道路保洁、过桥过路等一切相关费用，土方类别综合考虑，综合单价按陆运11公里运至李花桥码头考虑，投标单位自行报价，结算时实际运距超过11km单价不做调整，实际运距11km以内按实际调整，</w:t>
      </w:r>
      <w:r>
        <w:rPr>
          <w:rFonts w:hint="eastAsia" w:ascii="宋体" w:hAnsi="宋体" w:eastAsia="宋体" w:cs="宋体"/>
          <w:color w:val="auto"/>
          <w:sz w:val="24"/>
          <w:szCs w:val="24"/>
          <w:highlight w:val="none"/>
          <w:lang w:val="en-US" w:eastAsia="zh-CN"/>
        </w:rPr>
        <w:t>结算时根据实际处置点结合相应文件规则计算。</w:t>
      </w:r>
    </w:p>
    <w:p w14:paraId="25AB4173">
      <w:pPr>
        <w:pStyle w:val="13"/>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3、</w:t>
      </w:r>
      <w:r>
        <w:rPr>
          <w:rFonts w:hint="eastAsia" w:ascii="宋体" w:hAnsi="宋体" w:cs="宋体"/>
          <w:color w:val="auto"/>
          <w:sz w:val="24"/>
        </w:rPr>
        <w:t>土</w:t>
      </w:r>
      <w:r>
        <w:rPr>
          <w:rFonts w:hint="eastAsia" w:ascii="宋体" w:hAnsi="宋体" w:cs="宋体"/>
          <w:color w:val="auto"/>
          <w:sz w:val="24"/>
          <w:lang w:val="en-US" w:eastAsia="zh-CN"/>
        </w:rPr>
        <w:t>方</w:t>
      </w:r>
      <w:r>
        <w:rPr>
          <w:rFonts w:hint="eastAsia" w:ascii="宋体" w:hAnsi="宋体" w:cs="宋体"/>
          <w:color w:val="auto"/>
          <w:sz w:val="24"/>
        </w:rPr>
        <w:t>处置费为非竞争性费用，</w:t>
      </w:r>
      <w:r>
        <w:rPr>
          <w:rFonts w:hint="eastAsia" w:ascii="宋体" w:hAnsi="宋体" w:eastAsia="宋体" w:cs="宋体"/>
          <w:color w:val="auto"/>
          <w:highlight w:val="none"/>
        </w:rPr>
        <w:t>土方处置地点按围涂工程及海上考虑，含水域运至处置点运费及海洋处置费，</w:t>
      </w:r>
      <w:r>
        <w:rPr>
          <w:color w:val="auto"/>
          <w:highlight w:val="none"/>
        </w:rPr>
        <w:t>结算时根据实际处置点结合相应文件规则计算</w:t>
      </w:r>
      <w:r>
        <w:rPr>
          <w:rFonts w:hint="eastAsia" w:ascii="宋体" w:hAnsi="宋体" w:eastAsia="宋体" w:cs="宋体"/>
          <w:color w:val="auto"/>
          <w:highlight w:val="none"/>
        </w:rPr>
        <w:t>。</w:t>
      </w:r>
    </w:p>
    <w:p w14:paraId="2B35DC37">
      <w:pPr>
        <w:pStyle w:val="13"/>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4、</w:t>
      </w:r>
      <w:r>
        <w:rPr>
          <w:rFonts w:hint="eastAsia" w:ascii="宋体" w:hAnsi="宋体" w:eastAsia="宋体" w:cs="宋体"/>
          <w:color w:val="auto"/>
          <w:sz w:val="24"/>
          <w:szCs w:val="24"/>
          <w:lang w:val="en-US" w:eastAsia="zh-CN"/>
        </w:rPr>
        <w:t>建筑渣土结算要求及原则按甬建发〔2022〕118号《宁波市住房和城乡建设局关于印发市本级城建项目建设工程垃圾消纳处置管理办法（试行）的通知》执行，如甬建发〔2022〕118号文件不明确的，按甬建函〔2022〕307号《关于进一步明确市本级城建项目建筑渣土处理结算费有关事项的通知》执行。</w:t>
      </w:r>
    </w:p>
    <w:p w14:paraId="1DC577D1">
      <w:pPr>
        <w:pStyle w:val="13"/>
        <w:keepNext w:val="0"/>
        <w:keepLines w:val="0"/>
        <w:widowControl/>
        <w:suppressLineNumbers w:val="0"/>
        <w:spacing w:before="0" w:beforeAutospacing="0" w:after="0" w:afterAutospacing="0" w:line="360" w:lineRule="auto"/>
        <w:ind w:right="0" w:firstLine="480" w:firstLineChars="200"/>
        <w:rPr>
          <w:rFonts w:hint="eastAsia" w:ascii="宋体" w:hAnsi="宋体" w:eastAsia="宋体" w:cs="宋体"/>
          <w:color w:val="auto"/>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highlight w:val="none"/>
          <w:lang w:val="en-US" w:eastAsia="zh-CN"/>
        </w:rPr>
        <w:t>因设置取水点而挖除的塘渣及原土基层就地回填考虑，</w:t>
      </w:r>
      <w:r>
        <w:rPr>
          <w:rFonts w:hint="eastAsia" w:ascii="宋体" w:hAnsi="宋体" w:eastAsia="宋体" w:cs="宋体"/>
          <w:color w:val="auto"/>
          <w:lang w:val="en-US" w:eastAsia="zh-CN"/>
        </w:rPr>
        <w:t>不再外购。</w:t>
      </w:r>
    </w:p>
    <w:p w14:paraId="3BB30667">
      <w:pPr>
        <w:pStyle w:val="13"/>
        <w:keepNext w:val="0"/>
        <w:keepLines w:val="0"/>
        <w:widowControl/>
        <w:suppressLineNumbers w:val="0"/>
        <w:spacing w:before="0" w:beforeAutospacing="0" w:after="0" w:afterAutospacing="0" w:line="360" w:lineRule="auto"/>
        <w:ind w:right="0" w:firstLine="480" w:firstLineChars="200"/>
        <w:rPr>
          <w:rFonts w:hint="eastAsia" w:ascii="宋体" w:hAnsi="宋体" w:eastAsia="宋体" w:cs="宋体"/>
          <w:color w:val="auto"/>
          <w:lang w:val="en-US" w:eastAsia="zh-CN"/>
        </w:rPr>
      </w:pPr>
    </w:p>
    <w:p w14:paraId="5295B16D">
      <w:pPr>
        <w:numPr>
          <w:ilvl w:val="0"/>
          <w:numId w:val="1"/>
        </w:numPr>
        <w:tabs>
          <w:tab w:val="left" w:pos="960"/>
          <w:tab w:val="left" w:pos="1080"/>
          <w:tab w:val="left" w:pos="8280"/>
          <w:tab w:val="left" w:pos="9180"/>
          <w:tab w:val="left" w:pos="9360"/>
        </w:tabs>
        <w:spacing w:line="360" w:lineRule="auto"/>
        <w:ind w:left="960" w:right="25" w:rightChars="12"/>
        <w:jc w:val="left"/>
        <w:outlineLvl w:val="0"/>
        <w:rPr>
          <w:rFonts w:hint="eastAsia" w:ascii="宋体" w:hAnsi="宋体" w:cs="宋体"/>
          <w:b/>
          <w:bCs/>
          <w:color w:val="auto"/>
          <w:sz w:val="24"/>
          <w:lang w:val="en-US" w:eastAsia="zh-CN"/>
        </w:rPr>
      </w:pPr>
      <w:r>
        <w:rPr>
          <w:rFonts w:hint="eastAsia" w:ascii="宋体" w:hAnsi="宋体" w:cs="宋体"/>
          <w:b/>
          <w:bCs/>
          <w:color w:val="auto"/>
          <w:sz w:val="24"/>
          <w:lang w:val="en-US" w:eastAsia="zh-CN"/>
        </w:rPr>
        <w:t>本项目招标控制价3997824元，其他不可竞争费（含税）</w:t>
      </w:r>
      <w:r>
        <w:rPr>
          <w:rFonts w:hint="eastAsia" w:ascii="宋体" w:hAnsi="宋体" w:cs="宋体"/>
          <w:b/>
          <w:bCs/>
          <w:color w:val="auto"/>
          <w:sz w:val="24"/>
          <w:lang w:val="en-US" w:eastAsia="zh-CN"/>
        </w:rPr>
        <w:t>82123</w:t>
      </w:r>
      <w:r>
        <w:rPr>
          <w:rFonts w:hint="eastAsia" w:ascii="宋体" w:hAnsi="宋体" w:cs="宋体"/>
          <w:b/>
          <w:bCs/>
          <w:color w:val="auto"/>
          <w:sz w:val="24"/>
          <w:lang w:val="en-US" w:eastAsia="zh-CN"/>
        </w:rPr>
        <w:t>元，安全文明施工基本费低限值（不含税）29085元。</w:t>
      </w:r>
    </w:p>
    <w:p w14:paraId="0E58AD33">
      <w:pPr>
        <w:pStyle w:val="2"/>
        <w:ind w:left="0" w:leftChars="0" w:firstLine="0" w:firstLineChars="0"/>
        <w:rPr>
          <w:rFonts w:hint="eastAsia" w:ascii="宋体" w:hAnsi="宋体" w:cs="宋体"/>
          <w:b/>
          <w:bCs/>
          <w:color w:val="auto"/>
          <w:sz w:val="24"/>
          <w:lang w:val="en-US" w:eastAsia="zh-CN"/>
        </w:rPr>
      </w:pPr>
    </w:p>
    <w:p w14:paraId="336387FA">
      <w:pPr>
        <w:pStyle w:val="2"/>
        <w:rPr>
          <w:rFonts w:hint="eastAsia" w:ascii="宋体" w:hAnsi="宋体" w:cs="宋体"/>
          <w:b/>
          <w:bCs/>
          <w:color w:val="auto"/>
          <w:sz w:val="24"/>
          <w:lang w:val="en-US" w:eastAsia="zh-CN"/>
        </w:rPr>
      </w:pPr>
    </w:p>
    <w:p w14:paraId="67ECC84A">
      <w:pPr>
        <w:pStyle w:val="2"/>
        <w:rPr>
          <w:rFonts w:hint="eastAsia" w:ascii="宋体" w:hAnsi="宋体" w:cs="宋体"/>
          <w:b/>
          <w:bCs/>
          <w:color w:val="auto"/>
          <w:sz w:val="24"/>
          <w:lang w:val="en-US" w:eastAsia="zh-CN"/>
        </w:rPr>
      </w:pPr>
    </w:p>
    <w:p w14:paraId="2A02E641">
      <w:pPr>
        <w:pStyle w:val="2"/>
        <w:rPr>
          <w:rFonts w:hint="eastAsia" w:ascii="宋体" w:hAnsi="宋体" w:cs="宋体"/>
          <w:b/>
          <w:bCs/>
          <w:color w:val="auto"/>
          <w:sz w:val="24"/>
          <w:lang w:val="en-US" w:eastAsia="zh-CN"/>
        </w:rPr>
      </w:pPr>
    </w:p>
    <w:p w14:paraId="0890D4CE">
      <w:pPr>
        <w:numPr>
          <w:ilvl w:val="0"/>
          <w:numId w:val="1"/>
        </w:numPr>
        <w:tabs>
          <w:tab w:val="left" w:pos="960"/>
          <w:tab w:val="left" w:pos="1080"/>
          <w:tab w:val="left" w:pos="8280"/>
          <w:tab w:val="left" w:pos="9180"/>
          <w:tab w:val="left" w:pos="9360"/>
        </w:tabs>
        <w:spacing w:line="360" w:lineRule="auto"/>
        <w:ind w:left="960" w:right="25" w:rightChars="12"/>
        <w:outlineLvl w:val="0"/>
        <w:rPr>
          <w:rFonts w:hint="eastAsia" w:ascii="宋体" w:hAnsi="宋体" w:eastAsia="宋体" w:cs="宋体"/>
          <w:b/>
          <w:bCs/>
          <w:color w:val="auto"/>
          <w:sz w:val="24"/>
        </w:rPr>
      </w:pPr>
      <w:r>
        <w:rPr>
          <w:rFonts w:hint="eastAsia" w:ascii="宋体" w:hAnsi="宋体" w:eastAsia="宋体" w:cs="宋体"/>
          <w:b/>
          <w:bCs/>
          <w:color w:val="auto"/>
          <w:sz w:val="24"/>
        </w:rPr>
        <w:t>不可竞争费用</w:t>
      </w:r>
    </w:p>
    <w:tbl>
      <w:tblPr>
        <w:tblStyle w:val="14"/>
        <w:tblW w:w="8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596"/>
        <w:gridCol w:w="3256"/>
        <w:gridCol w:w="535"/>
        <w:gridCol w:w="980"/>
        <w:gridCol w:w="1003"/>
        <w:gridCol w:w="1338"/>
        <w:gridCol w:w="1118"/>
      </w:tblGrid>
      <w:tr w14:paraId="6B2C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77" w:hRule="atLeast"/>
          <w:jc w:val="center"/>
        </w:trPr>
        <w:tc>
          <w:tcPr>
            <w:tcW w:w="596" w:type="dxa"/>
            <w:shd w:val="clear" w:color="auto" w:fill="FFFFFF"/>
            <w:noWrap w:val="0"/>
            <w:tcMar>
              <w:top w:w="0" w:type="dxa"/>
              <w:left w:w="108" w:type="dxa"/>
              <w:bottom w:w="0" w:type="dxa"/>
              <w:right w:w="108" w:type="dxa"/>
            </w:tcMar>
            <w:vAlign w:val="center"/>
          </w:tcPr>
          <w:p w14:paraId="7D107632">
            <w:pPr>
              <w:spacing w:before="100" w:beforeAutospacing="1" w:after="100" w:afterAutospacing="1"/>
              <w:jc w:val="center"/>
              <w:rPr>
                <w:rFonts w:ascii="宋体" w:hAnsi="宋体" w:cs="宋体"/>
                <w:color w:val="auto"/>
                <w:sz w:val="24"/>
              </w:rPr>
            </w:pPr>
            <w:r>
              <w:rPr>
                <w:rFonts w:ascii="宋体" w:hAnsi="宋体" w:cs="宋体"/>
                <w:color w:val="auto"/>
                <w:sz w:val="18"/>
                <w:szCs w:val="18"/>
              </w:rPr>
              <w:t>编号</w:t>
            </w:r>
          </w:p>
        </w:tc>
        <w:tc>
          <w:tcPr>
            <w:tcW w:w="3256" w:type="dxa"/>
            <w:shd w:val="clear" w:color="auto" w:fill="FFFFFF"/>
            <w:noWrap w:val="0"/>
            <w:tcMar>
              <w:top w:w="0" w:type="dxa"/>
              <w:left w:w="108" w:type="dxa"/>
              <w:bottom w:w="0" w:type="dxa"/>
              <w:right w:w="108" w:type="dxa"/>
            </w:tcMar>
            <w:vAlign w:val="center"/>
          </w:tcPr>
          <w:p w14:paraId="6811706A">
            <w:pPr>
              <w:spacing w:before="100" w:beforeAutospacing="1" w:after="100" w:afterAutospacing="1"/>
              <w:jc w:val="center"/>
              <w:rPr>
                <w:rFonts w:ascii="宋体" w:hAnsi="宋体" w:cs="宋体"/>
                <w:color w:val="auto"/>
                <w:sz w:val="24"/>
              </w:rPr>
            </w:pPr>
            <w:r>
              <w:rPr>
                <w:rFonts w:ascii="宋体" w:hAnsi="宋体" w:cs="宋体"/>
                <w:color w:val="auto"/>
                <w:sz w:val="18"/>
                <w:szCs w:val="18"/>
              </w:rPr>
              <w:t>名称、规格、型号</w:t>
            </w:r>
          </w:p>
        </w:tc>
        <w:tc>
          <w:tcPr>
            <w:tcW w:w="535" w:type="dxa"/>
            <w:shd w:val="clear" w:color="auto" w:fill="FFFFFF"/>
            <w:noWrap w:val="0"/>
            <w:tcMar>
              <w:top w:w="0" w:type="dxa"/>
              <w:left w:w="108" w:type="dxa"/>
              <w:bottom w:w="0" w:type="dxa"/>
              <w:right w:w="108" w:type="dxa"/>
            </w:tcMar>
            <w:vAlign w:val="center"/>
          </w:tcPr>
          <w:p w14:paraId="07EEC242">
            <w:pPr>
              <w:spacing w:before="100" w:beforeAutospacing="1" w:after="100" w:afterAutospacing="1"/>
              <w:jc w:val="center"/>
              <w:rPr>
                <w:rFonts w:ascii="宋体" w:hAnsi="宋体" w:cs="宋体"/>
                <w:color w:val="auto"/>
                <w:sz w:val="24"/>
              </w:rPr>
            </w:pPr>
            <w:r>
              <w:rPr>
                <w:rFonts w:ascii="宋体" w:hAnsi="宋体" w:cs="宋体"/>
                <w:color w:val="auto"/>
                <w:sz w:val="18"/>
                <w:szCs w:val="18"/>
              </w:rPr>
              <w:t>单位</w:t>
            </w:r>
          </w:p>
        </w:tc>
        <w:tc>
          <w:tcPr>
            <w:tcW w:w="980" w:type="dxa"/>
            <w:shd w:val="clear" w:color="auto" w:fill="FFFFFF"/>
            <w:noWrap w:val="0"/>
            <w:tcMar>
              <w:top w:w="0" w:type="dxa"/>
              <w:left w:w="108" w:type="dxa"/>
              <w:bottom w:w="0" w:type="dxa"/>
              <w:right w:w="108" w:type="dxa"/>
            </w:tcMar>
            <w:vAlign w:val="center"/>
          </w:tcPr>
          <w:p w14:paraId="102E7B3E">
            <w:pPr>
              <w:spacing w:before="100" w:beforeAutospacing="1" w:after="100" w:afterAutospacing="1"/>
              <w:jc w:val="center"/>
              <w:rPr>
                <w:rFonts w:ascii="宋体" w:hAnsi="宋体" w:cs="宋体"/>
                <w:color w:val="auto"/>
                <w:sz w:val="24"/>
              </w:rPr>
            </w:pPr>
            <w:r>
              <w:rPr>
                <w:rFonts w:ascii="宋体" w:hAnsi="宋体" w:cs="宋体"/>
                <w:color w:val="auto"/>
                <w:sz w:val="18"/>
                <w:szCs w:val="18"/>
              </w:rPr>
              <w:t>工程量</w:t>
            </w:r>
          </w:p>
        </w:tc>
        <w:tc>
          <w:tcPr>
            <w:tcW w:w="1003" w:type="dxa"/>
            <w:shd w:val="clear" w:color="auto" w:fill="FFFFFF"/>
            <w:noWrap w:val="0"/>
            <w:tcMar>
              <w:top w:w="0" w:type="dxa"/>
              <w:left w:w="108" w:type="dxa"/>
              <w:bottom w:w="0" w:type="dxa"/>
              <w:right w:w="108" w:type="dxa"/>
            </w:tcMar>
            <w:vAlign w:val="center"/>
          </w:tcPr>
          <w:p w14:paraId="2A409FA6">
            <w:pPr>
              <w:spacing w:before="100" w:beforeAutospacing="1" w:after="100" w:afterAutospacing="1"/>
              <w:jc w:val="center"/>
              <w:rPr>
                <w:rFonts w:ascii="宋体" w:hAnsi="宋体" w:cs="宋体"/>
                <w:color w:val="auto"/>
                <w:sz w:val="24"/>
              </w:rPr>
            </w:pPr>
            <w:r>
              <w:rPr>
                <w:rFonts w:hint="eastAsia" w:ascii="宋体" w:hAnsi="宋体" w:cs="宋体"/>
                <w:color w:val="auto"/>
                <w:sz w:val="18"/>
                <w:szCs w:val="18"/>
              </w:rPr>
              <w:t>暂定</w:t>
            </w:r>
            <w:r>
              <w:rPr>
                <w:rFonts w:ascii="宋体" w:hAnsi="宋体" w:cs="宋体"/>
                <w:color w:val="auto"/>
                <w:sz w:val="18"/>
                <w:szCs w:val="18"/>
              </w:rPr>
              <w:t>单价</w:t>
            </w:r>
          </w:p>
        </w:tc>
        <w:tc>
          <w:tcPr>
            <w:tcW w:w="1338" w:type="dxa"/>
            <w:shd w:val="clear" w:color="auto" w:fill="FFFFFF"/>
            <w:noWrap w:val="0"/>
            <w:tcMar>
              <w:top w:w="0" w:type="dxa"/>
              <w:left w:w="108" w:type="dxa"/>
              <w:bottom w:w="0" w:type="dxa"/>
              <w:right w:w="108" w:type="dxa"/>
            </w:tcMar>
            <w:vAlign w:val="center"/>
          </w:tcPr>
          <w:p w14:paraId="285D61CE">
            <w:pPr>
              <w:spacing w:before="100" w:beforeAutospacing="1" w:after="100" w:afterAutospacing="1"/>
              <w:jc w:val="center"/>
              <w:rPr>
                <w:rFonts w:ascii="宋体" w:hAnsi="宋体" w:cs="宋体"/>
                <w:color w:val="auto"/>
                <w:sz w:val="24"/>
              </w:rPr>
            </w:pPr>
            <w:r>
              <w:rPr>
                <w:rFonts w:ascii="宋体" w:hAnsi="宋体" w:cs="宋体"/>
                <w:color w:val="auto"/>
                <w:sz w:val="18"/>
                <w:szCs w:val="18"/>
              </w:rPr>
              <w:t>合价</w:t>
            </w:r>
          </w:p>
        </w:tc>
        <w:tc>
          <w:tcPr>
            <w:tcW w:w="1118" w:type="dxa"/>
            <w:shd w:val="clear" w:color="auto" w:fill="FFFFFF"/>
            <w:noWrap w:val="0"/>
            <w:tcMar>
              <w:top w:w="0" w:type="dxa"/>
              <w:left w:w="108" w:type="dxa"/>
              <w:bottom w:w="0" w:type="dxa"/>
              <w:right w:w="108" w:type="dxa"/>
            </w:tcMar>
            <w:vAlign w:val="center"/>
          </w:tcPr>
          <w:p w14:paraId="6E6FD0BE">
            <w:pPr>
              <w:spacing w:before="100" w:beforeAutospacing="1" w:after="100" w:afterAutospacing="1"/>
              <w:jc w:val="center"/>
              <w:rPr>
                <w:rFonts w:ascii="宋体" w:hAnsi="宋体" w:cs="宋体"/>
                <w:color w:val="auto"/>
                <w:sz w:val="24"/>
              </w:rPr>
            </w:pPr>
            <w:r>
              <w:rPr>
                <w:rFonts w:ascii="宋体" w:hAnsi="宋体" w:cs="宋体"/>
                <w:color w:val="auto"/>
                <w:sz w:val="18"/>
                <w:szCs w:val="18"/>
              </w:rPr>
              <w:t>备注</w:t>
            </w:r>
          </w:p>
        </w:tc>
      </w:tr>
      <w:tr w14:paraId="2C2E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77" w:hRule="atLeast"/>
          <w:jc w:val="center"/>
        </w:trPr>
        <w:tc>
          <w:tcPr>
            <w:tcW w:w="596" w:type="dxa"/>
            <w:shd w:val="clear" w:color="auto" w:fill="FFFFFF"/>
            <w:noWrap w:val="0"/>
            <w:tcMar>
              <w:top w:w="0" w:type="dxa"/>
              <w:left w:w="108" w:type="dxa"/>
              <w:bottom w:w="0" w:type="dxa"/>
              <w:right w:w="108" w:type="dxa"/>
            </w:tcMar>
            <w:vAlign w:val="center"/>
          </w:tcPr>
          <w:p w14:paraId="1A1C1A22">
            <w:pPr>
              <w:widowControl/>
              <w:jc w:val="center"/>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一</w:t>
            </w:r>
          </w:p>
        </w:tc>
        <w:tc>
          <w:tcPr>
            <w:tcW w:w="3256" w:type="dxa"/>
            <w:shd w:val="clear" w:color="auto" w:fill="FFFFFF"/>
            <w:noWrap w:val="0"/>
            <w:tcMar>
              <w:top w:w="0" w:type="dxa"/>
              <w:left w:w="108" w:type="dxa"/>
              <w:bottom w:w="0" w:type="dxa"/>
              <w:right w:w="108" w:type="dxa"/>
            </w:tcMar>
            <w:vAlign w:val="center"/>
          </w:tcPr>
          <w:p w14:paraId="63852387">
            <w:pPr>
              <w:pStyle w:val="13"/>
              <w:keepNext w:val="0"/>
              <w:keepLines w:val="0"/>
              <w:widowControl/>
              <w:suppressLineNumbers w:val="0"/>
              <w:spacing w:before="0" w:beforeAutospacing="0" w:after="0" w:afterAutospacing="0"/>
              <w:ind w:left="0" w:right="0" w:firstLine="0"/>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土方处置地点按围涂工程及海上考虑，含水域运至处置点运费及海洋处置费，结算时根据实际处置点结合相应文件规则计算。</w:t>
            </w:r>
          </w:p>
        </w:tc>
        <w:tc>
          <w:tcPr>
            <w:tcW w:w="535" w:type="dxa"/>
            <w:shd w:val="clear" w:color="auto" w:fill="FFFFFF"/>
            <w:noWrap w:val="0"/>
            <w:tcMar>
              <w:top w:w="0" w:type="dxa"/>
              <w:left w:w="108" w:type="dxa"/>
              <w:bottom w:w="0" w:type="dxa"/>
              <w:right w:w="108" w:type="dxa"/>
            </w:tcMar>
            <w:vAlign w:val="center"/>
          </w:tcPr>
          <w:p w14:paraId="36000290">
            <w:pPr>
              <w:widowControl/>
              <w:jc w:val="center"/>
              <w:textAlignment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m3</w:t>
            </w:r>
          </w:p>
        </w:tc>
        <w:tc>
          <w:tcPr>
            <w:tcW w:w="980" w:type="dxa"/>
            <w:shd w:val="clear" w:color="auto" w:fill="FFFFFF"/>
            <w:noWrap w:val="0"/>
            <w:tcMar>
              <w:top w:w="0" w:type="dxa"/>
              <w:left w:w="108" w:type="dxa"/>
              <w:bottom w:w="0" w:type="dxa"/>
              <w:right w:w="108" w:type="dxa"/>
            </w:tcMar>
            <w:vAlign w:val="center"/>
          </w:tcPr>
          <w:p w14:paraId="4BACF820">
            <w:pPr>
              <w:widowControl/>
              <w:jc w:val="center"/>
              <w:textAlignment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1239.18</w:t>
            </w:r>
          </w:p>
        </w:tc>
        <w:tc>
          <w:tcPr>
            <w:tcW w:w="1003" w:type="dxa"/>
            <w:shd w:val="clear" w:color="auto" w:fill="FFFFFF"/>
            <w:noWrap w:val="0"/>
            <w:tcMar>
              <w:top w:w="0" w:type="dxa"/>
              <w:left w:w="108" w:type="dxa"/>
              <w:bottom w:w="0" w:type="dxa"/>
              <w:right w:w="108" w:type="dxa"/>
            </w:tcMar>
            <w:vAlign w:val="center"/>
          </w:tcPr>
          <w:p w14:paraId="4F5A4703">
            <w:pPr>
              <w:widowControl/>
              <w:jc w:val="center"/>
              <w:textAlignment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60.8</w:t>
            </w:r>
          </w:p>
        </w:tc>
        <w:tc>
          <w:tcPr>
            <w:tcW w:w="1338" w:type="dxa"/>
            <w:shd w:val="clear" w:color="auto" w:fill="FFFFFF"/>
            <w:noWrap w:val="0"/>
            <w:tcMar>
              <w:top w:w="0" w:type="dxa"/>
              <w:left w:w="108" w:type="dxa"/>
              <w:bottom w:w="0" w:type="dxa"/>
              <w:right w:w="108" w:type="dxa"/>
            </w:tcMar>
            <w:vAlign w:val="center"/>
          </w:tcPr>
          <w:p w14:paraId="26CEA566">
            <w:pPr>
              <w:widowControl/>
              <w:jc w:val="center"/>
              <w:textAlignment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75342.14</w:t>
            </w:r>
          </w:p>
        </w:tc>
        <w:tc>
          <w:tcPr>
            <w:tcW w:w="1118" w:type="dxa"/>
            <w:shd w:val="clear" w:color="auto" w:fill="FFFFFF"/>
            <w:noWrap w:val="0"/>
            <w:tcMar>
              <w:top w:w="0" w:type="dxa"/>
              <w:left w:w="108" w:type="dxa"/>
              <w:bottom w:w="0" w:type="dxa"/>
              <w:right w:w="108" w:type="dxa"/>
            </w:tcMar>
            <w:vAlign w:val="center"/>
          </w:tcPr>
          <w:p w14:paraId="63FD6523">
            <w:pPr>
              <w:spacing w:before="100" w:beforeAutospacing="1" w:after="100" w:afterAutospacing="1"/>
              <w:jc w:val="center"/>
              <w:rPr>
                <w:rFonts w:hint="eastAsia" w:asciiTheme="minorEastAsia" w:hAnsiTheme="minorEastAsia" w:eastAsiaTheme="minorEastAsia" w:cstheme="minorEastAsia"/>
                <w:color w:val="auto"/>
                <w:sz w:val="18"/>
                <w:szCs w:val="18"/>
              </w:rPr>
            </w:pPr>
          </w:p>
        </w:tc>
      </w:tr>
      <w:tr w14:paraId="6C58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77" w:hRule="atLeast"/>
          <w:jc w:val="center"/>
        </w:trPr>
        <w:tc>
          <w:tcPr>
            <w:tcW w:w="596" w:type="dxa"/>
            <w:shd w:val="clear" w:color="auto" w:fill="FFFFFF"/>
            <w:noWrap w:val="0"/>
            <w:tcMar>
              <w:top w:w="0" w:type="dxa"/>
              <w:left w:w="108" w:type="dxa"/>
              <w:bottom w:w="0" w:type="dxa"/>
              <w:right w:w="108" w:type="dxa"/>
            </w:tcMar>
            <w:vAlign w:val="center"/>
          </w:tcPr>
          <w:p w14:paraId="4E3DC80B">
            <w:pPr>
              <w:spacing w:before="100" w:beforeAutospacing="1" w:after="100" w:afterAutospacing="1"/>
              <w:jc w:val="center"/>
              <w:rPr>
                <w:rFonts w:hint="default"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二</w:t>
            </w:r>
          </w:p>
        </w:tc>
        <w:tc>
          <w:tcPr>
            <w:tcW w:w="3256" w:type="dxa"/>
            <w:shd w:val="clear" w:color="auto" w:fill="FFFFFF"/>
            <w:noWrap w:val="0"/>
            <w:tcMar>
              <w:top w:w="0" w:type="dxa"/>
              <w:left w:w="108" w:type="dxa"/>
              <w:bottom w:w="0" w:type="dxa"/>
              <w:right w:w="108" w:type="dxa"/>
            </w:tcMar>
            <w:vAlign w:val="center"/>
          </w:tcPr>
          <w:p w14:paraId="6A18F8AE">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小计</w:t>
            </w:r>
          </w:p>
        </w:tc>
        <w:tc>
          <w:tcPr>
            <w:tcW w:w="535" w:type="dxa"/>
            <w:shd w:val="clear" w:color="auto" w:fill="FFFFFF"/>
            <w:noWrap w:val="0"/>
            <w:tcMar>
              <w:top w:w="0" w:type="dxa"/>
              <w:left w:w="108" w:type="dxa"/>
              <w:bottom w:w="0" w:type="dxa"/>
              <w:right w:w="108" w:type="dxa"/>
            </w:tcMar>
            <w:vAlign w:val="center"/>
          </w:tcPr>
          <w:p w14:paraId="494EFC44">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元</w:t>
            </w:r>
          </w:p>
        </w:tc>
        <w:tc>
          <w:tcPr>
            <w:tcW w:w="980" w:type="dxa"/>
            <w:shd w:val="clear" w:color="auto" w:fill="FFFFFF"/>
            <w:noWrap w:val="0"/>
            <w:tcMar>
              <w:top w:w="0" w:type="dxa"/>
              <w:left w:w="108" w:type="dxa"/>
              <w:bottom w:w="0" w:type="dxa"/>
              <w:right w:w="108" w:type="dxa"/>
            </w:tcMar>
            <w:vAlign w:val="center"/>
          </w:tcPr>
          <w:p w14:paraId="2A9BC875">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p>
        </w:tc>
        <w:tc>
          <w:tcPr>
            <w:tcW w:w="1003" w:type="dxa"/>
            <w:shd w:val="clear" w:color="auto" w:fill="FFFFFF"/>
            <w:noWrap w:val="0"/>
            <w:tcMar>
              <w:top w:w="0" w:type="dxa"/>
              <w:left w:w="108" w:type="dxa"/>
              <w:bottom w:w="0" w:type="dxa"/>
              <w:right w:w="108" w:type="dxa"/>
            </w:tcMar>
            <w:vAlign w:val="center"/>
          </w:tcPr>
          <w:p w14:paraId="7BDA5566">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p>
        </w:tc>
        <w:tc>
          <w:tcPr>
            <w:tcW w:w="1338" w:type="dxa"/>
            <w:shd w:val="clear" w:color="auto" w:fill="FFFFFF"/>
            <w:noWrap w:val="0"/>
            <w:tcMar>
              <w:top w:w="0" w:type="dxa"/>
              <w:left w:w="108" w:type="dxa"/>
              <w:bottom w:w="0" w:type="dxa"/>
              <w:right w:w="108" w:type="dxa"/>
            </w:tcMar>
            <w:vAlign w:val="center"/>
          </w:tcPr>
          <w:p w14:paraId="0A93D2B5">
            <w:pPr>
              <w:keepNext w:val="0"/>
              <w:keepLines w:val="0"/>
              <w:widowControl/>
              <w:suppressLineNumbers w:val="0"/>
              <w:jc w:val="center"/>
              <w:textAlignment w:val="center"/>
              <w:rPr>
                <w:rFonts w:hint="default"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lang w:val="en-US" w:eastAsia="zh-CN"/>
              </w:rPr>
              <w:t>75342.14</w:t>
            </w:r>
          </w:p>
        </w:tc>
        <w:tc>
          <w:tcPr>
            <w:tcW w:w="1118" w:type="dxa"/>
            <w:shd w:val="clear" w:color="auto" w:fill="FFFFFF"/>
            <w:noWrap w:val="0"/>
            <w:tcMar>
              <w:top w:w="0" w:type="dxa"/>
              <w:left w:w="108" w:type="dxa"/>
              <w:bottom w:w="0" w:type="dxa"/>
              <w:right w:w="108" w:type="dxa"/>
            </w:tcMar>
            <w:vAlign w:val="center"/>
          </w:tcPr>
          <w:p w14:paraId="75FD2812">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p>
        </w:tc>
      </w:tr>
      <w:tr w14:paraId="3B69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jc w:val="center"/>
        </w:trPr>
        <w:tc>
          <w:tcPr>
            <w:tcW w:w="596" w:type="dxa"/>
            <w:shd w:val="clear" w:color="auto" w:fill="FFFFFF"/>
            <w:vAlign w:val="center"/>
          </w:tcPr>
          <w:p w14:paraId="09F78A15">
            <w:pPr>
              <w:spacing w:before="100" w:beforeAutospacing="1" w:after="100" w:afterAutospacing="1"/>
              <w:jc w:val="center"/>
              <w:rPr>
                <w:rFonts w:hint="default"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三</w:t>
            </w:r>
          </w:p>
        </w:tc>
        <w:tc>
          <w:tcPr>
            <w:tcW w:w="3256" w:type="dxa"/>
            <w:shd w:val="clear" w:color="auto" w:fill="FFFFFF"/>
            <w:vAlign w:val="center"/>
          </w:tcPr>
          <w:p w14:paraId="6DEE06BF">
            <w:pPr>
              <w:spacing w:before="100" w:beforeAutospacing="1" w:after="100" w:afterAutospacing="1"/>
              <w:ind w:firstLine="180" w:firstLineChars="100"/>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税金</w:t>
            </w:r>
          </w:p>
        </w:tc>
        <w:tc>
          <w:tcPr>
            <w:tcW w:w="535" w:type="dxa"/>
            <w:shd w:val="clear" w:color="auto" w:fill="FFFFFF"/>
            <w:vAlign w:val="center"/>
          </w:tcPr>
          <w:p w14:paraId="74B946CE">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元</w:t>
            </w:r>
          </w:p>
        </w:tc>
        <w:tc>
          <w:tcPr>
            <w:tcW w:w="980" w:type="dxa"/>
            <w:shd w:val="clear" w:color="auto" w:fill="FFFFFF"/>
            <w:vAlign w:val="center"/>
          </w:tcPr>
          <w:p w14:paraId="3080C20A">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p>
        </w:tc>
        <w:tc>
          <w:tcPr>
            <w:tcW w:w="1003" w:type="dxa"/>
            <w:shd w:val="clear" w:color="auto" w:fill="FFFFFF"/>
            <w:vAlign w:val="center"/>
          </w:tcPr>
          <w:p w14:paraId="4A44EA39">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9%</w:t>
            </w:r>
          </w:p>
        </w:tc>
        <w:tc>
          <w:tcPr>
            <w:tcW w:w="1338" w:type="dxa"/>
            <w:shd w:val="clear" w:color="auto" w:fill="FFFFFF"/>
            <w:vAlign w:val="center"/>
          </w:tcPr>
          <w:p w14:paraId="26749F98">
            <w:pPr>
              <w:keepNext w:val="0"/>
              <w:keepLines w:val="0"/>
              <w:widowControl/>
              <w:suppressLineNumbers w:val="0"/>
              <w:jc w:val="center"/>
              <w:textAlignment w:val="center"/>
              <w:rPr>
                <w:rFonts w:hint="default"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6780.79</w:t>
            </w:r>
          </w:p>
        </w:tc>
        <w:tc>
          <w:tcPr>
            <w:tcW w:w="1118" w:type="dxa"/>
            <w:shd w:val="clear" w:color="auto" w:fill="FFFFFF"/>
            <w:vAlign w:val="center"/>
          </w:tcPr>
          <w:p w14:paraId="606F1548">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w:t>
            </w:r>
            <w:r>
              <w:rPr>
                <w:rFonts w:hint="eastAsia" w:asciiTheme="minorEastAsia" w:hAnsiTheme="minorEastAsia" w:eastAsiaTheme="minorEastAsia" w:cstheme="minorEastAsia"/>
                <w:color w:val="auto"/>
                <w:sz w:val="18"/>
                <w:szCs w:val="18"/>
                <w:lang w:val="en-US" w:eastAsia="zh-CN"/>
              </w:rPr>
              <w:t>二</w:t>
            </w:r>
            <w:r>
              <w:rPr>
                <w:rFonts w:hint="eastAsia" w:asciiTheme="minorEastAsia" w:hAnsiTheme="minorEastAsia" w:eastAsiaTheme="minorEastAsia" w:cstheme="minorEastAsia"/>
                <w:color w:val="auto"/>
                <w:sz w:val="18"/>
                <w:szCs w:val="18"/>
              </w:rPr>
              <w:t>）*9%</w:t>
            </w:r>
          </w:p>
        </w:tc>
      </w:tr>
      <w:tr w14:paraId="31F0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77" w:hRule="atLeast"/>
          <w:jc w:val="center"/>
        </w:trPr>
        <w:tc>
          <w:tcPr>
            <w:tcW w:w="596" w:type="dxa"/>
            <w:shd w:val="clear" w:color="auto" w:fill="FFFFFF"/>
            <w:vAlign w:val="center"/>
          </w:tcPr>
          <w:p w14:paraId="6903E1A2">
            <w:pPr>
              <w:spacing w:before="100" w:beforeAutospacing="1" w:after="100" w:afterAutospacing="1"/>
              <w:jc w:val="center"/>
              <w:rPr>
                <w:rFonts w:hint="default"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kern w:val="2"/>
                <w:sz w:val="18"/>
                <w:szCs w:val="18"/>
                <w:lang w:val="en-US" w:eastAsia="zh-CN" w:bidi="ar-SA"/>
              </w:rPr>
              <w:t>四</w:t>
            </w:r>
          </w:p>
        </w:tc>
        <w:tc>
          <w:tcPr>
            <w:tcW w:w="3256" w:type="dxa"/>
            <w:shd w:val="clear" w:color="auto" w:fill="FFFFFF"/>
            <w:vAlign w:val="center"/>
          </w:tcPr>
          <w:p w14:paraId="7C10F25C">
            <w:pPr>
              <w:spacing w:before="100" w:beforeAutospacing="1" w:after="100" w:afterAutospacing="1"/>
              <w:ind w:firstLine="180" w:firstLineChars="100"/>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含税价合计</w:t>
            </w:r>
          </w:p>
        </w:tc>
        <w:tc>
          <w:tcPr>
            <w:tcW w:w="535" w:type="dxa"/>
            <w:shd w:val="clear" w:color="auto" w:fill="FFFFFF"/>
            <w:vAlign w:val="center"/>
          </w:tcPr>
          <w:p w14:paraId="0E57C502">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rPr>
              <w:t>元</w:t>
            </w:r>
          </w:p>
        </w:tc>
        <w:tc>
          <w:tcPr>
            <w:tcW w:w="980" w:type="dxa"/>
            <w:shd w:val="clear" w:color="auto" w:fill="FFFFFF"/>
            <w:vAlign w:val="center"/>
          </w:tcPr>
          <w:p w14:paraId="5FD9FEFF">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p>
        </w:tc>
        <w:tc>
          <w:tcPr>
            <w:tcW w:w="1003" w:type="dxa"/>
            <w:shd w:val="clear" w:color="auto" w:fill="FFFFFF"/>
            <w:vAlign w:val="center"/>
          </w:tcPr>
          <w:p w14:paraId="482253FC">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p>
        </w:tc>
        <w:tc>
          <w:tcPr>
            <w:tcW w:w="1338" w:type="dxa"/>
            <w:shd w:val="clear" w:color="auto" w:fill="FFFFFF"/>
            <w:vAlign w:val="center"/>
          </w:tcPr>
          <w:p w14:paraId="7FC20B0C">
            <w:pPr>
              <w:keepNext w:val="0"/>
              <w:keepLines w:val="0"/>
              <w:widowControl/>
              <w:suppressLineNumbers w:val="0"/>
              <w:jc w:val="center"/>
              <w:textAlignment w:val="center"/>
              <w:rPr>
                <w:rFonts w:hint="default"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kern w:val="0"/>
                <w:sz w:val="18"/>
                <w:szCs w:val="18"/>
                <w:lang w:val="en-US" w:eastAsia="zh-CN" w:bidi="ar"/>
              </w:rPr>
              <w:t>82122.93</w:t>
            </w:r>
          </w:p>
        </w:tc>
        <w:tc>
          <w:tcPr>
            <w:tcW w:w="1118" w:type="dxa"/>
            <w:shd w:val="clear" w:color="auto" w:fill="FFFFFF"/>
            <w:vAlign w:val="center"/>
          </w:tcPr>
          <w:p w14:paraId="7617B8E6">
            <w:pPr>
              <w:spacing w:before="100" w:beforeAutospacing="1" w:after="100" w:afterAutospacing="1"/>
              <w:jc w:val="center"/>
              <w:rPr>
                <w:rFonts w:hint="eastAsia" w:asciiTheme="minorEastAsia" w:hAnsiTheme="minorEastAsia" w:eastAsiaTheme="minorEastAsia" w:cstheme="minorEastAsia"/>
                <w:color w:val="auto"/>
                <w:kern w:val="2"/>
                <w:sz w:val="18"/>
                <w:szCs w:val="18"/>
                <w:lang w:val="en-US" w:eastAsia="zh-CN" w:bidi="ar-SA"/>
              </w:rPr>
            </w:pPr>
            <w:r>
              <w:rPr>
                <w:rFonts w:hint="eastAsia" w:asciiTheme="minorEastAsia" w:hAnsiTheme="minorEastAsia" w:eastAsiaTheme="minorEastAsia" w:cstheme="minorEastAsia"/>
                <w:color w:val="auto"/>
                <w:sz w:val="18"/>
                <w:szCs w:val="18"/>
                <w:lang w:val="en-US" w:eastAsia="zh-CN"/>
              </w:rPr>
              <w:t>二+三</w:t>
            </w:r>
          </w:p>
        </w:tc>
      </w:tr>
    </w:tbl>
    <w:p w14:paraId="7FBCAE85">
      <w:pPr>
        <w:pStyle w:val="2"/>
        <w:ind w:left="0" w:leftChars="0" w:firstLine="0" w:firstLineChars="0"/>
        <w:rPr>
          <w:rFonts w:hint="eastAsia"/>
          <w:color w:val="auto"/>
          <w:lang w:eastAsia="zh-CN"/>
        </w:rPr>
      </w:pPr>
      <w:bookmarkStart w:id="0" w:name="_GoBack"/>
      <w:bookmarkEnd w:id="0"/>
    </w:p>
    <w:p w14:paraId="40EECC0B">
      <w:pPr>
        <w:numPr>
          <w:ilvl w:val="0"/>
          <w:numId w:val="1"/>
        </w:numPr>
        <w:tabs>
          <w:tab w:val="left" w:pos="960"/>
          <w:tab w:val="left" w:pos="1080"/>
          <w:tab w:val="left" w:pos="8280"/>
          <w:tab w:val="left" w:pos="9180"/>
          <w:tab w:val="left" w:pos="9360"/>
        </w:tabs>
        <w:spacing w:line="360" w:lineRule="auto"/>
        <w:ind w:left="960" w:right="25" w:rightChars="12"/>
        <w:outlineLvl w:val="0"/>
        <w:rPr>
          <w:rFonts w:hint="eastAsia" w:ascii="宋体" w:hAnsi="宋体" w:eastAsia="宋体" w:cs="宋体"/>
          <w:b/>
          <w:bCs/>
          <w:color w:val="auto"/>
          <w:sz w:val="24"/>
          <w:lang w:eastAsia="zh-CN"/>
        </w:rPr>
      </w:pPr>
      <w:r>
        <w:rPr>
          <w:b/>
          <w:color w:val="auto"/>
          <w:sz w:val="24"/>
        </w:rPr>
        <w:t>材料（设备）约定品牌范围一览表</w:t>
      </w:r>
      <w:r>
        <w:rPr>
          <w:rFonts w:hint="eastAsia" w:ascii="宋体" w:hAnsi="宋体" w:eastAsia="宋体" w:cs="宋体"/>
          <w:b/>
          <w:bCs/>
          <w:color w:val="auto"/>
          <w:sz w:val="24"/>
          <w:lang w:eastAsia="zh-CN"/>
        </w:rPr>
        <w:t>：</w:t>
      </w:r>
    </w:p>
    <w:p w14:paraId="327E53E4">
      <w:pPr>
        <w:tabs>
          <w:tab w:val="left" w:pos="900"/>
          <w:tab w:val="left" w:pos="8280"/>
          <w:tab w:val="left" w:pos="9180"/>
          <w:tab w:val="left" w:pos="9360"/>
        </w:tabs>
        <w:spacing w:line="360" w:lineRule="auto"/>
        <w:ind w:right="25" w:rightChars="12"/>
        <w:jc w:val="left"/>
        <w:rPr>
          <w:rFonts w:hint="eastAsia" w:ascii="宋体" w:hAnsi="宋体"/>
          <w:b/>
          <w:bCs/>
          <w:color w:val="auto"/>
          <w:sz w:val="21"/>
          <w:szCs w:val="21"/>
        </w:rPr>
      </w:pPr>
      <w:r>
        <w:rPr>
          <w:rFonts w:hint="eastAsia" w:ascii="宋体" w:hAnsi="宋体"/>
          <w:b/>
          <w:bCs/>
          <w:color w:val="auto"/>
          <w:sz w:val="21"/>
          <w:szCs w:val="21"/>
        </w:rPr>
        <w:t>备注：材料推荐品牌是招标人认为最适合本招标项目的产品，投标人应积极响应；投标人也可以选择品牌与产品性能不低于招标人选用要求的其他品牌，进场时需要经过业主及监理的确认。</w:t>
      </w:r>
    </w:p>
    <w:p w14:paraId="343EE8D3">
      <w:pPr>
        <w:tabs>
          <w:tab w:val="left" w:pos="900"/>
          <w:tab w:val="left" w:pos="8280"/>
          <w:tab w:val="left" w:pos="9180"/>
          <w:tab w:val="left" w:pos="9360"/>
        </w:tabs>
        <w:spacing w:line="360" w:lineRule="auto"/>
        <w:ind w:right="25" w:rightChars="12"/>
        <w:jc w:val="center"/>
        <w:rPr>
          <w:rFonts w:hint="eastAsia" w:ascii="宋体" w:hAnsi="宋体"/>
          <w:b/>
          <w:bCs/>
          <w:color w:val="auto"/>
          <w:sz w:val="24"/>
        </w:rPr>
      </w:pPr>
      <w:r>
        <w:rPr>
          <w:rFonts w:hint="eastAsia" w:ascii="宋体" w:hAnsi="宋体"/>
          <w:b/>
          <w:bCs/>
          <w:color w:val="auto"/>
          <w:sz w:val="24"/>
        </w:rPr>
        <w:t>材料</w:t>
      </w:r>
      <w:r>
        <w:rPr>
          <w:rFonts w:hint="eastAsia" w:ascii="宋体" w:hAnsi="宋体"/>
          <w:b/>
          <w:bCs/>
          <w:color w:val="auto"/>
          <w:sz w:val="24"/>
          <w:lang w:val="en-US" w:eastAsia="zh-CN"/>
        </w:rPr>
        <w:t>参考</w:t>
      </w:r>
      <w:r>
        <w:rPr>
          <w:rFonts w:hint="eastAsia" w:ascii="宋体" w:hAnsi="宋体"/>
          <w:b/>
          <w:bCs/>
          <w:color w:val="auto"/>
          <w:sz w:val="24"/>
        </w:rPr>
        <w:t>品牌表</w:t>
      </w:r>
    </w:p>
    <w:tbl>
      <w:tblPr>
        <w:tblStyle w:val="14"/>
        <w:tblW w:w="7787" w:type="dxa"/>
        <w:tblInd w:w="91" w:type="dxa"/>
        <w:tblLayout w:type="fixed"/>
        <w:tblCellMar>
          <w:top w:w="0" w:type="dxa"/>
          <w:left w:w="108" w:type="dxa"/>
          <w:bottom w:w="0" w:type="dxa"/>
          <w:right w:w="108" w:type="dxa"/>
        </w:tblCellMar>
      </w:tblPr>
      <w:tblGrid>
        <w:gridCol w:w="645"/>
        <w:gridCol w:w="2252"/>
        <w:gridCol w:w="3300"/>
        <w:gridCol w:w="1590"/>
      </w:tblGrid>
      <w:tr w14:paraId="4106963B">
        <w:tblPrEx>
          <w:tblCellMar>
            <w:top w:w="0" w:type="dxa"/>
            <w:left w:w="108" w:type="dxa"/>
            <w:bottom w:w="0" w:type="dxa"/>
            <w:right w:w="108" w:type="dxa"/>
          </w:tblCellMar>
        </w:tblPrEx>
        <w:trPr>
          <w:trHeight w:val="369" w:hRule="atLeast"/>
        </w:trPr>
        <w:tc>
          <w:tcPr>
            <w:tcW w:w="645" w:type="dxa"/>
            <w:tcBorders>
              <w:top w:val="single" w:color="000000" w:sz="4" w:space="0"/>
              <w:left w:val="single" w:color="000000" w:sz="4" w:space="0"/>
              <w:bottom w:val="single" w:color="000000" w:sz="4" w:space="0"/>
              <w:right w:val="single" w:color="000000" w:sz="4" w:space="0"/>
            </w:tcBorders>
            <w:noWrap/>
            <w:vAlign w:val="center"/>
          </w:tcPr>
          <w:p w14:paraId="6B2E2E6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2252" w:type="dxa"/>
            <w:tcBorders>
              <w:top w:val="single" w:color="000000" w:sz="4" w:space="0"/>
              <w:left w:val="single" w:color="000000" w:sz="4" w:space="0"/>
              <w:bottom w:val="single" w:color="000000" w:sz="4" w:space="0"/>
              <w:right w:val="single" w:color="000000" w:sz="4" w:space="0"/>
            </w:tcBorders>
            <w:noWrap w:val="0"/>
            <w:vAlign w:val="center"/>
          </w:tcPr>
          <w:p w14:paraId="755F55B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材料名称</w:t>
            </w:r>
          </w:p>
        </w:tc>
        <w:tc>
          <w:tcPr>
            <w:tcW w:w="3300" w:type="dxa"/>
            <w:tcBorders>
              <w:top w:val="single" w:color="000000" w:sz="4" w:space="0"/>
              <w:left w:val="single" w:color="000000" w:sz="4" w:space="0"/>
              <w:bottom w:val="single" w:color="000000" w:sz="4" w:space="0"/>
              <w:right w:val="single" w:color="000000" w:sz="4" w:space="0"/>
            </w:tcBorders>
            <w:noWrap w:val="0"/>
            <w:vAlign w:val="center"/>
          </w:tcPr>
          <w:p w14:paraId="2FB9153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参考品牌、型号</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3EC6BCE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备注</w:t>
            </w:r>
          </w:p>
        </w:tc>
      </w:tr>
      <w:tr w14:paraId="6EA7FD1E">
        <w:tblPrEx>
          <w:tblCellMar>
            <w:top w:w="0" w:type="dxa"/>
            <w:left w:w="108" w:type="dxa"/>
            <w:bottom w:w="0" w:type="dxa"/>
            <w:right w:w="108" w:type="dxa"/>
          </w:tblCellMar>
        </w:tblPrEx>
        <w:trPr>
          <w:trHeight w:val="369"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0134C">
            <w:pPr>
              <w:keepNext w:val="0"/>
              <w:keepLines w:val="0"/>
              <w:widowControl/>
              <w:suppressLineNumbers w:val="0"/>
              <w:jc w:val="center"/>
              <w:textAlignment w:val="center"/>
              <w:rPr>
                <w:rFonts w:hint="eastAsia" w:ascii="宋体" w:hAnsi="宋体" w:eastAsia="宋体" w:cs="宋体"/>
                <w:i w:val="0"/>
                <w:iCs w:val="0"/>
                <w:color w:val="auto"/>
                <w:sz w:val="18"/>
                <w:szCs w:val="18"/>
                <w:u w:val="none"/>
                <w:lang w:val="en-US" w:eastAsia="zh-CN"/>
              </w:rPr>
            </w:pPr>
          </w:p>
        </w:tc>
        <w:tc>
          <w:tcPr>
            <w:tcW w:w="2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302663">
            <w:pPr>
              <w:keepNext w:val="0"/>
              <w:keepLines w:val="0"/>
              <w:widowControl/>
              <w:suppressLineNumbers w:val="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rPr>
              <w:t>混合型塑胶跑道</w:t>
            </w:r>
            <w:r>
              <w:rPr>
                <w:rFonts w:hint="eastAsia" w:ascii="宋体" w:hAnsi="宋体" w:cs="宋体"/>
                <w:i w:val="0"/>
                <w:iCs w:val="0"/>
                <w:color w:val="auto"/>
                <w:sz w:val="18"/>
                <w:szCs w:val="18"/>
                <w:u w:val="none"/>
                <w:lang w:val="en-US" w:eastAsia="zh-CN"/>
              </w:rPr>
              <w:t xml:space="preserve"> 13mm</w:t>
            </w:r>
          </w:p>
        </w:tc>
        <w:tc>
          <w:tcPr>
            <w:tcW w:w="3300" w:type="dxa"/>
            <w:tcBorders>
              <w:top w:val="single" w:color="000000" w:sz="4" w:space="0"/>
              <w:left w:val="single" w:color="000000" w:sz="4" w:space="0"/>
              <w:bottom w:val="single" w:color="000000" w:sz="4" w:space="0"/>
              <w:right w:val="single" w:color="000000" w:sz="4" w:space="0"/>
            </w:tcBorders>
            <w:noWrap w:val="0"/>
            <w:vAlign w:val="center"/>
          </w:tcPr>
          <w:p w14:paraId="20E941BD">
            <w:pPr>
              <w:keepNext w:val="0"/>
              <w:keepLines w:val="0"/>
              <w:widowControl/>
              <w:suppressLineNumbers w:val="0"/>
              <w:jc w:val="center"/>
              <w:textAlignment w:val="center"/>
              <w:rPr>
                <w:rFonts w:hint="eastAsia" w:ascii="宋体" w:hAnsi="宋体" w:eastAsia="宋体" w:cs="宋体"/>
                <w:i w:val="0"/>
                <w:iCs w:val="0"/>
                <w:color w:val="auto"/>
                <w:sz w:val="18"/>
                <w:szCs w:val="18"/>
                <w:u w:val="none"/>
                <w:lang w:eastAsia="zh-CN"/>
              </w:rPr>
            </w:pPr>
            <w:r>
              <w:rPr>
                <w:rFonts w:hint="eastAsia" w:ascii="宋体" w:hAnsi="宋体" w:cs="宋体"/>
                <w:i w:val="0"/>
                <w:iCs w:val="0"/>
                <w:color w:val="auto"/>
                <w:sz w:val="18"/>
                <w:szCs w:val="18"/>
                <w:u w:val="none"/>
                <w:lang w:val="en-US" w:eastAsia="zh-CN"/>
              </w:rPr>
              <w:t>长河，</w:t>
            </w:r>
            <w:r>
              <w:rPr>
                <w:rFonts w:hint="eastAsia" w:ascii="宋体" w:hAnsi="宋体" w:eastAsia="宋体" w:cs="宋体"/>
                <w:i w:val="0"/>
                <w:iCs w:val="0"/>
                <w:color w:val="auto"/>
                <w:sz w:val="18"/>
                <w:szCs w:val="18"/>
                <w:u w:val="none"/>
              </w:rPr>
              <w:t>广东爱上体育</w:t>
            </w:r>
            <w:r>
              <w:rPr>
                <w:rFonts w:hint="eastAsia" w:ascii="宋体" w:hAnsi="宋体" w:cs="宋体"/>
                <w:i w:val="0"/>
                <w:iCs w:val="0"/>
                <w:color w:val="auto"/>
                <w:sz w:val="18"/>
                <w:szCs w:val="18"/>
                <w:u w:val="none"/>
                <w:lang w:eastAsia="zh-CN"/>
              </w:rPr>
              <w:t>，广东杰锐</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2F27274C">
            <w:pPr>
              <w:jc w:val="center"/>
              <w:rPr>
                <w:rFonts w:hint="eastAsia" w:ascii="宋体" w:hAnsi="宋体" w:eastAsia="宋体" w:cs="宋体"/>
                <w:i w:val="0"/>
                <w:iCs w:val="0"/>
                <w:color w:val="auto"/>
                <w:sz w:val="18"/>
                <w:szCs w:val="18"/>
                <w:u w:val="none"/>
              </w:rPr>
            </w:pPr>
          </w:p>
        </w:tc>
      </w:tr>
      <w:tr w14:paraId="2BF1ED57">
        <w:tblPrEx>
          <w:tblCellMar>
            <w:top w:w="0" w:type="dxa"/>
            <w:left w:w="108" w:type="dxa"/>
            <w:bottom w:w="0" w:type="dxa"/>
            <w:right w:w="108" w:type="dxa"/>
          </w:tblCellMar>
        </w:tblPrEx>
        <w:trPr>
          <w:trHeight w:val="369"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5F4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2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EF03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rPr>
              <w:t>混合型塑胶跑道</w:t>
            </w:r>
            <w:r>
              <w:rPr>
                <w:rFonts w:hint="eastAsia" w:ascii="宋体" w:hAnsi="宋体" w:cs="宋体"/>
                <w:i w:val="0"/>
                <w:iCs w:val="0"/>
                <w:color w:val="auto"/>
                <w:sz w:val="18"/>
                <w:szCs w:val="18"/>
                <w:u w:val="none"/>
                <w:lang w:val="en-US" w:eastAsia="zh-CN"/>
              </w:rPr>
              <w:t xml:space="preserve"> 20mm</w:t>
            </w:r>
          </w:p>
        </w:tc>
        <w:tc>
          <w:tcPr>
            <w:tcW w:w="3300" w:type="dxa"/>
            <w:tcBorders>
              <w:top w:val="single" w:color="000000" w:sz="4" w:space="0"/>
              <w:left w:val="single" w:color="000000" w:sz="4" w:space="0"/>
              <w:bottom w:val="single" w:color="000000" w:sz="4" w:space="0"/>
              <w:right w:val="single" w:color="000000" w:sz="4" w:space="0"/>
            </w:tcBorders>
            <w:noWrap w:val="0"/>
            <w:vAlign w:val="center"/>
          </w:tcPr>
          <w:p w14:paraId="09DDF8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长河，</w:t>
            </w:r>
            <w:r>
              <w:rPr>
                <w:rFonts w:hint="eastAsia" w:ascii="宋体" w:hAnsi="宋体" w:eastAsia="宋体" w:cs="宋体"/>
                <w:i w:val="0"/>
                <w:iCs w:val="0"/>
                <w:color w:val="auto"/>
                <w:sz w:val="18"/>
                <w:szCs w:val="18"/>
                <w:u w:val="none"/>
              </w:rPr>
              <w:t>广东爱上体育</w:t>
            </w:r>
            <w:r>
              <w:rPr>
                <w:rFonts w:hint="eastAsia" w:ascii="宋体" w:hAnsi="宋体" w:cs="宋体"/>
                <w:i w:val="0"/>
                <w:iCs w:val="0"/>
                <w:color w:val="auto"/>
                <w:sz w:val="18"/>
                <w:szCs w:val="18"/>
                <w:u w:val="none"/>
                <w:lang w:eastAsia="zh-CN"/>
              </w:rPr>
              <w:t>，广东杰锐</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4C7182AC">
            <w:pPr>
              <w:jc w:val="center"/>
              <w:rPr>
                <w:rFonts w:hint="eastAsia" w:ascii="宋体" w:hAnsi="宋体" w:eastAsia="宋体" w:cs="宋体"/>
                <w:i w:val="0"/>
                <w:iCs w:val="0"/>
                <w:color w:val="auto"/>
                <w:sz w:val="18"/>
                <w:szCs w:val="18"/>
                <w:u w:val="none"/>
              </w:rPr>
            </w:pPr>
          </w:p>
        </w:tc>
      </w:tr>
    </w:tbl>
    <w:p w14:paraId="0B3A04F9">
      <w:pPr>
        <w:numPr>
          <w:ilvl w:val="0"/>
          <w:numId w:val="0"/>
        </w:numPr>
        <w:tabs>
          <w:tab w:val="left" w:pos="1080"/>
          <w:tab w:val="left" w:pos="1480"/>
          <w:tab w:val="left" w:pos="8400"/>
          <w:tab w:val="left" w:pos="9180"/>
        </w:tabs>
        <w:spacing w:line="360" w:lineRule="auto"/>
        <w:ind w:left="480" w:leftChars="0" w:right="25" w:rightChars="12"/>
        <w:outlineLvl w:val="0"/>
        <w:rPr>
          <w:rFonts w:hint="eastAsia" w:ascii="宋体" w:hAnsi="宋体" w:eastAsia="宋体" w:cs="宋体"/>
          <w:b/>
          <w:bCs/>
          <w:color w:val="auto"/>
          <w:sz w:val="24"/>
          <w:lang w:eastAsia="zh-CN"/>
        </w:rPr>
      </w:pPr>
    </w:p>
    <w:p w14:paraId="729DBD48">
      <w:pPr>
        <w:numPr>
          <w:ilvl w:val="0"/>
          <w:numId w:val="0"/>
        </w:numPr>
        <w:tabs>
          <w:tab w:val="left" w:pos="1080"/>
          <w:tab w:val="left" w:pos="1480"/>
          <w:tab w:val="left" w:pos="8400"/>
          <w:tab w:val="left" w:pos="9180"/>
        </w:tabs>
        <w:spacing w:line="360" w:lineRule="auto"/>
        <w:ind w:left="480" w:leftChars="0" w:right="25" w:rightChars="12"/>
        <w:outlineLvl w:val="0"/>
        <w:rPr>
          <w:rFonts w:hint="eastAsia" w:ascii="宋体" w:hAnsi="宋体" w:eastAsia="宋体" w:cs="宋体"/>
          <w:b/>
          <w:bCs/>
          <w:color w:val="auto"/>
          <w:sz w:val="24"/>
          <w:lang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姚体">
    <w:altName w:val="宋体"/>
    <w:panose1 w:val="02010601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9A1C6">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F1340">
                          <w:pPr>
                            <w:pStyle w:val="10"/>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BF1340">
                    <w:pPr>
                      <w:pStyle w:val="10"/>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1540B4"/>
    <w:multiLevelType w:val="multilevel"/>
    <w:tmpl w:val="0F1540B4"/>
    <w:lvl w:ilvl="0" w:tentative="0">
      <w:start w:val="1"/>
      <w:numFmt w:val="japaneseCounting"/>
      <w:lvlText w:val="%1、"/>
      <w:lvlJc w:val="left"/>
      <w:pPr>
        <w:tabs>
          <w:tab w:val="left" w:pos="824"/>
        </w:tabs>
        <w:ind w:left="824" w:hanging="480"/>
      </w:pPr>
      <w:rPr>
        <w:rFonts w:hint="default"/>
      </w:rPr>
    </w:lvl>
    <w:lvl w:ilvl="1" w:tentative="0">
      <w:start w:val="1"/>
      <w:numFmt w:val="lowerLetter"/>
      <w:lvlText w:val="%2)"/>
      <w:lvlJc w:val="left"/>
      <w:pPr>
        <w:tabs>
          <w:tab w:val="left" w:pos="1184"/>
        </w:tabs>
        <w:ind w:left="1184" w:hanging="420"/>
      </w:pPr>
    </w:lvl>
    <w:lvl w:ilvl="2" w:tentative="0">
      <w:start w:val="1"/>
      <w:numFmt w:val="lowerRoman"/>
      <w:lvlText w:val="%3."/>
      <w:lvlJc w:val="right"/>
      <w:pPr>
        <w:tabs>
          <w:tab w:val="left" w:pos="1604"/>
        </w:tabs>
        <w:ind w:left="1604" w:hanging="420"/>
      </w:pPr>
    </w:lvl>
    <w:lvl w:ilvl="3" w:tentative="0">
      <w:start w:val="1"/>
      <w:numFmt w:val="decimal"/>
      <w:lvlText w:val="%4."/>
      <w:lvlJc w:val="left"/>
      <w:pPr>
        <w:tabs>
          <w:tab w:val="left" w:pos="2024"/>
        </w:tabs>
        <w:ind w:left="2024" w:hanging="420"/>
      </w:pPr>
    </w:lvl>
    <w:lvl w:ilvl="4" w:tentative="0">
      <w:start w:val="1"/>
      <w:numFmt w:val="lowerLetter"/>
      <w:lvlText w:val="%5)"/>
      <w:lvlJc w:val="left"/>
      <w:pPr>
        <w:tabs>
          <w:tab w:val="left" w:pos="2444"/>
        </w:tabs>
        <w:ind w:left="2444" w:hanging="420"/>
      </w:pPr>
    </w:lvl>
    <w:lvl w:ilvl="5" w:tentative="0">
      <w:start w:val="1"/>
      <w:numFmt w:val="lowerRoman"/>
      <w:lvlText w:val="%6."/>
      <w:lvlJc w:val="right"/>
      <w:pPr>
        <w:tabs>
          <w:tab w:val="left" w:pos="2864"/>
        </w:tabs>
        <w:ind w:left="2864" w:hanging="420"/>
      </w:pPr>
    </w:lvl>
    <w:lvl w:ilvl="6" w:tentative="0">
      <w:start w:val="1"/>
      <w:numFmt w:val="decimal"/>
      <w:lvlText w:val="%7."/>
      <w:lvlJc w:val="left"/>
      <w:pPr>
        <w:tabs>
          <w:tab w:val="left" w:pos="3284"/>
        </w:tabs>
        <w:ind w:left="3284" w:hanging="420"/>
      </w:pPr>
    </w:lvl>
    <w:lvl w:ilvl="7" w:tentative="0">
      <w:start w:val="1"/>
      <w:numFmt w:val="lowerLetter"/>
      <w:lvlText w:val="%8)"/>
      <w:lvlJc w:val="left"/>
      <w:pPr>
        <w:tabs>
          <w:tab w:val="left" w:pos="3704"/>
        </w:tabs>
        <w:ind w:left="3704" w:hanging="420"/>
      </w:pPr>
    </w:lvl>
    <w:lvl w:ilvl="8" w:tentative="0">
      <w:start w:val="1"/>
      <w:numFmt w:val="lowerRoman"/>
      <w:lvlText w:val="%9."/>
      <w:lvlJc w:val="right"/>
      <w:pPr>
        <w:tabs>
          <w:tab w:val="left" w:pos="4124"/>
        </w:tabs>
        <w:ind w:left="4124" w:hanging="420"/>
      </w:pPr>
    </w:lvl>
  </w:abstractNum>
  <w:abstractNum w:abstractNumId="1">
    <w:nsid w:val="16D17626"/>
    <w:multiLevelType w:val="multilevel"/>
    <w:tmpl w:val="16D17626"/>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1BAF31B"/>
    <w:multiLevelType w:val="singleLevel"/>
    <w:tmpl w:val="21BAF31B"/>
    <w:lvl w:ilvl="0" w:tentative="0">
      <w:start w:val="1"/>
      <w:numFmt w:val="chineseCounting"/>
      <w:suff w:val="nothing"/>
      <w:lvlText w:val="（%1）"/>
      <w:lvlJc w:val="left"/>
      <w:rPr>
        <w:rFonts w:hint="eastAsia"/>
      </w:rPr>
    </w:lvl>
  </w:abstractNum>
  <w:abstractNum w:abstractNumId="3">
    <w:nsid w:val="4BBE05D9"/>
    <w:multiLevelType w:val="multilevel"/>
    <w:tmpl w:val="4BBE05D9"/>
    <w:lvl w:ilvl="0" w:tentative="0">
      <w:start w:val="1"/>
      <w:numFmt w:val="decimal"/>
      <w:lvlText w:val="%1、"/>
      <w:lvlJc w:val="left"/>
      <w:pPr>
        <w:tabs>
          <w:tab w:val="left" w:pos="1350"/>
        </w:tabs>
        <w:ind w:left="1350" w:hanging="81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xYmM4YWE1Y2IxZDAyNTVkYjczZTg5ZWE1NThlMTcifQ=="/>
  </w:docVars>
  <w:rsids>
    <w:rsidRoot w:val="00172A27"/>
    <w:rsid w:val="00002FD5"/>
    <w:rsid w:val="00003382"/>
    <w:rsid w:val="00017DD7"/>
    <w:rsid w:val="00022DBE"/>
    <w:rsid w:val="000252B0"/>
    <w:rsid w:val="0003715D"/>
    <w:rsid w:val="00037ED1"/>
    <w:rsid w:val="00040446"/>
    <w:rsid w:val="0004426D"/>
    <w:rsid w:val="00060C35"/>
    <w:rsid w:val="0006468C"/>
    <w:rsid w:val="00064BBF"/>
    <w:rsid w:val="0006784B"/>
    <w:rsid w:val="0007227A"/>
    <w:rsid w:val="0008402E"/>
    <w:rsid w:val="0008666A"/>
    <w:rsid w:val="000A1663"/>
    <w:rsid w:val="000A4FEB"/>
    <w:rsid w:val="000A670E"/>
    <w:rsid w:val="000A6C0A"/>
    <w:rsid w:val="000B7F06"/>
    <w:rsid w:val="000C0823"/>
    <w:rsid w:val="000C5168"/>
    <w:rsid w:val="000D085E"/>
    <w:rsid w:val="000D5479"/>
    <w:rsid w:val="000D5A41"/>
    <w:rsid w:val="000E0394"/>
    <w:rsid w:val="000F36CE"/>
    <w:rsid w:val="000F7DF2"/>
    <w:rsid w:val="00103FFC"/>
    <w:rsid w:val="00105AD5"/>
    <w:rsid w:val="00105B98"/>
    <w:rsid w:val="00105DA1"/>
    <w:rsid w:val="001119E0"/>
    <w:rsid w:val="0012463B"/>
    <w:rsid w:val="001261A9"/>
    <w:rsid w:val="0014055C"/>
    <w:rsid w:val="001405D3"/>
    <w:rsid w:val="0015661D"/>
    <w:rsid w:val="00164D4A"/>
    <w:rsid w:val="00167DF8"/>
    <w:rsid w:val="00171BCD"/>
    <w:rsid w:val="00172971"/>
    <w:rsid w:val="0018105E"/>
    <w:rsid w:val="00182D2A"/>
    <w:rsid w:val="00184071"/>
    <w:rsid w:val="001920B8"/>
    <w:rsid w:val="001975BA"/>
    <w:rsid w:val="001A31D2"/>
    <w:rsid w:val="001A5415"/>
    <w:rsid w:val="001C52EF"/>
    <w:rsid w:val="001C67D4"/>
    <w:rsid w:val="001C6F72"/>
    <w:rsid w:val="001D577D"/>
    <w:rsid w:val="001E238C"/>
    <w:rsid w:val="001E3055"/>
    <w:rsid w:val="001E5BD4"/>
    <w:rsid w:val="001E630A"/>
    <w:rsid w:val="001F611C"/>
    <w:rsid w:val="0020672A"/>
    <w:rsid w:val="002067F6"/>
    <w:rsid w:val="0021050E"/>
    <w:rsid w:val="00223E36"/>
    <w:rsid w:val="0022602D"/>
    <w:rsid w:val="0022761F"/>
    <w:rsid w:val="00230E4A"/>
    <w:rsid w:val="00232681"/>
    <w:rsid w:val="0023287E"/>
    <w:rsid w:val="00237990"/>
    <w:rsid w:val="00252B20"/>
    <w:rsid w:val="00262182"/>
    <w:rsid w:val="00263421"/>
    <w:rsid w:val="00264BC0"/>
    <w:rsid w:val="00267401"/>
    <w:rsid w:val="00271419"/>
    <w:rsid w:val="002770D7"/>
    <w:rsid w:val="00280DEC"/>
    <w:rsid w:val="00286299"/>
    <w:rsid w:val="00292C33"/>
    <w:rsid w:val="002A0B9C"/>
    <w:rsid w:val="002A2D99"/>
    <w:rsid w:val="002A6ADF"/>
    <w:rsid w:val="002A7E37"/>
    <w:rsid w:val="002B0AB4"/>
    <w:rsid w:val="002C1AD7"/>
    <w:rsid w:val="002C31FE"/>
    <w:rsid w:val="002C67CD"/>
    <w:rsid w:val="002D0ED2"/>
    <w:rsid w:val="002E5DBE"/>
    <w:rsid w:val="002F14F1"/>
    <w:rsid w:val="002F7A51"/>
    <w:rsid w:val="003003F1"/>
    <w:rsid w:val="00306A65"/>
    <w:rsid w:val="0031238F"/>
    <w:rsid w:val="00313C0E"/>
    <w:rsid w:val="00322E2E"/>
    <w:rsid w:val="00325B71"/>
    <w:rsid w:val="00336DAC"/>
    <w:rsid w:val="00337DEC"/>
    <w:rsid w:val="00342770"/>
    <w:rsid w:val="0035097F"/>
    <w:rsid w:val="003643E6"/>
    <w:rsid w:val="003671A9"/>
    <w:rsid w:val="00370AF9"/>
    <w:rsid w:val="003718D0"/>
    <w:rsid w:val="00381BAB"/>
    <w:rsid w:val="00383F78"/>
    <w:rsid w:val="00386963"/>
    <w:rsid w:val="00387DD9"/>
    <w:rsid w:val="003A01BC"/>
    <w:rsid w:val="003A333D"/>
    <w:rsid w:val="003A3D86"/>
    <w:rsid w:val="003D3199"/>
    <w:rsid w:val="003F31B6"/>
    <w:rsid w:val="003F5327"/>
    <w:rsid w:val="003F67EF"/>
    <w:rsid w:val="00400412"/>
    <w:rsid w:val="00404F74"/>
    <w:rsid w:val="004055F0"/>
    <w:rsid w:val="0041666C"/>
    <w:rsid w:val="00423631"/>
    <w:rsid w:val="00433FAF"/>
    <w:rsid w:val="00434DBC"/>
    <w:rsid w:val="004350D2"/>
    <w:rsid w:val="00440972"/>
    <w:rsid w:val="00445353"/>
    <w:rsid w:val="00447EC0"/>
    <w:rsid w:val="00451202"/>
    <w:rsid w:val="00451FA8"/>
    <w:rsid w:val="00471CA0"/>
    <w:rsid w:val="00477DFF"/>
    <w:rsid w:val="00485A35"/>
    <w:rsid w:val="004875B5"/>
    <w:rsid w:val="00487D9A"/>
    <w:rsid w:val="004904D6"/>
    <w:rsid w:val="00494DD6"/>
    <w:rsid w:val="004B4017"/>
    <w:rsid w:val="004B49D5"/>
    <w:rsid w:val="004E1DD5"/>
    <w:rsid w:val="004E1F4E"/>
    <w:rsid w:val="004E2EA2"/>
    <w:rsid w:val="004E4DD1"/>
    <w:rsid w:val="004E5AB6"/>
    <w:rsid w:val="00505C27"/>
    <w:rsid w:val="0051102C"/>
    <w:rsid w:val="00513561"/>
    <w:rsid w:val="005156A2"/>
    <w:rsid w:val="005157AA"/>
    <w:rsid w:val="005168A3"/>
    <w:rsid w:val="00520419"/>
    <w:rsid w:val="00524FAF"/>
    <w:rsid w:val="00543B17"/>
    <w:rsid w:val="00544E3C"/>
    <w:rsid w:val="00545F63"/>
    <w:rsid w:val="0055702C"/>
    <w:rsid w:val="00570B6F"/>
    <w:rsid w:val="00581391"/>
    <w:rsid w:val="00583C9D"/>
    <w:rsid w:val="005922AF"/>
    <w:rsid w:val="00592630"/>
    <w:rsid w:val="00595366"/>
    <w:rsid w:val="005959E2"/>
    <w:rsid w:val="005A785C"/>
    <w:rsid w:val="005B0963"/>
    <w:rsid w:val="005C19D9"/>
    <w:rsid w:val="005C48CB"/>
    <w:rsid w:val="005C5273"/>
    <w:rsid w:val="005D137C"/>
    <w:rsid w:val="005D1D9B"/>
    <w:rsid w:val="005E0ACA"/>
    <w:rsid w:val="005E1C86"/>
    <w:rsid w:val="005E216F"/>
    <w:rsid w:val="005E4F32"/>
    <w:rsid w:val="005E73B4"/>
    <w:rsid w:val="005E7B72"/>
    <w:rsid w:val="00602FBA"/>
    <w:rsid w:val="00603F73"/>
    <w:rsid w:val="006057F8"/>
    <w:rsid w:val="00617294"/>
    <w:rsid w:val="006176BF"/>
    <w:rsid w:val="00631F7B"/>
    <w:rsid w:val="006356D9"/>
    <w:rsid w:val="0064399A"/>
    <w:rsid w:val="00645D21"/>
    <w:rsid w:val="00650C2B"/>
    <w:rsid w:val="00654A92"/>
    <w:rsid w:val="006554A9"/>
    <w:rsid w:val="00664253"/>
    <w:rsid w:val="00665EBF"/>
    <w:rsid w:val="0068440B"/>
    <w:rsid w:val="00687F04"/>
    <w:rsid w:val="006907FD"/>
    <w:rsid w:val="006A2DF6"/>
    <w:rsid w:val="006A35AC"/>
    <w:rsid w:val="006B6D4D"/>
    <w:rsid w:val="006D146A"/>
    <w:rsid w:val="006D4C3C"/>
    <w:rsid w:val="006E68EC"/>
    <w:rsid w:val="006E7478"/>
    <w:rsid w:val="006F46AF"/>
    <w:rsid w:val="006F492A"/>
    <w:rsid w:val="00702411"/>
    <w:rsid w:val="007073CA"/>
    <w:rsid w:val="007168AF"/>
    <w:rsid w:val="00716AD4"/>
    <w:rsid w:val="00723B50"/>
    <w:rsid w:val="00726DBD"/>
    <w:rsid w:val="007308A8"/>
    <w:rsid w:val="00735161"/>
    <w:rsid w:val="0073693D"/>
    <w:rsid w:val="00736EB1"/>
    <w:rsid w:val="00740248"/>
    <w:rsid w:val="007459F8"/>
    <w:rsid w:val="00746311"/>
    <w:rsid w:val="00751B5B"/>
    <w:rsid w:val="00754348"/>
    <w:rsid w:val="00760F2A"/>
    <w:rsid w:val="00762287"/>
    <w:rsid w:val="007624DB"/>
    <w:rsid w:val="0078016A"/>
    <w:rsid w:val="00782DAB"/>
    <w:rsid w:val="00783B62"/>
    <w:rsid w:val="00784214"/>
    <w:rsid w:val="0078537C"/>
    <w:rsid w:val="00793212"/>
    <w:rsid w:val="00796FAB"/>
    <w:rsid w:val="007A2EC1"/>
    <w:rsid w:val="007B58AC"/>
    <w:rsid w:val="007C4B40"/>
    <w:rsid w:val="007E0CB0"/>
    <w:rsid w:val="007E7A4C"/>
    <w:rsid w:val="007F2971"/>
    <w:rsid w:val="007F3E52"/>
    <w:rsid w:val="00811301"/>
    <w:rsid w:val="00814E2F"/>
    <w:rsid w:val="00815729"/>
    <w:rsid w:val="00822950"/>
    <w:rsid w:val="00831095"/>
    <w:rsid w:val="00836917"/>
    <w:rsid w:val="008445A1"/>
    <w:rsid w:val="00851910"/>
    <w:rsid w:val="008529AB"/>
    <w:rsid w:val="00853614"/>
    <w:rsid w:val="0085458F"/>
    <w:rsid w:val="008567F9"/>
    <w:rsid w:val="00857862"/>
    <w:rsid w:val="00866D8E"/>
    <w:rsid w:val="008813CA"/>
    <w:rsid w:val="00885D4F"/>
    <w:rsid w:val="008931A5"/>
    <w:rsid w:val="008A0721"/>
    <w:rsid w:val="008B3544"/>
    <w:rsid w:val="008B42AB"/>
    <w:rsid w:val="008C144F"/>
    <w:rsid w:val="008C2852"/>
    <w:rsid w:val="008C4F26"/>
    <w:rsid w:val="008C7DBA"/>
    <w:rsid w:val="008D2EFF"/>
    <w:rsid w:val="008E0253"/>
    <w:rsid w:val="008E2DE9"/>
    <w:rsid w:val="008E3FCF"/>
    <w:rsid w:val="008E4BF3"/>
    <w:rsid w:val="008F2698"/>
    <w:rsid w:val="008F313C"/>
    <w:rsid w:val="009057C0"/>
    <w:rsid w:val="009063D8"/>
    <w:rsid w:val="00911E78"/>
    <w:rsid w:val="00912B97"/>
    <w:rsid w:val="00917A18"/>
    <w:rsid w:val="0092761A"/>
    <w:rsid w:val="00930CE6"/>
    <w:rsid w:val="00934DC8"/>
    <w:rsid w:val="00937376"/>
    <w:rsid w:val="00940D0E"/>
    <w:rsid w:val="00941A75"/>
    <w:rsid w:val="0094270F"/>
    <w:rsid w:val="009451BD"/>
    <w:rsid w:val="00957626"/>
    <w:rsid w:val="00963933"/>
    <w:rsid w:val="00967C6B"/>
    <w:rsid w:val="0097440C"/>
    <w:rsid w:val="00985805"/>
    <w:rsid w:val="009A2D5E"/>
    <w:rsid w:val="009B6F99"/>
    <w:rsid w:val="009C632E"/>
    <w:rsid w:val="009D16A0"/>
    <w:rsid w:val="009D54F8"/>
    <w:rsid w:val="009D677D"/>
    <w:rsid w:val="009E5AC1"/>
    <w:rsid w:val="009F1A46"/>
    <w:rsid w:val="009F66DD"/>
    <w:rsid w:val="00A05BD8"/>
    <w:rsid w:val="00A07D17"/>
    <w:rsid w:val="00A13AC1"/>
    <w:rsid w:val="00A13B75"/>
    <w:rsid w:val="00A17202"/>
    <w:rsid w:val="00A2250E"/>
    <w:rsid w:val="00A252D2"/>
    <w:rsid w:val="00A34718"/>
    <w:rsid w:val="00A36153"/>
    <w:rsid w:val="00A411FD"/>
    <w:rsid w:val="00A41921"/>
    <w:rsid w:val="00A43895"/>
    <w:rsid w:val="00A44E67"/>
    <w:rsid w:val="00A47F1D"/>
    <w:rsid w:val="00A50C9E"/>
    <w:rsid w:val="00A51B77"/>
    <w:rsid w:val="00A53487"/>
    <w:rsid w:val="00A62626"/>
    <w:rsid w:val="00A739DA"/>
    <w:rsid w:val="00A739E7"/>
    <w:rsid w:val="00A808F2"/>
    <w:rsid w:val="00A84B75"/>
    <w:rsid w:val="00A8710A"/>
    <w:rsid w:val="00A87735"/>
    <w:rsid w:val="00AA0088"/>
    <w:rsid w:val="00AA1717"/>
    <w:rsid w:val="00AA5708"/>
    <w:rsid w:val="00AA7766"/>
    <w:rsid w:val="00AB07BB"/>
    <w:rsid w:val="00AC151A"/>
    <w:rsid w:val="00AC72CD"/>
    <w:rsid w:val="00AD24D2"/>
    <w:rsid w:val="00AE0417"/>
    <w:rsid w:val="00AE05C9"/>
    <w:rsid w:val="00AE60BC"/>
    <w:rsid w:val="00AF011E"/>
    <w:rsid w:val="00B06424"/>
    <w:rsid w:val="00B117C6"/>
    <w:rsid w:val="00B1183F"/>
    <w:rsid w:val="00B1505A"/>
    <w:rsid w:val="00B16565"/>
    <w:rsid w:val="00B20401"/>
    <w:rsid w:val="00B2467F"/>
    <w:rsid w:val="00B307BF"/>
    <w:rsid w:val="00B3332A"/>
    <w:rsid w:val="00B40E38"/>
    <w:rsid w:val="00B41CCA"/>
    <w:rsid w:val="00B427B3"/>
    <w:rsid w:val="00B46537"/>
    <w:rsid w:val="00B46F4B"/>
    <w:rsid w:val="00B6136A"/>
    <w:rsid w:val="00B94462"/>
    <w:rsid w:val="00B97847"/>
    <w:rsid w:val="00B97D10"/>
    <w:rsid w:val="00BA6A07"/>
    <w:rsid w:val="00BC130A"/>
    <w:rsid w:val="00BC386E"/>
    <w:rsid w:val="00BC4BB3"/>
    <w:rsid w:val="00BD322F"/>
    <w:rsid w:val="00BD4EFF"/>
    <w:rsid w:val="00BD6048"/>
    <w:rsid w:val="00BD6BC1"/>
    <w:rsid w:val="00BD7F0F"/>
    <w:rsid w:val="00BF0BC5"/>
    <w:rsid w:val="00BF5582"/>
    <w:rsid w:val="00C13849"/>
    <w:rsid w:val="00C17D5F"/>
    <w:rsid w:val="00C2227A"/>
    <w:rsid w:val="00C2439D"/>
    <w:rsid w:val="00C3142A"/>
    <w:rsid w:val="00C32792"/>
    <w:rsid w:val="00C37789"/>
    <w:rsid w:val="00C42E0A"/>
    <w:rsid w:val="00C43703"/>
    <w:rsid w:val="00C43CE7"/>
    <w:rsid w:val="00C545FD"/>
    <w:rsid w:val="00C60971"/>
    <w:rsid w:val="00C67124"/>
    <w:rsid w:val="00C73AD7"/>
    <w:rsid w:val="00C73C9E"/>
    <w:rsid w:val="00C7420A"/>
    <w:rsid w:val="00C853AB"/>
    <w:rsid w:val="00C90594"/>
    <w:rsid w:val="00CA281B"/>
    <w:rsid w:val="00CA73EC"/>
    <w:rsid w:val="00CB38CF"/>
    <w:rsid w:val="00CB43F9"/>
    <w:rsid w:val="00CB6B15"/>
    <w:rsid w:val="00CC653E"/>
    <w:rsid w:val="00CD1186"/>
    <w:rsid w:val="00CD6BF6"/>
    <w:rsid w:val="00CE2D7F"/>
    <w:rsid w:val="00CE4E8C"/>
    <w:rsid w:val="00CF3AE9"/>
    <w:rsid w:val="00CF7715"/>
    <w:rsid w:val="00D02A1B"/>
    <w:rsid w:val="00D04CE5"/>
    <w:rsid w:val="00D10408"/>
    <w:rsid w:val="00D12F27"/>
    <w:rsid w:val="00D14405"/>
    <w:rsid w:val="00D15D24"/>
    <w:rsid w:val="00D27C93"/>
    <w:rsid w:val="00D309DB"/>
    <w:rsid w:val="00D30CBF"/>
    <w:rsid w:val="00D318D5"/>
    <w:rsid w:val="00D4683C"/>
    <w:rsid w:val="00D47CE3"/>
    <w:rsid w:val="00D6212F"/>
    <w:rsid w:val="00D6575F"/>
    <w:rsid w:val="00D7191F"/>
    <w:rsid w:val="00D808FE"/>
    <w:rsid w:val="00D8408A"/>
    <w:rsid w:val="00D97672"/>
    <w:rsid w:val="00DA1F33"/>
    <w:rsid w:val="00DB3FFC"/>
    <w:rsid w:val="00DC09AD"/>
    <w:rsid w:val="00DD1FC9"/>
    <w:rsid w:val="00DD2223"/>
    <w:rsid w:val="00DE61C4"/>
    <w:rsid w:val="00DE6A1A"/>
    <w:rsid w:val="00DF0832"/>
    <w:rsid w:val="00DF5CB7"/>
    <w:rsid w:val="00DF7F12"/>
    <w:rsid w:val="00E02217"/>
    <w:rsid w:val="00E022C0"/>
    <w:rsid w:val="00E14BD2"/>
    <w:rsid w:val="00E2117D"/>
    <w:rsid w:val="00E21D61"/>
    <w:rsid w:val="00E36B77"/>
    <w:rsid w:val="00E4155F"/>
    <w:rsid w:val="00E46DD7"/>
    <w:rsid w:val="00E47816"/>
    <w:rsid w:val="00E47E82"/>
    <w:rsid w:val="00E5003A"/>
    <w:rsid w:val="00E5370B"/>
    <w:rsid w:val="00E54BE8"/>
    <w:rsid w:val="00E63E9C"/>
    <w:rsid w:val="00EA14F1"/>
    <w:rsid w:val="00EB2017"/>
    <w:rsid w:val="00EB4111"/>
    <w:rsid w:val="00EB4A0E"/>
    <w:rsid w:val="00EC0612"/>
    <w:rsid w:val="00EC2D69"/>
    <w:rsid w:val="00EC4BC1"/>
    <w:rsid w:val="00EC778F"/>
    <w:rsid w:val="00ED5B40"/>
    <w:rsid w:val="00ED6D1F"/>
    <w:rsid w:val="00EE0DA9"/>
    <w:rsid w:val="00EE5FF1"/>
    <w:rsid w:val="00F00332"/>
    <w:rsid w:val="00F00769"/>
    <w:rsid w:val="00F00ABE"/>
    <w:rsid w:val="00F07150"/>
    <w:rsid w:val="00F15C55"/>
    <w:rsid w:val="00F20D02"/>
    <w:rsid w:val="00F3472A"/>
    <w:rsid w:val="00F4065C"/>
    <w:rsid w:val="00F4342D"/>
    <w:rsid w:val="00F5249D"/>
    <w:rsid w:val="00F5582A"/>
    <w:rsid w:val="00F70001"/>
    <w:rsid w:val="00F84EDF"/>
    <w:rsid w:val="00F8531D"/>
    <w:rsid w:val="00FB3A9D"/>
    <w:rsid w:val="00FC1193"/>
    <w:rsid w:val="00FC12D2"/>
    <w:rsid w:val="00FC2A32"/>
    <w:rsid w:val="00FC4C22"/>
    <w:rsid w:val="00FC7646"/>
    <w:rsid w:val="00FE3519"/>
    <w:rsid w:val="00FE4CD5"/>
    <w:rsid w:val="00FE4F68"/>
    <w:rsid w:val="00FE5571"/>
    <w:rsid w:val="00FF1B7F"/>
    <w:rsid w:val="00FF6EA3"/>
    <w:rsid w:val="013D7CE4"/>
    <w:rsid w:val="0219677F"/>
    <w:rsid w:val="02572632"/>
    <w:rsid w:val="02EE59E6"/>
    <w:rsid w:val="038C2B4C"/>
    <w:rsid w:val="03B46204"/>
    <w:rsid w:val="04656C8C"/>
    <w:rsid w:val="046659D2"/>
    <w:rsid w:val="04785F18"/>
    <w:rsid w:val="052851DF"/>
    <w:rsid w:val="05D13AC9"/>
    <w:rsid w:val="063D2F0C"/>
    <w:rsid w:val="076A36FF"/>
    <w:rsid w:val="08002443"/>
    <w:rsid w:val="0858402D"/>
    <w:rsid w:val="09976821"/>
    <w:rsid w:val="09B9285C"/>
    <w:rsid w:val="09C5060B"/>
    <w:rsid w:val="0B0650AD"/>
    <w:rsid w:val="0B1D77DC"/>
    <w:rsid w:val="0BB1242F"/>
    <w:rsid w:val="0C590374"/>
    <w:rsid w:val="0DE153C0"/>
    <w:rsid w:val="0F07055B"/>
    <w:rsid w:val="0F5E7E5A"/>
    <w:rsid w:val="0F8A3E81"/>
    <w:rsid w:val="0F963D78"/>
    <w:rsid w:val="0FC47A9F"/>
    <w:rsid w:val="104A7DCD"/>
    <w:rsid w:val="104E2BEE"/>
    <w:rsid w:val="123260DB"/>
    <w:rsid w:val="12C36BEA"/>
    <w:rsid w:val="1318044C"/>
    <w:rsid w:val="132E19F8"/>
    <w:rsid w:val="14EF5D19"/>
    <w:rsid w:val="15EB4262"/>
    <w:rsid w:val="172C6D7E"/>
    <w:rsid w:val="17545782"/>
    <w:rsid w:val="191441EF"/>
    <w:rsid w:val="19AF7AFF"/>
    <w:rsid w:val="19FB69EE"/>
    <w:rsid w:val="1A742B0A"/>
    <w:rsid w:val="1BB80AAE"/>
    <w:rsid w:val="1BC142AA"/>
    <w:rsid w:val="1BE560E6"/>
    <w:rsid w:val="1C2B5B81"/>
    <w:rsid w:val="1C3539A5"/>
    <w:rsid w:val="1CA175C8"/>
    <w:rsid w:val="1CBB07EC"/>
    <w:rsid w:val="1CDA1CCB"/>
    <w:rsid w:val="1D860E2F"/>
    <w:rsid w:val="1E053FE5"/>
    <w:rsid w:val="1E1207BA"/>
    <w:rsid w:val="1E8D086C"/>
    <w:rsid w:val="1F38206B"/>
    <w:rsid w:val="1F6C157B"/>
    <w:rsid w:val="1F6D153B"/>
    <w:rsid w:val="1F6D256E"/>
    <w:rsid w:val="1FFA5B7D"/>
    <w:rsid w:val="20016901"/>
    <w:rsid w:val="204B1825"/>
    <w:rsid w:val="204E2B1A"/>
    <w:rsid w:val="21A41FA3"/>
    <w:rsid w:val="21DB3EF9"/>
    <w:rsid w:val="22F175C6"/>
    <w:rsid w:val="23793A16"/>
    <w:rsid w:val="23A45B6E"/>
    <w:rsid w:val="242353C3"/>
    <w:rsid w:val="243112C3"/>
    <w:rsid w:val="248767AB"/>
    <w:rsid w:val="24CD4D8B"/>
    <w:rsid w:val="2655542C"/>
    <w:rsid w:val="271A1190"/>
    <w:rsid w:val="27C97169"/>
    <w:rsid w:val="28036755"/>
    <w:rsid w:val="28E44E5A"/>
    <w:rsid w:val="292173C4"/>
    <w:rsid w:val="2A10754D"/>
    <w:rsid w:val="2A564DF4"/>
    <w:rsid w:val="2A6B16B7"/>
    <w:rsid w:val="2B54647E"/>
    <w:rsid w:val="2B717030"/>
    <w:rsid w:val="2C4233F5"/>
    <w:rsid w:val="2C657788"/>
    <w:rsid w:val="2CE23C7B"/>
    <w:rsid w:val="2CFB4412"/>
    <w:rsid w:val="2DB0240F"/>
    <w:rsid w:val="2E6E0E3B"/>
    <w:rsid w:val="2F515460"/>
    <w:rsid w:val="301B486F"/>
    <w:rsid w:val="30992120"/>
    <w:rsid w:val="30F11B9B"/>
    <w:rsid w:val="31065561"/>
    <w:rsid w:val="3118742B"/>
    <w:rsid w:val="3317646B"/>
    <w:rsid w:val="3362433B"/>
    <w:rsid w:val="339B5F1A"/>
    <w:rsid w:val="35B4432A"/>
    <w:rsid w:val="35D02BA5"/>
    <w:rsid w:val="36AA1C39"/>
    <w:rsid w:val="36B2792C"/>
    <w:rsid w:val="36CE1E92"/>
    <w:rsid w:val="36F85037"/>
    <w:rsid w:val="3805769C"/>
    <w:rsid w:val="38BE13DB"/>
    <w:rsid w:val="390C44D4"/>
    <w:rsid w:val="3A1B3A00"/>
    <w:rsid w:val="3A323073"/>
    <w:rsid w:val="3AD005EF"/>
    <w:rsid w:val="3BD41192"/>
    <w:rsid w:val="3BD92DCE"/>
    <w:rsid w:val="3C9E0486"/>
    <w:rsid w:val="3D1C1746"/>
    <w:rsid w:val="3D5B369C"/>
    <w:rsid w:val="3D7509E5"/>
    <w:rsid w:val="3DA807C1"/>
    <w:rsid w:val="3E0374E0"/>
    <w:rsid w:val="3EA848F4"/>
    <w:rsid w:val="3ED65F6C"/>
    <w:rsid w:val="3F443026"/>
    <w:rsid w:val="403368F1"/>
    <w:rsid w:val="409E241D"/>
    <w:rsid w:val="40C4772B"/>
    <w:rsid w:val="41163007"/>
    <w:rsid w:val="413722F8"/>
    <w:rsid w:val="415900B9"/>
    <w:rsid w:val="41604617"/>
    <w:rsid w:val="41733B91"/>
    <w:rsid w:val="4176709B"/>
    <w:rsid w:val="425C2F3D"/>
    <w:rsid w:val="425E35CE"/>
    <w:rsid w:val="442957C6"/>
    <w:rsid w:val="44AF0A54"/>
    <w:rsid w:val="451C7BB5"/>
    <w:rsid w:val="45710DB8"/>
    <w:rsid w:val="45FF59B3"/>
    <w:rsid w:val="46F778CC"/>
    <w:rsid w:val="47190A09"/>
    <w:rsid w:val="478704C5"/>
    <w:rsid w:val="48382870"/>
    <w:rsid w:val="48D12F3C"/>
    <w:rsid w:val="48E61EA5"/>
    <w:rsid w:val="48EC5605"/>
    <w:rsid w:val="4A014407"/>
    <w:rsid w:val="4ADA1F48"/>
    <w:rsid w:val="4AFF5A62"/>
    <w:rsid w:val="4C9B7C34"/>
    <w:rsid w:val="4D7309FE"/>
    <w:rsid w:val="4E844E06"/>
    <w:rsid w:val="4EEA7FED"/>
    <w:rsid w:val="4FAC2198"/>
    <w:rsid w:val="4FBA4253"/>
    <w:rsid w:val="4FDA7242"/>
    <w:rsid w:val="505B128C"/>
    <w:rsid w:val="508D7F41"/>
    <w:rsid w:val="51A90A23"/>
    <w:rsid w:val="51CF5526"/>
    <w:rsid w:val="51E964FE"/>
    <w:rsid w:val="52123355"/>
    <w:rsid w:val="52602DDE"/>
    <w:rsid w:val="52832953"/>
    <w:rsid w:val="52891055"/>
    <w:rsid w:val="529E0F23"/>
    <w:rsid w:val="53206AC2"/>
    <w:rsid w:val="53226B9B"/>
    <w:rsid w:val="534B535B"/>
    <w:rsid w:val="540C722D"/>
    <w:rsid w:val="540D2AAA"/>
    <w:rsid w:val="541955C0"/>
    <w:rsid w:val="54A23856"/>
    <w:rsid w:val="54BC2D82"/>
    <w:rsid w:val="54F51B60"/>
    <w:rsid w:val="56486BC8"/>
    <w:rsid w:val="569C73B9"/>
    <w:rsid w:val="56B62190"/>
    <w:rsid w:val="56EB067F"/>
    <w:rsid w:val="58006252"/>
    <w:rsid w:val="5822790C"/>
    <w:rsid w:val="587F24DD"/>
    <w:rsid w:val="58B8480D"/>
    <w:rsid w:val="5910311F"/>
    <w:rsid w:val="59386C33"/>
    <w:rsid w:val="59985249"/>
    <w:rsid w:val="59A14FB3"/>
    <w:rsid w:val="59AD4E28"/>
    <w:rsid w:val="5A402DFC"/>
    <w:rsid w:val="5ACB7C5C"/>
    <w:rsid w:val="5B9728A8"/>
    <w:rsid w:val="5BAB06B4"/>
    <w:rsid w:val="5CCF00B4"/>
    <w:rsid w:val="5D424EA6"/>
    <w:rsid w:val="5D573A29"/>
    <w:rsid w:val="5DF115A9"/>
    <w:rsid w:val="5EAD59C9"/>
    <w:rsid w:val="5EB61B49"/>
    <w:rsid w:val="60276126"/>
    <w:rsid w:val="6040434F"/>
    <w:rsid w:val="60562702"/>
    <w:rsid w:val="60B51974"/>
    <w:rsid w:val="60C27029"/>
    <w:rsid w:val="61346999"/>
    <w:rsid w:val="61687968"/>
    <w:rsid w:val="637F02EC"/>
    <w:rsid w:val="64C435BB"/>
    <w:rsid w:val="64F80D7E"/>
    <w:rsid w:val="654E4FF6"/>
    <w:rsid w:val="65FE548A"/>
    <w:rsid w:val="660B6BE4"/>
    <w:rsid w:val="663269B2"/>
    <w:rsid w:val="67461FDF"/>
    <w:rsid w:val="67A21519"/>
    <w:rsid w:val="67A3627E"/>
    <w:rsid w:val="67C54750"/>
    <w:rsid w:val="68D05BD4"/>
    <w:rsid w:val="68F600DE"/>
    <w:rsid w:val="69B7148B"/>
    <w:rsid w:val="69DF3B42"/>
    <w:rsid w:val="6A1B7B8C"/>
    <w:rsid w:val="6A4A0BD5"/>
    <w:rsid w:val="6AB61A89"/>
    <w:rsid w:val="6B530D99"/>
    <w:rsid w:val="6B5F2C63"/>
    <w:rsid w:val="6BCA4D8E"/>
    <w:rsid w:val="6BE63629"/>
    <w:rsid w:val="6C5A7A50"/>
    <w:rsid w:val="6D0D3AD8"/>
    <w:rsid w:val="6D956C9C"/>
    <w:rsid w:val="6F4B2A65"/>
    <w:rsid w:val="71457D7F"/>
    <w:rsid w:val="718F1D12"/>
    <w:rsid w:val="71AE1AA4"/>
    <w:rsid w:val="720A5E88"/>
    <w:rsid w:val="724B53C8"/>
    <w:rsid w:val="73894024"/>
    <w:rsid w:val="743D58B8"/>
    <w:rsid w:val="75E774E1"/>
    <w:rsid w:val="7663508E"/>
    <w:rsid w:val="76A03B7A"/>
    <w:rsid w:val="77247141"/>
    <w:rsid w:val="777D2DFD"/>
    <w:rsid w:val="77F662C5"/>
    <w:rsid w:val="78033995"/>
    <w:rsid w:val="7883171E"/>
    <w:rsid w:val="788E1EB2"/>
    <w:rsid w:val="78D55EFB"/>
    <w:rsid w:val="799C18E2"/>
    <w:rsid w:val="799D69FB"/>
    <w:rsid w:val="79DE7FAB"/>
    <w:rsid w:val="79EC7E5D"/>
    <w:rsid w:val="7A106456"/>
    <w:rsid w:val="7B013CCF"/>
    <w:rsid w:val="7B715D65"/>
    <w:rsid w:val="7CE57BDA"/>
    <w:rsid w:val="7D5904AC"/>
    <w:rsid w:val="7D8526D6"/>
    <w:rsid w:val="7DA71A0B"/>
    <w:rsid w:val="7DB32055"/>
    <w:rsid w:val="7E3E591C"/>
    <w:rsid w:val="7E5A6A7D"/>
    <w:rsid w:val="7EEF3669"/>
    <w:rsid w:val="7FBD70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beforeLines="0" w:afterLines="0"/>
      <w:ind w:firstLine="420"/>
    </w:pPr>
    <w:rPr>
      <w:rFonts w:hint="eastAsia"/>
      <w:sz w:val="28"/>
      <w:szCs w:val="24"/>
    </w:rPr>
  </w:style>
  <w:style w:type="paragraph" w:styleId="3">
    <w:name w:val="Body Text Indent"/>
    <w:basedOn w:val="1"/>
    <w:qFormat/>
    <w:uiPriority w:val="0"/>
    <w:pPr>
      <w:ind w:firstLine="900" w:firstLineChars="300"/>
      <w:jc w:val="left"/>
    </w:pPr>
    <w:rPr>
      <w:rFonts w:hint="eastAsia" w:ascii="黑体" w:eastAsia="黑体"/>
      <w:sz w:val="30"/>
    </w:rPr>
  </w:style>
  <w:style w:type="paragraph" w:styleId="4">
    <w:name w:val="annotation text"/>
    <w:basedOn w:val="1"/>
    <w:qFormat/>
    <w:uiPriority w:val="0"/>
    <w:pPr>
      <w:jc w:val="left"/>
    </w:pPr>
  </w:style>
  <w:style w:type="paragraph" w:styleId="5">
    <w:name w:val="Body Text"/>
    <w:basedOn w:val="1"/>
    <w:qFormat/>
    <w:uiPriority w:val="1"/>
    <w:pPr>
      <w:spacing w:before="1"/>
      <w:ind w:left="780"/>
    </w:pPr>
    <w:rPr>
      <w:rFonts w:ascii="宋体" w:hAnsi="宋体" w:eastAsia="宋体" w:cs="宋体"/>
      <w:sz w:val="24"/>
      <w:szCs w:val="24"/>
      <w:lang w:val="zh-CN" w:eastAsia="zh-CN" w:bidi="zh-CN"/>
    </w:rPr>
  </w:style>
  <w:style w:type="paragraph" w:styleId="6">
    <w:name w:val="Plain Text"/>
    <w:basedOn w:val="1"/>
    <w:qFormat/>
    <w:uiPriority w:val="0"/>
    <w:rPr>
      <w:rFonts w:ascii="宋体" w:hAnsi="Courier New" w:cs="Courier New"/>
      <w:szCs w:val="21"/>
    </w:rPr>
  </w:style>
  <w:style w:type="paragraph" w:styleId="7">
    <w:name w:val="Date"/>
    <w:basedOn w:val="1"/>
    <w:next w:val="1"/>
    <w:qFormat/>
    <w:uiPriority w:val="0"/>
    <w:pPr>
      <w:ind w:left="100" w:leftChars="2500"/>
    </w:pPr>
    <w:rPr>
      <w:rFonts w:ascii="宋体" w:hAnsi="宋体"/>
    </w:rPr>
  </w:style>
  <w:style w:type="paragraph" w:styleId="8">
    <w:name w:val="Body Text Indent 2"/>
    <w:basedOn w:val="1"/>
    <w:qFormat/>
    <w:uiPriority w:val="0"/>
    <w:pPr>
      <w:spacing w:line="360" w:lineRule="auto"/>
      <w:ind w:firstLine="420" w:firstLineChars="200"/>
    </w:pPr>
    <w:rPr>
      <w:rFonts w:ascii="宋体"/>
    </w:rPr>
  </w:style>
  <w:style w:type="paragraph" w:styleId="9">
    <w:name w:val="Balloon Text"/>
    <w:basedOn w:val="1"/>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adjustRightInd w:val="0"/>
      <w:snapToGrid w:val="0"/>
      <w:spacing w:line="500" w:lineRule="atLeast"/>
      <w:ind w:firstLine="600" w:firstLineChars="200"/>
      <w:jc w:val="left"/>
    </w:pPr>
    <w:rPr>
      <w:rFonts w:hint="eastAsia" w:ascii="宋体" w:hAnsi="宋体"/>
      <w:sz w:val="30"/>
    </w:rPr>
  </w:style>
  <w:style w:type="paragraph" w:styleId="13">
    <w:name w:val="Normal (Web)"/>
    <w:basedOn w:val="1"/>
    <w:qFormat/>
    <w:uiPriority w:val="99"/>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51"/>
    <w:basedOn w:val="16"/>
    <w:qFormat/>
    <w:uiPriority w:val="0"/>
    <w:rPr>
      <w:rFonts w:hint="eastAsia" w:ascii="宋体" w:hAnsi="宋体" w:eastAsia="宋体" w:cs="宋体"/>
      <w:color w:val="FF0000"/>
      <w:sz w:val="20"/>
      <w:szCs w:val="20"/>
      <w:u w:val="none"/>
    </w:rPr>
  </w:style>
  <w:style w:type="character" w:customStyle="1" w:styleId="19">
    <w:name w:val="font01"/>
    <w:basedOn w:val="16"/>
    <w:qFormat/>
    <w:uiPriority w:val="0"/>
    <w:rPr>
      <w:rFonts w:hint="eastAsia" w:ascii="宋体" w:hAnsi="宋体" w:eastAsia="宋体" w:cs="宋体"/>
      <w:color w:val="000000"/>
      <w:sz w:val="20"/>
      <w:szCs w:val="20"/>
      <w:u w:val="none"/>
    </w:rPr>
  </w:style>
  <w:style w:type="character" w:customStyle="1" w:styleId="20">
    <w:name w:val="font91"/>
    <w:basedOn w:val="16"/>
    <w:qFormat/>
    <w:uiPriority w:val="0"/>
    <w:rPr>
      <w:rFonts w:hint="eastAsia" w:ascii="宋体" w:hAnsi="宋体" w:eastAsia="宋体" w:cs="宋体"/>
      <w:color w:val="FF0000"/>
      <w:sz w:val="24"/>
      <w:szCs w:val="24"/>
      <w:u w:val="none"/>
    </w:rPr>
  </w:style>
  <w:style w:type="character" w:customStyle="1" w:styleId="21">
    <w:name w:val="UserStyle_1"/>
    <w:basedOn w:val="22"/>
    <w:qFormat/>
    <w:uiPriority w:val="0"/>
    <w:rPr>
      <w:rFonts w:ascii="方正姚体" w:hAnsi="方正姚体" w:eastAsia="方正姚体"/>
      <w:color w:val="000000"/>
      <w:sz w:val="20"/>
      <w:szCs w:val="20"/>
    </w:rPr>
  </w:style>
  <w:style w:type="character" w:customStyle="1" w:styleId="22">
    <w:name w:val="NormalCharacter"/>
    <w:semiHidden/>
    <w:qFormat/>
    <w:uiPriority w:val="0"/>
    <w:rPr>
      <w:kern w:val="2"/>
      <w:sz w:val="21"/>
      <w:szCs w:val="24"/>
      <w:lang w:val="en-US" w:eastAsia="zh-CN" w:bidi="ar-SA"/>
    </w:rPr>
  </w:style>
  <w:style w:type="character" w:customStyle="1" w:styleId="23">
    <w:name w:val="UserStyle_4"/>
    <w:semiHidden/>
    <w:qFormat/>
    <w:uiPriority w:val="0"/>
  </w:style>
  <w:style w:type="character" w:customStyle="1" w:styleId="24">
    <w:name w:val="font61"/>
    <w:basedOn w:val="16"/>
    <w:qFormat/>
    <w:uiPriority w:val="0"/>
    <w:rPr>
      <w:rFonts w:hint="eastAsia" w:ascii="宋体" w:hAnsi="宋体" w:eastAsia="宋体" w:cs="宋体"/>
      <w:color w:val="000000"/>
      <w:sz w:val="20"/>
      <w:szCs w:val="20"/>
      <w:u w:val="none"/>
    </w:rPr>
  </w:style>
  <w:style w:type="paragraph" w:customStyle="1" w:styleId="25">
    <w:name w:val="列出段落1"/>
    <w:basedOn w:val="1"/>
    <w:qFormat/>
    <w:uiPriority w:val="34"/>
    <w:pPr>
      <w:ind w:firstLine="420" w:firstLineChars="200"/>
    </w:pPr>
  </w:style>
  <w:style w:type="paragraph" w:customStyle="1" w:styleId="26">
    <w:name w:val="UserStyle_5"/>
    <w:basedOn w:val="1"/>
    <w:qFormat/>
    <w:uiPriority w:val="0"/>
    <w:pPr>
      <w:widowControl/>
      <w:jc w:val="both"/>
      <w:textAlignment w:val="baseline"/>
    </w:pPr>
    <w:rPr>
      <w:rFonts w:ascii="宋体" w:hAnsi="宋体"/>
      <w:kern w:val="2"/>
      <w:sz w:val="21"/>
      <w:szCs w:val="21"/>
      <w:lang w:val="zh-CN" w:eastAsia="zh-CN" w:bidi="ar-SA"/>
    </w:rPr>
  </w:style>
  <w:style w:type="paragraph" w:styleId="27">
    <w:name w:val="List Paragraph"/>
    <w:basedOn w:val="1"/>
    <w:qFormat/>
    <w:uiPriority w:val="34"/>
    <w:pPr>
      <w:ind w:firstLine="420" w:firstLineChars="200"/>
    </w:pPr>
    <w:rPr>
      <w:rFonts w:ascii="Calibri" w:hAnsi="Calibri" w:eastAsia="宋体" w:cs="Times New Roman"/>
      <w:szCs w:val="22"/>
    </w:rPr>
  </w:style>
  <w:style w:type="paragraph" w:customStyle="1" w:styleId="28">
    <w:name w:val=" Char Char Char Char Char1 Char"/>
    <w:basedOn w:val="1"/>
    <w:qFormat/>
    <w:uiPriority w:val="0"/>
    <w:pPr>
      <w:spacing w:line="360" w:lineRule="auto"/>
      <w:ind w:firstLine="200" w:firstLineChars="200"/>
    </w:pPr>
    <w:rPr>
      <w:rFonts w:ascii="宋体" w:hAnsi="宋体" w:cs="宋体"/>
      <w:sz w:val="24"/>
    </w:rPr>
  </w:style>
  <w:style w:type="paragraph" w:customStyle="1" w:styleId="29">
    <w:name w:val="Char1"/>
    <w:basedOn w:val="1"/>
    <w:qFormat/>
    <w:uiPriority w:val="0"/>
    <w:rPr>
      <w:szCs w:val="20"/>
    </w:rPr>
  </w:style>
  <w:style w:type="paragraph" w:customStyle="1" w:styleId="30">
    <w:name w:val=" Char Char Char Char"/>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1427</Words>
  <Characters>1619</Characters>
  <Lines>58</Lines>
  <Paragraphs>16</Paragraphs>
  <TotalTime>7</TotalTime>
  <ScaleCrop>false</ScaleCrop>
  <LinksUpToDate>false</LinksUpToDate>
  <CharactersWithSpaces>1631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2020-11-26T01:01:00Z</dcterms:created>
  <dc:creator>CCB</dc:creator>
  <cp:lastModifiedBy>15922</cp:lastModifiedBy>
  <cp:lastPrinted>2025-06-06T07:45:23Z</cp:lastPrinted>
  <dcterms:modified xsi:type="dcterms:W3CDTF">2025-06-06T12:15:43Z</dcterms:modified>
  <dc:title>附件1：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F085987CC7224916901E54A907936F12</vt:lpwstr>
  </property>
  <property fmtid="{D5CDD505-2E9C-101B-9397-08002B2CF9AE}" pid="4" name="KSOTemplateDocerSaveRecord">
    <vt:lpwstr>eyJoZGlkIjoiODJmZWY0YWU5ZGU4YWI2YjA0Mzk5MzA1OTkyYTM0NzAifQ==</vt:lpwstr>
  </property>
</Properties>
</file>