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宁海县体育馆运动木地板采购及安装项目</w:t>
      </w: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CBZJ-20236038G磋</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color w:val="auto"/>
          <w:sz w:val="24"/>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p>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宁海县体育发展中心</w:t>
      </w:r>
    </w:p>
    <w:p>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浙江中基正采管理咨询有限公司</w:t>
      </w:r>
    </w:p>
    <w:p>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三</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四</w:t>
      </w:r>
      <w:r>
        <w:rPr>
          <w:rFonts w:hint="eastAsia" w:cs="仿宋_GB2312" w:asciiTheme="minorEastAsia" w:hAnsiTheme="minorEastAsia" w:eastAsiaTheme="minorEastAsia"/>
          <w:bCs/>
          <w:color w:val="auto"/>
          <w:sz w:val="32"/>
          <w:szCs w:val="32"/>
        </w:rPr>
        <w:t>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spacing w:line="360" w:lineRule="auto"/>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pPr>
        <w:spacing w:line="360" w:lineRule="auto"/>
        <w:rPr>
          <w:rFonts w:asciiTheme="minorEastAsia" w:hAnsiTheme="minorEastAsia" w:eastAsiaTheme="minorEastAsia"/>
          <w:color w:val="auto"/>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宁海县体育馆运动木地板采购及安装项目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color w:val="auto"/>
          <w:sz w:val="24"/>
          <w:u w:val="single"/>
        </w:rPr>
        <w:t>https://www.zcygov.cn/</w:t>
      </w:r>
      <w:r>
        <w:rPr>
          <w:rStyle w:val="70"/>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4</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p>
    <w:p>
      <w:pPr>
        <w:pStyle w:val="4"/>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CBZJ-20236038G磋</w:t>
      </w:r>
    </w:p>
    <w:p>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宁海县体育馆运动木地板采购及安装项目</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600000.00</w:t>
      </w:r>
      <w:r>
        <w:rPr>
          <w:rFonts w:asciiTheme="minorEastAsia" w:hAnsiTheme="minorEastAsia" w:eastAsiaTheme="minorEastAsia"/>
          <w:color w:val="auto"/>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600000.00</w:t>
      </w:r>
      <w:r>
        <w:rPr>
          <w:rFonts w:asciiTheme="minorEastAsia" w:hAnsiTheme="minorEastAsia" w:eastAsiaTheme="minorEastAsia"/>
          <w:color w:val="auto"/>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宁海县体育馆运动木地板采购及安装项目</w:t>
      </w:r>
      <w:r>
        <w:rPr>
          <w:rFonts w:hint="eastAsia" w:hAnsi="宋体" w:cs="宋体"/>
          <w:bCs/>
          <w:color w:val="auto"/>
          <w:sz w:val="24"/>
        </w:rPr>
        <w:t>主要内容：</w:t>
      </w:r>
      <w:r>
        <w:rPr>
          <w:rFonts w:hint="eastAsia" w:hAnsi="宋体" w:cs="宋体"/>
          <w:bCs/>
          <w:color w:val="auto"/>
          <w:sz w:val="24"/>
          <w:lang w:val="en-US" w:eastAsia="zh-CN"/>
        </w:rPr>
        <w:t>完成宁海县体育馆运动木板采购及安装</w:t>
      </w:r>
      <w:r>
        <w:rPr>
          <w:rFonts w:hint="eastAsia" w:hAnsi="宋体" w:cs="宋体"/>
          <w:bCs/>
          <w:color w:val="auto"/>
          <w:sz w:val="24"/>
        </w:rPr>
        <w:t>。</w:t>
      </w:r>
      <w:r>
        <w:rPr>
          <w:rFonts w:hint="eastAsia" w:cs="仿宋_GB2312" w:asciiTheme="minorEastAsia" w:hAnsiTheme="minorEastAsia" w:eastAsiaTheme="minorEastAsia"/>
          <w:b/>
          <w:color w:val="auto"/>
          <w:sz w:val="24"/>
        </w:rPr>
        <w:t>详见磋商文件。</w:t>
      </w:r>
    </w:p>
    <w:p>
      <w:pPr>
        <w:spacing w:line="360" w:lineRule="auto"/>
        <w:ind w:firstLine="482" w:firstLineChars="200"/>
        <w:rPr>
          <w:rFonts w:hint="eastAsia" w:ascii="Times New Roman" w:hAnsi="宋体" w:eastAsia="宋体" w:cs="宋体"/>
          <w:bCs/>
          <w:color w:val="auto"/>
          <w:sz w:val="24"/>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imes New Roman" w:hAnsi="宋体" w:eastAsia="宋体" w:cs="宋体"/>
          <w:bCs/>
          <w:color w:val="auto"/>
          <w:sz w:val="24"/>
          <w:lang w:val="en-US" w:eastAsia="zh-CN"/>
        </w:rPr>
        <w:t>合同签订且具备实施条件后30日内完成供货、安装、调试并通过验收。</w:t>
      </w:r>
    </w:p>
    <w:p>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pPr>
        <w:spacing w:line="360" w:lineRule="auto"/>
        <w:ind w:firstLine="482" w:firstLineChars="200"/>
        <w:rPr>
          <w:rFonts w:hint="eastAsia" w:asciiTheme="minorEastAsia" w:hAnsiTheme="minorEastAsia" w:eastAsiaTheme="minorEastAsia"/>
          <w:b/>
          <w:color w:val="auto"/>
          <w:sz w:val="24"/>
          <w:lang w:eastAsia="zh-CN"/>
        </w:rPr>
      </w:pPr>
      <w:bookmarkStart w:id="15" w:name="_Toc28359013"/>
      <w:bookmarkStart w:id="16" w:name="_Toc35393799"/>
      <w:bookmarkStart w:id="17" w:name="_Toc28359090"/>
      <w:bookmarkStart w:id="18" w:name="_Toc35393630"/>
      <w:r>
        <w:rPr>
          <w:rFonts w:hint="eastAsia" w:asciiTheme="minorEastAsia" w:hAnsiTheme="minorEastAsia" w:eastAsiaTheme="minorEastAsia"/>
          <w:b/>
          <w:color w:val="auto"/>
          <w:sz w:val="24"/>
          <w:lang w:val="en-US" w:eastAsia="zh-CN"/>
        </w:rPr>
        <w:t>备注</w:t>
      </w: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组成联合体的成员数量不超过2个。</w:t>
      </w:r>
    </w:p>
    <w:p>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货物全部由符合政策要求的中小企业制造，提供中小企业声明函；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货物全部由符合政策要求的小微企业制造，提供中小企业声明函；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pPr>
        <w:snapToGrid w:val="0"/>
        <w:spacing w:line="360" w:lineRule="auto"/>
        <w:ind w:firstLine="480" w:firstLineChars="200"/>
        <w:rPr>
          <w:rFonts w:hint="eastAsia"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6.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spacing w:line="360" w:lineRule="auto"/>
        <w:ind w:firstLine="482" w:firstLineChars="200"/>
        <w:rPr>
          <w:rFonts w:cs="宋体" w:asciiTheme="minorEastAsia" w:hAnsiTheme="minorEastAsia" w:eastAsiaTheme="minorEastAsia"/>
          <w:b/>
          <w:bCs/>
          <w:color w:val="auto"/>
          <w:sz w:val="24"/>
        </w:rPr>
      </w:pPr>
      <w:bookmarkStart w:id="19" w:name="_Toc35393631"/>
      <w:bookmarkStart w:id="20" w:name="_Toc35393800"/>
      <w:bookmarkStart w:id="21" w:name="_Toc28359014"/>
      <w:bookmarkStart w:id="22" w:name="_Toc28359091"/>
      <w:r>
        <w:rPr>
          <w:rFonts w:hint="eastAsia" w:cs="宋体" w:asciiTheme="minorEastAsia" w:hAnsiTheme="minorEastAsia" w:eastAsiaTheme="minorEastAsia"/>
          <w:b/>
          <w:bCs/>
          <w:color w:val="auto"/>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202</w:t>
      </w:r>
      <w:r>
        <w:rPr>
          <w:rFonts w:hint="eastAsia" w:asciiTheme="minorEastAsia" w:hAnsiTheme="minorEastAsia" w:eastAsiaTheme="minorEastAsia"/>
          <w:color w:val="auto"/>
          <w:sz w:val="27"/>
          <w:szCs w:val="27"/>
          <w:lang w:val="en-US" w:eastAsia="zh-CN"/>
        </w:rPr>
        <w:t>3</w:t>
      </w:r>
      <w:r>
        <w:rPr>
          <w:rFonts w:hint="eastAsia" w:asciiTheme="minorEastAsia" w:hAnsiTheme="minorEastAsia" w:eastAsiaTheme="minorEastAsia"/>
          <w:color w:val="auto"/>
          <w:sz w:val="27"/>
          <w:szCs w:val="27"/>
        </w:rPr>
        <w:t>年</w:t>
      </w:r>
      <w:r>
        <w:rPr>
          <w:rFonts w:hint="eastAsia" w:asciiTheme="minorEastAsia" w:hAnsiTheme="minorEastAsia" w:eastAsiaTheme="minorEastAsia"/>
          <w:color w:val="auto"/>
          <w:sz w:val="27"/>
          <w:szCs w:val="27"/>
          <w:lang w:val="en-US" w:eastAsia="zh-CN"/>
        </w:rPr>
        <w:t>4</w:t>
      </w:r>
      <w:r>
        <w:rPr>
          <w:rFonts w:hint="eastAsia" w:asciiTheme="minorEastAsia" w:hAnsiTheme="minorEastAsia" w:eastAsiaTheme="minorEastAsia"/>
          <w:color w:val="auto"/>
          <w:sz w:val="27"/>
          <w:szCs w:val="27"/>
        </w:rPr>
        <w:t>月</w:t>
      </w:r>
      <w:r>
        <w:rPr>
          <w:rFonts w:hint="eastAsia" w:asciiTheme="minorEastAsia" w:hAnsiTheme="minorEastAsia" w:eastAsiaTheme="minorEastAsia"/>
          <w:color w:val="auto"/>
          <w:sz w:val="27"/>
          <w:szCs w:val="27"/>
          <w:lang w:val="en-US" w:eastAsia="zh-CN"/>
        </w:rPr>
        <w:t>6</w:t>
      </w:r>
      <w:r>
        <w:rPr>
          <w:rFonts w:hint="eastAsia" w:asciiTheme="minorEastAsia" w:hAnsiTheme="minorEastAsia" w:eastAsiaTheme="minorEastAsia"/>
          <w:color w:val="auto"/>
          <w:sz w:val="27"/>
          <w:szCs w:val="27"/>
        </w:rPr>
        <w:t>日至202</w:t>
      </w:r>
      <w:r>
        <w:rPr>
          <w:rFonts w:hint="eastAsia" w:asciiTheme="minorEastAsia" w:hAnsiTheme="minorEastAsia" w:eastAsiaTheme="minorEastAsia"/>
          <w:color w:val="auto"/>
          <w:sz w:val="27"/>
          <w:szCs w:val="27"/>
          <w:lang w:val="en-US" w:eastAsia="zh-CN"/>
        </w:rPr>
        <w:t>3</w:t>
      </w:r>
      <w:r>
        <w:rPr>
          <w:rFonts w:hint="eastAsia" w:asciiTheme="minorEastAsia" w:hAnsiTheme="minorEastAsia" w:eastAsiaTheme="minorEastAsia"/>
          <w:color w:val="auto"/>
          <w:sz w:val="27"/>
          <w:szCs w:val="27"/>
        </w:rPr>
        <w:t>年</w:t>
      </w:r>
      <w:r>
        <w:rPr>
          <w:rFonts w:hint="eastAsia" w:asciiTheme="minorEastAsia" w:hAnsiTheme="minorEastAsia" w:eastAsiaTheme="minorEastAsia"/>
          <w:color w:val="auto"/>
          <w:sz w:val="27"/>
          <w:szCs w:val="27"/>
          <w:lang w:val="en-US" w:eastAsia="zh-CN"/>
        </w:rPr>
        <w:t>4</w:t>
      </w:r>
      <w:r>
        <w:rPr>
          <w:rFonts w:hint="eastAsia" w:asciiTheme="minorEastAsia" w:hAnsiTheme="minorEastAsia" w:eastAsiaTheme="minorEastAsia"/>
          <w:color w:val="auto"/>
          <w:sz w:val="27"/>
          <w:szCs w:val="27"/>
        </w:rPr>
        <w:t>月</w:t>
      </w:r>
      <w:r>
        <w:rPr>
          <w:rFonts w:hint="eastAsia" w:asciiTheme="minorEastAsia" w:hAnsiTheme="minorEastAsia" w:eastAsiaTheme="minorEastAsia"/>
          <w:color w:val="auto"/>
          <w:sz w:val="27"/>
          <w:szCs w:val="27"/>
          <w:lang w:val="en-US" w:eastAsia="zh-CN"/>
        </w:rPr>
        <w:t>14</w:t>
      </w:r>
      <w:r>
        <w:rPr>
          <w:rFonts w:hint="eastAsia" w:asciiTheme="minorEastAsia" w:hAnsiTheme="minorEastAsia" w:eastAsiaTheme="minorEastAsia"/>
          <w:color w:val="auto"/>
          <w:sz w:val="27"/>
          <w:szCs w:val="27"/>
        </w:rPr>
        <w:t>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b/>
          <w:color w:val="auto"/>
          <w:sz w:val="24"/>
        </w:rPr>
        <w:t>https://www.zcygov.cn/</w:t>
      </w:r>
      <w:r>
        <w:rPr>
          <w:rStyle w:val="70"/>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pPr>
        <w:pStyle w:val="4"/>
        <w:numPr>
          <w:ilvl w:val="0"/>
          <w:numId w:val="0"/>
        </w:numPr>
        <w:ind w:left="432" w:hanging="432"/>
        <w:rPr>
          <w:rFonts w:cs="宋体" w:asciiTheme="minorEastAsia" w:hAnsiTheme="minorEastAsia" w:eastAsiaTheme="minorEastAsia"/>
          <w:color w:val="auto"/>
          <w:sz w:val="24"/>
          <w:szCs w:val="24"/>
        </w:rPr>
      </w:pPr>
      <w:bookmarkStart w:id="23" w:name="_Toc28359092"/>
      <w:bookmarkStart w:id="24" w:name="_Toc35393632"/>
      <w:bookmarkStart w:id="25" w:name="_Toc28359015"/>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color w:val="auto"/>
          <w:sz w:val="24"/>
          <w:u w:val="single"/>
        </w:rPr>
        <w:t>年</w:t>
      </w:r>
      <w:r>
        <w:rPr>
          <w:rFonts w:hint="eastAsia" w:asciiTheme="minorEastAsia" w:hAnsiTheme="minorEastAsia" w:eastAsiaTheme="minorEastAsia"/>
          <w:color w:val="auto"/>
          <w:sz w:val="24"/>
          <w:u w:val="single"/>
          <w:lang w:val="en-US" w:eastAsia="zh-CN"/>
        </w:rPr>
        <w:t>4月24日13点30分</w:t>
      </w:r>
      <w:r>
        <w:rPr>
          <w:rFonts w:hint="eastAsia" w:asciiTheme="minorEastAsia" w:hAnsiTheme="minorEastAsia" w:eastAsiaTheme="minorEastAsia"/>
          <w:bCs/>
          <w:color w:val="auto"/>
          <w:sz w:val="24"/>
          <w:u w:val="single"/>
        </w:rPr>
        <w:t>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Times New Roman" w:asciiTheme="minorEastAsia" w:hAnsiTheme="minorEastAsia" w:eastAsiaTheme="minorEastAsia"/>
          <w:color w:val="auto"/>
          <w:sz w:val="24"/>
        </w:rPr>
        <w:t>政府采购云平台（http://www.zcygov.cn/）。</w:t>
      </w:r>
    </w:p>
    <w:p>
      <w:pPr>
        <w:pStyle w:val="4"/>
        <w:numPr>
          <w:ilvl w:val="0"/>
          <w:numId w:val="0"/>
        </w:numPr>
        <w:ind w:left="432" w:hanging="432"/>
        <w:rPr>
          <w:rFonts w:cs="宋体" w:asciiTheme="minorEastAsia" w:hAnsiTheme="minorEastAsia" w:eastAsiaTheme="minorEastAsia"/>
          <w:color w:val="auto"/>
          <w:sz w:val="24"/>
          <w:szCs w:val="24"/>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color w:val="auto"/>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color w:val="auto"/>
          <w:sz w:val="24"/>
          <w:u w:val="single"/>
        </w:rPr>
        <w:t>年</w:t>
      </w:r>
      <w:r>
        <w:rPr>
          <w:rFonts w:hint="eastAsia" w:asciiTheme="minorEastAsia" w:hAnsiTheme="minorEastAsia" w:eastAsiaTheme="minorEastAsia"/>
          <w:color w:val="auto"/>
          <w:sz w:val="24"/>
          <w:u w:val="single"/>
          <w:lang w:val="en-US" w:eastAsia="zh-CN"/>
        </w:rPr>
        <w:t>4月24日13</w:t>
      </w:r>
      <w:r>
        <w:rPr>
          <w:rFonts w:hint="eastAsia" w:asciiTheme="minorEastAsia" w:hAnsiTheme="minorEastAsia" w:eastAsiaTheme="minorEastAsia"/>
          <w:color w:val="auto"/>
          <w:sz w:val="24"/>
          <w:u w:val="single"/>
        </w:rPr>
        <w:t>点</w:t>
      </w:r>
      <w:r>
        <w:rPr>
          <w:rFonts w:hint="eastAsia" w:asciiTheme="minorEastAsia" w:hAnsiTheme="minorEastAsia" w:eastAsiaTheme="minorEastAsia"/>
          <w:color w:val="auto"/>
          <w:sz w:val="24"/>
          <w:u w:val="single"/>
          <w:lang w:val="en-US" w:eastAsia="zh-CN"/>
        </w:rPr>
        <w:t>30</w:t>
      </w:r>
      <w:r>
        <w:rPr>
          <w:rFonts w:hint="eastAsia" w:asciiTheme="minorEastAsia" w:hAnsiTheme="minorEastAsia" w:eastAsiaTheme="minorEastAsia"/>
          <w:color w:val="auto"/>
          <w:sz w:val="24"/>
          <w:u w:val="single"/>
        </w:rPr>
        <w:t>分</w:t>
      </w:r>
      <w:r>
        <w:rPr>
          <w:rFonts w:hint="eastAsia" w:asciiTheme="minorEastAsia" w:hAnsiTheme="minorEastAsia" w:eastAsiaTheme="minorEastAsia"/>
          <w:bCs/>
          <w:color w:val="auto"/>
          <w:sz w:val="24"/>
          <w:u w:val="single"/>
        </w:rPr>
        <w:t>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政府采购云平台（http://www.zcygov.cn/）。</w:t>
      </w:r>
    </w:p>
    <w:p>
      <w:pPr>
        <w:pStyle w:val="4"/>
        <w:numPr>
          <w:ilvl w:val="0"/>
          <w:numId w:val="0"/>
        </w:numPr>
        <w:ind w:left="432" w:hanging="432"/>
        <w:rPr>
          <w:rFonts w:cs="宋体" w:asciiTheme="minorEastAsia" w:hAnsiTheme="minorEastAsia" w:eastAsiaTheme="minorEastAsia"/>
          <w:color w:val="auto"/>
          <w:sz w:val="24"/>
          <w:szCs w:val="24"/>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4"/>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color w:val="auto"/>
          <w:sz w:val="24"/>
        </w:rPr>
        <w:t>（</w:t>
      </w:r>
      <w:r>
        <w:rPr>
          <w:rFonts w:cs="宋体" w:asciiTheme="minorEastAsia" w:hAnsiTheme="minorEastAsia" w:eastAsiaTheme="minorEastAsia"/>
          <w:b/>
          <w:bCs/>
          <w:color w:val="auto"/>
          <w:sz w:val="24"/>
        </w:rPr>
        <w:t>3</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color w:val="auto"/>
          <w:sz w:val="24"/>
        </w:rPr>
        <w:t>磋商文件公告期限与磋商公告的公告期限一致。</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b/>
          <w:bCs/>
          <w:color w:val="auto"/>
          <w:sz w:val="24"/>
          <w:lang w:val="en-US" w:eastAsia="zh-CN"/>
        </w:rPr>
        <w:t>4</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color w:val="auto"/>
          <w:sz w:val="24"/>
          <w:lang w:val="en-US" w:eastAsia="zh-CN"/>
        </w:rPr>
        <w:t>本《第一部分  邀请供应商》中二、申请人的资格要求：第一条中的“重大税收违法案件当事人名单”即为“重大税收违法失信主体”。</w:t>
      </w:r>
    </w:p>
    <w:p>
      <w:pPr>
        <w:pStyle w:val="4"/>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28359095"/>
      <w:bookmarkStart w:id="39" w:name="_Toc35393805"/>
      <w:bookmarkStart w:id="40" w:name="_Toc35393636"/>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pPr>
        <w:pStyle w:val="4"/>
        <w:numPr>
          <w:ilvl w:val="0"/>
          <w:numId w:val="0"/>
        </w:numPr>
        <w:ind w:left="432" w:hanging="432"/>
        <w:rPr>
          <w:rFonts w:cs="宋体" w:asciiTheme="minorEastAsia" w:hAnsiTheme="minorEastAsia" w:eastAsiaTheme="minorEastAsia"/>
          <w:color w:val="auto"/>
          <w:sz w:val="24"/>
          <w:szCs w:val="24"/>
        </w:rPr>
      </w:pPr>
      <w:bookmarkStart w:id="41" w:name="_Toc28359096"/>
      <w:bookmarkStart w:id="42" w:name="_Toc35393637"/>
      <w:bookmarkStart w:id="43" w:name="_Toc28359019"/>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称：宁海县体育发展中心</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址：宁海县</w:t>
      </w:r>
      <w:r>
        <w:rPr>
          <w:rFonts w:hint="eastAsia" w:asciiTheme="minorEastAsia" w:hAnsiTheme="minorEastAsia" w:eastAsiaTheme="minorEastAsia"/>
          <w:color w:val="auto"/>
          <w:sz w:val="24"/>
          <w:lang w:eastAsia="zh-CN"/>
        </w:rPr>
        <w:t>人民路</w:t>
      </w:r>
      <w:r>
        <w:rPr>
          <w:rFonts w:hint="eastAsia" w:asciiTheme="minorEastAsia" w:hAnsiTheme="minorEastAsia" w:eastAsiaTheme="minorEastAsia"/>
          <w:color w:val="auto"/>
          <w:sz w:val="24"/>
          <w:lang w:val="en-US" w:eastAsia="zh-CN"/>
        </w:rPr>
        <w:t>268号</w:t>
      </w:r>
      <w:r>
        <w:rPr>
          <w:rFonts w:hint="eastAsia" w:asciiTheme="minorEastAsia" w:hAnsiTheme="minorEastAsia" w:eastAsiaTheme="minorEastAsia"/>
          <w:color w:val="auto"/>
          <w:sz w:val="24"/>
        </w:rPr>
        <w:t xml:space="preserve">   </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传    真：/  </w:t>
      </w:r>
    </w:p>
    <w:p>
      <w:pPr>
        <w:spacing w:line="360" w:lineRule="auto"/>
        <w:ind w:firstLine="420" w:firstLineChars="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eastAsia="zh-CN"/>
        </w:rPr>
        <w:t>徐老师</w:t>
      </w:r>
    </w:p>
    <w:p>
      <w:pPr>
        <w:spacing w:line="360" w:lineRule="auto"/>
        <w:ind w:firstLine="420" w:firstLineChars="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项目联系方式（询问）：0574-</w:t>
      </w:r>
      <w:r>
        <w:rPr>
          <w:rFonts w:hint="eastAsia" w:asciiTheme="minorEastAsia" w:hAnsiTheme="minorEastAsia" w:eastAsiaTheme="minorEastAsia"/>
          <w:color w:val="auto"/>
          <w:sz w:val="24"/>
          <w:lang w:val="en-US" w:eastAsia="zh-CN"/>
        </w:rPr>
        <w:t>59970935</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质疑联系人：</w:t>
      </w:r>
      <w:r>
        <w:rPr>
          <w:rFonts w:hint="eastAsia" w:asciiTheme="minorEastAsia" w:hAnsiTheme="minorEastAsia" w:eastAsiaTheme="minorEastAsia"/>
          <w:color w:val="auto"/>
          <w:sz w:val="24"/>
          <w:lang w:eastAsia="zh-CN"/>
        </w:rPr>
        <w:t>冯先生</w:t>
      </w:r>
    </w:p>
    <w:p>
      <w:pPr>
        <w:spacing w:line="360" w:lineRule="auto"/>
        <w:ind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质疑联系方式：0574-</w:t>
      </w:r>
      <w:r>
        <w:rPr>
          <w:rFonts w:hint="eastAsia" w:asciiTheme="minorEastAsia" w:hAnsiTheme="minorEastAsia" w:eastAsiaTheme="minorEastAsia"/>
          <w:color w:val="auto"/>
          <w:sz w:val="24"/>
          <w:lang w:val="en-US" w:eastAsia="zh-CN"/>
        </w:rPr>
        <w:t>59970937</w:t>
      </w:r>
    </w:p>
    <w:p>
      <w:pPr>
        <w:pStyle w:val="4"/>
        <w:numPr>
          <w:ilvl w:val="0"/>
          <w:numId w:val="0"/>
        </w:numPr>
        <w:ind w:left="432" w:hanging="432"/>
        <w:rPr>
          <w:rFonts w:cs="宋体" w:asciiTheme="minorEastAsia" w:hAnsiTheme="minorEastAsia" w:eastAsiaTheme="minorEastAsia"/>
          <w:color w:val="auto"/>
          <w:sz w:val="24"/>
        </w:rPr>
      </w:pPr>
      <w:bookmarkStart w:id="45" w:name="_Toc28359097"/>
      <w:bookmarkStart w:id="46" w:name="_Toc35393807"/>
      <w:bookmarkStart w:id="47" w:name="_Toc35393638"/>
      <w:bookmarkStart w:id="48" w:name="_Toc28359020"/>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称：浙江中基正采管理咨询有限公司</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址：宁波市鄞州区天童南路666号中基大厦19楼</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传    真：0574-87425373</w:t>
      </w:r>
    </w:p>
    <w:p>
      <w:pPr>
        <w:spacing w:line="360" w:lineRule="auto"/>
        <w:ind w:firstLine="420" w:firstLineChars="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val="en-US" w:eastAsia="zh-CN"/>
        </w:rPr>
        <w:t>谢工</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项目联系方式（询问）：0574-87425371</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质疑联系人：王近娜</w:t>
      </w:r>
    </w:p>
    <w:p>
      <w:pPr>
        <w:spacing w:line="360" w:lineRule="auto"/>
        <w:ind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质疑联系方式：0574-87425583</w:t>
      </w:r>
    </w:p>
    <w:p>
      <w:pPr>
        <w:spacing w:line="360" w:lineRule="auto"/>
        <w:rPr>
          <w:rFonts w:asciiTheme="minorEastAsia" w:hAnsiTheme="minorEastAsia" w:eastAsiaTheme="minorEastAsia"/>
          <w:b/>
          <w:color w:val="auto"/>
          <w:sz w:val="24"/>
        </w:rPr>
      </w:pPr>
      <w:bookmarkStart w:id="49" w:name="_Toc28359021"/>
      <w:bookmarkStart w:id="50" w:name="_Toc35393639"/>
      <w:bookmarkStart w:id="51" w:name="_Toc28359098"/>
      <w:bookmarkStart w:id="52"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9"/>
    <w:bookmarkEnd w:id="50"/>
    <w:bookmarkEnd w:id="51"/>
    <w:bookmarkEnd w:id="52"/>
    <w:p>
      <w:pPr>
        <w:spacing w:line="360" w:lineRule="auto"/>
        <w:ind w:firstLine="480"/>
        <w:rPr>
          <w:rFonts w:hint="eastAsia" w:ascii="宋体" w:hAnsi="宋体" w:cs="宋体"/>
          <w:color w:val="auto"/>
          <w:sz w:val="24"/>
        </w:rPr>
      </w:pPr>
      <w:r>
        <w:rPr>
          <w:rFonts w:hint="eastAsia" w:ascii="宋体" w:hAnsi="宋体" w:cs="宋体"/>
          <w:color w:val="auto"/>
          <w:sz w:val="24"/>
        </w:rPr>
        <w:t>名    称：宁海县政府采购管理办公室</w:t>
      </w:r>
    </w:p>
    <w:p>
      <w:pPr>
        <w:spacing w:line="360" w:lineRule="auto"/>
        <w:ind w:firstLine="480"/>
        <w:rPr>
          <w:rFonts w:hint="eastAsia" w:ascii="宋体" w:hAnsi="宋体" w:cs="宋体"/>
          <w:color w:val="auto"/>
          <w:sz w:val="24"/>
        </w:rPr>
      </w:pPr>
      <w:r>
        <w:rPr>
          <w:rFonts w:hint="eastAsia" w:ascii="宋体" w:hAnsi="宋体" w:cs="宋体"/>
          <w:color w:val="auto"/>
          <w:sz w:val="24"/>
        </w:rPr>
        <w:t>地    址：宁海县跃龙街道桃源中路218号</w:t>
      </w:r>
    </w:p>
    <w:p>
      <w:pPr>
        <w:spacing w:line="360" w:lineRule="auto"/>
        <w:ind w:firstLine="480"/>
        <w:rPr>
          <w:rFonts w:hint="eastAsia" w:ascii="宋体" w:hAnsi="宋体" w:cs="宋体"/>
          <w:color w:val="auto"/>
          <w:sz w:val="24"/>
        </w:rPr>
      </w:pPr>
      <w:r>
        <w:rPr>
          <w:rFonts w:hint="eastAsia" w:ascii="宋体" w:hAnsi="宋体" w:cs="宋体"/>
          <w:color w:val="auto"/>
          <w:sz w:val="24"/>
        </w:rPr>
        <w:t>传    真：/</w:t>
      </w:r>
    </w:p>
    <w:p>
      <w:pPr>
        <w:spacing w:line="360" w:lineRule="auto"/>
        <w:ind w:firstLine="480"/>
        <w:rPr>
          <w:rFonts w:hint="eastAsia" w:ascii="宋体" w:hAnsi="宋体" w:cs="宋体"/>
          <w:color w:val="auto"/>
          <w:sz w:val="24"/>
        </w:rPr>
      </w:pPr>
      <w:r>
        <w:rPr>
          <w:rFonts w:hint="eastAsia" w:ascii="宋体" w:hAnsi="宋体" w:cs="宋体"/>
          <w:color w:val="auto"/>
          <w:sz w:val="24"/>
        </w:rPr>
        <w:t>联系人：王老师</w:t>
      </w:r>
    </w:p>
    <w:p>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监督</w:t>
      </w:r>
      <w:r>
        <w:rPr>
          <w:rFonts w:hint="eastAsia" w:ascii="宋体" w:hAnsi="宋体" w:cs="宋体"/>
          <w:color w:val="auto"/>
          <w:sz w:val="24"/>
        </w:rPr>
        <w:t>投诉电话：0574-65265668</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pStyle w:val="35"/>
        <w:spacing w:line="360" w:lineRule="auto"/>
        <w:ind w:firstLine="480" w:firstLineChars="200"/>
        <w:jc w:val="right"/>
        <w:rPr>
          <w:rFonts w:cs="仿宋_GB2312" w:asciiTheme="minorEastAsia" w:hAnsiTheme="minorEastAsia" w:eastAsiaTheme="minorEastAsia"/>
          <w:color w:val="auto"/>
          <w:sz w:val="24"/>
          <w:szCs w:val="24"/>
        </w:rPr>
      </w:pPr>
    </w:p>
    <w:p>
      <w:pPr>
        <w:pStyle w:val="35"/>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w:t>
      </w:r>
      <w:r>
        <w:rPr>
          <w:rFonts w:hint="eastAsia" w:asciiTheme="minorEastAsia" w:hAnsiTheme="minorEastAsia" w:eastAsiaTheme="minorEastAsia"/>
          <w:color w:val="auto"/>
          <w:szCs w:val="24"/>
          <w:lang w:val="en-US" w:eastAsia="zh-CN"/>
        </w:rPr>
        <w:t>3</w:t>
      </w:r>
      <w:r>
        <w:rPr>
          <w:rFonts w:hint="eastAsia" w:asciiTheme="minorEastAsia" w:hAnsiTheme="minorEastAsia" w:eastAsiaTheme="minorEastAsia"/>
          <w:color w:val="auto"/>
          <w:szCs w:val="24"/>
        </w:rPr>
        <w:t>0个工作日内签订政府采购合同。</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4"/>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lang w:val="en-US" w:eastAsia="zh-CN"/>
              </w:rPr>
              <w:t>运动木地板</w:t>
            </w:r>
            <w:r>
              <w:rPr>
                <w:rFonts w:hint="eastAsia" w:cs="宋体" w:asciiTheme="minorEastAsia" w:hAnsiTheme="minorEastAsia" w:eastAsiaTheme="minorEastAsia"/>
                <w:color w:val="auto"/>
                <w:sz w:val="24"/>
              </w:rPr>
              <w:t>，核心产品相关内容</w:t>
            </w:r>
            <w:r>
              <w:rPr>
                <w:rFonts w:hint="eastAsia" w:cs="宋体" w:asciiTheme="minorEastAsia" w:hAnsiTheme="minorEastAsia" w:eastAsiaTheme="minorEastAsia"/>
                <w:color w:val="auto"/>
                <w:kern w:val="0"/>
                <w:sz w:val="24"/>
              </w:rPr>
              <w:t>参照财政部87号令有关规定执行。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b w:val="0"/>
                <w:bCs w:val="0"/>
                <w:color w:val="auto"/>
                <w:kern w:val="0"/>
                <w:sz w:val="24"/>
                <w:szCs w:val="24"/>
                <w:lang w:val="en-US" w:eastAsia="zh-CN"/>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lang w:eastAsia="zh-CN"/>
              </w:rPr>
              <w:t>宁海县体育馆运动木地板采购及安装项目</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lang w:val="en-US" w:eastAsia="zh-CN"/>
              </w:rPr>
              <w:t>工业</w:t>
            </w:r>
            <w:r>
              <w:rPr>
                <w:rFonts w:hint="eastAsia" w:cs="宋体" w:asciiTheme="minorEastAsia" w:hAnsiTheme="minorEastAsia" w:eastAsiaTheme="minorEastAsia"/>
                <w:color w:val="auto"/>
                <w:kern w:val="0"/>
                <w:sz w:val="24"/>
              </w:rPr>
              <w:t>行业</w:t>
            </w:r>
            <w:r>
              <w:rPr>
                <w:rFonts w:hint="eastAsia" w:cs="宋体" w:asciiTheme="minorEastAsia" w:hAnsiTheme="minorEastAsia" w:eastAsiaTheme="minorEastAsia"/>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B要求提供，</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snapToGrid w:val="0"/>
                <w:color w:val="auto"/>
                <w:kern w:val="28"/>
                <w:sz w:val="24"/>
                <w:u w:val="single"/>
                <w:lang w:val="en-US" w:eastAsia="zh-CN"/>
              </w:rPr>
              <w:t>专业比赛级</w:t>
            </w:r>
            <w:r>
              <w:rPr>
                <w:rFonts w:hint="eastAsia" w:cs="宋体" w:asciiTheme="minorEastAsia" w:hAnsiTheme="minorEastAsia" w:eastAsiaTheme="minorEastAsia"/>
                <w:color w:val="auto"/>
                <w:sz w:val="24"/>
                <w:u w:val="single"/>
                <w:lang w:val="en-US" w:eastAsia="zh-CN"/>
              </w:rPr>
              <w:t>运动木地板</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lang w:val="en-US" w:eastAsia="zh-CN"/>
              </w:rPr>
              <w:t>详见第四部分 采购需求 四、样品要求</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lang w:val="en-US" w:eastAsia="zh-CN"/>
              </w:rPr>
              <w:t>详见第四部分 采购需求 四、样品要求</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lang w:val="en-US" w:eastAsia="zh-CN"/>
              </w:rPr>
              <w:t>详见第四部分 采购需求 四、样品要求</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lang w:val="en-US" w:eastAsia="zh-CN"/>
              </w:rPr>
              <w:t>谢工</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lang w:val="en-US" w:eastAsia="zh-CN"/>
              </w:rPr>
              <w:t>18067368560</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（1）资格证明文件：见招标文件第二部分11.1。</w:t>
            </w:r>
          </w:p>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投标报价（含税全包价）：包括但不限于</w:t>
            </w:r>
            <w:r>
              <w:rPr>
                <w:rFonts w:hint="eastAsia" w:cs="宋体" w:asciiTheme="minorEastAsia" w:hAnsiTheme="minorEastAsia" w:eastAsiaTheme="minorEastAsia"/>
                <w:b/>
                <w:color w:val="auto"/>
                <w:kern w:val="0"/>
                <w:sz w:val="24"/>
                <w:lang w:val="zh-CN" w:eastAsia="zh-CN"/>
              </w:rPr>
              <w:t>产品的供货、安装、产品保护、验收费、技术培训、质保维护、售后服务、税金、利润等费用</w:t>
            </w:r>
            <w:r>
              <w:rPr>
                <w:rFonts w:hint="eastAsia" w:cs="宋体" w:asciiTheme="minorEastAsia" w:hAnsiTheme="minorEastAsia" w:eastAsiaTheme="minorEastAsia"/>
                <w:b/>
                <w:color w:val="auto"/>
                <w:kern w:val="0"/>
                <w:sz w:val="24"/>
                <w:lang w:val="zh-CN"/>
              </w:rPr>
              <w:t>。提醒：验收时检测费用由</w:t>
            </w:r>
            <w:r>
              <w:rPr>
                <w:rFonts w:hint="eastAsia" w:cs="宋体" w:asciiTheme="minorEastAsia" w:hAnsiTheme="minorEastAsia" w:eastAsiaTheme="minorEastAsia"/>
                <w:b/>
                <w:color w:val="auto"/>
                <w:kern w:val="0"/>
                <w:sz w:val="24"/>
                <w:lang w:val="en-US" w:eastAsia="zh-CN"/>
              </w:rPr>
              <w:t>成交</w:t>
            </w:r>
            <w:r>
              <w:rPr>
                <w:rFonts w:hint="eastAsia" w:cs="宋体" w:asciiTheme="minorEastAsia" w:hAnsiTheme="minorEastAsia" w:eastAsiaTheme="minorEastAsia"/>
                <w:b/>
                <w:color w:val="auto"/>
                <w:kern w:val="0"/>
                <w:sz w:val="24"/>
                <w:lang w:val="zh-CN" w:eastAsia="zh-CN"/>
              </w:rPr>
              <w:t>人</w:t>
            </w:r>
            <w:r>
              <w:rPr>
                <w:rFonts w:hint="eastAsia" w:cs="宋体" w:asciiTheme="minorEastAsia" w:hAnsiTheme="minorEastAsia" w:eastAsiaTheme="minorEastAsia"/>
                <w:b/>
                <w:color w:val="auto"/>
                <w:kern w:val="0"/>
                <w:sz w:val="24"/>
                <w:lang w:val="zh-CN"/>
              </w:rPr>
              <w:t>承担，不包含在最后报价中。</w:t>
            </w:r>
          </w:p>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（1）直接提交备份响应文件的：</w:t>
            </w:r>
          </w:p>
          <w:p>
            <w:pPr>
              <w:pStyle w:val="35"/>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备份响应文件送达地点：宁波市宁海县公共资源交易中心五楼开标室。</w:t>
            </w:r>
          </w:p>
          <w:p>
            <w:pPr>
              <w:pStyle w:val="35"/>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（2）以邮政快递方式递交备份响应文件的：</w:t>
            </w:r>
          </w:p>
          <w:p>
            <w:pPr>
              <w:pStyle w:val="35"/>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备份响应文件送达截止时间：2023年  月  日   时止。</w:t>
            </w:r>
          </w:p>
          <w:p>
            <w:pPr>
              <w:pStyle w:val="35"/>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lang w:val="en-US" w:eastAsia="zh-CN"/>
              </w:rPr>
              <w:t>备份响应文件送达地点：宁波市鄞州区天童南路666号中基大厦19楼业务六部 ；备份响应文件签收人员联系电话： 0574-87425371。采购人、采购代理机构不强制或变相强制供应商提交备份响应文件。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ascii="宋体" w:hAnsi="宋体" w:cs="宋体"/>
                <w:b/>
                <w:color w:val="auto"/>
                <w:sz w:val="24"/>
                <w:lang w:val="en-US" w:eastAsia="zh-CN"/>
              </w:rPr>
              <w:t>成交</w:t>
            </w:r>
            <w:r>
              <w:rPr>
                <w:rFonts w:hint="eastAsia" w:ascii="宋体" w:hAnsi="宋体" w:cs="宋体"/>
                <w:b/>
                <w:color w:val="auto"/>
                <w:sz w:val="24"/>
              </w:rPr>
              <w:t>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color w:val="auto"/>
                <w:kern w:val="0"/>
                <w:sz w:val="24"/>
                <w:lang w:val="en-US" w:eastAsia="zh-CN"/>
              </w:rPr>
            </w:pPr>
            <w:r>
              <w:rPr>
                <w:rFonts w:hint="eastAsia" w:cs="Arial" w:asciiTheme="minorEastAsia" w:hAnsiTheme="minorEastAsia" w:eastAsiaTheme="minorEastAsia"/>
                <w:color w:val="auto"/>
                <w:kern w:val="0"/>
                <w:sz w:val="24"/>
                <w:lang w:val="en-US" w:eastAsia="zh-CN"/>
              </w:rPr>
              <w:t>采购代理按下表中货物招标标准（按差额定率累进法计算），根据预算金额，向成交人收取成交服务费。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spacing w:line="360" w:lineRule="auto"/>
                    <w:rPr>
                      <w:rFonts w:hint="eastAsia" w:cs="Arial" w:asciiTheme="minorEastAsia" w:hAnsiTheme="minorEastAsia" w:eastAsiaTheme="minorEastAsia"/>
                      <w:color w:val="auto"/>
                      <w:kern w:val="0"/>
                      <w:sz w:val="21"/>
                      <w:szCs w:val="21"/>
                    </w:rPr>
                  </w:pP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金额</w:t>
                  </w:r>
                </w:p>
                <w:p>
                  <w:pPr>
                    <w:spacing w:line="360" w:lineRule="auto"/>
                    <mc:AlternateContent>
                      <mc:Choice Requires="wpsCustomData">
                        <wpsCustomData:diagonalParaType/>
                      </mc:Choice>
                    </mc:AlternateContent>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（万元）</w:t>
                  </w:r>
                </w:p>
                <w:p>
                  <w:pPr>
                    <w:spacing w:line="360" w:lineRule="auto"/>
                    <mc:AlternateContent>
                      <mc:Choice Requires="wpsCustomData">
                        <wpsCustomData:diagonalParaType/>
                      </mc:Choice>
                    </mc:AlternateContent>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费率</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服务类型</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货物</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服务</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工程</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100以下</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100-500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1.1%</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0.8%</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500-1000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0.8%</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0.45%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1000-5000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5000-10000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0.1%</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1亿～5亿</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r>
          </w:tbl>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备注：</w:t>
            </w:r>
            <w:r>
              <w:rPr>
                <w:rFonts w:hint="eastAsia" w:cs="Arial" w:asciiTheme="minorEastAsia" w:hAnsiTheme="minorEastAsia" w:eastAsiaTheme="minorEastAsia"/>
                <w:color w:val="auto"/>
                <w:kern w:val="0"/>
                <w:sz w:val="24"/>
                <w:lang w:val="en-US" w:eastAsia="zh-CN"/>
              </w:rPr>
              <w:t>中标服务费</w:t>
            </w:r>
            <w:r>
              <w:rPr>
                <w:rFonts w:hint="eastAsia" w:cs="Arial" w:asciiTheme="minorEastAsia" w:hAnsiTheme="minorEastAsia" w:eastAsiaTheme="minorEastAsia"/>
                <w:color w:val="auto"/>
                <w:kern w:val="0"/>
                <w:sz w:val="24"/>
              </w:rPr>
              <w:t>只收现金、银行票汇款、电汇款。汇入以下账户：</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开户银行： 宁波银行科技支行</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账    号： 31010122000005488</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lang w:val="en-US" w:eastAsia="zh-CN"/>
              </w:rPr>
              <w:t>户    名： 浙江中基正采管理咨询有限公司</w:t>
            </w:r>
          </w:p>
        </w:tc>
      </w:tr>
    </w:tbl>
    <w:p>
      <w:pPr>
        <w:snapToGrid w:val="0"/>
        <w:jc w:val="center"/>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Times New Roman" w:asciiTheme="minorEastAsia" w:hAnsiTheme="minorEastAsia" w:eastAsiaTheme="minorEastAsia"/>
          <w:snapToGrid/>
          <w:color w:val="auto"/>
          <w:kern w:val="2"/>
          <w:sz w:val="24"/>
          <w:szCs w:val="24"/>
        </w:rPr>
        <w:t>https://www.zcygov.cn/</w:t>
      </w:r>
      <w:r>
        <w:rPr>
          <w:rStyle w:val="70"/>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5"/>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5"/>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rPr>
          <w:rFonts w:ascii="宋体" w:hAnsi="宋体" w:cs="宋体"/>
          <w:color w:val="auto"/>
          <w:sz w:val="24"/>
          <w:highlight w:val="yellow"/>
        </w:rPr>
      </w:pPr>
      <w:r>
        <w:rPr>
          <w:rFonts w:hint="eastAsia" w:cs="宋体" w:asciiTheme="minorEastAsia" w:hAnsiTheme="minorEastAsia" w:eastAsiaTheme="minorEastAsia"/>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cs="宋体" w:asciiTheme="minorEastAsia" w:hAnsiTheme="minorEastAsia" w:eastAsiaTheme="minorEastAsia"/>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5"/>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ascii="宋体" w:hAnsi="宋体" w:cs="宋体"/>
          <w:color w:val="auto"/>
          <w:kern w:val="0"/>
          <w:sz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货物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.在线询问、质疑、投诉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5"/>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签订的《采购委托协议》的规定，质疑答复责任主体如下：</w:t>
      </w:r>
    </w:p>
    <w:p>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color w:val="auto"/>
                <w:sz w:val="24"/>
              </w:rPr>
            </w:pP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color w:val="auto"/>
                <w:sz w:val="24"/>
              </w:rPr>
            </w:pP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olor w:val="auto"/>
          <w:sz w:val="24"/>
          <w:lang w:val="en-US" w:eastAsia="zh-CN"/>
        </w:rPr>
        <w:t>浙江省财政厅</w:t>
      </w:r>
      <w:r>
        <w:rPr>
          <w:rFonts w:hint="eastAsia" w:asciiTheme="minorEastAsia" w:hAnsiTheme="minorEastAsia" w:eastAsiaTheme="minorEastAsia"/>
          <w:color w:val="auto"/>
          <w:sz w:val="24"/>
        </w:rPr>
        <w:t>关于进一步加强政府采购公</w:t>
      </w:r>
      <w:r>
        <w:rPr>
          <w:rFonts w:hint="eastAsia" w:asciiTheme="minorEastAsia" w:hAnsiTheme="minorEastAsia" w:eastAsiaTheme="minorEastAsia"/>
          <w:color w:val="auto"/>
          <w:sz w:val="24"/>
          <w:lang w:val="en-US" w:eastAsia="zh-CN"/>
        </w:rPr>
        <w:t>平竞争打造最</w:t>
      </w:r>
      <w:r>
        <w:rPr>
          <w:rFonts w:hint="eastAsia" w:asciiTheme="minorEastAsia" w:hAnsiTheme="minorEastAsia" w:eastAsiaTheme="minorEastAsia"/>
          <w:color w:val="auto"/>
          <w:sz w:val="24"/>
        </w:rPr>
        <w:t>优营商环境的通知》（</w:t>
      </w:r>
      <w:r>
        <w:rPr>
          <w:rFonts w:hint="eastAsia" w:asciiTheme="minorEastAsia" w:hAnsiTheme="minorEastAsia" w:eastAsiaTheme="minorEastAsia"/>
          <w:color w:val="auto"/>
          <w:sz w:val="24"/>
          <w:lang w:val="en-US" w:eastAsia="zh-CN"/>
        </w:rPr>
        <w:t>浙</w:t>
      </w:r>
      <w:r>
        <w:rPr>
          <w:rFonts w:hint="eastAsia" w:asciiTheme="minorEastAsia" w:hAnsiTheme="minorEastAsia" w:eastAsiaTheme="minorEastAsia"/>
          <w:color w:val="auto"/>
          <w:sz w:val="24"/>
        </w:rPr>
        <w:t>财采监〔</w:t>
      </w:r>
      <w:r>
        <w:rPr>
          <w:rFonts w:asciiTheme="minorEastAsia" w:hAnsiTheme="minorEastAsia" w:eastAsiaTheme="minorEastAsia"/>
          <w:color w:val="auto"/>
          <w:sz w:val="24"/>
        </w:rPr>
        <w:t>2021〕</w:t>
      </w:r>
      <w:r>
        <w:rPr>
          <w:rFonts w:hint="eastAsia" w:asciiTheme="minorEastAsia" w:hAnsiTheme="minorEastAsia" w:eastAsiaTheme="minorEastAsia"/>
          <w:color w:val="auto"/>
          <w:sz w:val="24"/>
          <w:lang w:val="en-US" w:eastAsia="zh-CN"/>
        </w:rPr>
        <w:t>22</w:t>
      </w:r>
      <w:r>
        <w:rPr>
          <w:rFonts w:asciiTheme="minorEastAsia" w:hAnsiTheme="minorEastAsia" w:eastAsiaTheme="minorEastAsia"/>
          <w:color w:val="auto"/>
          <w:sz w:val="24"/>
        </w:rPr>
        <w:t>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4.供应商投诉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4.1质疑供应商对采购人、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未在规定的时间内作出答复的，可以在答复期满后十五个工作日内向同级政府采购监督管理部门提出投诉。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4.2供应商投诉的事项不得超出已质疑事项的范围，基于质疑答复内容提出的投诉事项除外。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4.3供应商投诉应当有明确的请求和必要的证明材料。</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4.4以联合体形式参加政府采购活动的，其投诉应当由组成联合体的所有供应商共同提出。</w:t>
      </w:r>
    </w:p>
    <w:p>
      <w:pPr>
        <w:pStyle w:val="35"/>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5"/>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5"/>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5"/>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cs="宋体" w:asciiTheme="minorEastAsia" w:hAnsiTheme="minorEastAsia" w:eastAsiaTheme="minorEastAsia"/>
          <w:snapToGrid w:val="0"/>
          <w:color w:val="auto"/>
          <w:kern w:val="28"/>
          <w:sz w:val="24"/>
        </w:rPr>
        <w:t>)</w:t>
      </w:r>
      <w:r>
        <w:rPr>
          <w:rFonts w:hint="eastAsia" w:cs="仿宋_GB2312" w:asciiTheme="minorEastAsia" w:hAnsiTheme="minorEastAsia" w:eastAsiaTheme="minorEastAsia"/>
          <w:color w:val="auto"/>
          <w:kern w:val="0"/>
          <w:sz w:val="24"/>
          <w:lang w:val="zh-CN"/>
        </w:rPr>
        <w:t>；</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认为需要的其他商务文件或说明 (如果有) ；</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8</w:t>
      </w:r>
      <w:r>
        <w:rPr>
          <w:rFonts w:hint="eastAsia" w:asciiTheme="minorEastAsia" w:hAnsiTheme="minorEastAsia" w:eastAsiaTheme="minorEastAsia"/>
          <w:color w:val="auto"/>
          <w:kern w:val="0"/>
          <w:sz w:val="24"/>
          <w:lang w:val="zh-CN"/>
        </w:rPr>
        <w:t>）针对本项目《第四部分··采购需求》和“第五部分··评审方法及评审标准··评审方法前附表”中的条款拟定完整方案，格式自拟；</w:t>
      </w:r>
    </w:p>
    <w:p>
      <w:pPr>
        <w:pStyle w:val="35"/>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5"/>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0</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p>
    <w:p>
      <w:pPr>
        <w:pStyle w:val="35"/>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(11)报价文件</w:t>
      </w:r>
    </w:p>
    <w:p>
      <w:pPr>
        <w:pStyle w:val="35"/>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A、报价一览表(初次报价)；</w:t>
      </w:r>
    </w:p>
    <w:p>
      <w:pPr>
        <w:pStyle w:val="35"/>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B、报价明细表。</w:t>
      </w:r>
    </w:p>
    <w:p>
      <w:pPr>
        <w:pStyle w:val="35"/>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w:t>
      </w:r>
      <w:r>
        <w:rPr>
          <w:rFonts w:hint="eastAsia" w:cs="仿宋_GB2312" w:asciiTheme="minorEastAsia" w:hAnsiTheme="minorEastAsia" w:eastAsiaTheme="minorEastAsia"/>
          <w:color w:val="auto"/>
          <w:sz w:val="24"/>
          <w:szCs w:val="24"/>
          <w:lang w:val="en-US" w:eastAsia="zh-CN"/>
        </w:rPr>
        <w:t>U盘</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hint="eastAsia" w:cs="仿宋_GB2312" w:asciiTheme="minorEastAsia" w:hAnsiTheme="minorEastAsia" w:eastAsiaTheme="minorEastAsia"/>
          <w:color w:val="auto"/>
          <w:sz w:val="24"/>
          <w:u w:val="single"/>
          <w:lang w:val="zh-CN" w:eastAsia="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r>
        <w:rPr>
          <w:rFonts w:hint="eastAsia" w:cs="仿宋_GB2312" w:asciiTheme="minorEastAsia" w:hAnsiTheme="minorEastAsia" w:eastAsiaTheme="minorEastAsia"/>
          <w:color w:val="auto"/>
          <w:sz w:val="24"/>
          <w:lang w:eastAsia="zh-CN"/>
        </w:rPr>
        <w:t>：</w:t>
      </w:r>
    </w:p>
    <w:p>
      <w:pPr>
        <w:pStyle w:val="35"/>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1.1最后报价一览表（如有</w:t>
      </w:r>
      <w:r>
        <w:rPr>
          <w:rFonts w:hint="eastAsia" w:cs="仿宋_GB2312" w:asciiTheme="minorEastAsia" w:hAnsiTheme="minorEastAsia" w:eastAsiaTheme="minorEastAsia"/>
          <w:color w:val="auto"/>
          <w:sz w:val="24"/>
          <w:szCs w:val="24"/>
          <w:lang w:val="en-US" w:eastAsia="zh-CN"/>
        </w:rPr>
        <w:t>要求</w:t>
      </w:r>
      <w:r>
        <w:rPr>
          <w:rFonts w:hint="eastAsia" w:cs="仿宋_GB2312" w:asciiTheme="minorEastAsia" w:hAnsiTheme="minorEastAsia" w:eastAsiaTheme="minorEastAsia"/>
          <w:color w:val="auto"/>
          <w:sz w:val="24"/>
          <w:szCs w:val="24"/>
        </w:rPr>
        <w:t>）；</w:t>
      </w:r>
    </w:p>
    <w:p>
      <w:pPr>
        <w:pStyle w:val="35"/>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1.2中小企业声明函（如有</w:t>
      </w:r>
      <w:r>
        <w:rPr>
          <w:rFonts w:hint="eastAsia" w:cs="仿宋_GB2312" w:asciiTheme="minorEastAsia" w:hAnsiTheme="minorEastAsia" w:eastAsiaTheme="minorEastAsia"/>
          <w:color w:val="auto"/>
          <w:sz w:val="24"/>
          <w:szCs w:val="24"/>
          <w:lang w:val="en-US" w:eastAsia="zh-CN"/>
        </w:rPr>
        <w:t>要求</w:t>
      </w:r>
      <w:r>
        <w:rPr>
          <w:rFonts w:hint="eastAsia" w:cs="仿宋_GB2312" w:asciiTheme="minorEastAsia" w:hAnsiTheme="minorEastAsia" w:eastAsiaTheme="minorEastAsia"/>
          <w:color w:val="auto"/>
          <w:sz w:val="24"/>
          <w:szCs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0"/>
          <w:numId w:val="8"/>
        </w:numPr>
        <w:ind w:left="0" w:firstLine="0"/>
        <w:rPr>
          <w:rFonts w:cs="宋体" w:asciiTheme="minorEastAsia" w:hAnsiTheme="minorEastAsia" w:eastAsiaTheme="minorEastAsia"/>
          <w:snapToGrid w:val="0"/>
          <w:color w:val="auto"/>
          <w:kern w:val="28"/>
          <w:sz w:val="24"/>
          <w:lang w:val="en-US"/>
        </w:rPr>
      </w:pPr>
      <w:r>
        <w:rPr>
          <w:rFonts w:hint="eastAsia" w:cs="宋体" w:asciiTheme="minorEastAsia" w:hAnsiTheme="minorEastAsia" w:eastAsiaTheme="minorEastAsia"/>
          <w:snapToGrid w:val="0"/>
          <w:color w:val="auto"/>
          <w:kern w:val="28"/>
          <w:sz w:val="24"/>
          <w:lang w:val="en-US"/>
        </w:rPr>
        <w:t>预付款</w:t>
      </w:r>
    </w:p>
    <w:p>
      <w:pPr>
        <w:adjustRightInd/>
        <w:spacing w:line="360" w:lineRule="auto"/>
        <w:ind w:firstLine="480" w:firstLineChars="200"/>
        <w:rPr>
          <w:color w:val="auto"/>
          <w:highlight w:val="none"/>
        </w:rPr>
      </w:pPr>
      <w:r>
        <w:rPr>
          <w:rFonts w:hint="eastAsia" w:ascii="宋体" w:hAnsi="宋体"/>
          <w:b w:val="0"/>
          <w:bCs w:val="0"/>
          <w:color w:val="auto"/>
          <w:sz w:val="24"/>
          <w:szCs w:val="24"/>
          <w:highlight w:val="none"/>
        </w:rPr>
        <w:t>采购单位应当在政府采购合同中约定预付款，对中小企业合同</w:t>
      </w:r>
      <w:r>
        <w:rPr>
          <w:rFonts w:hint="eastAsia" w:ascii="宋体" w:hAnsi="宋体"/>
          <w:b w:val="0"/>
          <w:bCs w:val="0"/>
          <w:color w:val="auto"/>
          <w:sz w:val="24"/>
          <w:szCs w:val="24"/>
          <w:highlight w:val="none"/>
          <w:lang w:val="en-US"/>
        </w:rPr>
        <w:t>预付款比例</w:t>
      </w:r>
      <w:r>
        <w:rPr>
          <w:rFonts w:hint="eastAsia" w:ascii="宋体" w:hAnsi="宋体"/>
          <w:b w:val="0"/>
          <w:bCs w:val="0"/>
          <w:color w:val="auto"/>
          <w:sz w:val="24"/>
          <w:szCs w:val="24"/>
          <w:highlight w:val="none"/>
        </w:rPr>
        <w:t>原则上不低于</w:t>
      </w:r>
      <w:r>
        <w:rPr>
          <w:rFonts w:hint="eastAsia" w:ascii="宋体" w:hAnsi="宋体"/>
          <w:b w:val="0"/>
          <w:bCs w:val="0"/>
          <w:color w:val="auto"/>
          <w:sz w:val="24"/>
          <w:szCs w:val="24"/>
          <w:highlight w:val="none"/>
          <w:lang w:val="en-US"/>
        </w:rPr>
        <w:t>合同金额的</w:t>
      </w:r>
      <w:r>
        <w:rPr>
          <w:rFonts w:ascii="宋体" w:hAnsi="宋体"/>
          <w:b w:val="0"/>
          <w:bCs w:val="0"/>
          <w:color w:val="auto"/>
          <w:sz w:val="24"/>
          <w:szCs w:val="24"/>
          <w:highlight w:val="none"/>
          <w:lang w:val="en-US"/>
        </w:rPr>
        <w:t>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；项目分年安排预算的，每年预付款比例</w:t>
      </w:r>
      <w:r>
        <w:rPr>
          <w:rFonts w:hint="eastAsia" w:ascii="宋体" w:hAnsi="宋体"/>
          <w:color w:val="auto"/>
          <w:sz w:val="24"/>
        </w:rPr>
        <w:t>不低于</w:t>
      </w:r>
      <w:r>
        <w:rPr>
          <w:rFonts w:ascii="宋体" w:hAnsi="宋体"/>
          <w:b w:val="0"/>
          <w:bCs w:val="0"/>
          <w:color w:val="auto"/>
          <w:sz w:val="24"/>
          <w:szCs w:val="24"/>
          <w:highlight w:val="none"/>
          <w:lang w:val="en-US"/>
        </w:rPr>
        <w:t>项目年度计划支付资金额的40％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；采购项目实施以人工投入为主的，</w:t>
      </w:r>
      <w:r>
        <w:rPr>
          <w:rFonts w:hint="eastAsia" w:ascii="宋体" w:hAnsi="宋体"/>
          <w:b w:val="0"/>
          <w:bCs w:val="0"/>
          <w:color w:val="auto"/>
          <w:sz w:val="24"/>
          <w:szCs w:val="24"/>
          <w:highlight w:val="none"/>
        </w:rPr>
        <w:t>可适当降低预付款比例，但不得低于</w:t>
      </w:r>
      <w:r>
        <w:rPr>
          <w:rFonts w:ascii="宋体" w:hAnsi="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明确表示无需预付款或者主动要求降低预付款比例的，</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可不适用前述规定。</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根据项目特点、供应商诚信等因素，可以要求</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b w:val="0"/>
          <w:bCs w:val="0"/>
          <w:color w:val="auto"/>
          <w:sz w:val="24"/>
          <w:szCs w:val="24"/>
          <w:highlight w:val="none"/>
          <w:lang w:val="en-US"/>
        </w:rPr>
        <w:t>政府采购工程以及与工程建设有关的货物、服务，采用招标方式采购的，预付款从其相关规定。</w:t>
      </w:r>
      <w:r>
        <w:rPr>
          <w:rFonts w:hint="eastAsia" w:ascii="宋体" w:hAnsi="宋体"/>
          <w:b w:val="0"/>
          <w:bCs w:val="0"/>
          <w:color w:val="auto"/>
          <w:sz w:val="24"/>
          <w:szCs w:val="24"/>
          <w:highlight w:val="none"/>
        </w:rPr>
        <w:t>供应商</w:t>
      </w:r>
      <w:r>
        <w:rPr>
          <w:rFonts w:hint="eastAsia" w:ascii="宋体" w:hAnsi="宋体"/>
          <w:b w:val="0"/>
          <w:bCs w:val="0"/>
          <w:color w:val="auto"/>
          <w:sz w:val="24"/>
          <w:szCs w:val="24"/>
          <w:highlight w:val="none"/>
          <w:lang w:val="en-US"/>
        </w:rPr>
        <w:t>可登录政采云前台大厅选择金融服务</w:t>
      </w:r>
      <w:r>
        <w:rPr>
          <w:rFonts w:ascii="宋体" w:hAnsi="宋体"/>
          <w:b w:val="0"/>
          <w:bCs w:val="0"/>
          <w:color w:val="auto"/>
          <w:sz w:val="24"/>
          <w:szCs w:val="24"/>
          <w:highlight w:val="none"/>
          <w:lang w:val="en-US"/>
        </w:rPr>
        <w:t xml:space="preserve"> - </w:t>
      </w:r>
      <w:r>
        <w:rPr>
          <w:rFonts w:hint="eastAsia" w:ascii="宋体" w:hAnsi="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b w:val="0"/>
          <w:bCs w:val="0"/>
          <w:color w:val="auto"/>
          <w:sz w:val="24"/>
          <w:szCs w:val="24"/>
          <w:highlight w:val="none"/>
          <w:lang w:val="en-US"/>
        </w:rPr>
        <w:t>/保函受理—确认保单—支付保费—成功出单。政</w:t>
      </w:r>
      <w:r>
        <w:rPr>
          <w:rFonts w:hint="eastAsia" w:ascii="宋体" w:hAnsi="宋体"/>
          <w:b w:val="0"/>
          <w:bCs w:val="0"/>
          <w:color w:val="auto"/>
          <w:sz w:val="24"/>
          <w:szCs w:val="24"/>
          <w:highlight w:val="none"/>
          <w:lang w:val="en-US"/>
        </w:rPr>
        <w:t>采云金融专线</w:t>
      </w:r>
      <w:r>
        <w:rPr>
          <w:rFonts w:ascii="宋体" w:hAnsi="宋体"/>
          <w:b w:val="0"/>
          <w:bCs w:val="0"/>
          <w:color w:val="auto"/>
          <w:sz w:val="24"/>
          <w:szCs w:val="24"/>
          <w:highlight w:val="none"/>
          <w:lang w:val="en-US"/>
        </w:rPr>
        <w:t>400-903-9583。</w:t>
      </w:r>
    </w:p>
    <w:p>
      <w:pPr>
        <w:pStyle w:val="4"/>
        <w:numPr>
          <w:ilvl w:val="255"/>
          <w:numId w:val="0"/>
        </w:numPr>
        <w:ind w:left="0" w:firstLine="0"/>
        <w:rPr>
          <w:rFonts w:cs="宋体" w:asciiTheme="minorEastAsia" w:hAnsiTheme="minorEastAsia" w:eastAsiaTheme="minorEastAsia"/>
          <w:snapToGrid w:val="0"/>
          <w:color w:val="auto"/>
          <w:kern w:val="28"/>
          <w:sz w:val="24"/>
          <w:lang w:val="en-US"/>
        </w:rPr>
      </w:pPr>
    </w:p>
    <w:p>
      <w:pPr>
        <w:pStyle w:val="4"/>
        <w:numPr>
          <w:ilvl w:val="255"/>
          <w:numId w:val="0"/>
        </w:numPr>
        <w:rPr>
          <w:color w:val="auto"/>
        </w:rPr>
      </w:pP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26"/>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29768"/>
      <w:bookmarkEnd w:id="55"/>
      <w:bookmarkStart w:id="56" w:name="_Hlt75236011"/>
      <w:bookmarkEnd w:id="56"/>
      <w:bookmarkStart w:id="57" w:name="_Hlt74707468"/>
      <w:bookmarkEnd w:id="57"/>
      <w:bookmarkStart w:id="58" w:name="_Hlt74730295"/>
      <w:bookmarkEnd w:id="58"/>
      <w:bookmarkStart w:id="59" w:name="_Hlt75236290"/>
      <w:bookmarkEnd w:id="59"/>
      <w:bookmarkStart w:id="60" w:name="_Hlt75236101"/>
      <w:bookmarkEnd w:id="60"/>
      <w:bookmarkStart w:id="61" w:name="_Hlt68072990"/>
      <w:bookmarkEnd w:id="61"/>
      <w:bookmarkStart w:id="62" w:name="_Hlt74714665"/>
      <w:bookmarkEnd w:id="62"/>
      <w:bookmarkStart w:id="63" w:name="_Toc164416483"/>
      <w:bookmarkStart w:id="64" w:name="第三部分"/>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pPr>
        <w:widowControl w:val="0"/>
        <w:numPr>
          <w:ilvl w:val="0"/>
          <w:numId w:val="0"/>
        </w:numPr>
        <w:adjustRightInd w:val="0"/>
        <w:ind w:left="420" w:leftChars="200"/>
        <w:jc w:val="both"/>
        <w:rPr>
          <w:rFonts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▲一、重要商务条款一览表</w:t>
      </w:r>
    </w:p>
    <w:tbl>
      <w:tblPr>
        <w:tblStyle w:val="62"/>
        <w:tblW w:w="8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025"/>
        <w:gridCol w:w="6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2"/>
                <w:rFonts w:ascii="宋体" w:hAnsi="宋体" w:eastAsia="宋体" w:cs="Times New Roman"/>
                <w:b/>
                <w:bCs/>
                <w:color w:val="auto"/>
                <w:kern w:val="2"/>
                <w:sz w:val="24"/>
                <w:szCs w:val="24"/>
                <w:highlight w:val="none"/>
                <w:lang w:val="en-US" w:eastAsia="zh-CN" w:bidi="ar-SA"/>
              </w:rPr>
            </w:pPr>
            <w:r>
              <w:rPr>
                <w:rStyle w:val="632"/>
                <w:rFonts w:ascii="宋体" w:hAnsi="宋体" w:eastAsia="宋体" w:cs="Times New Roman"/>
                <w:b/>
                <w:bCs/>
                <w:color w:val="auto"/>
                <w:kern w:val="2"/>
                <w:sz w:val="24"/>
                <w:szCs w:val="24"/>
                <w:highlight w:val="none"/>
                <w:lang w:val="en-US" w:eastAsia="zh-CN" w:bidi="ar-SA"/>
              </w:rPr>
              <w:t>序号</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2"/>
                <w:rFonts w:ascii="宋体" w:hAnsi="宋体" w:eastAsia="宋体" w:cs="Times New Roman"/>
                <w:b/>
                <w:bCs/>
                <w:color w:val="auto"/>
                <w:kern w:val="2"/>
                <w:sz w:val="24"/>
                <w:szCs w:val="24"/>
                <w:highlight w:val="none"/>
                <w:lang w:val="en-US" w:eastAsia="zh-CN" w:bidi="ar-SA"/>
              </w:rPr>
            </w:pPr>
            <w:r>
              <w:rPr>
                <w:rStyle w:val="632"/>
                <w:rFonts w:ascii="宋体" w:hAnsi="宋体" w:eastAsia="宋体" w:cs="Times New Roman"/>
                <w:b/>
                <w:bCs/>
                <w:color w:val="auto"/>
                <w:kern w:val="2"/>
                <w:sz w:val="24"/>
                <w:szCs w:val="24"/>
                <w:highlight w:val="none"/>
                <w:lang w:val="en-US" w:eastAsia="zh-CN" w:bidi="ar-SA"/>
              </w:rPr>
              <w:t>项目</w:t>
            </w:r>
          </w:p>
        </w:tc>
        <w:tc>
          <w:tcPr>
            <w:tcW w:w="6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2"/>
                <w:rFonts w:ascii="宋体" w:hAnsi="宋体" w:eastAsia="宋体" w:cs="Times New Roman"/>
                <w:b/>
                <w:bCs/>
                <w:color w:val="auto"/>
                <w:kern w:val="2"/>
                <w:sz w:val="24"/>
                <w:szCs w:val="24"/>
                <w:highlight w:val="none"/>
                <w:lang w:val="en-US" w:eastAsia="zh-CN" w:bidi="ar-SA"/>
              </w:rPr>
            </w:pPr>
            <w:r>
              <w:rPr>
                <w:rStyle w:val="632"/>
                <w:rFonts w:ascii="宋体" w:hAnsi="宋体" w:eastAsia="宋体" w:cs="Times New Roman"/>
                <w:b/>
                <w:bCs/>
                <w:color w:val="auto"/>
                <w:kern w:val="2"/>
                <w:sz w:val="24"/>
                <w:szCs w:val="24"/>
                <w:highlight w:val="none"/>
                <w:lang w:val="en-US" w:eastAsia="zh-CN" w:bidi="ar-SA"/>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质保期</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验收合格之日起不少于1年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售后服务要求</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1）售后服务响应时间：出现问题时，要求成交人在接到采购人的电话后2小时内响应，24小时内到达现场，72小时内修复，确保采购人的正常使用。</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2）质保期内成交人免费更换或维修（原厂家生产或提供）；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合同履约期限（工期）</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1）合同签订且具备实施条件后30日内完成供货、安装、调试并通过验收。</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2）成交人逾期完成安装并交付使用的，成交人应按合同总额每日千分之六向采购人支付违约金，由采购人从待付货款中扣除。逾期超过约定日期30个工作日不能完成安装并交付使用的，采购人可解除本合同。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质量标准</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保证所提供的货物应符合国家技术规格和质量标准的出厂原装合格产品，如发生所供的货物与合同不符，采购人有权拒收或退货，由此产生的一切责任和后果由供应商承担，在所供货物交付时，供应商必须向采购人提供说明书、质量保证书、保修卡等必须具备的相关资料和必备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应提供的伴随服务</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及时跟踪产品质量，做好产品性能调整工作。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履约保证金</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履约保证金的收取及退还：</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1）履约保证金金额：合同金额的1%；</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2）履约保证金形式：银行汇票（电汇）、银行保函、保险保函或支票（仅限于使用宁波大市区范围内的银行开具的支票）；</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3）履约保证金的退取：在</w:t>
            </w:r>
            <w:r>
              <w:rPr>
                <w:rFonts w:hint="eastAsia" w:ascii="宋体" w:hAnsi="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en-US" w:eastAsia="zh-CN"/>
              </w:rPr>
              <w:t>人履行完采购合同约定义务事项后及时退还。（如成交人未能履行合同规定的任何义务，采购人有权从履约保证金中得到相应补偿）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付款条件</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1）签订合同生效且具备实施条件后7个工作日内支付合同总价的40%。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2）在供货时应有效、合理包装，所提供原材料进场后，应附有产品合格证书（包括合格证、部件合格证、材料合格证）、检测报告复印件等有关技术文件资料才可施工。如</w:t>
            </w:r>
            <w:r>
              <w:rPr>
                <w:rFonts w:hint="eastAsia" w:ascii="宋体" w:hAnsi="宋体" w:cs="宋体"/>
                <w:color w:val="auto"/>
                <w:kern w:val="0"/>
                <w:sz w:val="24"/>
                <w:szCs w:val="24"/>
                <w:highlight w:val="none"/>
                <w:lang w:val="en-US" w:eastAsia="zh-CN"/>
              </w:rPr>
              <w:t>材料有问题或资料不齐全</w:t>
            </w:r>
            <w:r>
              <w:rPr>
                <w:rFonts w:hint="eastAsia" w:ascii="宋体" w:hAnsi="宋体" w:eastAsia="宋体" w:cs="宋体"/>
                <w:color w:val="auto"/>
                <w:kern w:val="0"/>
                <w:sz w:val="24"/>
                <w:szCs w:val="24"/>
                <w:highlight w:val="none"/>
                <w:lang w:val="en-US" w:eastAsia="zh-CN"/>
              </w:rPr>
              <w:t>，全部清退出场。合格后再支付合同总价的10%。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3）整个项目安装并验收合格后再支付总价的50%。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注：成交人必须提供相应的合法票据。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合同终止</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成交人在合同有效期内，不得无理由终止合同，确有特殊情况的，须提前一个月向采购人提出书面申请，经采购人同意后，方可终止合同，同时酌情扣除履约保证金。</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jc w:val="both"/>
        <w:textAlignment w:val="auto"/>
        <w:rPr>
          <w:rFonts w:hint="eastAsia" w:ascii="Times New Roman" w:hAnsi="Times New Roman" w:eastAsia="宋体" w:cs="Times New Roman"/>
          <w:b/>
          <w:bCs/>
          <w:color w:val="auto"/>
          <w:kern w:val="2"/>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二、采购货物清单</w:t>
      </w:r>
    </w:p>
    <w:tbl>
      <w:tblPr>
        <w:tblStyle w:val="62"/>
        <w:tblW w:w="1455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88"/>
        <w:gridCol w:w="10059"/>
        <w:gridCol w:w="834"/>
        <w:gridCol w:w="66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序号</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名称</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参数</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数量</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单位</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default"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w:t>
            </w:r>
          </w:p>
        </w:tc>
        <w:tc>
          <w:tcPr>
            <w:tcW w:w="1588" w:type="dxa"/>
            <w:shd w:val="clear" w:color="auto" w:fill="FEFEFE"/>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专业比赛级运动木地板</w:t>
            </w:r>
          </w:p>
        </w:tc>
        <w:tc>
          <w:tcPr>
            <w:tcW w:w="10059" w:type="dxa"/>
            <w:shd w:val="clear" w:color="auto" w:fill="FEFEFE"/>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专业比赛级运动木地板</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cs="宋体"/>
                <w:b w:val="0"/>
                <w:bCs/>
                <w:color w:val="000000"/>
                <w:kern w:val="2"/>
                <w:sz w:val="24"/>
                <w:szCs w:val="24"/>
                <w:highlight w:val="none"/>
                <w:lang w:val="en-US" w:eastAsia="zh-CN"/>
              </w:rPr>
              <w:t>运动木地板所有主材及辅料：运动木地板、防潮膜、实木多层板、实木龙骨、橡胶减震垫</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1.运动木地板系统性能指标应满足：</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①冲击吸收≥53%，</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②标准垂直变形≥2.3mm，</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③滑动摩擦系数0.4~0.6，</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④球反弹率≥90%，</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⑤抗滚动荷载（1500N）≤0.5mm，</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⑥垂直变形率W500 ≤15%.</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提供第三方检测机构出具的检测报告。</w:t>
            </w:r>
          </w:p>
          <w:p>
            <w:pPr>
              <w:pageBreakBefore w:val="0"/>
              <w:numPr>
                <w:ilvl w:val="0"/>
                <w:numId w:val="9"/>
              </w:numPr>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木地板系统总高度为129mm，允许正负差小于5mm。</w:t>
            </w:r>
            <w:r>
              <w:rPr>
                <w:rFonts w:hint="eastAsia" w:ascii="宋体" w:hAnsi="宋体" w:cs="宋体"/>
                <w:b w:val="0"/>
                <w:bCs/>
                <w:color w:val="000000"/>
                <w:kern w:val="2"/>
                <w:sz w:val="24"/>
                <w:szCs w:val="24"/>
                <w:highlight w:val="none"/>
                <w:lang w:val="en-US" w:eastAsia="zh-CN"/>
              </w:rPr>
              <w:t>实木</w:t>
            </w:r>
            <w:r>
              <w:rPr>
                <w:rFonts w:hint="eastAsia" w:ascii="宋体" w:hAnsi="宋体" w:eastAsia="宋体" w:cs="宋体"/>
                <w:b w:val="0"/>
                <w:bCs/>
                <w:color w:val="000000"/>
                <w:kern w:val="2"/>
                <w:sz w:val="24"/>
                <w:szCs w:val="24"/>
                <w:highlight w:val="none"/>
                <w:lang w:val="en-US" w:eastAsia="zh-CN"/>
              </w:rPr>
              <w:t>面板</w:t>
            </w:r>
            <w:r>
              <w:rPr>
                <w:rFonts w:hint="eastAsia" w:ascii="宋体" w:hAnsi="宋体" w:cs="宋体"/>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材质为枫桦木</w:t>
            </w:r>
            <w:r>
              <w:rPr>
                <w:rFonts w:hint="eastAsia" w:ascii="宋体" w:hAnsi="宋体" w:cs="宋体"/>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规格为：22</w:t>
            </w:r>
            <w:r>
              <w:rPr>
                <w:rFonts w:hint="default" w:ascii="Arial" w:hAnsi="Arial" w:eastAsia="宋体" w:cs="Arial"/>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60-68</w:t>
            </w:r>
            <w:r>
              <w:rPr>
                <w:rFonts w:hint="default" w:ascii="Arial" w:hAnsi="Arial" w:eastAsia="宋体" w:cs="Arial"/>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1810㎜，采用工厂UV漆。采用指接处理技术，面板理化性能符合GB/T20239-2015《体育馆用木质地板》且满足：</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①含水率(%)6.0≤H≤我国各使用地区的平衡含水率；</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②表面耐磨≤0.10g/100r，且磨100r后漆膜未磨透；</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③漆膜附着力≤2级；</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④漆膜硬度≥H；</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⑤静曲强度≥30MPa；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⑥弹性模量≥4000MPa并提供第三方检测机构出具的检测报告</w:t>
            </w:r>
            <w:r>
              <w:rPr>
                <w:rFonts w:hint="eastAsia" w:ascii="宋体" w:hAnsi="宋体" w:cs="宋体"/>
                <w:b w:val="0"/>
                <w:bCs/>
                <w:color w:val="000000"/>
                <w:kern w:val="2"/>
                <w:sz w:val="24"/>
                <w:szCs w:val="24"/>
                <w:highlight w:val="none"/>
                <w:lang w:val="en-US" w:eastAsia="zh-CN"/>
              </w:rPr>
              <w:t>。</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3.面板临界热辐射通量等级需达到B1级，符合GB 8624-2012《建筑材料及制品燃烧性能分级》标准，提供第三方检测机构出具的检测报告复印件；</w:t>
            </w:r>
            <w:r>
              <w:rPr>
                <w:rFonts w:hint="eastAsia" w:ascii="宋体" w:hAnsi="宋体" w:cs="宋体"/>
                <w:b w:val="0"/>
                <w:bCs/>
                <w:color w:val="000000"/>
                <w:kern w:val="2"/>
                <w:sz w:val="24"/>
                <w:szCs w:val="24"/>
                <w:highlight w:val="none"/>
                <w:lang w:val="en-US" w:eastAsia="zh-CN"/>
              </w:rPr>
              <w:t>设计防火满足</w:t>
            </w:r>
            <w:r>
              <w:rPr>
                <w:rFonts w:hint="eastAsia" w:ascii="宋体" w:hAnsi="宋体" w:eastAsia="宋体" w:cs="宋体"/>
                <w:b w:val="0"/>
                <w:bCs/>
                <w:color w:val="000000"/>
                <w:kern w:val="2"/>
                <w:sz w:val="24"/>
                <w:szCs w:val="24"/>
                <w:highlight w:val="none"/>
                <w:lang w:val="en-US" w:eastAsia="zh-CN"/>
              </w:rPr>
              <w:t>GB50222-2017《建筑内部装修设计防火规范》标准</w:t>
            </w:r>
            <w:r>
              <w:rPr>
                <w:rFonts w:hint="eastAsia" w:ascii="宋体" w:hAnsi="宋体" w:cs="宋体"/>
                <w:b w:val="0"/>
                <w:bCs/>
                <w:color w:val="000000"/>
                <w:kern w:val="2"/>
                <w:sz w:val="24"/>
                <w:szCs w:val="24"/>
                <w:highlight w:val="none"/>
                <w:lang w:val="en-US" w:eastAsia="zh-CN"/>
              </w:rPr>
              <w:t>。</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4.毛板通过GB/T 20239-2015 体育馆用木质地板检测，材质为柳桉木实木多层板，规格为12×1220×2440mm。满足以下要求：</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①含水率6%-12%；②胶合强度≥0.7Mpa</w:t>
            </w:r>
            <w:r>
              <w:rPr>
                <w:rFonts w:hint="eastAsia" w:ascii="宋体" w:hAnsi="宋体" w:cs="宋体"/>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③静曲强度≥30Mpa</w:t>
            </w:r>
            <w:r>
              <w:rPr>
                <w:rFonts w:hint="eastAsia" w:ascii="宋体" w:hAnsi="宋体" w:cs="宋体"/>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④弹性模量≥4000 Mpa</w:t>
            </w:r>
            <w:r>
              <w:rPr>
                <w:rFonts w:hint="eastAsia" w:ascii="宋体" w:hAnsi="宋体" w:cs="宋体"/>
                <w:b w:val="0"/>
                <w:bCs/>
                <w:color w:val="000000"/>
                <w:kern w:val="2"/>
                <w:sz w:val="24"/>
                <w:szCs w:val="24"/>
                <w:highlight w:val="none"/>
                <w:lang w:val="en-US" w:eastAsia="zh-CN"/>
              </w:rPr>
              <w:t>；</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⑤甲醛释放量≤0.5mg/L或≤0.124mg/m³，胶合板板甲醛检测依据GB/T17657-2013《人造板及饰面人造板理化性能试验方法》并提供第三方检测机构出具的检测报告。</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5. 龙骨采用实木脱浆龙骨，规格为：厚40mm，宽50mm，通过GB/T 20239-2015 体育馆用木质地板检测，满足：龙骨通过GB/T 20239-2015 体育馆用木质地板检测，检测内容包括检测内容包括含水率，抗弯强度，弹性模量。</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①含水率 6.0≤H≤各地平衡水含水率；②抗弯强度≥30Mpa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③弹性模量≥4000Mpa</w:t>
            </w:r>
            <w:r>
              <w:rPr>
                <w:rFonts w:hint="eastAsia" w:ascii="宋体" w:hAnsi="宋体" w:cs="宋体"/>
                <w:b w:val="0"/>
                <w:bCs/>
                <w:color w:val="000000"/>
                <w:kern w:val="2"/>
                <w:sz w:val="24"/>
                <w:szCs w:val="24"/>
                <w:highlight w:val="none"/>
                <w:lang w:val="en-US" w:eastAsia="zh-CN"/>
              </w:rPr>
              <w:t>。</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6.弹性垫层采用木地板专用弹性橡胶垫块，规格为：15×50×80㎜，有毒物质苯（g/kg）≤0.05、可溶性重金属含量（mg/kg）（可溶性铅≤90、可溶性镉≤10、可溶性铬≤10、可溶性汞≤2）、游离甲醛（g/kg）≤0.5、压缩复原率(%)≥90、拉伸强度（MPa）＞6、拉断伸长率（%）250-550测试。提供第三方检测机构出具的检测报告。</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800</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2</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舞台木地板</w:t>
            </w:r>
          </w:p>
        </w:tc>
        <w:tc>
          <w:tcPr>
            <w:tcW w:w="10059" w:type="dxa"/>
            <w:shd w:val="clear" w:color="auto" w:fill="FEFEFE"/>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根据旧地板拆除后的情况定制</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100</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3</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通风口踢脚线</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120</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m</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4</w:t>
            </w:r>
          </w:p>
        </w:tc>
        <w:tc>
          <w:tcPr>
            <w:tcW w:w="1588" w:type="dxa"/>
            <w:shd w:val="clear" w:color="auto" w:fill="FEFEFE"/>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旧地板拆除及清理费用</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900</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5</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中文字制作</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水性运动地板专用漆</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2</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套</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6</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中圈LOGO制作</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水性运动地板专用漆</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项</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7</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蓝色氛围漆</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水性运动地板专用漆</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67</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bl>
    <w:p>
      <w:pPr>
        <w:pageBreakBefore w:val="0"/>
        <w:kinsoku/>
        <w:wordWrap/>
        <w:overflowPunct/>
        <w:topLinePunct w:val="0"/>
        <w:autoSpaceDE/>
        <w:autoSpaceDN/>
        <w:bidi w:val="0"/>
        <w:adjustRightInd/>
        <w:textAlignment w:val="auto"/>
        <w:outlineLvl w:val="9"/>
        <w:rPr>
          <w:rFonts w:hint="eastAsia" w:ascii="宋体" w:hAnsi="宋体" w:eastAsia="宋体" w:cs="宋体"/>
          <w:b/>
          <w:color w:val="auto"/>
          <w:kern w:val="2"/>
          <w:sz w:val="24"/>
          <w:szCs w:val="24"/>
          <w:highlight w:val="none"/>
          <w:lang w:val="en-US" w:eastAsia="zh-CN"/>
        </w:rPr>
        <w:sectPr>
          <w:pgSz w:w="16838" w:h="11906" w:orient="landscape"/>
          <w:pgMar w:top="1797" w:right="1474" w:bottom="1797" w:left="1247" w:header="851" w:footer="851" w:gutter="0"/>
          <w:pgBorders>
            <w:top w:val="none" w:sz="0" w:space="0"/>
            <w:left w:val="none" w:sz="0" w:space="0"/>
            <w:bottom w:val="none" w:sz="0" w:space="0"/>
            <w:right w:val="none" w:sz="0" w:space="0"/>
          </w:pgBorders>
          <w:lnNumType w:countBy="0"/>
          <w:cols w:space="720" w:num="1"/>
          <w:docGrid w:linePitch="312" w:charSpace="0"/>
        </w:sectPr>
      </w:pPr>
    </w:p>
    <w:p>
      <w:pPr>
        <w:keepNext w:val="0"/>
        <w:keepLines w:val="0"/>
        <w:pageBreakBefore w:val="0"/>
        <w:widowControl w:val="0"/>
        <w:kinsoku/>
        <w:wordWrap/>
        <w:overflowPunct/>
        <w:topLinePunct w:val="0"/>
        <w:autoSpaceDE/>
        <w:autoSpaceDN/>
        <w:bidi w:val="0"/>
        <w:snapToGrid/>
        <w:spacing w:line="360" w:lineRule="auto"/>
        <w:jc w:val="both"/>
        <w:textAlignment w:val="baseline"/>
        <w:rPr>
          <w:rStyle w:val="632"/>
          <w:rFonts w:ascii="宋体" w:hAnsi="Times New Roman" w:eastAsia="宋体"/>
          <w:b/>
          <w:color w:val="auto"/>
          <w:kern w:val="2"/>
          <w:sz w:val="24"/>
          <w:szCs w:val="24"/>
          <w:highlight w:val="none"/>
          <w:lang w:val="en-US" w:eastAsia="zh-CN" w:bidi="ar-SA"/>
        </w:rPr>
      </w:pPr>
      <w:r>
        <w:rPr>
          <w:rStyle w:val="632"/>
          <w:rFonts w:ascii="宋体" w:hAnsi="Times New Roman" w:eastAsia="宋体"/>
          <w:b/>
          <w:color w:val="auto"/>
          <w:kern w:val="2"/>
          <w:sz w:val="24"/>
          <w:szCs w:val="24"/>
          <w:highlight w:val="none"/>
          <w:lang w:val="en-US" w:eastAsia="zh-CN" w:bidi="ar-SA"/>
        </w:rPr>
        <w:t>三、说明</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1、本次采购范围包括货物的供应、运送</w:t>
      </w:r>
      <w:r>
        <w:rPr>
          <w:rStyle w:val="632"/>
          <w:rFonts w:hint="eastAsia" w:hAnsi="宋体" w:eastAsia="宋体" w:cs="Times New Roman"/>
          <w:bCs/>
          <w:color w:val="auto"/>
          <w:kern w:val="2"/>
          <w:sz w:val="24"/>
          <w:szCs w:val="24"/>
          <w:highlight w:val="none"/>
          <w:lang w:val="en-US" w:eastAsia="zh-CN" w:bidi="ar-SA"/>
        </w:rPr>
        <w:t>、安装</w:t>
      </w:r>
      <w:r>
        <w:rPr>
          <w:rStyle w:val="632"/>
          <w:rFonts w:ascii="宋体" w:hAnsi="宋体" w:eastAsia="宋体" w:cs="Times New Roman"/>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2、采购货物清单所列货物质量应符合现行国家标准。</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3、供应商必须对清单内的全部内容进行投标。</w:t>
      </w:r>
    </w:p>
    <w:p>
      <w:pPr>
        <w:keepNext w:val="0"/>
        <w:keepLines w:val="0"/>
        <w:pageBreakBefore w:val="0"/>
        <w:widowControl w:val="0"/>
        <w:kinsoku/>
        <w:wordWrap/>
        <w:overflowPunct/>
        <w:topLinePunct w:val="0"/>
        <w:autoSpaceDE/>
        <w:autoSpaceDN/>
        <w:bidi w:val="0"/>
        <w:snapToGrid/>
        <w:spacing w:line="360" w:lineRule="auto"/>
        <w:jc w:val="both"/>
        <w:textAlignment w:val="baseline"/>
        <w:rPr>
          <w:rStyle w:val="632"/>
          <w:rFonts w:ascii="宋体" w:hAnsi="Times New Roman" w:eastAsia="宋体" w:cs="Times New Roman"/>
          <w:b/>
          <w:color w:val="auto"/>
          <w:kern w:val="2"/>
          <w:sz w:val="24"/>
          <w:szCs w:val="24"/>
          <w:highlight w:val="none"/>
          <w:lang w:val="en-US" w:eastAsia="zh-CN" w:bidi="ar-SA"/>
        </w:rPr>
      </w:pPr>
      <w:r>
        <w:rPr>
          <w:rStyle w:val="632"/>
          <w:rFonts w:ascii="宋体" w:hAnsi="Times New Roman" w:eastAsia="宋体" w:cs="Times New Roman"/>
          <w:b/>
          <w:color w:val="auto"/>
          <w:kern w:val="2"/>
          <w:sz w:val="24"/>
          <w:szCs w:val="24"/>
          <w:highlight w:val="none"/>
          <w:lang w:val="en-US" w:eastAsia="zh-CN" w:bidi="ar-SA"/>
        </w:rPr>
        <w:t>四、</w:t>
      </w:r>
      <w:r>
        <w:rPr>
          <w:rStyle w:val="632"/>
          <w:rFonts w:hint="eastAsia" w:ascii="宋体" w:hAnsi="Times New Roman" w:eastAsia="宋体"/>
          <w:b/>
          <w:color w:val="auto"/>
          <w:kern w:val="2"/>
          <w:sz w:val="24"/>
          <w:szCs w:val="24"/>
          <w:highlight w:val="none"/>
          <w:lang w:val="en-US" w:eastAsia="zh-CN" w:bidi="ar-SA"/>
        </w:rPr>
        <w:t>样品要求</w:t>
      </w:r>
    </w:p>
    <w:tbl>
      <w:tblPr>
        <w:tblStyle w:val="62"/>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402"/>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6402"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内    容</w:t>
            </w:r>
          </w:p>
        </w:tc>
        <w:tc>
          <w:tcPr>
            <w:tcW w:w="207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402"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专业比赛级运动木地板</w:t>
            </w:r>
            <w:r>
              <w:rPr>
                <w:rFonts w:hint="eastAsia" w:ascii="宋体" w:hAnsi="宋体" w:cs="宋体"/>
                <w:b w:val="0"/>
                <w:bCs/>
                <w:kern w:val="0"/>
                <w:sz w:val="24"/>
                <w:szCs w:val="24"/>
                <w:highlight w:val="none"/>
                <w:lang w:val="en-US" w:eastAsia="zh-CN"/>
              </w:rPr>
              <w:t>：</w:t>
            </w:r>
            <w:r>
              <w:rPr>
                <w:rFonts w:hint="eastAsia" w:ascii="宋体" w:hAnsi="宋体" w:eastAsia="宋体" w:cs="宋体"/>
                <w:b w:val="0"/>
                <w:bCs/>
                <w:kern w:val="0"/>
                <w:sz w:val="24"/>
                <w:szCs w:val="24"/>
                <w:highlight w:val="none"/>
                <w:lang w:val="en-US" w:eastAsia="zh-CN"/>
              </w:rPr>
              <w:t>参数详见本部分二、采购货物清单</w:t>
            </w:r>
          </w:p>
        </w:tc>
        <w:tc>
          <w:tcPr>
            <w:tcW w:w="207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350mm*350mm</w:t>
            </w:r>
          </w:p>
        </w:tc>
      </w:tr>
    </w:tbl>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hint="eastAsia" w:ascii="宋体" w:hAnsi="宋体" w:eastAsia="宋体" w:cs="Times New Roman"/>
          <w:bCs/>
          <w:color w:val="auto"/>
          <w:kern w:val="2"/>
          <w:sz w:val="24"/>
          <w:szCs w:val="24"/>
          <w:highlight w:val="none"/>
          <w:lang w:val="en-US" w:eastAsia="zh-CN" w:bidi="ar-SA"/>
        </w:rPr>
        <w:t>注：样品应于开标当日截止时间之前递交至宁海县公共资源交易中心5楼开标室2，供应商须对样品进行包封，密封递交或采用包装袋包裹（要求为不能隔包装视物），并在包封外注明供应商名称，</w:t>
      </w:r>
      <w:r>
        <w:rPr>
          <w:rStyle w:val="632"/>
          <w:rFonts w:hint="eastAsia" w:ascii="宋体" w:hAnsi="宋体" w:eastAsia="宋体" w:cs="Times New Roman"/>
          <w:bCs/>
          <w:color w:val="auto"/>
          <w:kern w:val="2"/>
          <w:sz w:val="24"/>
          <w:szCs w:val="24"/>
          <w:highlight w:val="none"/>
          <w:lang w:val="en-US" w:eastAsia="zh-CN" w:bidi="ar-SA"/>
        </w:rPr>
        <w:t>逾期递交或未按要求包封的将拒收。投标样品运输费用等所有和样品相关的费用均由供应商承担。中标人的样品送至采购人指定地点封样保存，作为交货时的验收标准之一。未中标人的样品在开标结束后当天自行取回；若未按要求取回，采购人有权自行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五、供货要求</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1、供应商须针对本项目提供完整、详细的供货方案和配送方案。</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2、供应商须提供配送供货能力、投标产品货源。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六、售后服务要求</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1、供应商须针对本项目提供完整的设备及材料质量保证措施、质保期期限及售后服务方案</w:t>
      </w:r>
      <w:r>
        <w:rPr>
          <w:rStyle w:val="632"/>
          <w:rFonts w:hint="eastAsia" w:ascii="宋体" w:hAnsi="宋体" w:eastAsia="宋体" w:cs="Times New Roman"/>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七</w:t>
      </w:r>
      <w:r>
        <w:rPr>
          <w:rFonts w:hint="eastAsia" w:ascii="宋体" w:hAnsi="宋体" w:eastAsia="宋体" w:cs="宋体"/>
          <w:b/>
          <w:color w:val="auto"/>
          <w:kern w:val="2"/>
          <w:sz w:val="24"/>
          <w:szCs w:val="24"/>
          <w:highlight w:val="none"/>
          <w:lang w:val="en-US" w:eastAsia="zh-CN"/>
        </w:rPr>
        <w:t>、投标要求</w:t>
      </w:r>
    </w:p>
    <w:p>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2"/>
          <w:sz w:val="24"/>
          <w:szCs w:val="24"/>
          <w:highlight w:val="none"/>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eastAsia="宋体" w:cs="宋体"/>
          <w:bCs/>
          <w:color w:val="auto"/>
          <w:kern w:val="2"/>
          <w:sz w:val="24"/>
          <w:szCs w:val="24"/>
          <w:highlight w:val="none"/>
          <w:lang w:val="en-US" w:eastAsia="zh-CN"/>
        </w:rPr>
        <w:t>供应商须根据项目实际情况制定合理的供货方案，针对供货期限、供货方式供货流程等；提供</w:t>
      </w:r>
      <w:r>
        <w:rPr>
          <w:rFonts w:hint="eastAsia" w:ascii="宋体" w:hAnsi="宋体" w:eastAsia="宋体" w:cs="宋体"/>
          <w:b w:val="0"/>
          <w:bCs/>
          <w:color w:val="auto"/>
          <w:kern w:val="0"/>
          <w:sz w:val="24"/>
          <w:szCs w:val="24"/>
          <w:highlight w:val="none"/>
          <w:lang w:val="en-US" w:eastAsia="zh-CN"/>
        </w:rPr>
        <w:t>针对本项目的</w:t>
      </w:r>
      <w:r>
        <w:rPr>
          <w:rFonts w:hint="default" w:ascii="宋体" w:hAnsi="宋体" w:eastAsia="宋体" w:cs="宋体"/>
          <w:b w:val="0"/>
          <w:bCs/>
          <w:color w:val="auto"/>
          <w:kern w:val="0"/>
          <w:sz w:val="24"/>
          <w:szCs w:val="24"/>
          <w:highlight w:val="none"/>
          <w:lang w:val="en-US" w:eastAsia="zh-CN"/>
        </w:rPr>
        <w:t>售后服务</w:t>
      </w:r>
      <w:r>
        <w:rPr>
          <w:rFonts w:hint="eastAsia" w:ascii="宋体" w:hAnsi="宋体" w:eastAsia="宋体" w:cs="宋体"/>
          <w:b w:val="0"/>
          <w:bCs/>
          <w:color w:val="auto"/>
          <w:kern w:val="0"/>
          <w:sz w:val="24"/>
          <w:szCs w:val="24"/>
          <w:highlight w:val="none"/>
          <w:lang w:val="en-US" w:eastAsia="zh-CN"/>
        </w:rPr>
        <w:t>承诺及质保期方案、质保期满后的售后服务方案；供应商拟投入的备品备件；供应商拟投入的专业技术人员；供应商拟投入货物的质量水平及总体性能（包括产品性能、技术标准、产品配置的先进性等）</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提供针对本项目检测、</w:t>
      </w:r>
      <w:r>
        <w:rPr>
          <w:rFonts w:hint="default" w:ascii="宋体" w:hAnsi="宋体" w:eastAsia="宋体" w:cs="宋体"/>
          <w:b w:val="0"/>
          <w:bCs/>
          <w:color w:val="auto"/>
          <w:kern w:val="0"/>
          <w:sz w:val="24"/>
          <w:szCs w:val="24"/>
          <w:highlight w:val="none"/>
          <w:lang w:val="en-US" w:eastAsia="zh-CN"/>
        </w:rPr>
        <w:t>验收方案</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Cs/>
          <w:color w:val="auto"/>
          <w:kern w:val="2"/>
          <w:sz w:val="24"/>
          <w:szCs w:val="24"/>
          <w:highlight w:val="none"/>
          <w:lang w:val="en-US" w:eastAsia="zh-CN"/>
        </w:rPr>
        <w:t>提供</w:t>
      </w:r>
      <w:r>
        <w:rPr>
          <w:rFonts w:hint="eastAsia" w:ascii="宋体" w:hAnsi="宋体" w:eastAsia="宋体" w:cs="宋体"/>
          <w:color w:val="auto"/>
          <w:kern w:val="2"/>
          <w:sz w:val="24"/>
          <w:szCs w:val="24"/>
          <w:highlight w:val="none"/>
          <w:lang w:val="en-US" w:eastAsia="zh-CN"/>
        </w:rPr>
        <w:t>根据评分标准中的履约能力、业绩、政策加分等内容提供相应的证明材料。</w:t>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pPr>
        <w:pStyle w:val="394"/>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2"/>
        <w:tblW w:w="9105" w:type="dxa"/>
        <w:tblInd w:w="13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56"/>
        <w:gridCol w:w="5212"/>
        <w:gridCol w:w="725"/>
        <w:gridCol w:w="80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8" w:type="dxa"/>
            <w:gridSpan w:val="3"/>
            <w:tcBorders>
              <w:top w:val="single" w:color="auto" w:sz="2" w:space="0"/>
              <w:left w:val="single" w:color="auto" w:sz="2" w:space="0"/>
              <w:bottom w:val="single" w:color="auto" w:sz="4" w:space="0"/>
              <w:right w:val="single" w:color="auto" w:sz="4"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评分标准</w:t>
            </w:r>
          </w:p>
        </w:tc>
        <w:tc>
          <w:tcPr>
            <w:tcW w:w="725" w:type="dxa"/>
            <w:tcBorders>
              <w:top w:val="single" w:color="auto" w:sz="2"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分值</w:t>
            </w:r>
          </w:p>
        </w:tc>
        <w:tc>
          <w:tcPr>
            <w:tcW w:w="802" w:type="dxa"/>
            <w:tcBorders>
              <w:top w:val="single" w:color="auto" w:sz="2" w:space="0"/>
              <w:left w:val="single" w:color="auto" w:sz="4" w:space="0"/>
              <w:bottom w:val="single" w:color="auto" w:sz="4" w:space="0"/>
              <w:right w:val="single" w:color="auto" w:sz="2"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价格</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得分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30分</w:t>
            </w: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参与评审的价格=投标报价；</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满足采购要求的有效投标且参与评审的价格最低的参与评审的价格为评标基准价，得30分；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其他投标报价得分计算公式如下：投标报价得分=（评标基准价/参与评审的价格）×30%×100。</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注：投标报价是指磋商结束后，磋商小组要求所有实质性响应的供应商在规定时间内提交的最后报价。</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30</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10" w:type="dxa"/>
            <w:vMerge w:val="restart"/>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技术</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商务</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得分</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70分</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1、技术参数</w:t>
            </w:r>
          </w:p>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15</w:t>
            </w:r>
            <w:r>
              <w:rPr>
                <w:rFonts w:hint="eastAsia" w:ascii="宋体" w:hAnsi="宋体" w:eastAsia="宋体" w:cs="宋体"/>
                <w:b/>
                <w:bCs/>
                <w:color w:val="auto"/>
                <w:kern w:val="0"/>
                <w:sz w:val="24"/>
                <w:szCs w:val="24"/>
                <w:highlight w:val="none"/>
                <w:lang w:val="en-US" w:eastAsia="zh-CN" w:bidi="ar"/>
              </w:rPr>
              <w:t>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技术指标响应性（</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由评委根据投标人提供的技术参数要求响应进行评议，全部满足技术参数的得</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分；每负偏离一条技术参数指标的扣</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p>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注：当有供应商此项分值扣减至0分时，该供应商投标将被拒绝，其投标文件作无效标处理，不再进行评审。未按规定提供检测报告的视为负偏离。</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15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2、供货方案</w:t>
            </w:r>
          </w:p>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10</w:t>
            </w:r>
            <w:r>
              <w:rPr>
                <w:rFonts w:hint="eastAsia" w:ascii="宋体" w:hAnsi="宋体" w:eastAsia="宋体" w:cs="宋体"/>
                <w:b/>
                <w:bCs/>
                <w:color w:val="auto"/>
                <w:kern w:val="0"/>
                <w:sz w:val="24"/>
                <w:szCs w:val="24"/>
                <w:highlight w:val="none"/>
                <w:lang w:val="en-US" w:eastAsia="zh-CN" w:bidi="ar"/>
              </w:rPr>
              <w:t>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根据供应商提供的针对本项目的生产方案是否详细、交货方式是否切合实际，方案欠合理的每项扣1分，方案不合理的每项扣2分，无相应内容的不得分，扣完为止，本项最高得5分。</w:t>
            </w:r>
          </w:p>
        </w:tc>
        <w:tc>
          <w:tcPr>
            <w:tcW w:w="7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0" w:type="dxa"/>
            <w:vMerge w:val="continue"/>
            <w:tcBorders>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sz w:val="24"/>
                <w:szCs w:val="24"/>
              </w:rPr>
            </w:pPr>
          </w:p>
        </w:tc>
        <w:tc>
          <w:tcPr>
            <w:tcW w:w="145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sz w:val="24"/>
                <w:szCs w:val="24"/>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根据供应商提供的针对本项目的供货保障是否合理、供货流程要点是否明确、供货实施步骤是否清晰，方案欠合理的每项扣1分，方案不合理的每项扣2分，无相应内容的不得分，扣完为止，本项最高得5分。</w:t>
            </w:r>
          </w:p>
        </w:tc>
        <w:tc>
          <w:tcPr>
            <w:tcW w:w="7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3、售后服务方案（10分）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根据供应商的售后服务方案（包括售后服务说明、配件及耗材供应、售后服务保障等）合理性进行评议，方案欠合理可行的每项扣1分，方案不合理的每项扣2分，扣完为止，满分5分。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lang w:val="en-US" w:eastAsia="zh-CN" w:bidi="ar"/>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根据供应商的质保期服务方案和质保期满后的售后方案是否完善、可行进行评议，方案欠合理可行的每项扣1分，方案不合理的每项扣2分，满分5分。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tcBorders>
              <w:top w:val="single" w:color="auto" w:sz="4" w:space="0"/>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leftChars="0" w:right="0" w:rightChars="0"/>
              <w:jc w:val="both"/>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4、备品备件</w:t>
            </w:r>
          </w:p>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default" w:ascii="宋体" w:hAnsi="宋体" w:eastAsia="仿宋"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根据供应商提供的投标产品配件、附件、辅助材料是否完整性，是否常年备有备品、备件，供货能力强等进行评议方案欠合理可行的每项扣1分，方案不合理的每项扣2分，满分5分。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ascii="宋体" w:eastAsia="仿宋"/>
                <w:color w:val="auto"/>
                <w:kern w:val="0"/>
                <w:sz w:val="24"/>
                <w:szCs w:val="24"/>
                <w:highlight w:val="none"/>
              </w:rPr>
            </w:pPr>
          </w:p>
        </w:tc>
        <w:tc>
          <w:tcPr>
            <w:tcW w:w="1456"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eastAsia="仿宋"/>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5、安装技术人员（5分）</w:t>
            </w:r>
          </w:p>
        </w:tc>
        <w:tc>
          <w:tcPr>
            <w:tcW w:w="521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仿宋"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根据供应商提供的安装技术人员配备（资历、经验等）情况进行评议，资历经验欠丰富的每项扣1分，内容资历经验不丰富的每项扣2分，无相应内容的不得分，扣完为止，本项最高得5分。</w:t>
            </w:r>
          </w:p>
        </w:tc>
        <w:tc>
          <w:tcPr>
            <w:tcW w:w="7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6、质量水平及总体性能</w:t>
            </w:r>
          </w:p>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（10分）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根据供应商投标产品的产品功能</w:t>
            </w:r>
            <w:r>
              <w:rPr>
                <w:rStyle w:val="632"/>
                <w:rFonts w:hint="eastAsia" w:hAnsi="宋体" w:eastAsia="宋体"/>
                <w:color w:val="auto"/>
                <w:kern w:val="0"/>
                <w:sz w:val="24"/>
                <w:szCs w:val="24"/>
                <w:highlight w:val="none"/>
                <w:lang w:val="en-US" w:eastAsia="zh-CN" w:bidi="ar-SA"/>
              </w:rPr>
              <w:t>是否良好</w:t>
            </w:r>
            <w:r>
              <w:rPr>
                <w:rFonts w:hint="eastAsia" w:ascii="宋体" w:hAnsi="宋体" w:eastAsia="宋体" w:cs="宋体"/>
                <w:color w:val="auto"/>
                <w:kern w:val="0"/>
                <w:sz w:val="24"/>
                <w:szCs w:val="24"/>
                <w:highlight w:val="none"/>
                <w:lang w:val="en-US" w:eastAsia="zh-CN" w:bidi="ar"/>
              </w:rPr>
              <w:t>、</w:t>
            </w:r>
            <w:r>
              <w:rPr>
                <w:rStyle w:val="632"/>
                <w:rFonts w:ascii="宋体" w:hAnsi="宋体" w:eastAsia="宋体"/>
                <w:color w:val="auto"/>
                <w:kern w:val="0"/>
                <w:sz w:val="24"/>
                <w:szCs w:val="24"/>
                <w:highlight w:val="none"/>
                <w:lang w:val="en-US" w:eastAsia="zh-CN" w:bidi="ar-SA"/>
              </w:rPr>
              <w:t>技术标准</w:t>
            </w:r>
            <w:r>
              <w:rPr>
                <w:rStyle w:val="632"/>
                <w:rFonts w:hint="eastAsia" w:hAnsi="宋体" w:eastAsia="宋体"/>
                <w:color w:val="auto"/>
                <w:kern w:val="0"/>
                <w:sz w:val="24"/>
                <w:szCs w:val="24"/>
                <w:highlight w:val="none"/>
                <w:lang w:val="en-US" w:eastAsia="zh-CN" w:bidi="ar-SA"/>
              </w:rPr>
              <w:t>是否有效</w:t>
            </w:r>
            <w:r>
              <w:rPr>
                <w:rFonts w:hint="eastAsia" w:ascii="宋体" w:hAnsi="宋体" w:eastAsia="宋体" w:cs="宋体"/>
                <w:color w:val="auto"/>
                <w:kern w:val="0"/>
                <w:sz w:val="24"/>
                <w:szCs w:val="24"/>
                <w:highlight w:val="none"/>
                <w:lang w:val="en-US" w:eastAsia="zh-CN" w:bidi="ar"/>
              </w:rPr>
              <w:t>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continue"/>
            <w:tcBorders>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4"/>
                <w:szCs w:val="24"/>
                <w:highlight w:val="none"/>
                <w:lang w:val="en-US" w:eastAsia="zh-CN" w:bidi="ar"/>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根据供应商投标产品配置是否先进、是否完整、是否适用等进行评议，内容欠合理的每项扣1分，内容不合理的每项扣2分，无相应内容的不得分，扣完为止，本项最高得5分。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7、同类</w:t>
            </w:r>
            <w:r>
              <w:rPr>
                <w:rFonts w:hint="eastAsia" w:ascii="宋体" w:hAnsi="宋体" w:cs="宋体"/>
                <w:b/>
                <w:bCs/>
                <w:color w:val="auto"/>
                <w:kern w:val="0"/>
                <w:sz w:val="24"/>
                <w:szCs w:val="24"/>
                <w:highlight w:val="none"/>
                <w:lang w:val="en-US" w:eastAsia="zh-CN" w:bidi="ar"/>
              </w:rPr>
              <w:t>货物</w:t>
            </w:r>
            <w:r>
              <w:rPr>
                <w:rFonts w:hint="eastAsia" w:ascii="宋体" w:hAnsi="宋体" w:eastAsia="宋体" w:cs="宋体"/>
                <w:b/>
                <w:bCs/>
                <w:color w:val="auto"/>
                <w:kern w:val="0"/>
                <w:sz w:val="24"/>
                <w:szCs w:val="24"/>
                <w:highlight w:val="none"/>
                <w:lang w:val="en-US" w:eastAsia="zh-CN" w:bidi="ar"/>
              </w:rPr>
              <w:t>销售业绩</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（3分）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2019年1月1日(以合同签订日期为准）以来，每提供一个投标人或投标产品生产厂家同类运动木地板销售业绩得1分，满分3分。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注：响应文件中提供合同及中标通知书复印件并加盖公章，未提供的或未按要求盖章的视为无效业绩。</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3</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10"/>
              </w:numPr>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检测、验收方案</w:t>
            </w:r>
          </w:p>
          <w:p>
            <w:pPr>
              <w:keepNext w:val="0"/>
              <w:keepLines w:val="0"/>
              <w:widowControl/>
              <w:numPr>
                <w:ilvl w:val="0"/>
                <w:numId w:val="0"/>
              </w:numPr>
              <w:suppressLineNumbers w:val="0"/>
              <w:spacing w:before="0" w:beforeAutospacing="0" w:after="0" w:afterAutospacing="0" w:line="300" w:lineRule="exact"/>
              <w:ind w:right="0" w:rightChars="0"/>
              <w:jc w:val="both"/>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根据供应商针对本次项目提出的调试方案、验收方案是否完整、是否合理、可操作性强等进行评议，内容欠合理的每项扣1分，内容不合理的每项扣2分，无相应内容的不得分，扣完为止，本项最高得5分。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widowControl/>
              <w:numPr>
                <w:ilvl w:val="0"/>
                <w:numId w:val="10"/>
              </w:numPr>
              <w:suppressLineNumbers w:val="0"/>
              <w:spacing w:before="0" w:beforeAutospacing="0" w:after="0" w:afterAutospacing="0" w:line="300" w:lineRule="exact"/>
              <w:ind w:left="0" w:leftChars="0" w:right="0" w:firstLine="0" w:firstLineChars="0"/>
              <w:jc w:val="center"/>
              <w:textAlignment w:val="baseline"/>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样品</w:t>
            </w:r>
          </w:p>
          <w:p>
            <w:pPr>
              <w:keepNext w:val="0"/>
              <w:keepLines w:val="0"/>
              <w:widowControl/>
              <w:numPr>
                <w:ilvl w:val="0"/>
                <w:numId w:val="0"/>
              </w:numPr>
              <w:suppressLineNumbers w:val="0"/>
              <w:spacing w:before="0" w:beforeAutospacing="0" w:after="0" w:afterAutospacing="0" w:line="300" w:lineRule="exact"/>
              <w:ind w:leftChars="0" w:right="0" w:rightChars="0"/>
              <w:jc w:val="both"/>
              <w:textAlignment w:val="baseline"/>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（6分）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根据供应商提供样品的外观、材质进行评议，一般的扣1分，差的扣2分，扣完为止，本项最高得3分。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3</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10" w:type="dxa"/>
            <w:vMerge w:val="continue"/>
            <w:tcBorders>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sz w:val="24"/>
                <w:szCs w:val="24"/>
              </w:rPr>
            </w:pPr>
          </w:p>
        </w:tc>
        <w:tc>
          <w:tcPr>
            <w:tcW w:w="145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sz w:val="24"/>
                <w:szCs w:val="24"/>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根据供应商提供样品的制作水平、完整程度等进行评议，一般的扣1分，差的扣2分，扣完为止，本项最高得3分。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3</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bidi="ar"/>
              </w:rPr>
              <w:t>10</w:t>
            </w:r>
            <w:r>
              <w:rPr>
                <w:rFonts w:hint="eastAsia" w:ascii="宋体" w:hAnsi="宋体" w:eastAsia="宋体" w:cs="宋体"/>
                <w:b/>
                <w:bCs/>
                <w:color w:val="auto"/>
                <w:kern w:val="0"/>
                <w:sz w:val="24"/>
                <w:szCs w:val="24"/>
                <w:highlight w:val="none"/>
                <w:lang w:val="en-US" w:eastAsia="zh-CN" w:bidi="ar"/>
              </w:rPr>
              <w:t>、政</w:t>
            </w:r>
            <w:bookmarkStart w:id="225" w:name="_GoBack"/>
            <w:bookmarkEnd w:id="225"/>
            <w:r>
              <w:rPr>
                <w:rFonts w:hint="eastAsia" w:ascii="宋体" w:hAnsi="宋体" w:eastAsia="宋体" w:cs="宋体"/>
                <w:b/>
                <w:bCs/>
                <w:color w:val="auto"/>
                <w:kern w:val="0"/>
                <w:sz w:val="24"/>
                <w:szCs w:val="24"/>
                <w:highlight w:val="none"/>
                <w:lang w:val="en-US" w:eastAsia="zh-CN" w:bidi="ar"/>
              </w:rPr>
              <w:t>策加分（1分）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节能环保产品（1分）：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所有投标产品属于《节能产品政府采购品目清单》范围的且具有国家确定的认证机构出具的、处于有效期之内的节能产品认证证书的得0.5分；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所有投标产品属于《环境标志产品政府采购品目清单》范围的且具有国家确定的认证机构出具的、处于有效期之内的环境标志产品认证证书的得0.5分。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注：投标文件中必须同时提供以下资料：</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（2）《市场监管总局关于发布参与实施政府采购节能产品、环境标志产品认证机构名录的公告》中的认证机构出具的、处于有效期之内的节能产品/环境标志产品认证证书复印件并加盖公章。</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1</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客观评审</w:t>
            </w:r>
          </w:p>
        </w:tc>
      </w:tr>
    </w:tbl>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注：1、小数点后保留一位数。2、各</w:t>
      </w:r>
      <w:r>
        <w:rPr>
          <w:rFonts w:hint="eastAsia" w:cs="Arial" w:asciiTheme="minorEastAsia" w:hAnsiTheme="minorEastAsia" w:eastAsiaTheme="minorEastAsia"/>
          <w:b/>
          <w:color w:val="auto"/>
          <w:kern w:val="0"/>
          <w:sz w:val="24"/>
          <w:lang w:val="en-US" w:eastAsia="zh-CN"/>
        </w:rPr>
        <w:t>磋商小组</w:t>
      </w:r>
      <w:r>
        <w:rPr>
          <w:rFonts w:hint="eastAsia" w:cs="Arial" w:asciiTheme="minorEastAsia" w:hAnsiTheme="minorEastAsia" w:eastAsiaTheme="minorEastAsia"/>
          <w:b/>
          <w:color w:val="auto"/>
          <w:kern w:val="0"/>
          <w:sz w:val="24"/>
        </w:rPr>
        <w:t>成员自行按以上参考分值评分。3、重大事件由评标委员会集体讨论，应当按照少数服从多数的原则作出结论。4、联合体中任意一方具有上述证明材料的均予以认可。</w:t>
      </w:r>
      <w:r>
        <w:rPr>
          <w:rFonts w:hint="eastAsia" w:cs="Arial" w:asciiTheme="minorEastAsia" w:hAnsiTheme="minorEastAsia" w:eastAsiaTheme="minorEastAsia"/>
          <w:b/>
          <w:color w:val="auto"/>
          <w:kern w:val="0"/>
          <w:sz w:val="24"/>
          <w:lang w:val="en-US" w:eastAsia="zh-CN"/>
        </w:rPr>
        <w:t>5、</w:t>
      </w:r>
      <w:r>
        <w:rPr>
          <w:rFonts w:hint="eastAsia" w:cs="Arial" w:asciiTheme="minorEastAsia" w:hAnsiTheme="minorEastAsia" w:eastAsiaTheme="minorEastAsia"/>
          <w:b/>
          <w:color w:val="auto"/>
          <w:kern w:val="0"/>
          <w:sz w:val="24"/>
        </w:rPr>
        <w:t>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rPr>
      </w:pPr>
    </w:p>
    <w:p>
      <w:pPr>
        <w:pStyle w:val="394"/>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pStyle w:val="2"/>
        <w:rPr>
          <w:rFonts w:cs="仿宋_GB2312" w:asciiTheme="minorEastAsia" w:hAnsiTheme="minorEastAsia" w:eastAsiaTheme="minorEastAsia"/>
          <w:b/>
          <w:color w:val="auto"/>
          <w:sz w:val="32"/>
        </w:rPr>
      </w:pPr>
    </w:p>
    <w:p>
      <w:pPr>
        <w:pStyle w:val="2"/>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4"/>
        <w:spacing w:before="0"/>
        <w:ind w:firstLine="0" w:firstLineChars="0"/>
        <w:rPr>
          <w:rFonts w:asciiTheme="minorEastAsia" w:hAnsiTheme="minorEastAsia" w:eastAsiaTheme="minorEastAsia"/>
          <w:b/>
          <w:color w:val="auto"/>
        </w:rPr>
      </w:pPr>
    </w:p>
    <w:p>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4"/>
        <w:spacing w:before="0"/>
        <w:ind w:firstLine="0" w:firstLineChars="0"/>
        <w:rPr>
          <w:rFonts w:asciiTheme="minorEastAsia" w:hAnsiTheme="minorEastAsia" w:eastAsiaTheme="minorEastAsia"/>
          <w:b/>
          <w:color w:val="auto"/>
        </w:rPr>
      </w:pPr>
    </w:p>
    <w:p>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6"/>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pPr>
        <w:pStyle w:val="394"/>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pPr>
        <w:spacing w:line="360" w:lineRule="auto"/>
        <w:rPr>
          <w:rFonts w:asciiTheme="minorEastAsia" w:hAnsiTheme="minorEastAsia" w:eastAsiaTheme="minorEastAsia"/>
          <w:color w:val="auto"/>
          <w:sz w:val="24"/>
        </w:rPr>
      </w:pPr>
      <w:bookmarkStart w:id="66" w:name="第五部分"/>
      <w:bookmarkStart w:id="67" w:name="_Toc86217003"/>
    </w:p>
    <w:p>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u w:val="single"/>
        </w:rPr>
      </w:pPr>
    </w:p>
    <w:p>
      <w:pPr>
        <w:pStyle w:val="283"/>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pPr>
        <w:pStyle w:val="283"/>
        <w:rPr>
          <w:rFonts w:asciiTheme="minorEastAsia" w:hAnsiTheme="minorEastAsia" w:eastAsiaTheme="minorEastAsia"/>
          <w:color w:val="auto"/>
          <w:szCs w:val="24"/>
        </w:rPr>
      </w:pPr>
    </w:p>
    <w:p>
      <w:pPr>
        <w:pStyle w:val="283"/>
        <w:rPr>
          <w:rFonts w:asciiTheme="minorEastAsia" w:hAnsiTheme="minorEastAsia" w:eastAsiaTheme="minorEastAsia"/>
          <w:color w:val="auto"/>
          <w:szCs w:val="24"/>
        </w:rPr>
      </w:pPr>
    </w:p>
    <w:p>
      <w:pPr>
        <w:spacing w:before="120" w:line="360" w:lineRule="auto"/>
        <w:rPr>
          <w:rFonts w:asciiTheme="minorEastAsia" w:hAnsiTheme="minorEastAsia" w:eastAsiaTheme="minorEastAsia"/>
          <w:color w:val="auto"/>
          <w:sz w:val="24"/>
        </w:rPr>
      </w:pPr>
    </w:p>
    <w:p>
      <w:pPr>
        <w:spacing w:before="120" w:line="22" w:lineRule="atLeast"/>
        <w:ind w:left="960"/>
        <w:rPr>
          <w:rFonts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cs="宋体"/>
          <w:color w:val="auto"/>
          <w:sz w:val="24"/>
          <w:u w:val="single"/>
          <w:lang w:eastAsia="zh-CN"/>
        </w:rPr>
        <w:t>宁海县体育馆运动木地板采购及安装项目</w:t>
      </w:r>
    </w:p>
    <w:p>
      <w:pPr>
        <w:widowControl w:val="0"/>
        <w:adjustRightInd/>
        <w:spacing w:before="120" w:line="22" w:lineRule="atLeast"/>
        <w:jc w:val="both"/>
        <w:rPr>
          <w:rFonts w:ascii="宋体" w:hAnsi="宋体" w:eastAsia="宋体" w:cs="宋体"/>
          <w:color w:val="auto"/>
          <w:kern w:val="2"/>
          <w:sz w:val="24"/>
          <w:szCs w:val="24"/>
          <w:lang w:val="en-US" w:eastAsia="zh-CN" w:bidi="ar-SA"/>
        </w:rPr>
      </w:pPr>
    </w:p>
    <w:p>
      <w:pPr>
        <w:widowControl w:val="0"/>
        <w:adjustRightInd/>
        <w:spacing w:before="120" w:line="22" w:lineRule="atLeast"/>
        <w:jc w:val="both"/>
        <w:rPr>
          <w:rFonts w:ascii="宋体" w:hAnsi="宋体" w:eastAsia="宋体" w:cs="宋体"/>
          <w:color w:val="auto"/>
          <w:kern w:val="2"/>
          <w:sz w:val="24"/>
          <w:szCs w:val="24"/>
          <w:lang w:val="en-US" w:eastAsia="zh-CN" w:bidi="ar-SA"/>
        </w:rPr>
      </w:pPr>
    </w:p>
    <w:p>
      <w:pPr>
        <w:rPr>
          <w:rFonts w:ascii="宋体" w:hAnsi="宋体" w:eastAsia="宋体" w:cs="宋体"/>
          <w:color w:val="auto"/>
          <w:sz w:val="24"/>
        </w:rPr>
      </w:pPr>
    </w:p>
    <w:p>
      <w:pPr>
        <w:spacing w:before="120" w:line="22" w:lineRule="atLeast"/>
        <w:ind w:left="960"/>
        <w:rPr>
          <w:rFonts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22" w:lineRule="atLeast"/>
        <w:ind w:left="960"/>
        <w:rPr>
          <w:rFonts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22" w:lineRule="atLeast"/>
        <w:ind w:firstLine="960" w:firstLineChars="400"/>
        <w:rPr>
          <w:rFonts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竞争性磋商</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宁海县体育馆运动木地板采购及安装项目</w:t>
      </w:r>
      <w:r>
        <w:rPr>
          <w:rFonts w:hint="eastAsia" w:ascii="宋体" w:hAnsi="宋体" w:eastAsia="宋体" w:cs="宋体"/>
          <w:color w:val="auto"/>
          <w:sz w:val="24"/>
          <w:u w:val="single"/>
        </w:rPr>
        <w:t>、</w:t>
      </w:r>
      <w:r>
        <w:rPr>
          <w:rFonts w:hint="eastAsia" w:ascii="宋体" w:hAnsi="宋体" w:cs="宋体"/>
          <w:color w:val="auto"/>
          <w:sz w:val="24"/>
          <w:u w:val="single"/>
          <w:lang w:eastAsia="zh-CN"/>
        </w:rPr>
        <w:t>CBZJ-20236038G磋</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磋商小组</w:t>
      </w:r>
      <w:r>
        <w:rPr>
          <w:rFonts w:hint="eastAsia" w:ascii="宋体" w:hAnsi="宋体" w:eastAsia="宋体" w:cs="宋体"/>
          <w:color w:val="auto"/>
          <w:sz w:val="24"/>
          <w:u w:val="single"/>
        </w:rPr>
        <w:t xml:space="preserve">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成交人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为该项目中标或者成交供应商。现于中标或者成交通知书发出之日起</w:t>
      </w:r>
      <w:r>
        <w:rPr>
          <w:rFonts w:hint="eastAsia" w:ascii="宋体" w:hAnsi="宋体" w:eastAsia="宋体" w:cs="宋体"/>
          <w:color w:val="auto"/>
          <w:sz w:val="24"/>
          <w:lang w:val="en-US" w:eastAsia="zh-CN"/>
        </w:rPr>
        <w:t>3</w:t>
      </w:r>
      <w:r>
        <w:rPr>
          <w:rFonts w:hint="eastAsia" w:ascii="宋体" w:hAnsi="宋体" w:eastAsia="宋体" w:cs="宋体"/>
          <w:color w:val="auto"/>
          <w:sz w:val="24"/>
        </w:rPr>
        <w:t>0个工作日内，按照采购文件等确定的事项签订本合同。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（成交人名称）</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560" w:lineRule="exact"/>
        <w:ind w:firstLine="482" w:firstLineChars="200"/>
        <w:outlineLvl w:val="0"/>
        <w:rPr>
          <w:rFonts w:ascii="宋体" w:hAnsi="宋体" w:eastAsia="宋体" w:cs="宋体"/>
          <w:b/>
          <w:color w:val="auto"/>
          <w:sz w:val="24"/>
        </w:rPr>
      </w:pPr>
      <w:bookmarkStart w:id="68" w:name="_Toc24059"/>
      <w:bookmarkStart w:id="69" w:name="_Toc3029"/>
      <w:bookmarkStart w:id="70" w:name="_Toc2232"/>
      <w:r>
        <w:rPr>
          <w:rFonts w:hint="eastAsia" w:ascii="宋体" w:hAnsi="宋体" w:eastAsia="宋体" w:cs="宋体"/>
          <w:b/>
          <w:color w:val="auto"/>
          <w:sz w:val="24"/>
        </w:rPr>
        <w:t>1.1 合同组成部分</w:t>
      </w:r>
      <w:bookmarkEnd w:id="68"/>
      <w:bookmarkEnd w:id="69"/>
      <w:bookmarkEnd w:id="7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1.1.1 本合同及其补充合同、变更协议；</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1.1.2 中标或者成交通知书；</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1.1.3 投标或者响应文件（含澄清或者说明文件）；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1.1.4 采购文件（含澄清或者修改文件）；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1.1.5 其他相关采购文件。</w:t>
      </w:r>
    </w:p>
    <w:p>
      <w:pPr>
        <w:spacing w:line="560" w:lineRule="exact"/>
        <w:ind w:firstLine="482" w:firstLineChars="200"/>
        <w:outlineLvl w:val="0"/>
        <w:rPr>
          <w:rFonts w:ascii="宋体" w:hAnsi="宋体" w:eastAsia="宋体" w:cs="宋体"/>
          <w:b/>
          <w:color w:val="auto"/>
          <w:sz w:val="24"/>
        </w:rPr>
      </w:pPr>
      <w:bookmarkStart w:id="71" w:name="_Toc27126"/>
      <w:bookmarkStart w:id="72" w:name="_Toc24300"/>
      <w:bookmarkStart w:id="73" w:name="_Toc21295"/>
      <w:r>
        <w:rPr>
          <w:rFonts w:hint="eastAsia" w:ascii="宋体" w:hAnsi="宋体" w:eastAsia="宋体" w:cs="宋体"/>
          <w:b/>
          <w:color w:val="auto"/>
          <w:sz w:val="24"/>
        </w:rPr>
        <w:t>1.2 货物</w:t>
      </w:r>
      <w:bookmarkEnd w:id="71"/>
      <w:bookmarkEnd w:id="72"/>
      <w:bookmarkEnd w:id="73"/>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pPr>
        <w:spacing w:line="560" w:lineRule="exact"/>
        <w:ind w:firstLine="482" w:firstLineChars="200"/>
        <w:outlineLvl w:val="0"/>
        <w:rPr>
          <w:rFonts w:ascii="宋体" w:hAnsi="宋体" w:eastAsia="宋体" w:cs="宋体"/>
          <w:b/>
          <w:color w:val="auto"/>
          <w:sz w:val="24"/>
        </w:rPr>
      </w:pPr>
      <w:bookmarkStart w:id="74" w:name="_Toc21551"/>
      <w:bookmarkStart w:id="75" w:name="_Toc23292"/>
      <w:bookmarkStart w:id="76" w:name="_Toc21631"/>
      <w:r>
        <w:rPr>
          <w:rFonts w:hint="eastAsia" w:ascii="宋体" w:hAnsi="宋体" w:eastAsia="宋体" w:cs="宋体"/>
          <w:b/>
          <w:color w:val="auto"/>
          <w:sz w:val="24"/>
        </w:rPr>
        <w:t>1.3 价款</w:t>
      </w:r>
      <w:bookmarkEnd w:id="74"/>
      <w:bookmarkEnd w:id="75"/>
      <w:bookmarkEnd w:id="7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bl>
    <w:p>
      <w:pPr>
        <w:widowControl/>
        <w:adjustRightInd/>
        <w:spacing w:before="0" w:beforeAutospacing="0" w:after="0" w:afterAutospacing="0" w:line="360" w:lineRule="auto"/>
        <w:ind w:firstLine="480"/>
        <w:jc w:val="left"/>
        <w:rPr>
          <w:rFonts w:ascii="宋体" w:hAnsi="宋体" w:eastAsia="宋体" w:cs="宋体"/>
          <w:b/>
          <w:color w:val="auto"/>
          <w:kern w:val="0"/>
          <w:sz w:val="24"/>
          <w:szCs w:val="24"/>
          <w:lang w:val="en-US" w:eastAsia="zh-CN" w:bidi="ar-SA"/>
        </w:rPr>
      </w:pPr>
      <w:bookmarkStart w:id="77" w:name="_Toc1814"/>
      <w:bookmarkStart w:id="78" w:name="_Toc22618"/>
      <w:bookmarkStart w:id="79" w:name="_Toc10340"/>
      <w:r>
        <w:rPr>
          <w:rFonts w:hint="eastAsia" w:ascii="宋体" w:hAnsi="宋体" w:eastAsia="宋体" w:cs="宋体"/>
          <w:b/>
          <w:color w:val="auto"/>
          <w:kern w:val="0"/>
          <w:sz w:val="24"/>
          <w:szCs w:val="24"/>
          <w:lang w:val="en-US" w:eastAsia="zh-CN" w:bidi="ar-SA"/>
        </w:rPr>
        <w:t>1.4履约保证金</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乙方</w:t>
      </w:r>
      <w:r>
        <w:rPr>
          <w:rFonts w:hint="eastAsia" w:ascii="宋体" w:hAnsi="宋体" w:eastAsia="宋体" w:cs="宋体"/>
          <w:color w:val="auto"/>
          <w:kern w:val="0"/>
          <w:sz w:val="24"/>
          <w:szCs w:val="24"/>
          <w:u w:val="single"/>
          <w:lang w:val="en-US" w:eastAsia="zh-CN" w:bidi="ar-SA"/>
        </w:rPr>
        <w:t xml:space="preserve">  是  </w:t>
      </w:r>
      <w:r>
        <w:rPr>
          <w:rFonts w:hint="eastAsia" w:ascii="宋体" w:hAnsi="宋体" w:eastAsia="宋体" w:cs="宋体"/>
          <w:color w:val="auto"/>
          <w:kern w:val="0"/>
          <w:sz w:val="24"/>
          <w:szCs w:val="24"/>
          <w:lang w:val="en-US" w:eastAsia="zh-CN" w:bidi="ar-SA"/>
        </w:rPr>
        <w:t>（是</w:t>
      </w:r>
      <w:r>
        <w:rPr>
          <w:rFonts w:hint="eastAsia" w:ascii="仿宋" w:hAnsi="仿宋" w:eastAsia="仿宋" w:cs="仿宋"/>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否）需要支付履约保证金。若需要支付履约保证金的，则：</w:t>
      </w:r>
    </w:p>
    <w:p>
      <w:pPr>
        <w:spacing w:line="560" w:lineRule="exact"/>
        <w:ind w:firstLine="480" w:firstLineChars="200"/>
        <w:outlineLvl w:val="0"/>
        <w:rPr>
          <w:rFonts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1</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spacing w:line="560" w:lineRule="exact"/>
        <w:ind w:firstLine="480" w:firstLineChars="200"/>
        <w:outlineLvl w:val="0"/>
        <w:rPr>
          <w:rFonts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keepNext/>
        <w:keepLines/>
        <w:widowControl w:val="0"/>
        <w:tabs>
          <w:tab w:val="left" w:pos="0"/>
        </w:tabs>
        <w:adjustRightInd/>
        <w:spacing w:line="560" w:lineRule="exact"/>
        <w:ind w:left="0" w:firstLine="480" w:firstLineChars="200"/>
        <w:jc w:val="left"/>
        <w:outlineLvl w:val="1"/>
        <w:rPr>
          <w:rFonts w:ascii="仿宋_GB2312" w:hAnsi="仿宋" w:eastAsia="宋体" w:cs="Times New Roman"/>
          <w:b/>
          <w:bCs/>
          <w:color w:val="auto"/>
          <w:kern w:val="2"/>
          <w:sz w:val="32"/>
          <w:szCs w:val="32"/>
          <w:lang w:val="en-US" w:eastAsia="zh-CN" w:bidi="ar-SA"/>
        </w:rPr>
      </w:pPr>
      <w:r>
        <w:rPr>
          <w:rFonts w:hint="eastAsia" w:ascii="宋体" w:hAnsi="宋体" w:eastAsia="宋体" w:cs="宋体"/>
          <w:b w:val="0"/>
          <w:bCs w:val="0"/>
          <w:color w:val="auto"/>
          <w:kern w:val="0"/>
          <w:sz w:val="24"/>
          <w:szCs w:val="24"/>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Times New Roman" w:hAnsi="Times New Roman" w:eastAsia="宋体" w:cs="Times New Roman"/>
          <w:color w:val="auto"/>
        </w:rPr>
      </w:pPr>
      <w:r>
        <w:rPr>
          <w:rFonts w:hint="eastAsia" w:ascii="宋体" w:hAnsi="宋体" w:eastAsia="宋体" w:cs="宋体"/>
          <w:color w:val="auto"/>
          <w:kern w:val="0"/>
          <w:sz w:val="24"/>
        </w:rPr>
        <w:t>1.4.4 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pPr>
        <w:spacing w:line="560" w:lineRule="exact"/>
        <w:ind w:firstLine="482" w:firstLineChars="200"/>
        <w:outlineLvl w:val="0"/>
        <w:rPr>
          <w:rFonts w:ascii="宋体" w:hAnsi="宋体" w:eastAsia="宋体" w:cs="宋体"/>
          <w:b/>
          <w:color w:val="auto"/>
          <w:sz w:val="24"/>
        </w:rPr>
      </w:pPr>
      <w:r>
        <w:rPr>
          <w:rFonts w:hint="eastAsia" w:ascii="宋体" w:hAnsi="宋体" w:eastAsia="宋体" w:cs="宋体"/>
          <w:b/>
          <w:color w:val="auto"/>
          <w:sz w:val="24"/>
        </w:rPr>
        <w:t>1.5</w:t>
      </w:r>
      <w:bookmarkEnd w:id="77"/>
      <w:bookmarkEnd w:id="78"/>
      <w:bookmarkEnd w:id="79"/>
      <w:r>
        <w:rPr>
          <w:rFonts w:hint="eastAsia" w:ascii="宋体" w:hAnsi="宋体" w:eastAsia="宋体" w:cs="宋体"/>
          <w:b/>
          <w:color w:val="auto"/>
          <w:sz w:val="24"/>
        </w:rPr>
        <w:t>预付款</w:t>
      </w:r>
    </w:p>
    <w:p>
      <w:pPr>
        <w:widowControl/>
        <w:adjustRightInd/>
        <w:spacing w:before="0" w:beforeAutospacing="0" w:after="0" w:afterAutospacing="0" w:line="360" w:lineRule="auto"/>
        <w:ind w:firstLine="48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甲方</w:t>
      </w:r>
      <w:r>
        <w:rPr>
          <w:rFonts w:hint="eastAsia" w:ascii="宋体" w:hAnsi="宋体" w:eastAsia="宋体" w:cs="宋体"/>
          <w:color w:val="auto"/>
          <w:kern w:val="0"/>
          <w:sz w:val="24"/>
          <w:szCs w:val="24"/>
          <w:u w:val="single"/>
          <w:lang w:val="en-US" w:eastAsia="zh-CN" w:bidi="ar-SA"/>
        </w:rPr>
        <w:t xml:space="preserve">  是  </w:t>
      </w:r>
      <w:r>
        <w:rPr>
          <w:rFonts w:hint="eastAsia" w:ascii="宋体" w:hAnsi="宋体" w:eastAsia="宋体" w:cs="宋体"/>
          <w:color w:val="auto"/>
          <w:kern w:val="0"/>
          <w:sz w:val="24"/>
          <w:szCs w:val="24"/>
          <w:lang w:val="en-US" w:eastAsia="zh-CN" w:bidi="ar-SA"/>
        </w:rPr>
        <w:t>（是</w:t>
      </w:r>
      <w:r>
        <w:rPr>
          <w:rFonts w:hint="eastAsia" w:ascii="仿宋" w:hAnsi="仿宋" w:eastAsia="仿宋" w:cs="仿宋"/>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否）需要支付预付款。若需要支付预付款的，则：</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1.5.1预付款比例、支付方式、时间详见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b/>
          <w:i/>
          <w:color w:val="auto"/>
          <w:kern w:val="0"/>
          <w:sz w:val="24"/>
          <w:szCs w:val="24"/>
          <w:u w:val="single"/>
          <w:lang w:val="en-US" w:eastAsia="zh-CN" w:bidi="ar-SA"/>
        </w:rPr>
        <w:t>合同专用条款</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w:t>
      </w:r>
    </w:p>
    <w:p>
      <w:pPr>
        <w:widowControl/>
        <w:adjustRightInd/>
        <w:spacing w:before="0" w:beforeAutospacing="0" w:after="0" w:afterAutospacing="0" w:line="360" w:lineRule="auto"/>
        <w:ind w:firstLine="480"/>
        <w:jc w:val="left"/>
        <w:rPr>
          <w:rFonts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1.6资金支付</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80" w:name="_Toc19304"/>
      <w:bookmarkStart w:id="81" w:name="_Toc32071"/>
      <w:bookmarkStart w:id="82" w:name="_Toc2846"/>
      <w:r>
        <w:rPr>
          <w:rFonts w:hint="eastAsia" w:ascii="宋体" w:hAnsi="宋体" w:eastAsia="宋体" w:cs="宋体"/>
          <w:b/>
          <w:color w:val="auto"/>
          <w:sz w:val="24"/>
        </w:rPr>
        <w:t>1.7货物交付期限、地点和方式</w:t>
      </w:r>
      <w:bookmarkEnd w:id="80"/>
      <w:bookmarkEnd w:id="81"/>
      <w:bookmarkEnd w:id="82"/>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83" w:name="_Toc19554"/>
      <w:bookmarkStart w:id="84" w:name="_Toc27250"/>
      <w:bookmarkStart w:id="85" w:name="_Toc21423"/>
      <w:r>
        <w:rPr>
          <w:rFonts w:hint="eastAsia" w:ascii="宋体" w:hAnsi="宋体" w:eastAsia="宋体" w:cs="宋体"/>
          <w:b/>
          <w:color w:val="auto"/>
          <w:sz w:val="24"/>
        </w:rPr>
        <w:t>1.8违约责任</w:t>
      </w:r>
      <w:bookmarkEnd w:id="83"/>
      <w:bookmarkEnd w:id="84"/>
      <w:bookmarkEnd w:id="8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eastAsia="宋体" w:cs="宋体"/>
          <w:color w:val="auto"/>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pPr>
        <w:spacing w:line="560" w:lineRule="exact"/>
        <w:ind w:firstLine="482" w:firstLineChars="200"/>
        <w:outlineLvl w:val="0"/>
        <w:rPr>
          <w:rFonts w:ascii="宋体" w:hAnsi="宋体" w:eastAsia="宋体" w:cs="宋体"/>
          <w:b/>
          <w:color w:val="auto"/>
          <w:sz w:val="24"/>
        </w:rPr>
      </w:pPr>
      <w:bookmarkStart w:id="86" w:name="_Toc28375"/>
      <w:bookmarkStart w:id="87" w:name="_Toc15583"/>
      <w:bookmarkStart w:id="88" w:name="_Toc16021"/>
      <w:r>
        <w:rPr>
          <w:rFonts w:hint="eastAsia" w:ascii="宋体" w:hAnsi="宋体" w:eastAsia="宋体" w:cs="宋体"/>
          <w:b/>
          <w:color w:val="auto"/>
          <w:sz w:val="24"/>
        </w:rPr>
        <w:t>1.9合同争议的解决</w:t>
      </w:r>
      <w:bookmarkEnd w:id="86"/>
      <w:bookmarkEnd w:id="87"/>
      <w:bookmarkEnd w:id="88"/>
    </w:p>
    <w:p>
      <w:pPr>
        <w:spacing w:line="560" w:lineRule="exact"/>
        <w:ind w:left="-61" w:leftChars="-29" w:right="-420" w:rightChars="-200" w:firstLine="240" w:firstLineChars="100"/>
        <w:rPr>
          <w:rFonts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pPr>
        <w:spacing w:line="560" w:lineRule="exact"/>
        <w:ind w:left="-420" w:leftChars="-200" w:right="-420" w:rightChars="-200" w:firstLine="840" w:firstLineChars="350"/>
        <w:rPr>
          <w:rFonts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pPr>
        <w:spacing w:line="560" w:lineRule="exact"/>
        <w:ind w:firstLine="482" w:firstLineChars="200"/>
        <w:outlineLvl w:val="0"/>
        <w:rPr>
          <w:rFonts w:ascii="宋体" w:hAnsi="宋体" w:eastAsia="宋体" w:cs="宋体"/>
          <w:b/>
          <w:color w:val="auto"/>
          <w:sz w:val="24"/>
        </w:rPr>
      </w:pPr>
      <w:bookmarkStart w:id="89" w:name="_Toc7245"/>
      <w:bookmarkStart w:id="90" w:name="_Toc11173"/>
      <w:bookmarkStart w:id="91" w:name="_Toc15322"/>
      <w:r>
        <w:rPr>
          <w:rFonts w:hint="eastAsia" w:ascii="宋体" w:hAnsi="宋体" w:eastAsia="宋体" w:cs="宋体"/>
          <w:b/>
          <w:color w:val="auto"/>
          <w:sz w:val="24"/>
        </w:rPr>
        <w:t>2.0 合同生效</w:t>
      </w:r>
      <w:bookmarkEnd w:id="89"/>
      <w:bookmarkEnd w:id="90"/>
      <w:bookmarkEnd w:id="91"/>
    </w:p>
    <w:p>
      <w:pPr>
        <w:spacing w:line="560" w:lineRule="exact"/>
        <w:ind w:firstLine="480" w:firstLineChars="200"/>
        <w:rPr>
          <w:rFonts w:ascii="宋体" w:hAnsi="宋体" w:eastAsia="宋体" w:cs="宋体"/>
          <w:b/>
          <w:color w:val="auto"/>
          <w:sz w:val="24"/>
        </w:rPr>
      </w:pPr>
      <w:r>
        <w:rPr>
          <w:rFonts w:hint="eastAsia" w:ascii="宋体" w:hAnsi="宋体" w:eastAsia="宋体" w:cs="宋体"/>
          <w:color w:val="auto"/>
          <w:sz w:val="24"/>
        </w:rPr>
        <w:t>本合同自双方当事人盖章签字时生效。</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住所：                                   住所：</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联系人：                                 联系人：</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邮政编码：                               邮政编码：</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传真:                                    传真:</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lang w:val="zh-CN"/>
        </w:rPr>
        <w:t>电子邮箱：                               电子邮箱：</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 xml:space="preserve">开户银行：                               开户银行： </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 xml:space="preserve">开户名称：                               开户名称： </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pPr>
        <w:widowControl w:val="0"/>
        <w:autoSpaceDE w:val="0"/>
        <w:autoSpaceDN w:val="0"/>
        <w:adjustRightInd w:val="0"/>
        <w:snapToGrid w:val="0"/>
        <w:spacing w:after="120" w:line="560" w:lineRule="exact"/>
        <w:jc w:val="both"/>
        <w:rPr>
          <w:rFonts w:hint="default"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见证方：浙江中基正采管理咨询有限公司</w:t>
      </w:r>
    </w:p>
    <w:p>
      <w:pPr>
        <w:widowControl w:val="0"/>
        <w:autoSpaceDE w:val="0"/>
        <w:autoSpaceDN w:val="0"/>
        <w:adjustRightInd w:val="0"/>
        <w:snapToGrid w:val="0"/>
        <w:spacing w:after="120" w:line="560" w:lineRule="exact"/>
        <w:ind w:left="420" w:leftChars="200" w:firstLine="482" w:firstLineChars="200"/>
        <w:jc w:val="center"/>
        <w:rPr>
          <w:rFonts w:hint="eastAsia" w:ascii="宋体" w:hAnsi="宋体" w:eastAsia="宋体" w:cs="宋体"/>
          <w:b/>
          <w:color w:val="auto"/>
          <w:kern w:val="2"/>
          <w:sz w:val="24"/>
          <w:szCs w:val="24"/>
          <w:lang w:val="en-US" w:eastAsia="zh-CN" w:bidi="ar-SA"/>
        </w:rPr>
      </w:pPr>
    </w:p>
    <w:p>
      <w:pPr>
        <w:widowControl w:val="0"/>
        <w:autoSpaceDE w:val="0"/>
        <w:autoSpaceDN w:val="0"/>
        <w:adjustRightInd w:val="0"/>
        <w:snapToGrid w:val="0"/>
        <w:spacing w:after="120" w:line="560" w:lineRule="exact"/>
        <w:ind w:left="420" w:leftChars="200" w:firstLine="482" w:firstLineChars="200"/>
        <w:jc w:val="center"/>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第二部分 合同一般条款</w:t>
      </w:r>
    </w:p>
    <w:p>
      <w:pPr>
        <w:spacing w:line="560" w:lineRule="exact"/>
        <w:ind w:firstLine="482" w:firstLineChars="200"/>
        <w:outlineLvl w:val="0"/>
        <w:rPr>
          <w:rFonts w:ascii="宋体" w:hAnsi="宋体" w:eastAsia="宋体" w:cs="宋体"/>
          <w:b/>
          <w:color w:val="auto"/>
          <w:sz w:val="24"/>
        </w:rPr>
      </w:pPr>
      <w:bookmarkStart w:id="92" w:name="_Ref467379094"/>
      <w:bookmarkStart w:id="93" w:name="_Toc28763"/>
      <w:bookmarkStart w:id="94" w:name="_Ref467378463"/>
      <w:bookmarkStart w:id="95" w:name="_Ref467379214"/>
      <w:bookmarkStart w:id="96" w:name="_Toc19614"/>
      <w:bookmarkStart w:id="97" w:name="_Ref467378499"/>
      <w:bookmarkStart w:id="98" w:name="_Toc487900349"/>
      <w:bookmarkStart w:id="99" w:name="_Toc259093669"/>
      <w:bookmarkStart w:id="100" w:name="_Toc16917"/>
      <w:bookmarkStart w:id="101" w:name="_Toc279701240"/>
      <w:bookmarkStart w:id="102" w:name="_Ref467379109"/>
      <w:bookmarkStart w:id="103" w:name="_Ref467379195"/>
      <w:bookmarkStart w:id="104" w:name="_Ref467379101"/>
      <w:bookmarkStart w:id="105" w:name="_Ref467379225"/>
      <w:bookmarkStart w:id="106" w:name="_Ref467378404"/>
      <w:bookmarkStart w:id="107" w:name="_Ref467379205"/>
      <w:r>
        <w:rPr>
          <w:rFonts w:hint="eastAsia" w:ascii="宋体" w:hAnsi="宋体" w:eastAsia="宋体" w:cs="宋体"/>
          <w:b/>
          <w:color w:val="auto"/>
          <w:sz w:val="24"/>
        </w:rPr>
        <w:t>2.1 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本合同中的下列词语应按以下内容进行解释：</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eastAsia="宋体" w:cs="宋体"/>
          <w:color w:val="auto"/>
          <w:sz w:val="24"/>
        </w:rPr>
      </w:pPr>
      <w:bookmarkStart w:id="108" w:name="_Ref467378840"/>
      <w:r>
        <w:rPr>
          <w:rFonts w:hint="eastAsia" w:ascii="宋体" w:hAnsi="宋体" w:eastAsia="宋体" w:cs="宋体"/>
          <w:color w:val="auto"/>
          <w:sz w:val="24"/>
        </w:rPr>
        <w:t>2.1.4 “甲方”系指与中标或成交供应商签署合同的采购人</w:t>
      </w:r>
      <w:bookmarkEnd w:id="108"/>
      <w:r>
        <w:rPr>
          <w:rFonts w:hint="eastAsia" w:ascii="宋体" w:hAnsi="宋体" w:eastAsia="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eastAsia="宋体" w:cs="宋体"/>
          <w:color w:val="auto"/>
          <w:sz w:val="24"/>
        </w:rPr>
      </w:pPr>
      <w:bookmarkStart w:id="109" w:name="_Ref467379400"/>
      <w:r>
        <w:rPr>
          <w:rFonts w:hint="eastAsia" w:ascii="宋体" w:hAnsi="宋体" w:eastAsia="宋体" w:cs="宋体"/>
          <w:color w:val="auto"/>
          <w:sz w:val="24"/>
        </w:rPr>
        <w:t>2.1.5 “乙方”系指根据合同约定交付货物的中标或成交供应商</w:t>
      </w:r>
      <w:bookmarkEnd w:id="109"/>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cs="宋体"/>
          <w:color w:val="auto"/>
          <w:sz w:val="24"/>
        </w:rPr>
      </w:pPr>
      <w:bookmarkStart w:id="110" w:name="_Ref467379436"/>
      <w:r>
        <w:rPr>
          <w:rFonts w:hint="eastAsia" w:ascii="宋体" w:hAnsi="宋体" w:eastAsia="宋体" w:cs="宋体"/>
          <w:color w:val="auto"/>
          <w:sz w:val="24"/>
        </w:rPr>
        <w:t>2.1.6 “现场”系指合同约定货物将要运至或者安装的地点。</w:t>
      </w:r>
      <w:bookmarkEnd w:id="110"/>
    </w:p>
    <w:p>
      <w:pPr>
        <w:spacing w:line="560" w:lineRule="exact"/>
        <w:ind w:firstLine="482" w:firstLineChars="200"/>
        <w:outlineLvl w:val="0"/>
        <w:rPr>
          <w:rFonts w:ascii="宋体" w:hAnsi="宋体" w:eastAsia="宋体" w:cs="宋体"/>
          <w:b/>
          <w:color w:val="auto"/>
          <w:sz w:val="24"/>
        </w:rPr>
      </w:pPr>
      <w:bookmarkStart w:id="111" w:name="_Toc259093670"/>
      <w:bookmarkStart w:id="112" w:name="_Toc13336"/>
      <w:bookmarkStart w:id="113" w:name="_Toc279701241"/>
      <w:bookmarkStart w:id="114" w:name="_Toc32504"/>
      <w:bookmarkStart w:id="115" w:name="_Toc27635"/>
      <w:bookmarkStart w:id="116" w:name="_Toc487900350"/>
      <w:r>
        <w:rPr>
          <w:rFonts w:hint="eastAsia" w:ascii="宋体" w:hAnsi="宋体" w:eastAsia="宋体" w:cs="宋体"/>
          <w:b/>
          <w:color w:val="auto"/>
          <w:sz w:val="24"/>
        </w:rPr>
        <w:t>2.2 技术规范</w:t>
      </w:r>
      <w:bookmarkEnd w:id="111"/>
      <w:bookmarkEnd w:id="112"/>
      <w:bookmarkEnd w:id="113"/>
      <w:bookmarkEnd w:id="114"/>
      <w:bookmarkEnd w:id="115"/>
      <w:bookmarkEnd w:id="11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eastAsia="宋体" w:cs="宋体"/>
          <w:b/>
          <w:color w:val="auto"/>
          <w:sz w:val="24"/>
        </w:rPr>
      </w:pPr>
      <w:bookmarkStart w:id="117" w:name="_Toc279701242"/>
      <w:bookmarkStart w:id="118" w:name="_Toc259093671"/>
      <w:bookmarkStart w:id="119" w:name="_Toc9829"/>
      <w:bookmarkStart w:id="120" w:name="_Toc31634"/>
      <w:bookmarkStart w:id="121" w:name="_Toc487900351"/>
      <w:bookmarkStart w:id="122" w:name="_Toc27853"/>
      <w:r>
        <w:rPr>
          <w:rFonts w:hint="eastAsia" w:ascii="宋体" w:hAnsi="宋体" w:eastAsia="宋体" w:cs="宋体"/>
          <w:b/>
          <w:color w:val="auto"/>
          <w:sz w:val="24"/>
        </w:rPr>
        <w:t>2.3 知识产权</w:t>
      </w:r>
      <w:bookmarkEnd w:id="117"/>
      <w:bookmarkEnd w:id="118"/>
      <w:bookmarkEnd w:id="119"/>
      <w:bookmarkEnd w:id="120"/>
      <w:bookmarkEnd w:id="121"/>
      <w:bookmarkEnd w:id="122"/>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Times New Roman"/>
          <w:color w:val="auto"/>
          <w:sz w:val="24"/>
        </w:rPr>
        <w:t>乙方还应及时澄清相关信息，使甲方声誉免受损害，甲方保留追责的权利。</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23" w:name="_Toc29149"/>
      <w:bookmarkStart w:id="124" w:name="_Toc11932"/>
      <w:bookmarkStart w:id="125" w:name="_Toc4194"/>
      <w:r>
        <w:rPr>
          <w:rFonts w:hint="eastAsia" w:ascii="宋体" w:hAnsi="宋体" w:eastAsia="宋体" w:cs="宋体"/>
          <w:b/>
          <w:color w:val="auto"/>
          <w:sz w:val="24"/>
        </w:rPr>
        <w:t>2.4 包装和装运</w:t>
      </w:r>
      <w:bookmarkEnd w:id="123"/>
      <w:bookmarkEnd w:id="124"/>
      <w:bookmarkEnd w:id="12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26" w:name="_Toc259093674"/>
      <w:bookmarkStart w:id="127" w:name="_Toc487900354"/>
      <w:bookmarkStart w:id="128" w:name="_Toc279701245"/>
      <w:bookmarkStart w:id="129" w:name="_Ref467379536"/>
      <w:bookmarkStart w:id="130" w:name="_Ref467379527"/>
      <w:bookmarkStart w:id="131" w:name="_Ref467378591"/>
      <w:bookmarkStart w:id="132" w:name="_Ref467378541"/>
      <w:bookmarkStart w:id="133" w:name="_Ref467379542"/>
      <w:bookmarkStart w:id="134" w:name="_Toc26182"/>
      <w:bookmarkStart w:id="135" w:name="_Toc19074"/>
      <w:bookmarkStart w:id="136" w:name="_Toc30272"/>
      <w:r>
        <w:rPr>
          <w:rFonts w:hint="eastAsia" w:ascii="宋体" w:hAnsi="宋体" w:eastAsia="宋体" w:cs="宋体"/>
          <w:b/>
          <w:color w:val="auto"/>
          <w:sz w:val="24"/>
        </w:rPr>
        <w:t>2.</w:t>
      </w:r>
      <w:bookmarkEnd w:id="126"/>
      <w:bookmarkEnd w:id="127"/>
      <w:bookmarkEnd w:id="128"/>
      <w:bookmarkEnd w:id="129"/>
      <w:bookmarkEnd w:id="130"/>
      <w:bookmarkEnd w:id="131"/>
      <w:bookmarkEnd w:id="132"/>
      <w:bookmarkEnd w:id="133"/>
      <w:r>
        <w:rPr>
          <w:rFonts w:hint="eastAsia" w:ascii="宋体" w:hAnsi="宋体" w:eastAsia="宋体" w:cs="宋体"/>
          <w:b/>
          <w:color w:val="auto"/>
          <w:sz w:val="24"/>
        </w:rPr>
        <w:t>5 履约检查和问题反馈</w:t>
      </w:r>
      <w:bookmarkEnd w:id="134"/>
      <w:bookmarkEnd w:id="135"/>
      <w:bookmarkEnd w:id="136"/>
    </w:p>
    <w:p>
      <w:pPr>
        <w:spacing w:line="560" w:lineRule="exact"/>
        <w:ind w:firstLine="480" w:firstLineChars="200"/>
        <w:rPr>
          <w:rFonts w:ascii="宋体" w:hAnsi="宋体" w:eastAsia="宋体" w:cs="宋体"/>
          <w:color w:val="auto"/>
          <w:sz w:val="24"/>
        </w:rPr>
      </w:pPr>
      <w:bookmarkStart w:id="137" w:name="_Ref467379657"/>
      <w:r>
        <w:rPr>
          <w:rFonts w:hint="eastAsia" w:ascii="宋体" w:hAnsi="宋体" w:eastAsia="宋体" w:cs="宋体"/>
          <w:color w:val="auto"/>
          <w:sz w:val="24"/>
        </w:rPr>
        <w:t>2.5.1</w:t>
      </w:r>
      <w:bookmarkEnd w:id="137"/>
      <w:bookmarkStart w:id="138" w:name="_Toc186431854"/>
      <w:bookmarkStart w:id="139" w:name="_Toc279701247"/>
      <w:bookmarkStart w:id="140" w:name="_Ref467379807"/>
      <w:bookmarkStart w:id="141" w:name="_Toc259093676"/>
      <w:bookmarkStart w:id="142" w:name="_Ref467379793"/>
      <w:bookmarkStart w:id="143"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38"/>
      <w:bookmarkStart w:id="144" w:name="_Toc186431855"/>
      <w:r>
        <w:rPr>
          <w:rFonts w:hint="eastAsia" w:ascii="宋体" w:hAnsi="宋体" w:eastAsia="宋体" w:cs="宋体"/>
          <w:color w:val="auto"/>
          <w:sz w:val="24"/>
        </w:rPr>
        <w:t>。</w:t>
      </w:r>
    </w:p>
    <w:bookmarkEnd w:id="139"/>
    <w:bookmarkEnd w:id="140"/>
    <w:bookmarkEnd w:id="141"/>
    <w:bookmarkEnd w:id="142"/>
    <w:bookmarkEnd w:id="143"/>
    <w:bookmarkEnd w:id="144"/>
    <w:p>
      <w:pPr>
        <w:spacing w:line="560" w:lineRule="exact"/>
        <w:ind w:firstLine="482" w:firstLineChars="200"/>
        <w:outlineLvl w:val="0"/>
        <w:rPr>
          <w:rFonts w:ascii="宋体" w:hAnsi="宋体" w:eastAsia="宋体" w:cs="宋体"/>
          <w:b/>
          <w:color w:val="auto"/>
          <w:sz w:val="24"/>
        </w:rPr>
      </w:pPr>
      <w:bookmarkStart w:id="145" w:name="_Ref467379863"/>
      <w:bookmarkStart w:id="146" w:name="_Toc487900358"/>
      <w:bookmarkStart w:id="147" w:name="_Ref467379852"/>
      <w:bookmarkStart w:id="148" w:name="_Toc279701248"/>
      <w:bookmarkStart w:id="149" w:name="_Toc259093677"/>
      <w:bookmarkStart w:id="150" w:name="_Ref467379923"/>
      <w:bookmarkStart w:id="151" w:name="_Toc16110"/>
      <w:bookmarkStart w:id="152" w:name="_Toc3225"/>
      <w:bookmarkStart w:id="153" w:name="_Toc774"/>
      <w:r>
        <w:rPr>
          <w:rFonts w:hint="eastAsia" w:ascii="宋体" w:hAnsi="宋体" w:eastAsia="宋体" w:cs="宋体"/>
          <w:b/>
          <w:color w:val="auto"/>
          <w:sz w:val="24"/>
        </w:rPr>
        <w:t>2.6 技术资料</w:t>
      </w:r>
      <w:bookmarkEnd w:id="145"/>
      <w:bookmarkEnd w:id="146"/>
      <w:bookmarkEnd w:id="147"/>
      <w:bookmarkEnd w:id="148"/>
      <w:bookmarkEnd w:id="149"/>
      <w:bookmarkEnd w:id="150"/>
      <w:r>
        <w:rPr>
          <w:rFonts w:hint="eastAsia" w:ascii="宋体" w:hAnsi="宋体" w:eastAsia="宋体" w:cs="宋体"/>
          <w:b/>
          <w:color w:val="auto"/>
          <w:sz w:val="24"/>
        </w:rPr>
        <w:t>和保密义务</w:t>
      </w:r>
      <w:bookmarkEnd w:id="151"/>
      <w:bookmarkEnd w:id="152"/>
      <w:bookmarkEnd w:id="15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cs="宋体"/>
          <w:b/>
          <w:color w:val="auto"/>
          <w:sz w:val="24"/>
        </w:rPr>
      </w:pPr>
      <w:bookmarkStart w:id="154" w:name="_Toc7860"/>
      <w:r>
        <w:rPr>
          <w:rFonts w:hint="eastAsia" w:ascii="宋体" w:hAnsi="宋体" w:eastAsia="宋体" w:cs="宋体"/>
          <w:b/>
          <w:color w:val="auto"/>
          <w:sz w:val="24"/>
        </w:rPr>
        <w:t>2.7 质量保证</w:t>
      </w:r>
      <w:bookmarkEnd w:id="154"/>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cs="宋体"/>
          <w:b/>
          <w:color w:val="auto"/>
          <w:sz w:val="24"/>
        </w:rPr>
      </w:pPr>
      <w:bookmarkStart w:id="155" w:name="_Toc17244"/>
      <w:bookmarkStart w:id="156" w:name="_Toc487900362"/>
      <w:bookmarkStart w:id="157" w:name="_Toc259093681"/>
      <w:bookmarkStart w:id="158" w:name="_Toc279701252"/>
      <w:r>
        <w:rPr>
          <w:rFonts w:hint="eastAsia" w:ascii="宋体" w:hAnsi="宋体" w:eastAsia="宋体" w:cs="宋体"/>
          <w:b/>
          <w:color w:val="auto"/>
          <w:sz w:val="24"/>
        </w:rPr>
        <w:t>2.8 货物的风险负担</w:t>
      </w:r>
      <w:bookmarkEnd w:id="155"/>
    </w:p>
    <w:p>
      <w:pPr>
        <w:spacing w:line="560" w:lineRule="exact"/>
        <w:ind w:firstLine="480" w:firstLineChars="200"/>
        <w:rPr>
          <w:rFonts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59" w:name="_Toc14055"/>
      <w:r>
        <w:rPr>
          <w:rFonts w:hint="eastAsia" w:ascii="宋体" w:hAnsi="宋体" w:eastAsia="宋体" w:cs="宋体"/>
          <w:b/>
          <w:color w:val="auto"/>
          <w:sz w:val="24"/>
        </w:rPr>
        <w:t>2.9 延迟交货</w:t>
      </w:r>
      <w:bookmarkEnd w:id="156"/>
      <w:bookmarkEnd w:id="157"/>
      <w:bookmarkEnd w:id="158"/>
      <w:bookmarkEnd w:id="159"/>
    </w:p>
    <w:p>
      <w:pPr>
        <w:spacing w:line="560" w:lineRule="exact"/>
        <w:ind w:firstLine="480" w:firstLineChars="200"/>
        <w:rPr>
          <w:rFonts w:ascii="宋体" w:hAnsi="宋体" w:eastAsia="宋体" w:cs="宋体"/>
          <w:color w:val="auto"/>
          <w:sz w:val="24"/>
        </w:rPr>
      </w:pPr>
      <w:r>
        <w:rPr>
          <w:rFonts w:hint="eastAsia" w:ascii="宋体" w:hAnsi="宋体" w:eastAsia="宋体" w:cs="Times New Roman"/>
          <w:color w:val="auto"/>
          <w:sz w:val="24"/>
        </w:rPr>
        <w:t>甲乙双方签订合同后，乙方应按照合同约定履行合同义务，除不可抗力外，乙方不得延迟交货。</w:t>
      </w:r>
      <w:r>
        <w:rPr>
          <w:rFonts w:hint="eastAsia" w:ascii="宋体" w:hAnsi="宋体" w:eastAsia="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eastAsia="宋体" w:cs="宋体"/>
          <w:b/>
          <w:color w:val="auto"/>
          <w:sz w:val="24"/>
        </w:rPr>
      </w:pPr>
      <w:bookmarkStart w:id="160" w:name="_Toc7502"/>
      <w:bookmarkStart w:id="161" w:name="_Ref467378121"/>
      <w:bookmarkStart w:id="162" w:name="_Toc259093683"/>
      <w:bookmarkStart w:id="163" w:name="_Toc279701254"/>
      <w:bookmarkStart w:id="164" w:name="_Toc487900364"/>
      <w:r>
        <w:rPr>
          <w:rFonts w:hint="eastAsia" w:ascii="宋体" w:hAnsi="宋体" w:eastAsia="宋体" w:cs="宋体"/>
          <w:b/>
          <w:color w:val="auto"/>
          <w:sz w:val="24"/>
        </w:rPr>
        <w:t>2.10 合同变更</w:t>
      </w:r>
      <w:bookmarkEnd w:id="16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165" w:name="_Toc259093688"/>
      <w:bookmarkStart w:id="166" w:name="_Toc279701259"/>
      <w:bookmarkStart w:id="167" w:name="_Toc487900369"/>
    </w:p>
    <w:p>
      <w:pPr>
        <w:spacing w:line="560" w:lineRule="exact"/>
        <w:ind w:firstLine="482" w:firstLineChars="200"/>
        <w:outlineLvl w:val="0"/>
        <w:rPr>
          <w:rFonts w:ascii="宋体" w:hAnsi="宋体" w:eastAsia="宋体" w:cs="宋体"/>
          <w:b/>
          <w:color w:val="auto"/>
          <w:sz w:val="24"/>
        </w:rPr>
      </w:pPr>
      <w:bookmarkStart w:id="168" w:name="_Toc22955"/>
      <w:bookmarkStart w:id="169" w:name="_Toc15237"/>
      <w:bookmarkStart w:id="170" w:name="_Toc10366"/>
      <w:r>
        <w:rPr>
          <w:rFonts w:hint="eastAsia" w:ascii="宋体" w:hAnsi="宋体" w:eastAsia="宋体" w:cs="宋体"/>
          <w:b/>
          <w:color w:val="auto"/>
          <w:sz w:val="24"/>
        </w:rPr>
        <w:t>2.11 合同转让</w:t>
      </w:r>
      <w:bookmarkEnd w:id="165"/>
      <w:bookmarkEnd w:id="166"/>
      <w:bookmarkEnd w:id="167"/>
      <w:r>
        <w:rPr>
          <w:rFonts w:hint="eastAsia" w:ascii="宋体" w:hAnsi="宋体" w:eastAsia="宋体" w:cs="宋体"/>
          <w:b/>
          <w:color w:val="auto"/>
          <w:sz w:val="24"/>
        </w:rPr>
        <w:t>和分包</w:t>
      </w:r>
      <w:bookmarkEnd w:id="168"/>
      <w:bookmarkEnd w:id="169"/>
      <w:bookmarkEnd w:id="17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eastAsia="宋体" w:cs="宋体"/>
          <w:b/>
          <w:color w:val="auto"/>
          <w:sz w:val="24"/>
        </w:rPr>
      </w:pPr>
      <w:bookmarkStart w:id="171" w:name="_Toc16508"/>
      <w:bookmarkStart w:id="172" w:name="_Toc13566"/>
      <w:bookmarkStart w:id="173" w:name="_Toc14066"/>
      <w:r>
        <w:rPr>
          <w:rFonts w:hint="eastAsia" w:ascii="宋体" w:hAnsi="宋体" w:eastAsia="宋体" w:cs="宋体"/>
          <w:b/>
          <w:color w:val="auto"/>
          <w:sz w:val="24"/>
        </w:rPr>
        <w:t>2.12 不可抗力</w:t>
      </w:r>
      <w:bookmarkEnd w:id="171"/>
      <w:bookmarkEnd w:id="172"/>
      <w:bookmarkEnd w:id="17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pPr>
        <w:spacing w:line="560" w:lineRule="exact"/>
        <w:ind w:firstLine="482" w:firstLineChars="200"/>
        <w:outlineLvl w:val="0"/>
        <w:rPr>
          <w:rFonts w:ascii="宋体" w:hAnsi="宋体" w:eastAsia="宋体" w:cs="宋体"/>
          <w:b/>
          <w:color w:val="auto"/>
          <w:sz w:val="24"/>
        </w:rPr>
      </w:pPr>
      <w:bookmarkStart w:id="174" w:name="_Toc30676"/>
      <w:bookmarkStart w:id="175" w:name="_Toc6969"/>
      <w:bookmarkStart w:id="176" w:name="_Toc689"/>
      <w:bookmarkStart w:id="177" w:name="_Toc259093684"/>
      <w:bookmarkStart w:id="178" w:name="_Toc487900365"/>
      <w:bookmarkStart w:id="179" w:name="_Toc279701255"/>
      <w:r>
        <w:rPr>
          <w:rFonts w:hint="eastAsia" w:ascii="宋体" w:hAnsi="宋体" w:eastAsia="宋体" w:cs="宋体"/>
          <w:b/>
          <w:color w:val="auto"/>
          <w:sz w:val="24"/>
        </w:rPr>
        <w:t>2.13 税费</w:t>
      </w:r>
      <w:bookmarkEnd w:id="174"/>
      <w:bookmarkEnd w:id="175"/>
      <w:bookmarkEnd w:id="176"/>
      <w:bookmarkEnd w:id="177"/>
      <w:bookmarkEnd w:id="178"/>
      <w:bookmarkEnd w:id="179"/>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pPr>
        <w:spacing w:line="560" w:lineRule="exact"/>
        <w:ind w:firstLine="482" w:firstLineChars="200"/>
        <w:outlineLvl w:val="0"/>
        <w:rPr>
          <w:rFonts w:ascii="宋体" w:hAnsi="宋体" w:eastAsia="宋体" w:cs="宋体"/>
          <w:b/>
          <w:color w:val="auto"/>
          <w:sz w:val="24"/>
        </w:rPr>
      </w:pPr>
      <w:bookmarkStart w:id="180" w:name="_Toc7102"/>
      <w:bookmarkStart w:id="181" w:name="_Toc279701258"/>
      <w:bookmarkStart w:id="182" w:name="_Toc16959"/>
      <w:bookmarkStart w:id="183" w:name="_Toc8298"/>
      <w:bookmarkStart w:id="184" w:name="_Toc259093687"/>
      <w:bookmarkStart w:id="185" w:name="_Toc487900368"/>
      <w:r>
        <w:rPr>
          <w:rFonts w:hint="eastAsia" w:ascii="宋体" w:hAnsi="宋体" w:eastAsia="宋体" w:cs="宋体"/>
          <w:b/>
          <w:color w:val="auto"/>
          <w:sz w:val="24"/>
        </w:rPr>
        <w:t>2.14乙方破产</w:t>
      </w:r>
      <w:bookmarkEnd w:id="180"/>
      <w:bookmarkEnd w:id="181"/>
      <w:bookmarkEnd w:id="182"/>
      <w:bookmarkEnd w:id="183"/>
      <w:bookmarkEnd w:id="184"/>
      <w:bookmarkEnd w:id="18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eastAsia="宋体" w:cs="宋体"/>
          <w:b/>
          <w:color w:val="auto"/>
          <w:sz w:val="24"/>
        </w:rPr>
      </w:pPr>
      <w:bookmarkStart w:id="186" w:name="_Toc15387"/>
      <w:bookmarkStart w:id="187" w:name="_Toc29333"/>
      <w:bookmarkStart w:id="188" w:name="_Toc6134"/>
      <w:r>
        <w:rPr>
          <w:rFonts w:hint="eastAsia" w:ascii="宋体" w:hAnsi="宋体" w:eastAsia="宋体" w:cs="宋体"/>
          <w:b/>
          <w:color w:val="auto"/>
          <w:sz w:val="24"/>
        </w:rPr>
        <w:t>2.15 合同中止、终止</w:t>
      </w:r>
      <w:bookmarkEnd w:id="186"/>
      <w:bookmarkEnd w:id="187"/>
      <w:bookmarkEnd w:id="188"/>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2.15.1 双方当事人不得擅自中止或者终止合同；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cs="宋体"/>
          <w:b/>
          <w:color w:val="auto"/>
          <w:sz w:val="24"/>
        </w:rPr>
      </w:pPr>
      <w:bookmarkStart w:id="189" w:name="_Toc14563"/>
      <w:bookmarkStart w:id="190" w:name="_Toc6596"/>
      <w:bookmarkStart w:id="191" w:name="_Toc1125"/>
      <w:r>
        <w:rPr>
          <w:rFonts w:hint="eastAsia" w:ascii="宋体" w:hAnsi="宋体" w:eastAsia="宋体" w:cs="宋体"/>
          <w:b/>
          <w:color w:val="auto"/>
          <w:sz w:val="24"/>
        </w:rPr>
        <w:t>2.16检验和验收</w:t>
      </w:r>
      <w:bookmarkEnd w:id="189"/>
      <w:bookmarkEnd w:id="190"/>
      <w:bookmarkEnd w:id="191"/>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161"/>
    <w:bookmarkEnd w:id="162"/>
    <w:bookmarkEnd w:id="163"/>
    <w:bookmarkEnd w:id="164"/>
    <w:p>
      <w:pPr>
        <w:spacing w:line="560" w:lineRule="exact"/>
        <w:ind w:firstLine="482" w:firstLineChars="200"/>
        <w:outlineLvl w:val="0"/>
        <w:rPr>
          <w:rFonts w:ascii="宋体" w:hAnsi="宋体" w:eastAsia="宋体" w:cs="宋体"/>
          <w:b/>
          <w:color w:val="auto"/>
          <w:sz w:val="24"/>
        </w:rPr>
      </w:pPr>
      <w:bookmarkStart w:id="192" w:name="_Toc259093690"/>
      <w:bookmarkStart w:id="193" w:name="_Toc279701261"/>
      <w:bookmarkStart w:id="194" w:name="_Toc487900371"/>
      <w:bookmarkStart w:id="195" w:name="_Toc11284"/>
      <w:bookmarkStart w:id="196" w:name="_Toc25182"/>
      <w:bookmarkStart w:id="197" w:name="_Toc19604"/>
      <w:r>
        <w:rPr>
          <w:rFonts w:hint="eastAsia" w:ascii="宋体" w:hAnsi="宋体" w:eastAsia="宋体" w:cs="宋体"/>
          <w:b/>
          <w:color w:val="auto"/>
          <w:sz w:val="24"/>
        </w:rPr>
        <w:t>2.17 通知</w:t>
      </w:r>
      <w:bookmarkEnd w:id="192"/>
      <w:bookmarkEnd w:id="193"/>
      <w:bookmarkEnd w:id="194"/>
      <w:r>
        <w:rPr>
          <w:rFonts w:hint="eastAsia" w:ascii="宋体" w:hAnsi="宋体" w:eastAsia="宋体" w:cs="宋体"/>
          <w:b/>
          <w:color w:val="auto"/>
          <w:sz w:val="24"/>
        </w:rPr>
        <w:t>和送达</w:t>
      </w:r>
      <w:bookmarkEnd w:id="195"/>
      <w:bookmarkEnd w:id="196"/>
      <w:bookmarkEnd w:id="197"/>
    </w:p>
    <w:p>
      <w:pPr>
        <w:spacing w:line="560" w:lineRule="exact"/>
        <w:ind w:firstLine="480" w:firstLineChars="200"/>
        <w:rPr>
          <w:rFonts w:ascii="宋体" w:hAnsi="宋体" w:eastAsia="宋体" w:cs="宋体"/>
          <w:color w:val="auto"/>
          <w:sz w:val="24"/>
        </w:rPr>
      </w:pPr>
      <w:bookmarkStart w:id="198" w:name="_Toc6698"/>
      <w:bookmarkStart w:id="199" w:name="_Toc3135"/>
      <w:bookmarkStart w:id="200" w:name="_Toc487900372"/>
      <w:bookmarkStart w:id="201" w:name="_Toc259093691"/>
      <w:bookmarkStart w:id="202" w:name="_Toc279701262"/>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198"/>
      <w:bookmarkEnd w:id="199"/>
    </w:p>
    <w:p>
      <w:pPr>
        <w:spacing w:line="560" w:lineRule="exact"/>
        <w:ind w:firstLine="480" w:firstLineChars="200"/>
        <w:rPr>
          <w:rFonts w:ascii="宋体" w:hAnsi="宋体" w:eastAsia="宋体" w:cs="宋体"/>
          <w:color w:val="auto"/>
          <w:sz w:val="24"/>
        </w:rPr>
      </w:pPr>
      <w:bookmarkStart w:id="203" w:name="_Toc23128"/>
      <w:bookmarkStart w:id="204" w:name="_Toc23294"/>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3"/>
      <w:bookmarkEnd w:id="204"/>
    </w:p>
    <w:p>
      <w:pPr>
        <w:spacing w:line="560" w:lineRule="exact"/>
        <w:ind w:firstLine="482" w:firstLineChars="200"/>
        <w:outlineLvl w:val="0"/>
        <w:rPr>
          <w:rFonts w:ascii="宋体" w:hAnsi="宋体" w:eastAsia="宋体" w:cs="宋体"/>
          <w:b/>
          <w:color w:val="auto"/>
          <w:sz w:val="24"/>
        </w:rPr>
      </w:pPr>
      <w:bookmarkStart w:id="205" w:name="_Toc4355"/>
      <w:bookmarkStart w:id="206" w:name="_Toc30599"/>
      <w:bookmarkStart w:id="207" w:name="_Toc18540"/>
      <w:r>
        <w:rPr>
          <w:rFonts w:hint="eastAsia" w:ascii="宋体" w:hAnsi="宋体" w:eastAsia="宋体" w:cs="宋体"/>
          <w:b/>
          <w:color w:val="auto"/>
          <w:sz w:val="24"/>
        </w:rPr>
        <w:t>2.18 计量单位</w:t>
      </w:r>
      <w:bookmarkEnd w:id="200"/>
      <w:bookmarkEnd w:id="201"/>
      <w:bookmarkEnd w:id="202"/>
      <w:bookmarkEnd w:id="205"/>
      <w:bookmarkEnd w:id="206"/>
      <w:bookmarkEnd w:id="207"/>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eastAsia="宋体" w:cs="宋体"/>
          <w:b/>
          <w:color w:val="auto"/>
          <w:sz w:val="24"/>
        </w:rPr>
      </w:pPr>
      <w:bookmarkStart w:id="208" w:name="_Toc487900373"/>
      <w:bookmarkStart w:id="209" w:name="_Toc18567"/>
      <w:bookmarkStart w:id="210" w:name="_Toc279701263"/>
      <w:bookmarkStart w:id="211" w:name="_Toc10330"/>
      <w:bookmarkStart w:id="212" w:name="_Toc259093692"/>
      <w:bookmarkStart w:id="213" w:name="_Toc12773"/>
      <w:r>
        <w:rPr>
          <w:rFonts w:hint="eastAsia" w:ascii="宋体" w:hAnsi="宋体" w:eastAsia="宋体" w:cs="宋体"/>
          <w:b/>
          <w:color w:val="auto"/>
          <w:sz w:val="24"/>
        </w:rPr>
        <w:t>2.19 合同使用的文字和适用的法律</w:t>
      </w:r>
      <w:bookmarkEnd w:id="208"/>
      <w:bookmarkEnd w:id="209"/>
      <w:bookmarkEnd w:id="210"/>
      <w:bookmarkEnd w:id="211"/>
      <w:bookmarkEnd w:id="212"/>
      <w:bookmarkEnd w:id="21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2.19.1 合同使用汉语书就、变更和解释；</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2.19.2 合同适用中华人民共和国法律。</w:t>
      </w:r>
    </w:p>
    <w:p>
      <w:pPr>
        <w:spacing w:line="560" w:lineRule="exact"/>
        <w:ind w:firstLine="482" w:firstLineChars="200"/>
        <w:outlineLvl w:val="0"/>
        <w:rPr>
          <w:rFonts w:ascii="宋体" w:hAnsi="宋体" w:eastAsia="宋体" w:cs="宋体"/>
          <w:b/>
          <w:color w:val="auto"/>
          <w:sz w:val="24"/>
        </w:rPr>
      </w:pPr>
      <w:bookmarkStart w:id="214" w:name="_Toc14001"/>
      <w:bookmarkStart w:id="215" w:name="_Toc6885"/>
      <w:bookmarkStart w:id="216" w:name="_Toc19890"/>
      <w:r>
        <w:rPr>
          <w:rFonts w:hint="eastAsia" w:ascii="宋体" w:hAnsi="宋体" w:eastAsia="宋体" w:cs="宋体"/>
          <w:b/>
          <w:color w:val="auto"/>
          <w:sz w:val="24"/>
        </w:rPr>
        <w:t>2.20 合同份数</w:t>
      </w:r>
      <w:bookmarkEnd w:id="214"/>
      <w:bookmarkEnd w:id="215"/>
      <w:bookmarkEnd w:id="21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pPr>
        <w:adjustRightInd/>
        <w:spacing w:line="360" w:lineRule="auto"/>
        <w:ind w:firstLine="2513" w:firstLineChars="1197"/>
        <w:outlineLvl w:val="0"/>
        <w:rPr>
          <w:rFonts w:ascii="宋体" w:hAnsi="宋体" w:eastAsia="宋体" w:cs="宋体"/>
          <w:b/>
          <w:color w:val="auto"/>
        </w:rPr>
      </w:pPr>
      <w:r>
        <w:rPr>
          <w:rFonts w:hint="eastAsia" w:ascii="宋体" w:hAnsi="宋体" w:eastAsia="宋体" w:cs="宋体"/>
          <w:color w:val="auto"/>
          <w:kern w:val="0"/>
        </w:rPr>
        <w:br w:type="page"/>
      </w:r>
      <w:r>
        <w:rPr>
          <w:rFonts w:hint="eastAsia" w:ascii="宋体" w:hAnsi="宋体" w:eastAsia="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4"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1.4.2</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银行汇票（电汇）、支票（仅限于使用宁波大市区范围内的银行开具的支票）、保险保单和银行保函等非现金形式。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1）签订合同生效且具备实施条件后7个工作日内支付合同总价的40%。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1.6.2</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1）签订合同生效且具备实施条件后7个工作日内支付合同总价的40%。</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所提供原材料进场后（不得再运出施工场地）由相关部门根据“浙教办函[2015]201号”（详见附件）规定对其进行抽样检测，检测合格后才可施工，如检测不合格则全部清退出场。检测合格后再支付合同总价的10%。</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3）整个项目安装并验收合格后再支付总价的50%。</w:t>
            </w:r>
          </w:p>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注：</w:t>
            </w:r>
            <w:r>
              <w:rPr>
                <w:rFonts w:hint="eastAsia" w:ascii="宋体" w:hAnsi="宋体" w:cs="宋体"/>
                <w:color w:val="auto"/>
                <w:sz w:val="24"/>
                <w:lang w:val="en-US" w:eastAsia="zh-CN"/>
              </w:rPr>
              <w:t>乙方</w:t>
            </w:r>
            <w:r>
              <w:rPr>
                <w:rFonts w:hint="eastAsia" w:ascii="宋体" w:hAnsi="宋体" w:eastAsia="宋体" w:cs="宋体"/>
                <w:color w:val="auto"/>
                <w:sz w:val="24"/>
                <w:lang w:val="en-US" w:eastAsia="zh-CN"/>
              </w:rPr>
              <w:t>必须提供相应的合法票据。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合同签订且具备实施条件后30日内完成供货、安装、调试并通过验收。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1.7.2</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甲方</w:t>
            </w:r>
            <w:r>
              <w:rPr>
                <w:rFonts w:hint="eastAsia" w:ascii="宋体" w:hAnsi="宋体" w:eastAsia="宋体" w:cs="宋体"/>
                <w:color w:val="auto"/>
                <w:sz w:val="24"/>
                <w:lang w:eastAsia="zh-CN"/>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1.9</w:t>
            </w:r>
            <w:r>
              <w:rPr>
                <w:rFonts w:hint="eastAsia" w:ascii="宋体" w:hAnsi="宋体" w:eastAsia="宋体" w:cs="宋体"/>
                <w:color w:val="auto"/>
                <w:sz w:val="24"/>
                <w:lang w:val="en-US" w:eastAsia="zh-CN"/>
              </w:rPr>
              <w:t>.1</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宁海县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1.9</w:t>
            </w:r>
            <w:r>
              <w:rPr>
                <w:rFonts w:hint="eastAsia" w:ascii="宋体" w:hAnsi="宋体" w:eastAsia="宋体" w:cs="宋体"/>
                <w:color w:val="auto"/>
                <w:sz w:val="24"/>
                <w:lang w:val="en-US" w:eastAsia="zh-CN"/>
              </w:rPr>
              <w:t>.2</w:t>
            </w:r>
          </w:p>
        </w:tc>
        <w:tc>
          <w:tcPr>
            <w:tcW w:w="8277" w:type="dxa"/>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宁海县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pPr>
              <w:spacing w:line="360" w:lineRule="auto"/>
              <w:ind w:left="-420" w:leftChars="-200" w:right="-420" w:rightChars="-2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2.12.3</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2.12.4</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pPr>
              <w:spacing w:line="360" w:lineRule="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甲乙双方各执二份</w:t>
            </w:r>
            <w:r>
              <w:rPr>
                <w:rFonts w:hint="eastAsia" w:ascii="宋体" w:hAnsi="宋体" w:cs="宋体"/>
                <w:color w:val="auto"/>
                <w:sz w:val="24"/>
                <w:lang w:val="en-US" w:eastAsia="zh-CN"/>
              </w:rPr>
              <w:t>，采购办执一份。</w:t>
            </w: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4"/>
        <w:numPr>
          <w:ilvl w:val="0"/>
          <w:numId w:val="0"/>
        </w:numPr>
        <w:rPr>
          <w:color w:val="auto"/>
        </w:rPr>
      </w:pPr>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hint="eastAsia" w:cs="仿宋_GB2312"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w:t>
      </w:r>
      <w:r>
        <w:rPr>
          <w:rFonts w:hint="eastAsia" w:cs="仿宋_GB2312" w:asciiTheme="minorEastAsia" w:hAnsiTheme="minorEastAsia" w:eastAsiaTheme="minorEastAsia"/>
          <w:color w:val="auto"/>
          <w:kern w:val="2"/>
          <w:sz w:val="24"/>
          <w:szCs w:val="24"/>
          <w:lang w:val="en-US" w:eastAsia="zh-CN" w:bidi="ar-SA"/>
        </w:rPr>
        <w:t>（页码）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6</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7</w:t>
      </w:r>
      <w:r>
        <w:rPr>
          <w:rFonts w:hint="eastAsia" w:cs="仿宋_GB2312" w:asciiTheme="minorEastAsia" w:hAnsiTheme="minorEastAsia" w:eastAsiaTheme="minorEastAsia"/>
          <w:color w:val="auto"/>
        </w:rPr>
        <w:t>）认为需要的其他商务文件或说明…………………………………………（页码）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8</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评标标准相应的商务技术资料</w:t>
      </w:r>
      <w:r>
        <w:rPr>
          <w:rFonts w:hint="eastAsia" w:cs="仿宋_GB2312" w:asciiTheme="minorEastAsia" w:hAnsiTheme="minorEastAsia" w:eastAsiaTheme="minorEastAsia"/>
          <w:color w:val="auto"/>
          <w:kern w:val="0"/>
          <w:sz w:val="24"/>
          <w:lang w:val="en-US" w:eastAsia="zh-CN"/>
        </w:rPr>
        <w:t>………</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9</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lang w:val="en-US" w:eastAsia="zh-CN"/>
        </w:rPr>
        <w:t>0</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】的有关活动，并对此项目进行响应。为此：</w:t>
      </w:r>
    </w:p>
    <w:p>
      <w:pPr>
        <w:pStyle w:val="106"/>
        <w:numPr>
          <w:ilvl w:val="0"/>
          <w:numId w:val="13"/>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10、我方已详细阅读全部磋商文件，包括磋商文件“更正（延期）公告”（如果有）、参考资料及有关附件，确认无误。</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pPr>
        <w:numPr>
          <w:ilvl w:val="0"/>
          <w:numId w:val="13"/>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cs="仿宋_GB2312" w:asciiTheme="minorEastAsia" w:hAnsiTheme="minorEastAsia" w:eastAsiaTheme="minorEastAsia"/>
          <w:color w:val="auto"/>
          <w:kern w:val="0"/>
          <w:sz w:val="24"/>
        </w:rPr>
      </w:pPr>
    </w:p>
    <w:p>
      <w:pPr>
        <w:pStyle w:val="116"/>
        <w:keepNext w:val="0"/>
        <w:pageBreakBefore w:val="0"/>
        <w:tabs>
          <w:tab w:val="clear" w:pos="720"/>
        </w:tabs>
        <w:jc w:val="both"/>
        <w:outlineLvl w:val="9"/>
        <w:rPr>
          <w:rFonts w:cs="仿宋_GB2312" w:asciiTheme="minorEastAsia" w:hAnsiTheme="minorEastAsia" w:eastAsiaTheme="minorEastAsia"/>
          <w:color w:val="auto"/>
          <w:sz w:val="24"/>
          <w:szCs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18"/>
          <w:szCs w:val="18"/>
        </w:rPr>
      </w:pPr>
    </w:p>
    <w:p>
      <w:pPr>
        <w:spacing w:line="360" w:lineRule="auto"/>
        <w:rPr>
          <w:rFonts w:cs="仿宋_GB2312" w:asciiTheme="minorEastAsia" w:hAnsiTheme="minorEastAsia" w:eastAsiaTheme="minorEastAsia"/>
          <w:color w:val="auto"/>
          <w:sz w:val="18"/>
          <w:szCs w:val="18"/>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宋体" w:asciiTheme="minorEastAsia" w:hAnsiTheme="minorEastAsia" w:eastAsiaTheme="minorEastAsia"/>
          <w:color w:val="auto"/>
          <w:sz w:val="24"/>
        </w:rPr>
        <w:t>：</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217"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217"/>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提供的货物由小微企业制造，其合同份额占到合同总金额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218"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218"/>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219"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219"/>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20"/>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宁海县体育馆运动木地板采购及安装项目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CBZJ-20236038G磋</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4"/>
        <w:ind w:left="664" w:leftChars="316" w:firstLine="229" w:firstLineChars="95"/>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……）提供的货物全部由小微企业制造，</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rPr>
      </w:pPr>
    </w:p>
    <w:p>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六</w:t>
      </w:r>
      <w:r>
        <w:rPr>
          <w:rFonts w:hint="eastAsia" w:cs="仿宋_GB2312" w:asciiTheme="minorEastAsia" w:hAnsiTheme="minorEastAsia" w:eastAsiaTheme="minorEastAsia"/>
          <w:b/>
          <w:bCs/>
          <w:color w:val="auto"/>
          <w:sz w:val="32"/>
          <w:szCs w:val="32"/>
        </w:rPr>
        <w:t>、关于</w:t>
      </w:r>
      <w:r>
        <w:rPr>
          <w:rFonts w:hint="eastAsia" w:cs="仿宋_GB2312" w:asciiTheme="minorEastAsia" w:hAnsiTheme="minorEastAsia" w:eastAsiaTheme="minorEastAsia"/>
          <w:b/>
          <w:color w:val="auto"/>
          <w:kern w:val="0"/>
          <w:sz w:val="32"/>
          <w:szCs w:val="32"/>
          <w:lang w:val="zh-CN"/>
        </w:rPr>
        <w:t>对磋商文件中有关条款的拒绝声明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七</w:t>
      </w:r>
      <w:r>
        <w:rPr>
          <w:rFonts w:hint="eastAsia" w:cs="仿宋_GB2312" w:asciiTheme="minorEastAsia" w:hAnsiTheme="minorEastAsia" w:eastAsiaTheme="minorEastAsia"/>
          <w:b/>
          <w:bCs/>
          <w:color w:val="auto"/>
          <w:sz w:val="32"/>
          <w:szCs w:val="32"/>
        </w:rPr>
        <w:t>、认为需要的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八</w:t>
      </w:r>
      <w:r>
        <w:rPr>
          <w:rFonts w:hint="eastAsia" w:cs="仿宋_GB2312" w:asciiTheme="minorEastAsia" w:hAnsiTheme="minorEastAsia" w:eastAsiaTheme="minorEastAsia"/>
          <w:b/>
          <w:bCs/>
          <w:color w:val="auto"/>
          <w:sz w:val="32"/>
          <w:szCs w:val="32"/>
        </w:rPr>
        <w:t>、评标标准相应的商务技术资料</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rPr>
          <w:rFonts w:cs="仿宋_GB2312" w:asciiTheme="minorEastAsia" w:hAnsiTheme="minorEastAsia" w:eastAsiaTheme="minorEastAsia"/>
          <w:b/>
          <w:bCs/>
          <w:color w:val="auto"/>
          <w:kern w:val="0"/>
          <w:sz w:val="24"/>
        </w:rPr>
      </w:pPr>
    </w:p>
    <w:p>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九</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第八部分 </w:t>
      </w:r>
      <w:r>
        <w:rPr>
          <w:rFonts w:hint="eastAsia" w:cs="仿宋_GB2312" w:asciiTheme="minorEastAsia" w:hAnsiTheme="minorEastAsia" w:eastAsiaTheme="minorEastAsia"/>
          <w:b/>
          <w:color w:val="auto"/>
          <w:sz w:val="36"/>
          <w:szCs w:val="36"/>
          <w:lang w:val="en-US" w:eastAsia="zh-CN"/>
        </w:rPr>
        <w:t>报价一览表</w:t>
      </w:r>
    </w:p>
    <w:p>
      <w:pPr>
        <w:pageBreakBefore w:val="0"/>
        <w:kinsoku/>
        <w:wordWrap/>
        <w:overflowPunct/>
        <w:topLinePunct w:val="0"/>
        <w:autoSpaceDE/>
        <w:autoSpaceDN/>
        <w:bidi w:val="0"/>
        <w:snapToGrid w:val="0"/>
        <w:spacing w:before="50" w:after="50" w:line="360" w:lineRule="auto"/>
        <w:ind w:left="42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002"/>
        <w:gridCol w:w="1888"/>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44"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序号</w:t>
            </w:r>
          </w:p>
        </w:tc>
        <w:tc>
          <w:tcPr>
            <w:tcW w:w="2002"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采购内容</w:t>
            </w:r>
          </w:p>
        </w:tc>
        <w:tc>
          <w:tcPr>
            <w:tcW w:w="1888"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4501"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合同履约期限（工期）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4"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w:t>
            </w:r>
          </w:p>
        </w:tc>
        <w:tc>
          <w:tcPr>
            <w:tcW w:w="2002"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eastAsia="zh-CN"/>
              </w:rPr>
            </w:pPr>
          </w:p>
        </w:tc>
        <w:tc>
          <w:tcPr>
            <w:tcW w:w="1888"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c>
          <w:tcPr>
            <w:tcW w:w="4501"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046"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投标总价（元）</w:t>
            </w:r>
          </w:p>
        </w:tc>
        <w:tc>
          <w:tcPr>
            <w:tcW w:w="6389" w:type="dxa"/>
            <w:gridSpan w:val="2"/>
            <w:noWrap w:val="0"/>
            <w:vAlign w:val="center"/>
          </w:tcPr>
          <w:p>
            <w:pPr>
              <w:widowControl w:val="0"/>
              <w:adjustRightInd/>
              <w:spacing w:before="156"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大写：</w:t>
            </w:r>
          </w:p>
          <w:p>
            <w:pPr>
              <w:spacing w:line="360" w:lineRule="auto"/>
              <w:textAlignment w:val="baseline"/>
              <w:rPr>
                <w:rFonts w:hint="eastAsia" w:ascii="宋体" w:hAnsi="宋体" w:eastAsia="宋体" w:cs="宋体"/>
                <w:color w:val="auto"/>
                <w:kern w:val="0"/>
                <w:sz w:val="21"/>
                <w:szCs w:val="21"/>
                <w:highlight w:val="none"/>
                <w:lang w:val="en-US" w:eastAsia="zh-CN" w:bidi="ar-SA"/>
              </w:rPr>
            </w:pPr>
          </w:p>
          <w:p>
            <w:pPr>
              <w:spacing w:line="360" w:lineRule="auto"/>
              <w:textAlignment w:val="baseline"/>
              <w:rPr>
                <w:rFonts w:hint="default" w:ascii="宋体" w:eastAsia="仿宋"/>
                <w:color w:val="auto"/>
                <w:kern w:val="0"/>
                <w:sz w:val="28"/>
                <w:szCs w:val="21"/>
                <w:highlight w:val="none"/>
                <w:lang w:val="en-US" w:eastAsia="zh-CN"/>
              </w:rPr>
            </w:pPr>
            <w:r>
              <w:rPr>
                <w:rFonts w:hint="eastAsia" w:ascii="宋体" w:hAnsi="宋体" w:eastAsia="宋体" w:cs="宋体"/>
                <w:color w:val="auto"/>
                <w:kern w:val="0"/>
                <w:sz w:val="21"/>
                <w:szCs w:val="21"/>
                <w:highlight w:val="none"/>
                <w:lang w:val="en-US" w:eastAsia="zh-CN" w:bidi="ar-S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3046"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投标声明</w:t>
            </w:r>
          </w:p>
        </w:tc>
        <w:tc>
          <w:tcPr>
            <w:tcW w:w="6389"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rPr>
            </w:pPr>
          </w:p>
        </w:tc>
      </w:tr>
    </w:tbl>
    <w:p>
      <w:pPr>
        <w:pageBreakBefore w:val="0"/>
        <w:kinsoku/>
        <w:wordWrap/>
        <w:overflowPunct/>
        <w:topLinePunct w:val="0"/>
        <w:autoSpaceDE/>
        <w:autoSpaceDN/>
        <w:bidi w:val="0"/>
        <w:snapToGrid w:val="0"/>
        <w:spacing w:before="50" w:after="50" w:line="360" w:lineRule="auto"/>
        <w:ind w:left="420"/>
        <w:jc w:val="left"/>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注:1、报价一经涂改，应在涂改处加</w:t>
      </w:r>
      <w:r>
        <w:rPr>
          <w:rFonts w:hint="eastAsia" w:ascii="宋体" w:hAnsi="宋体" w:eastAsia="宋体" w:cs="宋体"/>
          <w:color w:val="auto"/>
          <w:kern w:val="0"/>
          <w:sz w:val="21"/>
          <w:szCs w:val="21"/>
          <w:highlight w:val="none"/>
          <w:lang w:val="en-US" w:eastAsia="zh-CN"/>
        </w:rPr>
        <w:t>盖</w:t>
      </w:r>
      <w:r>
        <w:rPr>
          <w:rFonts w:hint="eastAsia" w:ascii="宋体" w:hAnsi="宋体" w:eastAsia="宋体" w:cs="宋体"/>
          <w:color w:val="auto"/>
          <w:kern w:val="0"/>
          <w:sz w:val="21"/>
          <w:szCs w:val="21"/>
          <w:highlight w:val="none"/>
        </w:rPr>
        <w:t>公章或者由法定代表人或授权代表签字或</w:t>
      </w:r>
      <w:r>
        <w:rPr>
          <w:rFonts w:hint="eastAsia" w:ascii="宋体" w:hAnsi="宋体" w:eastAsia="宋体" w:cs="宋体"/>
          <w:color w:val="auto"/>
          <w:kern w:val="0"/>
          <w:sz w:val="21"/>
          <w:szCs w:val="21"/>
          <w:highlight w:val="none"/>
          <w:lang w:val="en-US" w:eastAsia="zh-CN"/>
        </w:rPr>
        <w:t>盖</w:t>
      </w:r>
      <w:r>
        <w:rPr>
          <w:rFonts w:hint="eastAsia" w:ascii="宋体" w:hAnsi="宋体" w:eastAsia="宋体" w:cs="宋体"/>
          <w:color w:val="auto"/>
          <w:kern w:val="0"/>
          <w:sz w:val="21"/>
          <w:szCs w:val="21"/>
          <w:highlight w:val="none"/>
        </w:rPr>
        <w:t>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法定代表人或授权代表（签名或印章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名称（盖章）：                               日期：    年   月   日</w:t>
      </w: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pStyle w:val="27"/>
        <w:rPr>
          <w:rFonts w:hint="eastAsia" w:ascii="宋体" w:hAnsi="宋体" w:eastAsia="宋体" w:cs="宋体"/>
          <w:color w:val="auto"/>
          <w:sz w:val="21"/>
          <w:szCs w:val="21"/>
          <w:highlight w:val="none"/>
          <w:lang w:val="en-US" w:eastAsia="zh-CN" w:bidi="ar-SA"/>
        </w:rPr>
      </w:pPr>
    </w:p>
    <w:p>
      <w:pPr>
        <w:pStyle w:val="394"/>
        <w:ind w:firstLine="0" w:firstLineChars="0"/>
        <w:jc w:val="center"/>
        <w:rPr>
          <w:rFonts w:hint="eastAsia" w:cs="仿宋_GB2312" w:asciiTheme="minorEastAsia" w:hAnsiTheme="minorEastAsia" w:eastAsiaTheme="minorEastAsia"/>
          <w:b/>
          <w:color w:val="auto"/>
          <w:sz w:val="36"/>
          <w:szCs w:val="36"/>
          <w:lang w:val="en-US" w:eastAsia="zh-CN"/>
        </w:rPr>
      </w:pPr>
      <w:r>
        <w:rPr>
          <w:rFonts w:hint="eastAsia" w:cs="仿宋_GB2312" w:asciiTheme="minorEastAsia" w:hAnsiTheme="minorEastAsia" w:eastAsiaTheme="minorEastAsia"/>
          <w:b/>
          <w:color w:val="auto"/>
          <w:sz w:val="36"/>
          <w:szCs w:val="36"/>
          <w:lang w:val="en-US" w:eastAsia="zh-CN"/>
        </w:rPr>
        <w:t>报价明细表</w:t>
      </w:r>
    </w:p>
    <w:p>
      <w:pPr>
        <w:pStyle w:val="394"/>
        <w:ind w:firstLine="0" w:firstLineChars="0"/>
        <w:jc w:val="center"/>
        <w:rPr>
          <w:rFonts w:hint="default" w:cs="仿宋_GB2312" w:asciiTheme="minorEastAsia" w:hAnsiTheme="minorEastAsia" w:eastAsiaTheme="minorEastAsia"/>
          <w:b/>
          <w:color w:val="auto"/>
          <w:sz w:val="36"/>
          <w:szCs w:val="36"/>
          <w:lang w:val="en-US" w:eastAsia="zh-CN"/>
        </w:rPr>
      </w:pPr>
      <w:r>
        <w:rPr>
          <w:rFonts w:hint="eastAsia" w:hAnsi="宋体" w:cs="宋体"/>
          <w:b/>
          <w:bCs/>
          <w:color w:val="auto"/>
          <w:spacing w:val="0"/>
          <w:kern w:val="2"/>
          <w:sz w:val="21"/>
          <w:szCs w:val="21"/>
          <w:highlight w:val="none"/>
          <w:lang w:val="en-US" w:eastAsia="zh-CN" w:bidi="ar-SA"/>
        </w:rPr>
        <w:t>项目编号：                 项目名称：                        （价格单位：人民币元）</w:t>
      </w:r>
    </w:p>
    <w:tbl>
      <w:tblPr>
        <w:tblStyle w:val="62"/>
        <w:tblW w:w="8898" w:type="dxa"/>
        <w:jc w:val="center"/>
        <w:tblLayout w:type="fixed"/>
        <w:tblCellMar>
          <w:top w:w="0" w:type="dxa"/>
          <w:left w:w="108" w:type="dxa"/>
          <w:bottom w:w="0" w:type="dxa"/>
          <w:right w:w="108" w:type="dxa"/>
        </w:tblCellMar>
      </w:tblPr>
      <w:tblGrid>
        <w:gridCol w:w="615"/>
        <w:gridCol w:w="2889"/>
        <w:gridCol w:w="1213"/>
        <w:gridCol w:w="1256"/>
        <w:gridCol w:w="944"/>
        <w:gridCol w:w="902"/>
        <w:gridCol w:w="1079"/>
      </w:tblGrid>
      <w:tr>
        <w:tblPrEx>
          <w:tblCellMar>
            <w:top w:w="0" w:type="dxa"/>
            <w:left w:w="108" w:type="dxa"/>
            <w:bottom w:w="0" w:type="dxa"/>
            <w:right w:w="108" w:type="dxa"/>
          </w:tblCellMar>
        </w:tblPrEx>
        <w:trPr>
          <w:trHeight w:val="654"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序号</w:t>
            </w:r>
          </w:p>
        </w:tc>
        <w:tc>
          <w:tcPr>
            <w:tcW w:w="2889"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项目内容</w:t>
            </w:r>
          </w:p>
        </w:tc>
        <w:tc>
          <w:tcPr>
            <w:tcW w:w="1213"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品牌</w:t>
            </w:r>
          </w:p>
        </w:tc>
        <w:tc>
          <w:tcPr>
            <w:tcW w:w="1256"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规格型号</w:t>
            </w:r>
          </w:p>
        </w:tc>
        <w:tc>
          <w:tcPr>
            <w:tcW w:w="944"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单位及数量</w:t>
            </w:r>
          </w:p>
        </w:tc>
        <w:tc>
          <w:tcPr>
            <w:tcW w:w="902"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单价</w:t>
            </w:r>
          </w:p>
        </w:tc>
        <w:tc>
          <w:tcPr>
            <w:tcW w:w="1079"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合计（元）</w:t>
            </w: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508"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635" w:hRule="atLeast"/>
          <w:jc w:val="center"/>
        </w:trPr>
        <w:tc>
          <w:tcPr>
            <w:tcW w:w="7819" w:type="dxa"/>
            <w:gridSpan w:val="6"/>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投标总价（元）</w:t>
            </w: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bl>
    <w:p>
      <w:pPr>
        <w:widowControl/>
        <w:adjustRightInd/>
        <w:jc w:val="center"/>
        <w:rPr>
          <w:rFonts w:hint="eastAsia" w:ascii="宋体" w:hAnsi="宋体" w:eastAsia="宋体" w:cs="宋体"/>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注：1、供应商可根据采购货物清单自行调整表格，逐项填写，不得缺项漏项。</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1" w:firstLineChars="100"/>
        <w:jc w:val="left"/>
        <w:textAlignment w:val="baseline"/>
        <w:outlineLvl w:val="9"/>
        <w:rPr>
          <w:rFonts w:hint="eastAsia" w:ascii="Times New Roman" w:hAnsi="宋体" w:eastAsia="宋体" w:cs="宋体"/>
          <w:b/>
          <w:bCs/>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1" w:firstLineChars="100"/>
        <w:jc w:val="left"/>
        <w:textAlignment w:val="baseline"/>
        <w:outlineLvl w:val="9"/>
        <w:rPr>
          <w:rFonts w:hint="eastAsia" w:ascii="Times New Roman" w:hAnsi="宋体" w:eastAsia="宋体" w:cs="宋体"/>
          <w:b/>
          <w:bCs/>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法定代表人或授权代表（签名或印章）：        </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供应商盖章：         </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日  期：  </w:t>
      </w: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220"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220"/>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宁海县体育发展中心</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宁海县体育馆运动木地板采购及安装项目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JD9WUc6AgAAfQQAAA4AAAAAAAAAAQAgAAAAJwEAAGRy&#10;cy9lMm9Eb2MueG1sUEsFBgAAAAAGAAYAWQEAANMFAAAAAA==&#10;">
                <v:fill on="t" focussize="0,0"/>
                <v:stroke color="#000000" miterlimit="2" joinstyle="miter"/>
                <v:imagedata o:title=""/>
                <o:lock v:ext="edit" aspectratio="f"/>
                <v:textbox>
                  <w:txbxContent>
                    <w:p>
                      <w:pPr>
                        <w:jc w:val="center"/>
                      </w:pPr>
                    </w:p>
                  </w:txbxContent>
                </v:textbox>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dO2kTYCAAB7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ddyv90fb11AeyDqEbmbpxtKiBvzCWUPzWvDweStQcWbeOLJ/MhgO2wFPwXB0lVOAl5n1ZUY4&#10;SVAFj5x1y0XsLsXWo97UdNIgyXVwQy2rdDKzpdqxOvKmmUztON6fdugv41T1558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jEem2AAAAAoBAAAPAAAAAAAAAAEAIAAAACIAAABkcnMvZG93bnJl&#10;di54bWxQSwECFAAUAAAACACHTuJAkdO2kTYCAAB7BAAADgAAAAAAAAABACAAAAAnAQAAZHJzL2Uy&#10;b0RvYy54bWxQSwUGAAAAAAYABgBZAQAAzwU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pacing w:val="6"/>
          <w:sz w:val="32"/>
          <w:szCs w:val="32"/>
        </w:rPr>
        <w:t>附件5：</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中小企业声明函（货物）</w:t>
      </w:r>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宁海县体育发展中心</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宁海县体育馆运动木地板采购及安装项目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w:t>
      </w:r>
      <w:r>
        <w:rPr>
          <w:rFonts w:hint="eastAsia" w:ascii="宋体" w:hAnsi="宋体" w:cs="宋体"/>
          <w:color w:val="auto"/>
          <w:sz w:val="24"/>
        </w:rPr>
        <w:t>提供的货物全部由符合政策要求的中小企业制造</w:t>
      </w:r>
      <w:r>
        <w:rPr>
          <w:rFonts w:hint="eastAsia" w:cs="宋体" w:asciiTheme="minorEastAsia" w:hAnsiTheme="minorEastAsia" w:eastAsiaTheme="minorEastAsia"/>
          <w:color w:val="auto"/>
          <w:sz w:val="24"/>
        </w:rPr>
        <w:t>。相关企业（含联合体中的中小企业、签订分包意向协议的中小企业）的具体情况如下：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val="en-US"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val="en-US"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rPr>
      </w:pP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rPr>
      </w:pPr>
    </w:p>
    <w:p>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221" w:name="_Toc91899912"/>
    <w:bookmarkStart w:id="222" w:name="_Toc164085800"/>
    <w:bookmarkStart w:id="223" w:name="_Toc131845147"/>
    <w:bookmarkStart w:id="224" w:name="_Toc36110187"/>
    <w:r>
      <w:rPr>
        <w:rFonts w:hint="eastAsia" w:ascii="仿宋_GB2312" w:eastAsia="仿宋_GB2312"/>
        <w:kern w:val="0"/>
        <w:szCs w:val="21"/>
      </w:rPr>
      <w:t xml:space="preserve"> 页</w:t>
    </w:r>
    <w:bookmarkEnd w:id="221"/>
    <w:bookmarkEnd w:id="222"/>
    <w:bookmarkEnd w:id="223"/>
    <w:bookmarkEnd w:id="2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9AEAA"/>
    <w:multiLevelType w:val="singleLevel"/>
    <w:tmpl w:val="AF79AEAA"/>
    <w:lvl w:ilvl="0" w:tentative="0">
      <w:start w:val="8"/>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68D6DE69"/>
    <w:multiLevelType w:val="singleLevel"/>
    <w:tmpl w:val="68D6DE69"/>
    <w:lvl w:ilvl="0" w:tentative="0">
      <w:start w:val="2"/>
      <w:numFmt w:val="decimal"/>
      <w:lvlText w:val="%1."/>
      <w:lvlJc w:val="left"/>
      <w:pPr>
        <w:tabs>
          <w:tab w:val="left" w:pos="312"/>
        </w:tabs>
      </w:p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EFC54ED"/>
    <w:multiLevelType w:val="singleLevel"/>
    <w:tmpl w:val="7EFC54ED"/>
    <w:lvl w:ilvl="0" w:tentative="0">
      <w:start w:val="4"/>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7"/>
  </w:num>
  <w:num w:numId="6">
    <w:abstractNumId w:val="10"/>
  </w:num>
  <w:num w:numId="7">
    <w:abstractNumId w:val="11"/>
  </w:num>
  <w:num w:numId="8">
    <w:abstractNumId w:val="12"/>
  </w:num>
  <w:num w:numId="9">
    <w:abstractNumId w:val="9"/>
  </w:num>
  <w:num w:numId="10">
    <w:abstractNumId w:val="0"/>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YzU3ZTkyOGRhNWUxN2Q2YTRiN2YxZTJjZDcwNWU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5BDE"/>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CF0F4D"/>
    <w:rsid w:val="02DA0C0E"/>
    <w:rsid w:val="03DD35E4"/>
    <w:rsid w:val="065A6178"/>
    <w:rsid w:val="075562B7"/>
    <w:rsid w:val="096B2097"/>
    <w:rsid w:val="0A5B7E63"/>
    <w:rsid w:val="0AE67C2D"/>
    <w:rsid w:val="0C87121B"/>
    <w:rsid w:val="0D766618"/>
    <w:rsid w:val="0DF702FE"/>
    <w:rsid w:val="0E3F698B"/>
    <w:rsid w:val="0F21508F"/>
    <w:rsid w:val="0F816ACD"/>
    <w:rsid w:val="10646A12"/>
    <w:rsid w:val="10A94649"/>
    <w:rsid w:val="10B047CF"/>
    <w:rsid w:val="10FC16EA"/>
    <w:rsid w:val="118963A1"/>
    <w:rsid w:val="127723A9"/>
    <w:rsid w:val="13072A44"/>
    <w:rsid w:val="145044FA"/>
    <w:rsid w:val="153A3CB7"/>
    <w:rsid w:val="1B2A271F"/>
    <w:rsid w:val="1B890139"/>
    <w:rsid w:val="1C6D4F72"/>
    <w:rsid w:val="1D066707"/>
    <w:rsid w:val="1D266CE1"/>
    <w:rsid w:val="1D3963AF"/>
    <w:rsid w:val="1E714A66"/>
    <w:rsid w:val="1F1801B6"/>
    <w:rsid w:val="1FBD76E1"/>
    <w:rsid w:val="1FE868A9"/>
    <w:rsid w:val="2020043B"/>
    <w:rsid w:val="211E26D6"/>
    <w:rsid w:val="21283D08"/>
    <w:rsid w:val="25B440B3"/>
    <w:rsid w:val="25B8239C"/>
    <w:rsid w:val="2AA1365A"/>
    <w:rsid w:val="2DD15014"/>
    <w:rsid w:val="2FAA0D21"/>
    <w:rsid w:val="2FD25781"/>
    <w:rsid w:val="319C6071"/>
    <w:rsid w:val="32DB72BE"/>
    <w:rsid w:val="32E66AA7"/>
    <w:rsid w:val="342E63AB"/>
    <w:rsid w:val="345D260B"/>
    <w:rsid w:val="365302AE"/>
    <w:rsid w:val="36ED73D5"/>
    <w:rsid w:val="39A13F14"/>
    <w:rsid w:val="3BB1544D"/>
    <w:rsid w:val="3C5F759A"/>
    <w:rsid w:val="3D5C78D4"/>
    <w:rsid w:val="42E1381E"/>
    <w:rsid w:val="42E20BC7"/>
    <w:rsid w:val="43FB717C"/>
    <w:rsid w:val="44003B89"/>
    <w:rsid w:val="44A55782"/>
    <w:rsid w:val="451E447A"/>
    <w:rsid w:val="45345B76"/>
    <w:rsid w:val="45A32490"/>
    <w:rsid w:val="47307808"/>
    <w:rsid w:val="477F336E"/>
    <w:rsid w:val="486F747C"/>
    <w:rsid w:val="4C435532"/>
    <w:rsid w:val="4D861CF6"/>
    <w:rsid w:val="4F380341"/>
    <w:rsid w:val="4F8A3EC4"/>
    <w:rsid w:val="51A0432A"/>
    <w:rsid w:val="527140E5"/>
    <w:rsid w:val="5292508F"/>
    <w:rsid w:val="52A96B6F"/>
    <w:rsid w:val="53896E24"/>
    <w:rsid w:val="550764A4"/>
    <w:rsid w:val="551926E0"/>
    <w:rsid w:val="56515F3B"/>
    <w:rsid w:val="572B71CA"/>
    <w:rsid w:val="574B41A1"/>
    <w:rsid w:val="58AE4F0C"/>
    <w:rsid w:val="5A2A7C7B"/>
    <w:rsid w:val="5B824E13"/>
    <w:rsid w:val="5C80234E"/>
    <w:rsid w:val="5E261785"/>
    <w:rsid w:val="5FCC5339"/>
    <w:rsid w:val="60E53485"/>
    <w:rsid w:val="61054A27"/>
    <w:rsid w:val="611D2366"/>
    <w:rsid w:val="62782477"/>
    <w:rsid w:val="62885958"/>
    <w:rsid w:val="64CE2EAA"/>
    <w:rsid w:val="662E75B1"/>
    <w:rsid w:val="66342C2E"/>
    <w:rsid w:val="663E784C"/>
    <w:rsid w:val="685867EC"/>
    <w:rsid w:val="6A566166"/>
    <w:rsid w:val="6AE306AA"/>
    <w:rsid w:val="6DFF01C2"/>
    <w:rsid w:val="6E8E12EF"/>
    <w:rsid w:val="6F84669D"/>
    <w:rsid w:val="71D43752"/>
    <w:rsid w:val="73D10A85"/>
    <w:rsid w:val="73DD6243"/>
    <w:rsid w:val="749C4185"/>
    <w:rsid w:val="74EA372C"/>
    <w:rsid w:val="755D17A1"/>
    <w:rsid w:val="75DA2C18"/>
    <w:rsid w:val="775319EF"/>
    <w:rsid w:val="790F1C77"/>
    <w:rsid w:val="7A105B11"/>
    <w:rsid w:val="7A67303B"/>
    <w:rsid w:val="7AAB1D04"/>
    <w:rsid w:val="7ABA4368"/>
    <w:rsid w:val="7B257FFD"/>
    <w:rsid w:val="7BBA7928"/>
    <w:rsid w:val="7C2B1DA5"/>
    <w:rsid w:val="7CA0102D"/>
    <w:rsid w:val="7DF4317E"/>
    <w:rsid w:val="7E64308B"/>
    <w:rsid w:val="7F5C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99"/>
    <w:pPr>
      <w:ind w:left="200" w:leftChars="200"/>
    </w:p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2"/>
    <w:basedOn w:val="1"/>
    <w:next w:val="24"/>
    <w:qFormat/>
    <w:uiPriority w:val="0"/>
    <w:pPr>
      <w:spacing w:after="120" w:line="480" w:lineRule="auto"/>
    </w:pPr>
  </w:style>
  <w:style w:type="paragraph" w:styleId="26">
    <w:name w:val="Body Text Indent"/>
    <w:basedOn w:val="1"/>
    <w:next w:val="27"/>
    <w:link w:val="475"/>
    <w:qFormat/>
    <w:uiPriority w:val="0"/>
    <w:pPr>
      <w:spacing w:line="480" w:lineRule="exact"/>
      <w:ind w:firstLine="480" w:firstLineChars="200"/>
    </w:pPr>
    <w:rPr>
      <w:rFonts w:ascii="宋体" w:hAnsi="宋体"/>
      <w:sz w:val="24"/>
    </w:rPr>
  </w:style>
  <w:style w:type="paragraph" w:styleId="27">
    <w:name w:val="Body Text First Indent 2"/>
    <w:basedOn w:val="26"/>
    <w:next w:val="1"/>
    <w:link w:val="50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89"/>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8"/>
    <w:qFormat/>
    <w:uiPriority w:val="0"/>
    <w:pPr>
      <w:ind w:left="100" w:leftChars="2500"/>
    </w:pPr>
    <w:rPr>
      <w:rFonts w:ascii="宋体"/>
      <w:sz w:val="24"/>
      <w:szCs w:val="21"/>
      <w:lang w:val="zh-CN"/>
    </w:rPr>
  </w:style>
  <w:style w:type="paragraph" w:styleId="39">
    <w:name w:val="Body Text Indent 2"/>
    <w:basedOn w:val="1"/>
    <w:link w:val="503"/>
    <w:qFormat/>
    <w:uiPriority w:val="0"/>
    <w:pPr>
      <w:spacing w:line="360" w:lineRule="auto"/>
      <w:ind w:firstLine="601"/>
      <w:textAlignment w:val="baseline"/>
    </w:pPr>
    <w:rPr>
      <w:rFonts w:ascii="宋体"/>
      <w:kern w:val="0"/>
      <w:sz w:val="28"/>
      <w:szCs w:val="20"/>
    </w:rPr>
  </w:style>
  <w:style w:type="paragraph" w:styleId="40">
    <w:name w:val="Balloon Text"/>
    <w:basedOn w:val="1"/>
    <w:link w:val="615"/>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w:basedOn w:val="24"/>
    <w:next w:val="1"/>
    <w:link w:val="545"/>
    <w:qFormat/>
    <w:uiPriority w:val="0"/>
    <w:pPr>
      <w:ind w:firstLine="420"/>
    </w:pPr>
    <w:rPr>
      <w:szCs w:val="20"/>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样式3"/>
    <w:basedOn w:val="35"/>
    <w:next w:val="1"/>
    <w:qFormat/>
    <w:uiPriority w:val="0"/>
    <w:pPr>
      <w:tabs>
        <w:tab w:val="left" w:pos="2790"/>
        <w:tab w:val="left" w:pos="4230"/>
      </w:tabs>
      <w:spacing w:before="312" w:beforeLines="100"/>
      <w:jc w:val="left"/>
    </w:p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25"/>
    <w:qFormat/>
    <w:uiPriority w:val="0"/>
    <w:pPr>
      <w:snapToGrid w:val="0"/>
      <w:spacing w:line="360" w:lineRule="auto"/>
    </w:pPr>
    <w:rPr>
      <w:rFonts w:ascii="宋体"/>
      <w:b/>
      <w:sz w:val="24"/>
      <w:szCs w:val="20"/>
    </w:rPr>
  </w:style>
  <w:style w:type="paragraph" w:customStyle="1" w:styleId="2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9"/>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3"/>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51"/>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8"/>
    <w:qFormat/>
    <w:uiPriority w:val="0"/>
    <w:rPr>
      <w:rFonts w:ascii="Arial" w:hAnsi="Arial" w:eastAsia="隶书"/>
      <w:b/>
      <w:bCs/>
      <w:kern w:val="28"/>
      <w:sz w:val="44"/>
      <w:szCs w:val="32"/>
      <w:lang w:val="en-US" w:eastAsia="zh-CN" w:bidi="ar-SA"/>
    </w:rPr>
  </w:style>
  <w:style w:type="character" w:customStyle="1" w:styleId="48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27"/>
    <w:qFormat/>
    <w:uiPriority w:val="0"/>
    <w:rPr>
      <w:rFonts w:ascii="宋体" w:hAnsi="宋体"/>
      <w:kern w:val="2"/>
      <w:sz w:val="21"/>
      <w:szCs w:val="24"/>
    </w:rPr>
  </w:style>
  <w:style w:type="character" w:customStyle="1" w:styleId="503">
    <w:name w:val="正文文本缩进 2 Char"/>
    <w:link w:val="39"/>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7"/>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61"/>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2"/>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4"/>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8"/>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40"/>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NormalCharacter"/>
    <w:qFormat/>
    <w:uiPriority w:val="0"/>
    <w:rPr>
      <w:rFonts w:ascii="宋体" w:hAnsi="Times New Roman" w:eastAsia="仿宋"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38518</Words>
  <Characters>40651</Characters>
  <Lines>325</Lines>
  <Paragraphs>91</Paragraphs>
  <TotalTime>7</TotalTime>
  <ScaleCrop>false</ScaleCrop>
  <LinksUpToDate>false</LinksUpToDate>
  <CharactersWithSpaces>45947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朱同学。</cp:lastModifiedBy>
  <cp:lastPrinted>2023-03-30T01:49:00Z</cp:lastPrinted>
  <dcterms:modified xsi:type="dcterms:W3CDTF">2023-04-13T05:31:52Z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8DC879AFC54C4CF8994463F2DED0B75E</vt:lpwstr>
  </property>
</Properties>
</file>