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ascii="宋体" w:hAnsi="宋体" w:cs="宋体"/>
          <w:color w:val="auto"/>
          <w:sz w:val="32"/>
          <w:szCs w:val="32"/>
          <w:highlight w:val="none"/>
        </w:rPr>
      </w:pPr>
    </w:p>
    <w:p>
      <w:pPr>
        <w:spacing w:line="600" w:lineRule="exact"/>
        <w:jc w:val="center"/>
        <w:rPr>
          <w:rFonts w:ascii="宋体" w:hAnsi="宋体" w:cs="宋体"/>
          <w:color w:val="auto"/>
          <w:sz w:val="32"/>
          <w:szCs w:val="32"/>
          <w:highlight w:val="none"/>
        </w:rPr>
      </w:pPr>
    </w:p>
    <w:p>
      <w:pPr>
        <w:spacing w:line="600" w:lineRule="exact"/>
        <w:ind w:firstLine="880"/>
        <w:jc w:val="center"/>
        <w:rPr>
          <w:rFonts w:ascii="宋体" w:hAnsi="宋体" w:cs="宋体"/>
          <w:color w:val="auto"/>
          <w:sz w:val="44"/>
          <w:highlight w:val="none"/>
        </w:rPr>
      </w:pPr>
    </w:p>
    <w:p>
      <w:pPr>
        <w:spacing w:before="120" w:beforeLines="50"/>
        <w:ind w:firstLine="0" w:firstLineChars="0"/>
        <w:jc w:val="center"/>
        <w:rPr>
          <w:rFonts w:ascii="宋体" w:hAnsi="宋体" w:cs="宋体"/>
          <w:b/>
          <w:color w:val="auto"/>
          <w:sz w:val="52"/>
          <w:szCs w:val="52"/>
          <w:highlight w:val="none"/>
        </w:rPr>
      </w:pPr>
      <w:r>
        <w:rPr>
          <w:rFonts w:hint="eastAsia" w:ascii="宋体" w:hAnsi="宋体" w:cs="宋体"/>
          <w:b/>
          <w:color w:val="auto"/>
          <w:sz w:val="52"/>
          <w:szCs w:val="52"/>
          <w:highlight w:val="none"/>
        </w:rPr>
        <w:t>宁波石化经济技术开发区</w:t>
      </w:r>
    </w:p>
    <w:p>
      <w:pPr>
        <w:spacing w:before="120" w:beforeLines="50"/>
        <w:ind w:firstLine="0" w:firstLineChars="0"/>
        <w:jc w:val="center"/>
        <w:rPr>
          <w:rFonts w:ascii="宋体" w:hAnsi="宋体" w:cs="宋体"/>
          <w:color w:val="auto"/>
          <w:kern w:val="0"/>
          <w:sz w:val="24"/>
          <w:highlight w:val="none"/>
        </w:rPr>
      </w:pPr>
      <w:r>
        <w:rPr>
          <w:rFonts w:hint="eastAsia" w:ascii="宋体" w:hAnsi="宋体" w:cs="宋体"/>
          <w:b/>
          <w:color w:val="auto"/>
          <w:sz w:val="52"/>
          <w:szCs w:val="52"/>
          <w:highlight w:val="none"/>
        </w:rPr>
        <w:t>智慧园区一期项目</w:t>
      </w:r>
      <w:bookmarkStart w:id="1786" w:name="_GoBack"/>
      <w:bookmarkEnd w:id="1786"/>
    </w:p>
    <w:p>
      <w:pPr>
        <w:spacing w:before="120" w:beforeLines="50"/>
        <w:ind w:firstLine="964"/>
        <w:jc w:val="center"/>
        <w:rPr>
          <w:rFonts w:ascii="宋体" w:hAnsi="宋体" w:cs="宋体"/>
          <w:b/>
          <w:color w:val="auto"/>
          <w:sz w:val="48"/>
          <w:szCs w:val="48"/>
          <w:highlight w:val="none"/>
        </w:rPr>
      </w:pPr>
    </w:p>
    <w:p>
      <w:pPr>
        <w:spacing w:before="120" w:beforeLines="50"/>
        <w:ind w:firstLine="0" w:firstLineChars="0"/>
        <w:jc w:val="center"/>
        <w:rPr>
          <w:rFonts w:ascii="宋体" w:hAnsi="宋体" w:cs="宋体"/>
          <w:b/>
          <w:bCs/>
          <w:color w:val="auto"/>
          <w:sz w:val="52"/>
          <w:szCs w:val="52"/>
          <w:highlight w:val="none"/>
        </w:rPr>
      </w:pPr>
      <w:r>
        <w:rPr>
          <w:rFonts w:hint="eastAsia" w:ascii="宋体" w:hAnsi="宋体" w:cs="宋体"/>
          <w:b/>
          <w:bCs/>
          <w:color w:val="auto"/>
          <w:sz w:val="52"/>
          <w:szCs w:val="52"/>
          <w:highlight w:val="none"/>
        </w:rPr>
        <w:t>公开招标采购文件</w:t>
      </w:r>
    </w:p>
    <w:p>
      <w:pPr>
        <w:snapToGrid w:val="0"/>
        <w:spacing w:before="120" w:beforeLines="50"/>
        <w:ind w:firstLine="600"/>
        <w:rPr>
          <w:rFonts w:ascii="宋体" w:hAnsi="宋体" w:cs="宋体"/>
          <w:color w:val="auto"/>
          <w:sz w:val="30"/>
          <w:szCs w:val="72"/>
          <w:highlight w:val="none"/>
        </w:rPr>
      </w:pPr>
    </w:p>
    <w:p>
      <w:pPr>
        <w:snapToGrid w:val="0"/>
        <w:spacing w:before="120" w:beforeLines="50"/>
        <w:ind w:firstLine="600"/>
        <w:rPr>
          <w:rFonts w:ascii="宋体" w:hAnsi="宋体" w:cs="宋体"/>
          <w:color w:val="auto"/>
          <w:sz w:val="30"/>
          <w:szCs w:val="72"/>
          <w:highlight w:val="none"/>
        </w:rPr>
      </w:pPr>
    </w:p>
    <w:p>
      <w:pPr>
        <w:pStyle w:val="22"/>
        <w:snapToGrid w:val="0"/>
        <w:spacing w:before="120" w:beforeLines="0" w:after="120" w:afterLines="0" w:line="360" w:lineRule="auto"/>
        <w:ind w:firstLine="425" w:firstLineChars="141"/>
        <w:rPr>
          <w:rFonts w:hAnsi="宋体" w:cs="宋体"/>
          <w:b/>
          <w:color w:val="auto"/>
          <w:sz w:val="32"/>
          <w:szCs w:val="32"/>
          <w:highlight w:val="none"/>
        </w:rPr>
      </w:pPr>
      <w:r>
        <w:rPr>
          <w:rFonts w:hint="eastAsia" w:hAnsi="宋体" w:cs="宋体"/>
          <w:b/>
          <w:bCs/>
          <w:color w:val="auto"/>
          <w:sz w:val="30"/>
          <w:szCs w:val="30"/>
          <w:highlight w:val="none"/>
        </w:rPr>
        <w:t>项目编号：</w:t>
      </w:r>
      <w:r>
        <w:rPr>
          <w:rFonts w:hint="eastAsia" w:hAnsi="宋体" w:cs="宋体"/>
          <w:b/>
          <w:color w:val="auto"/>
          <w:sz w:val="32"/>
          <w:szCs w:val="32"/>
          <w:highlight w:val="none"/>
        </w:rPr>
        <w:t>CBNB-20211451G</w:t>
      </w:r>
    </w:p>
    <w:p>
      <w:pPr>
        <w:pStyle w:val="22"/>
        <w:snapToGrid w:val="0"/>
        <w:spacing w:before="120" w:beforeLines="0" w:after="120" w:afterLines="0" w:line="360" w:lineRule="auto"/>
        <w:ind w:firstLine="425" w:firstLineChars="141"/>
        <w:rPr>
          <w:rFonts w:hAnsi="宋体" w:cs="宋体"/>
          <w:b/>
          <w:bCs/>
          <w:color w:val="auto"/>
          <w:sz w:val="30"/>
          <w:szCs w:val="30"/>
          <w:highlight w:val="none"/>
        </w:rPr>
      </w:pPr>
      <w:r>
        <w:rPr>
          <w:rFonts w:hint="eastAsia" w:hAnsi="宋体" w:cs="宋体"/>
          <w:b/>
          <w:bCs/>
          <w:color w:val="auto"/>
          <w:sz w:val="30"/>
          <w:szCs w:val="30"/>
          <w:highlight w:val="none"/>
        </w:rPr>
        <w:t>项目名称：宁波石化经济技术开发区智慧园区一期项目</w:t>
      </w:r>
    </w:p>
    <w:p>
      <w:pPr>
        <w:pStyle w:val="22"/>
        <w:snapToGrid w:val="0"/>
        <w:spacing w:before="120" w:beforeLines="0" w:after="120" w:afterLines="0" w:line="360" w:lineRule="auto"/>
        <w:ind w:left="1986" w:leftChars="203" w:hanging="1560" w:hangingChars="518"/>
        <w:rPr>
          <w:rFonts w:hAnsi="宋体" w:cs="宋体"/>
          <w:b/>
          <w:bCs/>
          <w:color w:val="auto"/>
          <w:sz w:val="30"/>
          <w:szCs w:val="30"/>
          <w:highlight w:val="none"/>
        </w:rPr>
      </w:pPr>
      <w:r>
        <w:rPr>
          <w:rFonts w:hint="eastAsia" w:hAnsi="宋体" w:cs="宋体"/>
          <w:b/>
          <w:bCs/>
          <w:color w:val="auto"/>
          <w:sz w:val="30"/>
          <w:szCs w:val="30"/>
          <w:highlight w:val="none"/>
        </w:rPr>
        <w:t>采购单位：宁波石化经济技术开发区智慧园区服务中心（社会事务服务中心）</w:t>
      </w:r>
    </w:p>
    <w:p>
      <w:pPr>
        <w:pStyle w:val="22"/>
        <w:snapToGrid w:val="0"/>
        <w:spacing w:before="120" w:beforeLines="0" w:after="120" w:afterLines="0" w:line="360" w:lineRule="auto"/>
        <w:ind w:firstLine="425" w:firstLineChars="141"/>
        <w:rPr>
          <w:rFonts w:hAnsi="宋体" w:cs="宋体"/>
          <w:b/>
          <w:bCs/>
          <w:color w:val="auto"/>
          <w:sz w:val="30"/>
          <w:szCs w:val="30"/>
          <w:highlight w:val="none"/>
        </w:rPr>
      </w:pPr>
      <w:r>
        <w:rPr>
          <w:rFonts w:hint="eastAsia" w:hAnsi="宋体" w:cs="宋体"/>
          <w:b/>
          <w:bCs/>
          <w:color w:val="auto"/>
          <w:sz w:val="30"/>
          <w:szCs w:val="30"/>
          <w:highlight w:val="none"/>
        </w:rPr>
        <w:t>代理机构：宁波中基国际招标有限公司</w:t>
      </w:r>
    </w:p>
    <w:p>
      <w:pPr>
        <w:pStyle w:val="22"/>
        <w:snapToGrid w:val="0"/>
        <w:spacing w:before="120" w:beforeLines="0" w:after="120" w:afterLines="0" w:line="360" w:lineRule="auto"/>
        <w:ind w:firstLine="574"/>
        <w:rPr>
          <w:rFonts w:hAnsi="宋体" w:cs="宋体"/>
          <w:b/>
          <w:bCs/>
          <w:color w:val="auto"/>
          <w:w w:val="95"/>
          <w:sz w:val="30"/>
          <w:szCs w:val="30"/>
          <w:highlight w:val="none"/>
        </w:rPr>
      </w:pPr>
    </w:p>
    <w:p>
      <w:pPr>
        <w:snapToGrid w:val="0"/>
        <w:spacing w:before="120" w:beforeLines="50"/>
        <w:ind w:firstLine="0" w:firstLineChars="0"/>
        <w:jc w:val="center"/>
        <w:rPr>
          <w:rFonts w:ascii="宋体" w:hAnsi="宋体" w:cs="宋体"/>
          <w:color w:val="auto"/>
          <w:sz w:val="30"/>
          <w:szCs w:val="20"/>
          <w:highlight w:val="none"/>
        </w:rPr>
      </w:pPr>
      <w:r>
        <w:rPr>
          <w:rFonts w:hint="eastAsia" w:ascii="宋体" w:hAnsi="宋体" w:cs="宋体"/>
          <w:b/>
          <w:bCs/>
          <w:color w:val="auto"/>
          <w:w w:val="95"/>
          <w:sz w:val="30"/>
          <w:szCs w:val="30"/>
          <w:highlight w:val="none"/>
        </w:rPr>
        <w:t>2021年7月</w:t>
      </w:r>
    </w:p>
    <w:p>
      <w:pPr>
        <w:ind w:firstLine="0" w:firstLineChars="0"/>
        <w:jc w:val="center"/>
        <w:rPr>
          <w:rFonts w:ascii="宋体" w:hAnsi="宋体" w:cs="宋体"/>
          <w:b/>
          <w:bCs/>
          <w:color w:val="auto"/>
          <w:sz w:val="32"/>
          <w:szCs w:val="32"/>
          <w:highlight w:val="none"/>
        </w:rPr>
        <w:sectPr>
          <w:headerReference r:id="rId7" w:type="first"/>
          <w:footerReference r:id="rId10" w:type="first"/>
          <w:headerReference r:id="rId5" w:type="default"/>
          <w:footerReference r:id="rId8" w:type="default"/>
          <w:headerReference r:id="rId6" w:type="even"/>
          <w:footerReference r:id="rId9" w:type="even"/>
          <w:pgSz w:w="11907" w:h="16839"/>
          <w:pgMar w:top="1440" w:right="1800" w:bottom="1440" w:left="1800" w:header="285" w:footer="700" w:gutter="0"/>
          <w:pgNumType w:start="1"/>
          <w:cols w:space="720" w:num="1"/>
          <w:titlePg/>
          <w:docGrid w:linePitch="286" w:charSpace="0"/>
        </w:sectPr>
      </w:pPr>
      <w:bookmarkStart w:id="0" w:name="_Toc26518"/>
      <w:bookmarkStart w:id="1" w:name="_Toc2312"/>
      <w:bookmarkStart w:id="2" w:name="_Toc476216584"/>
      <w:bookmarkStart w:id="3" w:name="_Toc27573"/>
      <w:bookmarkStart w:id="4" w:name="_Toc8510"/>
      <w:bookmarkStart w:id="5" w:name="_Toc122"/>
      <w:bookmarkStart w:id="6" w:name="_Toc8159"/>
      <w:bookmarkStart w:id="7" w:name="_Toc476216623"/>
      <w:bookmarkStart w:id="8" w:name="_Toc5282"/>
      <w:bookmarkStart w:id="9" w:name="_Toc2270"/>
      <w:bookmarkStart w:id="10" w:name="_Toc6970"/>
    </w:p>
    <w:p>
      <w:pPr>
        <w:ind w:firstLine="0" w:firstLineChars="0"/>
        <w:jc w:val="center"/>
        <w:rPr>
          <w:rFonts w:ascii="宋体" w:hAnsi="宋体" w:cs="宋体"/>
          <w:b/>
          <w:bCs/>
          <w:color w:val="auto"/>
          <w:sz w:val="32"/>
          <w:szCs w:val="32"/>
          <w:highlight w:val="none"/>
        </w:rPr>
      </w:pPr>
    </w:p>
    <w:p>
      <w:pPr>
        <w:ind w:firstLine="0" w:firstLineChars="0"/>
        <w:jc w:val="center"/>
        <w:rPr>
          <w:rFonts w:ascii="宋体" w:hAnsi="宋体" w:cs="宋体"/>
          <w:b/>
          <w:bCs/>
          <w:color w:val="auto"/>
          <w:sz w:val="44"/>
          <w:szCs w:val="44"/>
          <w:highlight w:val="none"/>
        </w:rPr>
      </w:pPr>
      <w:r>
        <w:rPr>
          <w:rFonts w:hint="eastAsia" w:ascii="宋体" w:hAnsi="宋体" w:cs="宋体"/>
          <w:b/>
          <w:bCs/>
          <w:color w:val="auto"/>
          <w:sz w:val="44"/>
          <w:szCs w:val="44"/>
          <w:highlight w:val="none"/>
        </w:rPr>
        <w:t>目  录</w:t>
      </w:r>
    </w:p>
    <w:p>
      <w:pPr>
        <w:pStyle w:val="2"/>
        <w:ind w:firstLine="560"/>
        <w:rPr>
          <w:rFonts w:ascii="宋体" w:hAnsi="宋体" w:eastAsia="宋体" w:cs="宋体"/>
          <w:color w:val="auto"/>
          <w:highlight w:val="none"/>
        </w:rPr>
      </w:pPr>
    </w:p>
    <w:p>
      <w:pPr>
        <w:pStyle w:val="109"/>
        <w:tabs>
          <w:tab w:val="right" w:leader="dot" w:pos="8080"/>
        </w:tabs>
        <w:spacing w:line="360" w:lineRule="auto"/>
        <w:rPr>
          <w:rFonts w:ascii="宋体" w:hAnsi="宋体" w:cs="宋体"/>
          <w:b/>
          <w:bCs/>
          <w:color w:val="auto"/>
          <w:sz w:val="32"/>
          <w:szCs w:val="32"/>
          <w:highlight w:val="none"/>
        </w:rPr>
      </w:pPr>
      <w:r>
        <w:rPr>
          <w:rFonts w:hint="eastAsia" w:ascii="宋体" w:hAnsi="宋体" w:cs="宋体"/>
          <w:b/>
          <w:bCs/>
          <w:color w:val="auto"/>
          <w:sz w:val="32"/>
          <w:szCs w:val="32"/>
          <w:highlight w:val="none"/>
        </w:rPr>
        <w:fldChar w:fldCharType="begin"/>
      </w:r>
      <w:r>
        <w:rPr>
          <w:rFonts w:hint="eastAsia" w:ascii="宋体" w:hAnsi="宋体" w:cs="宋体"/>
          <w:b/>
          <w:bCs/>
          <w:color w:val="auto"/>
          <w:sz w:val="32"/>
          <w:szCs w:val="32"/>
          <w:highlight w:val="none"/>
        </w:rPr>
        <w:instrText xml:space="preserve">TOC \o "1-1" \h \u </w:instrText>
      </w:r>
      <w:r>
        <w:rPr>
          <w:rFonts w:hint="eastAsia" w:ascii="宋体" w:hAnsi="宋体" w:cs="宋体"/>
          <w:b/>
          <w:bCs/>
          <w:color w:val="auto"/>
          <w:sz w:val="32"/>
          <w:szCs w:val="32"/>
          <w:highlight w:val="none"/>
        </w:rPr>
        <w:fldChar w:fldCharType="separate"/>
      </w:r>
      <w:r>
        <w:rPr>
          <w:color w:val="auto"/>
          <w:highlight w:val="none"/>
        </w:rPr>
        <w:fldChar w:fldCharType="begin"/>
      </w:r>
      <w:r>
        <w:rPr>
          <w:color w:val="auto"/>
          <w:highlight w:val="none"/>
        </w:rPr>
        <w:instrText xml:space="preserve"> HYPERLINK \l "_Toc13874" </w:instrText>
      </w:r>
      <w:r>
        <w:rPr>
          <w:color w:val="auto"/>
          <w:highlight w:val="none"/>
        </w:rPr>
        <w:fldChar w:fldCharType="separate"/>
      </w:r>
      <w:r>
        <w:rPr>
          <w:rFonts w:hint="eastAsia" w:ascii="宋体" w:hAnsi="宋体" w:cs="宋体"/>
          <w:b/>
          <w:bCs/>
          <w:color w:val="auto"/>
          <w:sz w:val="32"/>
          <w:szCs w:val="32"/>
          <w:highlight w:val="none"/>
        </w:rPr>
        <w:t>第一章  公开招标采购公告</w:t>
      </w:r>
      <w:r>
        <w:rPr>
          <w:rFonts w:hint="eastAsia" w:ascii="宋体" w:hAnsi="宋体" w:cs="宋体"/>
          <w:b/>
          <w:bCs/>
          <w:color w:val="auto"/>
          <w:sz w:val="32"/>
          <w:szCs w:val="32"/>
          <w:highlight w:val="none"/>
        </w:rPr>
        <w:tab/>
      </w:r>
      <w:r>
        <w:rPr>
          <w:rFonts w:hint="eastAsia" w:ascii="宋体" w:hAnsi="宋体" w:cs="宋体"/>
          <w:b/>
          <w:bCs/>
          <w:color w:val="auto"/>
          <w:sz w:val="32"/>
          <w:szCs w:val="32"/>
          <w:highlight w:val="none"/>
        </w:rPr>
        <w:fldChar w:fldCharType="begin"/>
      </w:r>
      <w:r>
        <w:rPr>
          <w:rFonts w:hint="eastAsia" w:ascii="宋体" w:hAnsi="宋体" w:cs="宋体"/>
          <w:b/>
          <w:bCs/>
          <w:color w:val="auto"/>
          <w:sz w:val="32"/>
          <w:szCs w:val="32"/>
          <w:highlight w:val="none"/>
        </w:rPr>
        <w:instrText xml:space="preserve"> PAGEREF _Toc13874 </w:instrText>
      </w:r>
      <w:r>
        <w:rPr>
          <w:rFonts w:hint="eastAsia" w:ascii="宋体" w:hAnsi="宋体" w:cs="宋体"/>
          <w:b/>
          <w:bCs/>
          <w:color w:val="auto"/>
          <w:sz w:val="32"/>
          <w:szCs w:val="32"/>
          <w:highlight w:val="none"/>
        </w:rPr>
        <w:fldChar w:fldCharType="separate"/>
      </w:r>
      <w:r>
        <w:rPr>
          <w:rFonts w:hint="eastAsia" w:ascii="宋体" w:hAnsi="宋体" w:cs="宋体"/>
          <w:b/>
          <w:bCs/>
          <w:color w:val="auto"/>
          <w:sz w:val="32"/>
          <w:szCs w:val="32"/>
          <w:highlight w:val="none"/>
        </w:rPr>
        <w:t>1</w:t>
      </w:r>
      <w:r>
        <w:rPr>
          <w:rFonts w:hint="eastAsia" w:ascii="宋体" w:hAnsi="宋体" w:cs="宋体"/>
          <w:b/>
          <w:bCs/>
          <w:color w:val="auto"/>
          <w:sz w:val="32"/>
          <w:szCs w:val="32"/>
          <w:highlight w:val="none"/>
        </w:rPr>
        <w:fldChar w:fldCharType="end"/>
      </w:r>
      <w:r>
        <w:rPr>
          <w:rFonts w:hint="eastAsia" w:ascii="宋体" w:hAnsi="宋体" w:cs="宋体"/>
          <w:b/>
          <w:bCs/>
          <w:color w:val="auto"/>
          <w:sz w:val="32"/>
          <w:szCs w:val="32"/>
          <w:highlight w:val="none"/>
        </w:rPr>
        <w:fldChar w:fldCharType="end"/>
      </w:r>
    </w:p>
    <w:p>
      <w:pPr>
        <w:pStyle w:val="109"/>
        <w:tabs>
          <w:tab w:val="right" w:leader="dot" w:pos="8080"/>
        </w:tabs>
        <w:spacing w:line="360" w:lineRule="auto"/>
        <w:rPr>
          <w:rFonts w:ascii="宋体" w:hAnsi="宋体" w:cs="宋体"/>
          <w:b/>
          <w:bCs/>
          <w:color w:val="auto"/>
          <w:sz w:val="32"/>
          <w:szCs w:val="32"/>
          <w:highlight w:val="none"/>
        </w:rPr>
      </w:pPr>
      <w:r>
        <w:rPr>
          <w:color w:val="auto"/>
          <w:highlight w:val="none"/>
        </w:rPr>
        <w:fldChar w:fldCharType="begin"/>
      </w:r>
      <w:r>
        <w:rPr>
          <w:color w:val="auto"/>
          <w:highlight w:val="none"/>
        </w:rPr>
        <w:instrText xml:space="preserve"> HYPERLINK \l "_Toc8514" </w:instrText>
      </w:r>
      <w:r>
        <w:rPr>
          <w:color w:val="auto"/>
          <w:highlight w:val="none"/>
        </w:rPr>
        <w:fldChar w:fldCharType="separate"/>
      </w:r>
      <w:r>
        <w:rPr>
          <w:rFonts w:hint="eastAsia" w:ascii="宋体" w:hAnsi="宋体" w:cs="宋体"/>
          <w:b/>
          <w:bCs/>
          <w:color w:val="auto"/>
          <w:sz w:val="32"/>
          <w:szCs w:val="32"/>
          <w:highlight w:val="none"/>
        </w:rPr>
        <w:t>第二章  招标需求</w:t>
      </w:r>
      <w:r>
        <w:rPr>
          <w:rFonts w:hint="eastAsia" w:ascii="宋体" w:hAnsi="宋体" w:cs="宋体"/>
          <w:b/>
          <w:bCs/>
          <w:color w:val="auto"/>
          <w:sz w:val="32"/>
          <w:szCs w:val="32"/>
          <w:highlight w:val="none"/>
        </w:rPr>
        <w:tab/>
      </w:r>
      <w:r>
        <w:rPr>
          <w:rFonts w:hint="eastAsia" w:ascii="宋体" w:hAnsi="宋体" w:cs="宋体"/>
          <w:b/>
          <w:bCs/>
          <w:color w:val="auto"/>
          <w:sz w:val="32"/>
          <w:szCs w:val="32"/>
          <w:highlight w:val="none"/>
        </w:rPr>
        <w:fldChar w:fldCharType="begin"/>
      </w:r>
      <w:r>
        <w:rPr>
          <w:rFonts w:hint="eastAsia" w:ascii="宋体" w:hAnsi="宋体" w:cs="宋体"/>
          <w:b/>
          <w:bCs/>
          <w:color w:val="auto"/>
          <w:sz w:val="32"/>
          <w:szCs w:val="32"/>
          <w:highlight w:val="none"/>
        </w:rPr>
        <w:instrText xml:space="preserve"> PAGEREF _Toc8514 </w:instrText>
      </w:r>
      <w:r>
        <w:rPr>
          <w:rFonts w:hint="eastAsia" w:ascii="宋体" w:hAnsi="宋体" w:cs="宋体"/>
          <w:b/>
          <w:bCs/>
          <w:color w:val="auto"/>
          <w:sz w:val="32"/>
          <w:szCs w:val="32"/>
          <w:highlight w:val="none"/>
        </w:rPr>
        <w:fldChar w:fldCharType="separate"/>
      </w:r>
      <w:r>
        <w:rPr>
          <w:rFonts w:hint="eastAsia" w:ascii="宋体" w:hAnsi="宋体" w:cs="宋体"/>
          <w:b/>
          <w:bCs/>
          <w:color w:val="auto"/>
          <w:sz w:val="32"/>
          <w:szCs w:val="32"/>
          <w:highlight w:val="none"/>
        </w:rPr>
        <w:t>6</w:t>
      </w:r>
      <w:r>
        <w:rPr>
          <w:rFonts w:hint="eastAsia" w:ascii="宋体" w:hAnsi="宋体" w:cs="宋体"/>
          <w:b/>
          <w:bCs/>
          <w:color w:val="auto"/>
          <w:sz w:val="32"/>
          <w:szCs w:val="32"/>
          <w:highlight w:val="none"/>
        </w:rPr>
        <w:fldChar w:fldCharType="end"/>
      </w:r>
      <w:r>
        <w:rPr>
          <w:rFonts w:hint="eastAsia" w:ascii="宋体" w:hAnsi="宋体" w:cs="宋体"/>
          <w:b/>
          <w:bCs/>
          <w:color w:val="auto"/>
          <w:sz w:val="32"/>
          <w:szCs w:val="32"/>
          <w:highlight w:val="none"/>
        </w:rPr>
        <w:fldChar w:fldCharType="end"/>
      </w:r>
    </w:p>
    <w:p>
      <w:pPr>
        <w:pStyle w:val="109"/>
        <w:tabs>
          <w:tab w:val="right" w:leader="dot" w:pos="8080"/>
        </w:tabs>
        <w:spacing w:line="360" w:lineRule="auto"/>
        <w:rPr>
          <w:rFonts w:ascii="宋体" w:hAnsi="宋体" w:cs="宋体"/>
          <w:b/>
          <w:bCs/>
          <w:color w:val="auto"/>
          <w:sz w:val="32"/>
          <w:szCs w:val="32"/>
          <w:highlight w:val="none"/>
        </w:rPr>
      </w:pPr>
      <w:r>
        <w:rPr>
          <w:color w:val="auto"/>
          <w:highlight w:val="none"/>
        </w:rPr>
        <w:fldChar w:fldCharType="begin"/>
      </w:r>
      <w:r>
        <w:rPr>
          <w:color w:val="auto"/>
          <w:highlight w:val="none"/>
        </w:rPr>
        <w:instrText xml:space="preserve"> HYPERLINK \l "_Toc18925" </w:instrText>
      </w:r>
      <w:r>
        <w:rPr>
          <w:color w:val="auto"/>
          <w:highlight w:val="none"/>
        </w:rPr>
        <w:fldChar w:fldCharType="separate"/>
      </w:r>
      <w:r>
        <w:rPr>
          <w:rFonts w:hint="eastAsia" w:ascii="宋体" w:hAnsi="宋体" w:cs="宋体"/>
          <w:b/>
          <w:bCs/>
          <w:color w:val="auto"/>
          <w:sz w:val="32"/>
          <w:szCs w:val="32"/>
          <w:highlight w:val="none"/>
        </w:rPr>
        <w:t>第三章  投标人须知</w:t>
      </w:r>
      <w:r>
        <w:rPr>
          <w:rFonts w:hint="eastAsia" w:ascii="宋体" w:hAnsi="宋体" w:cs="宋体"/>
          <w:b/>
          <w:bCs/>
          <w:color w:val="auto"/>
          <w:sz w:val="32"/>
          <w:szCs w:val="32"/>
          <w:highlight w:val="none"/>
        </w:rPr>
        <w:tab/>
      </w:r>
      <w:r>
        <w:rPr>
          <w:rFonts w:hint="eastAsia" w:ascii="宋体" w:hAnsi="宋体" w:cs="宋体"/>
          <w:b/>
          <w:bCs/>
          <w:color w:val="auto"/>
          <w:sz w:val="32"/>
          <w:szCs w:val="32"/>
          <w:highlight w:val="none"/>
        </w:rPr>
        <w:fldChar w:fldCharType="begin"/>
      </w:r>
      <w:r>
        <w:rPr>
          <w:rFonts w:hint="eastAsia" w:ascii="宋体" w:hAnsi="宋体" w:cs="宋体"/>
          <w:b/>
          <w:bCs/>
          <w:color w:val="auto"/>
          <w:sz w:val="32"/>
          <w:szCs w:val="32"/>
          <w:highlight w:val="none"/>
        </w:rPr>
        <w:instrText xml:space="preserve"> PAGEREF _Toc18925 </w:instrText>
      </w:r>
      <w:r>
        <w:rPr>
          <w:rFonts w:hint="eastAsia" w:ascii="宋体" w:hAnsi="宋体" w:cs="宋体"/>
          <w:b/>
          <w:bCs/>
          <w:color w:val="auto"/>
          <w:sz w:val="32"/>
          <w:szCs w:val="32"/>
          <w:highlight w:val="none"/>
        </w:rPr>
        <w:fldChar w:fldCharType="separate"/>
      </w:r>
      <w:r>
        <w:rPr>
          <w:rFonts w:hint="eastAsia" w:ascii="宋体" w:hAnsi="宋体" w:cs="宋体"/>
          <w:b/>
          <w:bCs/>
          <w:color w:val="auto"/>
          <w:sz w:val="32"/>
          <w:szCs w:val="32"/>
          <w:highlight w:val="none"/>
        </w:rPr>
        <w:t>73</w:t>
      </w:r>
      <w:r>
        <w:rPr>
          <w:rFonts w:hint="eastAsia" w:ascii="宋体" w:hAnsi="宋体" w:cs="宋体"/>
          <w:b/>
          <w:bCs/>
          <w:color w:val="auto"/>
          <w:sz w:val="32"/>
          <w:szCs w:val="32"/>
          <w:highlight w:val="none"/>
        </w:rPr>
        <w:fldChar w:fldCharType="end"/>
      </w:r>
      <w:r>
        <w:rPr>
          <w:rFonts w:hint="eastAsia" w:ascii="宋体" w:hAnsi="宋体" w:cs="宋体"/>
          <w:b/>
          <w:bCs/>
          <w:color w:val="auto"/>
          <w:sz w:val="32"/>
          <w:szCs w:val="32"/>
          <w:highlight w:val="none"/>
        </w:rPr>
        <w:fldChar w:fldCharType="end"/>
      </w:r>
    </w:p>
    <w:p>
      <w:pPr>
        <w:pStyle w:val="109"/>
        <w:tabs>
          <w:tab w:val="right" w:leader="dot" w:pos="8080"/>
        </w:tabs>
        <w:spacing w:line="360" w:lineRule="auto"/>
        <w:rPr>
          <w:rFonts w:ascii="宋体" w:hAnsi="宋体" w:cs="宋体"/>
          <w:b/>
          <w:bCs/>
          <w:color w:val="auto"/>
          <w:sz w:val="32"/>
          <w:szCs w:val="32"/>
          <w:highlight w:val="none"/>
        </w:rPr>
      </w:pPr>
      <w:r>
        <w:rPr>
          <w:color w:val="auto"/>
          <w:highlight w:val="none"/>
        </w:rPr>
        <w:fldChar w:fldCharType="begin"/>
      </w:r>
      <w:r>
        <w:rPr>
          <w:color w:val="auto"/>
          <w:highlight w:val="none"/>
        </w:rPr>
        <w:instrText xml:space="preserve"> HYPERLINK \l "_Toc30386" </w:instrText>
      </w:r>
      <w:r>
        <w:rPr>
          <w:color w:val="auto"/>
          <w:highlight w:val="none"/>
        </w:rPr>
        <w:fldChar w:fldCharType="separate"/>
      </w:r>
      <w:r>
        <w:rPr>
          <w:rFonts w:hint="eastAsia" w:ascii="宋体" w:hAnsi="宋体" w:cs="宋体"/>
          <w:b/>
          <w:bCs/>
          <w:color w:val="auto"/>
          <w:sz w:val="32"/>
          <w:szCs w:val="32"/>
          <w:highlight w:val="none"/>
        </w:rPr>
        <w:t>第四章  评标办法及评分标准</w:t>
      </w:r>
      <w:r>
        <w:rPr>
          <w:rFonts w:hint="eastAsia" w:ascii="宋体" w:hAnsi="宋体" w:cs="宋体"/>
          <w:b/>
          <w:bCs/>
          <w:color w:val="auto"/>
          <w:sz w:val="32"/>
          <w:szCs w:val="32"/>
          <w:highlight w:val="none"/>
        </w:rPr>
        <w:tab/>
      </w:r>
      <w:r>
        <w:rPr>
          <w:rFonts w:hint="eastAsia" w:ascii="宋体" w:hAnsi="宋体" w:cs="宋体"/>
          <w:b/>
          <w:bCs/>
          <w:color w:val="auto"/>
          <w:sz w:val="32"/>
          <w:szCs w:val="32"/>
          <w:highlight w:val="none"/>
        </w:rPr>
        <w:fldChar w:fldCharType="begin"/>
      </w:r>
      <w:r>
        <w:rPr>
          <w:rFonts w:hint="eastAsia" w:ascii="宋体" w:hAnsi="宋体" w:cs="宋体"/>
          <w:b/>
          <w:bCs/>
          <w:color w:val="auto"/>
          <w:sz w:val="32"/>
          <w:szCs w:val="32"/>
          <w:highlight w:val="none"/>
        </w:rPr>
        <w:instrText xml:space="preserve"> PAGEREF _Toc30386 </w:instrText>
      </w:r>
      <w:r>
        <w:rPr>
          <w:rFonts w:hint="eastAsia" w:ascii="宋体" w:hAnsi="宋体" w:cs="宋体"/>
          <w:b/>
          <w:bCs/>
          <w:color w:val="auto"/>
          <w:sz w:val="32"/>
          <w:szCs w:val="32"/>
          <w:highlight w:val="none"/>
        </w:rPr>
        <w:fldChar w:fldCharType="separate"/>
      </w:r>
      <w:r>
        <w:rPr>
          <w:rFonts w:hint="eastAsia" w:ascii="宋体" w:hAnsi="宋体" w:cs="宋体"/>
          <w:b/>
          <w:bCs/>
          <w:color w:val="auto"/>
          <w:sz w:val="32"/>
          <w:szCs w:val="32"/>
          <w:highlight w:val="none"/>
        </w:rPr>
        <w:t>86</w:t>
      </w:r>
      <w:r>
        <w:rPr>
          <w:rFonts w:hint="eastAsia" w:ascii="宋体" w:hAnsi="宋体" w:cs="宋体"/>
          <w:b/>
          <w:bCs/>
          <w:color w:val="auto"/>
          <w:sz w:val="32"/>
          <w:szCs w:val="32"/>
          <w:highlight w:val="none"/>
        </w:rPr>
        <w:fldChar w:fldCharType="end"/>
      </w:r>
      <w:r>
        <w:rPr>
          <w:rFonts w:hint="eastAsia" w:ascii="宋体" w:hAnsi="宋体" w:cs="宋体"/>
          <w:b/>
          <w:bCs/>
          <w:color w:val="auto"/>
          <w:sz w:val="32"/>
          <w:szCs w:val="32"/>
          <w:highlight w:val="none"/>
        </w:rPr>
        <w:fldChar w:fldCharType="end"/>
      </w:r>
    </w:p>
    <w:p>
      <w:pPr>
        <w:pStyle w:val="109"/>
        <w:tabs>
          <w:tab w:val="right" w:leader="dot" w:pos="8080"/>
        </w:tabs>
        <w:spacing w:line="360" w:lineRule="auto"/>
        <w:rPr>
          <w:rFonts w:ascii="宋体" w:hAnsi="宋体" w:cs="宋体"/>
          <w:b/>
          <w:bCs/>
          <w:color w:val="auto"/>
          <w:sz w:val="32"/>
          <w:szCs w:val="32"/>
          <w:highlight w:val="none"/>
        </w:rPr>
      </w:pPr>
      <w:r>
        <w:rPr>
          <w:color w:val="auto"/>
          <w:highlight w:val="none"/>
        </w:rPr>
        <w:fldChar w:fldCharType="begin"/>
      </w:r>
      <w:r>
        <w:rPr>
          <w:color w:val="auto"/>
          <w:highlight w:val="none"/>
        </w:rPr>
        <w:instrText xml:space="preserve"> HYPERLINK \l "_Toc25540" </w:instrText>
      </w:r>
      <w:r>
        <w:rPr>
          <w:color w:val="auto"/>
          <w:highlight w:val="none"/>
        </w:rPr>
        <w:fldChar w:fldCharType="separate"/>
      </w:r>
      <w:r>
        <w:rPr>
          <w:rFonts w:hint="eastAsia" w:ascii="宋体" w:hAnsi="宋体" w:cs="宋体"/>
          <w:b/>
          <w:bCs/>
          <w:color w:val="auto"/>
          <w:sz w:val="32"/>
          <w:szCs w:val="32"/>
          <w:highlight w:val="none"/>
        </w:rPr>
        <w:t>第五章  政府采购合同主要条款</w:t>
      </w:r>
      <w:r>
        <w:rPr>
          <w:rFonts w:hint="eastAsia" w:ascii="宋体" w:hAnsi="宋体" w:cs="宋体"/>
          <w:b/>
          <w:bCs/>
          <w:color w:val="auto"/>
          <w:sz w:val="32"/>
          <w:szCs w:val="32"/>
          <w:highlight w:val="none"/>
        </w:rPr>
        <w:tab/>
      </w:r>
      <w:r>
        <w:rPr>
          <w:rFonts w:hint="eastAsia" w:ascii="宋体" w:hAnsi="宋体" w:cs="宋体"/>
          <w:b/>
          <w:bCs/>
          <w:color w:val="auto"/>
          <w:sz w:val="32"/>
          <w:szCs w:val="32"/>
          <w:highlight w:val="none"/>
        </w:rPr>
        <w:fldChar w:fldCharType="begin"/>
      </w:r>
      <w:r>
        <w:rPr>
          <w:rFonts w:hint="eastAsia" w:ascii="宋体" w:hAnsi="宋体" w:cs="宋体"/>
          <w:b/>
          <w:bCs/>
          <w:color w:val="auto"/>
          <w:sz w:val="32"/>
          <w:szCs w:val="32"/>
          <w:highlight w:val="none"/>
        </w:rPr>
        <w:instrText xml:space="preserve"> PAGEREF _Toc25540 </w:instrText>
      </w:r>
      <w:r>
        <w:rPr>
          <w:rFonts w:hint="eastAsia" w:ascii="宋体" w:hAnsi="宋体" w:cs="宋体"/>
          <w:b/>
          <w:bCs/>
          <w:color w:val="auto"/>
          <w:sz w:val="32"/>
          <w:szCs w:val="32"/>
          <w:highlight w:val="none"/>
        </w:rPr>
        <w:fldChar w:fldCharType="separate"/>
      </w:r>
      <w:r>
        <w:rPr>
          <w:rFonts w:hint="eastAsia" w:ascii="宋体" w:hAnsi="宋体" w:cs="宋体"/>
          <w:b/>
          <w:bCs/>
          <w:color w:val="auto"/>
          <w:sz w:val="32"/>
          <w:szCs w:val="32"/>
          <w:highlight w:val="none"/>
        </w:rPr>
        <w:t>91</w:t>
      </w:r>
      <w:r>
        <w:rPr>
          <w:rFonts w:hint="eastAsia" w:ascii="宋体" w:hAnsi="宋体" w:cs="宋体"/>
          <w:b/>
          <w:bCs/>
          <w:color w:val="auto"/>
          <w:sz w:val="32"/>
          <w:szCs w:val="32"/>
          <w:highlight w:val="none"/>
        </w:rPr>
        <w:fldChar w:fldCharType="end"/>
      </w:r>
      <w:r>
        <w:rPr>
          <w:rFonts w:hint="eastAsia" w:ascii="宋体" w:hAnsi="宋体" w:cs="宋体"/>
          <w:b/>
          <w:bCs/>
          <w:color w:val="auto"/>
          <w:sz w:val="32"/>
          <w:szCs w:val="32"/>
          <w:highlight w:val="none"/>
        </w:rPr>
        <w:fldChar w:fldCharType="end"/>
      </w:r>
    </w:p>
    <w:p>
      <w:pPr>
        <w:pStyle w:val="109"/>
        <w:tabs>
          <w:tab w:val="right" w:leader="dot" w:pos="8080"/>
        </w:tabs>
        <w:spacing w:line="360" w:lineRule="auto"/>
        <w:rPr>
          <w:rFonts w:ascii="宋体" w:hAnsi="宋体" w:cs="宋体"/>
          <w:b/>
          <w:bCs/>
          <w:color w:val="auto"/>
          <w:sz w:val="32"/>
          <w:szCs w:val="32"/>
          <w:highlight w:val="none"/>
        </w:rPr>
      </w:pPr>
      <w:r>
        <w:rPr>
          <w:color w:val="auto"/>
          <w:highlight w:val="none"/>
        </w:rPr>
        <w:fldChar w:fldCharType="begin"/>
      </w:r>
      <w:r>
        <w:rPr>
          <w:color w:val="auto"/>
          <w:highlight w:val="none"/>
        </w:rPr>
        <w:instrText xml:space="preserve"> HYPERLINK \l "_Toc5015" </w:instrText>
      </w:r>
      <w:r>
        <w:rPr>
          <w:color w:val="auto"/>
          <w:highlight w:val="none"/>
        </w:rPr>
        <w:fldChar w:fldCharType="separate"/>
      </w:r>
      <w:r>
        <w:rPr>
          <w:rFonts w:hint="eastAsia" w:ascii="宋体" w:hAnsi="宋体" w:cs="宋体"/>
          <w:b/>
          <w:bCs/>
          <w:color w:val="auto"/>
          <w:sz w:val="32"/>
          <w:szCs w:val="32"/>
          <w:highlight w:val="none"/>
        </w:rPr>
        <w:t>第六章  投标文件格式</w:t>
      </w:r>
      <w:r>
        <w:rPr>
          <w:rFonts w:hint="eastAsia" w:ascii="宋体" w:hAnsi="宋体" w:cs="宋体"/>
          <w:b/>
          <w:bCs/>
          <w:color w:val="auto"/>
          <w:sz w:val="32"/>
          <w:szCs w:val="32"/>
          <w:highlight w:val="none"/>
        </w:rPr>
        <w:tab/>
      </w:r>
      <w:r>
        <w:rPr>
          <w:rFonts w:hint="eastAsia" w:ascii="宋体" w:hAnsi="宋体" w:cs="宋体"/>
          <w:b/>
          <w:bCs/>
          <w:color w:val="auto"/>
          <w:sz w:val="32"/>
          <w:szCs w:val="32"/>
          <w:highlight w:val="none"/>
        </w:rPr>
        <w:fldChar w:fldCharType="begin"/>
      </w:r>
      <w:r>
        <w:rPr>
          <w:rFonts w:hint="eastAsia" w:ascii="宋体" w:hAnsi="宋体" w:cs="宋体"/>
          <w:b/>
          <w:bCs/>
          <w:color w:val="auto"/>
          <w:sz w:val="32"/>
          <w:szCs w:val="32"/>
          <w:highlight w:val="none"/>
        </w:rPr>
        <w:instrText xml:space="preserve"> PAGEREF _Toc5015 </w:instrText>
      </w:r>
      <w:r>
        <w:rPr>
          <w:rFonts w:hint="eastAsia" w:ascii="宋体" w:hAnsi="宋体" w:cs="宋体"/>
          <w:b/>
          <w:bCs/>
          <w:color w:val="auto"/>
          <w:sz w:val="32"/>
          <w:szCs w:val="32"/>
          <w:highlight w:val="none"/>
        </w:rPr>
        <w:fldChar w:fldCharType="separate"/>
      </w:r>
      <w:r>
        <w:rPr>
          <w:rFonts w:hint="eastAsia" w:ascii="宋体" w:hAnsi="宋体" w:cs="宋体"/>
          <w:b/>
          <w:bCs/>
          <w:color w:val="auto"/>
          <w:sz w:val="32"/>
          <w:szCs w:val="32"/>
          <w:highlight w:val="none"/>
        </w:rPr>
        <w:t>96</w:t>
      </w:r>
      <w:r>
        <w:rPr>
          <w:rFonts w:hint="eastAsia" w:ascii="宋体" w:hAnsi="宋体" w:cs="宋体"/>
          <w:b/>
          <w:bCs/>
          <w:color w:val="auto"/>
          <w:sz w:val="32"/>
          <w:szCs w:val="32"/>
          <w:highlight w:val="none"/>
        </w:rPr>
        <w:fldChar w:fldCharType="end"/>
      </w:r>
      <w:r>
        <w:rPr>
          <w:rFonts w:hint="eastAsia" w:ascii="宋体" w:hAnsi="宋体" w:cs="宋体"/>
          <w:b/>
          <w:bCs/>
          <w:color w:val="auto"/>
          <w:sz w:val="32"/>
          <w:szCs w:val="32"/>
          <w:highlight w:val="none"/>
        </w:rPr>
        <w:fldChar w:fldCharType="end"/>
      </w:r>
    </w:p>
    <w:p>
      <w:pPr>
        <w:tabs>
          <w:tab w:val="right" w:leader="dot" w:pos="8080"/>
        </w:tabs>
        <w:ind w:firstLine="643"/>
        <w:rPr>
          <w:rFonts w:ascii="宋体" w:hAnsi="宋体" w:cs="宋体"/>
          <w:color w:val="auto"/>
          <w:highlight w:val="none"/>
        </w:rPr>
      </w:pPr>
      <w:r>
        <w:rPr>
          <w:rFonts w:hint="eastAsia" w:ascii="宋体" w:hAnsi="宋体" w:cs="宋体"/>
          <w:b/>
          <w:bCs/>
          <w:color w:val="auto"/>
          <w:sz w:val="32"/>
          <w:szCs w:val="32"/>
          <w:highlight w:val="none"/>
        </w:rPr>
        <w:fldChar w:fldCharType="end"/>
      </w:r>
    </w:p>
    <w:p>
      <w:pPr>
        <w:tabs>
          <w:tab w:val="right" w:leader="dot" w:pos="8080"/>
        </w:tabs>
        <w:spacing w:line="240" w:lineRule="auto"/>
        <w:ind w:firstLine="420"/>
        <w:rPr>
          <w:rFonts w:ascii="宋体" w:hAnsi="宋体" w:cs="宋体"/>
          <w:color w:val="auto"/>
          <w:highlight w:val="none"/>
        </w:rPr>
      </w:pPr>
    </w:p>
    <w:p>
      <w:pPr>
        <w:pStyle w:val="3"/>
        <w:tabs>
          <w:tab w:val="right" w:leader="dot" w:pos="8080"/>
        </w:tabs>
        <w:ind w:firstLine="602"/>
        <w:rPr>
          <w:rFonts w:ascii="宋体" w:hAnsi="宋体" w:cs="宋体"/>
          <w:color w:val="auto"/>
          <w:highlight w:val="none"/>
        </w:rPr>
        <w:sectPr>
          <w:pgSz w:w="11907" w:h="16839"/>
          <w:pgMar w:top="1440" w:right="1800" w:bottom="1440" w:left="1800" w:header="285" w:footer="700" w:gutter="0"/>
          <w:pgNumType w:start="1"/>
          <w:cols w:space="720" w:num="1"/>
          <w:titlePg/>
          <w:docGrid w:linePitch="286" w:charSpace="0"/>
        </w:sectPr>
      </w:pPr>
      <w:bookmarkStart w:id="11" w:name="_Toc16394"/>
    </w:p>
    <w:p>
      <w:pPr>
        <w:pStyle w:val="3"/>
        <w:ind w:firstLine="602"/>
        <w:rPr>
          <w:rFonts w:ascii="宋体" w:hAnsi="宋体" w:cs="宋体"/>
          <w:color w:val="auto"/>
          <w:highlight w:val="none"/>
        </w:rPr>
      </w:pPr>
      <w:bookmarkStart w:id="12" w:name="_Toc13874"/>
      <w:bookmarkStart w:id="13" w:name="_Toc20106"/>
      <w:r>
        <w:rPr>
          <w:rFonts w:hint="eastAsia" w:ascii="宋体" w:hAnsi="宋体" w:cs="宋体"/>
          <w:color w:val="auto"/>
          <w:highlight w:val="none"/>
        </w:rPr>
        <w:t>第一章 公开招标采购公告</w:t>
      </w:r>
      <w:bookmarkEnd w:id="0"/>
      <w:bookmarkEnd w:id="1"/>
      <w:bookmarkEnd w:id="2"/>
      <w:bookmarkEnd w:id="3"/>
      <w:bookmarkEnd w:id="4"/>
      <w:bookmarkEnd w:id="5"/>
      <w:bookmarkEnd w:id="6"/>
      <w:bookmarkEnd w:id="7"/>
      <w:bookmarkEnd w:id="8"/>
      <w:bookmarkEnd w:id="9"/>
      <w:bookmarkEnd w:id="10"/>
      <w:bookmarkEnd w:id="11"/>
      <w:bookmarkEnd w:id="12"/>
      <w:bookmarkEnd w:id="13"/>
    </w:p>
    <w:p>
      <w:pPr>
        <w:pStyle w:val="5"/>
        <w:numPr>
          <w:ilvl w:val="0"/>
          <w:numId w:val="0"/>
        </w:numPr>
        <w:tabs>
          <w:tab w:val="left" w:pos="720"/>
        </w:tabs>
        <w:ind w:left="420" w:leftChars="200"/>
        <w:jc w:val="left"/>
        <w:rPr>
          <w:rFonts w:ascii="宋体" w:hAnsi="宋体" w:cs="宋体"/>
          <w:color w:val="auto"/>
          <w:highlight w:val="none"/>
          <w:shd w:val="clear" w:color="auto" w:fill="FFFFFF"/>
        </w:rPr>
      </w:pPr>
      <w:bookmarkStart w:id="14" w:name="_Toc71364331"/>
      <w:bookmarkStart w:id="15" w:name="_Toc15701"/>
      <w:bookmarkStart w:id="16" w:name="_Toc7138"/>
      <w:r>
        <w:rPr>
          <w:rFonts w:hint="eastAsia" w:ascii="宋体" w:hAnsi="宋体" w:cs="宋体"/>
          <w:bCs/>
          <w:color w:val="auto"/>
          <w:highlight w:val="none"/>
        </w:rPr>
        <w:t>项目概况</w:t>
      </w:r>
      <w:bookmarkEnd w:id="14"/>
      <w:bookmarkEnd w:id="15"/>
      <w:bookmarkEnd w:id="16"/>
      <w:bookmarkStart w:id="17" w:name="_Toc458254697"/>
    </w:p>
    <w:p>
      <w:pPr>
        <w:ind w:firstLine="420"/>
        <w:rPr>
          <w:rFonts w:ascii="宋体" w:hAnsi="宋体" w:cs="宋体"/>
          <w:color w:val="auto"/>
          <w:szCs w:val="21"/>
          <w:highlight w:val="none"/>
        </w:rPr>
      </w:pPr>
      <w:r>
        <w:rPr>
          <w:rFonts w:hint="eastAsia" w:ascii="宋体" w:hAnsi="宋体" w:cs="宋体"/>
          <w:color w:val="auto"/>
          <w:highlight w:val="none"/>
          <w:shd w:val="clear" w:color="auto" w:fill="FFFFFF"/>
        </w:rPr>
        <w:t>宁波石化经济技术开发区智慧园区一期项目的潜在投标人应在政府采购云平台（http://www.zcygov.cn/）获取（下载）招标文件，并于2021年08月17日09:30（北京时间）前提交（上传）投标文件。</w:t>
      </w:r>
      <w:bookmarkEnd w:id="17"/>
    </w:p>
    <w:p>
      <w:pPr>
        <w:snapToGrid w:val="0"/>
        <w:ind w:firstLine="422"/>
        <w:rPr>
          <w:rFonts w:ascii="宋体" w:hAnsi="宋体" w:cs="宋体"/>
          <w:b/>
          <w:color w:val="auto"/>
          <w:szCs w:val="21"/>
          <w:highlight w:val="none"/>
        </w:rPr>
      </w:pPr>
      <w:r>
        <w:rPr>
          <w:rFonts w:hint="eastAsia" w:ascii="宋体" w:hAnsi="宋体" w:cs="宋体"/>
          <w:b/>
          <w:color w:val="auto"/>
          <w:szCs w:val="21"/>
          <w:highlight w:val="none"/>
        </w:rPr>
        <w:t>一、项目基本情况</w:t>
      </w:r>
    </w:p>
    <w:p>
      <w:pPr>
        <w:widowControl/>
        <w:snapToGrid w:val="0"/>
        <w:ind w:firstLine="420"/>
        <w:jc w:val="left"/>
        <w:rPr>
          <w:rFonts w:ascii="宋体" w:hAnsi="宋体" w:cs="宋体"/>
          <w:color w:val="auto"/>
          <w:szCs w:val="32"/>
          <w:highlight w:val="none"/>
        </w:rPr>
      </w:pPr>
      <w:r>
        <w:rPr>
          <w:rFonts w:hint="eastAsia" w:ascii="宋体" w:hAnsi="宋体" w:cs="宋体"/>
          <w:color w:val="auto"/>
          <w:szCs w:val="21"/>
          <w:highlight w:val="none"/>
        </w:rPr>
        <w:t>项目编号：</w:t>
      </w:r>
      <w:r>
        <w:rPr>
          <w:rFonts w:hint="eastAsia" w:ascii="宋体" w:hAnsi="宋体" w:cs="宋体"/>
          <w:color w:val="auto"/>
          <w:szCs w:val="32"/>
          <w:highlight w:val="none"/>
        </w:rPr>
        <w:t>CBNB-20211451G</w:t>
      </w:r>
    </w:p>
    <w:p>
      <w:pPr>
        <w:widowControl/>
        <w:snapToGrid w:val="0"/>
        <w:ind w:firstLine="420"/>
        <w:jc w:val="left"/>
        <w:rPr>
          <w:rFonts w:ascii="宋体" w:hAnsi="宋体" w:cs="宋体"/>
          <w:color w:val="auto"/>
          <w:kern w:val="0"/>
          <w:sz w:val="24"/>
          <w:highlight w:val="none"/>
        </w:rPr>
      </w:pPr>
      <w:r>
        <w:rPr>
          <w:rFonts w:hint="eastAsia" w:ascii="宋体" w:hAnsi="宋体" w:cs="宋体"/>
          <w:color w:val="auto"/>
          <w:highlight w:val="none"/>
        </w:rPr>
        <w:t>项目名称：宁波石化经济技术开发区智慧园区一期项目</w:t>
      </w:r>
    </w:p>
    <w:p>
      <w:pPr>
        <w:ind w:firstLine="420"/>
        <w:rPr>
          <w:rFonts w:ascii="宋体" w:hAnsi="宋体" w:cs="宋体"/>
          <w:color w:val="auto"/>
          <w:highlight w:val="none"/>
        </w:rPr>
      </w:pPr>
      <w:r>
        <w:rPr>
          <w:rFonts w:hint="eastAsia" w:ascii="宋体" w:hAnsi="宋体" w:cs="宋体"/>
          <w:color w:val="auto"/>
          <w:highlight w:val="none"/>
        </w:rPr>
        <w:t>预算金额（元）：</w:t>
      </w:r>
      <w:r>
        <w:rPr>
          <w:rFonts w:hint="eastAsia" w:ascii="宋体" w:hAnsi="宋体" w:cs="宋体"/>
          <w:color w:val="auto"/>
          <w:szCs w:val="21"/>
          <w:highlight w:val="none"/>
        </w:rPr>
        <w:t>36307400</w:t>
      </w:r>
    </w:p>
    <w:p>
      <w:pPr>
        <w:ind w:firstLine="420"/>
        <w:rPr>
          <w:rFonts w:ascii="宋体" w:hAnsi="宋体" w:cs="宋体"/>
          <w:color w:val="auto"/>
          <w:highlight w:val="none"/>
        </w:rPr>
      </w:pPr>
      <w:r>
        <w:rPr>
          <w:rFonts w:hint="eastAsia" w:ascii="宋体" w:hAnsi="宋体" w:cs="宋体"/>
          <w:color w:val="auto"/>
          <w:highlight w:val="none"/>
        </w:rPr>
        <w:t>最高限价（元）：</w:t>
      </w:r>
      <w:r>
        <w:rPr>
          <w:rFonts w:hint="eastAsia" w:ascii="宋体" w:hAnsi="宋体" w:cs="宋体"/>
          <w:color w:val="auto"/>
          <w:szCs w:val="21"/>
          <w:highlight w:val="none"/>
        </w:rPr>
        <w:t>36307400</w:t>
      </w:r>
    </w:p>
    <w:p>
      <w:pPr>
        <w:ind w:firstLine="420"/>
        <w:rPr>
          <w:rFonts w:ascii="宋体" w:hAnsi="宋体" w:cs="宋体"/>
          <w:color w:val="auto"/>
          <w:highlight w:val="none"/>
        </w:rPr>
      </w:pPr>
      <w:r>
        <w:rPr>
          <w:rFonts w:hint="eastAsia" w:ascii="宋体" w:hAnsi="宋体" w:cs="宋体"/>
          <w:color w:val="auto"/>
          <w:highlight w:val="none"/>
        </w:rPr>
        <w:t>采购需求：</w:t>
      </w:r>
    </w:p>
    <w:p>
      <w:pPr>
        <w:ind w:firstLine="420"/>
        <w:rPr>
          <w:rFonts w:ascii="宋体" w:hAnsi="宋体" w:cs="宋体"/>
          <w:color w:val="auto"/>
          <w:highlight w:val="none"/>
        </w:rPr>
      </w:pPr>
      <w:r>
        <w:rPr>
          <w:rFonts w:hint="eastAsia" w:ascii="宋体" w:hAnsi="宋体" w:cs="宋体"/>
          <w:color w:val="auto"/>
          <w:highlight w:val="none"/>
        </w:rPr>
        <w:t>标项名称：宁波石化经济技术开发区智慧园区一期项目</w:t>
      </w:r>
    </w:p>
    <w:p>
      <w:pPr>
        <w:ind w:firstLine="420"/>
        <w:rPr>
          <w:rFonts w:ascii="宋体" w:hAnsi="宋体" w:cs="宋体"/>
          <w:color w:val="auto"/>
          <w:highlight w:val="none"/>
        </w:rPr>
      </w:pPr>
      <w:r>
        <w:rPr>
          <w:rFonts w:hint="eastAsia" w:ascii="宋体" w:hAnsi="宋体" w:cs="宋体"/>
          <w:color w:val="auto"/>
          <w:highlight w:val="none"/>
        </w:rPr>
        <w:t>数量：1</w:t>
      </w:r>
    </w:p>
    <w:p>
      <w:pPr>
        <w:ind w:firstLine="420"/>
        <w:rPr>
          <w:rFonts w:ascii="宋体" w:hAnsi="宋体" w:cs="宋体"/>
          <w:color w:val="auto"/>
          <w:highlight w:val="none"/>
        </w:rPr>
      </w:pPr>
      <w:r>
        <w:rPr>
          <w:rFonts w:hint="eastAsia" w:ascii="宋体" w:hAnsi="宋体" w:cs="宋体"/>
          <w:color w:val="auto"/>
          <w:highlight w:val="none"/>
        </w:rPr>
        <w:t>预算金额（元）：</w:t>
      </w:r>
      <w:r>
        <w:rPr>
          <w:rFonts w:hint="eastAsia" w:ascii="宋体" w:hAnsi="宋体" w:cs="宋体"/>
          <w:color w:val="auto"/>
          <w:szCs w:val="21"/>
          <w:highlight w:val="none"/>
        </w:rPr>
        <w:t>36307400</w:t>
      </w:r>
    </w:p>
    <w:p>
      <w:pPr>
        <w:widowControl/>
        <w:ind w:firstLine="420"/>
        <w:jc w:val="left"/>
        <w:rPr>
          <w:rFonts w:ascii="宋体" w:hAnsi="宋体" w:cs="宋体"/>
          <w:color w:val="auto"/>
          <w:highlight w:val="none"/>
        </w:rPr>
      </w:pPr>
      <w:r>
        <w:rPr>
          <w:rFonts w:hint="eastAsia" w:ascii="宋体" w:hAnsi="宋体" w:cs="宋体"/>
          <w:color w:val="auto"/>
          <w:highlight w:val="none"/>
          <w:shd w:val="clear" w:color="auto" w:fill="FFFFFF"/>
        </w:rPr>
        <w:t>简要规格描述或项目基本概况介绍、用途：本项目具体建设内容包含1、数字平台建设，2、园区大脑，3、应急指挥，4、系统集成，5、基础设施平台建设，6、标准规范，具体要求见第二章招标需求。</w:t>
      </w:r>
      <w:r>
        <w:rPr>
          <w:rFonts w:hint="eastAsia" w:ascii="宋体" w:hAnsi="宋体" w:cs="宋体"/>
          <w:color w:val="auto"/>
          <w:highlight w:val="none"/>
        </w:rPr>
        <w:t xml:space="preserve"> </w:t>
      </w:r>
    </w:p>
    <w:p>
      <w:pPr>
        <w:ind w:firstLine="420"/>
        <w:rPr>
          <w:rFonts w:ascii="宋体" w:hAnsi="宋体" w:cs="宋体"/>
          <w:color w:val="auto"/>
          <w:highlight w:val="none"/>
        </w:rPr>
      </w:pPr>
      <w:r>
        <w:rPr>
          <w:rFonts w:hint="eastAsia" w:ascii="宋体" w:hAnsi="宋体" w:cs="宋体"/>
          <w:color w:val="auto"/>
          <w:highlight w:val="none"/>
        </w:rPr>
        <w:t>备注：/</w:t>
      </w:r>
    </w:p>
    <w:p>
      <w:pPr>
        <w:ind w:firstLine="420"/>
        <w:rPr>
          <w:rFonts w:ascii="宋体" w:hAnsi="宋体" w:cs="宋体"/>
          <w:i/>
          <w:iCs/>
          <w:color w:val="auto"/>
          <w:highlight w:val="none"/>
        </w:rPr>
      </w:pPr>
      <w:r>
        <w:rPr>
          <w:rFonts w:hint="eastAsia" w:ascii="宋体" w:hAnsi="宋体" w:cs="宋体"/>
          <w:color w:val="auto"/>
          <w:highlight w:val="none"/>
        </w:rPr>
        <w:t>合同履行期限：标项1，自合同签订生效后开始至双方合同义务完全履行后截止。</w:t>
      </w:r>
    </w:p>
    <w:p>
      <w:pPr>
        <w:snapToGrid w:val="0"/>
        <w:ind w:firstLine="409" w:firstLineChars="195"/>
        <w:rPr>
          <w:rFonts w:ascii="宋体" w:hAnsi="宋体" w:cs="宋体"/>
          <w:color w:val="auto"/>
          <w:szCs w:val="21"/>
          <w:highlight w:val="none"/>
        </w:rPr>
      </w:pPr>
      <w:r>
        <w:rPr>
          <w:rFonts w:hint="eastAsia" w:ascii="宋体" w:hAnsi="宋体" w:cs="宋体"/>
          <w:color w:val="auto"/>
          <w:highlight w:val="none"/>
        </w:rPr>
        <w:t>本项目（否）接受联合体投标。</w:t>
      </w:r>
    </w:p>
    <w:p>
      <w:pPr>
        <w:snapToGrid w:val="0"/>
        <w:ind w:firstLine="422"/>
        <w:rPr>
          <w:rFonts w:ascii="宋体" w:hAnsi="宋体" w:cs="宋体"/>
          <w:b/>
          <w:color w:val="auto"/>
          <w:szCs w:val="21"/>
          <w:highlight w:val="none"/>
        </w:rPr>
      </w:pPr>
      <w:r>
        <w:rPr>
          <w:rFonts w:hint="eastAsia" w:ascii="宋体" w:hAnsi="宋体" w:cs="宋体"/>
          <w:b/>
          <w:color w:val="auto"/>
          <w:szCs w:val="21"/>
          <w:highlight w:val="none"/>
        </w:rPr>
        <w:t>二、申请人的资格要求：</w:t>
      </w:r>
    </w:p>
    <w:p>
      <w:pPr>
        <w:ind w:firstLine="420"/>
        <w:rPr>
          <w:rFonts w:ascii="宋体" w:hAnsi="宋体" w:cs="宋体"/>
          <w:color w:val="auto"/>
          <w:highlight w:val="none"/>
        </w:rPr>
      </w:pPr>
      <w:r>
        <w:rPr>
          <w:rFonts w:hint="eastAsia" w:ascii="宋体" w:hAnsi="宋体" w:cs="宋体"/>
          <w:color w:val="auto"/>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pPr>
        <w:ind w:firstLine="420"/>
        <w:rPr>
          <w:rFonts w:ascii="宋体" w:hAnsi="宋体" w:cs="宋体"/>
          <w:color w:val="auto"/>
          <w:highlight w:val="none"/>
        </w:rPr>
      </w:pPr>
      <w:r>
        <w:rPr>
          <w:rFonts w:hint="eastAsia" w:ascii="宋体" w:hAnsi="宋体" w:cs="宋体"/>
          <w:color w:val="auto"/>
          <w:highlight w:val="none"/>
        </w:rPr>
        <w:t>2.落实政府采购政策需满足的资格要求：无</w:t>
      </w:r>
    </w:p>
    <w:p>
      <w:pPr>
        <w:ind w:firstLine="420"/>
        <w:rPr>
          <w:rFonts w:ascii="宋体" w:hAnsi="宋体" w:cs="宋体"/>
          <w:color w:val="auto"/>
          <w:highlight w:val="none"/>
        </w:rPr>
      </w:pPr>
      <w:r>
        <w:rPr>
          <w:rFonts w:hint="eastAsia" w:ascii="宋体" w:hAnsi="宋体" w:cs="宋体"/>
          <w:color w:val="auto"/>
          <w:highlight w:val="none"/>
        </w:rPr>
        <w:t>3.本项目的特定资格要求：标项1：</w:t>
      </w:r>
      <w:r>
        <w:rPr>
          <w:rFonts w:hint="eastAsia" w:ascii="宋体" w:hAnsi="宋体" w:cs="宋体"/>
          <w:color w:val="auto"/>
          <w:szCs w:val="21"/>
          <w:highlight w:val="none"/>
        </w:rPr>
        <w:t>单位负责人为同一人或者存在直接控股、管理关系的不同供应商，不得参加同一合同项下的政府采购活动。除单一来源采购项目外，为采购项目提供整体设计、规范编制或者项目管理、监理、检测等服务的供应商，不得再参加本项目投标。</w:t>
      </w:r>
    </w:p>
    <w:p>
      <w:pPr>
        <w:snapToGrid w:val="0"/>
        <w:ind w:firstLine="411" w:firstLineChars="195"/>
        <w:rPr>
          <w:rFonts w:ascii="宋体" w:hAnsi="宋体" w:cs="宋体"/>
          <w:b/>
          <w:color w:val="auto"/>
          <w:szCs w:val="21"/>
          <w:highlight w:val="none"/>
        </w:rPr>
      </w:pPr>
      <w:r>
        <w:rPr>
          <w:rFonts w:hint="eastAsia" w:ascii="宋体" w:hAnsi="宋体" w:cs="宋体"/>
          <w:b/>
          <w:color w:val="auto"/>
          <w:szCs w:val="21"/>
          <w:highlight w:val="none"/>
        </w:rPr>
        <w:t>三、获取招标文件：</w:t>
      </w:r>
    </w:p>
    <w:p>
      <w:pPr>
        <w:snapToGrid w:val="0"/>
        <w:ind w:firstLine="420"/>
        <w:rPr>
          <w:rFonts w:ascii="宋体" w:hAnsi="宋体" w:cs="宋体"/>
          <w:color w:val="auto"/>
          <w:kern w:val="0"/>
          <w:szCs w:val="21"/>
          <w:highlight w:val="none"/>
        </w:rPr>
      </w:pPr>
      <w:r>
        <w:rPr>
          <w:rFonts w:hint="eastAsia" w:ascii="宋体" w:hAnsi="宋体" w:cs="宋体"/>
          <w:color w:val="auto"/>
          <w:kern w:val="0"/>
          <w:szCs w:val="21"/>
          <w:highlight w:val="none"/>
        </w:rPr>
        <w:t>时间：2021年07月23日至2021年07月30日，每天上午00:00至12:00，下午12:00至23:59（北京时间）。</w:t>
      </w:r>
    </w:p>
    <w:p>
      <w:pPr>
        <w:widowControl/>
        <w:ind w:firstLine="420"/>
        <w:jc w:val="left"/>
        <w:rPr>
          <w:rFonts w:ascii="宋体" w:hAnsi="宋体" w:cs="宋体"/>
          <w:color w:val="auto"/>
          <w:kern w:val="0"/>
          <w:szCs w:val="21"/>
          <w:highlight w:val="none"/>
        </w:rPr>
      </w:pPr>
      <w:r>
        <w:rPr>
          <w:rFonts w:hint="eastAsia" w:ascii="宋体" w:hAnsi="宋体" w:cs="宋体"/>
          <w:color w:val="auto"/>
          <w:kern w:val="0"/>
          <w:szCs w:val="21"/>
          <w:highlight w:val="none"/>
        </w:rPr>
        <w:t>地点：</w:t>
      </w:r>
      <w:r>
        <w:rPr>
          <w:rFonts w:hint="eastAsia" w:ascii="宋体" w:hAnsi="宋体" w:cs="宋体"/>
          <w:color w:val="auto"/>
          <w:szCs w:val="22"/>
          <w:highlight w:val="none"/>
        </w:rPr>
        <w:t>政府采购云平台（http://www.zcygov.cn/）</w:t>
      </w:r>
    </w:p>
    <w:p>
      <w:pPr>
        <w:ind w:firstLine="420"/>
        <w:jc w:val="left"/>
        <w:rPr>
          <w:rFonts w:ascii="宋体" w:hAnsi="宋体" w:cs="宋体"/>
          <w:color w:val="auto"/>
          <w:szCs w:val="21"/>
          <w:highlight w:val="none"/>
        </w:rPr>
      </w:pPr>
      <w:r>
        <w:rPr>
          <w:rFonts w:hint="eastAsia" w:ascii="宋体" w:hAnsi="宋体" w:cs="宋体"/>
          <w:color w:val="auto"/>
          <w:szCs w:val="22"/>
          <w:highlight w:val="none"/>
        </w:rPr>
        <w:t>方式：</w:t>
      </w:r>
      <w:r>
        <w:rPr>
          <w:rFonts w:hint="eastAsia" w:ascii="宋体" w:hAnsi="宋体" w:cs="宋体"/>
          <w:color w:val="auto"/>
          <w:szCs w:val="21"/>
          <w:highlight w:val="none"/>
        </w:rPr>
        <w:t>本项目不提供纸制版招标文件，供应商可通过“浙江政府采购网”在线获取（采购公告下方选取“潜在供应商”处“获取采购文件”）；供应商只有在“浙江政府采购网”完成获取采购文件申请并下载了采购文件后才视作依法获取采购文件（法律法规所指的供应商获取采购文件时间以供应商完成获取采购文件申请后下载采购文件的时间为准）；供应商网上报名操作指南： http://zfcg.czt.zj.gov.cn/bs_other/2018-03-30/12002.html?_=2018-03-30 11:40:47。</w:t>
      </w:r>
    </w:p>
    <w:p>
      <w:pPr>
        <w:snapToGrid w:val="0"/>
        <w:ind w:firstLine="420"/>
        <w:jc w:val="left"/>
        <w:rPr>
          <w:rFonts w:ascii="宋体" w:hAnsi="宋体" w:cs="宋体"/>
          <w:color w:val="auto"/>
          <w:szCs w:val="22"/>
          <w:highlight w:val="none"/>
        </w:rPr>
      </w:pPr>
      <w:r>
        <w:rPr>
          <w:rFonts w:hint="eastAsia" w:ascii="宋体" w:hAnsi="宋体" w:cs="宋体"/>
          <w:color w:val="auto"/>
          <w:szCs w:val="21"/>
          <w:highlight w:val="none"/>
        </w:rPr>
        <w:t>通过本公告下方“游客，浏览采购文件”下载的采购文件仅供浏览，不视作依法获取招标文件</w:t>
      </w:r>
      <w:r>
        <w:rPr>
          <w:rFonts w:hint="eastAsia" w:ascii="宋体" w:hAnsi="宋体" w:cs="宋体"/>
          <w:bCs/>
          <w:color w:val="auto"/>
          <w:szCs w:val="21"/>
          <w:highlight w:val="none"/>
        </w:rPr>
        <w:t>，不得就采购文件提出质疑投诉,未按规定获取招标文件者的投标将被拒绝。</w:t>
      </w:r>
    </w:p>
    <w:p>
      <w:pPr>
        <w:snapToGrid w:val="0"/>
        <w:ind w:firstLine="420"/>
        <w:jc w:val="left"/>
        <w:rPr>
          <w:rFonts w:ascii="宋体" w:hAnsi="宋体" w:cs="宋体"/>
          <w:color w:val="auto"/>
          <w:szCs w:val="22"/>
          <w:highlight w:val="none"/>
        </w:rPr>
      </w:pPr>
      <w:r>
        <w:rPr>
          <w:rFonts w:hint="eastAsia" w:ascii="宋体" w:hAnsi="宋体" w:cs="宋体"/>
          <w:color w:val="auto"/>
          <w:szCs w:val="22"/>
          <w:highlight w:val="none"/>
        </w:rPr>
        <w:t>售价：0元。</w:t>
      </w:r>
    </w:p>
    <w:p>
      <w:pPr>
        <w:snapToGrid w:val="0"/>
        <w:ind w:firstLine="422"/>
        <w:jc w:val="left"/>
        <w:rPr>
          <w:rFonts w:ascii="宋体" w:hAnsi="宋体" w:cs="宋体"/>
          <w:b/>
          <w:bCs/>
          <w:color w:val="auto"/>
          <w:szCs w:val="21"/>
          <w:highlight w:val="none"/>
        </w:rPr>
      </w:pPr>
      <w:r>
        <w:rPr>
          <w:rFonts w:hint="eastAsia" w:ascii="宋体" w:hAnsi="宋体" w:cs="宋体"/>
          <w:b/>
          <w:bCs/>
          <w:color w:val="auto"/>
          <w:szCs w:val="21"/>
          <w:highlight w:val="none"/>
        </w:rPr>
        <w:t>四、提交投标文件截止时间、开标时间和地点</w:t>
      </w:r>
    </w:p>
    <w:p>
      <w:pPr>
        <w:snapToGrid w:val="0"/>
        <w:ind w:firstLine="420"/>
        <w:jc w:val="left"/>
        <w:rPr>
          <w:rFonts w:ascii="宋体" w:hAnsi="宋体" w:cs="宋体"/>
          <w:bCs/>
          <w:color w:val="auto"/>
          <w:szCs w:val="21"/>
          <w:highlight w:val="none"/>
          <w:lang w:val="en"/>
        </w:rPr>
      </w:pPr>
      <w:r>
        <w:rPr>
          <w:rFonts w:hint="eastAsia" w:ascii="宋体" w:hAnsi="宋体" w:cs="宋体"/>
          <w:bCs/>
          <w:color w:val="auto"/>
          <w:szCs w:val="21"/>
          <w:highlight w:val="none"/>
          <w:lang w:val="en"/>
        </w:rPr>
        <w:t>提交投标文件截止时间：2021年</w:t>
      </w:r>
      <w:r>
        <w:rPr>
          <w:rFonts w:hint="eastAsia" w:ascii="宋体" w:hAnsi="宋体" w:cs="宋体"/>
          <w:bCs/>
          <w:color w:val="auto"/>
          <w:szCs w:val="21"/>
          <w:highlight w:val="none"/>
        </w:rPr>
        <w:t>08月17日</w:t>
      </w:r>
      <w:r>
        <w:rPr>
          <w:rFonts w:hint="eastAsia" w:ascii="宋体" w:hAnsi="宋体" w:cs="宋体"/>
          <w:bCs/>
          <w:color w:val="auto"/>
          <w:szCs w:val="21"/>
          <w:highlight w:val="none"/>
          <w:lang w:val="en"/>
        </w:rPr>
        <w:t xml:space="preserve"> </w:t>
      </w:r>
      <w:r>
        <w:rPr>
          <w:rFonts w:hint="eastAsia" w:ascii="宋体" w:hAnsi="宋体" w:cs="宋体"/>
          <w:bCs/>
          <w:color w:val="auto"/>
          <w:szCs w:val="21"/>
          <w:highlight w:val="none"/>
        </w:rPr>
        <w:t>09</w:t>
      </w:r>
      <w:r>
        <w:rPr>
          <w:rFonts w:hint="eastAsia" w:ascii="宋体" w:hAnsi="宋体" w:cs="宋体"/>
          <w:bCs/>
          <w:color w:val="auto"/>
          <w:szCs w:val="21"/>
          <w:highlight w:val="none"/>
          <w:lang w:val="en"/>
        </w:rPr>
        <w:t>:</w:t>
      </w:r>
      <w:r>
        <w:rPr>
          <w:rFonts w:hint="eastAsia" w:ascii="宋体" w:hAnsi="宋体" w:cs="宋体"/>
          <w:bCs/>
          <w:color w:val="auto"/>
          <w:szCs w:val="21"/>
          <w:highlight w:val="none"/>
        </w:rPr>
        <w:t>3</w:t>
      </w:r>
      <w:r>
        <w:rPr>
          <w:rFonts w:hint="eastAsia" w:ascii="宋体" w:hAnsi="宋体" w:cs="宋体"/>
          <w:bCs/>
          <w:color w:val="auto"/>
          <w:szCs w:val="21"/>
          <w:highlight w:val="none"/>
          <w:lang w:val="en"/>
        </w:rPr>
        <w:t>0（北京时间）</w:t>
      </w:r>
    </w:p>
    <w:p>
      <w:pPr>
        <w:snapToGrid w:val="0"/>
        <w:ind w:firstLine="420"/>
        <w:jc w:val="left"/>
        <w:rPr>
          <w:rFonts w:ascii="宋体" w:hAnsi="宋体" w:cs="宋体"/>
          <w:bCs/>
          <w:color w:val="auto"/>
          <w:szCs w:val="21"/>
          <w:highlight w:val="none"/>
          <w:lang w:val="en"/>
        </w:rPr>
      </w:pPr>
      <w:r>
        <w:rPr>
          <w:rFonts w:hint="eastAsia" w:ascii="宋体" w:hAnsi="宋体" w:cs="宋体"/>
          <w:bCs/>
          <w:color w:val="auto"/>
          <w:szCs w:val="21"/>
          <w:highlight w:val="none"/>
          <w:lang w:val="en"/>
        </w:rPr>
        <w:t>投标地点（网址）：（1） “电子加密投标文件”：政府采购云平台（www.zcygov.cn） 在线提交；（2）“备份投标文件”和“纸质备份投标文件”：镇海区骆驼街道金华南路55-57号三楼（镇海区公共资源交易中心）开标室。</w:t>
      </w:r>
    </w:p>
    <w:p>
      <w:pPr>
        <w:snapToGrid w:val="0"/>
        <w:ind w:firstLine="420"/>
        <w:jc w:val="left"/>
        <w:rPr>
          <w:rFonts w:ascii="宋体" w:hAnsi="宋体" w:cs="宋体"/>
          <w:bCs/>
          <w:color w:val="auto"/>
          <w:szCs w:val="21"/>
          <w:highlight w:val="none"/>
          <w:lang w:val="en"/>
        </w:rPr>
      </w:pPr>
      <w:r>
        <w:rPr>
          <w:rFonts w:hint="eastAsia" w:ascii="宋体" w:hAnsi="宋体" w:cs="宋体"/>
          <w:bCs/>
          <w:color w:val="auto"/>
          <w:szCs w:val="21"/>
          <w:highlight w:val="none"/>
          <w:lang w:val="en"/>
        </w:rPr>
        <w:t>开标时间：2021年</w:t>
      </w:r>
      <w:r>
        <w:rPr>
          <w:rFonts w:hint="eastAsia" w:ascii="宋体" w:hAnsi="宋体" w:cs="宋体"/>
          <w:bCs/>
          <w:color w:val="auto"/>
          <w:szCs w:val="21"/>
          <w:highlight w:val="none"/>
        </w:rPr>
        <w:t>08月17日09</w:t>
      </w:r>
      <w:r>
        <w:rPr>
          <w:rFonts w:hint="eastAsia" w:ascii="宋体" w:hAnsi="宋体" w:cs="宋体"/>
          <w:bCs/>
          <w:color w:val="auto"/>
          <w:szCs w:val="21"/>
          <w:highlight w:val="none"/>
          <w:lang w:val="en"/>
        </w:rPr>
        <w:t>:</w:t>
      </w:r>
      <w:r>
        <w:rPr>
          <w:rFonts w:hint="eastAsia" w:ascii="宋体" w:hAnsi="宋体" w:cs="宋体"/>
          <w:bCs/>
          <w:color w:val="auto"/>
          <w:szCs w:val="21"/>
          <w:highlight w:val="none"/>
        </w:rPr>
        <w:t>3</w:t>
      </w:r>
      <w:r>
        <w:rPr>
          <w:rFonts w:hint="eastAsia" w:ascii="宋体" w:hAnsi="宋体" w:cs="宋体"/>
          <w:bCs/>
          <w:color w:val="auto"/>
          <w:szCs w:val="21"/>
          <w:highlight w:val="none"/>
          <w:lang w:val="en"/>
        </w:rPr>
        <w:t>0</w:t>
      </w:r>
    </w:p>
    <w:p>
      <w:pPr>
        <w:snapToGrid w:val="0"/>
        <w:ind w:firstLine="420"/>
        <w:jc w:val="left"/>
        <w:rPr>
          <w:rFonts w:ascii="宋体" w:hAnsi="宋体" w:cs="宋体"/>
          <w:bCs/>
          <w:color w:val="auto"/>
          <w:szCs w:val="21"/>
          <w:highlight w:val="none"/>
          <w:lang w:val="en"/>
        </w:rPr>
      </w:pPr>
      <w:r>
        <w:rPr>
          <w:rFonts w:hint="eastAsia" w:ascii="宋体" w:hAnsi="宋体" w:cs="宋体"/>
          <w:bCs/>
          <w:color w:val="auto"/>
          <w:szCs w:val="21"/>
          <w:highlight w:val="none"/>
          <w:lang w:val="en"/>
        </w:rPr>
        <w:t>开标地点（网址）：政府采购云平台（www.zcygov.cn）</w:t>
      </w:r>
    </w:p>
    <w:p>
      <w:pPr>
        <w:snapToGrid w:val="0"/>
        <w:ind w:firstLine="422"/>
        <w:jc w:val="left"/>
        <w:rPr>
          <w:rFonts w:ascii="宋体" w:hAnsi="宋体" w:cs="宋体"/>
          <w:b/>
          <w:bCs/>
          <w:color w:val="auto"/>
          <w:szCs w:val="21"/>
          <w:highlight w:val="none"/>
        </w:rPr>
      </w:pPr>
      <w:r>
        <w:rPr>
          <w:rFonts w:hint="eastAsia" w:ascii="宋体" w:hAnsi="宋体" w:cs="宋体"/>
          <w:b/>
          <w:bCs/>
          <w:color w:val="auto"/>
          <w:szCs w:val="21"/>
          <w:highlight w:val="none"/>
        </w:rPr>
        <w:t>五、公告期限</w:t>
      </w:r>
    </w:p>
    <w:p>
      <w:pPr>
        <w:widowControl/>
        <w:ind w:firstLine="420"/>
        <w:rPr>
          <w:rFonts w:ascii="宋体" w:hAnsi="宋体" w:cs="宋体"/>
          <w:color w:val="auto"/>
          <w:kern w:val="0"/>
          <w:szCs w:val="21"/>
          <w:highlight w:val="none"/>
          <w:lang w:val="en"/>
        </w:rPr>
      </w:pPr>
      <w:r>
        <w:rPr>
          <w:rFonts w:hint="eastAsia" w:ascii="宋体" w:hAnsi="宋体" w:cs="宋体"/>
          <w:color w:val="auto"/>
          <w:szCs w:val="21"/>
          <w:highlight w:val="none"/>
        </w:rPr>
        <w:t>自本公告发布之日起5个工作日。</w:t>
      </w:r>
    </w:p>
    <w:p>
      <w:pPr>
        <w:ind w:firstLine="426" w:firstLineChars="202"/>
        <w:rPr>
          <w:rFonts w:ascii="宋体" w:hAnsi="宋体" w:cs="宋体"/>
          <w:b/>
          <w:bCs/>
          <w:color w:val="auto"/>
          <w:szCs w:val="21"/>
          <w:highlight w:val="none"/>
        </w:rPr>
      </w:pPr>
      <w:r>
        <w:rPr>
          <w:rFonts w:hint="eastAsia" w:ascii="宋体" w:hAnsi="宋体" w:cs="宋体"/>
          <w:b/>
          <w:bCs/>
          <w:color w:val="auto"/>
          <w:szCs w:val="21"/>
          <w:highlight w:val="none"/>
        </w:rPr>
        <w:t>六、其他补充事宜</w:t>
      </w:r>
    </w:p>
    <w:p>
      <w:pPr>
        <w:ind w:firstLine="424" w:firstLineChars="202"/>
        <w:rPr>
          <w:rFonts w:ascii="宋体" w:hAnsi="宋体" w:cs="宋体"/>
          <w:bCs/>
          <w:color w:val="auto"/>
          <w:szCs w:val="21"/>
          <w:highlight w:val="none"/>
        </w:rPr>
      </w:pPr>
      <w:r>
        <w:rPr>
          <w:rFonts w:hint="eastAsia" w:ascii="宋体" w:hAnsi="宋体" w:cs="宋体"/>
          <w:bCs/>
          <w:color w:val="auto"/>
          <w:szCs w:val="21"/>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ind w:firstLine="424" w:firstLineChars="202"/>
        <w:rPr>
          <w:rFonts w:ascii="宋体" w:hAnsi="宋体" w:cs="宋体"/>
          <w:bCs/>
          <w:color w:val="auto"/>
          <w:szCs w:val="21"/>
          <w:highlight w:val="none"/>
        </w:rPr>
      </w:pPr>
      <w:r>
        <w:rPr>
          <w:rFonts w:hint="eastAsia" w:ascii="宋体" w:hAnsi="宋体" w:cs="宋体"/>
          <w:bCs/>
          <w:color w:val="auto"/>
          <w:szCs w:val="21"/>
          <w:highlight w:val="none"/>
        </w:rPr>
        <w:t>2.其他事项：</w:t>
      </w:r>
    </w:p>
    <w:p>
      <w:pPr>
        <w:ind w:firstLine="424" w:firstLineChars="202"/>
        <w:rPr>
          <w:rFonts w:ascii="宋体" w:hAnsi="宋体" w:cs="宋体"/>
          <w:bCs/>
          <w:color w:val="auto"/>
          <w:szCs w:val="21"/>
          <w:highlight w:val="none"/>
        </w:rPr>
      </w:pPr>
      <w:r>
        <w:rPr>
          <w:rFonts w:hint="eastAsia" w:ascii="宋体" w:hAnsi="宋体" w:cs="宋体"/>
          <w:bCs/>
          <w:color w:val="auto"/>
          <w:szCs w:val="21"/>
          <w:highlight w:val="none"/>
        </w:rPr>
        <w:t>（一）落实的政策：</w:t>
      </w:r>
      <w:r>
        <w:rPr>
          <w:rFonts w:hint="eastAsia" w:ascii="宋体" w:hAnsi="宋体" w:cs="宋体"/>
          <w:color w:val="auto"/>
          <w:highlight w:val="none"/>
        </w:rPr>
        <w:t>（1）对小微企业的产品给予价格优惠（监狱企业、残疾人福利性单位视同小微企业；残疾人福利性单位属于小型、微型企业的，不重复享受政策）；（2）优先采购节能环保产品（注：所采购的货物在政府采购节能产品、环境标志产品实施品目清单范围内，且具有国家确定的认证机构出具的、处于有效期之内的节能产品、环境标志产品认证证书）</w:t>
      </w:r>
      <w:r>
        <w:rPr>
          <w:rFonts w:hint="eastAsia" w:ascii="宋体" w:hAnsi="宋体" w:cs="宋体"/>
          <w:bCs/>
          <w:color w:val="auto"/>
          <w:szCs w:val="20"/>
          <w:highlight w:val="none"/>
        </w:rPr>
        <w:t>。</w:t>
      </w:r>
    </w:p>
    <w:p>
      <w:pPr>
        <w:ind w:firstLine="424" w:firstLineChars="202"/>
        <w:rPr>
          <w:rFonts w:ascii="宋体" w:hAnsi="宋体" w:cs="宋体"/>
          <w:bCs/>
          <w:color w:val="auto"/>
          <w:szCs w:val="21"/>
          <w:highlight w:val="none"/>
        </w:rPr>
      </w:pPr>
      <w:r>
        <w:rPr>
          <w:rFonts w:hint="eastAsia" w:ascii="宋体" w:hAnsi="宋体" w:cs="宋体"/>
          <w:bCs/>
          <w:color w:val="auto"/>
          <w:szCs w:val="21"/>
          <w:highlight w:val="none"/>
        </w:rPr>
        <w:t>（二）供应商需按照《浙江省政府采购供应商注册及诚信管理暂行办法》的规定在“浙江政府采购网”政采云平台注册登记的，成为浙江省政府采购注册供应商。如未注册的供应商，请注意注册所需时间。</w:t>
      </w:r>
    </w:p>
    <w:p>
      <w:pPr>
        <w:ind w:firstLine="420"/>
        <w:rPr>
          <w:rFonts w:ascii="宋体" w:hAnsi="宋体" w:cs="宋体"/>
          <w:b/>
          <w:bCs/>
          <w:color w:val="auto"/>
          <w:szCs w:val="21"/>
          <w:highlight w:val="none"/>
        </w:rPr>
      </w:pPr>
      <w:r>
        <w:rPr>
          <w:rFonts w:hint="eastAsia" w:ascii="宋体" w:hAnsi="宋体" w:cs="宋体"/>
          <w:bCs/>
          <w:color w:val="auto"/>
          <w:szCs w:val="21"/>
          <w:highlight w:val="none"/>
        </w:rPr>
        <w:t>（三）</w:t>
      </w:r>
      <w:r>
        <w:rPr>
          <w:rFonts w:hint="eastAsia" w:ascii="宋体" w:hAnsi="宋体" w:cs="宋体"/>
          <w:b/>
          <w:bCs/>
          <w:color w:val="auto"/>
          <w:szCs w:val="21"/>
          <w:highlight w:val="none"/>
        </w:rPr>
        <w:t>特别提醒事项：</w:t>
      </w:r>
    </w:p>
    <w:p>
      <w:pPr>
        <w:ind w:firstLine="420"/>
        <w:rPr>
          <w:rFonts w:ascii="宋体" w:hAnsi="宋体" w:cs="宋体"/>
          <w:color w:val="auto"/>
          <w:szCs w:val="21"/>
          <w:highlight w:val="none"/>
        </w:rPr>
      </w:pPr>
      <w:r>
        <w:rPr>
          <w:rFonts w:hint="eastAsia" w:ascii="宋体" w:hAnsi="宋体" w:cs="宋体"/>
          <w:color w:val="auto"/>
          <w:szCs w:val="21"/>
          <w:highlight w:val="none"/>
        </w:rPr>
        <w:t>（1）供应商应于提交投标文件截止时间前将电子加密投标文件上传到政府采购云平台</w:t>
      </w:r>
      <w:r>
        <w:rPr>
          <w:color w:val="auto"/>
          <w:highlight w:val="none"/>
        </w:rPr>
        <w:fldChar w:fldCharType="begin"/>
      </w:r>
      <w:r>
        <w:rPr>
          <w:color w:val="auto"/>
          <w:highlight w:val="none"/>
        </w:rPr>
        <w:instrText xml:space="preserve"> HYPERLINK "http://www.zcygov.cn/" </w:instrText>
      </w:r>
      <w:r>
        <w:rPr>
          <w:color w:val="auto"/>
          <w:highlight w:val="none"/>
        </w:rPr>
        <w:fldChar w:fldCharType="separate"/>
      </w:r>
      <w:r>
        <w:rPr>
          <w:rStyle w:val="43"/>
          <w:rFonts w:hint="eastAsia" w:ascii="宋体" w:hAnsi="宋体" w:cs="宋体"/>
          <w:color w:val="auto"/>
          <w:szCs w:val="21"/>
          <w:highlight w:val="none"/>
        </w:rPr>
        <w:t>www.zcygov.cn</w:t>
      </w:r>
      <w:r>
        <w:rPr>
          <w:rStyle w:val="43"/>
          <w:rFonts w:hint="eastAsia" w:ascii="宋体" w:hAnsi="宋体" w:cs="宋体"/>
          <w:color w:val="auto"/>
          <w:szCs w:val="21"/>
          <w:highlight w:val="none"/>
        </w:rPr>
        <w:fldChar w:fldCharType="end"/>
      </w:r>
      <w:r>
        <w:rPr>
          <w:rFonts w:hint="eastAsia" w:ascii="宋体" w:hAnsi="宋体" w:cs="宋体"/>
          <w:color w:val="auto"/>
          <w:szCs w:val="21"/>
          <w:highlight w:val="none"/>
        </w:rPr>
        <w:t>，未上传电子加密投标文件，视为供应商放弃投标。</w:t>
      </w:r>
    </w:p>
    <w:p>
      <w:pPr>
        <w:ind w:firstLine="420"/>
        <w:rPr>
          <w:rFonts w:ascii="宋体" w:hAnsi="宋体" w:cs="宋体"/>
          <w:color w:val="auto"/>
          <w:szCs w:val="21"/>
          <w:highlight w:val="none"/>
        </w:rPr>
      </w:pPr>
      <w:r>
        <w:rPr>
          <w:rFonts w:hint="eastAsia" w:ascii="宋体" w:hAnsi="宋体" w:cs="宋体"/>
          <w:color w:val="auto"/>
          <w:szCs w:val="21"/>
          <w:highlight w:val="none"/>
        </w:rPr>
        <w:t>（2）供应商在“政府采购云平台”完成“电子加密投标文件”的上传递交之外，还可以（邮寄形式或派人现场提交，以招标代理机构联系人签收时间为准）在投标截止时间前提交以介质（U盘）存储的数据电文形式的“备份投标文件”，备份电子投标文件递交可采用现场递交或邮寄的方式。</w:t>
      </w:r>
    </w:p>
    <w:p>
      <w:pPr>
        <w:ind w:firstLine="420"/>
        <w:rPr>
          <w:rFonts w:ascii="宋体" w:hAnsi="宋体" w:cs="宋体"/>
          <w:color w:val="auto"/>
          <w:szCs w:val="21"/>
          <w:highlight w:val="none"/>
        </w:rPr>
      </w:pPr>
      <w:r>
        <w:rPr>
          <w:rFonts w:hint="eastAsia" w:ascii="宋体" w:hAnsi="宋体" w:cs="宋体"/>
          <w:color w:val="auto"/>
          <w:szCs w:val="21"/>
          <w:highlight w:val="none"/>
        </w:rPr>
        <w:t>方式一：现场递交方式，供应商可安排一名“甬行码”为绿色的授权代表在投标截止时间前将电子备份投标文件送至</w:t>
      </w:r>
      <w:r>
        <w:rPr>
          <w:rFonts w:hint="eastAsia" w:ascii="宋体" w:hAnsi="宋体" w:cs="宋体"/>
          <w:bCs/>
          <w:color w:val="auto"/>
          <w:szCs w:val="21"/>
          <w:highlight w:val="none"/>
          <w:lang w:val="en"/>
        </w:rPr>
        <w:t>镇海区骆驼街道金华南路55-57号三楼（镇海区公共资源交易中心）开标室</w:t>
      </w:r>
      <w:r>
        <w:rPr>
          <w:rFonts w:hint="eastAsia" w:ascii="宋体" w:hAnsi="宋体" w:cs="宋体"/>
          <w:color w:val="auto"/>
          <w:szCs w:val="21"/>
          <w:highlight w:val="none"/>
        </w:rPr>
        <w:t>，投标文件递交时须同时递交供应商的法定代表人（或其授权代表）联系方式，并保证开标期间联系方式畅通。</w:t>
      </w:r>
    </w:p>
    <w:p>
      <w:pPr>
        <w:ind w:firstLine="420"/>
        <w:rPr>
          <w:rFonts w:ascii="宋体" w:hAnsi="宋体" w:cs="宋体"/>
          <w:color w:val="auto"/>
          <w:szCs w:val="21"/>
          <w:highlight w:val="none"/>
        </w:rPr>
      </w:pPr>
      <w:r>
        <w:rPr>
          <w:rFonts w:hint="eastAsia" w:ascii="宋体" w:hAnsi="宋体" w:cs="宋体"/>
          <w:color w:val="auto"/>
          <w:szCs w:val="21"/>
          <w:highlight w:val="none"/>
        </w:rPr>
        <w:t>方式二：邮寄送达。供应商可以通过邮寄送达电子备份投标文件及</w:t>
      </w:r>
      <w:r>
        <w:rPr>
          <w:rFonts w:hint="eastAsia" w:ascii="宋体" w:hAnsi="宋体" w:cs="宋体"/>
          <w:bCs/>
          <w:color w:val="auto"/>
          <w:szCs w:val="21"/>
          <w:highlight w:val="none"/>
          <w:lang w:val="en"/>
        </w:rPr>
        <w:t>纸质备份投标文件</w:t>
      </w:r>
      <w:r>
        <w:rPr>
          <w:rFonts w:hint="eastAsia" w:ascii="宋体" w:hAnsi="宋体" w:cs="宋体"/>
          <w:color w:val="auto"/>
          <w:szCs w:val="21"/>
          <w:highlight w:val="none"/>
        </w:rPr>
        <w:t>，送达地址：宁波市鄞州区天童南路666号中基大厦19楼，联系人：杨未，联系方式0574-87425286、15825550503。供应商邮寄后可将邮件单号发送至代理机构电子邮箱（电子邮箱：59062394@qq.com），以便采购代理机构查询物流记录。各供应商应当确保投标文件的密封包装在邮寄过程保持完好，并在邮寄包裹上注明项目名称和供应商名称，因邮寄造成投标文件密封破损而不符合招标文件对投标文件的密封要求、或邮寄过程中导致投标文件未按时送达的，代理机构将拒绝其投标文件。各供应商自行考虑邮寄在途时间，投标文件送达时间以采购代理机构工作人员实际签收时间为准。电子备份投标文件及</w:t>
      </w:r>
      <w:r>
        <w:rPr>
          <w:rFonts w:hint="eastAsia" w:ascii="宋体" w:hAnsi="宋体" w:cs="宋体"/>
          <w:bCs/>
          <w:color w:val="auto"/>
          <w:szCs w:val="21"/>
          <w:highlight w:val="none"/>
          <w:lang w:val="en"/>
        </w:rPr>
        <w:t>纸质备份投标文件</w:t>
      </w:r>
      <w:r>
        <w:rPr>
          <w:rFonts w:hint="eastAsia" w:ascii="宋体" w:hAnsi="宋体" w:cs="宋体"/>
          <w:color w:val="auto"/>
          <w:szCs w:val="21"/>
          <w:highlight w:val="none"/>
        </w:rPr>
        <w:t>邮寄送达截止时间2021年08月16日16:00。</w:t>
      </w:r>
    </w:p>
    <w:p>
      <w:pPr>
        <w:ind w:firstLine="420"/>
        <w:rPr>
          <w:rFonts w:ascii="宋体" w:hAnsi="宋体" w:cs="宋体"/>
          <w:color w:val="auto"/>
          <w:szCs w:val="21"/>
          <w:highlight w:val="none"/>
        </w:rPr>
      </w:pPr>
      <w:r>
        <w:rPr>
          <w:rFonts w:hint="eastAsia" w:ascii="宋体" w:hAnsi="宋体" w:cs="宋体"/>
          <w:color w:val="auto"/>
          <w:szCs w:val="21"/>
          <w:highlight w:val="none"/>
        </w:rPr>
        <w:t>疫情防控期间，不要求投标人员必须到场参加现场开标，若投标人员需参加现场开标，应全程佩戴口罩等防护用具，自觉接受体温检测、接受疫情询问，并如实报告相关情况。请各投标人员遵守镇海区公共资源交易中心各项防疫措施规定。由于疫情防控的影响，请提早安排送标时间。</w:t>
      </w:r>
    </w:p>
    <w:p>
      <w:pPr>
        <w:numPr>
          <w:ilvl w:val="0"/>
          <w:numId w:val="7"/>
        </w:numPr>
        <w:ind w:firstLine="420"/>
        <w:rPr>
          <w:rFonts w:ascii="宋体" w:hAnsi="宋体" w:cs="宋体"/>
          <w:color w:val="auto"/>
          <w:szCs w:val="21"/>
          <w:highlight w:val="none"/>
        </w:rPr>
      </w:pPr>
      <w:r>
        <w:rPr>
          <w:rFonts w:hint="eastAsia" w:ascii="宋体" w:hAnsi="宋体" w:cs="宋体"/>
          <w:color w:val="auto"/>
          <w:szCs w:val="21"/>
          <w:highlight w:val="none"/>
        </w:rPr>
        <w:t>开标时间后30分钟内供应商可以登录政采云平台，用“项目采购-开标评标”功能进行解密投标文件。若供应商在规定时间内无法解密或解密失败，可以以备份电子投标文件作为依据，若备份电子投标文件与政采云平台上传的投标文件被识别为不一致的则投标无效；供应商按时在线解密投标文件的，以在线解密的投标文件作为评审依据。若供应商在规定时间内无法解密或解密失败且未提供备份电子投标文件的，视为投标人放弃投标。</w:t>
      </w:r>
    </w:p>
    <w:p>
      <w:pPr>
        <w:numPr>
          <w:ilvl w:val="0"/>
          <w:numId w:val="7"/>
        </w:numPr>
        <w:ind w:firstLine="420"/>
        <w:rPr>
          <w:rFonts w:ascii="宋体" w:hAnsi="宋体" w:cs="宋体"/>
          <w:color w:val="auto"/>
          <w:szCs w:val="21"/>
          <w:highlight w:val="none"/>
        </w:rPr>
      </w:pPr>
      <w:r>
        <w:rPr>
          <w:rFonts w:hint="eastAsia" w:ascii="宋体" w:hAnsi="宋体" w:cs="宋体"/>
          <w:color w:val="auto"/>
          <w:szCs w:val="21"/>
          <w:highlight w:val="none"/>
        </w:rPr>
        <w:t>投标与开标注意事项：</w:t>
      </w:r>
    </w:p>
    <w:p>
      <w:pPr>
        <w:ind w:firstLine="420"/>
        <w:rPr>
          <w:rFonts w:ascii="宋体" w:hAnsi="宋体" w:cs="宋体"/>
          <w:color w:val="auto"/>
          <w:szCs w:val="21"/>
          <w:highlight w:val="none"/>
        </w:rPr>
      </w:pPr>
      <w:r>
        <w:rPr>
          <w:rFonts w:hint="eastAsia" w:ascii="宋体" w:hAnsi="宋体" w:cs="宋体"/>
          <w:color w:val="auto"/>
          <w:szCs w:val="21"/>
          <w:highlight w:val="none"/>
        </w:rPr>
        <w:t>①投标形式：本项目实行网上投标，采用电子投标文件。若供应商参与投标，自行承担投标一切费用。</w:t>
      </w:r>
    </w:p>
    <w:p>
      <w:pPr>
        <w:ind w:firstLine="420"/>
        <w:rPr>
          <w:rFonts w:ascii="宋体" w:hAnsi="宋体" w:cs="宋体"/>
          <w:color w:val="auto"/>
          <w:szCs w:val="21"/>
          <w:highlight w:val="none"/>
        </w:rPr>
      </w:pPr>
      <w:r>
        <w:rPr>
          <w:rFonts w:hint="eastAsia" w:ascii="宋体" w:hAnsi="宋体" w:cs="宋体"/>
          <w:color w:val="auto"/>
          <w:szCs w:val="21"/>
          <w:highlight w:val="none"/>
        </w:rPr>
        <w:t>②标前准备：各供应商应在开标前确保成为浙江省政府采购网正式注册入库供应商，并完成CA数字证书办理（供应商CA申领操作指南：https://help.zcygov.cn/web/site_2/2018/11-29/2452.html，完成CA数字证书办理预计一周左右，请供应商自行把握时间）。因未注册入库、未办理CA数字证书等原因造成无法获取采购文件、无法投标或投标失败等后果由供应商自行承担。</w:t>
      </w:r>
    </w:p>
    <w:p>
      <w:pPr>
        <w:ind w:firstLine="420"/>
        <w:rPr>
          <w:rFonts w:ascii="宋体" w:hAnsi="宋体" w:cs="宋体"/>
          <w:color w:val="auto"/>
          <w:szCs w:val="21"/>
          <w:highlight w:val="none"/>
        </w:rPr>
      </w:pPr>
      <w:r>
        <w:rPr>
          <w:rFonts w:hint="eastAsia" w:ascii="宋体" w:hAnsi="宋体" w:cs="宋体"/>
          <w:color w:val="auto"/>
          <w:szCs w:val="21"/>
          <w:highlight w:val="none"/>
        </w:rPr>
        <w:t>③应按照本项目招标文件和政采云平台的要求编制、加密并递交投标文件。供应商在使用系统进行投标的过程中遇到涉及平台使用的任何问题，可致电政采云平台技术支持热线400-881-7190或政采云服务专员电话0574-63917219。</w:t>
      </w:r>
    </w:p>
    <w:p>
      <w:pPr>
        <w:wordWrap w:val="0"/>
        <w:ind w:firstLine="420"/>
        <w:jc w:val="left"/>
        <w:rPr>
          <w:rFonts w:ascii="宋体" w:hAnsi="宋体" w:cs="宋体"/>
          <w:color w:val="auto"/>
          <w:szCs w:val="21"/>
          <w:highlight w:val="none"/>
        </w:rPr>
      </w:pPr>
      <w:r>
        <w:rPr>
          <w:rFonts w:hint="eastAsia" w:ascii="宋体" w:hAnsi="宋体" w:cs="宋体"/>
          <w:color w:val="auto"/>
          <w:szCs w:val="21"/>
          <w:highlight w:val="none"/>
        </w:rPr>
        <w:t>投标人通过政采云平台电子投标工具制作投标文件，电子投标工具请供应商自行前往浙江省政府采购网下载并安装，下载网址：http://zfcg.czt.zj.gov.cn/bidClientTemplate/2019-05-27/12946.html，供应商投标文件制作及电子交易操作指南：https://help.zcygov.cn/web/site_2/2019/08-20/3406.html（手机观看）、https://service.zcygov.cn/#/knowledges/CW1EtGwBFdiHxlNd6I3m/7GyLXW0BXgMSmLUuYuPM（电脑登录账号后观看）、https://help.zcygov.cn/web/site_2/2018/12-28/2575.html （PDF操作指南）。</w:t>
      </w:r>
    </w:p>
    <w:p>
      <w:pPr>
        <w:ind w:firstLine="420"/>
        <w:rPr>
          <w:rFonts w:ascii="宋体" w:hAnsi="宋体" w:cs="宋体"/>
          <w:color w:val="auto"/>
          <w:szCs w:val="21"/>
          <w:highlight w:val="none"/>
        </w:rPr>
      </w:pPr>
      <w:r>
        <w:rPr>
          <w:rFonts w:hint="eastAsia" w:ascii="宋体" w:hAnsi="宋体" w:cs="宋体"/>
          <w:color w:val="auto"/>
          <w:szCs w:val="21"/>
          <w:highlight w:val="none"/>
        </w:rPr>
        <w:t>④本项目供应商仍应准备纸质投标文件。当电子评标无法正常进行时，即转为线下评标。若在此种情况下，由于供应商未提交纸质投标文件而导致该供应商作投标文件撤回处理等后果，由供应商自行承担。</w:t>
      </w:r>
    </w:p>
    <w:p>
      <w:pPr>
        <w:widowControl/>
        <w:ind w:firstLine="0" w:firstLineChars="0"/>
        <w:rPr>
          <w:rFonts w:ascii="宋体" w:hAnsi="宋体" w:cs="宋体"/>
          <w:color w:val="auto"/>
          <w:szCs w:val="21"/>
          <w:highlight w:val="none"/>
        </w:rPr>
      </w:pPr>
      <w:r>
        <w:rPr>
          <w:rFonts w:hint="eastAsia" w:ascii="宋体" w:hAnsi="宋体" w:cs="宋体"/>
          <w:color w:val="auto"/>
          <w:highlight w:val="none"/>
        </w:rPr>
        <w:t xml:space="preserve">   </w:t>
      </w:r>
      <w:r>
        <w:rPr>
          <w:rFonts w:hint="eastAsia" w:ascii="宋体" w:hAnsi="宋体" w:cs="宋体"/>
          <w:color w:val="auto"/>
          <w:kern w:val="0"/>
          <w:szCs w:val="21"/>
          <w:highlight w:val="none"/>
        </w:rPr>
        <w:t>3、</w:t>
      </w:r>
      <w:r>
        <w:rPr>
          <w:rFonts w:hint="eastAsia" w:ascii="宋体" w:hAnsi="宋体" w:cs="宋体"/>
          <w:color w:val="auto"/>
          <w:szCs w:val="21"/>
          <w:highlight w:val="none"/>
        </w:rPr>
        <w:t>项目交易的开评标环节全程录音录像，供应商确有需要到现场的，相关单位到场人员应执行以下规定要求：</w:t>
      </w:r>
    </w:p>
    <w:p>
      <w:pPr>
        <w:widowControl/>
        <w:ind w:firstLine="420"/>
        <w:rPr>
          <w:rFonts w:ascii="宋体" w:hAnsi="宋体" w:cs="宋体"/>
          <w:color w:val="auto"/>
          <w:szCs w:val="21"/>
          <w:highlight w:val="none"/>
        </w:rPr>
      </w:pPr>
      <w:r>
        <w:rPr>
          <w:rFonts w:hint="eastAsia" w:ascii="宋体" w:hAnsi="宋体" w:cs="宋体"/>
          <w:color w:val="auto"/>
          <w:szCs w:val="21"/>
          <w:highlight w:val="none"/>
        </w:rPr>
        <w:t>（1）中心大厅实行封闭式管理，供应商从2号门电梯到三楼交易大厅，实行人员分流。</w:t>
      </w:r>
    </w:p>
    <w:p>
      <w:pPr>
        <w:widowControl/>
        <w:ind w:firstLine="420"/>
        <w:rPr>
          <w:rFonts w:ascii="宋体" w:hAnsi="宋体" w:cs="宋体"/>
          <w:color w:val="auto"/>
          <w:szCs w:val="21"/>
          <w:highlight w:val="none"/>
        </w:rPr>
      </w:pPr>
      <w:r>
        <w:rPr>
          <w:rFonts w:hint="eastAsia" w:ascii="宋体" w:hAnsi="宋体" w:cs="宋体"/>
          <w:color w:val="auto"/>
          <w:szCs w:val="21"/>
          <w:highlight w:val="none"/>
        </w:rPr>
        <w:t>（2）供应商不得超过1人参加现场交易活动。</w:t>
      </w:r>
    </w:p>
    <w:p>
      <w:pPr>
        <w:widowControl/>
        <w:ind w:firstLine="420"/>
        <w:rPr>
          <w:rFonts w:ascii="宋体" w:hAnsi="宋体" w:cs="宋体"/>
          <w:color w:val="auto"/>
          <w:szCs w:val="21"/>
          <w:highlight w:val="none"/>
        </w:rPr>
      </w:pPr>
      <w:r>
        <w:rPr>
          <w:rFonts w:hint="eastAsia" w:ascii="宋体" w:hAnsi="宋体" w:cs="宋体"/>
          <w:color w:val="auto"/>
          <w:szCs w:val="21"/>
          <w:highlight w:val="none"/>
        </w:rPr>
        <w:t>（3）应当全程佩戴口罩，进场人员均须主动配合出示绿色“甬行码”、核验身份证、测量体温、接受防疫询问登记、如实报告情况。通过身份核验和体温检测正常的，方可并按指定线路进入开标场所。</w:t>
      </w:r>
    </w:p>
    <w:p>
      <w:pPr>
        <w:widowControl/>
        <w:ind w:firstLine="420"/>
        <w:rPr>
          <w:rFonts w:ascii="宋体" w:hAnsi="宋体" w:cs="宋体"/>
          <w:color w:val="auto"/>
          <w:szCs w:val="21"/>
          <w:highlight w:val="none"/>
        </w:rPr>
      </w:pPr>
      <w:r>
        <w:rPr>
          <w:rFonts w:hint="eastAsia" w:ascii="宋体" w:hAnsi="宋体" w:cs="宋体"/>
          <w:color w:val="auto"/>
          <w:szCs w:val="21"/>
          <w:highlight w:val="none"/>
        </w:rPr>
        <w:t>（4）自觉遵守和服从交易现场管理。进入大楼人员应适当保持人员间隔距离，不扎堆聚集，不喧哗闲聊，做好健康防护。</w:t>
      </w:r>
    </w:p>
    <w:p>
      <w:pPr>
        <w:snapToGrid w:val="0"/>
        <w:ind w:firstLine="422"/>
        <w:rPr>
          <w:rFonts w:ascii="宋体" w:hAnsi="宋体" w:cs="宋体"/>
          <w:b/>
          <w:color w:val="auto"/>
          <w:szCs w:val="21"/>
          <w:highlight w:val="none"/>
        </w:rPr>
      </w:pPr>
      <w:r>
        <w:rPr>
          <w:rFonts w:hint="eastAsia" w:ascii="宋体" w:hAnsi="宋体" w:cs="宋体"/>
          <w:b/>
          <w:color w:val="auto"/>
          <w:szCs w:val="21"/>
          <w:highlight w:val="none"/>
        </w:rPr>
        <w:t>七、对本次采购提出询问、质疑、投诉，请按以下方式联系</w:t>
      </w:r>
    </w:p>
    <w:p>
      <w:pPr>
        <w:snapToGrid w:val="0"/>
        <w:ind w:firstLine="420"/>
        <w:rPr>
          <w:rFonts w:ascii="宋体" w:hAnsi="宋体" w:cs="宋体"/>
          <w:color w:val="auto"/>
          <w:szCs w:val="21"/>
          <w:highlight w:val="none"/>
        </w:rPr>
      </w:pPr>
      <w:r>
        <w:rPr>
          <w:rFonts w:hint="eastAsia" w:ascii="宋体" w:hAnsi="宋体" w:cs="宋体"/>
          <w:color w:val="auto"/>
          <w:szCs w:val="21"/>
          <w:highlight w:val="none"/>
        </w:rPr>
        <w:t>1.采购人信息</w:t>
      </w:r>
    </w:p>
    <w:p>
      <w:pPr>
        <w:snapToGrid w:val="0"/>
        <w:ind w:firstLine="630" w:firstLineChars="300"/>
        <w:rPr>
          <w:rFonts w:ascii="宋体" w:hAnsi="宋体" w:cs="宋体"/>
          <w:color w:val="auto"/>
          <w:szCs w:val="21"/>
          <w:highlight w:val="none"/>
        </w:rPr>
      </w:pPr>
      <w:r>
        <w:rPr>
          <w:rFonts w:hint="eastAsia" w:ascii="宋体" w:hAnsi="宋体" w:cs="宋体"/>
          <w:color w:val="auto"/>
          <w:szCs w:val="21"/>
          <w:highlight w:val="none"/>
        </w:rPr>
        <w:t>名称：宁波石化经济技术开发区智慧园区服务中心（社会事务服务中心）</w:t>
      </w:r>
    </w:p>
    <w:p>
      <w:pPr>
        <w:snapToGrid w:val="0"/>
        <w:ind w:firstLine="630" w:firstLineChars="300"/>
        <w:rPr>
          <w:rFonts w:ascii="宋体" w:hAnsi="宋体" w:cs="宋体"/>
          <w:color w:val="auto"/>
          <w:szCs w:val="21"/>
          <w:highlight w:val="none"/>
        </w:rPr>
      </w:pPr>
      <w:r>
        <w:rPr>
          <w:rFonts w:hint="eastAsia" w:ascii="宋体" w:hAnsi="宋体" w:cs="宋体"/>
          <w:color w:val="auto"/>
          <w:szCs w:val="21"/>
          <w:highlight w:val="none"/>
        </w:rPr>
        <w:t>地址：宁波市镇海区蟹浦镇北海路266号</w:t>
      </w:r>
    </w:p>
    <w:p>
      <w:pPr>
        <w:snapToGrid w:val="0"/>
        <w:ind w:firstLine="630" w:firstLineChars="300"/>
        <w:rPr>
          <w:rFonts w:ascii="宋体" w:hAnsi="宋体" w:cs="宋体"/>
          <w:color w:val="auto"/>
          <w:szCs w:val="21"/>
          <w:highlight w:val="none"/>
        </w:rPr>
      </w:pPr>
      <w:r>
        <w:rPr>
          <w:rFonts w:hint="eastAsia" w:ascii="宋体" w:hAnsi="宋体" w:cs="宋体"/>
          <w:color w:val="auto"/>
          <w:szCs w:val="21"/>
          <w:highlight w:val="none"/>
        </w:rPr>
        <w:t>传真：/</w:t>
      </w:r>
    </w:p>
    <w:p>
      <w:pPr>
        <w:snapToGrid w:val="0"/>
        <w:ind w:firstLine="630" w:firstLineChars="300"/>
        <w:rPr>
          <w:rFonts w:ascii="宋体" w:hAnsi="宋体" w:cs="宋体"/>
          <w:color w:val="auto"/>
          <w:szCs w:val="21"/>
          <w:highlight w:val="none"/>
        </w:rPr>
      </w:pPr>
      <w:r>
        <w:rPr>
          <w:rFonts w:hint="eastAsia" w:ascii="宋体" w:hAnsi="宋体" w:cs="宋体"/>
          <w:color w:val="auto"/>
          <w:szCs w:val="21"/>
          <w:highlight w:val="none"/>
        </w:rPr>
        <w:t>项目联系人（询问）： 莫先生</w:t>
      </w:r>
    </w:p>
    <w:p>
      <w:pPr>
        <w:snapToGrid w:val="0"/>
        <w:ind w:firstLine="630" w:firstLineChars="300"/>
        <w:rPr>
          <w:rFonts w:ascii="宋体" w:hAnsi="宋体" w:cs="宋体"/>
          <w:color w:val="auto"/>
          <w:szCs w:val="21"/>
          <w:highlight w:val="none"/>
        </w:rPr>
      </w:pPr>
      <w:r>
        <w:rPr>
          <w:rFonts w:hint="eastAsia" w:ascii="宋体" w:hAnsi="宋体" w:cs="宋体"/>
          <w:color w:val="auto"/>
          <w:szCs w:val="21"/>
          <w:highlight w:val="none"/>
        </w:rPr>
        <w:t>项目联系方式（询问）：0574-89293139</w:t>
      </w:r>
    </w:p>
    <w:p>
      <w:pPr>
        <w:snapToGrid w:val="0"/>
        <w:ind w:firstLine="630" w:firstLineChars="300"/>
        <w:rPr>
          <w:rFonts w:ascii="宋体" w:hAnsi="宋体" w:cs="宋体"/>
          <w:color w:val="auto"/>
          <w:szCs w:val="21"/>
          <w:highlight w:val="none"/>
        </w:rPr>
      </w:pPr>
      <w:r>
        <w:rPr>
          <w:rFonts w:hint="eastAsia" w:ascii="宋体" w:hAnsi="宋体" w:cs="宋体"/>
          <w:color w:val="auto"/>
          <w:szCs w:val="21"/>
          <w:highlight w:val="none"/>
        </w:rPr>
        <w:t>质疑联系人：叶浩立</w:t>
      </w:r>
    </w:p>
    <w:p>
      <w:pPr>
        <w:snapToGrid w:val="0"/>
        <w:ind w:firstLine="630" w:firstLineChars="300"/>
        <w:rPr>
          <w:rFonts w:ascii="宋体" w:hAnsi="宋体" w:cs="宋体"/>
          <w:color w:val="auto"/>
          <w:szCs w:val="21"/>
          <w:highlight w:val="none"/>
        </w:rPr>
      </w:pPr>
      <w:r>
        <w:rPr>
          <w:rFonts w:hint="eastAsia" w:ascii="宋体" w:hAnsi="宋体" w:cs="宋体"/>
          <w:color w:val="auto"/>
          <w:szCs w:val="21"/>
          <w:highlight w:val="none"/>
        </w:rPr>
        <w:t>质疑联系方式：0547-89293131</w:t>
      </w:r>
    </w:p>
    <w:p>
      <w:pPr>
        <w:snapToGrid w:val="0"/>
        <w:ind w:firstLine="420"/>
        <w:rPr>
          <w:rFonts w:ascii="宋体" w:hAnsi="宋体" w:cs="宋体"/>
          <w:color w:val="auto"/>
          <w:szCs w:val="21"/>
          <w:highlight w:val="none"/>
        </w:rPr>
      </w:pPr>
      <w:r>
        <w:rPr>
          <w:rFonts w:hint="eastAsia" w:ascii="宋体" w:hAnsi="宋体" w:cs="宋体"/>
          <w:color w:val="auto"/>
          <w:szCs w:val="21"/>
          <w:highlight w:val="none"/>
        </w:rPr>
        <w:t>2.采购代理机构信息</w:t>
      </w:r>
    </w:p>
    <w:p>
      <w:pPr>
        <w:snapToGrid w:val="0"/>
        <w:ind w:firstLine="630" w:firstLineChars="300"/>
        <w:rPr>
          <w:rFonts w:ascii="宋体" w:hAnsi="宋体" w:cs="宋体"/>
          <w:color w:val="auto"/>
          <w:szCs w:val="21"/>
          <w:highlight w:val="none"/>
        </w:rPr>
      </w:pPr>
      <w:r>
        <w:rPr>
          <w:rFonts w:hint="eastAsia" w:ascii="宋体" w:hAnsi="宋体" w:cs="宋体"/>
          <w:color w:val="auto"/>
          <w:szCs w:val="21"/>
          <w:highlight w:val="none"/>
        </w:rPr>
        <w:t>名称：宁波中基国际招标有限公司</w:t>
      </w:r>
    </w:p>
    <w:p>
      <w:pPr>
        <w:snapToGrid w:val="0"/>
        <w:ind w:firstLine="630" w:firstLineChars="300"/>
        <w:rPr>
          <w:rFonts w:ascii="宋体" w:hAnsi="宋体" w:cs="宋体"/>
          <w:color w:val="auto"/>
          <w:szCs w:val="21"/>
          <w:highlight w:val="none"/>
        </w:rPr>
      </w:pPr>
      <w:r>
        <w:rPr>
          <w:rFonts w:hint="eastAsia" w:ascii="宋体" w:hAnsi="宋体" w:cs="宋体"/>
          <w:color w:val="auto"/>
          <w:szCs w:val="21"/>
          <w:highlight w:val="none"/>
        </w:rPr>
        <w:t>地址：宁波市鄞州区天童南路666号中基大厦19楼</w:t>
      </w:r>
    </w:p>
    <w:p>
      <w:pPr>
        <w:snapToGrid w:val="0"/>
        <w:ind w:firstLine="630" w:firstLineChars="300"/>
        <w:rPr>
          <w:rFonts w:ascii="宋体" w:hAnsi="宋体" w:cs="宋体"/>
          <w:color w:val="auto"/>
          <w:szCs w:val="21"/>
          <w:highlight w:val="none"/>
        </w:rPr>
      </w:pPr>
      <w:r>
        <w:rPr>
          <w:rFonts w:hint="eastAsia" w:ascii="宋体" w:hAnsi="宋体" w:cs="宋体"/>
          <w:color w:val="auto"/>
          <w:szCs w:val="21"/>
          <w:highlight w:val="none"/>
        </w:rPr>
        <w:t>传真：0574-87425386</w:t>
      </w:r>
    </w:p>
    <w:p>
      <w:pPr>
        <w:snapToGrid w:val="0"/>
        <w:ind w:firstLine="630" w:firstLineChars="300"/>
        <w:rPr>
          <w:rFonts w:ascii="宋体" w:hAnsi="宋体" w:cs="宋体"/>
          <w:color w:val="auto"/>
          <w:szCs w:val="21"/>
          <w:highlight w:val="none"/>
        </w:rPr>
      </w:pPr>
      <w:r>
        <w:rPr>
          <w:rFonts w:hint="eastAsia" w:ascii="宋体" w:hAnsi="宋体" w:cs="宋体"/>
          <w:color w:val="auto"/>
          <w:szCs w:val="21"/>
          <w:highlight w:val="none"/>
        </w:rPr>
        <w:t>项目联系人（询问）：杨未、戴蓓霞、张亮</w:t>
      </w:r>
    </w:p>
    <w:p>
      <w:pPr>
        <w:snapToGrid w:val="0"/>
        <w:ind w:firstLine="630" w:firstLineChars="300"/>
        <w:rPr>
          <w:rFonts w:ascii="宋体" w:hAnsi="宋体" w:cs="宋体"/>
          <w:color w:val="auto"/>
          <w:szCs w:val="21"/>
          <w:highlight w:val="none"/>
        </w:rPr>
      </w:pPr>
      <w:r>
        <w:rPr>
          <w:rFonts w:hint="eastAsia" w:ascii="宋体" w:hAnsi="宋体" w:cs="宋体"/>
          <w:color w:val="auto"/>
          <w:szCs w:val="21"/>
          <w:highlight w:val="none"/>
        </w:rPr>
        <w:t>项目联系方式（询问）：0574-87425382</w:t>
      </w:r>
    </w:p>
    <w:p>
      <w:pPr>
        <w:snapToGrid w:val="0"/>
        <w:ind w:firstLine="420"/>
        <w:rPr>
          <w:rFonts w:ascii="宋体" w:hAnsi="宋体" w:cs="宋体"/>
          <w:color w:val="auto"/>
          <w:szCs w:val="21"/>
          <w:highlight w:val="none"/>
        </w:rPr>
      </w:pPr>
      <w:r>
        <w:rPr>
          <w:rFonts w:hint="eastAsia" w:ascii="宋体" w:hAnsi="宋体" w:cs="宋体"/>
          <w:color w:val="auto"/>
          <w:szCs w:val="21"/>
          <w:highlight w:val="none"/>
        </w:rPr>
        <w:t xml:space="preserve">  质疑联系人：蒋海佳</w:t>
      </w:r>
    </w:p>
    <w:p>
      <w:pPr>
        <w:snapToGrid w:val="0"/>
        <w:ind w:firstLine="420"/>
        <w:rPr>
          <w:rFonts w:ascii="宋体" w:hAnsi="宋体" w:cs="宋体"/>
          <w:color w:val="auto"/>
          <w:szCs w:val="21"/>
          <w:highlight w:val="none"/>
        </w:rPr>
      </w:pPr>
      <w:r>
        <w:rPr>
          <w:rFonts w:hint="eastAsia" w:ascii="宋体" w:hAnsi="宋体" w:cs="宋体"/>
          <w:color w:val="auto"/>
          <w:szCs w:val="21"/>
          <w:highlight w:val="none"/>
        </w:rPr>
        <w:t xml:space="preserve">  质疑联系方式：0574-87423685</w:t>
      </w:r>
    </w:p>
    <w:p>
      <w:pPr>
        <w:snapToGrid w:val="0"/>
        <w:ind w:firstLine="420"/>
        <w:rPr>
          <w:rFonts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highlight w:val="none"/>
        </w:rPr>
        <w:t xml:space="preserve"> </w:t>
      </w:r>
      <w:r>
        <w:rPr>
          <w:rFonts w:hint="eastAsia" w:ascii="宋体" w:hAnsi="宋体" w:cs="宋体"/>
          <w:color w:val="auto"/>
          <w:szCs w:val="21"/>
          <w:highlight w:val="none"/>
        </w:rPr>
        <w:t>同级政府采购监督管理部门</w:t>
      </w:r>
    </w:p>
    <w:p>
      <w:pPr>
        <w:snapToGrid w:val="0"/>
        <w:ind w:firstLine="630" w:firstLineChars="300"/>
        <w:rPr>
          <w:rFonts w:ascii="宋体" w:hAnsi="宋体" w:cs="宋体"/>
          <w:color w:val="auto"/>
          <w:szCs w:val="21"/>
          <w:highlight w:val="none"/>
        </w:rPr>
      </w:pPr>
      <w:r>
        <w:rPr>
          <w:rFonts w:hint="eastAsia" w:ascii="宋体" w:hAnsi="宋体" w:cs="宋体"/>
          <w:color w:val="auto"/>
          <w:szCs w:val="21"/>
          <w:highlight w:val="none"/>
        </w:rPr>
        <w:t>名称：宁波市镇海区采购管理办公室</w:t>
      </w:r>
    </w:p>
    <w:p>
      <w:pPr>
        <w:snapToGrid w:val="0"/>
        <w:ind w:firstLine="630" w:firstLineChars="300"/>
        <w:rPr>
          <w:rFonts w:ascii="宋体" w:hAnsi="宋体" w:cs="宋体"/>
          <w:color w:val="auto"/>
          <w:szCs w:val="21"/>
          <w:highlight w:val="none"/>
        </w:rPr>
      </w:pPr>
      <w:r>
        <w:rPr>
          <w:rFonts w:hint="eastAsia" w:ascii="宋体" w:hAnsi="宋体" w:cs="宋体"/>
          <w:color w:val="auto"/>
          <w:szCs w:val="21"/>
          <w:highlight w:val="none"/>
        </w:rPr>
        <w:t xml:space="preserve">地址：/ </w:t>
      </w:r>
    </w:p>
    <w:p>
      <w:pPr>
        <w:snapToGrid w:val="0"/>
        <w:ind w:firstLine="630" w:firstLineChars="300"/>
        <w:rPr>
          <w:rFonts w:ascii="宋体" w:hAnsi="宋体" w:cs="宋体"/>
          <w:color w:val="auto"/>
          <w:szCs w:val="21"/>
          <w:highlight w:val="none"/>
        </w:rPr>
      </w:pPr>
      <w:r>
        <w:rPr>
          <w:rFonts w:hint="eastAsia" w:ascii="宋体" w:hAnsi="宋体" w:cs="宋体"/>
          <w:color w:val="auto"/>
          <w:szCs w:val="21"/>
          <w:highlight w:val="none"/>
        </w:rPr>
        <w:t xml:space="preserve">传真：/ </w:t>
      </w:r>
    </w:p>
    <w:p>
      <w:pPr>
        <w:snapToGrid w:val="0"/>
        <w:ind w:firstLine="630" w:firstLineChars="300"/>
        <w:rPr>
          <w:rFonts w:ascii="宋体" w:hAnsi="宋体" w:cs="宋体"/>
          <w:color w:val="auto"/>
          <w:szCs w:val="21"/>
          <w:highlight w:val="none"/>
        </w:rPr>
      </w:pPr>
      <w:r>
        <w:rPr>
          <w:rFonts w:hint="eastAsia" w:ascii="宋体" w:hAnsi="宋体" w:cs="宋体"/>
          <w:color w:val="auto"/>
          <w:szCs w:val="21"/>
          <w:highlight w:val="none"/>
        </w:rPr>
        <w:t>联系人：金老师</w:t>
      </w:r>
    </w:p>
    <w:p>
      <w:pPr>
        <w:snapToGrid w:val="0"/>
        <w:ind w:firstLine="630" w:firstLineChars="300"/>
        <w:rPr>
          <w:rFonts w:ascii="宋体" w:hAnsi="宋体" w:cs="宋体"/>
          <w:color w:val="auto"/>
          <w:highlight w:val="none"/>
          <w:lang w:val="en"/>
        </w:rPr>
      </w:pPr>
      <w:r>
        <w:rPr>
          <w:rFonts w:hint="eastAsia" w:ascii="宋体" w:hAnsi="宋体" w:cs="宋体"/>
          <w:color w:val="auto"/>
          <w:szCs w:val="21"/>
          <w:highlight w:val="none"/>
        </w:rPr>
        <w:t>联系电话：0574-89389666</w:t>
      </w:r>
    </w:p>
    <w:p>
      <w:pPr>
        <w:ind w:firstLine="420"/>
        <w:rPr>
          <w:rFonts w:ascii="宋体" w:hAnsi="宋体" w:cs="宋体"/>
          <w:color w:val="auto"/>
          <w:highlight w:val="none"/>
          <w:lang w:val="en"/>
        </w:rPr>
      </w:pPr>
      <w:r>
        <w:rPr>
          <w:rFonts w:hint="eastAsia" w:ascii="宋体" w:hAnsi="宋体" w:cs="宋体"/>
          <w:color w:val="auto"/>
          <w:highlight w:val="none"/>
          <w:lang w:val="en"/>
        </w:rPr>
        <w:t>若对项目采购电子交易系统操作有疑问，可登录政采云（https://www.zcygov.cn/），点击右侧咨询小采，获取采小蜜智能服务管家帮助，或拨打政采云服务热线400-881-7190获取热线服务帮助。</w:t>
      </w:r>
    </w:p>
    <w:p>
      <w:pPr>
        <w:ind w:firstLine="420"/>
        <w:rPr>
          <w:rFonts w:ascii="宋体" w:hAnsi="宋体" w:cs="宋体"/>
          <w:color w:val="auto"/>
          <w:highlight w:val="none"/>
          <w:lang w:val="en"/>
        </w:rPr>
      </w:pPr>
      <w:r>
        <w:rPr>
          <w:rFonts w:hint="eastAsia" w:ascii="宋体" w:hAnsi="宋体" w:cs="宋体"/>
          <w:color w:val="auto"/>
          <w:highlight w:val="none"/>
          <w:lang w:val="en"/>
        </w:rPr>
        <w:t>CA问题联系电话（人工）：汇信CA 400-888-4636；天谷CA 400-087-8198。</w:t>
      </w:r>
    </w:p>
    <w:p>
      <w:pPr>
        <w:ind w:left="237" w:leftChars="113" w:firstLine="211" w:firstLineChars="100"/>
        <w:rPr>
          <w:rFonts w:ascii="宋体" w:hAnsi="宋体" w:cs="宋体"/>
          <w:b/>
          <w:color w:val="auto"/>
          <w:szCs w:val="21"/>
          <w:highlight w:val="none"/>
        </w:rPr>
      </w:pPr>
    </w:p>
    <w:p>
      <w:pPr>
        <w:snapToGrid w:val="0"/>
        <w:ind w:left="238" w:firstLine="422"/>
        <w:jc w:val="right"/>
        <w:rPr>
          <w:rFonts w:ascii="宋体" w:hAnsi="宋体" w:cs="宋体"/>
          <w:b/>
          <w:color w:val="auto"/>
          <w:szCs w:val="21"/>
          <w:highlight w:val="none"/>
        </w:rPr>
      </w:pPr>
    </w:p>
    <w:p>
      <w:pPr>
        <w:pStyle w:val="3"/>
        <w:ind w:firstLine="602"/>
        <w:rPr>
          <w:rFonts w:ascii="宋体" w:hAnsi="宋体" w:cs="宋体"/>
          <w:color w:val="auto"/>
          <w:highlight w:val="none"/>
        </w:rPr>
      </w:pPr>
      <w:r>
        <w:rPr>
          <w:rFonts w:hint="eastAsia" w:ascii="宋体" w:hAnsi="宋体" w:cs="宋体"/>
          <w:color w:val="auto"/>
          <w:highlight w:val="none"/>
        </w:rPr>
        <w:br w:type="page"/>
      </w:r>
      <w:bookmarkStart w:id="18" w:name="_Toc476216586"/>
      <w:bookmarkStart w:id="19" w:name="_Toc4620"/>
      <w:bookmarkStart w:id="20" w:name="_Toc18841"/>
      <w:bookmarkStart w:id="21" w:name="_Toc17038"/>
      <w:bookmarkStart w:id="22" w:name="_Toc601"/>
      <w:bookmarkStart w:id="23" w:name="_Toc8514"/>
      <w:bookmarkStart w:id="24" w:name="_Toc476216625"/>
      <w:bookmarkStart w:id="25" w:name="_Toc18395"/>
      <w:bookmarkStart w:id="26" w:name="_Toc9470"/>
      <w:bookmarkStart w:id="27" w:name="_Toc23119"/>
      <w:bookmarkStart w:id="28" w:name="_Toc30478"/>
      <w:bookmarkStart w:id="29" w:name="_Toc19715"/>
      <w:bookmarkStart w:id="30" w:name="_Toc18165"/>
      <w:bookmarkStart w:id="31" w:name="_Toc5888"/>
      <w:r>
        <w:rPr>
          <w:rFonts w:hint="eastAsia" w:ascii="宋体" w:hAnsi="宋体" w:cs="宋体"/>
          <w:color w:val="auto"/>
          <w:highlight w:val="none"/>
        </w:rPr>
        <w:t>第二章  招标需求</w:t>
      </w:r>
      <w:bookmarkEnd w:id="18"/>
      <w:bookmarkEnd w:id="19"/>
      <w:bookmarkEnd w:id="20"/>
      <w:bookmarkEnd w:id="21"/>
      <w:bookmarkEnd w:id="22"/>
      <w:bookmarkEnd w:id="23"/>
      <w:bookmarkEnd w:id="24"/>
      <w:bookmarkEnd w:id="25"/>
      <w:bookmarkEnd w:id="26"/>
      <w:bookmarkEnd w:id="27"/>
      <w:bookmarkEnd w:id="28"/>
      <w:bookmarkEnd w:id="29"/>
      <w:bookmarkEnd w:id="30"/>
      <w:bookmarkEnd w:id="31"/>
    </w:p>
    <w:p>
      <w:pPr>
        <w:snapToGrid w:val="0"/>
        <w:spacing w:line="400" w:lineRule="exact"/>
        <w:ind w:firstLine="0" w:firstLineChars="0"/>
        <w:jc w:val="center"/>
        <w:outlineLvl w:val="0"/>
        <w:rPr>
          <w:rFonts w:ascii="宋体" w:hAnsi="宋体" w:cs="宋体"/>
          <w:b/>
          <w:bCs/>
          <w:color w:val="auto"/>
          <w:sz w:val="30"/>
          <w:szCs w:val="30"/>
          <w:highlight w:val="none"/>
        </w:rPr>
      </w:pPr>
      <w:bookmarkStart w:id="32" w:name="_Toc8495"/>
      <w:bookmarkStart w:id="33" w:name="_Toc26741"/>
      <w:bookmarkStart w:id="34" w:name="_Toc27186"/>
      <w:bookmarkStart w:id="35" w:name="_Toc3959"/>
      <w:bookmarkStart w:id="36" w:name="_Toc31149"/>
      <w:bookmarkStart w:id="37" w:name="_Toc71364333"/>
      <w:bookmarkStart w:id="38" w:name="_Toc14282"/>
      <w:bookmarkStart w:id="39" w:name="_Toc16964"/>
      <w:bookmarkStart w:id="40" w:name="_Toc21531"/>
      <w:bookmarkStart w:id="41" w:name="_Toc14302"/>
      <w:bookmarkStart w:id="42" w:name="_Toc7992"/>
      <w:bookmarkStart w:id="43" w:name="_Toc4691"/>
      <w:bookmarkStart w:id="44" w:name="_Toc6783"/>
      <w:bookmarkStart w:id="45" w:name="_Toc8917"/>
      <w:r>
        <w:rPr>
          <w:rFonts w:hint="eastAsia" w:ascii="宋体" w:hAnsi="宋体" w:cs="宋体"/>
          <w:b/>
          <w:bCs/>
          <w:color w:val="auto"/>
          <w:sz w:val="30"/>
          <w:szCs w:val="30"/>
          <w:highlight w:val="none"/>
        </w:rPr>
        <w:t>前附表</w:t>
      </w:r>
      <w:bookmarkEnd w:id="32"/>
      <w:bookmarkEnd w:id="33"/>
      <w:bookmarkEnd w:id="34"/>
      <w:bookmarkEnd w:id="35"/>
      <w:bookmarkEnd w:id="36"/>
      <w:bookmarkEnd w:id="37"/>
      <w:bookmarkEnd w:id="38"/>
      <w:bookmarkEnd w:id="39"/>
      <w:bookmarkEnd w:id="40"/>
      <w:bookmarkEnd w:id="41"/>
      <w:bookmarkEnd w:id="42"/>
      <w:bookmarkEnd w:id="43"/>
      <w:bookmarkEnd w:id="44"/>
      <w:bookmarkEnd w:id="45"/>
    </w:p>
    <w:tbl>
      <w:tblPr>
        <w:tblStyle w:val="3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5"/>
        <w:gridCol w:w="3495"/>
        <w:gridCol w:w="40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center"/>
          </w:tcPr>
          <w:p>
            <w:pPr>
              <w:spacing w:line="400" w:lineRule="exact"/>
              <w:ind w:firstLine="0" w:firstLineChars="0"/>
              <w:outlineLvl w:val="1"/>
              <w:rPr>
                <w:rFonts w:ascii="宋体" w:hAnsi="宋体" w:cs="宋体"/>
                <w:b/>
                <w:color w:val="auto"/>
                <w:szCs w:val="28"/>
                <w:highlight w:val="none"/>
              </w:rPr>
            </w:pPr>
            <w:bookmarkStart w:id="46" w:name="_Toc71364334"/>
            <w:bookmarkStart w:id="47" w:name="_Toc29467"/>
            <w:r>
              <w:rPr>
                <w:rFonts w:hint="eastAsia" w:ascii="宋体" w:hAnsi="宋体" w:cs="宋体"/>
                <w:b/>
                <w:color w:val="auto"/>
                <w:szCs w:val="28"/>
                <w:highlight w:val="none"/>
              </w:rPr>
              <w:t>序号</w:t>
            </w:r>
            <w:bookmarkEnd w:id="46"/>
            <w:bookmarkEnd w:id="47"/>
          </w:p>
        </w:tc>
        <w:tc>
          <w:tcPr>
            <w:tcW w:w="3495" w:type="dxa"/>
            <w:vAlign w:val="center"/>
          </w:tcPr>
          <w:p>
            <w:pPr>
              <w:spacing w:line="400" w:lineRule="exact"/>
              <w:ind w:firstLine="0" w:firstLineChars="0"/>
              <w:jc w:val="center"/>
              <w:outlineLvl w:val="1"/>
              <w:rPr>
                <w:rFonts w:ascii="宋体" w:hAnsi="宋体" w:cs="宋体"/>
                <w:b/>
                <w:color w:val="auto"/>
                <w:szCs w:val="28"/>
                <w:highlight w:val="none"/>
              </w:rPr>
            </w:pPr>
            <w:bookmarkStart w:id="48" w:name="_Toc71364335"/>
            <w:bookmarkStart w:id="49" w:name="_Toc30286"/>
            <w:r>
              <w:rPr>
                <w:rFonts w:hint="eastAsia" w:ascii="宋体" w:hAnsi="宋体" w:cs="宋体"/>
                <w:b/>
                <w:color w:val="auto"/>
                <w:szCs w:val="28"/>
                <w:highlight w:val="none"/>
              </w:rPr>
              <w:t>子项</w:t>
            </w:r>
            <w:bookmarkEnd w:id="48"/>
            <w:bookmarkEnd w:id="49"/>
          </w:p>
        </w:tc>
        <w:tc>
          <w:tcPr>
            <w:tcW w:w="4095" w:type="dxa"/>
            <w:vAlign w:val="center"/>
          </w:tcPr>
          <w:p>
            <w:pPr>
              <w:spacing w:line="400" w:lineRule="exact"/>
              <w:ind w:firstLine="0" w:firstLineChars="0"/>
              <w:jc w:val="center"/>
              <w:outlineLvl w:val="1"/>
              <w:rPr>
                <w:rFonts w:ascii="宋体" w:hAnsi="宋体" w:cs="宋体"/>
                <w:b/>
                <w:color w:val="auto"/>
                <w:szCs w:val="28"/>
                <w:highlight w:val="none"/>
              </w:rPr>
            </w:pPr>
            <w:bookmarkStart w:id="50" w:name="_Toc71364336"/>
            <w:bookmarkStart w:id="51" w:name="_Toc23678"/>
            <w:r>
              <w:rPr>
                <w:rFonts w:hint="eastAsia" w:ascii="宋体" w:hAnsi="宋体" w:cs="宋体"/>
                <w:b/>
                <w:color w:val="auto"/>
                <w:szCs w:val="28"/>
                <w:highlight w:val="none"/>
              </w:rPr>
              <w:t>采购需求</w:t>
            </w:r>
            <w:bookmarkEnd w:id="50"/>
            <w:bookmarkEnd w:id="5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705" w:type="dxa"/>
            <w:vAlign w:val="center"/>
          </w:tcPr>
          <w:p>
            <w:pPr>
              <w:spacing w:line="400" w:lineRule="exact"/>
              <w:ind w:firstLine="0" w:firstLineChars="0"/>
              <w:jc w:val="center"/>
              <w:outlineLvl w:val="1"/>
              <w:rPr>
                <w:rFonts w:ascii="宋体" w:hAnsi="宋体" w:cs="宋体"/>
                <w:b/>
                <w:color w:val="auto"/>
                <w:szCs w:val="28"/>
                <w:highlight w:val="none"/>
              </w:rPr>
            </w:pPr>
            <w:bookmarkStart w:id="52" w:name="_Toc1987"/>
            <w:bookmarkStart w:id="53" w:name="_Toc71364337"/>
            <w:r>
              <w:rPr>
                <w:rFonts w:hint="eastAsia" w:ascii="宋体" w:hAnsi="宋体" w:cs="宋体"/>
                <w:b/>
                <w:color w:val="auto"/>
                <w:szCs w:val="28"/>
                <w:highlight w:val="none"/>
              </w:rPr>
              <w:t>一</w:t>
            </w:r>
            <w:bookmarkEnd w:id="52"/>
            <w:bookmarkEnd w:id="53"/>
          </w:p>
        </w:tc>
        <w:tc>
          <w:tcPr>
            <w:tcW w:w="3495" w:type="dxa"/>
            <w:vAlign w:val="center"/>
          </w:tcPr>
          <w:p>
            <w:pPr>
              <w:spacing w:line="400" w:lineRule="exact"/>
              <w:ind w:firstLine="0" w:firstLineChars="0"/>
              <w:outlineLvl w:val="1"/>
              <w:rPr>
                <w:rFonts w:ascii="宋体" w:hAnsi="宋体" w:cs="宋体"/>
                <w:bCs/>
                <w:color w:val="auto"/>
                <w:szCs w:val="28"/>
                <w:highlight w:val="none"/>
              </w:rPr>
            </w:pPr>
            <w:bookmarkStart w:id="54" w:name="_Toc9449"/>
            <w:bookmarkStart w:id="55" w:name="_Toc71364338"/>
            <w:r>
              <w:rPr>
                <w:rFonts w:hint="eastAsia" w:ascii="宋体" w:hAnsi="宋体" w:cs="宋体"/>
                <w:bCs/>
                <w:color w:val="auto"/>
                <w:szCs w:val="28"/>
                <w:highlight w:val="none"/>
              </w:rPr>
              <w:t>采购标的需实现的功能或者目标，为落实政府采购需满足的要求</w:t>
            </w:r>
            <w:bookmarkEnd w:id="54"/>
            <w:bookmarkEnd w:id="55"/>
          </w:p>
        </w:tc>
        <w:tc>
          <w:tcPr>
            <w:tcW w:w="4095" w:type="dxa"/>
            <w:vAlign w:val="center"/>
          </w:tcPr>
          <w:p>
            <w:pPr>
              <w:spacing w:line="400" w:lineRule="exact"/>
              <w:ind w:firstLine="0" w:firstLineChars="0"/>
              <w:outlineLvl w:val="1"/>
              <w:rPr>
                <w:rFonts w:ascii="宋体" w:hAnsi="宋体" w:cs="宋体"/>
                <w:b/>
                <w:color w:val="auto"/>
                <w:szCs w:val="28"/>
                <w:highlight w:val="none"/>
              </w:rPr>
            </w:pPr>
            <w:bookmarkStart w:id="56" w:name="_Toc71364339"/>
            <w:bookmarkStart w:id="57" w:name="_Toc1863"/>
            <w:r>
              <w:rPr>
                <w:rFonts w:hint="eastAsia" w:ascii="宋体" w:hAnsi="宋体" w:cs="宋体"/>
                <w:color w:val="auto"/>
                <w:szCs w:val="21"/>
                <w:highlight w:val="none"/>
              </w:rPr>
              <w:t>详见</w:t>
            </w:r>
            <w:r>
              <w:rPr>
                <w:rFonts w:hint="eastAsia" w:ascii="宋体" w:hAnsi="宋体" w:cs="宋体"/>
                <w:bCs/>
                <w:color w:val="auto"/>
                <w:szCs w:val="28"/>
                <w:highlight w:val="none"/>
              </w:rPr>
              <w:t>招标需求</w:t>
            </w:r>
            <w:bookmarkEnd w:id="56"/>
            <w:bookmarkEnd w:id="5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center"/>
          </w:tcPr>
          <w:p>
            <w:pPr>
              <w:spacing w:line="400" w:lineRule="exact"/>
              <w:ind w:firstLine="0" w:firstLineChars="0"/>
              <w:jc w:val="center"/>
              <w:outlineLvl w:val="1"/>
              <w:rPr>
                <w:rFonts w:ascii="宋体" w:hAnsi="宋体" w:cs="宋体"/>
                <w:b/>
                <w:color w:val="auto"/>
                <w:szCs w:val="28"/>
                <w:highlight w:val="none"/>
              </w:rPr>
            </w:pPr>
            <w:bookmarkStart w:id="58" w:name="_Toc71364340"/>
            <w:bookmarkStart w:id="59" w:name="_Toc11953"/>
            <w:r>
              <w:rPr>
                <w:rFonts w:hint="eastAsia" w:ascii="宋体" w:hAnsi="宋体" w:cs="宋体"/>
                <w:b/>
                <w:color w:val="auto"/>
                <w:szCs w:val="28"/>
                <w:highlight w:val="none"/>
              </w:rPr>
              <w:t>二</w:t>
            </w:r>
            <w:bookmarkEnd w:id="58"/>
            <w:bookmarkEnd w:id="59"/>
          </w:p>
        </w:tc>
        <w:tc>
          <w:tcPr>
            <w:tcW w:w="3495" w:type="dxa"/>
            <w:vAlign w:val="center"/>
          </w:tcPr>
          <w:p>
            <w:pPr>
              <w:spacing w:line="400" w:lineRule="exact"/>
              <w:ind w:firstLine="0" w:firstLineChars="0"/>
              <w:outlineLvl w:val="1"/>
              <w:rPr>
                <w:rFonts w:ascii="宋体" w:hAnsi="宋体" w:cs="宋体"/>
                <w:bCs/>
                <w:color w:val="auto"/>
                <w:szCs w:val="28"/>
                <w:highlight w:val="none"/>
              </w:rPr>
            </w:pPr>
            <w:bookmarkStart w:id="60" w:name="_Toc71364341"/>
            <w:bookmarkStart w:id="61" w:name="_Toc6419"/>
            <w:r>
              <w:rPr>
                <w:rFonts w:hint="eastAsia" w:ascii="宋体" w:hAnsi="宋体" w:cs="宋体"/>
                <w:bCs/>
                <w:color w:val="auto"/>
                <w:szCs w:val="28"/>
                <w:highlight w:val="none"/>
              </w:rPr>
              <w:t>采购标的需执行的国家相关标准、行业标准、地方标准或者其他标准规范</w:t>
            </w:r>
            <w:bookmarkEnd w:id="60"/>
            <w:bookmarkEnd w:id="61"/>
          </w:p>
        </w:tc>
        <w:tc>
          <w:tcPr>
            <w:tcW w:w="4095" w:type="dxa"/>
            <w:vAlign w:val="center"/>
          </w:tcPr>
          <w:p>
            <w:pPr>
              <w:spacing w:line="400" w:lineRule="exact"/>
              <w:ind w:firstLine="0" w:firstLineChars="0"/>
              <w:outlineLvl w:val="1"/>
              <w:rPr>
                <w:rFonts w:ascii="宋体" w:hAnsi="宋体" w:cs="宋体"/>
                <w:b/>
                <w:color w:val="auto"/>
                <w:szCs w:val="28"/>
                <w:highlight w:val="none"/>
              </w:rPr>
            </w:pPr>
            <w:bookmarkStart w:id="62" w:name="_Toc71364342"/>
            <w:bookmarkStart w:id="63" w:name="_Toc4989"/>
            <w:r>
              <w:rPr>
                <w:rFonts w:hint="eastAsia" w:ascii="宋体" w:hAnsi="宋体" w:cs="宋体"/>
                <w:bCs/>
                <w:color w:val="auto"/>
                <w:szCs w:val="28"/>
                <w:highlight w:val="none"/>
              </w:rPr>
              <w:t>按国家相关标准执行</w:t>
            </w:r>
            <w:bookmarkEnd w:id="62"/>
            <w:bookmarkEnd w:id="6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center"/>
          </w:tcPr>
          <w:p>
            <w:pPr>
              <w:spacing w:line="400" w:lineRule="exact"/>
              <w:ind w:firstLine="0" w:firstLineChars="0"/>
              <w:jc w:val="center"/>
              <w:outlineLvl w:val="1"/>
              <w:rPr>
                <w:rFonts w:ascii="宋体" w:hAnsi="宋体" w:cs="宋体"/>
                <w:b/>
                <w:color w:val="auto"/>
                <w:szCs w:val="28"/>
                <w:highlight w:val="none"/>
              </w:rPr>
            </w:pPr>
            <w:bookmarkStart w:id="64" w:name="_Toc71364343"/>
            <w:bookmarkStart w:id="65" w:name="_Toc9536"/>
            <w:r>
              <w:rPr>
                <w:rFonts w:hint="eastAsia" w:ascii="宋体" w:hAnsi="宋体" w:cs="宋体"/>
                <w:b/>
                <w:color w:val="auto"/>
                <w:szCs w:val="28"/>
                <w:highlight w:val="none"/>
              </w:rPr>
              <w:t>三</w:t>
            </w:r>
            <w:bookmarkEnd w:id="64"/>
            <w:bookmarkEnd w:id="65"/>
          </w:p>
        </w:tc>
        <w:tc>
          <w:tcPr>
            <w:tcW w:w="3495" w:type="dxa"/>
            <w:vAlign w:val="center"/>
          </w:tcPr>
          <w:p>
            <w:pPr>
              <w:spacing w:line="400" w:lineRule="exact"/>
              <w:ind w:firstLine="0" w:firstLineChars="0"/>
              <w:outlineLvl w:val="1"/>
              <w:rPr>
                <w:rFonts w:ascii="宋体" w:hAnsi="宋体" w:cs="宋体"/>
                <w:bCs/>
                <w:color w:val="auto"/>
                <w:szCs w:val="28"/>
                <w:highlight w:val="none"/>
              </w:rPr>
            </w:pPr>
            <w:bookmarkStart w:id="66" w:name="_Toc71364344"/>
            <w:bookmarkStart w:id="67" w:name="_Toc9188"/>
            <w:r>
              <w:rPr>
                <w:rFonts w:hint="eastAsia" w:ascii="宋体" w:hAnsi="宋体" w:cs="宋体"/>
                <w:bCs/>
                <w:color w:val="auto"/>
                <w:szCs w:val="28"/>
                <w:highlight w:val="none"/>
              </w:rPr>
              <w:t>采购标的需满足的质量、安全、技术规格、物理特性等要求</w:t>
            </w:r>
            <w:bookmarkEnd w:id="66"/>
            <w:bookmarkEnd w:id="67"/>
          </w:p>
        </w:tc>
        <w:tc>
          <w:tcPr>
            <w:tcW w:w="4095" w:type="dxa"/>
            <w:vAlign w:val="center"/>
          </w:tcPr>
          <w:p>
            <w:pPr>
              <w:spacing w:line="400" w:lineRule="exact"/>
              <w:ind w:firstLine="0" w:firstLineChars="0"/>
              <w:outlineLvl w:val="1"/>
              <w:rPr>
                <w:rFonts w:ascii="宋体" w:hAnsi="宋体" w:cs="宋体"/>
                <w:b/>
                <w:color w:val="auto"/>
                <w:szCs w:val="28"/>
                <w:highlight w:val="none"/>
              </w:rPr>
            </w:pPr>
            <w:bookmarkStart w:id="68" w:name="_Toc71364345"/>
            <w:bookmarkStart w:id="69" w:name="_Toc10081"/>
            <w:r>
              <w:rPr>
                <w:rFonts w:hint="eastAsia" w:ascii="宋体" w:hAnsi="宋体" w:cs="宋体"/>
                <w:color w:val="auto"/>
                <w:szCs w:val="21"/>
                <w:highlight w:val="none"/>
              </w:rPr>
              <w:t>详见技术</w:t>
            </w:r>
            <w:r>
              <w:rPr>
                <w:rFonts w:hint="eastAsia" w:ascii="宋体" w:hAnsi="宋体" w:cs="宋体"/>
                <w:bCs/>
                <w:color w:val="auto"/>
                <w:szCs w:val="28"/>
                <w:highlight w:val="none"/>
              </w:rPr>
              <w:t>需求</w:t>
            </w:r>
            <w:bookmarkEnd w:id="68"/>
            <w:bookmarkEnd w:id="69"/>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center"/>
          </w:tcPr>
          <w:p>
            <w:pPr>
              <w:spacing w:line="400" w:lineRule="exact"/>
              <w:ind w:firstLine="0" w:firstLineChars="0"/>
              <w:jc w:val="center"/>
              <w:outlineLvl w:val="1"/>
              <w:rPr>
                <w:rFonts w:ascii="宋体" w:hAnsi="宋体" w:cs="宋体"/>
                <w:bCs/>
                <w:color w:val="auto"/>
                <w:szCs w:val="28"/>
                <w:highlight w:val="none"/>
              </w:rPr>
            </w:pPr>
            <w:bookmarkStart w:id="70" w:name="_Toc3357"/>
            <w:bookmarkStart w:id="71" w:name="_Toc71364346"/>
            <w:r>
              <w:rPr>
                <w:rFonts w:hint="eastAsia" w:ascii="宋体" w:hAnsi="宋体" w:cs="宋体"/>
                <w:bCs/>
                <w:color w:val="auto"/>
                <w:szCs w:val="28"/>
                <w:highlight w:val="none"/>
              </w:rPr>
              <w:t>四</w:t>
            </w:r>
            <w:bookmarkEnd w:id="70"/>
            <w:bookmarkEnd w:id="71"/>
          </w:p>
        </w:tc>
        <w:tc>
          <w:tcPr>
            <w:tcW w:w="3495" w:type="dxa"/>
            <w:vAlign w:val="center"/>
          </w:tcPr>
          <w:p>
            <w:pPr>
              <w:spacing w:line="400" w:lineRule="exact"/>
              <w:ind w:firstLine="0" w:firstLineChars="0"/>
              <w:outlineLvl w:val="1"/>
              <w:rPr>
                <w:rFonts w:ascii="宋体" w:hAnsi="宋体" w:cs="宋体"/>
                <w:bCs/>
                <w:color w:val="auto"/>
                <w:szCs w:val="28"/>
                <w:highlight w:val="none"/>
              </w:rPr>
            </w:pPr>
            <w:bookmarkStart w:id="72" w:name="_Toc71364347"/>
            <w:bookmarkStart w:id="73" w:name="_Toc32761"/>
            <w:r>
              <w:rPr>
                <w:rFonts w:hint="eastAsia" w:ascii="宋体" w:hAnsi="宋体" w:cs="宋体"/>
                <w:bCs/>
                <w:color w:val="auto"/>
                <w:szCs w:val="28"/>
                <w:highlight w:val="none"/>
              </w:rPr>
              <w:t>采购标的的数量、采购项目交付或者实施的时间和地点</w:t>
            </w:r>
            <w:bookmarkEnd w:id="72"/>
            <w:bookmarkEnd w:id="73"/>
          </w:p>
        </w:tc>
        <w:tc>
          <w:tcPr>
            <w:tcW w:w="4095" w:type="dxa"/>
            <w:vAlign w:val="center"/>
          </w:tcPr>
          <w:p>
            <w:pPr>
              <w:spacing w:line="400" w:lineRule="exact"/>
              <w:ind w:firstLine="0" w:firstLineChars="0"/>
              <w:outlineLvl w:val="1"/>
              <w:rPr>
                <w:rFonts w:ascii="宋体" w:hAnsi="宋体" w:cs="宋体"/>
                <w:b/>
                <w:color w:val="auto"/>
                <w:szCs w:val="28"/>
                <w:highlight w:val="none"/>
              </w:rPr>
            </w:pPr>
            <w:bookmarkStart w:id="74" w:name="_Toc7462"/>
            <w:bookmarkStart w:id="75" w:name="_Toc71364348"/>
            <w:r>
              <w:rPr>
                <w:rFonts w:hint="eastAsia" w:ascii="宋体" w:hAnsi="宋体" w:cs="宋体"/>
                <w:color w:val="auto"/>
                <w:szCs w:val="21"/>
                <w:highlight w:val="none"/>
              </w:rPr>
              <w:t>详见</w:t>
            </w:r>
            <w:r>
              <w:rPr>
                <w:rFonts w:hint="eastAsia" w:ascii="宋体" w:hAnsi="宋体" w:cs="宋体"/>
                <w:bCs/>
                <w:color w:val="auto"/>
                <w:szCs w:val="28"/>
                <w:highlight w:val="none"/>
              </w:rPr>
              <w:t>商务需求</w:t>
            </w:r>
            <w:bookmarkEnd w:id="74"/>
            <w:bookmarkEnd w:id="75"/>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center"/>
          </w:tcPr>
          <w:p>
            <w:pPr>
              <w:spacing w:line="400" w:lineRule="exact"/>
              <w:ind w:firstLine="0" w:firstLineChars="0"/>
              <w:jc w:val="center"/>
              <w:outlineLvl w:val="1"/>
              <w:rPr>
                <w:rFonts w:ascii="宋体" w:hAnsi="宋体" w:cs="宋体"/>
                <w:bCs/>
                <w:color w:val="auto"/>
                <w:szCs w:val="28"/>
                <w:highlight w:val="none"/>
              </w:rPr>
            </w:pPr>
            <w:bookmarkStart w:id="76" w:name="_Toc71364349"/>
            <w:bookmarkStart w:id="77" w:name="_Toc32397"/>
            <w:r>
              <w:rPr>
                <w:rFonts w:hint="eastAsia" w:ascii="宋体" w:hAnsi="宋体" w:cs="宋体"/>
                <w:bCs/>
                <w:color w:val="auto"/>
                <w:szCs w:val="28"/>
                <w:highlight w:val="none"/>
              </w:rPr>
              <w:t>五</w:t>
            </w:r>
            <w:bookmarkEnd w:id="76"/>
            <w:bookmarkEnd w:id="77"/>
          </w:p>
        </w:tc>
        <w:tc>
          <w:tcPr>
            <w:tcW w:w="3495" w:type="dxa"/>
            <w:vAlign w:val="center"/>
          </w:tcPr>
          <w:p>
            <w:pPr>
              <w:spacing w:line="400" w:lineRule="exact"/>
              <w:ind w:firstLine="0" w:firstLineChars="0"/>
              <w:outlineLvl w:val="1"/>
              <w:rPr>
                <w:rFonts w:ascii="宋体" w:hAnsi="宋体" w:cs="宋体"/>
                <w:bCs/>
                <w:color w:val="auto"/>
                <w:szCs w:val="28"/>
                <w:highlight w:val="none"/>
              </w:rPr>
            </w:pPr>
            <w:bookmarkStart w:id="78" w:name="_Toc71364350"/>
            <w:bookmarkStart w:id="79" w:name="_Toc8447"/>
            <w:r>
              <w:rPr>
                <w:rFonts w:hint="eastAsia" w:ascii="宋体" w:hAnsi="宋体" w:cs="宋体"/>
                <w:bCs/>
                <w:color w:val="auto"/>
                <w:szCs w:val="28"/>
                <w:highlight w:val="none"/>
              </w:rPr>
              <w:t>采购标的需满足的服务标准、期限、效率等要求</w:t>
            </w:r>
            <w:bookmarkEnd w:id="78"/>
            <w:bookmarkEnd w:id="79"/>
          </w:p>
        </w:tc>
        <w:tc>
          <w:tcPr>
            <w:tcW w:w="4095" w:type="dxa"/>
            <w:vAlign w:val="center"/>
          </w:tcPr>
          <w:p>
            <w:pPr>
              <w:spacing w:line="400" w:lineRule="exact"/>
              <w:ind w:firstLine="0" w:firstLineChars="0"/>
              <w:outlineLvl w:val="1"/>
              <w:rPr>
                <w:rFonts w:ascii="宋体" w:hAnsi="宋体" w:cs="宋体"/>
                <w:b/>
                <w:color w:val="auto"/>
                <w:szCs w:val="28"/>
                <w:highlight w:val="none"/>
              </w:rPr>
            </w:pPr>
            <w:bookmarkStart w:id="80" w:name="_Toc20837"/>
            <w:bookmarkStart w:id="81" w:name="_Toc71364351"/>
            <w:r>
              <w:rPr>
                <w:rFonts w:hint="eastAsia" w:ascii="宋体" w:hAnsi="宋体" w:cs="宋体"/>
                <w:color w:val="auto"/>
                <w:szCs w:val="21"/>
                <w:highlight w:val="none"/>
              </w:rPr>
              <w:t>详见</w:t>
            </w:r>
            <w:r>
              <w:rPr>
                <w:rFonts w:hint="eastAsia" w:ascii="宋体" w:hAnsi="宋体" w:cs="宋体"/>
                <w:bCs/>
                <w:color w:val="auto"/>
                <w:szCs w:val="28"/>
                <w:highlight w:val="none"/>
              </w:rPr>
              <w:t>商务需求</w:t>
            </w:r>
            <w:bookmarkEnd w:id="80"/>
            <w:bookmarkEnd w:id="8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center"/>
          </w:tcPr>
          <w:p>
            <w:pPr>
              <w:spacing w:line="400" w:lineRule="exact"/>
              <w:ind w:firstLine="0" w:firstLineChars="0"/>
              <w:jc w:val="center"/>
              <w:outlineLvl w:val="1"/>
              <w:rPr>
                <w:rFonts w:ascii="宋体" w:hAnsi="宋体" w:cs="宋体"/>
                <w:bCs/>
                <w:color w:val="auto"/>
                <w:szCs w:val="28"/>
                <w:highlight w:val="none"/>
              </w:rPr>
            </w:pPr>
            <w:bookmarkStart w:id="82" w:name="_Toc30194"/>
            <w:bookmarkStart w:id="83" w:name="_Toc71364352"/>
            <w:r>
              <w:rPr>
                <w:rFonts w:hint="eastAsia" w:ascii="宋体" w:hAnsi="宋体" w:cs="宋体"/>
                <w:bCs/>
                <w:color w:val="auto"/>
                <w:szCs w:val="28"/>
                <w:highlight w:val="none"/>
              </w:rPr>
              <w:t>六</w:t>
            </w:r>
            <w:bookmarkEnd w:id="82"/>
            <w:bookmarkEnd w:id="83"/>
          </w:p>
        </w:tc>
        <w:tc>
          <w:tcPr>
            <w:tcW w:w="3495" w:type="dxa"/>
            <w:vAlign w:val="center"/>
          </w:tcPr>
          <w:p>
            <w:pPr>
              <w:spacing w:line="400" w:lineRule="exact"/>
              <w:ind w:firstLine="0" w:firstLineChars="0"/>
              <w:outlineLvl w:val="1"/>
              <w:rPr>
                <w:rFonts w:ascii="宋体" w:hAnsi="宋体" w:cs="宋体"/>
                <w:bCs/>
                <w:color w:val="auto"/>
                <w:szCs w:val="28"/>
                <w:highlight w:val="none"/>
              </w:rPr>
            </w:pPr>
            <w:bookmarkStart w:id="84" w:name="_Toc71364353"/>
            <w:bookmarkStart w:id="85" w:name="_Toc12346"/>
            <w:r>
              <w:rPr>
                <w:rFonts w:hint="eastAsia" w:ascii="宋体" w:hAnsi="宋体" w:cs="宋体"/>
                <w:bCs/>
                <w:color w:val="auto"/>
                <w:szCs w:val="28"/>
                <w:highlight w:val="none"/>
              </w:rPr>
              <w:t>采购标的的验收标准</w:t>
            </w:r>
            <w:bookmarkEnd w:id="84"/>
            <w:bookmarkEnd w:id="85"/>
          </w:p>
        </w:tc>
        <w:tc>
          <w:tcPr>
            <w:tcW w:w="4095" w:type="dxa"/>
            <w:vAlign w:val="center"/>
          </w:tcPr>
          <w:p>
            <w:pPr>
              <w:spacing w:line="400" w:lineRule="exact"/>
              <w:ind w:firstLine="0" w:firstLineChars="0"/>
              <w:outlineLvl w:val="1"/>
              <w:rPr>
                <w:rFonts w:ascii="宋体" w:hAnsi="宋体" w:cs="宋体"/>
                <w:bCs/>
                <w:color w:val="auto"/>
                <w:szCs w:val="28"/>
                <w:highlight w:val="none"/>
              </w:rPr>
            </w:pPr>
            <w:bookmarkStart w:id="86" w:name="_Toc28169"/>
            <w:bookmarkStart w:id="87" w:name="_Toc71364354"/>
            <w:r>
              <w:rPr>
                <w:rFonts w:hint="eastAsia" w:ascii="宋体" w:hAnsi="宋体" w:cs="宋体"/>
                <w:color w:val="auto"/>
                <w:szCs w:val="21"/>
                <w:highlight w:val="none"/>
              </w:rPr>
              <w:t>详见商务</w:t>
            </w:r>
            <w:r>
              <w:rPr>
                <w:rFonts w:hint="eastAsia" w:ascii="宋体" w:hAnsi="宋体" w:cs="宋体"/>
                <w:bCs/>
                <w:color w:val="auto"/>
                <w:szCs w:val="28"/>
                <w:highlight w:val="none"/>
              </w:rPr>
              <w:t>需求</w:t>
            </w:r>
            <w:bookmarkEnd w:id="86"/>
            <w:bookmarkEnd w:id="8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center"/>
          </w:tcPr>
          <w:p>
            <w:pPr>
              <w:spacing w:line="400" w:lineRule="exact"/>
              <w:ind w:firstLine="0" w:firstLineChars="0"/>
              <w:jc w:val="center"/>
              <w:outlineLvl w:val="1"/>
              <w:rPr>
                <w:rFonts w:ascii="宋体" w:hAnsi="宋体" w:cs="宋体"/>
                <w:bCs/>
                <w:color w:val="auto"/>
                <w:szCs w:val="28"/>
                <w:highlight w:val="none"/>
              </w:rPr>
            </w:pPr>
            <w:bookmarkStart w:id="88" w:name="_Toc348"/>
            <w:bookmarkStart w:id="89" w:name="_Toc71364355"/>
            <w:r>
              <w:rPr>
                <w:rFonts w:hint="eastAsia" w:ascii="宋体" w:hAnsi="宋体" w:cs="宋体"/>
                <w:bCs/>
                <w:color w:val="auto"/>
                <w:szCs w:val="28"/>
                <w:highlight w:val="none"/>
              </w:rPr>
              <w:t>七</w:t>
            </w:r>
            <w:bookmarkEnd w:id="88"/>
            <w:bookmarkEnd w:id="89"/>
          </w:p>
        </w:tc>
        <w:tc>
          <w:tcPr>
            <w:tcW w:w="3495" w:type="dxa"/>
            <w:vAlign w:val="center"/>
          </w:tcPr>
          <w:p>
            <w:pPr>
              <w:spacing w:line="400" w:lineRule="exact"/>
              <w:ind w:firstLine="0" w:firstLineChars="0"/>
              <w:outlineLvl w:val="1"/>
              <w:rPr>
                <w:rFonts w:ascii="宋体" w:hAnsi="宋体" w:cs="宋体"/>
                <w:bCs/>
                <w:color w:val="auto"/>
                <w:szCs w:val="28"/>
                <w:highlight w:val="none"/>
              </w:rPr>
            </w:pPr>
            <w:bookmarkStart w:id="90" w:name="_Toc71364356"/>
            <w:bookmarkStart w:id="91" w:name="_Toc26895"/>
            <w:r>
              <w:rPr>
                <w:rFonts w:hint="eastAsia" w:ascii="宋体" w:hAnsi="宋体" w:cs="宋体"/>
                <w:bCs/>
                <w:color w:val="auto"/>
                <w:szCs w:val="28"/>
                <w:highlight w:val="none"/>
              </w:rPr>
              <w:t>采购标的的其他技术、服务等要求</w:t>
            </w:r>
            <w:bookmarkEnd w:id="90"/>
            <w:bookmarkEnd w:id="91"/>
          </w:p>
        </w:tc>
        <w:tc>
          <w:tcPr>
            <w:tcW w:w="4095" w:type="dxa"/>
            <w:vAlign w:val="center"/>
          </w:tcPr>
          <w:p>
            <w:pPr>
              <w:spacing w:line="400" w:lineRule="exact"/>
              <w:ind w:firstLine="0" w:firstLineChars="0"/>
              <w:outlineLvl w:val="1"/>
              <w:rPr>
                <w:rFonts w:ascii="宋体" w:hAnsi="宋体" w:cs="宋体"/>
                <w:bCs/>
                <w:color w:val="auto"/>
                <w:szCs w:val="28"/>
                <w:highlight w:val="none"/>
              </w:rPr>
            </w:pPr>
            <w:bookmarkStart w:id="92" w:name="_Toc29985"/>
            <w:bookmarkStart w:id="93" w:name="_Toc71364357"/>
            <w:r>
              <w:rPr>
                <w:rFonts w:hint="eastAsia" w:ascii="宋体" w:hAnsi="宋体" w:cs="宋体"/>
                <w:color w:val="auto"/>
                <w:szCs w:val="21"/>
                <w:highlight w:val="none"/>
              </w:rPr>
              <w:t>详见</w:t>
            </w:r>
            <w:r>
              <w:rPr>
                <w:rFonts w:hint="eastAsia" w:ascii="宋体" w:hAnsi="宋体" w:cs="宋体"/>
                <w:bCs/>
                <w:color w:val="auto"/>
                <w:szCs w:val="28"/>
                <w:highlight w:val="none"/>
              </w:rPr>
              <w:t>技术需求</w:t>
            </w:r>
            <w:bookmarkEnd w:id="92"/>
            <w:bookmarkEnd w:id="9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center"/>
          </w:tcPr>
          <w:p>
            <w:pPr>
              <w:spacing w:line="400" w:lineRule="exact"/>
              <w:ind w:firstLine="0" w:firstLineChars="0"/>
              <w:jc w:val="center"/>
              <w:outlineLvl w:val="1"/>
              <w:rPr>
                <w:rFonts w:ascii="宋体" w:hAnsi="宋体" w:cs="宋体"/>
                <w:bCs/>
                <w:color w:val="auto"/>
                <w:szCs w:val="28"/>
                <w:highlight w:val="none"/>
              </w:rPr>
            </w:pPr>
            <w:bookmarkStart w:id="94" w:name="_Toc71364358"/>
            <w:bookmarkStart w:id="95" w:name="_Toc20187"/>
            <w:r>
              <w:rPr>
                <w:rFonts w:hint="eastAsia" w:ascii="宋体" w:hAnsi="宋体" w:cs="宋体"/>
                <w:bCs/>
                <w:color w:val="auto"/>
                <w:szCs w:val="28"/>
                <w:highlight w:val="none"/>
              </w:rPr>
              <w:t>八</w:t>
            </w:r>
            <w:bookmarkEnd w:id="94"/>
            <w:bookmarkEnd w:id="95"/>
          </w:p>
        </w:tc>
        <w:tc>
          <w:tcPr>
            <w:tcW w:w="3495" w:type="dxa"/>
            <w:vAlign w:val="center"/>
          </w:tcPr>
          <w:p>
            <w:pPr>
              <w:spacing w:line="400" w:lineRule="exact"/>
              <w:ind w:firstLine="0" w:firstLineChars="0"/>
              <w:outlineLvl w:val="1"/>
              <w:rPr>
                <w:rFonts w:ascii="宋体" w:hAnsi="宋体" w:cs="宋体"/>
                <w:bCs/>
                <w:color w:val="auto"/>
                <w:szCs w:val="28"/>
                <w:highlight w:val="none"/>
              </w:rPr>
            </w:pPr>
            <w:bookmarkStart w:id="96" w:name="_Toc12688"/>
            <w:bookmarkStart w:id="97" w:name="_Toc71364359"/>
            <w:r>
              <w:rPr>
                <w:rFonts w:hint="eastAsia" w:ascii="宋体" w:hAnsi="宋体" w:cs="宋体"/>
                <w:bCs/>
                <w:color w:val="auto"/>
                <w:szCs w:val="28"/>
                <w:highlight w:val="none"/>
              </w:rPr>
              <w:t>核心产品</w:t>
            </w:r>
            <w:bookmarkEnd w:id="96"/>
            <w:bookmarkEnd w:id="97"/>
          </w:p>
        </w:tc>
        <w:tc>
          <w:tcPr>
            <w:tcW w:w="4095" w:type="dxa"/>
            <w:vAlign w:val="center"/>
          </w:tcPr>
          <w:p>
            <w:pPr>
              <w:spacing w:line="400" w:lineRule="exact"/>
              <w:ind w:firstLine="0" w:firstLineChars="0"/>
              <w:outlineLvl w:val="1"/>
              <w:rPr>
                <w:rFonts w:ascii="宋体" w:hAnsi="宋体" w:cs="宋体"/>
                <w:bCs/>
                <w:color w:val="auto"/>
                <w:szCs w:val="28"/>
                <w:highlight w:val="none"/>
              </w:rPr>
            </w:pPr>
            <w:r>
              <w:rPr>
                <w:rFonts w:hint="eastAsia" w:ascii="宋体" w:hAnsi="宋体" w:cs="宋体"/>
                <w:bCs/>
                <w:color w:val="auto"/>
                <w:szCs w:val="28"/>
                <w:highlight w:val="none"/>
              </w:rPr>
              <w:t>数字平台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center"/>
          </w:tcPr>
          <w:p>
            <w:pPr>
              <w:spacing w:line="400" w:lineRule="exact"/>
              <w:ind w:firstLine="0" w:firstLineChars="0"/>
              <w:jc w:val="center"/>
              <w:outlineLvl w:val="1"/>
              <w:rPr>
                <w:rFonts w:ascii="宋体" w:hAnsi="宋体" w:cs="宋体"/>
                <w:bCs/>
                <w:color w:val="auto"/>
                <w:szCs w:val="28"/>
                <w:highlight w:val="none"/>
              </w:rPr>
            </w:pPr>
            <w:bookmarkStart w:id="98" w:name="_Toc71364361"/>
            <w:bookmarkStart w:id="99" w:name="_Toc14506"/>
            <w:r>
              <w:rPr>
                <w:rFonts w:hint="eastAsia" w:ascii="宋体" w:hAnsi="宋体" w:cs="宋体"/>
                <w:bCs/>
                <w:color w:val="auto"/>
                <w:szCs w:val="28"/>
                <w:highlight w:val="none"/>
              </w:rPr>
              <w:t>九</w:t>
            </w:r>
            <w:bookmarkEnd w:id="98"/>
            <w:bookmarkEnd w:id="99"/>
          </w:p>
        </w:tc>
        <w:tc>
          <w:tcPr>
            <w:tcW w:w="3495" w:type="dxa"/>
            <w:vAlign w:val="center"/>
          </w:tcPr>
          <w:p>
            <w:pPr>
              <w:spacing w:line="400" w:lineRule="exact"/>
              <w:ind w:firstLine="0" w:firstLineChars="0"/>
              <w:outlineLvl w:val="1"/>
              <w:rPr>
                <w:rFonts w:ascii="宋体" w:hAnsi="宋体" w:cs="宋体"/>
                <w:bCs/>
                <w:color w:val="auto"/>
                <w:szCs w:val="28"/>
                <w:highlight w:val="none"/>
              </w:rPr>
            </w:pPr>
            <w:bookmarkStart w:id="100" w:name="_Toc71364362"/>
            <w:bookmarkStart w:id="101" w:name="_Toc1807"/>
            <w:r>
              <w:rPr>
                <w:rFonts w:hint="eastAsia" w:ascii="宋体" w:hAnsi="宋体" w:cs="宋体"/>
                <w:color w:val="auto"/>
                <w:highlight w:val="none"/>
              </w:rPr>
              <w:t>现场踏勘</w:t>
            </w:r>
            <w:bookmarkEnd w:id="100"/>
            <w:bookmarkEnd w:id="101"/>
          </w:p>
        </w:tc>
        <w:tc>
          <w:tcPr>
            <w:tcW w:w="4095" w:type="dxa"/>
            <w:vAlign w:val="center"/>
          </w:tcPr>
          <w:p>
            <w:pPr>
              <w:spacing w:line="400" w:lineRule="exact"/>
              <w:ind w:firstLine="0" w:firstLineChars="0"/>
              <w:outlineLvl w:val="1"/>
              <w:rPr>
                <w:rFonts w:ascii="宋体" w:hAnsi="宋体" w:cs="宋体"/>
                <w:bCs/>
                <w:color w:val="auto"/>
                <w:szCs w:val="28"/>
                <w:highlight w:val="none"/>
              </w:rPr>
            </w:pPr>
            <w:bookmarkStart w:id="102" w:name="_Toc71364363"/>
            <w:bookmarkStart w:id="103" w:name="_Toc17858"/>
            <w:r>
              <w:rPr>
                <w:rFonts w:hint="eastAsia" w:ascii="宋体" w:hAnsi="宋体" w:cs="宋体"/>
                <w:bCs/>
                <w:color w:val="auto"/>
                <w:szCs w:val="28"/>
                <w:highlight w:val="none"/>
              </w:rPr>
              <w:t>无</w:t>
            </w:r>
            <w:bookmarkEnd w:id="102"/>
            <w:bookmarkEnd w:id="10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center"/>
          </w:tcPr>
          <w:p>
            <w:pPr>
              <w:spacing w:line="400" w:lineRule="exact"/>
              <w:ind w:firstLine="0" w:firstLineChars="0"/>
              <w:jc w:val="center"/>
              <w:outlineLvl w:val="1"/>
              <w:rPr>
                <w:rFonts w:ascii="宋体" w:hAnsi="宋体" w:cs="宋体"/>
                <w:bCs/>
                <w:color w:val="auto"/>
                <w:szCs w:val="28"/>
                <w:highlight w:val="none"/>
              </w:rPr>
            </w:pPr>
            <w:bookmarkStart w:id="104" w:name="_Toc71364364"/>
            <w:bookmarkStart w:id="105" w:name="_Toc31217"/>
            <w:r>
              <w:rPr>
                <w:rFonts w:hint="eastAsia" w:ascii="宋体" w:hAnsi="宋体" w:cs="宋体"/>
                <w:bCs/>
                <w:color w:val="auto"/>
                <w:szCs w:val="28"/>
                <w:highlight w:val="none"/>
              </w:rPr>
              <w:t>十</w:t>
            </w:r>
            <w:bookmarkEnd w:id="104"/>
            <w:bookmarkEnd w:id="105"/>
          </w:p>
        </w:tc>
        <w:tc>
          <w:tcPr>
            <w:tcW w:w="3495" w:type="dxa"/>
            <w:vAlign w:val="center"/>
          </w:tcPr>
          <w:p>
            <w:pPr>
              <w:spacing w:line="400" w:lineRule="exact"/>
              <w:ind w:firstLine="0" w:firstLineChars="0"/>
              <w:outlineLvl w:val="1"/>
              <w:rPr>
                <w:rFonts w:ascii="宋体" w:hAnsi="宋体" w:cs="宋体"/>
                <w:color w:val="auto"/>
                <w:highlight w:val="none"/>
              </w:rPr>
            </w:pPr>
            <w:bookmarkStart w:id="106" w:name="_Toc71364365"/>
            <w:bookmarkStart w:id="107" w:name="_Toc701"/>
            <w:r>
              <w:rPr>
                <w:rFonts w:hint="eastAsia" w:ascii="宋体" w:hAnsi="宋体" w:cs="宋体"/>
                <w:color w:val="auto"/>
                <w:highlight w:val="none"/>
              </w:rPr>
              <w:t>样品要求</w:t>
            </w:r>
            <w:bookmarkEnd w:id="106"/>
            <w:bookmarkEnd w:id="107"/>
          </w:p>
        </w:tc>
        <w:tc>
          <w:tcPr>
            <w:tcW w:w="4095" w:type="dxa"/>
            <w:vAlign w:val="center"/>
          </w:tcPr>
          <w:p>
            <w:pPr>
              <w:spacing w:line="400" w:lineRule="exact"/>
              <w:ind w:firstLine="0" w:firstLineChars="0"/>
              <w:outlineLvl w:val="1"/>
              <w:rPr>
                <w:rFonts w:ascii="宋体" w:hAnsi="宋体" w:cs="宋体"/>
                <w:bCs/>
                <w:color w:val="auto"/>
                <w:szCs w:val="28"/>
                <w:highlight w:val="none"/>
              </w:rPr>
            </w:pPr>
            <w:bookmarkStart w:id="108" w:name="_Toc71364366"/>
            <w:bookmarkStart w:id="109" w:name="_Toc21951"/>
            <w:r>
              <w:rPr>
                <w:rFonts w:hint="eastAsia" w:ascii="宋体" w:hAnsi="宋体" w:cs="宋体"/>
                <w:bCs/>
                <w:color w:val="auto"/>
                <w:szCs w:val="28"/>
                <w:highlight w:val="none"/>
              </w:rPr>
              <w:t>无</w:t>
            </w:r>
            <w:bookmarkEnd w:id="108"/>
            <w:bookmarkEnd w:id="109"/>
          </w:p>
        </w:tc>
      </w:tr>
    </w:tbl>
    <w:p>
      <w:pPr>
        <w:ind w:firstLine="420"/>
        <w:rPr>
          <w:rFonts w:ascii="宋体" w:hAnsi="宋体" w:cs="宋体"/>
          <w:color w:val="auto"/>
          <w:highlight w:val="none"/>
        </w:rPr>
      </w:pPr>
    </w:p>
    <w:p>
      <w:pPr>
        <w:numPr>
          <w:ilvl w:val="0"/>
          <w:numId w:val="8"/>
        </w:numPr>
        <w:ind w:firstLine="422"/>
        <w:rPr>
          <w:rFonts w:ascii="宋体" w:hAnsi="宋体" w:cs="宋体"/>
          <w:b/>
          <w:color w:val="auto"/>
          <w:szCs w:val="21"/>
          <w:highlight w:val="none"/>
        </w:rPr>
        <w:sectPr>
          <w:footerReference r:id="rId12" w:type="first"/>
          <w:footerReference r:id="rId11" w:type="default"/>
          <w:pgSz w:w="11907" w:h="16840"/>
          <w:pgMar w:top="1440" w:right="1797" w:bottom="1440" w:left="1797" w:header="284" w:footer="697" w:gutter="0"/>
          <w:pgNumType w:start="1"/>
          <w:cols w:space="720" w:num="1"/>
          <w:titlePg/>
          <w:docGrid w:linePitch="286" w:charSpace="0"/>
        </w:sectPr>
      </w:pPr>
    </w:p>
    <w:p>
      <w:pPr>
        <w:ind w:firstLine="422" w:firstLineChars="0"/>
        <w:outlineLvl w:val="0"/>
        <w:rPr>
          <w:rFonts w:ascii="宋体" w:hAnsi="宋体" w:cs="宋体"/>
          <w:b/>
          <w:color w:val="auto"/>
          <w:szCs w:val="21"/>
          <w:highlight w:val="none"/>
        </w:rPr>
      </w:pPr>
      <w:bookmarkStart w:id="110" w:name="_Toc31821"/>
      <w:bookmarkStart w:id="111" w:name="_Toc15414"/>
      <w:bookmarkStart w:id="112" w:name="_Toc2398"/>
      <w:bookmarkStart w:id="113" w:name="_Toc26970"/>
      <w:bookmarkStart w:id="114" w:name="_Toc30455"/>
      <w:bookmarkStart w:id="115" w:name="_Toc20189"/>
      <w:bookmarkStart w:id="116" w:name="_Toc6706"/>
      <w:bookmarkStart w:id="117" w:name="_Toc20871"/>
      <w:bookmarkStart w:id="118" w:name="_Toc32444"/>
      <w:bookmarkStart w:id="119" w:name="_Toc3476"/>
      <w:bookmarkStart w:id="120" w:name="_Toc3589"/>
      <w:bookmarkStart w:id="121" w:name="_Toc71364367"/>
      <w:bookmarkStart w:id="122" w:name="_Toc3087"/>
      <w:r>
        <w:rPr>
          <w:rFonts w:hint="eastAsia" w:ascii="宋体" w:hAnsi="宋体" w:cs="宋体"/>
          <w:b/>
          <w:color w:val="auto"/>
          <w:szCs w:val="21"/>
          <w:highlight w:val="none"/>
        </w:rPr>
        <w:t>一、商务需求</w:t>
      </w:r>
      <w:bookmarkEnd w:id="110"/>
      <w:bookmarkEnd w:id="111"/>
      <w:bookmarkEnd w:id="112"/>
      <w:bookmarkEnd w:id="113"/>
      <w:bookmarkEnd w:id="114"/>
      <w:bookmarkEnd w:id="115"/>
      <w:bookmarkEnd w:id="116"/>
      <w:bookmarkEnd w:id="117"/>
      <w:bookmarkEnd w:id="118"/>
      <w:bookmarkEnd w:id="119"/>
      <w:bookmarkEnd w:id="120"/>
      <w:bookmarkEnd w:id="121"/>
      <w:bookmarkEnd w:id="122"/>
    </w:p>
    <w:tbl>
      <w:tblPr>
        <w:tblStyle w:val="37"/>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60"/>
        <w:gridCol w:w="737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1" w:hRule="atLeast"/>
          <w:tblHeader/>
        </w:trPr>
        <w:tc>
          <w:tcPr>
            <w:tcW w:w="1560"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b/>
                <w:color w:val="auto"/>
                <w:szCs w:val="21"/>
                <w:highlight w:val="none"/>
              </w:rPr>
            </w:pPr>
            <w:bookmarkStart w:id="123" w:name="_Hlk71364814"/>
            <w:r>
              <w:rPr>
                <w:rFonts w:hint="eastAsia" w:ascii="宋体" w:hAnsi="宋体" w:cs="宋体"/>
                <w:b/>
                <w:color w:val="auto"/>
                <w:szCs w:val="21"/>
                <w:highlight w:val="none"/>
              </w:rPr>
              <w:t>项目</w:t>
            </w:r>
          </w:p>
        </w:tc>
        <w:tc>
          <w:tcPr>
            <w:tcW w:w="7371"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b/>
                <w:color w:val="auto"/>
                <w:szCs w:val="21"/>
                <w:highlight w:val="none"/>
              </w:rPr>
            </w:pPr>
            <w:r>
              <w:rPr>
                <w:rFonts w:hint="eastAsia" w:ascii="宋体" w:hAnsi="宋体" w:cs="宋体"/>
                <w:b/>
                <w:color w:val="auto"/>
                <w:szCs w:val="21"/>
                <w:highlight w:val="none"/>
              </w:rPr>
              <w:t>招标商务要求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8" w:hRule="atLeast"/>
        </w:trPr>
        <w:tc>
          <w:tcPr>
            <w:tcW w:w="1560"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*投标报价</w:t>
            </w:r>
          </w:p>
        </w:tc>
        <w:tc>
          <w:tcPr>
            <w:tcW w:w="7371" w:type="dxa"/>
            <w:tcBorders>
              <w:top w:val="single" w:color="auto" w:sz="4" w:space="0"/>
              <w:left w:val="single" w:color="auto" w:sz="4" w:space="0"/>
              <w:bottom w:val="single" w:color="auto" w:sz="4" w:space="0"/>
              <w:right w:val="single" w:color="auto" w:sz="4" w:space="0"/>
            </w:tcBorders>
            <w:vAlign w:val="center"/>
          </w:tcPr>
          <w:p>
            <w:pPr>
              <w:ind w:firstLine="420"/>
              <w:rPr>
                <w:rFonts w:ascii="宋体" w:hAnsi="宋体" w:cs="宋体"/>
                <w:color w:val="auto"/>
                <w:szCs w:val="21"/>
                <w:highlight w:val="none"/>
              </w:rPr>
            </w:pPr>
            <w:bookmarkStart w:id="124" w:name="_Hlk71364176"/>
            <w:r>
              <w:rPr>
                <w:rFonts w:hint="eastAsia" w:ascii="宋体" w:hAnsi="宋体" w:cs="宋体"/>
                <w:color w:val="auto"/>
                <w:szCs w:val="21"/>
                <w:highlight w:val="none"/>
              </w:rPr>
              <w:t>1、本项目包含平台建设及五年运维服务，具体报价要求如下：</w:t>
            </w:r>
          </w:p>
          <w:p>
            <w:pPr>
              <w:snapToGrid w:val="0"/>
              <w:spacing w:before="120" w:beforeLines="50"/>
              <w:ind w:firstLine="420"/>
              <w:rPr>
                <w:rFonts w:ascii="宋体" w:hAnsi="宋体" w:cs="宋体"/>
                <w:color w:val="auto"/>
                <w:highlight w:val="none"/>
                <w:lang w:val="zh-CN"/>
              </w:rPr>
            </w:pPr>
            <w:r>
              <w:rPr>
                <w:rFonts w:hint="eastAsia" w:ascii="宋体" w:hAnsi="宋体" w:cs="宋体"/>
                <w:color w:val="auto"/>
                <w:szCs w:val="21"/>
                <w:highlight w:val="none"/>
                <w:lang w:val="zh-CN"/>
              </w:rPr>
              <w:t>1）</w:t>
            </w:r>
            <w:r>
              <w:rPr>
                <w:rFonts w:hint="eastAsia" w:ascii="宋体" w:hAnsi="宋体" w:cs="宋体"/>
                <w:color w:val="auto"/>
                <w:highlight w:val="none"/>
                <w:lang w:val="zh-CN"/>
              </w:rPr>
              <w:t>分项报价必须要包含数字平台、园区大脑、</w:t>
            </w:r>
            <w:r>
              <w:rPr>
                <w:rFonts w:hint="eastAsia" w:ascii="宋体" w:hAnsi="宋体" w:cs="宋体"/>
                <w:color w:val="auto"/>
                <w:highlight w:val="none"/>
              </w:rPr>
              <w:t>应急指挥</w:t>
            </w:r>
            <w:r>
              <w:rPr>
                <w:rFonts w:hint="eastAsia" w:ascii="宋体" w:hAnsi="宋体" w:cs="宋体"/>
                <w:color w:val="auto"/>
                <w:highlight w:val="none"/>
                <w:lang w:val="zh-CN"/>
              </w:rPr>
              <w:t>、系统集成、基础设施平台、</w:t>
            </w:r>
            <w:r>
              <w:rPr>
                <w:rFonts w:hint="eastAsia" w:ascii="宋体" w:hAnsi="宋体" w:cs="宋体"/>
                <w:color w:val="auto"/>
                <w:szCs w:val="21"/>
                <w:highlight w:val="none"/>
                <w:lang w:val="zh-CN"/>
              </w:rPr>
              <w:t>标准</w:t>
            </w:r>
            <w:r>
              <w:rPr>
                <w:rFonts w:hint="eastAsia" w:ascii="宋体" w:hAnsi="宋体" w:cs="宋体"/>
                <w:color w:val="auto"/>
                <w:highlight w:val="none"/>
                <w:lang w:val="zh-CN"/>
              </w:rPr>
              <w:t>规范、硬件维修及折旧包干费、运维费。</w:t>
            </w:r>
          </w:p>
          <w:p>
            <w:pPr>
              <w:snapToGrid w:val="0"/>
              <w:spacing w:before="120" w:beforeLines="50"/>
              <w:ind w:firstLine="420"/>
              <w:rPr>
                <w:rFonts w:ascii="宋体" w:hAnsi="宋体" w:cs="宋体"/>
                <w:color w:val="auto"/>
                <w:highlight w:val="none"/>
                <w:lang w:val="zh-CN"/>
              </w:rPr>
            </w:pPr>
            <w:r>
              <w:rPr>
                <w:rFonts w:hint="eastAsia" w:ascii="宋体" w:hAnsi="宋体" w:cs="宋体"/>
                <w:color w:val="auto"/>
                <w:szCs w:val="21"/>
                <w:highlight w:val="none"/>
              </w:rPr>
              <w:t>2</w:t>
            </w:r>
            <w:r>
              <w:rPr>
                <w:rFonts w:hint="eastAsia" w:ascii="宋体" w:hAnsi="宋体" w:cs="宋体"/>
                <w:color w:val="auto"/>
                <w:szCs w:val="21"/>
                <w:highlight w:val="none"/>
                <w:lang w:val="zh-CN"/>
              </w:rPr>
              <w:t>）</w:t>
            </w:r>
            <w:r>
              <w:rPr>
                <w:rFonts w:hint="eastAsia" w:ascii="宋体" w:hAnsi="宋体" w:cs="宋体"/>
                <w:color w:val="auto"/>
                <w:highlight w:val="none"/>
                <w:lang w:val="zh-CN"/>
              </w:rPr>
              <w:t>运维期内若采购人未提出软件功能需求变更，本项目范围内所含软件的运维及优化费用包含在本</w:t>
            </w:r>
            <w:r>
              <w:rPr>
                <w:rFonts w:hint="eastAsia" w:ascii="宋体" w:hAnsi="宋体" w:cs="宋体"/>
                <w:color w:val="auto"/>
                <w:szCs w:val="21"/>
                <w:highlight w:val="none"/>
                <w:lang w:val="zh-CN"/>
              </w:rPr>
              <w:t>项目</w:t>
            </w:r>
            <w:r>
              <w:rPr>
                <w:rFonts w:hint="eastAsia" w:ascii="宋体" w:hAnsi="宋体" w:cs="宋体"/>
                <w:color w:val="auto"/>
                <w:highlight w:val="none"/>
                <w:lang w:val="zh-CN"/>
              </w:rPr>
              <w:t>费用范围内，采购人不再另行支付费用。</w:t>
            </w:r>
          </w:p>
          <w:p>
            <w:pPr>
              <w:snapToGrid w:val="0"/>
              <w:spacing w:before="120" w:beforeLines="50"/>
              <w:ind w:firstLine="420"/>
              <w:rPr>
                <w:rFonts w:ascii="宋体" w:hAnsi="宋体" w:cs="宋体"/>
                <w:color w:val="auto"/>
                <w:szCs w:val="21"/>
                <w:highlight w:val="none"/>
                <w:lang w:val="zh-CN"/>
              </w:rPr>
            </w:pPr>
            <w:r>
              <w:rPr>
                <w:rFonts w:hint="eastAsia" w:ascii="宋体" w:hAnsi="宋体" w:cs="宋体"/>
                <w:color w:val="auto"/>
                <w:szCs w:val="21"/>
                <w:highlight w:val="none"/>
              </w:rPr>
              <w:t>3</w:t>
            </w:r>
            <w:r>
              <w:rPr>
                <w:rFonts w:hint="eastAsia" w:ascii="宋体" w:hAnsi="宋体" w:cs="宋体"/>
                <w:color w:val="auto"/>
                <w:szCs w:val="21"/>
                <w:highlight w:val="none"/>
                <w:lang w:val="zh-CN"/>
              </w:rPr>
              <w:t>）本项目硬件部分，第四、第五年投标人可收取硬件维修及折旧包干费用，年度硬件维修及折旧包干费不得超过硬件部分报价的10%。</w:t>
            </w:r>
          </w:p>
          <w:p>
            <w:pPr>
              <w:snapToGrid w:val="0"/>
              <w:spacing w:before="120" w:beforeLines="50"/>
              <w:ind w:firstLine="420"/>
              <w:rPr>
                <w:rFonts w:ascii="宋体" w:hAnsi="宋体" w:cs="宋体"/>
                <w:color w:val="auto"/>
                <w:szCs w:val="21"/>
                <w:highlight w:val="none"/>
                <w:lang w:val="zh-CN"/>
              </w:rPr>
            </w:pPr>
            <w:r>
              <w:rPr>
                <w:rFonts w:hint="eastAsia" w:ascii="宋体" w:hAnsi="宋体" w:cs="宋体"/>
                <w:color w:val="auto"/>
                <w:szCs w:val="21"/>
                <w:highlight w:val="none"/>
              </w:rPr>
              <w:t>4</w:t>
            </w:r>
            <w:r>
              <w:rPr>
                <w:rFonts w:hint="eastAsia" w:ascii="宋体" w:hAnsi="宋体" w:cs="宋体"/>
                <w:color w:val="auto"/>
                <w:szCs w:val="21"/>
                <w:highlight w:val="none"/>
                <w:lang w:val="zh-CN"/>
              </w:rPr>
              <w:t>）运维费用指运维团队在采购人现场五年的人员、设备、场地、交通等相关费用，采购人不再支付与运维相关的费用。运维相关要求详见第二章技术需求部分。</w:t>
            </w:r>
          </w:p>
          <w:p>
            <w:pPr>
              <w:snapToGrid w:val="0"/>
              <w:spacing w:before="120" w:beforeLines="50"/>
              <w:ind w:firstLine="420"/>
              <w:rPr>
                <w:rFonts w:ascii="宋体" w:hAnsi="宋体" w:cs="宋体"/>
                <w:color w:val="auto"/>
                <w:szCs w:val="21"/>
                <w:highlight w:val="none"/>
              </w:rPr>
            </w:pPr>
            <w:bookmarkStart w:id="125" w:name="_Hlk77367337"/>
            <w:r>
              <w:rPr>
                <w:rFonts w:hint="eastAsia" w:ascii="宋体" w:hAnsi="宋体" w:cs="宋体"/>
                <w:color w:val="auto"/>
                <w:szCs w:val="21"/>
                <w:highlight w:val="none"/>
              </w:rPr>
              <w:t>5）本项目应急指挥部分中</w:t>
            </w:r>
            <w:r>
              <w:rPr>
                <w:rFonts w:hint="eastAsia" w:ascii="宋体" w:hAnsi="宋体" w:cs="宋体"/>
                <w:color w:val="auto"/>
                <w:kern w:val="0"/>
                <w:szCs w:val="21"/>
                <w:highlight w:val="none"/>
                <w:lang w:bidi="ar"/>
              </w:rPr>
              <w:t>应急预警发布（39.8万元）、应急救援指挥（92万元）、事故总结评估（68万元）、模拟演练（208万元）、结构化预案（88万元）五项内容为暂定开发项目，投标人应根据实际情况进行分项报价，以上五项内容包含在投标总价中。其中各分项报价不得低于上述各项括号内概算金额的85%。</w:t>
            </w:r>
            <w:r>
              <w:rPr>
                <w:rFonts w:hint="eastAsia" w:ascii="宋体" w:hAnsi="宋体" w:cs="宋体"/>
                <w:color w:val="auto"/>
                <w:kern w:val="0"/>
                <w:szCs w:val="21"/>
                <w:highlight w:val="none"/>
                <w:lang w:bidi="ar"/>
              </w:rPr>
              <w:t>合同签订时包括以上暂定开发项目，在项目实施过程中，由采购人根据实际工作需要再确定是否开发，如最终确定不开发的，双方另行签定补充协议。</w:t>
            </w:r>
          </w:p>
          <w:bookmarkEnd w:id="125"/>
          <w:p>
            <w:pPr>
              <w:ind w:firstLine="420"/>
              <w:rPr>
                <w:rFonts w:ascii="宋体" w:hAnsi="宋体" w:cs="宋体"/>
                <w:color w:val="auto"/>
                <w:szCs w:val="21"/>
                <w:highlight w:val="none"/>
              </w:rPr>
            </w:pPr>
            <w:r>
              <w:rPr>
                <w:rFonts w:hint="eastAsia" w:ascii="宋体" w:hAnsi="宋体" w:cs="宋体"/>
                <w:color w:val="auto"/>
                <w:szCs w:val="21"/>
                <w:highlight w:val="none"/>
              </w:rPr>
              <w:t>6）报价分项参照第六章分项报价表。</w:t>
            </w:r>
          </w:p>
          <w:p>
            <w:pPr>
              <w:ind w:firstLine="420"/>
              <w:rPr>
                <w:rFonts w:ascii="宋体" w:hAnsi="宋体" w:cs="宋体"/>
                <w:color w:val="auto"/>
                <w:szCs w:val="21"/>
                <w:highlight w:val="none"/>
              </w:rPr>
            </w:pPr>
            <w:r>
              <w:rPr>
                <w:rFonts w:hint="eastAsia" w:ascii="宋体" w:hAnsi="宋体" w:cs="宋体"/>
                <w:color w:val="auto"/>
                <w:szCs w:val="21"/>
                <w:highlight w:val="none"/>
              </w:rPr>
              <w:t>2、中标人提供的所有产品所涉及到的知识产权和所提供的软件、技术资料是合法取得，并享有完整的知识产权，不会因为采购人的使用而被责令停止使用、追偿或者要求赔偿，如出现上述问题，一切经济损失和法律责任均由中标人承担。投标人所投标平台项目内子系统若采用第三方软件，投标人需提供满足采购人需要的正版授权，采购方不承担该项费用，也不再另行采购。投标人必须保证第三方软件的售后同质化。</w:t>
            </w:r>
            <w:bookmarkEnd w:id="124"/>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1560"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*工期要求</w:t>
            </w:r>
          </w:p>
        </w:tc>
        <w:tc>
          <w:tcPr>
            <w:tcW w:w="7371" w:type="dxa"/>
            <w:tcBorders>
              <w:top w:val="single" w:color="auto" w:sz="4" w:space="0"/>
              <w:left w:val="single" w:color="auto" w:sz="4" w:space="0"/>
              <w:bottom w:val="single" w:color="auto" w:sz="4" w:space="0"/>
              <w:right w:val="single" w:color="auto" w:sz="4" w:space="0"/>
            </w:tcBorders>
            <w:vAlign w:val="center"/>
          </w:tcPr>
          <w:p>
            <w:pPr>
              <w:pStyle w:val="6"/>
              <w:ind w:firstLine="420"/>
              <w:rPr>
                <w:rFonts w:ascii="宋体" w:hAnsi="宋体"/>
                <w:color w:val="auto"/>
                <w:highlight w:val="none"/>
              </w:rPr>
            </w:pPr>
            <w:r>
              <w:rPr>
                <w:rFonts w:hint="eastAsia" w:ascii="宋体" w:hAnsi="宋体"/>
                <w:color w:val="auto"/>
                <w:highlight w:val="none"/>
              </w:rPr>
              <w:t>本项目工期从中标之日起7个月内完成项目建设并具备试运行条件。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1" w:hRule="atLeast"/>
        </w:trPr>
        <w:tc>
          <w:tcPr>
            <w:tcW w:w="1560"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项目组织及实施要求</w:t>
            </w:r>
          </w:p>
        </w:tc>
        <w:tc>
          <w:tcPr>
            <w:tcW w:w="737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ind w:firstLine="420"/>
              <w:rPr>
                <w:rFonts w:ascii="宋体" w:hAnsi="宋体" w:cs="宋体"/>
                <w:color w:val="auto"/>
                <w:highlight w:val="none"/>
                <w:lang w:val="zh-CN"/>
              </w:rPr>
            </w:pPr>
            <w:r>
              <w:rPr>
                <w:rFonts w:hint="eastAsia" w:ascii="宋体" w:hAnsi="宋体" w:cs="宋体"/>
                <w:color w:val="auto"/>
                <w:highlight w:val="none"/>
                <w:lang w:val="zh-CN"/>
              </w:rPr>
              <w:t>1）中标人中标后需要在5个工作日内成立工作团队，并指定一名专职的项目经理，负责项目协调和调度工作。除项目经理外，项目组须配备专职的技术负责人，并按照项目实施的要求，配置相应的项目管理、系统设计、开发、测试、集成、培训、质量保证等人员。</w:t>
            </w:r>
          </w:p>
          <w:p>
            <w:pPr>
              <w:snapToGrid w:val="0"/>
              <w:spacing w:before="120" w:beforeLines="50"/>
              <w:ind w:firstLine="420"/>
              <w:rPr>
                <w:rFonts w:ascii="宋体" w:hAnsi="宋体" w:cs="宋体"/>
                <w:color w:val="auto"/>
                <w:highlight w:val="none"/>
                <w:lang w:val="zh-CN"/>
              </w:rPr>
            </w:pPr>
            <w:r>
              <w:rPr>
                <w:rFonts w:hint="eastAsia" w:ascii="宋体" w:hAnsi="宋体" w:cs="宋体"/>
                <w:color w:val="auto"/>
                <w:highlight w:val="none"/>
                <w:lang w:val="zh-CN"/>
              </w:rPr>
              <w:t>2）本项目实施阶段要求项目经理在项目建设各阶段在现场开展相关工作；项目小组团队成员在各阶段至少安排5人进驻现场开展各项工作。并在验收后的质量保证期内专人（该工程师需全程参与过本项目建设）参加日常维护工作。</w:t>
            </w:r>
          </w:p>
          <w:p>
            <w:pPr>
              <w:snapToGrid w:val="0"/>
              <w:spacing w:before="120" w:beforeLines="50"/>
              <w:ind w:firstLine="420"/>
              <w:rPr>
                <w:rFonts w:ascii="宋体" w:hAnsi="宋体" w:cs="宋体"/>
                <w:color w:val="auto"/>
                <w:highlight w:val="none"/>
                <w:lang w:val="zh-CN"/>
              </w:rPr>
            </w:pPr>
            <w:r>
              <w:rPr>
                <w:rFonts w:hint="eastAsia" w:ascii="宋体" w:hAnsi="宋体" w:cs="宋体"/>
                <w:color w:val="auto"/>
                <w:highlight w:val="none"/>
                <w:lang w:val="zh-CN"/>
              </w:rPr>
              <w:t>3）参与此项目的技术人员具有承担过相同类型项目的经验，能够与用户进行良好的沟通，掌握相关领域的相关基础知识，具备相关产品集成、应用和开发的能力。</w:t>
            </w:r>
          </w:p>
          <w:p>
            <w:pPr>
              <w:snapToGrid w:val="0"/>
              <w:spacing w:before="120" w:beforeLines="50"/>
              <w:ind w:firstLine="420"/>
              <w:rPr>
                <w:rFonts w:ascii="宋体" w:hAnsi="宋体" w:cs="宋体"/>
                <w:color w:val="auto"/>
                <w:highlight w:val="none"/>
                <w:lang w:val="zh-CN"/>
              </w:rPr>
            </w:pPr>
            <w:r>
              <w:rPr>
                <w:rFonts w:hint="eastAsia" w:ascii="宋体" w:hAnsi="宋体" w:cs="宋体"/>
                <w:color w:val="auto"/>
                <w:highlight w:val="none"/>
                <w:lang w:val="zh-CN"/>
              </w:rPr>
              <w:t>4）中标人在项目合同签订后，需组织相关实施人员在该项目招标需求的基础上进行深入调研，编制需求规格说明书。需求规格说明经采购人、中标人确认后作为项目验收的依据。</w:t>
            </w:r>
          </w:p>
          <w:p>
            <w:pPr>
              <w:snapToGrid w:val="0"/>
              <w:spacing w:before="120" w:beforeLines="50"/>
              <w:ind w:firstLine="420"/>
              <w:rPr>
                <w:rFonts w:ascii="宋体" w:hAnsi="宋体" w:cs="宋体"/>
                <w:color w:val="auto"/>
                <w:highlight w:val="none"/>
                <w:lang w:val="zh-CN"/>
              </w:rPr>
            </w:pPr>
            <w:r>
              <w:rPr>
                <w:rFonts w:hint="eastAsia" w:ascii="宋体" w:hAnsi="宋体" w:cs="宋体"/>
                <w:color w:val="auto"/>
                <w:highlight w:val="none"/>
                <w:lang w:val="zh-CN"/>
              </w:rPr>
              <w:t>5）要求中标人在各阶段及时提供相应的项目管理文档、开发类文档及实施类文档，以便采购人及时了解项目进展情况。</w:t>
            </w:r>
          </w:p>
          <w:p>
            <w:pPr>
              <w:snapToGrid w:val="0"/>
              <w:spacing w:before="120" w:beforeLines="50"/>
              <w:ind w:firstLine="420"/>
              <w:rPr>
                <w:rFonts w:ascii="宋体" w:hAnsi="宋体" w:cs="宋体"/>
                <w:color w:val="auto"/>
                <w:highlight w:val="none"/>
              </w:rPr>
            </w:pPr>
            <w:r>
              <w:rPr>
                <w:rFonts w:hint="eastAsia" w:ascii="宋体" w:hAnsi="宋体" w:cs="宋体"/>
                <w:color w:val="auto"/>
                <w:highlight w:val="none"/>
                <w:lang w:val="zh-CN"/>
              </w:rPr>
              <w:t>6）对上述安排投标人应列出详细实施方案，包括但不限于项目管理计划、项目进度计划、项目验收计划、项目组织结构（人员姓名、经验、学历和在本项目中的职责分工等，项目小组成员须提供社保证明等）。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1" w:hRule="atLeast"/>
        </w:trPr>
        <w:tc>
          <w:tcPr>
            <w:tcW w:w="1560"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安装、测试及系统集成要求</w:t>
            </w:r>
          </w:p>
        </w:tc>
        <w:tc>
          <w:tcPr>
            <w:tcW w:w="737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ind w:firstLine="420"/>
              <w:rPr>
                <w:rFonts w:ascii="宋体" w:hAnsi="宋体" w:cs="宋体"/>
                <w:color w:val="auto"/>
                <w:szCs w:val="21"/>
                <w:highlight w:val="none"/>
                <w:lang w:val="zh-CN"/>
              </w:rPr>
            </w:pPr>
            <w:r>
              <w:rPr>
                <w:rFonts w:hint="eastAsia" w:ascii="宋体" w:hAnsi="宋体" w:cs="宋体"/>
                <w:color w:val="auto"/>
                <w:szCs w:val="21"/>
                <w:highlight w:val="none"/>
                <w:lang w:val="zh-CN"/>
              </w:rPr>
              <w:t>1）该项目涉及到系统的应用集成，应用系统要求按统一的数据采集标准进行数据采集。需要高标准进行整体规划，确保系统的稳定性、安全性、灵活性和扩展性。</w:t>
            </w:r>
          </w:p>
          <w:p>
            <w:pPr>
              <w:snapToGrid w:val="0"/>
              <w:spacing w:before="120" w:beforeLines="50"/>
              <w:ind w:firstLine="420"/>
              <w:rPr>
                <w:rFonts w:ascii="宋体" w:hAnsi="宋体" w:cs="宋体"/>
                <w:color w:val="auto"/>
                <w:szCs w:val="21"/>
                <w:highlight w:val="none"/>
                <w:lang w:val="zh-CN"/>
              </w:rPr>
            </w:pPr>
            <w:r>
              <w:rPr>
                <w:rFonts w:hint="eastAsia" w:ascii="宋体" w:hAnsi="宋体" w:cs="宋体"/>
                <w:color w:val="auto"/>
                <w:szCs w:val="21"/>
                <w:highlight w:val="none"/>
                <w:lang w:val="zh-CN"/>
              </w:rPr>
              <w:t>2）负责本项目范围内应用软件的现场安装部署、集成、测试和调试，保证系统功能、性能要求的实现，提供售后服务。同时负责对应用于该项目的原有软硬件设备的系统集成。在安装、配置和测试、调试过程中，中标人应对最终用户技术人员所提出的技术问题，给予满意的答复。</w:t>
            </w:r>
          </w:p>
          <w:p>
            <w:pPr>
              <w:snapToGrid w:val="0"/>
              <w:spacing w:before="120" w:beforeLines="50"/>
              <w:ind w:firstLine="420"/>
              <w:rPr>
                <w:rFonts w:ascii="宋体" w:hAnsi="宋体" w:cs="宋体"/>
                <w:color w:val="auto"/>
                <w:szCs w:val="21"/>
                <w:highlight w:val="none"/>
                <w:lang w:val="zh-CN"/>
              </w:rPr>
            </w:pPr>
            <w:r>
              <w:rPr>
                <w:rFonts w:hint="eastAsia" w:ascii="宋体" w:hAnsi="宋体" w:cs="宋体"/>
                <w:color w:val="auto"/>
                <w:szCs w:val="21"/>
                <w:highlight w:val="none"/>
                <w:lang w:val="zh-CN"/>
              </w:rPr>
              <w:t>3）要求有完整的安装和配置程序，具有详细的系统安装配置说明手册、用户使用说明书和系统维护说明书。系统实际安装与操作必须与说明书描述一致。</w:t>
            </w:r>
          </w:p>
          <w:p>
            <w:pPr>
              <w:snapToGrid w:val="0"/>
              <w:spacing w:before="120" w:beforeLines="50"/>
              <w:ind w:firstLine="420"/>
              <w:rPr>
                <w:rFonts w:ascii="宋体" w:hAnsi="宋体" w:cs="宋体"/>
                <w:color w:val="auto"/>
                <w:szCs w:val="21"/>
                <w:highlight w:val="none"/>
                <w:lang w:val="zh-CN"/>
              </w:rPr>
            </w:pPr>
            <w:r>
              <w:rPr>
                <w:rFonts w:hint="eastAsia" w:ascii="宋体" w:hAnsi="宋体" w:cs="宋体"/>
                <w:color w:val="auto"/>
                <w:szCs w:val="21"/>
                <w:highlight w:val="none"/>
                <w:lang w:val="zh-CN"/>
              </w:rPr>
              <w:t>4）要求具有完整的系统测试计划，包括根据用户需求编写的，遍及系统95%以上功能、性能的测试用例，合理的测试方案和测试方法。要求保留完整的测试报告。</w:t>
            </w:r>
          </w:p>
          <w:p>
            <w:pPr>
              <w:snapToGrid w:val="0"/>
              <w:spacing w:before="120" w:beforeLines="50"/>
              <w:ind w:firstLine="420"/>
              <w:rPr>
                <w:rFonts w:ascii="宋体" w:hAnsi="宋体" w:cs="宋体"/>
                <w:color w:val="auto"/>
                <w:szCs w:val="21"/>
                <w:highlight w:val="none"/>
                <w:lang w:val="zh-CN"/>
              </w:rPr>
            </w:pPr>
            <w:r>
              <w:rPr>
                <w:rFonts w:hint="eastAsia" w:ascii="宋体" w:hAnsi="宋体" w:cs="宋体"/>
                <w:color w:val="auto"/>
                <w:szCs w:val="21"/>
                <w:highlight w:val="none"/>
                <w:lang w:val="zh-CN"/>
              </w:rPr>
              <w:t>5）项目实施过程中，如果牵涉到与第三方产品集成工作，中标单位应与系统集成商及其他供应商通力合作，并提供必要的技术支持。</w:t>
            </w:r>
          </w:p>
          <w:p>
            <w:pPr>
              <w:snapToGrid w:val="0"/>
              <w:spacing w:before="120" w:beforeLines="50"/>
              <w:ind w:firstLine="420"/>
              <w:rPr>
                <w:rFonts w:ascii="宋体" w:hAnsi="宋体" w:cs="宋体"/>
                <w:color w:val="auto"/>
                <w:szCs w:val="21"/>
                <w:highlight w:val="none"/>
                <w:lang w:val="zh-CN"/>
              </w:rPr>
            </w:pPr>
            <w:r>
              <w:rPr>
                <w:rFonts w:hint="eastAsia" w:ascii="宋体" w:hAnsi="宋体" w:cs="宋体"/>
                <w:color w:val="auto"/>
                <w:szCs w:val="21"/>
                <w:highlight w:val="none"/>
                <w:lang w:val="zh-CN"/>
              </w:rPr>
              <w:t>6）采购人有权聘请具备国家相关软件评测资质的第三方评测机构对软件和数据库进行测试，中标单位有义务做好配合工作，并对测试结果中出现的问题或缺陷进行整改，直到满足要求为止。</w:t>
            </w:r>
          </w:p>
          <w:p>
            <w:pPr>
              <w:snapToGrid w:val="0"/>
              <w:spacing w:before="120" w:beforeLines="50"/>
              <w:ind w:firstLine="420"/>
              <w:rPr>
                <w:rFonts w:ascii="宋体" w:hAnsi="宋体" w:cs="宋体"/>
                <w:color w:val="auto"/>
                <w:szCs w:val="21"/>
                <w:highlight w:val="none"/>
              </w:rPr>
            </w:pPr>
            <w:r>
              <w:rPr>
                <w:rFonts w:hint="eastAsia" w:ascii="宋体" w:hAnsi="宋体" w:cs="宋体"/>
                <w:color w:val="auto"/>
                <w:szCs w:val="21"/>
                <w:highlight w:val="none"/>
                <w:lang w:val="zh-CN"/>
              </w:rPr>
              <w:t>7）中标人负责解决系统集成中全部技术问题，对采购人项目建设中碰到的其他技术问题，有责任和义务提供咨询和帮助并协助解决。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1" w:hRule="atLeast"/>
        </w:trPr>
        <w:tc>
          <w:tcPr>
            <w:tcW w:w="1560"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*质保期</w:t>
            </w:r>
          </w:p>
        </w:tc>
        <w:tc>
          <w:tcPr>
            <w:tcW w:w="7371" w:type="dxa"/>
            <w:tcBorders>
              <w:top w:val="single" w:color="auto" w:sz="4" w:space="0"/>
              <w:left w:val="single" w:color="auto" w:sz="4" w:space="0"/>
              <w:bottom w:val="single" w:color="auto" w:sz="4" w:space="0"/>
              <w:right w:val="single" w:color="auto" w:sz="4" w:space="0"/>
            </w:tcBorders>
            <w:vAlign w:val="center"/>
          </w:tcPr>
          <w:p>
            <w:pPr>
              <w:ind w:firstLine="420"/>
              <w:rPr>
                <w:rFonts w:ascii="宋体" w:hAnsi="宋体" w:cs="宋体"/>
                <w:color w:val="auto"/>
                <w:highlight w:val="none"/>
              </w:rPr>
            </w:pPr>
            <w:r>
              <w:rPr>
                <w:rFonts w:hint="eastAsia" w:ascii="宋体" w:hAnsi="宋体" w:cs="宋体"/>
                <w:color w:val="auto"/>
                <w:highlight w:val="none"/>
              </w:rPr>
              <w:t>本项目质保期五年（包括本项目所有软件及硬件），质保期内产生的相关费用包含在第四、第五年硬件维修及折旧包干费用及运维费用中，采购人不再另行支付费用。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2" w:hRule="atLeast"/>
        </w:trPr>
        <w:tc>
          <w:tcPr>
            <w:tcW w:w="1560" w:type="dxa"/>
            <w:tcBorders>
              <w:top w:val="single" w:color="auto" w:sz="4" w:space="0"/>
              <w:left w:val="single" w:color="auto" w:sz="4" w:space="0"/>
              <w:bottom w:val="single" w:color="auto" w:sz="4" w:space="0"/>
              <w:right w:val="single" w:color="auto" w:sz="4" w:space="0"/>
            </w:tcBorders>
            <w:vAlign w:val="center"/>
          </w:tcPr>
          <w:p>
            <w:pPr>
              <w:pStyle w:val="120"/>
              <w:ind w:right="-105" w:firstLine="0" w:firstLineChars="0"/>
              <w:jc w:val="center"/>
              <w:rPr>
                <w:rFonts w:hint="default" w:ascii="宋体" w:hAnsi="宋体" w:cs="宋体"/>
                <w:color w:val="auto"/>
                <w:highlight w:val="none"/>
              </w:rPr>
            </w:pPr>
            <w:bookmarkStart w:id="126" w:name="_Hlk78107069"/>
            <w:r>
              <w:rPr>
                <w:rFonts w:ascii="宋体" w:hAnsi="宋体" w:cs="宋体"/>
                <w:color w:val="auto"/>
                <w:szCs w:val="21"/>
                <w:highlight w:val="none"/>
              </w:rPr>
              <w:t>*</w:t>
            </w:r>
            <w:r>
              <w:rPr>
                <w:rFonts w:ascii="宋体" w:hAnsi="宋体" w:cs="宋体"/>
                <w:color w:val="auto"/>
                <w:highlight w:val="none"/>
              </w:rPr>
              <w:t>履约保证金</w:t>
            </w:r>
          </w:p>
        </w:tc>
        <w:tc>
          <w:tcPr>
            <w:tcW w:w="7371" w:type="dxa"/>
            <w:tcBorders>
              <w:top w:val="single" w:color="auto" w:sz="4" w:space="0"/>
              <w:left w:val="single" w:color="auto" w:sz="4" w:space="0"/>
              <w:bottom w:val="single" w:color="auto" w:sz="4" w:space="0"/>
              <w:right w:val="single" w:color="auto" w:sz="4" w:space="0"/>
            </w:tcBorders>
            <w:vAlign w:val="center"/>
          </w:tcPr>
          <w:p>
            <w:pPr>
              <w:pStyle w:val="120"/>
              <w:ind w:firstLine="420"/>
              <w:jc w:val="left"/>
              <w:rPr>
                <w:rFonts w:hint="default" w:ascii="宋体" w:hAnsi="宋体" w:cs="宋体"/>
                <w:color w:val="auto"/>
                <w:highlight w:val="none"/>
              </w:rPr>
            </w:pPr>
            <w:r>
              <w:rPr>
                <w:rFonts w:ascii="宋体" w:hAnsi="宋体" w:cs="宋体"/>
                <w:color w:val="auto"/>
                <w:highlight w:val="none"/>
              </w:rPr>
              <w:t>合同金额的5%。</w:t>
            </w:r>
          </w:p>
          <w:p>
            <w:pPr>
              <w:pStyle w:val="120"/>
              <w:ind w:firstLine="420"/>
              <w:jc w:val="left"/>
              <w:rPr>
                <w:rFonts w:hint="default" w:ascii="宋体" w:hAnsi="宋体" w:cs="宋体"/>
                <w:color w:val="auto"/>
                <w:highlight w:val="none"/>
              </w:rPr>
            </w:pPr>
            <w:r>
              <w:rPr>
                <w:rFonts w:ascii="宋体" w:hAnsi="宋体" w:cs="宋体"/>
                <w:color w:val="auto"/>
                <w:highlight w:val="none"/>
              </w:rPr>
              <w:t>在与</w:t>
            </w:r>
            <w:r>
              <w:rPr>
                <w:rFonts w:ascii="宋体" w:hAnsi="宋体" w:cs="宋体"/>
                <w:color w:val="auto"/>
                <w:highlight w:val="none"/>
              </w:rPr>
              <w:t>采购人</w:t>
            </w:r>
            <w:r>
              <w:rPr>
                <w:rFonts w:ascii="宋体" w:hAnsi="宋体" w:cs="宋体"/>
                <w:color w:val="auto"/>
                <w:highlight w:val="none"/>
              </w:rPr>
              <w:t>签订合同之日起7天内，</w:t>
            </w:r>
            <w:r>
              <w:rPr>
                <w:rFonts w:ascii="宋体" w:hAnsi="宋体" w:cs="宋体"/>
                <w:color w:val="auto"/>
                <w:highlight w:val="none"/>
              </w:rPr>
              <w:t>以</w:t>
            </w:r>
            <w:r>
              <w:rPr>
                <w:color w:val="auto"/>
                <w:highlight w:val="none"/>
              </w:rPr>
              <w:t>支票、汇票、本票或者金融机构、担保机构出具的保函</w:t>
            </w:r>
            <w:r>
              <w:rPr>
                <w:b/>
                <w:bCs/>
                <w:color w:val="auto"/>
                <w:highlight w:val="none"/>
              </w:rPr>
              <w:t>等非现金形式</w:t>
            </w:r>
            <w:r>
              <w:rPr>
                <w:rFonts w:ascii="宋体" w:hAnsi="宋体" w:cs="宋体"/>
                <w:color w:val="auto"/>
                <w:highlight w:val="none"/>
              </w:rPr>
              <w:t>向采购人提供合同金额5%的履约保证金。</w:t>
            </w:r>
          </w:p>
          <w:p>
            <w:pPr>
              <w:pStyle w:val="120"/>
              <w:ind w:firstLine="420"/>
              <w:jc w:val="left"/>
              <w:rPr>
                <w:rFonts w:hint="default" w:ascii="宋体" w:hAnsi="宋体" w:cs="宋体"/>
                <w:color w:val="auto"/>
                <w:highlight w:val="none"/>
              </w:rPr>
            </w:pPr>
            <w:r>
              <w:rPr>
                <w:rFonts w:ascii="宋体" w:hAnsi="宋体" w:cs="宋体"/>
                <w:color w:val="auto"/>
                <w:highlight w:val="none"/>
              </w:rPr>
              <w:t>履约保证金将在五年运维期结束后30天内无息退还。如中标人拒绝履行合同规定的义务，履约保证金将作为违约金被没收，履约保证金不足以赔偿损失的，按实际损失赔偿。</w:t>
            </w:r>
          </w:p>
        </w:tc>
      </w:tr>
      <w:bookmarkEnd w:id="126"/>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95" w:hRule="atLeast"/>
        </w:trPr>
        <w:tc>
          <w:tcPr>
            <w:tcW w:w="1560"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*付款条件</w:t>
            </w:r>
          </w:p>
        </w:tc>
        <w:tc>
          <w:tcPr>
            <w:tcW w:w="737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ind w:firstLine="420"/>
              <w:rPr>
                <w:rFonts w:ascii="宋体" w:hAnsi="宋体" w:cs="宋体"/>
                <w:color w:val="auto"/>
                <w:szCs w:val="21"/>
                <w:highlight w:val="none"/>
                <w:lang w:val="zh-CN"/>
              </w:rPr>
            </w:pPr>
            <w:r>
              <w:rPr>
                <w:rFonts w:hint="eastAsia" w:ascii="宋体" w:hAnsi="宋体" w:cs="宋体"/>
                <w:color w:val="auto"/>
                <w:szCs w:val="21"/>
                <w:highlight w:val="none"/>
                <w:lang w:val="zh-CN"/>
              </w:rPr>
              <w:t>合同签订后支付</w:t>
            </w:r>
            <w:r>
              <w:rPr>
                <w:rFonts w:hint="eastAsia" w:ascii="宋体" w:hAnsi="宋体" w:cs="宋体"/>
                <w:color w:val="auto"/>
                <w:szCs w:val="21"/>
                <w:highlight w:val="none"/>
              </w:rPr>
              <w:t>应支付建设费用</w:t>
            </w:r>
            <w:r>
              <w:rPr>
                <w:rFonts w:hint="eastAsia" w:ascii="宋体" w:hAnsi="宋体" w:cs="宋体"/>
                <w:color w:val="auto"/>
                <w:szCs w:val="21"/>
                <w:highlight w:val="none"/>
                <w:lang w:val="zh-CN"/>
              </w:rPr>
              <w:t>（</w:t>
            </w:r>
            <w:r>
              <w:rPr>
                <w:rFonts w:hint="eastAsia" w:ascii="宋体" w:hAnsi="宋体" w:cs="宋体"/>
                <w:color w:val="auto"/>
                <w:szCs w:val="21"/>
                <w:highlight w:val="none"/>
              </w:rPr>
              <w:t>应支付建设费用=</w:t>
            </w:r>
            <w:r>
              <w:rPr>
                <w:rFonts w:hint="eastAsia" w:ascii="宋体" w:hAnsi="宋体" w:cs="宋体"/>
                <w:color w:val="auto"/>
                <w:szCs w:val="21"/>
                <w:highlight w:val="none"/>
                <w:lang w:val="zh-CN"/>
              </w:rPr>
              <w:t>合同总价</w:t>
            </w:r>
            <w:r>
              <w:rPr>
                <w:rFonts w:hint="eastAsia" w:ascii="宋体" w:hAnsi="宋体" w:cs="宋体"/>
                <w:color w:val="auto"/>
                <w:szCs w:val="21"/>
                <w:highlight w:val="none"/>
              </w:rPr>
              <w:t>-运维费用-硬件维修及折旧包干费）</w:t>
            </w:r>
            <w:r>
              <w:rPr>
                <w:rFonts w:hint="eastAsia" w:ascii="宋体" w:hAnsi="宋体" w:cs="宋体"/>
                <w:color w:val="auto"/>
                <w:szCs w:val="21"/>
                <w:highlight w:val="none"/>
                <w:lang w:val="zh-CN"/>
              </w:rPr>
              <w:t>的</w:t>
            </w:r>
            <w:r>
              <w:rPr>
                <w:rFonts w:hint="eastAsia" w:ascii="宋体" w:hAnsi="宋体" w:cs="宋体"/>
                <w:color w:val="auto"/>
                <w:szCs w:val="21"/>
                <w:highlight w:val="none"/>
              </w:rPr>
              <w:t>30</w:t>
            </w:r>
            <w:r>
              <w:rPr>
                <w:rFonts w:hint="eastAsia" w:ascii="宋体" w:hAnsi="宋体" w:cs="宋体"/>
                <w:color w:val="auto"/>
                <w:szCs w:val="21"/>
                <w:highlight w:val="none"/>
                <w:lang w:val="zh-CN"/>
              </w:rPr>
              <w:t>%，作为项目</w:t>
            </w:r>
            <w:r>
              <w:rPr>
                <w:rFonts w:hint="eastAsia" w:ascii="宋体" w:hAnsi="宋体" w:cs="宋体"/>
                <w:color w:val="auto"/>
                <w:szCs w:val="21"/>
                <w:highlight w:val="none"/>
              </w:rPr>
              <w:t>预付款。</w:t>
            </w:r>
          </w:p>
          <w:p>
            <w:pPr>
              <w:snapToGrid w:val="0"/>
              <w:spacing w:before="120" w:beforeLines="50"/>
              <w:ind w:firstLine="420"/>
              <w:rPr>
                <w:rFonts w:ascii="宋体" w:hAnsi="宋体" w:cs="宋体"/>
                <w:color w:val="auto"/>
                <w:szCs w:val="21"/>
                <w:highlight w:val="none"/>
                <w:lang w:val="zh-CN"/>
              </w:rPr>
            </w:pPr>
            <w:r>
              <w:rPr>
                <w:rFonts w:hint="eastAsia" w:ascii="宋体" w:hAnsi="宋体" w:cs="宋体"/>
                <w:color w:val="auto"/>
                <w:szCs w:val="21"/>
                <w:highlight w:val="none"/>
                <w:lang w:val="zh-CN"/>
              </w:rPr>
              <w:t>项目</w:t>
            </w:r>
            <w:r>
              <w:rPr>
                <w:rFonts w:hint="eastAsia" w:ascii="宋体" w:hAnsi="宋体" w:cs="宋体"/>
                <w:color w:val="auto"/>
                <w:szCs w:val="21"/>
                <w:highlight w:val="none"/>
              </w:rPr>
              <w:t>完成与产业大脑对接</w:t>
            </w:r>
            <w:r>
              <w:rPr>
                <w:rFonts w:hint="eastAsia" w:ascii="宋体" w:hAnsi="宋体" w:cs="宋体"/>
                <w:b/>
                <w:bCs/>
                <w:color w:val="auto"/>
                <w:szCs w:val="21"/>
                <w:highlight w:val="none"/>
              </w:rPr>
              <w:t>(平台数据上传产业大脑，接入率达30%以上)</w:t>
            </w:r>
            <w:r>
              <w:rPr>
                <w:rFonts w:hint="eastAsia" w:ascii="宋体" w:hAnsi="宋体" w:cs="宋体"/>
                <w:color w:val="auto"/>
                <w:szCs w:val="21"/>
                <w:highlight w:val="none"/>
                <w:lang w:val="zh-CN"/>
              </w:rPr>
              <w:t>后一个月内支付</w:t>
            </w:r>
            <w:r>
              <w:rPr>
                <w:rFonts w:hint="eastAsia" w:ascii="宋体" w:hAnsi="宋体" w:cs="宋体"/>
                <w:color w:val="auto"/>
                <w:szCs w:val="21"/>
                <w:highlight w:val="none"/>
              </w:rPr>
              <w:t>应支付建设费用</w:t>
            </w:r>
            <w:r>
              <w:rPr>
                <w:rFonts w:hint="eastAsia" w:ascii="宋体" w:hAnsi="宋体" w:cs="宋体"/>
                <w:color w:val="auto"/>
                <w:szCs w:val="21"/>
                <w:highlight w:val="none"/>
                <w:lang w:val="zh-CN"/>
              </w:rPr>
              <w:t>的</w:t>
            </w:r>
            <w:r>
              <w:rPr>
                <w:rFonts w:hint="eastAsia" w:ascii="宋体" w:hAnsi="宋体" w:cs="宋体"/>
                <w:color w:val="auto"/>
                <w:szCs w:val="21"/>
                <w:highlight w:val="none"/>
              </w:rPr>
              <w:t>2</w:t>
            </w:r>
            <w:r>
              <w:rPr>
                <w:rFonts w:hint="eastAsia" w:ascii="宋体" w:hAnsi="宋体" w:cs="宋体"/>
                <w:color w:val="auto"/>
                <w:szCs w:val="21"/>
                <w:highlight w:val="none"/>
                <w:lang w:val="zh-CN"/>
              </w:rPr>
              <w:t>0%。</w:t>
            </w:r>
          </w:p>
          <w:p>
            <w:pPr>
              <w:snapToGrid w:val="0"/>
              <w:spacing w:before="120" w:beforeLines="50"/>
              <w:ind w:firstLine="420"/>
              <w:rPr>
                <w:rFonts w:ascii="宋体" w:hAnsi="宋体" w:cs="宋体"/>
                <w:color w:val="auto"/>
                <w:szCs w:val="21"/>
                <w:highlight w:val="none"/>
                <w:lang w:val="zh-CN"/>
              </w:rPr>
            </w:pPr>
            <w:r>
              <w:rPr>
                <w:rFonts w:hint="eastAsia" w:ascii="宋体" w:hAnsi="宋体" w:cs="宋体"/>
                <w:color w:val="auto"/>
                <w:szCs w:val="21"/>
                <w:highlight w:val="none"/>
              </w:rPr>
              <w:t>项目完成验收后一个月内支付应支付建设费用</w:t>
            </w:r>
            <w:r>
              <w:rPr>
                <w:rFonts w:hint="eastAsia" w:ascii="宋体" w:hAnsi="宋体" w:cs="宋体"/>
                <w:color w:val="auto"/>
                <w:szCs w:val="21"/>
                <w:highlight w:val="none"/>
                <w:lang w:val="zh-CN"/>
              </w:rPr>
              <w:t>的</w:t>
            </w:r>
            <w:r>
              <w:rPr>
                <w:rFonts w:hint="eastAsia" w:ascii="宋体" w:hAnsi="宋体" w:cs="宋体"/>
                <w:color w:val="auto"/>
                <w:szCs w:val="21"/>
                <w:highlight w:val="none"/>
              </w:rPr>
              <w:t>50</w:t>
            </w:r>
            <w:r>
              <w:rPr>
                <w:rFonts w:hint="eastAsia" w:ascii="宋体" w:hAnsi="宋体" w:cs="宋体"/>
                <w:color w:val="auto"/>
                <w:szCs w:val="21"/>
                <w:highlight w:val="none"/>
                <w:lang w:val="zh-CN"/>
              </w:rPr>
              <w:t>%。</w:t>
            </w:r>
          </w:p>
          <w:p>
            <w:pPr>
              <w:snapToGrid w:val="0"/>
              <w:spacing w:before="120" w:beforeLines="50"/>
              <w:ind w:firstLine="420"/>
              <w:rPr>
                <w:rFonts w:ascii="宋体" w:hAnsi="宋体" w:cs="宋体"/>
                <w:color w:val="auto"/>
                <w:szCs w:val="21"/>
                <w:highlight w:val="none"/>
                <w:lang w:val="zh-CN"/>
              </w:rPr>
            </w:pPr>
            <w:r>
              <w:rPr>
                <w:rFonts w:hint="eastAsia" w:ascii="宋体" w:hAnsi="宋体" w:cs="宋体"/>
                <w:color w:val="auto"/>
                <w:szCs w:val="21"/>
                <w:highlight w:val="none"/>
              </w:rPr>
              <w:t>项目完成验收满一年后，一个月内支付第一年运维费用。</w:t>
            </w:r>
          </w:p>
          <w:p>
            <w:pPr>
              <w:snapToGrid w:val="0"/>
              <w:spacing w:before="120" w:beforeLines="50"/>
              <w:ind w:firstLine="420"/>
              <w:rPr>
                <w:rFonts w:ascii="宋体" w:hAnsi="宋体" w:cs="宋体"/>
                <w:color w:val="auto"/>
                <w:szCs w:val="21"/>
                <w:highlight w:val="none"/>
                <w:lang w:val="zh-CN"/>
              </w:rPr>
            </w:pPr>
            <w:r>
              <w:rPr>
                <w:rFonts w:hint="eastAsia" w:ascii="宋体" w:hAnsi="宋体" w:cs="宋体"/>
                <w:color w:val="auto"/>
                <w:szCs w:val="21"/>
                <w:highlight w:val="none"/>
              </w:rPr>
              <w:t>项目完成验收满二年后，一个月内支付第二年运维费用。</w:t>
            </w:r>
          </w:p>
          <w:p>
            <w:pPr>
              <w:snapToGrid w:val="0"/>
              <w:spacing w:before="120" w:beforeLines="50"/>
              <w:ind w:firstLine="420"/>
              <w:rPr>
                <w:rFonts w:ascii="宋体" w:hAnsi="宋体" w:cs="宋体"/>
                <w:color w:val="auto"/>
                <w:szCs w:val="21"/>
                <w:highlight w:val="none"/>
                <w:lang w:val="zh-CN"/>
              </w:rPr>
            </w:pPr>
            <w:r>
              <w:rPr>
                <w:rFonts w:hint="eastAsia" w:ascii="宋体" w:hAnsi="宋体" w:cs="宋体"/>
                <w:color w:val="auto"/>
                <w:szCs w:val="21"/>
                <w:highlight w:val="none"/>
              </w:rPr>
              <w:t>项目完成验收满三年后，一个月内支付第三年运维费用。</w:t>
            </w:r>
          </w:p>
          <w:p>
            <w:pPr>
              <w:snapToGrid w:val="0"/>
              <w:spacing w:before="120" w:beforeLines="50"/>
              <w:ind w:firstLine="420"/>
              <w:rPr>
                <w:rFonts w:ascii="宋体" w:hAnsi="宋体" w:cs="宋体"/>
                <w:color w:val="auto"/>
                <w:szCs w:val="21"/>
                <w:highlight w:val="none"/>
                <w:lang w:val="zh-CN"/>
              </w:rPr>
            </w:pPr>
            <w:r>
              <w:rPr>
                <w:rFonts w:hint="eastAsia" w:ascii="宋体" w:hAnsi="宋体" w:cs="宋体"/>
                <w:color w:val="auto"/>
                <w:szCs w:val="21"/>
                <w:highlight w:val="none"/>
              </w:rPr>
              <w:t>项目完成验收满四年后，一个月内支付第四年运维费用及硬件维修及折旧包干费。</w:t>
            </w:r>
          </w:p>
          <w:p>
            <w:pPr>
              <w:snapToGrid w:val="0"/>
              <w:spacing w:before="120" w:beforeLines="50"/>
              <w:ind w:firstLine="420"/>
              <w:rPr>
                <w:rFonts w:ascii="宋体" w:hAnsi="宋体" w:cs="宋体"/>
                <w:color w:val="auto"/>
                <w:szCs w:val="21"/>
                <w:highlight w:val="none"/>
              </w:rPr>
            </w:pPr>
            <w:r>
              <w:rPr>
                <w:rFonts w:hint="eastAsia" w:ascii="宋体" w:hAnsi="宋体" w:cs="宋体"/>
                <w:color w:val="auto"/>
                <w:szCs w:val="21"/>
                <w:highlight w:val="none"/>
              </w:rPr>
              <w:t>项目完成验收满五年后，一个月内支付第五年运维费用及硬件维修及折旧包干费。</w:t>
            </w:r>
          </w:p>
          <w:p>
            <w:pPr>
              <w:ind w:firstLine="420"/>
              <w:rPr>
                <w:rFonts w:ascii="宋体" w:hAnsi="宋体" w:cs="宋体"/>
                <w:color w:val="auto"/>
                <w:highlight w:val="none"/>
              </w:rPr>
            </w:pPr>
            <w:r>
              <w:rPr>
                <w:rFonts w:hint="eastAsia" w:ascii="宋体" w:hAnsi="宋体" w:cs="宋体"/>
                <w:color w:val="auto"/>
                <w:highlight w:val="none"/>
              </w:rPr>
              <w:t>在每次付款前，中标人应向采购人出具增值税发票，否则采购人有权拒绝付款。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6" w:hRule="atLeast"/>
        </w:trPr>
        <w:tc>
          <w:tcPr>
            <w:tcW w:w="1560"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验收</w:t>
            </w:r>
          </w:p>
        </w:tc>
        <w:tc>
          <w:tcPr>
            <w:tcW w:w="737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ind w:firstLine="420"/>
              <w:rPr>
                <w:rFonts w:ascii="宋体" w:hAnsi="宋体" w:cs="宋体"/>
                <w:color w:val="auto"/>
                <w:szCs w:val="21"/>
                <w:highlight w:val="none"/>
                <w:lang w:val="zh-CN"/>
              </w:rPr>
            </w:pPr>
            <w:r>
              <w:rPr>
                <w:rFonts w:hint="eastAsia" w:ascii="宋体" w:hAnsi="宋体" w:cs="宋体"/>
                <w:color w:val="auto"/>
                <w:szCs w:val="21"/>
                <w:highlight w:val="none"/>
                <w:lang w:val="zh-CN"/>
              </w:rPr>
              <w:t>项目的验收包括试运行和终验。</w:t>
            </w:r>
          </w:p>
          <w:p>
            <w:pPr>
              <w:snapToGrid w:val="0"/>
              <w:spacing w:before="120" w:beforeLines="50"/>
              <w:ind w:firstLine="420"/>
              <w:rPr>
                <w:rFonts w:ascii="宋体" w:hAnsi="宋体" w:cs="宋体"/>
                <w:color w:val="auto"/>
                <w:szCs w:val="21"/>
                <w:highlight w:val="none"/>
                <w:lang w:val="zh-CN"/>
              </w:rPr>
            </w:pPr>
            <w:r>
              <w:rPr>
                <w:rFonts w:hint="eastAsia" w:ascii="宋体" w:hAnsi="宋体" w:cs="宋体"/>
                <w:color w:val="auto"/>
                <w:szCs w:val="21"/>
                <w:highlight w:val="none"/>
                <w:lang w:val="zh-CN"/>
              </w:rPr>
              <w:t>1）试运行：</w:t>
            </w:r>
            <w:r>
              <w:rPr>
                <w:rFonts w:hint="eastAsia" w:ascii="宋体" w:hAnsi="宋体" w:cs="宋体"/>
                <w:color w:val="auto"/>
                <w:highlight w:val="none"/>
              </w:rPr>
              <w:t>软件开发实施部署完成并经测试通过后</w:t>
            </w:r>
            <w:r>
              <w:rPr>
                <w:rFonts w:hint="eastAsia" w:ascii="宋体" w:hAnsi="宋体" w:cs="宋体"/>
                <w:color w:val="auto"/>
                <w:szCs w:val="21"/>
                <w:highlight w:val="none"/>
                <w:lang w:val="zh-CN"/>
              </w:rPr>
              <w:t xml:space="preserve">，系统进入试运行，试运行时间为1个月。 </w:t>
            </w:r>
          </w:p>
          <w:p>
            <w:pPr>
              <w:snapToGrid w:val="0"/>
              <w:spacing w:before="120" w:beforeLines="50"/>
              <w:ind w:firstLine="420"/>
              <w:rPr>
                <w:rFonts w:ascii="宋体" w:hAnsi="宋体" w:cs="宋体"/>
                <w:color w:val="auto"/>
                <w:szCs w:val="21"/>
                <w:highlight w:val="none"/>
                <w:lang w:val="zh-CN"/>
              </w:rPr>
            </w:pPr>
            <w:r>
              <w:rPr>
                <w:rFonts w:hint="eastAsia" w:ascii="宋体" w:hAnsi="宋体" w:cs="宋体"/>
                <w:color w:val="auto"/>
                <w:szCs w:val="21"/>
                <w:highlight w:val="none"/>
                <w:lang w:val="zh-CN"/>
              </w:rPr>
              <w:t>2）验收：系统通过试运行后，中标方向</w:t>
            </w:r>
            <w:r>
              <w:rPr>
                <w:rFonts w:hint="eastAsia" w:ascii="宋体" w:hAnsi="宋体" w:cs="宋体"/>
                <w:color w:val="auto"/>
                <w:highlight w:val="none"/>
              </w:rPr>
              <w:t>采购人</w:t>
            </w:r>
            <w:r>
              <w:rPr>
                <w:rFonts w:hint="eastAsia" w:ascii="宋体" w:hAnsi="宋体" w:cs="宋体"/>
                <w:color w:val="auto"/>
                <w:szCs w:val="21"/>
                <w:highlight w:val="none"/>
                <w:lang w:val="zh-CN"/>
              </w:rPr>
              <w:t>提出申请，</w:t>
            </w:r>
            <w:r>
              <w:rPr>
                <w:rFonts w:hint="eastAsia" w:ascii="宋体" w:hAnsi="宋体" w:cs="宋体"/>
                <w:color w:val="auto"/>
                <w:highlight w:val="none"/>
              </w:rPr>
              <w:t>采购人</w:t>
            </w:r>
            <w:r>
              <w:rPr>
                <w:rFonts w:hint="eastAsia" w:ascii="宋体" w:hAnsi="宋体" w:cs="宋体"/>
                <w:color w:val="auto"/>
                <w:szCs w:val="21"/>
                <w:highlight w:val="none"/>
                <w:lang w:val="zh-CN"/>
              </w:rPr>
              <w:t>组织相关单位进行系统的验收。系统验收通过，进入正式运行阶段。系统终验收合格的条件必须至少满足以下三个要求：已提供了合同要求的全部设备、软件和资料；试运行时性能满足合同要求；测试和试运行验收时出现的问题已被解决。</w:t>
            </w:r>
          </w:p>
          <w:p>
            <w:pPr>
              <w:snapToGrid w:val="0"/>
              <w:spacing w:before="120" w:beforeLines="50"/>
              <w:ind w:firstLine="420"/>
              <w:rPr>
                <w:rFonts w:ascii="宋体" w:hAnsi="宋体" w:cs="宋体"/>
                <w:color w:val="auto"/>
                <w:highlight w:val="none"/>
                <w:lang w:val="zh-CN"/>
              </w:rPr>
            </w:pPr>
            <w:r>
              <w:rPr>
                <w:rFonts w:hint="eastAsia" w:ascii="宋体" w:hAnsi="宋体" w:cs="宋体"/>
                <w:color w:val="auto"/>
                <w:szCs w:val="21"/>
                <w:highlight w:val="none"/>
                <w:lang w:val="zh-CN"/>
              </w:rPr>
              <w:t>3）验收前由</w:t>
            </w:r>
            <w:r>
              <w:rPr>
                <w:rFonts w:hint="eastAsia" w:ascii="宋体" w:hAnsi="宋体" w:cs="宋体"/>
                <w:color w:val="auto"/>
                <w:szCs w:val="21"/>
                <w:highlight w:val="none"/>
                <w:lang w:val="zh-CN"/>
              </w:rPr>
              <w:t>采购人</w:t>
            </w:r>
            <w:r>
              <w:rPr>
                <w:rFonts w:hint="eastAsia" w:ascii="宋体" w:hAnsi="宋体" w:cs="宋体"/>
                <w:color w:val="auto"/>
                <w:szCs w:val="21"/>
                <w:highlight w:val="none"/>
                <w:lang w:val="zh-CN"/>
              </w:rPr>
              <w:t>负责组织本项目的软件测评和等保测评。</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44" w:hRule="atLeast"/>
        </w:trPr>
        <w:tc>
          <w:tcPr>
            <w:tcW w:w="1560"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交付要求</w:t>
            </w:r>
          </w:p>
        </w:tc>
        <w:tc>
          <w:tcPr>
            <w:tcW w:w="737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ind w:firstLine="420"/>
              <w:rPr>
                <w:rFonts w:ascii="宋体" w:hAnsi="宋体" w:cs="宋体"/>
                <w:color w:val="auto"/>
                <w:szCs w:val="21"/>
                <w:highlight w:val="none"/>
                <w:lang w:val="zh-CN"/>
              </w:rPr>
            </w:pPr>
            <w:r>
              <w:rPr>
                <w:rFonts w:hint="eastAsia" w:ascii="宋体" w:hAnsi="宋体" w:cs="宋体"/>
                <w:color w:val="auto"/>
                <w:szCs w:val="21"/>
                <w:highlight w:val="none"/>
                <w:lang w:val="zh-CN"/>
              </w:rPr>
              <w:t>中标人应按照招标文件所约定的内容和时间进行交付；按照计算机软件工程规范国家标准分阶段交付应用系统的文档，所交付的文档与文件应该是电子版式及纸质形式。交付的文档包括（但不限于）：需求规格说明书、设计说明书、数据库设计说明书、项目测试方案、项目测试报告、用户操作手册、管理与维护手册、安装手册、总结报告及采购人认为需要的其他材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6" w:hRule="atLeast"/>
        </w:trPr>
        <w:tc>
          <w:tcPr>
            <w:tcW w:w="1560"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培训</w:t>
            </w:r>
          </w:p>
        </w:tc>
        <w:tc>
          <w:tcPr>
            <w:tcW w:w="737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ind w:firstLine="420"/>
              <w:rPr>
                <w:rFonts w:ascii="宋体" w:hAnsi="宋体" w:cs="宋体"/>
                <w:color w:val="auto"/>
                <w:szCs w:val="21"/>
                <w:highlight w:val="none"/>
                <w:lang w:val="zh-CN"/>
              </w:rPr>
            </w:pPr>
            <w:r>
              <w:rPr>
                <w:rFonts w:hint="eastAsia" w:ascii="宋体" w:hAnsi="宋体" w:cs="宋体"/>
                <w:color w:val="auto"/>
                <w:szCs w:val="21"/>
                <w:highlight w:val="none"/>
                <w:lang w:val="zh-CN"/>
              </w:rPr>
              <w:t>1）投标人负责对</w:t>
            </w:r>
            <w:r>
              <w:rPr>
                <w:rFonts w:hint="eastAsia" w:ascii="宋体" w:hAnsi="宋体" w:cs="宋体"/>
                <w:color w:val="auto"/>
                <w:szCs w:val="21"/>
                <w:highlight w:val="none"/>
                <w:lang w:val="zh-CN"/>
              </w:rPr>
              <w:t>采购人</w:t>
            </w:r>
            <w:r>
              <w:rPr>
                <w:rFonts w:hint="eastAsia" w:ascii="宋体" w:hAnsi="宋体" w:cs="宋体"/>
                <w:color w:val="auto"/>
                <w:szCs w:val="21"/>
                <w:highlight w:val="none"/>
                <w:lang w:val="zh-CN"/>
              </w:rPr>
              <w:t>相关人员的使用、维护等培训。应派遣优秀的培训人员，采用现代化的培训手段安排培训课程。</w:t>
            </w:r>
          </w:p>
          <w:p>
            <w:pPr>
              <w:snapToGrid w:val="0"/>
              <w:spacing w:before="120" w:beforeLines="50"/>
              <w:ind w:firstLine="420"/>
              <w:rPr>
                <w:rFonts w:ascii="宋体" w:hAnsi="宋体" w:cs="宋体"/>
                <w:color w:val="auto"/>
                <w:szCs w:val="21"/>
                <w:highlight w:val="none"/>
                <w:lang w:val="zh-CN"/>
              </w:rPr>
            </w:pPr>
            <w:r>
              <w:rPr>
                <w:rFonts w:hint="eastAsia" w:ascii="宋体" w:hAnsi="宋体" w:cs="宋体"/>
                <w:color w:val="auto"/>
                <w:szCs w:val="21"/>
                <w:highlight w:val="none"/>
                <w:lang w:val="zh-CN"/>
              </w:rPr>
              <w:t>2）培训人员均应具备授课经验，应负责教会</w:t>
            </w:r>
            <w:r>
              <w:rPr>
                <w:rFonts w:hint="eastAsia" w:ascii="宋体" w:hAnsi="宋体" w:cs="宋体"/>
                <w:color w:val="auto"/>
                <w:szCs w:val="21"/>
                <w:highlight w:val="none"/>
                <w:lang w:val="zh-CN"/>
              </w:rPr>
              <w:t>采购人</w:t>
            </w:r>
            <w:r>
              <w:rPr>
                <w:rFonts w:hint="eastAsia" w:ascii="宋体" w:hAnsi="宋体" w:cs="宋体"/>
                <w:color w:val="auto"/>
                <w:szCs w:val="21"/>
                <w:highlight w:val="none"/>
                <w:lang w:val="zh-CN"/>
              </w:rPr>
              <w:t>相关人员掌握培训课程的内容，提供如何使用技术资料的指导，并解答其在培训过程中提出的有关问题。</w:t>
            </w:r>
          </w:p>
          <w:p>
            <w:pPr>
              <w:snapToGrid w:val="0"/>
              <w:spacing w:before="120" w:beforeLines="50"/>
              <w:ind w:firstLine="420"/>
              <w:rPr>
                <w:rFonts w:ascii="宋体" w:hAnsi="宋体" w:cs="宋体"/>
                <w:color w:val="auto"/>
                <w:szCs w:val="21"/>
                <w:highlight w:val="none"/>
                <w:lang w:val="zh-CN"/>
              </w:rPr>
            </w:pPr>
            <w:r>
              <w:rPr>
                <w:rFonts w:hint="eastAsia" w:ascii="宋体" w:hAnsi="宋体" w:cs="宋体"/>
                <w:color w:val="auto"/>
                <w:szCs w:val="21"/>
                <w:highlight w:val="none"/>
                <w:lang w:val="zh-CN"/>
              </w:rPr>
              <w:t>3）投标人应随其投标文件提出一份初步培训计划，来保证</w:t>
            </w:r>
            <w:r>
              <w:rPr>
                <w:rFonts w:hint="eastAsia" w:ascii="宋体" w:hAnsi="宋体" w:cs="宋体"/>
                <w:color w:val="auto"/>
                <w:szCs w:val="21"/>
                <w:highlight w:val="none"/>
                <w:lang w:val="zh-CN"/>
              </w:rPr>
              <w:t>采购人</w:t>
            </w:r>
            <w:r>
              <w:rPr>
                <w:rFonts w:hint="eastAsia" w:ascii="宋体" w:hAnsi="宋体" w:cs="宋体"/>
                <w:color w:val="auto"/>
                <w:szCs w:val="21"/>
                <w:highlight w:val="none"/>
                <w:lang w:val="zh-CN"/>
              </w:rPr>
              <w:t>系统使用人员在合同规定时间节点前操作水平达到熟练。正式的培训计划将经双方协商后确定。</w:t>
            </w:r>
          </w:p>
          <w:p>
            <w:pPr>
              <w:snapToGrid w:val="0"/>
              <w:spacing w:before="120" w:beforeLines="50"/>
              <w:ind w:firstLine="420"/>
              <w:rPr>
                <w:rFonts w:ascii="宋体" w:hAnsi="宋体" w:cs="宋体"/>
                <w:color w:val="auto"/>
                <w:szCs w:val="21"/>
                <w:highlight w:val="none"/>
                <w:lang w:val="zh-CN"/>
              </w:rPr>
            </w:pPr>
            <w:r>
              <w:rPr>
                <w:rFonts w:hint="eastAsia" w:ascii="宋体" w:hAnsi="宋体" w:cs="宋体"/>
                <w:color w:val="auto"/>
                <w:szCs w:val="21"/>
                <w:highlight w:val="none"/>
                <w:lang w:val="zh-CN"/>
              </w:rPr>
              <w:t>4）培训的费用应包含在合同价格中，这些费用包括培训人员的工资、教材和手册，以及</w:t>
            </w:r>
            <w:r>
              <w:rPr>
                <w:rFonts w:hint="eastAsia" w:ascii="宋体" w:hAnsi="宋体" w:cs="宋体"/>
                <w:color w:val="auto"/>
                <w:szCs w:val="21"/>
                <w:highlight w:val="none"/>
                <w:lang w:val="zh-CN"/>
              </w:rPr>
              <w:t>采购人</w:t>
            </w:r>
            <w:r>
              <w:rPr>
                <w:rFonts w:hint="eastAsia" w:ascii="宋体" w:hAnsi="宋体" w:cs="宋体"/>
                <w:color w:val="auto"/>
                <w:szCs w:val="21"/>
                <w:highlight w:val="none"/>
                <w:lang w:val="zh-CN"/>
              </w:rPr>
              <w:t>相关人员所需的培训用品等。</w:t>
            </w:r>
          </w:p>
          <w:p>
            <w:pPr>
              <w:snapToGrid w:val="0"/>
              <w:spacing w:before="120" w:beforeLines="50"/>
              <w:ind w:firstLine="420"/>
              <w:rPr>
                <w:rFonts w:ascii="宋体" w:hAnsi="宋体" w:cs="宋体"/>
                <w:color w:val="auto"/>
                <w:szCs w:val="21"/>
                <w:highlight w:val="none"/>
                <w:lang w:val="zh-CN"/>
              </w:rPr>
            </w:pPr>
            <w:r>
              <w:rPr>
                <w:rFonts w:hint="eastAsia" w:ascii="宋体" w:hAnsi="宋体" w:cs="宋体"/>
                <w:color w:val="auto"/>
                <w:szCs w:val="21"/>
                <w:highlight w:val="none"/>
                <w:lang w:val="zh-CN"/>
              </w:rPr>
              <w:t>5）参加培训的人员、时间、地点由双方另行商定。</w:t>
            </w:r>
          </w:p>
          <w:p>
            <w:pPr>
              <w:snapToGrid w:val="0"/>
              <w:spacing w:before="120" w:beforeLines="50"/>
              <w:ind w:firstLine="420"/>
              <w:rPr>
                <w:rFonts w:ascii="宋体" w:hAnsi="宋体" w:cs="宋体"/>
                <w:color w:val="auto"/>
                <w:szCs w:val="21"/>
                <w:highlight w:val="none"/>
                <w:lang w:val="zh-CN"/>
              </w:rPr>
            </w:pPr>
            <w:r>
              <w:rPr>
                <w:rFonts w:hint="eastAsia" w:ascii="宋体" w:hAnsi="宋体" w:cs="宋体"/>
                <w:color w:val="auto"/>
                <w:szCs w:val="21"/>
                <w:highlight w:val="none"/>
                <w:lang w:val="zh-CN"/>
              </w:rPr>
              <w:t>6）投标人根据需求调查、分析、设计、开发的实际情况，不仅要编写出各种层次的使用说明书，还应有一般用户强化训练的培训教材。</w:t>
            </w:r>
          </w:p>
          <w:p>
            <w:pPr>
              <w:snapToGrid w:val="0"/>
              <w:spacing w:before="120" w:beforeLines="50"/>
              <w:ind w:firstLine="420"/>
              <w:rPr>
                <w:rFonts w:ascii="宋体" w:hAnsi="宋体" w:cs="宋体"/>
                <w:color w:val="auto"/>
                <w:szCs w:val="21"/>
                <w:highlight w:val="none"/>
                <w:lang w:val="zh-CN"/>
              </w:rPr>
            </w:pPr>
            <w:r>
              <w:rPr>
                <w:rFonts w:hint="eastAsia" w:ascii="宋体" w:hAnsi="宋体" w:cs="宋体"/>
                <w:color w:val="auto"/>
                <w:szCs w:val="21"/>
                <w:highlight w:val="none"/>
                <w:lang w:val="zh-CN"/>
              </w:rPr>
              <w:t>7）投标人负责</w:t>
            </w:r>
            <w:r>
              <w:rPr>
                <w:rFonts w:hint="eastAsia" w:ascii="宋体" w:hAnsi="宋体" w:cs="宋体"/>
                <w:color w:val="auto"/>
                <w:szCs w:val="21"/>
                <w:highlight w:val="none"/>
                <w:lang w:val="zh-CN"/>
              </w:rPr>
              <w:t>采购人</w:t>
            </w:r>
            <w:r>
              <w:rPr>
                <w:rFonts w:hint="eastAsia" w:ascii="宋体" w:hAnsi="宋体" w:cs="宋体"/>
                <w:color w:val="auto"/>
                <w:szCs w:val="21"/>
                <w:highlight w:val="none"/>
                <w:lang w:val="zh-CN"/>
              </w:rPr>
              <w:t>业务人员能够独立业务操作的应用培训。</w:t>
            </w:r>
          </w:p>
          <w:p>
            <w:pPr>
              <w:snapToGrid w:val="0"/>
              <w:spacing w:before="120" w:beforeLines="50"/>
              <w:ind w:firstLine="420"/>
              <w:rPr>
                <w:rFonts w:ascii="宋体" w:hAnsi="宋体" w:cs="宋体"/>
                <w:color w:val="auto"/>
                <w:szCs w:val="21"/>
                <w:highlight w:val="none"/>
                <w:lang w:val="zh-CN"/>
              </w:rPr>
            </w:pPr>
            <w:r>
              <w:rPr>
                <w:rFonts w:hint="eastAsia" w:ascii="宋体" w:hAnsi="宋体" w:cs="宋体"/>
                <w:color w:val="auto"/>
                <w:szCs w:val="21"/>
                <w:highlight w:val="none"/>
                <w:lang w:val="zh-CN"/>
              </w:rPr>
              <w:t>8）投标人负责</w:t>
            </w:r>
            <w:r>
              <w:rPr>
                <w:rFonts w:hint="eastAsia" w:ascii="宋体" w:hAnsi="宋体" w:cs="宋体"/>
                <w:color w:val="auto"/>
                <w:szCs w:val="21"/>
                <w:highlight w:val="none"/>
                <w:lang w:val="zh-CN"/>
              </w:rPr>
              <w:t>采购人</w:t>
            </w:r>
            <w:r>
              <w:rPr>
                <w:rFonts w:hint="eastAsia" w:ascii="宋体" w:hAnsi="宋体" w:cs="宋体"/>
                <w:color w:val="auto"/>
                <w:szCs w:val="21"/>
                <w:highlight w:val="none"/>
                <w:lang w:val="zh-CN"/>
              </w:rPr>
              <w:t>系统管理员专业知识和开发工具的使用培训，以便他们能熟练地对系统进行维护和管理。包括完成安装、调试、检查测试、维护、查找及排除故障等。</w:t>
            </w:r>
          </w:p>
          <w:p>
            <w:pPr>
              <w:snapToGrid w:val="0"/>
              <w:spacing w:before="120" w:beforeLines="50"/>
              <w:ind w:firstLine="420"/>
              <w:rPr>
                <w:rFonts w:ascii="宋体" w:hAnsi="宋体" w:cs="宋体"/>
                <w:color w:val="auto"/>
                <w:szCs w:val="21"/>
                <w:highlight w:val="none"/>
                <w:lang w:val="zh-CN"/>
              </w:rPr>
            </w:pPr>
            <w:r>
              <w:rPr>
                <w:rFonts w:hint="eastAsia" w:ascii="宋体" w:hAnsi="宋体" w:cs="宋体"/>
                <w:color w:val="auto"/>
                <w:szCs w:val="21"/>
                <w:highlight w:val="none"/>
                <w:lang w:val="zh-CN"/>
              </w:rPr>
              <w:t>9）培训内容：系统的使用和维护；数据库部署和维护。</w:t>
            </w:r>
          </w:p>
          <w:p>
            <w:pPr>
              <w:snapToGrid w:val="0"/>
              <w:spacing w:before="120" w:beforeLines="50"/>
              <w:ind w:firstLine="420"/>
              <w:rPr>
                <w:rFonts w:ascii="宋体" w:hAnsi="宋体" w:cs="宋体"/>
                <w:color w:val="auto"/>
                <w:szCs w:val="21"/>
                <w:highlight w:val="none"/>
                <w:lang w:val="zh-CN"/>
              </w:rPr>
            </w:pPr>
            <w:r>
              <w:rPr>
                <w:rFonts w:hint="eastAsia" w:ascii="宋体" w:hAnsi="宋体" w:cs="宋体"/>
                <w:color w:val="auto"/>
                <w:szCs w:val="21"/>
                <w:highlight w:val="none"/>
                <w:lang w:val="zh-CN"/>
              </w:rPr>
              <w:t>10）培训方式：应采用集中与分层培训，集中培训能使学员了解系统结构及功能，了解各模块之间的数据关系，掌握其相关查询方法以及报表的生成方式；分层培训主要针对各业务部门进行培训，使学员能够了解其自身相关业务模块的功能使用以及数据流向，熟练操作各功能模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560"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售后服务</w:t>
            </w:r>
          </w:p>
        </w:tc>
        <w:tc>
          <w:tcPr>
            <w:tcW w:w="737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ind w:firstLine="420"/>
              <w:rPr>
                <w:rFonts w:ascii="宋体" w:hAnsi="宋体" w:cs="宋体"/>
                <w:color w:val="auto"/>
                <w:szCs w:val="21"/>
                <w:highlight w:val="none"/>
              </w:rPr>
            </w:pPr>
            <w:r>
              <w:rPr>
                <w:rFonts w:hint="eastAsia" w:ascii="宋体" w:hAnsi="宋体" w:cs="宋体"/>
                <w:color w:val="auto"/>
                <w:szCs w:val="21"/>
                <w:highlight w:val="none"/>
                <w:lang w:val="zh-CN"/>
              </w:rPr>
              <w:t>1</w:t>
            </w:r>
            <w:r>
              <w:rPr>
                <w:rFonts w:hint="eastAsia" w:ascii="宋体" w:hAnsi="宋体" w:cs="宋体"/>
                <w:color w:val="auto"/>
                <w:szCs w:val="21"/>
                <w:highlight w:val="none"/>
              </w:rPr>
              <w:t>）</w:t>
            </w:r>
            <w:r>
              <w:rPr>
                <w:rFonts w:hint="eastAsia" w:ascii="宋体" w:hAnsi="宋体" w:cs="宋体"/>
                <w:color w:val="auto"/>
                <w:szCs w:val="21"/>
                <w:highlight w:val="none"/>
                <w:lang w:val="zh-CN"/>
              </w:rPr>
              <w:t>质量保证期内，在接到系统故障通知后，中标人在现场的运维团队必须在30分钟内响应。对于影响平台系统正常运行的严重故障，中标人工程师及其它相关技术人员必须在接到故障通知后</w:t>
            </w:r>
            <w:r>
              <w:rPr>
                <w:rFonts w:hint="eastAsia" w:ascii="宋体" w:hAnsi="宋体" w:cs="宋体"/>
                <w:color w:val="auto"/>
                <w:szCs w:val="21"/>
                <w:highlight w:val="none"/>
              </w:rPr>
              <w:t>2</w:t>
            </w:r>
            <w:r>
              <w:rPr>
                <w:rFonts w:hint="eastAsia" w:ascii="宋体" w:hAnsi="宋体" w:cs="宋体"/>
                <w:color w:val="auto"/>
                <w:szCs w:val="21"/>
                <w:highlight w:val="none"/>
                <w:lang w:val="zh-CN"/>
              </w:rPr>
              <w:t>小时内赶到现场，查找原因，提出解决方案，并工作直至故障修妥，完全恢复正常服务为止，一般要求保证系统在8小时之内修复，并需要提供确保承诺实现的措施。项目质量保证期内中标单位未能按要求提供服务的，</w:t>
            </w:r>
            <w:r>
              <w:rPr>
                <w:rFonts w:hint="eastAsia" w:ascii="宋体" w:hAnsi="宋体" w:cs="宋体"/>
                <w:color w:val="auto"/>
                <w:highlight w:val="none"/>
              </w:rPr>
              <w:t>采购人有权不予支付尾款</w:t>
            </w:r>
            <w:r>
              <w:rPr>
                <w:rFonts w:hint="eastAsia" w:ascii="宋体" w:hAnsi="宋体" w:cs="宋体"/>
                <w:color w:val="auto"/>
                <w:szCs w:val="21"/>
                <w:highlight w:val="none"/>
                <w:lang w:val="zh-CN"/>
              </w:rPr>
              <w:t>。</w:t>
            </w:r>
          </w:p>
          <w:p>
            <w:pPr>
              <w:snapToGrid w:val="0"/>
              <w:spacing w:before="120" w:beforeLines="50"/>
              <w:ind w:firstLine="420"/>
              <w:rPr>
                <w:rFonts w:ascii="宋体" w:hAnsi="宋体" w:cs="宋体"/>
                <w:color w:val="auto"/>
                <w:szCs w:val="21"/>
                <w:highlight w:val="none"/>
                <w:lang w:val="zh-CN"/>
              </w:rPr>
            </w:pPr>
            <w:r>
              <w:rPr>
                <w:rFonts w:hint="eastAsia" w:ascii="宋体" w:hAnsi="宋体" w:cs="宋体"/>
                <w:color w:val="auto"/>
                <w:szCs w:val="21"/>
                <w:highlight w:val="none"/>
                <w:lang w:val="zh-CN"/>
              </w:rPr>
              <w:t>2）为保证平台系统正常、安全地运行，技术支持力量和优良的服务是系统正常、安全运行的保障。投标人应据此制定系统详细的技术支持与服务方案，包括服务内容、服务方式、服务响应时间、应急措施及组织结构等。</w:t>
            </w:r>
          </w:p>
          <w:p>
            <w:pPr>
              <w:snapToGrid w:val="0"/>
              <w:spacing w:before="120" w:beforeLines="50"/>
              <w:ind w:firstLine="420"/>
              <w:rPr>
                <w:rFonts w:ascii="宋体" w:hAnsi="宋体" w:cs="宋体"/>
                <w:color w:val="auto"/>
                <w:szCs w:val="21"/>
                <w:highlight w:val="none"/>
                <w:lang w:val="zh-CN"/>
              </w:rPr>
            </w:pPr>
            <w:r>
              <w:rPr>
                <w:rFonts w:hint="eastAsia" w:ascii="宋体" w:hAnsi="宋体" w:cs="宋体"/>
                <w:color w:val="auto"/>
                <w:szCs w:val="21"/>
                <w:highlight w:val="none"/>
                <w:lang w:val="zh-CN"/>
              </w:rPr>
              <w:t>3）投标人须作出无推诿承诺。即投标人应提供特殊措施，无论由于哪一方产生的问题而使系统发生不正常情况时，并在得到采购人通知后，立即派工程师到场，全力协助系统集成商和其他供应商，使系统尽快恢复正常。</w:t>
            </w:r>
          </w:p>
          <w:p>
            <w:pPr>
              <w:snapToGrid w:val="0"/>
              <w:spacing w:before="120" w:beforeLines="50"/>
              <w:ind w:firstLine="420"/>
              <w:rPr>
                <w:rFonts w:ascii="宋体" w:hAnsi="宋体" w:cs="宋体"/>
                <w:color w:val="auto"/>
                <w:szCs w:val="21"/>
                <w:highlight w:val="none"/>
                <w:lang w:val="zh-CN"/>
              </w:rPr>
            </w:pPr>
            <w:r>
              <w:rPr>
                <w:rFonts w:hint="eastAsia" w:ascii="宋体" w:hAnsi="宋体" w:cs="宋体"/>
                <w:color w:val="auto"/>
                <w:szCs w:val="21"/>
                <w:highlight w:val="none"/>
                <w:lang w:val="zh-CN"/>
              </w:rPr>
              <w:t>4）系统质保期内故障率不得超过5天，如达不到要求，每超过一天，质保期相应延长5天。质保期内因系统本身缺陷造成各种故障应由中标单位免费技术服务和维修。</w:t>
            </w:r>
          </w:p>
          <w:p>
            <w:pPr>
              <w:snapToGrid w:val="0"/>
              <w:spacing w:before="120" w:beforeLines="50"/>
              <w:ind w:firstLine="420"/>
              <w:rPr>
                <w:rFonts w:ascii="宋体" w:hAnsi="宋体" w:cs="宋体"/>
                <w:color w:val="auto"/>
                <w:szCs w:val="21"/>
                <w:highlight w:val="none"/>
                <w:lang w:val="zh-CN"/>
              </w:rPr>
            </w:pPr>
            <w:r>
              <w:rPr>
                <w:rFonts w:hint="eastAsia" w:ascii="宋体" w:hAnsi="宋体" w:cs="宋体"/>
                <w:color w:val="auto"/>
                <w:szCs w:val="21"/>
                <w:highlight w:val="none"/>
                <w:lang w:val="zh-CN"/>
              </w:rPr>
              <w:t>5）在质量保证期结束前，须由中标单位工程师和采购人代表进行一次全面检查，任何缺陷必须由中标单位负责修改。在修改之后，中标单位应将缺陷原因、修改内容、完成修改及恢复正常的时间和日期等报告给采购人。</w:t>
            </w:r>
          </w:p>
          <w:p>
            <w:pPr>
              <w:snapToGrid w:val="0"/>
              <w:spacing w:before="120" w:beforeLines="50"/>
              <w:ind w:firstLine="420"/>
              <w:rPr>
                <w:rFonts w:ascii="宋体" w:hAnsi="宋体" w:cs="宋体"/>
                <w:color w:val="auto"/>
                <w:szCs w:val="21"/>
                <w:highlight w:val="none"/>
                <w:lang w:val="zh-CN"/>
              </w:rPr>
            </w:pPr>
            <w:r>
              <w:rPr>
                <w:rFonts w:hint="eastAsia" w:ascii="宋体" w:hAnsi="宋体" w:cs="宋体"/>
                <w:color w:val="auto"/>
                <w:szCs w:val="21"/>
                <w:highlight w:val="none"/>
                <w:lang w:val="zh-CN"/>
              </w:rPr>
              <w:t>6）质量保证期结束后，中标单位应保证以优惠价格优先对采购人进行系统技术支持和维护。</w:t>
            </w:r>
          </w:p>
          <w:p>
            <w:pPr>
              <w:snapToGrid w:val="0"/>
              <w:spacing w:before="120" w:beforeLines="50"/>
              <w:ind w:firstLine="420"/>
              <w:rPr>
                <w:rFonts w:ascii="宋体" w:hAnsi="宋体" w:cs="宋体"/>
                <w:color w:val="auto"/>
                <w:szCs w:val="21"/>
                <w:highlight w:val="none"/>
                <w:lang w:val="zh-CN"/>
              </w:rPr>
            </w:pPr>
            <w:r>
              <w:rPr>
                <w:rFonts w:hint="eastAsia" w:ascii="宋体" w:hAnsi="宋体" w:cs="宋体"/>
                <w:color w:val="auto"/>
                <w:szCs w:val="21"/>
                <w:highlight w:val="none"/>
                <w:lang w:val="zh-CN"/>
              </w:rPr>
              <w:t>7）中标人应提供电话免费咨询服务。</w:t>
            </w:r>
          </w:p>
          <w:p>
            <w:pPr>
              <w:snapToGrid w:val="0"/>
              <w:spacing w:before="120" w:beforeLines="50"/>
              <w:ind w:firstLine="420"/>
              <w:rPr>
                <w:rFonts w:ascii="宋体" w:hAnsi="宋体" w:cs="宋体"/>
                <w:color w:val="auto"/>
                <w:szCs w:val="21"/>
                <w:highlight w:val="none"/>
              </w:rPr>
            </w:pPr>
            <w:r>
              <w:rPr>
                <w:rFonts w:hint="eastAsia" w:ascii="宋体" w:hAnsi="宋体" w:cs="宋体"/>
                <w:color w:val="auto"/>
                <w:szCs w:val="21"/>
                <w:highlight w:val="none"/>
              </w:rPr>
              <w:t>8）</w:t>
            </w:r>
            <w:r>
              <w:rPr>
                <w:rFonts w:hint="eastAsia" w:ascii="宋体" w:hAnsi="宋体" w:cs="宋体"/>
                <w:color w:val="auto"/>
                <w:szCs w:val="21"/>
                <w:highlight w:val="none"/>
                <w:lang w:val="zh-CN"/>
              </w:rPr>
              <w:t>中标人</w:t>
            </w:r>
            <w:r>
              <w:rPr>
                <w:rFonts w:hint="eastAsia" w:ascii="宋体" w:hAnsi="宋体" w:cs="宋体"/>
                <w:color w:val="auto"/>
                <w:szCs w:val="21"/>
                <w:highlight w:val="none"/>
              </w:rPr>
              <w:t>未按投标</w:t>
            </w:r>
            <w:r>
              <w:rPr>
                <w:rFonts w:hint="eastAsia" w:ascii="宋体" w:hAnsi="宋体" w:cs="宋体"/>
                <w:color w:val="auto"/>
                <w:highlight w:val="none"/>
              </w:rPr>
              <w:t>时的售后服务承诺履约的，采购人不予支付尾款。</w:t>
            </w:r>
          </w:p>
        </w:tc>
      </w:tr>
      <w:bookmarkEnd w:id="123"/>
    </w:tbl>
    <w:p>
      <w:pPr>
        <w:ind w:firstLine="422"/>
        <w:rPr>
          <w:rFonts w:ascii="宋体" w:hAnsi="宋体" w:cs="宋体"/>
          <w:b/>
          <w:color w:val="auto"/>
          <w:szCs w:val="21"/>
          <w:highlight w:val="none"/>
        </w:rPr>
      </w:pPr>
    </w:p>
    <w:p>
      <w:pPr>
        <w:ind w:firstLine="422"/>
        <w:outlineLvl w:val="0"/>
        <w:rPr>
          <w:rFonts w:ascii="宋体" w:hAnsi="宋体" w:cs="宋体"/>
          <w:b/>
          <w:color w:val="auto"/>
          <w:szCs w:val="21"/>
          <w:highlight w:val="none"/>
        </w:rPr>
      </w:pPr>
      <w:bookmarkStart w:id="127" w:name="_Toc6552"/>
      <w:bookmarkStart w:id="128" w:name="_Toc16286"/>
      <w:bookmarkStart w:id="129" w:name="_Toc17723"/>
      <w:bookmarkStart w:id="130" w:name="_Toc29902"/>
      <w:bookmarkStart w:id="131" w:name="_Toc10578"/>
      <w:bookmarkStart w:id="132" w:name="_Toc13130"/>
      <w:bookmarkStart w:id="133" w:name="_Toc15475"/>
      <w:bookmarkStart w:id="134" w:name="_Toc13781"/>
      <w:bookmarkStart w:id="135" w:name="_Toc16061"/>
      <w:bookmarkStart w:id="136" w:name="_Toc10952"/>
      <w:bookmarkStart w:id="137" w:name="_Toc71364368"/>
      <w:bookmarkStart w:id="138" w:name="_Toc12931"/>
      <w:bookmarkStart w:id="139" w:name="_Toc21336"/>
      <w:r>
        <w:rPr>
          <w:rFonts w:hint="eastAsia" w:ascii="宋体" w:hAnsi="宋体" w:cs="宋体"/>
          <w:b/>
          <w:color w:val="auto"/>
          <w:szCs w:val="21"/>
          <w:highlight w:val="none"/>
        </w:rPr>
        <w:t>二、技术需求</w:t>
      </w:r>
      <w:bookmarkEnd w:id="127"/>
      <w:bookmarkEnd w:id="128"/>
      <w:bookmarkEnd w:id="129"/>
      <w:bookmarkEnd w:id="130"/>
      <w:bookmarkEnd w:id="131"/>
      <w:bookmarkEnd w:id="132"/>
      <w:bookmarkEnd w:id="133"/>
      <w:bookmarkEnd w:id="134"/>
      <w:bookmarkEnd w:id="135"/>
      <w:bookmarkEnd w:id="136"/>
      <w:bookmarkEnd w:id="137"/>
      <w:bookmarkEnd w:id="138"/>
      <w:bookmarkEnd w:id="139"/>
    </w:p>
    <w:p>
      <w:pPr>
        <w:pStyle w:val="4"/>
        <w:ind w:firstLine="422"/>
        <w:rPr>
          <w:rFonts w:ascii="宋体" w:hAnsi="宋体" w:eastAsia="宋体" w:cs="宋体"/>
          <w:color w:val="auto"/>
          <w:highlight w:val="none"/>
        </w:rPr>
      </w:pPr>
      <w:bookmarkStart w:id="140" w:name="_Toc71364369"/>
      <w:bookmarkStart w:id="141" w:name="_Toc476216626"/>
      <w:bookmarkStart w:id="142" w:name="_Toc13269"/>
      <w:bookmarkStart w:id="143" w:name="_Toc476216587"/>
      <w:bookmarkStart w:id="144" w:name="_Toc2034"/>
      <w:bookmarkStart w:id="145" w:name="_Toc21376"/>
      <w:bookmarkStart w:id="146" w:name="_Toc61611593"/>
      <w:r>
        <w:rPr>
          <w:rFonts w:hint="eastAsia" w:ascii="宋体" w:hAnsi="宋体" w:eastAsia="宋体" w:cs="宋体"/>
          <w:color w:val="auto"/>
          <w:highlight w:val="none"/>
        </w:rPr>
        <w:t>项目背景</w:t>
      </w:r>
      <w:bookmarkEnd w:id="140"/>
      <w:bookmarkEnd w:id="141"/>
      <w:bookmarkEnd w:id="142"/>
      <w:bookmarkEnd w:id="143"/>
    </w:p>
    <w:p>
      <w:pPr>
        <w:ind w:firstLine="420"/>
        <w:rPr>
          <w:rFonts w:ascii="宋体" w:hAnsi="宋体" w:cs="宋体"/>
          <w:color w:val="auto"/>
          <w:highlight w:val="none"/>
        </w:rPr>
      </w:pPr>
      <w:r>
        <w:rPr>
          <w:rFonts w:hint="eastAsia" w:ascii="宋体" w:hAnsi="宋体" w:cs="宋体"/>
          <w:color w:val="auto"/>
          <w:highlight w:val="none"/>
        </w:rPr>
        <w:t>宁波市石化经济技术开发区前身为宁波化工园区，成立于1998年，于2010年升格为国家级经济技术开发区。园区位于镇海区东面沿海区域，2014 年总体规划修编后，规划面积为 40 平方公里，是宁波市最重要的石化产业集聚区，也是产值规模前三的国家级专业化工园区之一。 根据宁波石化开发区的发展和提升需要，进一步将新泓口片区、泥螺山北侧围垦区统一纳入宁波石化开发区管理，拓展石化产业基地用地，连片开发，统一规划全区产业发展。当前宁波石化开发区正在开展新一轮国土空间规划修编，规划面积为 53.8 平方公里。 园区利用镇海液体化工码头、镇海炼化、丰富的滩涂资源、方便快捷的交通运输网络、活跃的浙江民营经济和民间资本等优势，坚持按照“规划先导、基础先行、分步实施、内外资并举”和可持续发展的工作要求，本着“外向型、高起点”和“持续、快速、安全、健康”的发展理念，结合石油化工行业的特点，努力营造一个以炼油和乙烯项目为支撑、以液体化工码头为依托、上下游产业一体化、资源配置集约化、生产与生态环境均衡协调的石化和化工新材料专业园区。园区分为炼油乙烯源头产业区、新材料及合成材料产业区、基本有机原料产业区、精细化工及无机原料产业区共四个区块。目前，园区内有全国最大的公共液体化工码头，年吞吐能力超1000万吨。园区内已有镇海炼化（拥有2300万吨/年原油加工能力和100万吨/年乙烯裂解装置）、英国英力士、荷兰诺力昂、韩国SK、德国朗盛、美国利安德巴塞尔、韩国LG以及富德能源、巨化科技、浙铁江宁、浙铁大风、金海晨光、恒河石化等60余家国内外大中型石化和化工企业落户。</w:t>
      </w:r>
    </w:p>
    <w:p>
      <w:pPr>
        <w:ind w:firstLine="420"/>
        <w:rPr>
          <w:rFonts w:ascii="宋体" w:hAnsi="宋体" w:cs="宋体"/>
          <w:color w:val="auto"/>
          <w:highlight w:val="none"/>
        </w:rPr>
      </w:pPr>
      <w:r>
        <w:rPr>
          <w:rFonts w:hint="eastAsia" w:ascii="宋体" w:hAnsi="宋体" w:cs="宋体"/>
          <w:color w:val="auto"/>
          <w:highlight w:val="none"/>
        </w:rPr>
        <w:t>落实省经信厅化工产业大脑建设，化工产业大脑基于“1+N”工业互联网平台搭建应用场景，建设“N”（智慧园区）。2019年12月，宁波石化经济技术开发区管委会对智慧园区建设总体规划方案进行公开招标。2020年9月，宁波石化经济技术开发区管委会组织业内专家对总体规划方案进行评审验收。</w:t>
      </w:r>
    </w:p>
    <w:p>
      <w:pPr>
        <w:ind w:firstLine="420"/>
        <w:jc w:val="left"/>
        <w:rPr>
          <w:rFonts w:ascii="宋体" w:hAnsi="宋体" w:cs="宋体"/>
          <w:color w:val="auto"/>
          <w:highlight w:val="none"/>
        </w:rPr>
      </w:pPr>
      <w:r>
        <w:rPr>
          <w:rFonts w:hint="eastAsia" w:ascii="宋体" w:hAnsi="宋体" w:cs="宋体"/>
          <w:color w:val="auto"/>
          <w:highlight w:val="none"/>
        </w:rPr>
        <w:t>2021年4月，省经信厅印发《浙江省经济和信息化厅关于推进全省化工园区（集聚区）数字化建设工作的通知》要求全省52个化工园区全部建成智慧园区数字化平台，实现园区管理的数字化运营目标。省化工产业大脑镇海试点工作落地宁波石化开发区，管委会根据上级工作部署，决定启动智慧园区一期项目建设工作。</w:t>
      </w:r>
      <w:bookmarkEnd w:id="144"/>
      <w:bookmarkEnd w:id="145"/>
      <w:bookmarkEnd w:id="146"/>
      <w:bookmarkStart w:id="147" w:name="_Toc472246598"/>
      <w:bookmarkStart w:id="148" w:name="_Toc11266"/>
      <w:bookmarkStart w:id="149" w:name="_Toc22046"/>
      <w:bookmarkStart w:id="150" w:name="_Toc29135"/>
      <w:bookmarkStart w:id="151" w:name="_Toc61611587"/>
      <w:bookmarkStart w:id="152" w:name="_Toc10330"/>
      <w:bookmarkStart w:id="153" w:name="_Toc699"/>
      <w:bookmarkStart w:id="154" w:name="_Toc23312"/>
    </w:p>
    <w:p>
      <w:pPr>
        <w:pStyle w:val="4"/>
        <w:ind w:firstLine="422"/>
        <w:rPr>
          <w:rFonts w:ascii="宋体" w:hAnsi="宋体" w:eastAsia="宋体" w:cs="宋体"/>
          <w:bCs w:val="0"/>
          <w:color w:val="auto"/>
          <w:kern w:val="2"/>
          <w:szCs w:val="21"/>
          <w:highlight w:val="none"/>
        </w:rPr>
      </w:pPr>
      <w:bookmarkStart w:id="155" w:name="_Toc568"/>
      <w:bookmarkStart w:id="156" w:name="_Toc8623"/>
      <w:bookmarkStart w:id="157" w:name="_Toc25793"/>
      <w:bookmarkStart w:id="158" w:name="_Toc4424"/>
      <w:r>
        <w:rPr>
          <w:rFonts w:hint="eastAsia" w:ascii="宋体" w:hAnsi="宋体" w:eastAsia="宋体" w:cs="宋体"/>
          <w:bCs w:val="0"/>
          <w:color w:val="auto"/>
          <w:kern w:val="2"/>
          <w:szCs w:val="21"/>
          <w:highlight w:val="none"/>
        </w:rPr>
        <w:t>建设目标</w:t>
      </w:r>
      <w:bookmarkEnd w:id="155"/>
      <w:bookmarkEnd w:id="156"/>
      <w:bookmarkEnd w:id="157"/>
      <w:bookmarkEnd w:id="158"/>
    </w:p>
    <w:p>
      <w:pPr>
        <w:spacing w:before="163" w:after="163"/>
        <w:ind w:firstLine="420"/>
        <w:rPr>
          <w:rFonts w:ascii="宋体" w:hAnsi="宋体" w:cs="宋体"/>
          <w:color w:val="auto"/>
          <w:highlight w:val="none"/>
        </w:rPr>
      </w:pPr>
      <w:r>
        <w:rPr>
          <w:rFonts w:hint="eastAsia" w:ascii="宋体" w:hAnsi="宋体" w:cs="宋体"/>
          <w:color w:val="auto"/>
          <w:highlight w:val="none"/>
        </w:rPr>
        <w:t>坚持绿色发展战略，按照“绿色发展、循环发展和集群化发展”的理念，以云计算、人工智能、5G等为代表的新一代信息技术和智慧应用为支撑，在实现全面感知和互联互通的基础上，整合园区内外的资源，实现人、物、系统之间无缝连接与协同联动的智慧自感知、自适应、自优化，从而对园区安全、环保、应急、公共服务等多种需求即时做出智能的响应，形成具备可持续生命力的园区形态，使园区管理服务等更便捷高效，助力“极具竞争力的世界级绿色石化基地”建设。</w:t>
      </w:r>
    </w:p>
    <w:bookmarkEnd w:id="147"/>
    <w:bookmarkEnd w:id="148"/>
    <w:bookmarkEnd w:id="149"/>
    <w:bookmarkEnd w:id="150"/>
    <w:bookmarkEnd w:id="151"/>
    <w:bookmarkEnd w:id="152"/>
    <w:bookmarkEnd w:id="153"/>
    <w:bookmarkEnd w:id="154"/>
    <w:p>
      <w:pPr>
        <w:pStyle w:val="4"/>
        <w:ind w:firstLine="422"/>
        <w:rPr>
          <w:rFonts w:ascii="宋体" w:hAnsi="宋体" w:eastAsia="宋体" w:cs="宋体"/>
          <w:bCs w:val="0"/>
          <w:color w:val="auto"/>
          <w:kern w:val="2"/>
          <w:szCs w:val="21"/>
          <w:highlight w:val="none"/>
        </w:rPr>
      </w:pPr>
      <w:bookmarkStart w:id="159" w:name="_Toc31226"/>
      <w:bookmarkStart w:id="160" w:name="_Toc17667"/>
      <w:bookmarkStart w:id="161" w:name="_Toc28029"/>
      <w:bookmarkStart w:id="162" w:name="_Toc27236"/>
      <w:bookmarkStart w:id="163" w:name="_Toc40298867"/>
      <w:bookmarkStart w:id="164" w:name="_Toc61611590"/>
      <w:bookmarkStart w:id="165" w:name="_Toc1170"/>
      <w:bookmarkStart w:id="166" w:name="_Toc20609"/>
      <w:bookmarkStart w:id="167" w:name="_Toc53665339"/>
      <w:bookmarkStart w:id="168" w:name="_Toc20790"/>
      <w:bookmarkStart w:id="169" w:name="_Toc49868546"/>
      <w:r>
        <w:rPr>
          <w:rFonts w:hint="eastAsia" w:ascii="宋体" w:hAnsi="宋体" w:eastAsia="宋体" w:cs="宋体"/>
          <w:bCs w:val="0"/>
          <w:color w:val="auto"/>
          <w:kern w:val="2"/>
          <w:szCs w:val="21"/>
          <w:highlight w:val="none"/>
        </w:rPr>
        <w:t>系统框架</w:t>
      </w:r>
      <w:bookmarkEnd w:id="159"/>
      <w:bookmarkEnd w:id="160"/>
      <w:bookmarkEnd w:id="161"/>
      <w:bookmarkEnd w:id="162"/>
    </w:p>
    <w:p>
      <w:pPr>
        <w:pStyle w:val="5"/>
        <w:ind w:firstLine="422"/>
        <w:rPr>
          <w:rFonts w:ascii="宋体" w:hAnsi="宋体" w:cs="宋体"/>
          <w:color w:val="auto"/>
          <w:highlight w:val="none"/>
        </w:rPr>
      </w:pPr>
      <w:bookmarkStart w:id="170" w:name="_Toc12760"/>
      <w:bookmarkStart w:id="171" w:name="_Toc7845"/>
      <w:bookmarkStart w:id="172" w:name="_Toc7430"/>
      <w:bookmarkStart w:id="173" w:name="_Toc3948"/>
      <w:r>
        <w:rPr>
          <w:rFonts w:hint="eastAsia" w:ascii="宋体" w:hAnsi="宋体" w:cs="宋体"/>
          <w:color w:val="auto"/>
          <w:highlight w:val="none"/>
        </w:rPr>
        <w:t>总体架构</w:t>
      </w:r>
      <w:bookmarkEnd w:id="163"/>
      <w:r>
        <w:rPr>
          <w:rFonts w:hint="eastAsia" w:ascii="宋体" w:hAnsi="宋体" w:cs="宋体"/>
          <w:color w:val="auto"/>
          <w:highlight w:val="none"/>
        </w:rPr>
        <w:t>设计</w:t>
      </w:r>
      <w:bookmarkEnd w:id="164"/>
      <w:bookmarkEnd w:id="165"/>
      <w:bookmarkEnd w:id="166"/>
      <w:bookmarkEnd w:id="167"/>
      <w:bookmarkEnd w:id="168"/>
      <w:bookmarkEnd w:id="169"/>
      <w:bookmarkEnd w:id="170"/>
      <w:bookmarkEnd w:id="171"/>
      <w:bookmarkEnd w:id="172"/>
      <w:bookmarkEnd w:id="173"/>
    </w:p>
    <w:p>
      <w:pPr>
        <w:ind w:firstLine="420"/>
        <w:jc w:val="left"/>
        <w:rPr>
          <w:rFonts w:ascii="宋体" w:hAnsi="宋体" w:cs="宋体"/>
          <w:color w:val="auto"/>
          <w:highlight w:val="none"/>
        </w:rPr>
      </w:pPr>
      <w:r>
        <w:rPr>
          <w:rFonts w:hint="eastAsia" w:ascii="宋体" w:hAnsi="宋体" w:cs="宋体"/>
          <w:color w:val="auto"/>
          <w:highlight w:val="none"/>
        </w:rPr>
        <w:t>智慧园区建设总体架构分为五层：物联感知层、基础设施平台层、园区数字平台层、智慧应用层及智慧运营中心层。</w:t>
      </w:r>
      <w:r>
        <w:rPr>
          <w:rFonts w:hint="eastAsia" w:ascii="宋体" w:hAnsi="宋体" w:cs="宋体"/>
          <w:color w:val="auto"/>
          <w:highlight w:val="none"/>
        </w:rPr>
        <w:drawing>
          <wp:inline distT="0" distB="0" distL="0" distR="0">
            <wp:extent cx="5810250" cy="34194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10250" cy="3419475"/>
                    </a:xfrm>
                    <a:prstGeom prst="rect">
                      <a:avLst/>
                    </a:prstGeom>
                    <a:noFill/>
                    <a:ln>
                      <a:noFill/>
                    </a:ln>
                    <a:effectLst/>
                  </pic:spPr>
                </pic:pic>
              </a:graphicData>
            </a:graphic>
          </wp:inline>
        </w:drawing>
      </w:r>
    </w:p>
    <w:p>
      <w:pPr>
        <w:pStyle w:val="5"/>
        <w:ind w:firstLine="422"/>
        <w:rPr>
          <w:rFonts w:ascii="宋体" w:hAnsi="宋体" w:cs="宋体"/>
          <w:color w:val="auto"/>
          <w:highlight w:val="none"/>
        </w:rPr>
      </w:pPr>
      <w:bookmarkStart w:id="174" w:name="_Toc38475629"/>
      <w:bookmarkEnd w:id="174"/>
      <w:bookmarkStart w:id="175" w:name="_Toc38476953"/>
      <w:bookmarkEnd w:id="175"/>
      <w:bookmarkStart w:id="176" w:name="_Toc38475755"/>
      <w:bookmarkEnd w:id="176"/>
      <w:bookmarkStart w:id="177" w:name="_Toc38476569"/>
      <w:bookmarkEnd w:id="177"/>
      <w:bookmarkStart w:id="178" w:name="_Toc38475760"/>
      <w:bookmarkEnd w:id="178"/>
      <w:bookmarkStart w:id="179" w:name="_Toc38476607"/>
      <w:bookmarkEnd w:id="179"/>
      <w:bookmarkStart w:id="180" w:name="_Toc38476563"/>
      <w:bookmarkEnd w:id="180"/>
      <w:bookmarkStart w:id="181" w:name="_Toc38477057"/>
      <w:bookmarkEnd w:id="181"/>
      <w:bookmarkStart w:id="182" w:name="_Toc38476930"/>
      <w:bookmarkEnd w:id="182"/>
      <w:bookmarkStart w:id="183" w:name="_Toc38476583"/>
      <w:bookmarkEnd w:id="183"/>
      <w:bookmarkStart w:id="184" w:name="_Toc38476598"/>
      <w:bookmarkEnd w:id="184"/>
      <w:bookmarkStart w:id="185" w:name="_Toc38475601"/>
      <w:bookmarkEnd w:id="185"/>
      <w:bookmarkStart w:id="186" w:name="_Toc5953105"/>
      <w:bookmarkEnd w:id="186"/>
      <w:bookmarkStart w:id="187" w:name="_Toc38476048"/>
      <w:bookmarkEnd w:id="187"/>
      <w:bookmarkStart w:id="188" w:name="_Toc38475734"/>
      <w:bookmarkEnd w:id="188"/>
      <w:bookmarkStart w:id="189" w:name="_Toc38475575"/>
      <w:bookmarkEnd w:id="189"/>
      <w:bookmarkStart w:id="190" w:name="_Toc38476673"/>
      <w:bookmarkEnd w:id="190"/>
      <w:bookmarkStart w:id="191" w:name="_Toc38476986"/>
      <w:bookmarkEnd w:id="191"/>
      <w:bookmarkStart w:id="192" w:name="_Toc38476883"/>
      <w:bookmarkEnd w:id="192"/>
      <w:bookmarkStart w:id="193" w:name="_Toc38475522"/>
      <w:bookmarkEnd w:id="193"/>
      <w:bookmarkStart w:id="194" w:name="_Toc38475744"/>
      <w:bookmarkEnd w:id="194"/>
      <w:bookmarkStart w:id="195" w:name="_Toc38475645"/>
      <w:bookmarkEnd w:id="195"/>
      <w:bookmarkStart w:id="196" w:name="_Toc38476991"/>
      <w:bookmarkEnd w:id="196"/>
      <w:bookmarkStart w:id="197" w:name="_Toc38475664"/>
      <w:bookmarkEnd w:id="197"/>
      <w:bookmarkStart w:id="198" w:name="_Toc38475491"/>
      <w:bookmarkEnd w:id="198"/>
      <w:bookmarkStart w:id="199" w:name="_Toc38475520"/>
      <w:bookmarkEnd w:id="199"/>
      <w:bookmarkStart w:id="200" w:name="_Toc36382600"/>
      <w:bookmarkEnd w:id="200"/>
      <w:bookmarkStart w:id="201" w:name="_Toc38475499"/>
      <w:bookmarkEnd w:id="201"/>
      <w:bookmarkStart w:id="202" w:name="_Toc38476137"/>
      <w:bookmarkEnd w:id="202"/>
      <w:bookmarkStart w:id="203" w:name="_Toc38476543"/>
      <w:bookmarkEnd w:id="203"/>
      <w:bookmarkStart w:id="204" w:name="_Toc38476629"/>
      <w:bookmarkEnd w:id="204"/>
      <w:bookmarkStart w:id="205" w:name="_Toc38476430"/>
      <w:bookmarkEnd w:id="205"/>
      <w:bookmarkStart w:id="206" w:name="_Toc38477206"/>
      <w:bookmarkEnd w:id="206"/>
      <w:bookmarkStart w:id="207" w:name="_Toc36382297"/>
      <w:bookmarkEnd w:id="207"/>
      <w:bookmarkStart w:id="208" w:name="_Toc38475704"/>
      <w:bookmarkEnd w:id="208"/>
      <w:bookmarkStart w:id="209" w:name="_Toc38476447"/>
      <w:bookmarkEnd w:id="209"/>
      <w:bookmarkStart w:id="210" w:name="_Toc38476728"/>
      <w:bookmarkEnd w:id="210"/>
      <w:bookmarkStart w:id="211" w:name="_Toc38476126"/>
      <w:bookmarkEnd w:id="211"/>
      <w:bookmarkStart w:id="212" w:name="_Toc38476565"/>
      <w:bookmarkEnd w:id="212"/>
      <w:bookmarkStart w:id="213" w:name="_Toc38475763"/>
      <w:bookmarkEnd w:id="213"/>
      <w:bookmarkStart w:id="214" w:name="_Toc38476840"/>
      <w:bookmarkEnd w:id="214"/>
      <w:bookmarkStart w:id="215" w:name="_Toc36382021"/>
      <w:bookmarkEnd w:id="215"/>
      <w:bookmarkStart w:id="216" w:name="_Toc38477062"/>
      <w:bookmarkEnd w:id="216"/>
      <w:bookmarkStart w:id="217" w:name="_Toc38477155"/>
      <w:bookmarkEnd w:id="217"/>
      <w:bookmarkStart w:id="218" w:name="_Toc36382089"/>
      <w:bookmarkEnd w:id="218"/>
      <w:bookmarkStart w:id="219" w:name="_Toc38477021"/>
      <w:bookmarkEnd w:id="219"/>
      <w:bookmarkStart w:id="220" w:name="_Toc38475728"/>
      <w:bookmarkEnd w:id="220"/>
      <w:bookmarkStart w:id="221" w:name="_Toc38476388"/>
      <w:bookmarkEnd w:id="221"/>
      <w:bookmarkStart w:id="222" w:name="_Toc38476739"/>
      <w:bookmarkEnd w:id="222"/>
      <w:bookmarkStart w:id="223" w:name="_Toc38476664"/>
      <w:bookmarkEnd w:id="223"/>
      <w:bookmarkStart w:id="224" w:name="_Toc38476118"/>
      <w:bookmarkEnd w:id="224"/>
      <w:bookmarkStart w:id="225" w:name="_Toc38475484"/>
      <w:bookmarkEnd w:id="225"/>
      <w:bookmarkStart w:id="226" w:name="_Toc38475652"/>
      <w:bookmarkEnd w:id="226"/>
      <w:bookmarkStart w:id="227" w:name="_Toc36381791"/>
      <w:bookmarkEnd w:id="227"/>
      <w:bookmarkStart w:id="228" w:name="_Toc38475759"/>
      <w:bookmarkEnd w:id="228"/>
      <w:bookmarkStart w:id="229" w:name="_Toc38476415"/>
      <w:bookmarkEnd w:id="229"/>
      <w:bookmarkStart w:id="230" w:name="_Toc38476653"/>
      <w:bookmarkEnd w:id="230"/>
      <w:bookmarkStart w:id="231" w:name="_Toc38476406"/>
      <w:bookmarkEnd w:id="231"/>
      <w:bookmarkStart w:id="232" w:name="_Toc36382560"/>
      <w:bookmarkEnd w:id="232"/>
      <w:bookmarkStart w:id="233" w:name="_Toc38477215"/>
      <w:bookmarkEnd w:id="233"/>
      <w:bookmarkStart w:id="234" w:name="_Toc38475665"/>
      <w:bookmarkEnd w:id="234"/>
      <w:bookmarkStart w:id="235" w:name="_Toc38476817"/>
      <w:bookmarkEnd w:id="235"/>
      <w:bookmarkStart w:id="236" w:name="_Toc38475494"/>
      <w:bookmarkEnd w:id="236"/>
      <w:bookmarkStart w:id="237" w:name="_Toc38476310"/>
      <w:bookmarkEnd w:id="237"/>
      <w:bookmarkStart w:id="238" w:name="_Toc38476133"/>
      <w:bookmarkEnd w:id="238"/>
      <w:bookmarkStart w:id="239" w:name="_Toc38476344"/>
      <w:bookmarkEnd w:id="239"/>
      <w:bookmarkStart w:id="240" w:name="_Toc38476696"/>
      <w:bookmarkEnd w:id="240"/>
      <w:bookmarkStart w:id="241" w:name="_Toc38476460"/>
      <w:bookmarkEnd w:id="241"/>
      <w:bookmarkStart w:id="242" w:name="_Toc38476814"/>
      <w:bookmarkEnd w:id="242"/>
      <w:bookmarkStart w:id="243" w:name="_Toc38476116"/>
      <w:bookmarkEnd w:id="243"/>
      <w:bookmarkStart w:id="244" w:name="_Toc38476615"/>
      <w:bookmarkEnd w:id="244"/>
      <w:bookmarkStart w:id="245" w:name="_Toc36381931"/>
      <w:bookmarkEnd w:id="245"/>
      <w:bookmarkStart w:id="246" w:name="_Toc38477153"/>
      <w:bookmarkEnd w:id="246"/>
      <w:bookmarkStart w:id="247" w:name="_Toc38476646"/>
      <w:bookmarkEnd w:id="247"/>
      <w:bookmarkStart w:id="248" w:name="_Toc38476710"/>
      <w:bookmarkEnd w:id="248"/>
      <w:bookmarkStart w:id="249" w:name="_Toc38476670"/>
      <w:bookmarkEnd w:id="249"/>
      <w:bookmarkStart w:id="250" w:name="_Toc38476471"/>
      <w:bookmarkEnd w:id="250"/>
      <w:bookmarkStart w:id="251" w:name="_Toc38477085"/>
      <w:bookmarkEnd w:id="251"/>
      <w:bookmarkStart w:id="252" w:name="_Toc38476843"/>
      <w:bookmarkEnd w:id="252"/>
      <w:bookmarkStart w:id="253" w:name="_Toc38475628"/>
      <w:bookmarkEnd w:id="253"/>
      <w:bookmarkStart w:id="254" w:name="_Toc38475582"/>
      <w:bookmarkEnd w:id="254"/>
      <w:bookmarkStart w:id="255" w:name="_Toc38475771"/>
      <w:bookmarkEnd w:id="255"/>
      <w:bookmarkStart w:id="256" w:name="_Toc38475680"/>
      <w:bookmarkEnd w:id="256"/>
      <w:bookmarkStart w:id="257" w:name="_Toc38475470"/>
      <w:bookmarkEnd w:id="257"/>
      <w:bookmarkStart w:id="258" w:name="_Toc38475674"/>
      <w:bookmarkEnd w:id="258"/>
      <w:bookmarkStart w:id="259" w:name="_Toc38476620"/>
      <w:bookmarkEnd w:id="259"/>
      <w:bookmarkStart w:id="260" w:name="_Toc38476129"/>
      <w:bookmarkEnd w:id="260"/>
      <w:bookmarkStart w:id="261" w:name="_Toc38476123"/>
      <w:bookmarkEnd w:id="261"/>
      <w:bookmarkStart w:id="262" w:name="_Toc38476381"/>
      <w:bookmarkEnd w:id="262"/>
      <w:bookmarkStart w:id="263" w:name="_Toc38476893"/>
      <w:bookmarkEnd w:id="263"/>
      <w:bookmarkStart w:id="264" w:name="_Toc38475778"/>
      <w:bookmarkEnd w:id="264"/>
      <w:bookmarkStart w:id="265" w:name="_Toc38476805"/>
      <w:bookmarkEnd w:id="265"/>
      <w:bookmarkStart w:id="266" w:name="_Toc38475746"/>
      <w:bookmarkEnd w:id="266"/>
      <w:bookmarkStart w:id="267" w:name="_Toc38476278"/>
      <w:bookmarkEnd w:id="267"/>
      <w:bookmarkStart w:id="268" w:name="_Toc38476900"/>
      <w:bookmarkEnd w:id="268"/>
      <w:bookmarkStart w:id="269" w:name="_Toc38475518"/>
      <w:bookmarkEnd w:id="269"/>
      <w:bookmarkStart w:id="270" w:name="_Toc38477081"/>
      <w:bookmarkEnd w:id="270"/>
      <w:bookmarkStart w:id="271" w:name="_Toc38475735"/>
      <w:bookmarkEnd w:id="271"/>
      <w:bookmarkStart w:id="272" w:name="_Toc38476989"/>
      <w:bookmarkEnd w:id="272"/>
      <w:bookmarkStart w:id="273" w:name="_Toc36382473"/>
      <w:bookmarkEnd w:id="273"/>
      <w:bookmarkStart w:id="274" w:name="_Toc36382571"/>
      <w:bookmarkEnd w:id="274"/>
      <w:bookmarkStart w:id="275" w:name="_Toc36382090"/>
      <w:bookmarkEnd w:id="275"/>
      <w:bookmarkStart w:id="276" w:name="_Toc38475599"/>
      <w:bookmarkEnd w:id="276"/>
      <w:bookmarkStart w:id="277" w:name="_Toc36382063"/>
      <w:bookmarkEnd w:id="277"/>
      <w:bookmarkStart w:id="278" w:name="_Toc38476950"/>
      <w:bookmarkEnd w:id="278"/>
      <w:bookmarkStart w:id="279" w:name="_Toc38475721"/>
      <w:bookmarkEnd w:id="279"/>
      <w:bookmarkStart w:id="280" w:name="_Toc38475653"/>
      <w:bookmarkEnd w:id="280"/>
      <w:bookmarkStart w:id="281" w:name="_Toc38476044"/>
      <w:bookmarkEnd w:id="281"/>
      <w:bookmarkStart w:id="282" w:name="_Toc38476387"/>
      <w:bookmarkEnd w:id="282"/>
      <w:bookmarkStart w:id="283" w:name="_Toc38476489"/>
      <w:bookmarkEnd w:id="283"/>
      <w:bookmarkStart w:id="284" w:name="_Toc38475671"/>
      <w:bookmarkEnd w:id="284"/>
      <w:bookmarkStart w:id="285" w:name="_Toc38476643"/>
      <w:bookmarkEnd w:id="285"/>
      <w:bookmarkStart w:id="286" w:name="_Toc38476117"/>
      <w:bookmarkEnd w:id="286"/>
      <w:bookmarkStart w:id="287" w:name="_Toc38475471"/>
      <w:bookmarkEnd w:id="287"/>
      <w:bookmarkStart w:id="288" w:name="_Toc38477156"/>
      <w:bookmarkEnd w:id="288"/>
      <w:bookmarkStart w:id="289" w:name="_Toc38476617"/>
      <w:bookmarkEnd w:id="289"/>
      <w:bookmarkStart w:id="290" w:name="_Toc38477071"/>
      <w:bookmarkEnd w:id="290"/>
      <w:bookmarkStart w:id="291" w:name="_Toc38475462"/>
      <w:bookmarkEnd w:id="291"/>
      <w:bookmarkStart w:id="292" w:name="_Toc38475572"/>
      <w:bookmarkEnd w:id="292"/>
      <w:bookmarkStart w:id="293" w:name="_Toc38476411"/>
      <w:bookmarkEnd w:id="293"/>
      <w:bookmarkStart w:id="294" w:name="_Toc38475666"/>
      <w:bookmarkEnd w:id="294"/>
      <w:bookmarkStart w:id="295" w:name="_Toc38475600"/>
      <w:bookmarkEnd w:id="295"/>
      <w:bookmarkStart w:id="296" w:name="_Toc38476695"/>
      <w:bookmarkEnd w:id="296"/>
      <w:bookmarkStart w:id="297" w:name="_Toc38476737"/>
      <w:bookmarkEnd w:id="297"/>
      <w:bookmarkStart w:id="298" w:name="_Toc38476124"/>
      <w:bookmarkEnd w:id="298"/>
      <w:bookmarkStart w:id="299" w:name="_Toc38475539"/>
      <w:bookmarkEnd w:id="299"/>
      <w:bookmarkStart w:id="300" w:name="_Toc38475541"/>
      <w:bookmarkEnd w:id="300"/>
      <w:bookmarkStart w:id="301" w:name="_Toc38476055"/>
      <w:bookmarkEnd w:id="301"/>
      <w:bookmarkStart w:id="302" w:name="_Toc38475545"/>
      <w:bookmarkEnd w:id="302"/>
      <w:bookmarkStart w:id="303" w:name="_Toc36382346"/>
      <w:bookmarkEnd w:id="303"/>
      <w:bookmarkStart w:id="304" w:name="_Toc38477061"/>
      <w:bookmarkEnd w:id="304"/>
      <w:bookmarkStart w:id="305" w:name="_Toc38476910"/>
      <w:bookmarkEnd w:id="305"/>
      <w:bookmarkStart w:id="306" w:name="_Toc38476546"/>
      <w:bookmarkEnd w:id="306"/>
      <w:bookmarkStart w:id="307" w:name="_Toc36382307"/>
      <w:bookmarkEnd w:id="307"/>
      <w:bookmarkStart w:id="308" w:name="_Toc38476600"/>
      <w:bookmarkEnd w:id="308"/>
      <w:bookmarkStart w:id="309" w:name="_Toc36382308"/>
      <w:bookmarkEnd w:id="309"/>
      <w:bookmarkStart w:id="310" w:name="_Toc38476051"/>
      <w:bookmarkEnd w:id="310"/>
      <w:bookmarkStart w:id="311" w:name="_Toc38476403"/>
      <w:bookmarkEnd w:id="311"/>
      <w:bookmarkStart w:id="312" w:name="_Toc38476428"/>
      <w:bookmarkEnd w:id="312"/>
      <w:bookmarkStart w:id="313" w:name="_Toc38475740"/>
      <w:bookmarkEnd w:id="313"/>
      <w:bookmarkStart w:id="314" w:name="_Toc38475648"/>
      <w:bookmarkEnd w:id="314"/>
      <w:bookmarkStart w:id="315" w:name="_Toc38476681"/>
      <w:bookmarkEnd w:id="315"/>
      <w:bookmarkStart w:id="316" w:name="_Toc38476896"/>
      <w:bookmarkEnd w:id="316"/>
      <w:bookmarkStart w:id="317" w:name="_Toc38476525"/>
      <w:bookmarkEnd w:id="317"/>
      <w:bookmarkStart w:id="318" w:name="_Toc38476399"/>
      <w:bookmarkEnd w:id="318"/>
      <w:bookmarkStart w:id="319" w:name="_Toc38475780"/>
      <w:bookmarkEnd w:id="319"/>
      <w:bookmarkStart w:id="320" w:name="_Toc38476449"/>
      <w:bookmarkEnd w:id="320"/>
      <w:bookmarkStart w:id="321" w:name="_Toc38476139"/>
      <w:bookmarkEnd w:id="321"/>
      <w:bookmarkStart w:id="322" w:name="_Toc38475737"/>
      <w:bookmarkEnd w:id="322"/>
      <w:bookmarkStart w:id="323" w:name="_Toc38476249"/>
      <w:bookmarkEnd w:id="323"/>
      <w:bookmarkStart w:id="324" w:name="_Toc38476602"/>
      <w:bookmarkEnd w:id="324"/>
      <w:bookmarkStart w:id="325" w:name="_Toc38477080"/>
      <w:bookmarkEnd w:id="325"/>
      <w:bookmarkStart w:id="326" w:name="_Toc38477040"/>
      <w:bookmarkEnd w:id="326"/>
      <w:bookmarkStart w:id="327" w:name="_Toc38476134"/>
      <w:bookmarkEnd w:id="327"/>
      <w:bookmarkStart w:id="328" w:name="_Toc38475580"/>
      <w:bookmarkEnd w:id="328"/>
      <w:bookmarkStart w:id="329" w:name="_Toc38475754"/>
      <w:bookmarkEnd w:id="329"/>
      <w:bookmarkStart w:id="330" w:name="_Toc38475549"/>
      <w:bookmarkEnd w:id="330"/>
      <w:bookmarkStart w:id="331" w:name="_Toc38475544"/>
      <w:bookmarkEnd w:id="331"/>
      <w:bookmarkStart w:id="332" w:name="_Toc36382580"/>
      <w:bookmarkEnd w:id="332"/>
      <w:bookmarkStart w:id="333" w:name="_Toc38476601"/>
      <w:bookmarkEnd w:id="333"/>
      <w:bookmarkStart w:id="334" w:name="_Toc38476966"/>
      <w:bookmarkEnd w:id="334"/>
      <w:bookmarkStart w:id="335" w:name="_Toc38476891"/>
      <w:bookmarkEnd w:id="335"/>
      <w:bookmarkStart w:id="336" w:name="_Toc38475564"/>
      <w:bookmarkEnd w:id="336"/>
      <w:bookmarkStart w:id="337" w:name="_Toc38476465"/>
      <w:bookmarkEnd w:id="337"/>
      <w:bookmarkStart w:id="338" w:name="_Toc38475770"/>
      <w:bookmarkEnd w:id="338"/>
      <w:bookmarkStart w:id="339" w:name="_Toc38476919"/>
      <w:bookmarkEnd w:id="339"/>
      <w:bookmarkStart w:id="340" w:name="_Toc38476476"/>
      <w:bookmarkEnd w:id="340"/>
      <w:bookmarkStart w:id="341" w:name="_Toc38475657"/>
      <w:bookmarkEnd w:id="341"/>
      <w:bookmarkStart w:id="342" w:name="_Toc38475506"/>
      <w:bookmarkEnd w:id="342"/>
      <w:bookmarkStart w:id="343" w:name="_Toc38477151"/>
      <w:bookmarkEnd w:id="343"/>
      <w:bookmarkStart w:id="344" w:name="_Toc38476408"/>
      <w:bookmarkEnd w:id="344"/>
      <w:bookmarkStart w:id="345" w:name="_Toc38475556"/>
      <w:bookmarkEnd w:id="345"/>
      <w:bookmarkStart w:id="346" w:name="_Toc38475517"/>
      <w:bookmarkEnd w:id="346"/>
      <w:bookmarkStart w:id="347" w:name="_Toc38476496"/>
      <w:bookmarkEnd w:id="347"/>
      <w:bookmarkStart w:id="348" w:name="_Toc38476395"/>
      <w:bookmarkEnd w:id="348"/>
      <w:bookmarkStart w:id="349" w:name="_Toc38476899"/>
      <w:bookmarkEnd w:id="349"/>
      <w:bookmarkStart w:id="350" w:name="_Toc36381913"/>
      <w:bookmarkEnd w:id="350"/>
      <w:bookmarkStart w:id="351" w:name="_Toc38477101"/>
      <w:bookmarkEnd w:id="351"/>
      <w:bookmarkStart w:id="352" w:name="_Toc38477025"/>
      <w:bookmarkEnd w:id="352"/>
      <w:bookmarkStart w:id="353" w:name="_Toc36382310"/>
      <w:bookmarkEnd w:id="353"/>
      <w:bookmarkStart w:id="354" w:name="_Toc38477209"/>
      <w:bookmarkEnd w:id="354"/>
      <w:bookmarkStart w:id="355" w:name="_Toc38476923"/>
      <w:bookmarkEnd w:id="355"/>
      <w:bookmarkStart w:id="356" w:name="_Toc38475455"/>
      <w:bookmarkEnd w:id="356"/>
      <w:bookmarkStart w:id="357" w:name="_Toc36382459"/>
      <w:bookmarkEnd w:id="357"/>
      <w:bookmarkStart w:id="358" w:name="_Toc38475635"/>
      <w:bookmarkEnd w:id="358"/>
      <w:bookmarkStart w:id="359" w:name="_Toc38476377"/>
      <w:bookmarkEnd w:id="359"/>
      <w:bookmarkStart w:id="360" w:name="_Toc38475698"/>
      <w:bookmarkEnd w:id="360"/>
      <w:bookmarkStart w:id="361" w:name="_Toc38475722"/>
      <w:bookmarkEnd w:id="361"/>
      <w:bookmarkStart w:id="362" w:name="_Toc38476494"/>
      <w:bookmarkEnd w:id="362"/>
      <w:bookmarkStart w:id="363" w:name="_Toc38475761"/>
      <w:bookmarkEnd w:id="363"/>
      <w:bookmarkStart w:id="364" w:name="_Toc38477219"/>
      <w:bookmarkEnd w:id="364"/>
      <w:bookmarkStart w:id="365" w:name="_Toc38476943"/>
      <w:bookmarkEnd w:id="365"/>
      <w:bookmarkStart w:id="366" w:name="_Toc36382578"/>
      <w:bookmarkEnd w:id="366"/>
      <w:bookmarkStart w:id="367" w:name="_Toc38476798"/>
      <w:bookmarkEnd w:id="367"/>
      <w:bookmarkStart w:id="368" w:name="_Toc36382085"/>
      <w:bookmarkEnd w:id="368"/>
      <w:bookmarkStart w:id="369" w:name="_Toc38475596"/>
      <w:bookmarkEnd w:id="369"/>
      <w:bookmarkStart w:id="370" w:name="_Toc38476499"/>
      <w:bookmarkEnd w:id="370"/>
      <w:bookmarkStart w:id="371" w:name="_Toc9589646"/>
      <w:bookmarkEnd w:id="371"/>
      <w:bookmarkStart w:id="372" w:name="_Toc38476554"/>
      <w:bookmarkEnd w:id="372"/>
      <w:bookmarkStart w:id="373" w:name="_Toc38476895"/>
      <w:bookmarkEnd w:id="373"/>
      <w:bookmarkStart w:id="374" w:name="_Toc38476420"/>
      <w:bookmarkEnd w:id="374"/>
      <w:bookmarkStart w:id="375" w:name="_Toc38476623"/>
      <w:bookmarkEnd w:id="375"/>
      <w:bookmarkStart w:id="376" w:name="_Toc38477095"/>
      <w:bookmarkEnd w:id="376"/>
      <w:bookmarkStart w:id="377" w:name="_Toc38476481"/>
      <w:bookmarkEnd w:id="377"/>
      <w:bookmarkStart w:id="378" w:name="_Toc38476059"/>
      <w:bookmarkEnd w:id="378"/>
      <w:bookmarkStart w:id="379" w:name="_Toc38476876"/>
      <w:bookmarkEnd w:id="379"/>
      <w:bookmarkStart w:id="380" w:name="_Toc38476730"/>
      <w:bookmarkEnd w:id="380"/>
      <w:bookmarkStart w:id="381" w:name="_Toc38476500"/>
      <w:bookmarkEnd w:id="381"/>
      <w:bookmarkStart w:id="382" w:name="_Toc38475670"/>
      <w:bookmarkEnd w:id="382"/>
      <w:bookmarkStart w:id="383" w:name="_Toc38476441"/>
      <w:bookmarkEnd w:id="383"/>
      <w:bookmarkStart w:id="384" w:name="_Toc38476589"/>
      <w:bookmarkEnd w:id="384"/>
      <w:bookmarkStart w:id="385" w:name="_Toc36381880"/>
      <w:bookmarkEnd w:id="385"/>
      <w:bookmarkStart w:id="386" w:name="_Toc38476882"/>
      <w:bookmarkEnd w:id="386"/>
      <w:bookmarkStart w:id="387" w:name="_Toc36382303"/>
      <w:bookmarkEnd w:id="387"/>
      <w:bookmarkStart w:id="388" w:name="_Toc38475605"/>
      <w:bookmarkEnd w:id="388"/>
      <w:bookmarkStart w:id="389" w:name="_Toc38476424"/>
      <w:bookmarkEnd w:id="389"/>
      <w:bookmarkStart w:id="390" w:name="_Toc38476216"/>
      <w:bookmarkEnd w:id="390"/>
      <w:bookmarkStart w:id="391" w:name="_Toc38476480"/>
      <w:bookmarkEnd w:id="391"/>
      <w:bookmarkStart w:id="392" w:name="_Toc38476575"/>
      <w:bookmarkEnd w:id="392"/>
      <w:bookmarkStart w:id="393" w:name="_Toc38476897"/>
      <w:bookmarkEnd w:id="393"/>
      <w:bookmarkStart w:id="394" w:name="_Toc38476660"/>
      <w:bookmarkEnd w:id="394"/>
      <w:bookmarkStart w:id="395" w:name="_Toc38476469"/>
      <w:bookmarkEnd w:id="395"/>
      <w:bookmarkStart w:id="396" w:name="_Toc38476945"/>
      <w:bookmarkEnd w:id="396"/>
      <w:bookmarkStart w:id="397" w:name="_Toc38476706"/>
      <w:bookmarkEnd w:id="397"/>
      <w:bookmarkStart w:id="398" w:name="_Toc38476517"/>
      <w:bookmarkEnd w:id="398"/>
      <w:bookmarkStart w:id="399" w:name="_Toc38476217"/>
      <w:bookmarkEnd w:id="399"/>
      <w:bookmarkStart w:id="400" w:name="_Toc36382302"/>
      <w:bookmarkEnd w:id="400"/>
      <w:bookmarkStart w:id="401" w:name="_Toc38476708"/>
      <w:bookmarkEnd w:id="401"/>
      <w:bookmarkStart w:id="402" w:name="_Toc38476866"/>
      <w:bookmarkEnd w:id="402"/>
      <w:bookmarkStart w:id="403" w:name="_Toc38477035"/>
      <w:bookmarkEnd w:id="403"/>
      <w:bookmarkStart w:id="404" w:name="_Toc36382523"/>
      <w:bookmarkEnd w:id="404"/>
      <w:bookmarkStart w:id="405" w:name="_Toc38476576"/>
      <w:bookmarkEnd w:id="405"/>
      <w:bookmarkStart w:id="406" w:name="_Toc36382318"/>
      <w:bookmarkEnd w:id="406"/>
      <w:bookmarkStart w:id="407" w:name="_Toc38475688"/>
      <w:bookmarkEnd w:id="407"/>
      <w:bookmarkStart w:id="408" w:name="_Toc38476827"/>
      <w:bookmarkEnd w:id="408"/>
      <w:bookmarkStart w:id="409" w:name="_Toc38476721"/>
      <w:bookmarkEnd w:id="409"/>
      <w:bookmarkStart w:id="410" w:name="_Toc38476929"/>
      <w:bookmarkEnd w:id="410"/>
      <w:bookmarkStart w:id="411" w:name="_Toc38476407"/>
      <w:bookmarkEnd w:id="411"/>
      <w:bookmarkStart w:id="412" w:name="_Toc38476683"/>
      <w:bookmarkEnd w:id="412"/>
      <w:bookmarkStart w:id="413" w:name="_Toc36382506"/>
      <w:bookmarkEnd w:id="413"/>
      <w:bookmarkStart w:id="414" w:name="_Toc38476482"/>
      <w:bookmarkEnd w:id="414"/>
      <w:bookmarkStart w:id="415" w:name="_Toc38476875"/>
      <w:bookmarkEnd w:id="415"/>
      <w:bookmarkStart w:id="416" w:name="_Toc38477051"/>
      <w:bookmarkEnd w:id="416"/>
      <w:bookmarkStart w:id="417" w:name="_Toc38475706"/>
      <w:bookmarkEnd w:id="417"/>
      <w:bookmarkStart w:id="418" w:name="_Toc38475536"/>
      <w:bookmarkEnd w:id="418"/>
      <w:bookmarkStart w:id="419" w:name="_Toc38476393"/>
      <w:bookmarkEnd w:id="419"/>
      <w:bookmarkStart w:id="420" w:name="_Toc38476473"/>
      <w:bookmarkEnd w:id="420"/>
      <w:bookmarkStart w:id="421" w:name="_Toc38476701"/>
      <w:bookmarkEnd w:id="421"/>
      <w:bookmarkStart w:id="422" w:name="_Toc38477152"/>
      <w:bookmarkEnd w:id="422"/>
      <w:bookmarkStart w:id="423" w:name="_Toc38476597"/>
      <w:bookmarkEnd w:id="423"/>
      <w:bookmarkStart w:id="424" w:name="_Toc38476548"/>
      <w:bookmarkEnd w:id="424"/>
      <w:bookmarkStart w:id="425" w:name="_Toc36382096"/>
      <w:bookmarkEnd w:id="425"/>
      <w:bookmarkStart w:id="426" w:name="_Toc38475528"/>
      <w:bookmarkEnd w:id="426"/>
      <w:bookmarkStart w:id="427" w:name="_Toc38476524"/>
      <w:bookmarkEnd w:id="427"/>
      <w:bookmarkStart w:id="428" w:name="_Toc38476703"/>
      <w:bookmarkEnd w:id="428"/>
      <w:bookmarkStart w:id="429" w:name="_Toc38476851"/>
      <w:bookmarkEnd w:id="429"/>
      <w:bookmarkStart w:id="430" w:name="_Toc38475727"/>
      <w:bookmarkEnd w:id="430"/>
      <w:bookmarkStart w:id="431" w:name="_Toc38476547"/>
      <w:bookmarkEnd w:id="431"/>
      <w:bookmarkStart w:id="432" w:name="_Toc38476046"/>
      <w:bookmarkEnd w:id="432"/>
      <w:bookmarkStart w:id="433" w:name="_Toc38476128"/>
      <w:bookmarkEnd w:id="433"/>
      <w:bookmarkStart w:id="434" w:name="_Toc38475467"/>
      <w:bookmarkEnd w:id="434"/>
      <w:bookmarkStart w:id="435" w:name="_Toc38476136"/>
      <w:bookmarkEnd w:id="435"/>
      <w:bookmarkStart w:id="436" w:name="_Toc38476799"/>
      <w:bookmarkEnd w:id="436"/>
      <w:bookmarkStart w:id="437" w:name="_Toc38476236"/>
      <w:bookmarkEnd w:id="437"/>
      <w:bookmarkStart w:id="438" w:name="_Toc38476444"/>
      <w:bookmarkEnd w:id="438"/>
      <w:bookmarkStart w:id="439" w:name="_Toc38476594"/>
      <w:bookmarkEnd w:id="439"/>
      <w:bookmarkStart w:id="440" w:name="_Toc38475686"/>
      <w:bookmarkEnd w:id="440"/>
      <w:bookmarkStart w:id="441" w:name="_Toc38476964"/>
      <w:bookmarkEnd w:id="441"/>
      <w:bookmarkStart w:id="442" w:name="_Toc38475465"/>
      <w:bookmarkEnd w:id="442"/>
      <w:bookmarkStart w:id="443" w:name="_Toc38477204"/>
      <w:bookmarkEnd w:id="443"/>
      <w:bookmarkStart w:id="444" w:name="_Toc38477059"/>
      <w:bookmarkEnd w:id="444"/>
      <w:bookmarkStart w:id="445" w:name="_Toc38477044"/>
      <w:bookmarkEnd w:id="445"/>
      <w:bookmarkStart w:id="446" w:name="_Toc38476922"/>
      <w:bookmarkEnd w:id="446"/>
      <w:bookmarkStart w:id="447" w:name="_Toc38475590"/>
      <w:bookmarkEnd w:id="447"/>
      <w:bookmarkStart w:id="448" w:name="_Toc36382292"/>
      <w:bookmarkEnd w:id="448"/>
      <w:bookmarkStart w:id="449" w:name="_Toc38476504"/>
      <w:bookmarkEnd w:id="449"/>
      <w:bookmarkStart w:id="450" w:name="_Toc38477079"/>
      <w:bookmarkEnd w:id="450"/>
      <w:bookmarkStart w:id="451" w:name="_Toc38476839"/>
      <w:bookmarkEnd w:id="451"/>
      <w:bookmarkStart w:id="452" w:name="_Toc36381835"/>
      <w:bookmarkEnd w:id="452"/>
      <w:bookmarkStart w:id="453" w:name="_Toc38476792"/>
      <w:bookmarkEnd w:id="453"/>
      <w:bookmarkStart w:id="454" w:name="_Toc38477216"/>
      <w:bookmarkEnd w:id="454"/>
      <w:bookmarkStart w:id="455" w:name="_Toc38476389"/>
      <w:bookmarkEnd w:id="455"/>
      <w:bookmarkStart w:id="456" w:name="_Toc36382298"/>
      <w:bookmarkEnd w:id="456"/>
      <w:bookmarkStart w:id="457" w:name="_Toc38476429"/>
      <w:bookmarkEnd w:id="457"/>
      <w:bookmarkStart w:id="458" w:name="_Toc38476432"/>
      <w:bookmarkEnd w:id="458"/>
      <w:bookmarkStart w:id="459" w:name="_Toc38476797"/>
      <w:bookmarkEnd w:id="459"/>
      <w:bookmarkStart w:id="460" w:name="_Toc38475758"/>
      <w:bookmarkEnd w:id="460"/>
      <w:bookmarkStart w:id="461" w:name="_Toc36382583"/>
      <w:bookmarkEnd w:id="461"/>
      <w:bookmarkStart w:id="462" w:name="_Toc38476818"/>
      <w:bookmarkEnd w:id="462"/>
      <w:bookmarkStart w:id="463" w:name="_Toc38475661"/>
      <w:bookmarkEnd w:id="463"/>
      <w:bookmarkStart w:id="464" w:name="_Toc38476612"/>
      <w:bookmarkEnd w:id="464"/>
      <w:bookmarkStart w:id="465" w:name="_Toc38476275"/>
      <w:bookmarkEnd w:id="465"/>
      <w:bookmarkStart w:id="466" w:name="_Toc36382256"/>
      <w:bookmarkEnd w:id="466"/>
      <w:bookmarkStart w:id="467" w:name="_Toc38477183"/>
      <w:bookmarkEnd w:id="467"/>
      <w:bookmarkStart w:id="468" w:name="_Toc56011946"/>
      <w:bookmarkEnd w:id="468"/>
      <w:bookmarkStart w:id="469" w:name="_Toc38476823"/>
      <w:bookmarkEnd w:id="469"/>
      <w:bookmarkStart w:id="470" w:name="_Toc38477222"/>
      <w:bookmarkEnd w:id="470"/>
      <w:bookmarkStart w:id="471" w:name="_Toc38476509"/>
      <w:bookmarkEnd w:id="471"/>
      <w:bookmarkStart w:id="472" w:name="_Toc38476824"/>
      <w:bookmarkEnd w:id="472"/>
      <w:bookmarkStart w:id="473" w:name="_Toc38476841"/>
      <w:bookmarkEnd w:id="473"/>
      <w:bookmarkStart w:id="474" w:name="_Toc38477169"/>
      <w:bookmarkEnd w:id="474"/>
      <w:bookmarkStart w:id="475" w:name="_Toc38476464"/>
      <w:bookmarkEnd w:id="475"/>
      <w:bookmarkStart w:id="476" w:name="_Toc38477218"/>
      <w:bookmarkEnd w:id="476"/>
      <w:bookmarkStart w:id="477" w:name="_Toc38476846"/>
      <w:bookmarkEnd w:id="477"/>
      <w:bookmarkStart w:id="478" w:name="_Toc38476736"/>
      <w:bookmarkEnd w:id="478"/>
      <w:bookmarkStart w:id="479" w:name="_Toc38476636"/>
      <w:bookmarkEnd w:id="479"/>
      <w:bookmarkStart w:id="480" w:name="_Toc38476562"/>
      <w:bookmarkEnd w:id="480"/>
      <w:bookmarkStart w:id="481" w:name="_Toc38476698"/>
      <w:bookmarkEnd w:id="481"/>
      <w:bookmarkStart w:id="482" w:name="_Toc38476526"/>
      <w:bookmarkEnd w:id="482"/>
      <w:bookmarkStart w:id="483" w:name="_Toc36382489"/>
      <w:bookmarkEnd w:id="483"/>
      <w:bookmarkStart w:id="484" w:name="_Toc38476649"/>
      <w:bookmarkEnd w:id="484"/>
      <w:bookmarkStart w:id="485" w:name="_Toc38475651"/>
      <w:bookmarkEnd w:id="485"/>
      <w:bookmarkStart w:id="486" w:name="_Toc38477146"/>
      <w:bookmarkEnd w:id="486"/>
      <w:bookmarkStart w:id="487" w:name="_Toc38476972"/>
      <w:bookmarkEnd w:id="487"/>
      <w:bookmarkStart w:id="488" w:name="_Toc38476417"/>
      <w:bookmarkEnd w:id="488"/>
      <w:bookmarkStart w:id="489" w:name="_Toc38477033"/>
      <w:bookmarkEnd w:id="489"/>
      <w:bookmarkStart w:id="490" w:name="_Toc38476384"/>
      <w:bookmarkEnd w:id="490"/>
      <w:bookmarkStart w:id="491" w:name="_Toc38476588"/>
      <w:bookmarkEnd w:id="491"/>
      <w:bookmarkStart w:id="492" w:name="_Toc38475776"/>
      <w:bookmarkEnd w:id="492"/>
      <w:bookmarkStart w:id="493" w:name="_Toc36382313"/>
      <w:bookmarkEnd w:id="493"/>
      <w:bookmarkStart w:id="494" w:name="_Toc38476960"/>
      <w:bookmarkEnd w:id="494"/>
      <w:bookmarkStart w:id="495" w:name="_Toc38476448"/>
      <w:bookmarkEnd w:id="495"/>
      <w:bookmarkStart w:id="496" w:name="_Toc36382549"/>
      <w:bookmarkEnd w:id="496"/>
      <w:bookmarkStart w:id="497" w:name="_Toc38475481"/>
      <w:bookmarkEnd w:id="497"/>
      <w:bookmarkStart w:id="498" w:name="_Toc38476983"/>
      <w:bookmarkEnd w:id="498"/>
      <w:bookmarkStart w:id="499" w:name="_Toc38477220"/>
      <w:bookmarkEnd w:id="499"/>
      <w:bookmarkStart w:id="500" w:name="_Toc38476470"/>
      <w:bookmarkEnd w:id="500"/>
      <w:bookmarkStart w:id="501" w:name="_Toc38475477"/>
      <w:bookmarkEnd w:id="501"/>
      <w:bookmarkStart w:id="502" w:name="_Toc38477090"/>
      <w:bookmarkEnd w:id="502"/>
      <w:bookmarkStart w:id="503" w:name="_Toc36382293"/>
      <w:bookmarkEnd w:id="503"/>
      <w:bookmarkStart w:id="504" w:name="_Toc36382034"/>
      <w:bookmarkEnd w:id="504"/>
      <w:bookmarkStart w:id="505" w:name="_Toc38477176"/>
      <w:bookmarkEnd w:id="505"/>
      <w:bookmarkStart w:id="506" w:name="_Toc38477038"/>
      <w:bookmarkEnd w:id="506"/>
      <w:bookmarkStart w:id="507" w:name="_Toc38475729"/>
      <w:bookmarkEnd w:id="507"/>
      <w:bookmarkStart w:id="508" w:name="_Toc38477076"/>
      <w:bookmarkEnd w:id="508"/>
      <w:bookmarkStart w:id="509" w:name="_Toc36382460"/>
      <w:bookmarkEnd w:id="509"/>
      <w:bookmarkStart w:id="510" w:name="_Toc38475649"/>
      <w:bookmarkEnd w:id="510"/>
      <w:bookmarkStart w:id="511" w:name="_Toc38476884"/>
      <w:bookmarkEnd w:id="511"/>
      <w:bookmarkStart w:id="512" w:name="_Toc36382087"/>
      <w:bookmarkEnd w:id="512"/>
      <w:bookmarkStart w:id="513" w:name="_Toc38477177"/>
      <w:bookmarkEnd w:id="513"/>
      <w:bookmarkStart w:id="514" w:name="_Toc36382572"/>
      <w:bookmarkEnd w:id="514"/>
      <w:bookmarkStart w:id="515" w:name="_Toc36382084"/>
      <w:bookmarkEnd w:id="515"/>
      <w:bookmarkStart w:id="516" w:name="_Toc38476450"/>
      <w:bookmarkEnd w:id="516"/>
      <w:bookmarkStart w:id="517" w:name="_Toc38476564"/>
      <w:bookmarkEnd w:id="517"/>
      <w:bookmarkStart w:id="518" w:name="_Toc38476955"/>
      <w:bookmarkEnd w:id="518"/>
      <w:bookmarkStart w:id="519" w:name="_Toc38477172"/>
      <w:bookmarkEnd w:id="519"/>
      <w:bookmarkStart w:id="520" w:name="_Toc36382507"/>
      <w:bookmarkEnd w:id="520"/>
      <w:bookmarkStart w:id="521" w:name="_Toc38476540"/>
      <w:bookmarkEnd w:id="521"/>
      <w:bookmarkStart w:id="522" w:name="_Toc38475598"/>
      <w:bookmarkEnd w:id="522"/>
      <w:bookmarkStart w:id="523" w:name="_Toc38476741"/>
      <w:bookmarkEnd w:id="523"/>
      <w:bookmarkStart w:id="524" w:name="_Toc36382550"/>
      <w:bookmarkEnd w:id="524"/>
      <w:bookmarkStart w:id="525" w:name="_Toc38476369"/>
      <w:bookmarkEnd w:id="525"/>
      <w:bookmarkStart w:id="526" w:name="_Toc38476520"/>
      <w:bookmarkEnd w:id="526"/>
      <w:bookmarkStart w:id="527" w:name="_Toc38476802"/>
      <w:bookmarkEnd w:id="527"/>
      <w:bookmarkStart w:id="528" w:name="_Toc38475602"/>
      <w:bookmarkEnd w:id="528"/>
      <w:bookmarkStart w:id="529" w:name="_Toc38476455"/>
      <w:bookmarkEnd w:id="529"/>
      <w:bookmarkStart w:id="530" w:name="_Toc38475636"/>
      <w:bookmarkEnd w:id="530"/>
      <w:bookmarkStart w:id="531" w:name="_Toc38477165"/>
      <w:bookmarkEnd w:id="531"/>
      <w:bookmarkStart w:id="532" w:name="_Toc7010629"/>
      <w:bookmarkEnd w:id="532"/>
      <w:bookmarkStart w:id="533" w:name="_Toc38476959"/>
      <w:bookmarkEnd w:id="533"/>
      <w:bookmarkStart w:id="534" w:name="_Toc38476927"/>
      <w:bookmarkEnd w:id="534"/>
      <w:bookmarkStart w:id="535" w:name="_Toc38476952"/>
      <w:bookmarkEnd w:id="535"/>
      <w:bookmarkStart w:id="536" w:name="_Toc38476508"/>
      <w:bookmarkEnd w:id="536"/>
      <w:bookmarkStart w:id="537" w:name="_Toc36382309"/>
      <w:bookmarkEnd w:id="537"/>
      <w:bookmarkStart w:id="538" w:name="_Toc38476114"/>
      <w:bookmarkEnd w:id="538"/>
      <w:bookmarkStart w:id="539" w:name="_Toc38476294"/>
      <w:bookmarkEnd w:id="539"/>
      <w:bookmarkStart w:id="540" w:name="_Toc38475591"/>
      <w:bookmarkEnd w:id="540"/>
      <w:bookmarkStart w:id="541" w:name="_Toc38475736"/>
      <w:bookmarkEnd w:id="541"/>
      <w:bookmarkStart w:id="542" w:name="_Toc38476140"/>
      <w:bookmarkEnd w:id="542"/>
      <w:bookmarkStart w:id="543" w:name="_Toc38476566"/>
      <w:bookmarkEnd w:id="543"/>
      <w:bookmarkStart w:id="544" w:name="_Toc38477138"/>
      <w:bookmarkEnd w:id="544"/>
      <w:bookmarkStart w:id="545" w:name="_Toc38476041"/>
      <w:bookmarkEnd w:id="545"/>
      <w:bookmarkStart w:id="546" w:name="_Toc38475595"/>
      <w:bookmarkEnd w:id="546"/>
      <w:bookmarkStart w:id="547" w:name="_Toc38477022"/>
      <w:bookmarkEnd w:id="547"/>
      <w:bookmarkStart w:id="548" w:name="_Toc36382508"/>
      <w:bookmarkEnd w:id="548"/>
      <w:bookmarkStart w:id="549" w:name="_Toc38476539"/>
      <w:bookmarkEnd w:id="549"/>
      <w:bookmarkStart w:id="550" w:name="_Toc38476503"/>
      <w:bookmarkEnd w:id="550"/>
      <w:bookmarkStart w:id="551" w:name="_Toc38477175"/>
      <w:bookmarkEnd w:id="551"/>
      <w:bookmarkStart w:id="552" w:name="_Toc38476830"/>
      <w:bookmarkEnd w:id="552"/>
      <w:bookmarkStart w:id="553" w:name="_Toc38475811"/>
      <w:bookmarkEnd w:id="553"/>
      <w:bookmarkStart w:id="554" w:name="_Toc38475552"/>
      <w:bookmarkEnd w:id="554"/>
      <w:bookmarkStart w:id="555" w:name="_Toc38475584"/>
      <w:bookmarkEnd w:id="555"/>
      <w:bookmarkStart w:id="556" w:name="_Toc38475547"/>
      <w:bookmarkEnd w:id="556"/>
      <w:bookmarkStart w:id="557" w:name="_Toc38476911"/>
      <w:bookmarkEnd w:id="557"/>
      <w:bookmarkStart w:id="558" w:name="_Toc36382299"/>
      <w:bookmarkEnd w:id="558"/>
      <w:bookmarkStart w:id="559" w:name="_Toc38475766"/>
      <w:bookmarkEnd w:id="559"/>
      <w:bookmarkStart w:id="560" w:name="_Toc38476682"/>
      <w:bookmarkEnd w:id="560"/>
      <w:bookmarkStart w:id="561" w:name="_Toc36382441"/>
      <w:bookmarkEnd w:id="561"/>
      <w:bookmarkStart w:id="562" w:name="_Toc36381930"/>
      <w:bookmarkEnd w:id="562"/>
      <w:bookmarkStart w:id="563" w:name="_Toc36382457"/>
      <w:bookmarkEnd w:id="563"/>
      <w:bookmarkStart w:id="564" w:name="_Toc38476677"/>
      <w:bookmarkEnd w:id="564"/>
      <w:bookmarkStart w:id="565" w:name="_Toc38477198"/>
      <w:bookmarkEnd w:id="565"/>
      <w:bookmarkStart w:id="566" w:name="_Toc38477098"/>
      <w:bookmarkEnd w:id="566"/>
      <w:bookmarkStart w:id="567" w:name="_Toc38476050"/>
      <w:bookmarkEnd w:id="567"/>
      <w:bookmarkStart w:id="568" w:name="_Toc38475524"/>
      <w:bookmarkEnd w:id="568"/>
      <w:bookmarkStart w:id="569" w:name="_Toc38476621"/>
      <w:bookmarkEnd w:id="569"/>
      <w:bookmarkStart w:id="570" w:name="_Toc36382365"/>
      <w:bookmarkEnd w:id="570"/>
      <w:bookmarkStart w:id="571" w:name="_Toc38475715"/>
      <w:bookmarkEnd w:id="571"/>
      <w:bookmarkStart w:id="572" w:name="_Toc38476628"/>
      <w:bookmarkEnd w:id="572"/>
      <w:bookmarkStart w:id="573" w:name="_Toc36382073"/>
      <w:bookmarkEnd w:id="573"/>
      <w:bookmarkStart w:id="574" w:name="_Toc38475458"/>
      <w:bookmarkEnd w:id="574"/>
      <w:bookmarkStart w:id="575" w:name="_Toc38476819"/>
      <w:bookmarkEnd w:id="575"/>
      <w:bookmarkStart w:id="576" w:name="_Toc38476258"/>
      <w:bookmarkEnd w:id="576"/>
      <w:bookmarkStart w:id="577" w:name="_Toc38477142"/>
      <w:bookmarkEnd w:id="577"/>
      <w:bookmarkStart w:id="578" w:name="_Toc38475718"/>
      <w:bookmarkEnd w:id="578"/>
      <w:bookmarkStart w:id="579" w:name="_Toc38477167"/>
      <w:bookmarkEnd w:id="579"/>
      <w:bookmarkStart w:id="580" w:name="_Toc38477016"/>
      <w:bookmarkEnd w:id="580"/>
      <w:bookmarkStart w:id="581" w:name="_Toc38477145"/>
      <w:bookmarkEnd w:id="581"/>
      <w:bookmarkStart w:id="582" w:name="_Toc38476912"/>
      <w:bookmarkEnd w:id="582"/>
      <w:bookmarkStart w:id="583" w:name="_Toc38476400"/>
      <w:bookmarkEnd w:id="583"/>
      <w:bookmarkStart w:id="584" w:name="_Toc38476164"/>
      <w:bookmarkEnd w:id="584"/>
      <w:bookmarkStart w:id="585" w:name="_Toc36382260"/>
      <w:bookmarkEnd w:id="585"/>
      <w:bookmarkStart w:id="586" w:name="_Toc36382255"/>
      <w:bookmarkEnd w:id="586"/>
      <w:bookmarkStart w:id="587" w:name="_Toc38476571"/>
      <w:bookmarkEnd w:id="587"/>
      <w:bookmarkStart w:id="588" w:name="_Toc38476260"/>
      <w:bookmarkEnd w:id="588"/>
      <w:bookmarkStart w:id="589" w:name="_Toc36381972"/>
      <w:bookmarkEnd w:id="589"/>
      <w:bookmarkStart w:id="590" w:name="_Toc38476591"/>
      <w:bookmarkEnd w:id="590"/>
      <w:bookmarkStart w:id="591" w:name="_Toc38477200"/>
      <w:bookmarkEnd w:id="591"/>
      <w:bookmarkStart w:id="592" w:name="_Toc38476616"/>
      <w:bookmarkEnd w:id="592"/>
      <w:bookmarkStart w:id="593" w:name="_Toc38476667"/>
      <w:bookmarkEnd w:id="593"/>
      <w:bookmarkStart w:id="594" w:name="_Toc36382294"/>
      <w:bookmarkEnd w:id="594"/>
      <w:bookmarkStart w:id="595" w:name="_Toc38477224"/>
      <w:bookmarkEnd w:id="595"/>
      <w:bookmarkStart w:id="596" w:name="_Toc38475526"/>
      <w:bookmarkEnd w:id="596"/>
      <w:bookmarkStart w:id="597" w:name="_Toc38476707"/>
      <w:bookmarkEnd w:id="597"/>
      <w:bookmarkStart w:id="598" w:name="_Toc38476135"/>
      <w:bookmarkEnd w:id="598"/>
      <w:bookmarkStart w:id="599" w:name="_Toc38475756"/>
      <w:bookmarkEnd w:id="599"/>
      <w:bookmarkStart w:id="600" w:name="_Toc38476218"/>
      <w:bookmarkEnd w:id="600"/>
      <w:bookmarkStart w:id="601" w:name="_Toc38476644"/>
      <w:bookmarkEnd w:id="601"/>
      <w:bookmarkStart w:id="602" w:name="_Toc36382521"/>
      <w:bookmarkEnd w:id="602"/>
      <w:bookmarkStart w:id="603" w:name="_Toc36382440"/>
      <w:bookmarkEnd w:id="603"/>
      <w:bookmarkStart w:id="604" w:name="_Toc38477028"/>
      <w:bookmarkEnd w:id="604"/>
      <w:bookmarkStart w:id="605" w:name="_Toc38476788"/>
      <w:bookmarkEnd w:id="605"/>
      <w:bookmarkStart w:id="606" w:name="_Toc38475567"/>
      <w:bookmarkEnd w:id="606"/>
      <w:bookmarkStart w:id="607" w:name="_Toc38475659"/>
      <w:bookmarkEnd w:id="607"/>
      <w:bookmarkStart w:id="608" w:name="_Toc38475637"/>
      <w:bookmarkEnd w:id="608"/>
      <w:bookmarkStart w:id="609" w:name="_Toc38475717"/>
      <w:bookmarkEnd w:id="609"/>
      <w:bookmarkStart w:id="610" w:name="_Toc38477020"/>
      <w:bookmarkEnd w:id="610"/>
      <w:bookmarkStart w:id="611" w:name="_Toc38477181"/>
      <w:bookmarkEnd w:id="611"/>
      <w:bookmarkStart w:id="612" w:name="_Toc38476735"/>
      <w:bookmarkEnd w:id="612"/>
      <w:bookmarkStart w:id="613" w:name="_Toc38475476"/>
      <w:bookmarkEnd w:id="613"/>
      <w:bookmarkStart w:id="614" w:name="_Toc38476130"/>
      <w:bookmarkEnd w:id="614"/>
      <w:bookmarkStart w:id="615" w:name="_Toc38476872"/>
      <w:bookmarkEnd w:id="615"/>
      <w:bookmarkStart w:id="616" w:name="_Toc38475604"/>
      <w:bookmarkEnd w:id="616"/>
      <w:bookmarkStart w:id="617" w:name="_Toc38476990"/>
      <w:bookmarkEnd w:id="617"/>
      <w:bookmarkStart w:id="618" w:name="_Toc36382432"/>
      <w:bookmarkEnd w:id="618"/>
      <w:bookmarkStart w:id="619" w:name="_Toc38475561"/>
      <w:bookmarkEnd w:id="619"/>
      <w:bookmarkStart w:id="620" w:name="_Toc36381986"/>
      <w:bookmarkEnd w:id="620"/>
      <w:bookmarkStart w:id="621" w:name="_Toc38477143"/>
      <w:bookmarkEnd w:id="621"/>
      <w:bookmarkStart w:id="622" w:name="_Toc36382418"/>
      <w:bookmarkEnd w:id="622"/>
      <w:bookmarkStart w:id="623" w:name="_Toc38475543"/>
      <w:bookmarkEnd w:id="623"/>
      <w:bookmarkStart w:id="624" w:name="_Toc38476961"/>
      <w:bookmarkEnd w:id="624"/>
      <w:bookmarkStart w:id="625" w:name="_Toc38475515"/>
      <w:bookmarkEnd w:id="625"/>
      <w:bookmarkStart w:id="626" w:name="_Toc36381801"/>
      <w:bookmarkEnd w:id="626"/>
      <w:bookmarkStart w:id="627" w:name="_Toc38477179"/>
      <w:bookmarkEnd w:id="627"/>
      <w:bookmarkStart w:id="628" w:name="_Toc38477149"/>
      <w:bookmarkEnd w:id="628"/>
      <w:bookmarkStart w:id="629" w:name="_Toc38476234"/>
      <w:bookmarkEnd w:id="629"/>
      <w:bookmarkStart w:id="630" w:name="_Toc38476343"/>
      <w:bookmarkEnd w:id="630"/>
      <w:bookmarkStart w:id="631" w:name="_Toc38475693"/>
      <w:bookmarkEnd w:id="631"/>
      <w:bookmarkStart w:id="632" w:name="_Toc38475767"/>
      <w:bookmarkEnd w:id="632"/>
      <w:bookmarkStart w:id="633" w:name="_Toc36382574"/>
      <w:bookmarkEnd w:id="633"/>
      <w:bookmarkStart w:id="634" w:name="_Toc4777098"/>
      <w:bookmarkEnd w:id="634"/>
      <w:bookmarkStart w:id="635" w:name="_Toc38475640"/>
      <w:bookmarkEnd w:id="635"/>
      <w:bookmarkStart w:id="636" w:name="_Toc38475493"/>
      <w:bookmarkEnd w:id="636"/>
      <w:bookmarkStart w:id="637" w:name="_Toc38475782"/>
      <w:bookmarkEnd w:id="637"/>
      <w:bookmarkStart w:id="638" w:name="_Toc38476881"/>
      <w:bookmarkEnd w:id="638"/>
      <w:bookmarkStart w:id="639" w:name="_Toc36382020"/>
      <w:bookmarkEnd w:id="639"/>
      <w:bookmarkStart w:id="640" w:name="_Toc38475457"/>
      <w:bookmarkEnd w:id="640"/>
      <w:bookmarkStart w:id="641" w:name="_Toc38477037"/>
      <w:bookmarkEnd w:id="641"/>
      <w:bookmarkStart w:id="642" w:name="_Toc36382317"/>
      <w:bookmarkEnd w:id="642"/>
      <w:bookmarkStart w:id="643" w:name="_Toc38476427"/>
      <w:bookmarkEnd w:id="643"/>
      <w:bookmarkStart w:id="644" w:name="_Toc36381859"/>
      <w:bookmarkEnd w:id="644"/>
      <w:bookmarkStart w:id="645" w:name="_Toc36382321"/>
      <w:bookmarkEnd w:id="645"/>
      <w:bookmarkStart w:id="646" w:name="_Toc38476871"/>
      <w:bookmarkEnd w:id="646"/>
      <w:bookmarkStart w:id="647" w:name="_Toc38476382"/>
      <w:bookmarkEnd w:id="647"/>
      <w:bookmarkStart w:id="648" w:name="_Toc38475498"/>
      <w:bookmarkEnd w:id="648"/>
      <w:bookmarkStart w:id="649" w:name="_Toc38476582"/>
      <w:bookmarkEnd w:id="649"/>
      <w:bookmarkStart w:id="650" w:name="_Toc38475511"/>
      <w:bookmarkEnd w:id="650"/>
      <w:bookmarkStart w:id="651" w:name="_Toc38475469"/>
      <w:bookmarkEnd w:id="651"/>
      <w:bookmarkStart w:id="652" w:name="_Toc36382568"/>
      <w:bookmarkEnd w:id="652"/>
      <w:bookmarkStart w:id="653" w:name="_Toc38475663"/>
      <w:bookmarkEnd w:id="653"/>
      <w:bookmarkStart w:id="654" w:name="_Toc9523216"/>
      <w:bookmarkEnd w:id="654"/>
      <w:bookmarkStart w:id="655" w:name="_Toc38476890"/>
      <w:bookmarkEnd w:id="655"/>
      <w:bookmarkStart w:id="656" w:name="_Toc38476435"/>
      <w:bookmarkEnd w:id="656"/>
      <w:bookmarkStart w:id="657" w:name="_Toc36381793"/>
      <w:bookmarkEnd w:id="657"/>
      <w:bookmarkStart w:id="658" w:name="_Toc36382563"/>
      <w:bookmarkEnd w:id="658"/>
      <w:bookmarkStart w:id="659" w:name="_Toc38476624"/>
      <w:bookmarkEnd w:id="659"/>
      <w:bookmarkStart w:id="660" w:name="_Toc38476609"/>
      <w:bookmarkEnd w:id="660"/>
      <w:bookmarkStart w:id="661" w:name="_Toc36381799"/>
      <w:bookmarkEnd w:id="661"/>
      <w:bookmarkStart w:id="662" w:name="_Toc38476631"/>
      <w:bookmarkEnd w:id="662"/>
      <w:bookmarkStart w:id="663" w:name="_Toc36381797"/>
      <w:bookmarkEnd w:id="663"/>
      <w:bookmarkStart w:id="664" w:name="_Toc38475764"/>
      <w:bookmarkEnd w:id="664"/>
      <w:bookmarkStart w:id="665" w:name="_Toc38477195"/>
      <w:bookmarkEnd w:id="665"/>
      <w:bookmarkStart w:id="666" w:name="_Toc36381912"/>
      <w:bookmarkEnd w:id="666"/>
      <w:bookmarkStart w:id="667" w:name="_Toc38475560"/>
      <w:bookmarkEnd w:id="667"/>
      <w:bookmarkStart w:id="668" w:name="_Toc38476603"/>
      <w:bookmarkEnd w:id="668"/>
      <w:bookmarkStart w:id="669" w:name="_Toc38475678"/>
      <w:bookmarkEnd w:id="669"/>
      <w:bookmarkStart w:id="670" w:name="_Toc38476537"/>
      <w:bookmarkEnd w:id="670"/>
      <w:bookmarkStart w:id="671" w:name="_Toc38475504"/>
      <w:bookmarkEnd w:id="671"/>
      <w:bookmarkStart w:id="672" w:name="_Toc36381798"/>
      <w:bookmarkEnd w:id="672"/>
      <w:bookmarkStart w:id="673" w:name="_Toc38476511"/>
      <w:bookmarkEnd w:id="673"/>
      <w:bookmarkStart w:id="674" w:name="_Toc38476962"/>
      <w:bookmarkEnd w:id="674"/>
      <w:bookmarkStart w:id="675" w:name="_Toc38476907"/>
      <w:bookmarkEnd w:id="675"/>
      <w:bookmarkStart w:id="676" w:name="_Toc38476999"/>
      <w:bookmarkEnd w:id="676"/>
      <w:bookmarkStart w:id="677" w:name="_Toc38477077"/>
      <w:bookmarkEnd w:id="677"/>
      <w:bookmarkStart w:id="678" w:name="_Toc36382263"/>
      <w:bookmarkEnd w:id="678"/>
      <w:bookmarkStart w:id="679" w:name="_Toc36382093"/>
      <w:bookmarkEnd w:id="679"/>
      <w:bookmarkStart w:id="680" w:name="_Toc38476789"/>
      <w:bookmarkEnd w:id="680"/>
      <w:bookmarkStart w:id="681" w:name="_Toc38477178"/>
      <w:bookmarkEnd w:id="681"/>
      <w:bookmarkStart w:id="682" w:name="_Toc38475509"/>
      <w:bookmarkEnd w:id="682"/>
      <w:bookmarkStart w:id="683" w:name="_Toc38475529"/>
      <w:bookmarkEnd w:id="683"/>
      <w:bookmarkStart w:id="684" w:name="_Toc38476699"/>
      <w:bookmarkEnd w:id="684"/>
      <w:bookmarkStart w:id="685" w:name="_Toc38476901"/>
      <w:bookmarkEnd w:id="685"/>
      <w:bookmarkStart w:id="686" w:name="_Toc38475589"/>
      <w:bookmarkEnd w:id="686"/>
      <w:bookmarkStart w:id="687" w:name="_Toc38476486"/>
      <w:bookmarkEnd w:id="687"/>
      <w:bookmarkStart w:id="688" w:name="_Toc38476397"/>
      <w:bookmarkEnd w:id="688"/>
      <w:bookmarkStart w:id="689" w:name="_Toc38476560"/>
      <w:bookmarkEnd w:id="689"/>
      <w:bookmarkStart w:id="690" w:name="_Toc38475568"/>
      <w:bookmarkEnd w:id="690"/>
      <w:bookmarkStart w:id="691" w:name="_Toc36381794"/>
      <w:bookmarkEnd w:id="691"/>
      <w:bookmarkStart w:id="692" w:name="_Toc38476988"/>
      <w:bookmarkEnd w:id="692"/>
      <w:bookmarkStart w:id="693" w:name="_Toc38476702"/>
      <w:bookmarkEnd w:id="693"/>
      <w:bookmarkStart w:id="694" w:name="_Toc38476963"/>
      <w:bookmarkEnd w:id="694"/>
      <w:bookmarkStart w:id="695" w:name="_Toc38475594"/>
      <w:bookmarkEnd w:id="695"/>
      <w:bookmarkStart w:id="696" w:name="_Toc38477066"/>
      <w:bookmarkEnd w:id="696"/>
      <w:bookmarkStart w:id="697" w:name="_Toc38477011"/>
      <w:bookmarkEnd w:id="697"/>
      <w:bookmarkStart w:id="698" w:name="_Toc38476113"/>
      <w:bookmarkEnd w:id="698"/>
      <w:bookmarkStart w:id="699" w:name="_Toc38476965"/>
      <w:bookmarkEnd w:id="699"/>
      <w:bookmarkStart w:id="700" w:name="_Toc6998542"/>
      <w:bookmarkEnd w:id="700"/>
      <w:bookmarkStart w:id="701" w:name="_Toc38475513"/>
      <w:bookmarkEnd w:id="701"/>
      <w:bookmarkStart w:id="702" w:name="_Toc38475773"/>
      <w:bookmarkEnd w:id="702"/>
      <w:bookmarkStart w:id="703" w:name="_Toc38477005"/>
      <w:bookmarkEnd w:id="703"/>
      <w:bookmarkStart w:id="704" w:name="_Toc38475714"/>
      <w:bookmarkEnd w:id="704"/>
      <w:bookmarkStart w:id="705" w:name="_Toc38475669"/>
      <w:bookmarkEnd w:id="705"/>
      <w:bookmarkStart w:id="706" w:name="_Toc38476490"/>
      <w:bookmarkEnd w:id="706"/>
      <w:bookmarkStart w:id="707" w:name="_Toc38477074"/>
      <w:bookmarkEnd w:id="707"/>
      <w:bookmarkStart w:id="708" w:name="_Toc36382264"/>
      <w:bookmarkEnd w:id="708"/>
      <w:bookmarkStart w:id="709" w:name="_Toc38477019"/>
      <w:bookmarkEnd w:id="709"/>
      <w:bookmarkStart w:id="710" w:name="_Toc38475745"/>
      <w:bookmarkEnd w:id="710"/>
      <w:bookmarkStart w:id="711" w:name="_Toc36382433"/>
      <w:bookmarkEnd w:id="711"/>
      <w:bookmarkStart w:id="712" w:name="_Toc38476423"/>
      <w:bookmarkEnd w:id="712"/>
      <w:bookmarkStart w:id="713" w:name="_Toc38475583"/>
      <w:bookmarkEnd w:id="713"/>
      <w:bookmarkStart w:id="714" w:name="_Toc38475463"/>
      <w:bookmarkEnd w:id="714"/>
      <w:bookmarkStart w:id="715" w:name="_Toc38476550"/>
      <w:bookmarkEnd w:id="715"/>
      <w:bookmarkStart w:id="716" w:name="_Toc36381971"/>
      <w:bookmarkEnd w:id="716"/>
      <w:bookmarkStart w:id="717" w:name="_Toc38476984"/>
      <w:bookmarkEnd w:id="717"/>
      <w:bookmarkStart w:id="718" w:name="_Toc38476719"/>
      <w:bookmarkEnd w:id="718"/>
      <w:bookmarkStart w:id="719" w:name="_Toc38477092"/>
      <w:bookmarkEnd w:id="719"/>
      <w:bookmarkStart w:id="720" w:name="_Toc38476647"/>
      <w:bookmarkEnd w:id="720"/>
      <w:bookmarkStart w:id="721" w:name="_Toc38476401"/>
      <w:bookmarkEnd w:id="721"/>
      <w:bookmarkStart w:id="722" w:name="_Toc38475658"/>
      <w:bookmarkEnd w:id="722"/>
      <w:bookmarkStart w:id="723" w:name="_Toc38476826"/>
      <w:bookmarkEnd w:id="723"/>
      <w:bookmarkStart w:id="724" w:name="_Toc38476311"/>
      <w:bookmarkEnd w:id="724"/>
      <w:bookmarkStart w:id="725" w:name="_Toc38476039"/>
      <w:bookmarkEnd w:id="725"/>
      <w:bookmarkStart w:id="726" w:name="_Toc36382548"/>
      <w:bookmarkEnd w:id="726"/>
      <w:bookmarkStart w:id="727" w:name="_Toc38475525"/>
      <w:bookmarkEnd w:id="727"/>
      <w:bookmarkStart w:id="728" w:name="_Toc38476445"/>
      <w:bookmarkEnd w:id="728"/>
      <w:bookmarkStart w:id="729" w:name="_Toc9589391"/>
      <w:bookmarkEnd w:id="729"/>
      <w:bookmarkStart w:id="730" w:name="_Toc38475676"/>
      <w:bookmarkEnd w:id="730"/>
      <w:bookmarkStart w:id="731" w:name="_Toc38475781"/>
      <w:bookmarkEnd w:id="731"/>
      <w:bookmarkStart w:id="732" w:name="_Toc38476446"/>
      <w:bookmarkEnd w:id="732"/>
      <w:bookmarkStart w:id="733" w:name="_Toc38476864"/>
      <w:bookmarkEnd w:id="733"/>
      <w:bookmarkStart w:id="734" w:name="_Toc36382088"/>
      <w:bookmarkEnd w:id="734"/>
      <w:bookmarkStart w:id="735" w:name="_Toc38476712"/>
      <w:bookmarkEnd w:id="735"/>
      <w:bookmarkStart w:id="736" w:name="_Toc38477137"/>
      <w:bookmarkEnd w:id="736"/>
      <w:bookmarkStart w:id="737" w:name="_Toc38476838"/>
      <w:bookmarkEnd w:id="737"/>
      <w:bookmarkStart w:id="738" w:name="_Toc38475777"/>
      <w:bookmarkEnd w:id="738"/>
      <w:bookmarkStart w:id="739" w:name="_Toc38477144"/>
      <w:bookmarkEnd w:id="739"/>
      <w:bookmarkStart w:id="740" w:name="_Toc38476132"/>
      <w:bookmarkEnd w:id="740"/>
      <w:bookmarkStart w:id="741" w:name="_Toc38476273"/>
      <w:bookmarkEnd w:id="741"/>
      <w:bookmarkStart w:id="742" w:name="_Toc38476917"/>
      <w:bookmarkEnd w:id="742"/>
      <w:bookmarkStart w:id="743" w:name="_Toc38476684"/>
      <w:bookmarkEnd w:id="743"/>
      <w:bookmarkStart w:id="744" w:name="_Toc38476956"/>
      <w:bookmarkEnd w:id="744"/>
      <w:bookmarkStart w:id="745" w:name="_Toc38475485"/>
      <w:bookmarkEnd w:id="745"/>
      <w:bookmarkStart w:id="746" w:name="_Toc36382367"/>
      <w:bookmarkEnd w:id="746"/>
      <w:bookmarkStart w:id="747" w:name="_Toc38476570"/>
      <w:bookmarkEnd w:id="747"/>
      <w:bookmarkStart w:id="748" w:name="_Toc38475579"/>
      <w:bookmarkEnd w:id="748"/>
      <w:bookmarkStart w:id="749" w:name="_Toc38475631"/>
      <w:bookmarkEnd w:id="749"/>
      <w:bookmarkStart w:id="750" w:name="_Toc38476531"/>
      <w:bookmarkEnd w:id="750"/>
      <w:bookmarkStart w:id="751" w:name="_Toc38475480"/>
      <w:bookmarkEnd w:id="751"/>
      <w:bookmarkStart w:id="752" w:name="_Toc38475634"/>
      <w:bookmarkEnd w:id="752"/>
      <w:bookmarkStart w:id="753" w:name="_Toc38477032"/>
      <w:bookmarkEnd w:id="753"/>
      <w:bookmarkStart w:id="754" w:name="_Toc38476561"/>
      <w:bookmarkEnd w:id="754"/>
      <w:bookmarkStart w:id="755" w:name="_Toc38476634"/>
      <w:bookmarkEnd w:id="755"/>
      <w:bookmarkStart w:id="756" w:name="_Toc38476057"/>
      <w:bookmarkEnd w:id="756"/>
      <w:bookmarkStart w:id="757" w:name="_Toc38475557"/>
      <w:bookmarkEnd w:id="757"/>
      <w:bookmarkStart w:id="758" w:name="_Toc38476880"/>
      <w:bookmarkEnd w:id="758"/>
      <w:bookmarkStart w:id="759" w:name="_Toc36381973"/>
      <w:bookmarkEnd w:id="759"/>
      <w:bookmarkStart w:id="760" w:name="_Toc38475566"/>
      <w:bookmarkEnd w:id="760"/>
      <w:bookmarkStart w:id="761" w:name="_Toc38476047"/>
      <w:bookmarkEnd w:id="761"/>
      <w:bookmarkStart w:id="762" w:name="_Toc38475483"/>
      <w:bookmarkEnd w:id="762"/>
      <w:bookmarkStart w:id="763" w:name="_Toc38476947"/>
      <w:bookmarkEnd w:id="763"/>
      <w:bookmarkStart w:id="764" w:name="_Toc38475747"/>
      <w:bookmarkEnd w:id="764"/>
      <w:bookmarkStart w:id="765" w:name="_Toc38475696"/>
      <w:bookmarkEnd w:id="765"/>
      <w:bookmarkStart w:id="766" w:name="_Toc38475751"/>
      <w:bookmarkEnd w:id="766"/>
      <w:bookmarkStart w:id="767" w:name="_Toc38476857"/>
      <w:bookmarkEnd w:id="767"/>
      <w:bookmarkStart w:id="768" w:name="_Toc38476675"/>
      <w:bookmarkEnd w:id="768"/>
      <w:bookmarkStart w:id="769" w:name="_Toc38476461"/>
      <w:bookmarkEnd w:id="769"/>
      <w:bookmarkStart w:id="770" w:name="_Toc38475774"/>
      <w:bookmarkEnd w:id="770"/>
      <w:bookmarkStart w:id="771" w:name="_Toc38476534"/>
      <w:bookmarkEnd w:id="771"/>
      <w:bookmarkStart w:id="772" w:name="_Toc38476492"/>
      <w:bookmarkEnd w:id="772"/>
      <w:bookmarkStart w:id="773" w:name="_Toc38475571"/>
      <w:bookmarkEnd w:id="773"/>
      <w:bookmarkStart w:id="774" w:name="_Toc38476574"/>
      <w:bookmarkEnd w:id="774"/>
      <w:bookmarkStart w:id="775" w:name="_Toc38475738"/>
      <w:bookmarkEnd w:id="775"/>
      <w:bookmarkStart w:id="776" w:name="_Toc38476894"/>
      <w:bookmarkEnd w:id="776"/>
      <w:bookmarkStart w:id="777" w:name="_Toc38476845"/>
      <w:bookmarkEnd w:id="777"/>
      <w:bookmarkStart w:id="778" w:name="_Toc36382296"/>
      <w:bookmarkEnd w:id="778"/>
      <w:bookmarkStart w:id="779" w:name="_Toc38476043"/>
      <w:bookmarkEnd w:id="779"/>
      <w:bookmarkStart w:id="780" w:name="_Toc38475711"/>
      <w:bookmarkEnd w:id="780"/>
      <w:bookmarkStart w:id="781" w:name="_Toc38476688"/>
      <w:bookmarkEnd w:id="781"/>
      <w:bookmarkStart w:id="782" w:name="_Toc36381929"/>
      <w:bookmarkEnd w:id="782"/>
      <w:bookmarkStart w:id="783" w:name="_Toc36381878"/>
      <w:bookmarkEnd w:id="783"/>
      <w:bookmarkStart w:id="784" w:name="_Toc38475720"/>
      <w:bookmarkEnd w:id="784"/>
      <w:bookmarkStart w:id="785" w:name="_Toc38475690"/>
      <w:bookmarkEnd w:id="785"/>
      <w:bookmarkStart w:id="786" w:name="_Toc38476372"/>
      <w:bookmarkEnd w:id="786"/>
      <w:bookmarkStart w:id="787" w:name="_Toc38477083"/>
      <w:bookmarkEnd w:id="787"/>
      <w:bookmarkStart w:id="788" w:name="_Toc38475577"/>
      <w:bookmarkEnd w:id="788"/>
      <w:bookmarkStart w:id="789" w:name="_Toc38476422"/>
      <w:bookmarkEnd w:id="789"/>
      <w:bookmarkStart w:id="790" w:name="_Toc38476691"/>
      <w:bookmarkEnd w:id="790"/>
      <w:bookmarkStart w:id="791" w:name="_Toc38476235"/>
      <w:bookmarkEnd w:id="791"/>
      <w:bookmarkStart w:id="792" w:name="_Toc36382474"/>
      <w:bookmarkEnd w:id="792"/>
      <w:bookmarkStart w:id="793" w:name="_Toc38475772"/>
      <w:bookmarkEnd w:id="793"/>
      <w:bookmarkStart w:id="794" w:name="_Toc38475633"/>
      <w:bookmarkEnd w:id="794"/>
      <w:bookmarkStart w:id="795" w:name="_Toc38476138"/>
      <w:bookmarkEnd w:id="795"/>
      <w:bookmarkStart w:id="796" w:name="_Toc38477174"/>
      <w:bookmarkEnd w:id="796"/>
      <w:bookmarkStart w:id="797" w:name="_Toc38476852"/>
      <w:bookmarkEnd w:id="797"/>
      <w:bookmarkStart w:id="798" w:name="_Toc38476342"/>
      <w:bookmarkEnd w:id="798"/>
      <w:bookmarkStart w:id="799" w:name="_Toc38476815"/>
      <w:bookmarkEnd w:id="799"/>
      <w:bookmarkStart w:id="800" w:name="_Toc38475502"/>
      <w:bookmarkEnd w:id="800"/>
      <w:bookmarkStart w:id="801" w:name="_Toc38475505"/>
      <w:bookmarkEnd w:id="801"/>
      <w:bookmarkStart w:id="802" w:name="_Toc38476711"/>
      <w:bookmarkEnd w:id="802"/>
      <w:bookmarkStart w:id="803" w:name="_Toc9589136"/>
      <w:bookmarkEnd w:id="803"/>
      <w:bookmarkStart w:id="804" w:name="_Toc38476404"/>
      <w:bookmarkEnd w:id="804"/>
      <w:bookmarkStart w:id="805" w:name="_Toc38475639"/>
      <w:bookmarkEnd w:id="805"/>
      <w:bookmarkStart w:id="806" w:name="_Toc38476458"/>
      <w:bookmarkEnd w:id="806"/>
      <w:bookmarkStart w:id="807" w:name="_Toc38475553"/>
      <w:bookmarkEnd w:id="807"/>
      <w:bookmarkStart w:id="808" w:name="_Toc36382573"/>
      <w:bookmarkEnd w:id="808"/>
      <w:bookmarkStart w:id="809" w:name="_Toc36381834"/>
      <w:bookmarkEnd w:id="809"/>
      <w:bookmarkStart w:id="810" w:name="_Toc38476611"/>
      <w:bookmarkEnd w:id="810"/>
      <w:bookmarkStart w:id="811" w:name="_Toc38476416"/>
      <w:bookmarkEnd w:id="811"/>
      <w:bookmarkStart w:id="812" w:name="_Toc38476038"/>
      <w:bookmarkEnd w:id="812"/>
      <w:bookmarkStart w:id="813" w:name="_Toc38476650"/>
      <w:bookmarkEnd w:id="813"/>
      <w:bookmarkStart w:id="814" w:name="_Toc38476716"/>
      <w:bookmarkEnd w:id="814"/>
      <w:bookmarkStart w:id="815" w:name="_Toc38475708"/>
      <w:bookmarkEnd w:id="815"/>
      <w:bookmarkStart w:id="816" w:name="_Toc38475625"/>
      <w:bookmarkEnd w:id="816"/>
      <w:bookmarkStart w:id="817" w:name="_Toc38475542"/>
      <w:bookmarkEnd w:id="817"/>
      <w:bookmarkStart w:id="818" w:name="_Toc36381802"/>
      <w:bookmarkEnd w:id="818"/>
      <w:bookmarkStart w:id="819" w:name="_Toc38476512"/>
      <w:bookmarkEnd w:id="819"/>
      <w:bookmarkStart w:id="820" w:name="_Toc38476516"/>
      <w:bookmarkEnd w:id="820"/>
      <w:bookmarkStart w:id="821" w:name="_Toc38475519"/>
      <w:bookmarkEnd w:id="821"/>
      <w:bookmarkStart w:id="822" w:name="_Toc38476559"/>
      <w:bookmarkEnd w:id="822"/>
      <w:bookmarkStart w:id="823" w:name="_Toc38476672"/>
      <w:bookmarkEnd w:id="823"/>
      <w:bookmarkStart w:id="824" w:name="_Toc38477070"/>
      <w:bookmarkEnd w:id="824"/>
      <w:bookmarkStart w:id="825" w:name="_Toc36382522"/>
      <w:bookmarkEnd w:id="825"/>
      <w:bookmarkStart w:id="826" w:name="_Toc38475705"/>
      <w:bookmarkEnd w:id="826"/>
      <w:bookmarkStart w:id="827" w:name="_Toc38476690"/>
      <w:bookmarkEnd w:id="827"/>
      <w:bookmarkStart w:id="828" w:name="_Toc38477009"/>
      <w:bookmarkEnd w:id="828"/>
      <w:bookmarkStart w:id="829" w:name="_Toc38475681"/>
      <w:bookmarkEnd w:id="829"/>
      <w:bookmarkStart w:id="830" w:name="_Toc38477050"/>
      <w:bookmarkEnd w:id="830"/>
      <w:bookmarkStart w:id="831" w:name="_Toc38477017"/>
      <w:bookmarkEnd w:id="831"/>
      <w:bookmarkStart w:id="832" w:name="_Toc38476982"/>
      <w:bookmarkEnd w:id="832"/>
      <w:bookmarkStart w:id="833" w:name="_Toc36382081"/>
      <w:bookmarkEnd w:id="833"/>
      <w:bookmarkStart w:id="834" w:name="_Toc38476412"/>
      <w:bookmarkEnd w:id="834"/>
      <w:bookmarkStart w:id="835" w:name="_Toc38476036"/>
      <w:bookmarkEnd w:id="835"/>
      <w:bookmarkStart w:id="836" w:name="_Toc38476700"/>
      <w:bookmarkEnd w:id="836"/>
      <w:bookmarkStart w:id="837" w:name="_Toc38476639"/>
      <w:bookmarkEnd w:id="837"/>
      <w:bookmarkStart w:id="838" w:name="_Toc36382257"/>
      <w:bookmarkEnd w:id="838"/>
      <w:bookmarkStart w:id="839" w:name="_Toc38476613"/>
      <w:bookmarkEnd w:id="839"/>
      <w:bookmarkStart w:id="840" w:name="_Toc36381946"/>
      <w:bookmarkEnd w:id="840"/>
      <w:bookmarkStart w:id="841" w:name="_Toc38476949"/>
      <w:bookmarkEnd w:id="841"/>
      <w:bookmarkStart w:id="842" w:name="_Toc38475662"/>
      <w:bookmarkEnd w:id="842"/>
      <w:bookmarkStart w:id="843" w:name="_Toc38476042"/>
      <w:bookmarkEnd w:id="843"/>
      <w:bookmarkStart w:id="844" w:name="_Toc38476904"/>
      <w:bookmarkEnd w:id="844"/>
      <w:bookmarkStart w:id="845" w:name="_Toc38476472"/>
      <w:bookmarkEnd w:id="845"/>
      <w:bookmarkStart w:id="846" w:name="_Toc38476596"/>
      <w:bookmarkEnd w:id="846"/>
      <w:bookmarkStart w:id="847" w:name="_Toc38475753"/>
      <w:bookmarkEnd w:id="847"/>
      <w:bookmarkStart w:id="848" w:name="_Toc38475673"/>
      <w:bookmarkEnd w:id="848"/>
      <w:bookmarkStart w:id="849" w:name="_Toc36381911"/>
      <w:bookmarkEnd w:id="849"/>
      <w:bookmarkStart w:id="850" w:name="_Toc38476924"/>
      <w:bookmarkEnd w:id="850"/>
      <w:bookmarkStart w:id="851" w:name="_Toc36382082"/>
      <w:bookmarkEnd w:id="851"/>
      <w:bookmarkStart w:id="852" w:name="_Toc38476466"/>
      <w:bookmarkEnd w:id="852"/>
      <w:bookmarkStart w:id="853" w:name="_Toc36382258"/>
      <w:bookmarkEnd w:id="853"/>
      <w:bookmarkStart w:id="854" w:name="_Toc38476665"/>
      <w:bookmarkEnd w:id="854"/>
      <w:bookmarkStart w:id="855" w:name="_Toc38477099"/>
      <w:bookmarkEnd w:id="855"/>
      <w:bookmarkStart w:id="856" w:name="_Toc36381858"/>
      <w:bookmarkEnd w:id="856"/>
      <w:bookmarkStart w:id="857" w:name="_Toc38475667"/>
      <w:bookmarkEnd w:id="857"/>
      <w:bookmarkStart w:id="858" w:name="_Toc38476279"/>
      <w:bookmarkEnd w:id="858"/>
      <w:bookmarkStart w:id="859" w:name="_Toc38476495"/>
      <w:bookmarkEnd w:id="859"/>
      <w:bookmarkStart w:id="860" w:name="_Toc38475775"/>
      <w:bookmarkEnd w:id="860"/>
      <w:bookmarkStart w:id="861" w:name="_Toc38475742"/>
      <w:bookmarkEnd w:id="861"/>
      <w:bookmarkStart w:id="862" w:name="_Toc38476396"/>
      <w:bookmarkEnd w:id="862"/>
      <w:bookmarkStart w:id="863" w:name="_Toc38476981"/>
      <w:bookmarkEnd w:id="863"/>
      <w:bookmarkStart w:id="864" w:name="_Toc38476622"/>
      <w:bookmarkEnd w:id="864"/>
      <w:bookmarkStart w:id="865" w:name="_Toc36382304"/>
      <w:bookmarkEnd w:id="865"/>
      <w:bookmarkStart w:id="866" w:name="_Toc36382003"/>
      <w:bookmarkEnd w:id="866"/>
      <w:bookmarkStart w:id="867" w:name="_Toc38476865"/>
      <w:bookmarkEnd w:id="867"/>
      <w:bookmarkStart w:id="868" w:name="_Toc38476045"/>
      <w:bookmarkEnd w:id="868"/>
      <w:bookmarkStart w:id="869" w:name="_Toc38475685"/>
      <w:bookmarkEnd w:id="869"/>
      <w:bookmarkStart w:id="870" w:name="_Toc38477140"/>
      <w:bookmarkEnd w:id="870"/>
      <w:bookmarkStart w:id="871" w:name="_Toc36381970"/>
      <w:bookmarkEnd w:id="871"/>
      <w:bookmarkStart w:id="872" w:name="_Toc38475762"/>
      <w:bookmarkEnd w:id="872"/>
      <w:bookmarkStart w:id="873" w:name="_Toc38476689"/>
      <w:bookmarkEnd w:id="873"/>
      <w:bookmarkStart w:id="874" w:name="_Toc38476394"/>
      <w:bookmarkEnd w:id="874"/>
      <w:bookmarkStart w:id="875" w:name="_Toc38476370"/>
      <w:bookmarkEnd w:id="875"/>
      <w:bookmarkStart w:id="876" w:name="_Toc38476633"/>
      <w:bookmarkEnd w:id="876"/>
      <w:bookmarkStart w:id="877" w:name="_Toc36381955"/>
      <w:bookmarkEnd w:id="877"/>
      <w:bookmarkStart w:id="878" w:name="_Toc38475578"/>
      <w:bookmarkEnd w:id="878"/>
      <w:bookmarkStart w:id="879" w:name="_Toc38476127"/>
      <w:bookmarkEnd w:id="879"/>
      <w:bookmarkStart w:id="880" w:name="_Toc38475713"/>
      <w:bookmarkEnd w:id="880"/>
      <w:bookmarkStart w:id="881" w:name="_Toc38476383"/>
      <w:bookmarkEnd w:id="881"/>
      <w:bookmarkStart w:id="882" w:name="_Toc38477046"/>
      <w:bookmarkEnd w:id="882"/>
      <w:bookmarkStart w:id="883" w:name="_Toc38476957"/>
      <w:bookmarkEnd w:id="883"/>
      <w:bookmarkStart w:id="884" w:name="_Toc38475757"/>
      <w:bookmarkEnd w:id="884"/>
      <w:bookmarkStart w:id="885" w:name="_Toc38476709"/>
      <w:bookmarkEnd w:id="885"/>
      <w:bookmarkStart w:id="886" w:name="_Toc38476640"/>
      <w:bookmarkEnd w:id="886"/>
      <w:bookmarkStart w:id="887" w:name="_Toc38476581"/>
      <w:bookmarkEnd w:id="887"/>
      <w:bookmarkStart w:id="888" w:name="_Toc36382475"/>
      <w:bookmarkEnd w:id="888"/>
      <w:bookmarkStart w:id="889" w:name="_Toc38476715"/>
      <w:bookmarkEnd w:id="889"/>
      <w:bookmarkStart w:id="890" w:name="_Toc38476651"/>
      <w:bookmarkEnd w:id="890"/>
      <w:bookmarkStart w:id="891" w:name="_Toc38476935"/>
      <w:bookmarkEnd w:id="891"/>
      <w:bookmarkStart w:id="892" w:name="_Toc38477010"/>
      <w:bookmarkEnd w:id="892"/>
      <w:bookmarkStart w:id="893" w:name="_Toc38475482"/>
      <w:bookmarkEnd w:id="893"/>
      <w:bookmarkStart w:id="894" w:name="_Toc38476877"/>
      <w:bookmarkEnd w:id="894"/>
      <w:bookmarkStart w:id="895" w:name="_Toc38476556"/>
      <w:bookmarkEnd w:id="895"/>
      <w:bookmarkStart w:id="896" w:name="_Toc36382001"/>
      <w:bookmarkEnd w:id="896"/>
      <w:bookmarkStart w:id="897" w:name="_Toc38475725"/>
      <w:bookmarkEnd w:id="897"/>
      <w:bookmarkStart w:id="898" w:name="_Toc38477073"/>
      <w:bookmarkEnd w:id="898"/>
      <w:bookmarkStart w:id="899" w:name="_Toc38477026"/>
      <w:bookmarkEnd w:id="899"/>
      <w:bookmarkStart w:id="900" w:name="_Toc38476967"/>
      <w:bookmarkEnd w:id="900"/>
      <w:bookmarkStart w:id="901" w:name="_Toc38476656"/>
      <w:bookmarkEnd w:id="901"/>
      <w:bookmarkStart w:id="902" w:name="_Toc38476913"/>
      <w:bookmarkEnd w:id="902"/>
      <w:bookmarkStart w:id="903" w:name="_Toc36382305"/>
      <w:bookmarkEnd w:id="903"/>
      <w:bookmarkStart w:id="904" w:name="_Toc38475531"/>
      <w:bookmarkEnd w:id="904"/>
      <w:bookmarkStart w:id="905" w:name="_Toc38477087"/>
      <w:bookmarkEnd w:id="905"/>
      <w:bookmarkStart w:id="906" w:name="_Toc38477227"/>
      <w:bookmarkEnd w:id="906"/>
      <w:bookmarkStart w:id="907" w:name="_Toc38476380"/>
      <w:bookmarkEnd w:id="907"/>
      <w:bookmarkStart w:id="908" w:name="_Toc38475559"/>
      <w:bookmarkEnd w:id="908"/>
      <w:bookmarkStart w:id="909" w:name="_Toc38476638"/>
      <w:bookmarkEnd w:id="909"/>
      <w:bookmarkStart w:id="910" w:name="_Toc38476738"/>
      <w:bookmarkEnd w:id="910"/>
      <w:bookmarkStart w:id="911" w:name="_Toc410910015"/>
      <w:bookmarkEnd w:id="911"/>
      <w:bookmarkStart w:id="912" w:name="_Toc38476277"/>
      <w:bookmarkEnd w:id="912"/>
      <w:bookmarkStart w:id="913" w:name="_Toc38475646"/>
      <w:bookmarkEnd w:id="913"/>
      <w:bookmarkStart w:id="914" w:name="_Toc38475540"/>
      <w:bookmarkEnd w:id="914"/>
      <w:bookmarkStart w:id="915" w:name="_Toc38475581"/>
      <w:bookmarkEnd w:id="915"/>
      <w:bookmarkStart w:id="916" w:name="_Toc36382442"/>
      <w:bookmarkEnd w:id="916"/>
      <w:bookmarkStart w:id="917" w:name="_Toc38476803"/>
      <w:bookmarkEnd w:id="917"/>
      <w:bookmarkStart w:id="918" w:name="_Toc38476661"/>
      <w:bookmarkEnd w:id="918"/>
      <w:bookmarkStart w:id="919" w:name="_Toc38476573"/>
      <w:bookmarkEnd w:id="919"/>
      <w:bookmarkStart w:id="920" w:name="_Toc38476121"/>
      <w:bookmarkEnd w:id="920"/>
      <w:bookmarkStart w:id="921" w:name="_Toc38476937"/>
      <w:bookmarkEnd w:id="921"/>
      <w:bookmarkStart w:id="922" w:name="_Toc38475454"/>
      <w:bookmarkEnd w:id="922"/>
      <w:bookmarkStart w:id="923" w:name="_Toc36381879"/>
      <w:bookmarkEnd w:id="923"/>
      <w:bookmarkStart w:id="924" w:name="_Toc38476676"/>
      <w:bookmarkEnd w:id="924"/>
      <w:bookmarkStart w:id="925" w:name="_Toc38476951"/>
      <w:bookmarkEnd w:id="925"/>
      <w:bookmarkStart w:id="926" w:name="_Toc36382417"/>
      <w:bookmarkEnd w:id="926"/>
      <w:bookmarkStart w:id="927" w:name="_Toc38475563"/>
      <w:bookmarkEnd w:id="927"/>
      <w:bookmarkStart w:id="928" w:name="_Toc38476666"/>
      <w:bookmarkEnd w:id="928"/>
      <w:bookmarkStart w:id="929" w:name="_Toc38475768"/>
      <w:bookmarkEnd w:id="929"/>
      <w:bookmarkStart w:id="930" w:name="_Toc38475624"/>
      <w:bookmarkEnd w:id="930"/>
      <w:bookmarkStart w:id="931" w:name="_Toc38476053"/>
      <w:bookmarkEnd w:id="931"/>
      <w:bookmarkStart w:id="932" w:name="_Toc38476295"/>
      <w:bookmarkEnd w:id="932"/>
      <w:bookmarkStart w:id="933" w:name="_Toc38477184"/>
      <w:bookmarkEnd w:id="933"/>
      <w:bookmarkStart w:id="934" w:name="_Toc38476119"/>
      <w:bookmarkEnd w:id="934"/>
      <w:bookmarkStart w:id="935" w:name="_Toc38476657"/>
      <w:bookmarkEnd w:id="935"/>
      <w:bookmarkStart w:id="936" w:name="_Toc38477015"/>
      <w:bookmarkEnd w:id="936"/>
      <w:bookmarkStart w:id="937" w:name="_Toc38476614"/>
      <w:bookmarkEnd w:id="937"/>
      <w:bookmarkStart w:id="938" w:name="_Toc38476979"/>
      <w:bookmarkEnd w:id="938"/>
      <w:bookmarkStart w:id="939" w:name="_Toc38476811"/>
      <w:bookmarkEnd w:id="939"/>
      <w:bookmarkStart w:id="940" w:name="_Toc38475656"/>
      <w:bookmarkEnd w:id="940"/>
      <w:bookmarkStart w:id="941" w:name="_Toc38476973"/>
      <w:bookmarkEnd w:id="941"/>
      <w:bookmarkStart w:id="942" w:name="_Toc38476606"/>
      <w:bookmarkEnd w:id="942"/>
      <w:bookmarkStart w:id="943" w:name="_Toc38475562"/>
      <w:bookmarkEnd w:id="943"/>
      <w:bookmarkStart w:id="944" w:name="_Toc38476668"/>
      <w:bookmarkEnd w:id="944"/>
      <w:bookmarkStart w:id="945" w:name="_Toc38476992"/>
      <w:bookmarkEnd w:id="945"/>
      <w:bookmarkStart w:id="946" w:name="_Toc38475453"/>
      <w:bookmarkEnd w:id="946"/>
      <w:bookmarkStart w:id="947" w:name="_Toc36382312"/>
      <w:bookmarkEnd w:id="947"/>
      <w:bookmarkStart w:id="948" w:name="_Toc38475574"/>
      <w:bookmarkEnd w:id="948"/>
      <w:bookmarkStart w:id="949" w:name="_Toc38475573"/>
      <w:bookmarkEnd w:id="949"/>
      <w:bookmarkStart w:id="950" w:name="_Toc38476426"/>
      <w:bookmarkEnd w:id="950"/>
      <w:bookmarkStart w:id="951" w:name="_Toc38477150"/>
      <w:bookmarkEnd w:id="951"/>
      <w:bookmarkStart w:id="952" w:name="_Toc38475739"/>
      <w:bookmarkEnd w:id="952"/>
      <w:bookmarkStart w:id="953" w:name="_Toc38475527"/>
      <w:bookmarkEnd w:id="953"/>
      <w:bookmarkStart w:id="954" w:name="_Toc38475677"/>
      <w:bookmarkEnd w:id="954"/>
      <w:bookmarkStart w:id="955" w:name="_Toc38475700"/>
      <w:bookmarkEnd w:id="955"/>
      <w:bookmarkStart w:id="956" w:name="_Toc38476980"/>
      <w:bookmarkEnd w:id="956"/>
      <w:bookmarkStart w:id="957" w:name="_Toc38475474"/>
      <w:bookmarkEnd w:id="957"/>
      <w:bookmarkStart w:id="958" w:name="_Toc38475668"/>
      <w:bookmarkEnd w:id="958"/>
      <w:bookmarkStart w:id="959" w:name="_Toc38477024"/>
      <w:bookmarkEnd w:id="959"/>
      <w:bookmarkStart w:id="960" w:name="_Toc38476879"/>
      <w:bookmarkEnd w:id="960"/>
      <w:bookmarkStart w:id="961" w:name="_Toc38476054"/>
      <w:bookmarkEnd w:id="961"/>
      <w:bookmarkStart w:id="962" w:name="_Toc38477007"/>
      <w:bookmarkEnd w:id="962"/>
      <w:bookmarkStart w:id="963" w:name="_Toc36382399"/>
      <w:bookmarkEnd w:id="963"/>
      <w:bookmarkStart w:id="964" w:name="_Toc38476595"/>
      <w:bookmarkEnd w:id="964"/>
      <w:bookmarkStart w:id="965" w:name="_Toc38477018"/>
      <w:bookmarkEnd w:id="965"/>
      <w:bookmarkStart w:id="966" w:name="_Toc38475719"/>
      <w:bookmarkEnd w:id="966"/>
      <w:bookmarkStart w:id="967" w:name="_Toc38475486"/>
      <w:bookmarkEnd w:id="967"/>
      <w:bookmarkStart w:id="968" w:name="_Toc36381969"/>
      <w:bookmarkEnd w:id="968"/>
      <w:bookmarkStart w:id="969" w:name="_Toc38476558"/>
      <w:bookmarkEnd w:id="969"/>
      <w:bookmarkStart w:id="970" w:name="_Toc38476641"/>
      <w:bookmarkEnd w:id="970"/>
      <w:bookmarkStart w:id="971" w:name="_Toc38476942"/>
      <w:bookmarkEnd w:id="971"/>
      <w:bookmarkStart w:id="972" w:name="_Toc38475488"/>
      <w:bookmarkEnd w:id="972"/>
      <w:bookmarkStart w:id="973" w:name="_Toc38475472"/>
      <w:bookmarkEnd w:id="973"/>
      <w:bookmarkStart w:id="974" w:name="_Toc38476541"/>
      <w:bookmarkEnd w:id="974"/>
      <w:bookmarkStart w:id="975" w:name="_Toc38476488"/>
      <w:bookmarkEnd w:id="975"/>
      <w:bookmarkStart w:id="976" w:name="_Toc38476652"/>
      <w:bookmarkEnd w:id="976"/>
      <w:bookmarkStart w:id="977" w:name="_Toc38475709"/>
      <w:bookmarkEnd w:id="977"/>
      <w:bookmarkStart w:id="978" w:name="_Toc38476374"/>
      <w:bookmarkEnd w:id="978"/>
      <w:bookmarkStart w:id="979" w:name="_Toc6999270"/>
      <w:bookmarkEnd w:id="979"/>
      <w:bookmarkStart w:id="980" w:name="_Toc36382577"/>
      <w:bookmarkEnd w:id="980"/>
      <w:bookmarkStart w:id="981" w:name="_Toc38476250"/>
      <w:bookmarkEnd w:id="981"/>
      <w:bookmarkStart w:id="982" w:name="_Toc38475593"/>
      <w:bookmarkEnd w:id="982"/>
      <w:bookmarkStart w:id="983" w:name="_Toc38476141"/>
      <w:bookmarkEnd w:id="983"/>
      <w:bookmarkStart w:id="984" w:name="_Toc36382553"/>
      <w:bookmarkEnd w:id="984"/>
      <w:bookmarkStart w:id="985" w:name="_Toc36382456"/>
      <w:bookmarkEnd w:id="985"/>
      <w:bookmarkStart w:id="986" w:name="_Toc38475478"/>
      <w:bookmarkEnd w:id="986"/>
      <w:bookmarkStart w:id="987" w:name="_Toc38476414"/>
      <w:bookmarkEnd w:id="987"/>
      <w:bookmarkStart w:id="988" w:name="_Toc38476419"/>
      <w:bookmarkEnd w:id="988"/>
      <w:bookmarkStart w:id="989" w:name="_Toc38477194"/>
      <w:bookmarkEnd w:id="989"/>
      <w:bookmarkStart w:id="990" w:name="_Toc38477056"/>
      <w:bookmarkEnd w:id="990"/>
      <w:bookmarkStart w:id="991" w:name="_Toc38476958"/>
      <w:bookmarkEnd w:id="991"/>
      <w:bookmarkStart w:id="992" w:name="_Toc38476115"/>
      <w:bookmarkEnd w:id="992"/>
      <w:bookmarkStart w:id="993" w:name="_Toc38476577"/>
      <w:bookmarkEnd w:id="993"/>
      <w:bookmarkStart w:id="994" w:name="_Toc38475535"/>
      <w:bookmarkEnd w:id="994"/>
      <w:bookmarkStart w:id="995" w:name="_Toc38476505"/>
      <w:bookmarkEnd w:id="995"/>
      <w:bookmarkStart w:id="996" w:name="_Toc38476968"/>
      <w:bookmarkEnd w:id="996"/>
      <w:bookmarkStart w:id="997" w:name="_Toc38475730"/>
      <w:bookmarkEnd w:id="997"/>
      <w:bookmarkStart w:id="998" w:name="_Toc38475510"/>
      <w:bookmarkEnd w:id="998"/>
      <w:bookmarkStart w:id="999" w:name="_Toc38475699"/>
      <w:bookmarkEnd w:id="999"/>
      <w:bookmarkStart w:id="1000" w:name="_Toc38477196"/>
      <w:bookmarkEnd w:id="1000"/>
      <w:bookmarkStart w:id="1001" w:name="_Toc38476854"/>
      <w:bookmarkEnd w:id="1001"/>
      <w:bookmarkStart w:id="1002" w:name="_Toc38476993"/>
      <w:bookmarkEnd w:id="1002"/>
      <w:bookmarkStart w:id="1003" w:name="_Toc36381953"/>
      <w:bookmarkEnd w:id="1003"/>
      <w:bookmarkStart w:id="1004" w:name="_Toc38475452"/>
      <w:bookmarkEnd w:id="1004"/>
      <w:bookmarkStart w:id="1005" w:name="_Toc38477043"/>
      <w:bookmarkEnd w:id="1005"/>
      <w:bookmarkStart w:id="1006" w:name="_Toc38475507"/>
      <w:bookmarkEnd w:id="1006"/>
      <w:bookmarkStart w:id="1007" w:name="_Toc38476545"/>
      <w:bookmarkEnd w:id="1007"/>
      <w:bookmarkStart w:id="1008" w:name="_Toc38477063"/>
      <w:bookmarkEnd w:id="1008"/>
      <w:bookmarkStart w:id="1009" w:name="_Toc38477000"/>
      <w:bookmarkEnd w:id="1009"/>
      <w:bookmarkStart w:id="1010" w:name="_Toc38476544"/>
      <w:bookmarkEnd w:id="1010"/>
      <w:bookmarkStart w:id="1011" w:name="_Toc36381836"/>
      <w:bookmarkEnd w:id="1011"/>
      <w:bookmarkStart w:id="1012" w:name="_Toc38476663"/>
      <w:bookmarkEnd w:id="1012"/>
      <w:bookmarkStart w:id="1013" w:name="_Toc38476497"/>
      <w:bookmarkEnd w:id="1013"/>
      <w:bookmarkStart w:id="1014" w:name="_Toc38475750"/>
      <w:bookmarkEnd w:id="1014"/>
      <w:bookmarkStart w:id="1015" w:name="_Toc38477214"/>
      <w:bookmarkEnd w:id="1015"/>
      <w:bookmarkStart w:id="1016" w:name="_Toc38477182"/>
      <w:bookmarkEnd w:id="1016"/>
      <w:bookmarkStart w:id="1017" w:name="_Toc38476453"/>
      <w:bookmarkEnd w:id="1017"/>
      <w:bookmarkStart w:id="1018" w:name="_Toc38476915"/>
      <w:bookmarkEnd w:id="1018"/>
      <w:bookmarkStart w:id="1019" w:name="_Toc38476862"/>
      <w:bookmarkEnd w:id="1019"/>
      <w:bookmarkStart w:id="1020" w:name="_Toc38477163"/>
      <w:bookmarkEnd w:id="1020"/>
      <w:bookmarkStart w:id="1021" w:name="_Toc38476801"/>
      <w:bookmarkEnd w:id="1021"/>
      <w:bookmarkStart w:id="1022" w:name="_Toc38476507"/>
      <w:bookmarkEnd w:id="1022"/>
      <w:bookmarkStart w:id="1023" w:name="_Toc38476498"/>
      <w:bookmarkEnd w:id="1023"/>
      <w:bookmarkStart w:id="1024" w:name="_Toc38476579"/>
      <w:bookmarkEnd w:id="1024"/>
      <w:bookmarkStart w:id="1025" w:name="_Toc38476131"/>
      <w:bookmarkEnd w:id="1025"/>
      <w:bookmarkStart w:id="1026" w:name="_Toc38476996"/>
      <w:bookmarkEnd w:id="1026"/>
      <w:bookmarkStart w:id="1027" w:name="_Toc38476052"/>
      <w:bookmarkEnd w:id="1027"/>
      <w:bookmarkStart w:id="1028" w:name="_Toc38476669"/>
      <w:bookmarkEnd w:id="1028"/>
      <w:bookmarkStart w:id="1029" w:name="_Toc38476431"/>
      <w:bookmarkEnd w:id="1029"/>
      <w:bookmarkStart w:id="1030" w:name="_Toc38476185"/>
      <w:bookmarkEnd w:id="1030"/>
      <w:bookmarkStart w:id="1031" w:name="_Toc38476874"/>
      <w:bookmarkEnd w:id="1031"/>
      <w:bookmarkStart w:id="1032" w:name="_Toc38475460"/>
      <w:bookmarkEnd w:id="1032"/>
      <w:bookmarkStart w:id="1033" w:name="_Toc38476808"/>
      <w:bookmarkEnd w:id="1033"/>
      <w:bookmarkStart w:id="1034" w:name="_Toc38477069"/>
      <w:bookmarkEnd w:id="1034"/>
      <w:bookmarkStart w:id="1035" w:name="_Toc36382490"/>
      <w:bookmarkEnd w:id="1035"/>
      <w:bookmarkStart w:id="1036" w:name="_Toc38476658"/>
      <w:bookmarkEnd w:id="1036"/>
      <w:bookmarkStart w:id="1037" w:name="_Toc9589901"/>
      <w:bookmarkEnd w:id="1037"/>
      <w:bookmarkStart w:id="1038" w:name="_Toc36382076"/>
      <w:bookmarkEnd w:id="1038"/>
      <w:bookmarkStart w:id="1039" w:name="_Toc38476869"/>
      <w:bookmarkEnd w:id="1039"/>
      <w:bookmarkStart w:id="1040" w:name="_Toc38476487"/>
      <w:bookmarkEnd w:id="1040"/>
      <w:bookmarkStart w:id="1041" w:name="_Toc38476835"/>
      <w:bookmarkEnd w:id="1041"/>
      <w:bookmarkStart w:id="1042" w:name="_Toc38476551"/>
      <w:bookmarkEnd w:id="1042"/>
      <w:bookmarkStart w:id="1043" w:name="_Toc38475497"/>
      <w:bookmarkEnd w:id="1043"/>
      <w:bookmarkStart w:id="1044" w:name="_Toc5953224"/>
      <w:bookmarkEnd w:id="1044"/>
      <w:bookmarkStart w:id="1045" w:name="_Toc38476528"/>
      <w:bookmarkEnd w:id="1045"/>
      <w:bookmarkStart w:id="1046" w:name="_Toc38476795"/>
      <w:bookmarkEnd w:id="1046"/>
      <w:bookmarkStart w:id="1047" w:name="_Toc38476834"/>
      <w:bookmarkEnd w:id="1047"/>
      <w:bookmarkStart w:id="1048" w:name="_Toc38476510"/>
      <w:bookmarkEnd w:id="1048"/>
      <w:bookmarkStart w:id="1049" w:name="_Toc38477014"/>
      <w:bookmarkEnd w:id="1049"/>
      <w:bookmarkStart w:id="1050" w:name="_Toc38477221"/>
      <w:bookmarkEnd w:id="1050"/>
      <w:bookmarkStart w:id="1051" w:name="_Toc38476418"/>
      <w:bookmarkEnd w:id="1051"/>
      <w:bookmarkStart w:id="1052" w:name="_Toc38477006"/>
      <w:bookmarkEnd w:id="1052"/>
      <w:bookmarkStart w:id="1053" w:name="_Toc38475464"/>
      <w:bookmarkEnd w:id="1053"/>
      <w:bookmarkStart w:id="1054" w:name="_Toc38477093"/>
      <w:bookmarkEnd w:id="1054"/>
      <w:bookmarkStart w:id="1055" w:name="_Toc38475626"/>
      <w:bookmarkEnd w:id="1055"/>
      <w:bookmarkStart w:id="1056" w:name="_Toc38475733"/>
      <w:bookmarkEnd w:id="1056"/>
      <w:bookmarkStart w:id="1057" w:name="_Toc38477147"/>
      <w:bookmarkEnd w:id="1057"/>
      <w:bookmarkStart w:id="1058" w:name="_Toc38476479"/>
      <w:bookmarkEnd w:id="1058"/>
      <w:bookmarkStart w:id="1059" w:name="_Toc38476941"/>
      <w:bookmarkEnd w:id="1059"/>
      <w:bookmarkStart w:id="1060" w:name="_Toc38476529"/>
      <w:bookmarkEnd w:id="1060"/>
      <w:bookmarkStart w:id="1061" w:name="_Toc38476475"/>
      <w:bookmarkEnd w:id="1061"/>
      <w:bookmarkStart w:id="1062" w:name="_Toc38476409"/>
      <w:bookmarkEnd w:id="1062"/>
      <w:bookmarkStart w:id="1063" w:name="_Toc38476948"/>
      <w:bookmarkEnd w:id="1063"/>
      <w:bookmarkStart w:id="1064" w:name="_Toc36381988"/>
      <w:bookmarkEnd w:id="1064"/>
      <w:bookmarkStart w:id="1065" w:name="_Toc38476697"/>
      <w:bookmarkEnd w:id="1065"/>
      <w:bookmarkStart w:id="1066" w:name="_Toc38476425"/>
      <w:bookmarkEnd w:id="1066"/>
      <w:bookmarkStart w:id="1067" w:name="_Toc38476655"/>
      <w:bookmarkEnd w:id="1067"/>
      <w:bookmarkStart w:id="1068" w:name="_Toc36382366"/>
      <w:bookmarkEnd w:id="1068"/>
      <w:bookmarkStart w:id="1069" w:name="_Toc38477148"/>
      <w:bookmarkEnd w:id="1069"/>
      <w:bookmarkStart w:id="1070" w:name="_Toc38476809"/>
      <w:bookmarkEnd w:id="1070"/>
      <w:bookmarkStart w:id="1071" w:name="_Toc4707037"/>
      <w:bookmarkEnd w:id="1071"/>
      <w:bookmarkStart w:id="1072" w:name="_Toc38476536"/>
      <w:bookmarkEnd w:id="1072"/>
      <w:bookmarkStart w:id="1073" w:name="_Toc38476463"/>
      <w:bookmarkEnd w:id="1073"/>
      <w:bookmarkStart w:id="1074" w:name="_Toc38477207"/>
      <w:bookmarkEnd w:id="1074"/>
      <w:bookmarkStart w:id="1075" w:name="_Toc38476873"/>
      <w:bookmarkEnd w:id="1075"/>
      <w:bookmarkStart w:id="1076" w:name="_Toc38476519"/>
      <w:bookmarkEnd w:id="1076"/>
      <w:bookmarkStart w:id="1077" w:name="_Toc38476847"/>
      <w:bookmarkEnd w:id="1077"/>
      <w:bookmarkStart w:id="1078" w:name="_Toc38476694"/>
      <w:bookmarkEnd w:id="1078"/>
      <w:bookmarkStart w:id="1079" w:name="_Toc38476796"/>
      <w:bookmarkEnd w:id="1079"/>
      <w:bookmarkStart w:id="1080" w:name="_Toc38476686"/>
      <w:bookmarkEnd w:id="1080"/>
      <w:bookmarkStart w:id="1081" w:name="_Toc38477205"/>
      <w:bookmarkEnd w:id="1081"/>
      <w:bookmarkStart w:id="1082" w:name="_Toc38475546"/>
      <w:bookmarkEnd w:id="1082"/>
      <w:bookmarkStart w:id="1083" w:name="_Toc38476718"/>
      <w:bookmarkEnd w:id="1083"/>
      <w:bookmarkStart w:id="1084" w:name="_Toc38476433"/>
      <w:bookmarkEnd w:id="1084"/>
      <w:bookmarkStart w:id="1085" w:name="_Toc38476049"/>
      <w:bookmarkEnd w:id="1085"/>
      <w:bookmarkStart w:id="1086" w:name="_Toc38477208"/>
      <w:bookmarkEnd w:id="1086"/>
      <w:bookmarkStart w:id="1087" w:name="_Toc38476933"/>
      <w:bookmarkEnd w:id="1087"/>
      <w:bookmarkStart w:id="1088" w:name="_Toc38476484"/>
      <w:bookmarkEnd w:id="1088"/>
      <w:bookmarkStart w:id="1089" w:name="_Toc38477139"/>
      <w:bookmarkEnd w:id="1089"/>
      <w:bookmarkStart w:id="1090" w:name="_Toc38476530"/>
      <w:bookmarkEnd w:id="1090"/>
      <w:bookmarkStart w:id="1091" w:name="_Toc38476580"/>
      <w:bookmarkEnd w:id="1091"/>
      <w:bookmarkStart w:id="1092" w:name="_Toc38476378"/>
      <w:bookmarkEnd w:id="1092"/>
      <w:bookmarkStart w:id="1093" w:name="_Toc38476502"/>
      <w:bookmarkEnd w:id="1093"/>
      <w:bookmarkStart w:id="1094" w:name="_Toc38476926"/>
      <w:bookmarkEnd w:id="1094"/>
      <w:bookmarkStart w:id="1095" w:name="_Toc38476925"/>
      <w:bookmarkEnd w:id="1095"/>
      <w:bookmarkStart w:id="1096" w:name="_Toc38476457"/>
      <w:bookmarkEnd w:id="1096"/>
      <w:bookmarkStart w:id="1097" w:name="_Toc38476705"/>
      <w:bookmarkEnd w:id="1097"/>
      <w:bookmarkStart w:id="1098" w:name="_Toc38475468"/>
      <w:bookmarkEnd w:id="1098"/>
      <w:bookmarkStart w:id="1099" w:name="_Toc36382113"/>
      <w:bookmarkEnd w:id="1099"/>
      <w:bookmarkStart w:id="1100" w:name="_Toc38476567"/>
      <w:bookmarkEnd w:id="1100"/>
      <w:bookmarkStart w:id="1101" w:name="_Toc38477159"/>
      <w:bookmarkEnd w:id="1101"/>
      <w:bookmarkStart w:id="1102" w:name="_Toc38477158"/>
      <w:bookmarkEnd w:id="1102"/>
      <w:bookmarkStart w:id="1103" w:name="_Toc38476296"/>
      <w:bookmarkEnd w:id="1103"/>
      <w:bookmarkStart w:id="1104" w:name="_Toc38476722"/>
      <w:bookmarkEnd w:id="1104"/>
      <w:bookmarkStart w:id="1105" w:name="_Toc38476477"/>
      <w:bookmarkEnd w:id="1105"/>
      <w:bookmarkStart w:id="1106" w:name="_Toc38476605"/>
      <w:bookmarkEnd w:id="1106"/>
      <w:bookmarkStart w:id="1107" w:name="_Toc38476630"/>
      <w:bookmarkEnd w:id="1107"/>
      <w:bookmarkStart w:id="1108" w:name="_Toc38475550"/>
      <w:bookmarkEnd w:id="1108"/>
      <w:bookmarkStart w:id="1109" w:name="_Toc38476523"/>
      <w:bookmarkEnd w:id="1109"/>
      <w:bookmarkStart w:id="1110" w:name="_Toc38476421"/>
      <w:bookmarkEnd w:id="1110"/>
      <w:bookmarkStart w:id="1111" w:name="_Toc36381944"/>
      <w:bookmarkEnd w:id="1111"/>
      <w:bookmarkStart w:id="1112" w:name="_Toc38476886"/>
      <w:bookmarkEnd w:id="1112"/>
      <w:bookmarkStart w:id="1113" w:name="_Toc38476501"/>
      <w:bookmarkEnd w:id="1113"/>
      <w:bookmarkStart w:id="1114" w:name="_Toc38476434"/>
      <w:bookmarkEnd w:id="1114"/>
      <w:bookmarkStart w:id="1115" w:name="_Toc38477197"/>
      <w:bookmarkEnd w:id="1115"/>
      <w:bookmarkStart w:id="1116" w:name="_Toc38476527"/>
      <w:bookmarkEnd w:id="1116"/>
      <w:bookmarkStart w:id="1117" w:name="_Toc38476725"/>
      <w:bookmarkEnd w:id="1117"/>
      <w:bookmarkStart w:id="1118" w:name="_Toc38477041"/>
      <w:bookmarkEnd w:id="1118"/>
      <w:bookmarkStart w:id="1119" w:name="_Toc38475710"/>
      <w:bookmarkEnd w:id="1119"/>
      <w:bookmarkStart w:id="1120" w:name="_Toc38476443"/>
      <w:bookmarkEnd w:id="1120"/>
      <w:bookmarkStart w:id="1121" w:name="_Toc38476552"/>
      <w:bookmarkEnd w:id="1121"/>
      <w:bookmarkStart w:id="1122" w:name="_Toc38477226"/>
      <w:bookmarkEnd w:id="1122"/>
      <w:bookmarkStart w:id="1123" w:name="_Toc38477225"/>
      <w:bookmarkEnd w:id="1123"/>
      <w:bookmarkStart w:id="1124" w:name="_Toc38476584"/>
      <w:bookmarkEnd w:id="1124"/>
      <w:bookmarkStart w:id="1125" w:name="_Toc36382091"/>
      <w:bookmarkEnd w:id="1125"/>
      <w:bookmarkStart w:id="1126" w:name="_Toc38476398"/>
      <w:bookmarkEnd w:id="1126"/>
      <w:bookmarkStart w:id="1127" w:name="_Toc38476521"/>
      <w:bookmarkEnd w:id="1127"/>
      <w:bookmarkStart w:id="1128" w:name="_Toc38477171"/>
      <w:bookmarkEnd w:id="1128"/>
      <w:bookmarkStart w:id="1129" w:name="_Toc38476379"/>
      <w:bookmarkEnd w:id="1129"/>
      <w:bookmarkStart w:id="1130" w:name="_Toc38477088"/>
      <w:bookmarkEnd w:id="1130"/>
      <w:bookmarkStart w:id="1131" w:name="_Toc38475585"/>
      <w:bookmarkEnd w:id="1131"/>
      <w:bookmarkStart w:id="1132" w:name="_Toc38476454"/>
      <w:bookmarkEnd w:id="1132"/>
      <w:bookmarkStart w:id="1133" w:name="_Toc38476692"/>
      <w:bookmarkEnd w:id="1133"/>
      <w:bookmarkStart w:id="1134" w:name="_Toc38477170"/>
      <w:bookmarkEnd w:id="1134"/>
      <w:bookmarkStart w:id="1135" w:name="_Toc38476437"/>
      <w:bookmarkEnd w:id="1135"/>
      <w:bookmarkStart w:id="1136" w:name="_Toc38477047"/>
      <w:bookmarkEnd w:id="1136"/>
      <w:bookmarkStart w:id="1137" w:name="_Toc38476549"/>
      <w:bookmarkEnd w:id="1137"/>
      <w:bookmarkStart w:id="1138" w:name="_Toc38475533"/>
      <w:bookmarkEnd w:id="1138"/>
      <w:bookmarkStart w:id="1139" w:name="_Toc36381833"/>
      <w:bookmarkEnd w:id="1139"/>
      <w:bookmarkStart w:id="1140" w:name="_Toc38477008"/>
      <w:bookmarkEnd w:id="1140"/>
      <w:bookmarkStart w:id="1141" w:name="_Toc38476553"/>
      <w:bookmarkEnd w:id="1141"/>
      <w:bookmarkStart w:id="1142" w:name="_Toc38476714"/>
      <w:bookmarkEnd w:id="1142"/>
      <w:bookmarkStart w:id="1143" w:name="_Toc38476807"/>
      <w:bookmarkEnd w:id="1143"/>
      <w:bookmarkStart w:id="1144" w:name="_Toc38475576"/>
      <w:bookmarkEnd w:id="1144"/>
      <w:bookmarkStart w:id="1145" w:name="_Toc38476280"/>
      <w:bookmarkEnd w:id="1145"/>
      <w:bookmarkStart w:id="1146" w:name="_Toc38476535"/>
      <w:bookmarkEnd w:id="1146"/>
      <w:bookmarkStart w:id="1147" w:name="_Toc38475570"/>
      <w:bookmarkEnd w:id="1147"/>
      <w:bookmarkStart w:id="1148" w:name="_Toc38475534"/>
      <w:bookmarkEnd w:id="1148"/>
      <w:bookmarkStart w:id="1149" w:name="_Toc38476726"/>
      <w:bookmarkEnd w:id="1149"/>
      <w:bookmarkStart w:id="1150" w:name="_Toc38477185"/>
      <w:bookmarkEnd w:id="1150"/>
      <w:bookmarkStart w:id="1151" w:name="_Toc38475537"/>
      <w:bookmarkEnd w:id="1151"/>
      <w:bookmarkStart w:id="1152" w:name="_Toc38475514"/>
      <w:bookmarkEnd w:id="1152"/>
      <w:bookmarkStart w:id="1153" w:name="_Toc38475697"/>
      <w:bookmarkEnd w:id="1153"/>
      <w:bookmarkStart w:id="1154" w:name="_Toc38477082"/>
      <w:bookmarkEnd w:id="1154"/>
      <w:bookmarkStart w:id="1155" w:name="_Toc38477160"/>
      <w:bookmarkEnd w:id="1155"/>
      <w:bookmarkStart w:id="1156" w:name="_Toc38477086"/>
      <w:bookmarkEnd w:id="1156"/>
      <w:bookmarkStart w:id="1157" w:name="_Toc38476868"/>
      <w:bookmarkEnd w:id="1157"/>
      <w:bookmarkStart w:id="1158" w:name="_Toc36381795"/>
      <w:bookmarkEnd w:id="1158"/>
      <w:bookmarkStart w:id="1159" w:name="_Toc36381987"/>
      <w:bookmarkEnd w:id="1159"/>
      <w:bookmarkStart w:id="1160" w:name="_Toc38475500"/>
      <w:bookmarkEnd w:id="1160"/>
      <w:bookmarkStart w:id="1161" w:name="_Toc38476632"/>
      <w:bookmarkEnd w:id="1161"/>
      <w:bookmarkStart w:id="1162" w:name="_Toc38476898"/>
      <w:bookmarkEnd w:id="1162"/>
      <w:bookmarkStart w:id="1163" w:name="_Toc38476532"/>
      <w:bookmarkEnd w:id="1163"/>
      <w:bookmarkStart w:id="1164" w:name="_Toc38475694"/>
      <w:bookmarkEnd w:id="1164"/>
      <w:bookmarkStart w:id="1165" w:name="_Toc38475548"/>
      <w:bookmarkEnd w:id="1165"/>
      <w:bookmarkStart w:id="1166" w:name="_Toc38477157"/>
      <w:bookmarkEnd w:id="1166"/>
      <w:bookmarkStart w:id="1167" w:name="_Toc38475516"/>
      <w:bookmarkEnd w:id="1167"/>
      <w:bookmarkStart w:id="1168" w:name="_Toc36382575"/>
      <w:bookmarkEnd w:id="1168"/>
      <w:bookmarkStart w:id="1169" w:name="_Toc36382083"/>
      <w:bookmarkEnd w:id="1169"/>
      <w:bookmarkStart w:id="1170" w:name="_Toc38477192"/>
      <w:bookmarkEnd w:id="1170"/>
      <w:bookmarkStart w:id="1171" w:name="_Toc38476861"/>
      <w:bookmarkEnd w:id="1171"/>
      <w:bookmarkStart w:id="1172" w:name="_Toc38476662"/>
      <w:bookmarkEnd w:id="1172"/>
      <w:bookmarkStart w:id="1173" w:name="_Toc38477034"/>
      <w:bookmarkEnd w:id="1173"/>
      <w:bookmarkStart w:id="1174" w:name="_Toc38477202"/>
      <w:bookmarkEnd w:id="1174"/>
      <w:bookmarkStart w:id="1175" w:name="_Toc38476391"/>
      <w:bookmarkEnd w:id="1175"/>
      <w:bookmarkStart w:id="1176" w:name="_Toc38475512"/>
      <w:bookmarkEnd w:id="1176"/>
      <w:bookmarkStart w:id="1177" w:name="_Toc38476680"/>
      <w:bookmarkEnd w:id="1177"/>
      <w:bookmarkStart w:id="1178" w:name="_Toc38475479"/>
      <w:bookmarkEnd w:id="1178"/>
      <w:bookmarkStart w:id="1179" w:name="_Toc38476533"/>
      <w:bookmarkEnd w:id="1179"/>
      <w:bookmarkStart w:id="1180" w:name="_Toc38477141"/>
      <w:bookmarkEnd w:id="1180"/>
      <w:bookmarkStart w:id="1181" w:name="_Toc38477004"/>
      <w:bookmarkEnd w:id="1181"/>
      <w:bookmarkStart w:id="1182" w:name="_Toc38475456"/>
      <w:bookmarkEnd w:id="1182"/>
      <w:bookmarkStart w:id="1183" w:name="_Toc38476592"/>
      <w:bookmarkEnd w:id="1183"/>
      <w:bookmarkStart w:id="1184" w:name="_Toc38475731"/>
      <w:bookmarkEnd w:id="1184"/>
      <w:bookmarkStart w:id="1185" w:name="_Toc38477212"/>
      <w:bookmarkEnd w:id="1185"/>
      <w:bookmarkStart w:id="1186" w:name="_Toc38477091"/>
      <w:bookmarkEnd w:id="1186"/>
      <w:bookmarkStart w:id="1187" w:name="_Toc38477154"/>
      <w:bookmarkEnd w:id="1187"/>
      <w:bookmarkStart w:id="1188" w:name="_Toc36382266"/>
      <w:bookmarkEnd w:id="1188"/>
      <w:bookmarkStart w:id="1189" w:name="_Toc38476478"/>
      <w:bookmarkEnd w:id="1189"/>
      <w:bookmarkStart w:id="1190" w:name="_Toc38477075"/>
      <w:bookmarkEnd w:id="1190"/>
      <w:bookmarkStart w:id="1191" w:name="_Toc4706869"/>
      <w:bookmarkEnd w:id="1191"/>
      <w:bookmarkStart w:id="1192" w:name="_Toc38476648"/>
      <w:bookmarkEnd w:id="1192"/>
      <w:bookmarkStart w:id="1193" w:name="_Toc38476822"/>
      <w:bookmarkEnd w:id="1193"/>
      <w:bookmarkStart w:id="1194" w:name="_Toc38475779"/>
      <w:bookmarkEnd w:id="1194"/>
      <w:bookmarkStart w:id="1195" w:name="_Toc38475732"/>
      <w:bookmarkEnd w:id="1195"/>
      <w:bookmarkStart w:id="1196" w:name="_Toc38477187"/>
      <w:bookmarkEnd w:id="1196"/>
      <w:bookmarkStart w:id="1197" w:name="_Toc38475644"/>
      <w:bookmarkEnd w:id="1197"/>
      <w:bookmarkStart w:id="1198" w:name="_Toc38476914"/>
      <w:bookmarkEnd w:id="1198"/>
      <w:bookmarkStart w:id="1199" w:name="_Toc36382400"/>
      <w:bookmarkEnd w:id="1199"/>
      <w:bookmarkStart w:id="1200" w:name="_Toc38475687"/>
      <w:bookmarkEnd w:id="1200"/>
      <w:bookmarkStart w:id="1201" w:name="_Toc38475701"/>
      <w:bookmarkEnd w:id="1201"/>
      <w:bookmarkStart w:id="1202" w:name="_Toc36382576"/>
      <w:bookmarkEnd w:id="1202"/>
      <w:bookmarkStart w:id="1203" w:name="_Toc38477189"/>
      <w:bookmarkEnd w:id="1203"/>
      <w:bookmarkStart w:id="1204" w:name="_Toc38475642"/>
      <w:bookmarkEnd w:id="1204"/>
      <w:bookmarkStart w:id="1205" w:name="_Toc36382431"/>
      <w:bookmarkEnd w:id="1205"/>
      <w:bookmarkStart w:id="1206" w:name="_Toc38476831"/>
      <w:bookmarkEnd w:id="1206"/>
      <w:bookmarkStart w:id="1207" w:name="_Toc36382295"/>
      <w:bookmarkEnd w:id="1207"/>
      <w:bookmarkStart w:id="1208" w:name="_Toc38476251"/>
      <w:bookmarkEnd w:id="1208"/>
      <w:bookmarkStart w:id="1209" w:name="_Toc38477193"/>
      <w:bookmarkEnd w:id="1209"/>
      <w:bookmarkStart w:id="1210" w:name="_Toc38476858"/>
      <w:bookmarkEnd w:id="1210"/>
      <w:bookmarkStart w:id="1211" w:name="_Toc38475496"/>
      <w:bookmarkEnd w:id="1211"/>
      <w:bookmarkStart w:id="1212" w:name="_Toc38476405"/>
      <w:bookmarkEnd w:id="1212"/>
      <w:bookmarkStart w:id="1213" w:name="_Toc38476848"/>
      <w:bookmarkEnd w:id="1213"/>
      <w:bookmarkStart w:id="1214" w:name="_Toc36381800"/>
      <w:bookmarkEnd w:id="1214"/>
      <w:bookmarkStart w:id="1215" w:name="_Toc36382569"/>
      <w:bookmarkEnd w:id="1215"/>
      <w:bookmarkStart w:id="1216" w:name="_Toc38476518"/>
      <w:bookmarkEnd w:id="1216"/>
      <w:bookmarkStart w:id="1217" w:name="_Toc38476515"/>
      <w:bookmarkEnd w:id="1217"/>
      <w:bookmarkStart w:id="1218" w:name="_Toc38476863"/>
      <w:bookmarkEnd w:id="1218"/>
      <w:bookmarkStart w:id="1219" w:name="_Toc10106447"/>
      <w:bookmarkEnd w:id="1219"/>
      <w:bookmarkStart w:id="1220" w:name="_Toc38476120"/>
      <w:bookmarkEnd w:id="1220"/>
      <w:bookmarkStart w:id="1221" w:name="_Toc38477136"/>
      <w:bookmarkEnd w:id="1221"/>
      <w:bookmarkStart w:id="1222" w:name="_Toc36382066"/>
      <w:bookmarkEnd w:id="1222"/>
      <w:bookmarkStart w:id="1223" w:name="_Toc38476812"/>
      <w:bookmarkEnd w:id="1223"/>
      <w:bookmarkStart w:id="1224" w:name="_Toc38475461"/>
      <w:bookmarkEnd w:id="1224"/>
      <w:bookmarkStart w:id="1225" w:name="_Toc38477089"/>
      <w:bookmarkEnd w:id="1225"/>
      <w:bookmarkStart w:id="1226" w:name="_Toc38476855"/>
      <w:bookmarkEnd w:id="1226"/>
      <w:bookmarkStart w:id="1227" w:name="_Toc38476456"/>
      <w:bookmarkEnd w:id="1227"/>
      <w:bookmarkStart w:id="1228" w:name="_Toc38476483"/>
      <w:bookmarkEnd w:id="1228"/>
      <w:bookmarkStart w:id="1229" w:name="_Toc38477039"/>
      <w:bookmarkEnd w:id="1229"/>
      <w:bookmarkStart w:id="1230" w:name="_Toc38475654"/>
      <w:bookmarkEnd w:id="1230"/>
      <w:bookmarkStart w:id="1231" w:name="_Toc38477173"/>
      <w:bookmarkEnd w:id="1231"/>
      <w:bookmarkStart w:id="1232" w:name="_Toc38477031"/>
      <w:bookmarkEnd w:id="1232"/>
      <w:bookmarkStart w:id="1233" w:name="_Toc38476909"/>
      <w:bookmarkEnd w:id="1233"/>
      <w:bookmarkStart w:id="1234" w:name="_Toc38475495"/>
      <w:bookmarkEnd w:id="1234"/>
      <w:bookmarkStart w:id="1235" w:name="_Toc38476975"/>
      <w:bookmarkEnd w:id="1235"/>
      <w:bookmarkStart w:id="1236" w:name="_Toc38476635"/>
      <w:bookmarkEnd w:id="1236"/>
      <w:bookmarkStart w:id="1237" w:name="_Toc38475490"/>
      <w:bookmarkEnd w:id="1237"/>
      <w:bookmarkStart w:id="1238" w:name="_Toc38477003"/>
      <w:bookmarkEnd w:id="1238"/>
      <w:bookmarkStart w:id="1239" w:name="_Toc38476468"/>
      <w:bookmarkEnd w:id="1239"/>
      <w:bookmarkStart w:id="1240" w:name="_Toc38475675"/>
      <w:bookmarkEnd w:id="1240"/>
      <w:bookmarkStart w:id="1241" w:name="_Toc38476329"/>
      <w:bookmarkEnd w:id="1241"/>
      <w:bookmarkStart w:id="1242" w:name="_Toc38475741"/>
      <w:bookmarkEnd w:id="1242"/>
      <w:bookmarkStart w:id="1243" w:name="_Toc38477199"/>
      <w:bookmarkEnd w:id="1243"/>
      <w:bookmarkStart w:id="1244" w:name="_Toc38475689"/>
      <w:bookmarkEnd w:id="1244"/>
      <w:bookmarkStart w:id="1245" w:name="_Toc38476888"/>
      <w:bookmarkEnd w:id="1245"/>
      <w:bookmarkStart w:id="1246" w:name="_Toc38477164"/>
      <w:bookmarkEnd w:id="1246"/>
      <w:bookmarkStart w:id="1247" w:name="_Toc38475627"/>
      <w:bookmarkEnd w:id="1247"/>
      <w:bookmarkStart w:id="1248" w:name="_Toc38477097"/>
      <w:bookmarkEnd w:id="1248"/>
      <w:bookmarkStart w:id="1249" w:name="_Toc38476619"/>
      <w:bookmarkEnd w:id="1249"/>
      <w:bookmarkStart w:id="1250" w:name="_Toc38476724"/>
      <w:bookmarkEnd w:id="1250"/>
      <w:bookmarkStart w:id="1251" w:name="_Toc38476731"/>
      <w:bookmarkEnd w:id="1251"/>
      <w:bookmarkStart w:id="1252" w:name="_Toc38476625"/>
      <w:bookmarkEnd w:id="1252"/>
      <w:bookmarkStart w:id="1253" w:name="_Toc38476717"/>
      <w:bookmarkEnd w:id="1253"/>
      <w:bookmarkStart w:id="1254" w:name="_Toc38475459"/>
      <w:bookmarkEnd w:id="1254"/>
      <w:bookmarkStart w:id="1255" w:name="_Toc38475508"/>
      <w:bookmarkEnd w:id="1255"/>
      <w:bookmarkStart w:id="1256" w:name="_Toc36381796"/>
      <w:bookmarkEnd w:id="1256"/>
      <w:bookmarkStart w:id="1257" w:name="_Toc38477052"/>
      <w:bookmarkEnd w:id="1257"/>
      <w:bookmarkStart w:id="1258" w:name="_Toc38476685"/>
      <w:bookmarkEnd w:id="1258"/>
      <w:bookmarkStart w:id="1259" w:name="_Toc38476971"/>
      <w:bookmarkEnd w:id="1259"/>
      <w:bookmarkStart w:id="1260" w:name="_Toc38476867"/>
      <w:bookmarkEnd w:id="1260"/>
      <w:bookmarkStart w:id="1261" w:name="_Toc38476645"/>
      <w:bookmarkEnd w:id="1261"/>
      <w:bookmarkStart w:id="1262" w:name="_Toc38477068"/>
      <w:bookmarkEnd w:id="1262"/>
      <w:bookmarkStart w:id="1263" w:name="_Toc38475743"/>
      <w:bookmarkEnd w:id="1263"/>
      <w:bookmarkStart w:id="1264" w:name="_Toc38477191"/>
      <w:bookmarkEnd w:id="1264"/>
      <w:bookmarkStart w:id="1265" w:name="_Toc38476061"/>
      <w:bookmarkEnd w:id="1265"/>
      <w:bookmarkStart w:id="1266" w:name="_Toc38475558"/>
      <w:bookmarkEnd w:id="1266"/>
      <w:bookmarkStart w:id="1267" w:name="_Toc38477013"/>
      <w:bookmarkEnd w:id="1267"/>
      <w:bookmarkStart w:id="1268" w:name="_Toc38476410"/>
      <w:bookmarkEnd w:id="1268"/>
      <w:bookmarkStart w:id="1269" w:name="_Toc38476452"/>
      <w:bookmarkEnd w:id="1269"/>
      <w:bookmarkStart w:id="1270" w:name="_Toc38476586"/>
      <w:bookmarkEnd w:id="1270"/>
      <w:bookmarkStart w:id="1271" w:name="_Toc38477211"/>
      <w:bookmarkEnd w:id="1271"/>
      <w:bookmarkStart w:id="1272" w:name="_Toc38475643"/>
      <w:bookmarkEnd w:id="1272"/>
      <w:bookmarkStart w:id="1273" w:name="_Toc36381945"/>
      <w:bookmarkEnd w:id="1273"/>
      <w:bookmarkStart w:id="1274" w:name="_Toc38476791"/>
      <w:bookmarkEnd w:id="1274"/>
      <w:bookmarkStart w:id="1275" w:name="_Toc38477027"/>
      <w:bookmarkEnd w:id="1275"/>
      <w:bookmarkStart w:id="1276" w:name="_Toc38476850"/>
      <w:bookmarkEnd w:id="1276"/>
      <w:bookmarkStart w:id="1277" w:name="_Toc38475691"/>
      <w:bookmarkEnd w:id="1277"/>
      <w:bookmarkStart w:id="1278" w:name="_Toc38476386"/>
      <w:bookmarkEnd w:id="1278"/>
      <w:bookmarkStart w:id="1279" w:name="_Toc6904371"/>
      <w:bookmarkEnd w:id="1279"/>
      <w:bookmarkStart w:id="1280" w:name="_Toc38477180"/>
      <w:bookmarkEnd w:id="1280"/>
      <w:bookmarkStart w:id="1281" w:name="_Toc38476679"/>
      <w:bookmarkEnd w:id="1281"/>
      <w:bookmarkStart w:id="1282" w:name="_Toc36382306"/>
      <w:bookmarkEnd w:id="1282"/>
      <w:bookmarkStart w:id="1283" w:name="_Toc38475765"/>
      <w:bookmarkEnd w:id="1283"/>
      <w:bookmarkStart w:id="1284" w:name="_Toc38476729"/>
      <w:bookmarkEnd w:id="1284"/>
      <w:bookmarkStart w:id="1285" w:name="_Toc38476720"/>
      <w:bookmarkEnd w:id="1285"/>
      <w:bookmarkStart w:id="1286" w:name="_Toc38476402"/>
      <w:bookmarkEnd w:id="1286"/>
      <w:bookmarkStart w:id="1287" w:name="_Toc38475565"/>
      <w:bookmarkEnd w:id="1287"/>
      <w:bookmarkStart w:id="1288" w:name="_Toc38476828"/>
      <w:bookmarkEnd w:id="1288"/>
      <w:bookmarkStart w:id="1289" w:name="_Toc38477188"/>
      <w:bookmarkEnd w:id="1289"/>
      <w:bookmarkStart w:id="1290" w:name="_Toc38476506"/>
      <w:bookmarkEnd w:id="1290"/>
      <w:bookmarkStart w:id="1291" w:name="_Toc38476568"/>
      <w:bookmarkEnd w:id="1291"/>
      <w:bookmarkStart w:id="1292" w:name="_Toc38476522"/>
      <w:bookmarkEnd w:id="1292"/>
      <w:bookmarkStart w:id="1293" w:name="_Toc38476491"/>
      <w:bookmarkEnd w:id="1293"/>
      <w:bookmarkStart w:id="1294" w:name="_Toc38476163"/>
      <w:bookmarkEnd w:id="1294"/>
      <w:bookmarkStart w:id="1295" w:name="_Toc38476820"/>
      <w:bookmarkEnd w:id="1295"/>
      <w:bookmarkStart w:id="1296" w:name="_Toc38476674"/>
      <w:bookmarkEnd w:id="1296"/>
      <w:bookmarkStart w:id="1297" w:name="_Toc38476844"/>
      <w:bookmarkEnd w:id="1297"/>
      <w:bookmarkStart w:id="1298" w:name="_Toc38476671"/>
      <w:bookmarkEnd w:id="1298"/>
      <w:bookmarkStart w:id="1299" w:name="_Toc38476637"/>
      <w:bookmarkEnd w:id="1299"/>
      <w:bookmarkStart w:id="1300" w:name="_Toc36382455"/>
      <w:bookmarkEnd w:id="1300"/>
      <w:bookmarkStart w:id="1301" w:name="_Toc9588626"/>
      <w:bookmarkEnd w:id="1301"/>
      <w:bookmarkStart w:id="1302" w:name="_Toc36382416"/>
      <w:bookmarkEnd w:id="1302"/>
      <w:bookmarkStart w:id="1303" w:name="_Toc38476856"/>
      <w:bookmarkEnd w:id="1303"/>
      <w:bookmarkStart w:id="1304" w:name="_Toc36382458"/>
      <w:bookmarkEnd w:id="1304"/>
      <w:bookmarkStart w:id="1305" w:name="_Toc38477072"/>
      <w:bookmarkEnd w:id="1305"/>
      <w:bookmarkStart w:id="1306" w:name="_Toc38476436"/>
      <w:bookmarkEnd w:id="1306"/>
      <w:bookmarkStart w:id="1307" w:name="_Toc38477094"/>
      <w:bookmarkEnd w:id="1307"/>
      <w:bookmarkStart w:id="1308" w:name="_Toc38476058"/>
      <w:bookmarkEnd w:id="1308"/>
      <w:bookmarkStart w:id="1309" w:name="_Toc38477168"/>
      <w:bookmarkEnd w:id="1309"/>
      <w:bookmarkStart w:id="1310" w:name="_Toc38477186"/>
      <w:bookmarkEnd w:id="1310"/>
      <w:bookmarkStart w:id="1311" w:name="_Toc36382579"/>
      <w:bookmarkEnd w:id="1311"/>
      <w:bookmarkStart w:id="1312" w:name="_Toc38476793"/>
      <w:bookmarkEnd w:id="1312"/>
      <w:bookmarkStart w:id="1313" w:name="_Toc36382570"/>
      <w:bookmarkEnd w:id="1313"/>
      <w:bookmarkStart w:id="1314" w:name="_Toc38476467"/>
      <w:bookmarkEnd w:id="1314"/>
      <w:bookmarkStart w:id="1315" w:name="_Toc38476704"/>
      <w:bookmarkEnd w:id="1315"/>
      <w:bookmarkStart w:id="1316" w:name="_Toc38477058"/>
      <w:bookmarkEnd w:id="1316"/>
      <w:bookmarkStart w:id="1317" w:name="_Toc38475748"/>
      <w:bookmarkEnd w:id="1317"/>
      <w:bookmarkStart w:id="1318" w:name="_Toc38476842"/>
      <w:bookmarkEnd w:id="1318"/>
      <w:bookmarkStart w:id="1319" w:name="_Toc38476513"/>
      <w:bookmarkEnd w:id="1319"/>
      <w:bookmarkStart w:id="1320" w:name="_Toc36381968"/>
      <w:bookmarkEnd w:id="1320"/>
      <w:bookmarkStart w:id="1321" w:name="_Toc38476678"/>
      <w:bookmarkEnd w:id="1321"/>
      <w:bookmarkStart w:id="1322" w:name="_Toc38476829"/>
      <w:bookmarkEnd w:id="1322"/>
      <w:bookmarkStart w:id="1323" w:name="_Toc38476946"/>
      <w:bookmarkEnd w:id="1323"/>
      <w:bookmarkStart w:id="1324" w:name="_Toc38475638"/>
      <w:bookmarkEnd w:id="1324"/>
      <w:bookmarkStart w:id="1325" w:name="_Toc38476892"/>
      <w:bookmarkEnd w:id="1325"/>
      <w:bookmarkStart w:id="1326" w:name="_Toc38475473"/>
      <w:bookmarkEnd w:id="1326"/>
      <w:bookmarkStart w:id="1327" w:name="_Toc38477078"/>
      <w:bookmarkEnd w:id="1327"/>
      <w:bookmarkStart w:id="1328" w:name="_Toc38476309"/>
      <w:bookmarkEnd w:id="1328"/>
      <w:bookmarkStart w:id="1329" w:name="_Toc38475749"/>
      <w:bookmarkEnd w:id="1329"/>
      <w:bookmarkStart w:id="1330" w:name="_Toc38476593"/>
      <w:bookmarkEnd w:id="1330"/>
      <w:bookmarkStart w:id="1331" w:name="_Toc38475487"/>
      <w:bookmarkEnd w:id="1331"/>
      <w:bookmarkStart w:id="1332" w:name="_Toc38476804"/>
      <w:bookmarkEnd w:id="1332"/>
      <w:bookmarkStart w:id="1333" w:name="_Toc38476538"/>
      <w:bookmarkEnd w:id="1333"/>
      <w:bookmarkStart w:id="1334" w:name="_Toc38477012"/>
      <w:bookmarkEnd w:id="1334"/>
      <w:bookmarkStart w:id="1335" w:name="_Toc38476373"/>
      <w:bookmarkEnd w:id="1335"/>
      <w:bookmarkStart w:id="1336" w:name="_Toc38476125"/>
      <w:bookmarkEnd w:id="1336"/>
      <w:bookmarkStart w:id="1337" w:name="_Toc36382300"/>
      <w:bookmarkEnd w:id="1337"/>
      <w:bookmarkStart w:id="1338" w:name="_Toc38476687"/>
      <w:bookmarkEnd w:id="1338"/>
      <w:bookmarkStart w:id="1339" w:name="_Toc38477002"/>
      <w:bookmarkEnd w:id="1339"/>
      <w:bookmarkStart w:id="1340" w:name="_Toc38476459"/>
      <w:bookmarkEnd w:id="1340"/>
      <w:bookmarkStart w:id="1341" w:name="_Toc38476997"/>
      <w:bookmarkEnd w:id="1341"/>
      <w:bookmarkStart w:id="1342" w:name="_Toc38476836"/>
      <w:bookmarkEnd w:id="1342"/>
      <w:bookmarkStart w:id="1343" w:name="_Toc38477203"/>
      <w:bookmarkEnd w:id="1343"/>
      <w:bookmarkStart w:id="1344" w:name="_Toc38477223"/>
      <w:bookmarkEnd w:id="1344"/>
      <w:bookmarkStart w:id="1345" w:name="_Toc38475597"/>
      <w:bookmarkEnd w:id="1345"/>
      <w:bookmarkStart w:id="1346" w:name="_Toc38476902"/>
      <w:bookmarkEnd w:id="1346"/>
      <w:bookmarkStart w:id="1347" w:name="_Toc38477210"/>
      <w:bookmarkEnd w:id="1347"/>
      <w:bookmarkStart w:id="1348" w:name="_Toc38476732"/>
      <w:bookmarkEnd w:id="1348"/>
      <w:bookmarkStart w:id="1349" w:name="_Toc38475586"/>
      <w:bookmarkEnd w:id="1349"/>
      <w:bookmarkStart w:id="1350" w:name="_Toc38475752"/>
      <w:bookmarkEnd w:id="1350"/>
      <w:bookmarkStart w:id="1351" w:name="_Toc38475692"/>
      <w:bookmarkEnd w:id="1351"/>
      <w:bookmarkStart w:id="1352" w:name="_Toc38476060"/>
      <w:bookmarkEnd w:id="1352"/>
      <w:bookmarkStart w:id="1353" w:name="_Toc38475501"/>
      <w:bookmarkEnd w:id="1353"/>
      <w:bookmarkStart w:id="1354" w:name="_Toc36382267"/>
      <w:bookmarkEnd w:id="1354"/>
      <w:bookmarkStart w:id="1355" w:name="_Toc38476618"/>
      <w:bookmarkEnd w:id="1355"/>
      <w:bookmarkStart w:id="1356" w:name="_Toc38476413"/>
      <w:bookmarkEnd w:id="1356"/>
      <w:bookmarkStart w:id="1357" w:name="_Toc38477042"/>
      <w:bookmarkEnd w:id="1357"/>
      <w:bookmarkStart w:id="1358" w:name="_Toc38476906"/>
      <w:bookmarkEnd w:id="1358"/>
      <w:bookmarkStart w:id="1359" w:name="_Toc38477213"/>
      <w:bookmarkEnd w:id="1359"/>
      <w:bookmarkStart w:id="1360" w:name="_Toc38476327"/>
      <w:bookmarkEnd w:id="1360"/>
      <w:bookmarkStart w:id="1361" w:name="_Toc38476626"/>
      <w:bookmarkEnd w:id="1361"/>
      <w:bookmarkStart w:id="1362" w:name="_Toc38475587"/>
      <w:bookmarkEnd w:id="1362"/>
      <w:bookmarkStart w:id="1363" w:name="_Toc38476585"/>
      <w:bookmarkEnd w:id="1363"/>
      <w:bookmarkStart w:id="1364" w:name="_Toc38475726"/>
      <w:bookmarkEnd w:id="1364"/>
      <w:bookmarkStart w:id="1365" w:name="_Toc38477023"/>
      <w:bookmarkEnd w:id="1365"/>
      <w:bookmarkStart w:id="1366" w:name="_Toc36382061"/>
      <w:bookmarkEnd w:id="1366"/>
      <w:bookmarkStart w:id="1367" w:name="_Toc38475492"/>
      <w:bookmarkEnd w:id="1367"/>
      <w:bookmarkStart w:id="1368" w:name="_Toc38475655"/>
      <w:bookmarkEnd w:id="1368"/>
      <w:bookmarkStart w:id="1369" w:name="_Toc38476790"/>
      <w:bookmarkEnd w:id="1369"/>
      <w:bookmarkStart w:id="1370" w:name="_Toc38475523"/>
      <w:bookmarkEnd w:id="1370"/>
      <w:bookmarkStart w:id="1371" w:name="_Toc36382320"/>
      <w:bookmarkEnd w:id="1371"/>
      <w:bookmarkStart w:id="1372" w:name="_Toc38477053"/>
      <w:bookmarkEnd w:id="1372"/>
      <w:bookmarkStart w:id="1373" w:name="_Toc38476810"/>
      <w:bookmarkEnd w:id="1373"/>
      <w:bookmarkStart w:id="1374" w:name="_Toc38476385"/>
      <w:bookmarkEnd w:id="1374"/>
      <w:bookmarkStart w:id="1375" w:name="_Toc36382086"/>
      <w:bookmarkEnd w:id="1375"/>
      <w:bookmarkStart w:id="1376" w:name="_Toc38476821"/>
      <w:bookmarkEnd w:id="1376"/>
      <w:bookmarkStart w:id="1377" w:name="_Toc38476969"/>
      <w:bookmarkEnd w:id="1377"/>
      <w:bookmarkStart w:id="1378" w:name="_Toc38476587"/>
      <w:bookmarkEnd w:id="1378"/>
      <w:bookmarkStart w:id="1379" w:name="_Toc36381790"/>
      <w:bookmarkEnd w:id="1379"/>
      <w:bookmarkStart w:id="1380" w:name="_Toc38476654"/>
      <w:bookmarkEnd w:id="1380"/>
      <w:bookmarkStart w:id="1381" w:name="_Toc38476908"/>
      <w:bookmarkEnd w:id="1381"/>
      <w:bookmarkStart w:id="1382" w:name="_Toc38475650"/>
      <w:bookmarkEnd w:id="1382"/>
      <w:bookmarkStart w:id="1383" w:name="_Toc36382323"/>
      <w:bookmarkEnd w:id="1383"/>
      <w:bookmarkStart w:id="1384" w:name="_Toc38476920"/>
      <w:bookmarkEnd w:id="1384"/>
      <w:bookmarkStart w:id="1385" w:name="_Toc38476439"/>
      <w:bookmarkEnd w:id="1385"/>
      <w:bookmarkStart w:id="1386" w:name="_Toc38477045"/>
      <w:bookmarkEnd w:id="1386"/>
      <w:bookmarkStart w:id="1387" w:name="_Toc38476371"/>
      <w:bookmarkEnd w:id="1387"/>
      <w:bookmarkStart w:id="1388" w:name="_Toc38476184"/>
      <w:bookmarkEnd w:id="1388"/>
      <w:bookmarkStart w:id="1389" w:name="_Toc36382322"/>
      <w:bookmarkEnd w:id="1389"/>
      <w:bookmarkStart w:id="1390" w:name="_Toc36382315"/>
      <w:bookmarkEnd w:id="1390"/>
      <w:bookmarkStart w:id="1391" w:name="_Toc38476994"/>
      <w:bookmarkEnd w:id="1391"/>
      <w:bookmarkStart w:id="1392" w:name="_Toc38477166"/>
      <w:bookmarkEnd w:id="1392"/>
      <w:bookmarkStart w:id="1393" w:name="_Toc38476281"/>
      <w:bookmarkEnd w:id="1393"/>
      <w:bookmarkStart w:id="1394" w:name="_Toc38476462"/>
      <w:bookmarkEnd w:id="1394"/>
      <w:bookmarkStart w:id="1395" w:name="_Toc38475647"/>
      <w:bookmarkEnd w:id="1395"/>
      <w:bookmarkStart w:id="1396" w:name="_Toc38476392"/>
      <w:bookmarkEnd w:id="1396"/>
      <w:bookmarkStart w:id="1397" w:name="_Toc36382019"/>
      <w:bookmarkEnd w:id="1397"/>
      <w:bookmarkStart w:id="1398" w:name="_Toc38475707"/>
      <w:bookmarkEnd w:id="1398"/>
      <w:bookmarkStart w:id="1399" w:name="_Toc38476659"/>
      <w:bookmarkEnd w:id="1399"/>
      <w:bookmarkStart w:id="1400" w:name="_Toc38477060"/>
      <w:bookmarkEnd w:id="1400"/>
      <w:bookmarkStart w:id="1401" w:name="_Toc36511054"/>
      <w:bookmarkEnd w:id="1401"/>
      <w:bookmarkStart w:id="1402" w:name="_Toc38476970"/>
      <w:bookmarkEnd w:id="1402"/>
      <w:bookmarkStart w:id="1403" w:name="_Toc38477084"/>
      <w:bookmarkEnd w:id="1403"/>
      <w:bookmarkStart w:id="1404" w:name="_Toc38475682"/>
      <w:bookmarkEnd w:id="1404"/>
      <w:bookmarkStart w:id="1405" w:name="_Toc36382092"/>
      <w:bookmarkEnd w:id="1405"/>
      <w:bookmarkStart w:id="1406" w:name="_Toc38475660"/>
      <w:bookmarkEnd w:id="1406"/>
      <w:bookmarkStart w:id="1407" w:name="_Toc38477065"/>
      <w:bookmarkEnd w:id="1407"/>
      <w:bookmarkStart w:id="1408" w:name="_Toc36382398"/>
      <w:bookmarkEnd w:id="1408"/>
      <w:bookmarkStart w:id="1409" w:name="_Toc38476604"/>
      <w:bookmarkEnd w:id="1409"/>
      <w:bookmarkStart w:id="1410" w:name="_Toc38475603"/>
      <w:bookmarkEnd w:id="1410"/>
      <w:bookmarkStart w:id="1411" w:name="_Toc38475530"/>
      <w:bookmarkEnd w:id="1411"/>
      <w:bookmarkStart w:id="1412" w:name="_Toc36382301"/>
      <w:bookmarkEnd w:id="1412"/>
      <w:bookmarkStart w:id="1413" w:name="_Toc38475683"/>
      <w:bookmarkEnd w:id="1413"/>
      <w:bookmarkStart w:id="1414" w:name="_Toc36382316"/>
      <w:bookmarkEnd w:id="1414"/>
      <w:bookmarkStart w:id="1415" w:name="_Toc38477048"/>
      <w:bookmarkEnd w:id="1415"/>
      <w:bookmarkStart w:id="1416" w:name="_Toc38476932"/>
      <w:bookmarkEnd w:id="1416"/>
      <w:bookmarkStart w:id="1417" w:name="_Toc38476944"/>
      <w:bookmarkEnd w:id="1417"/>
      <w:bookmarkStart w:id="1418" w:name="_Toc38475703"/>
      <w:bookmarkEnd w:id="1418"/>
      <w:bookmarkStart w:id="1419" w:name="_Toc38476627"/>
      <w:bookmarkEnd w:id="1419"/>
      <w:bookmarkStart w:id="1420" w:name="_Toc38476800"/>
      <w:bookmarkEnd w:id="1420"/>
      <w:bookmarkStart w:id="1421" w:name="_Toc38476474"/>
      <w:bookmarkEnd w:id="1421"/>
      <w:bookmarkStart w:id="1422" w:name="_Toc38476825"/>
      <w:bookmarkEnd w:id="1422"/>
      <w:bookmarkStart w:id="1423" w:name="_Toc38476916"/>
      <w:bookmarkEnd w:id="1423"/>
      <w:bookmarkStart w:id="1424" w:name="_Toc38475684"/>
      <w:bookmarkEnd w:id="1424"/>
      <w:bookmarkStart w:id="1425" w:name="_Toc38475641"/>
      <w:bookmarkEnd w:id="1425"/>
      <w:bookmarkStart w:id="1426" w:name="_Toc38476112"/>
      <w:bookmarkEnd w:id="1426"/>
      <w:bookmarkStart w:id="1427" w:name="_Toc38476903"/>
      <w:bookmarkEnd w:id="1427"/>
      <w:bookmarkStart w:id="1428" w:name="_Toc38476390"/>
      <w:bookmarkEnd w:id="1428"/>
      <w:bookmarkStart w:id="1429" w:name="_Toc38475475"/>
      <w:bookmarkEnd w:id="1429"/>
      <w:bookmarkStart w:id="1430" w:name="_Toc38476376"/>
      <w:bookmarkEnd w:id="1430"/>
      <w:bookmarkStart w:id="1431" w:name="_Toc38476998"/>
      <w:bookmarkEnd w:id="1431"/>
      <w:bookmarkStart w:id="1432" w:name="_Toc38476276"/>
      <w:bookmarkEnd w:id="1432"/>
      <w:bookmarkStart w:id="1433" w:name="_Toc38476274"/>
      <w:bookmarkEnd w:id="1433"/>
      <w:bookmarkStart w:id="1434" w:name="_Toc38475592"/>
      <w:bookmarkEnd w:id="1434"/>
      <w:bookmarkStart w:id="1435" w:name="_Toc38476056"/>
      <w:bookmarkEnd w:id="1435"/>
      <w:bookmarkStart w:id="1436" w:name="_Toc38477029"/>
      <w:bookmarkEnd w:id="1436"/>
      <w:bookmarkStart w:id="1437" w:name="_Toc6243554"/>
      <w:bookmarkEnd w:id="1437"/>
      <w:bookmarkStart w:id="1438" w:name="_Toc38476885"/>
      <w:bookmarkEnd w:id="1438"/>
      <w:bookmarkStart w:id="1439" w:name="_Toc38477054"/>
      <w:bookmarkEnd w:id="1439"/>
      <w:bookmarkStart w:id="1440" w:name="_Toc9588880"/>
      <w:bookmarkEnd w:id="1440"/>
      <w:bookmarkStart w:id="1441" w:name="_Toc38476849"/>
      <w:bookmarkEnd w:id="1441"/>
      <w:bookmarkStart w:id="1442" w:name="_Toc38475632"/>
      <w:bookmarkEnd w:id="1442"/>
      <w:bookmarkStart w:id="1443" w:name="_Toc38476514"/>
      <w:bookmarkEnd w:id="1443"/>
      <w:bookmarkStart w:id="1444" w:name="_Toc38475569"/>
      <w:bookmarkEnd w:id="1444"/>
      <w:bookmarkStart w:id="1445" w:name="_Toc36382488"/>
      <w:bookmarkEnd w:id="1445"/>
      <w:bookmarkStart w:id="1446" w:name="_Toc38475712"/>
      <w:bookmarkEnd w:id="1446"/>
      <w:bookmarkStart w:id="1447" w:name="_Toc38476610"/>
      <w:bookmarkEnd w:id="1447"/>
      <w:bookmarkStart w:id="1448" w:name="_Toc38477055"/>
      <w:bookmarkEnd w:id="1448"/>
      <w:bookmarkStart w:id="1449" w:name="_Toc38476889"/>
      <w:bookmarkEnd w:id="1449"/>
      <w:bookmarkStart w:id="1450" w:name="_Toc36382036"/>
      <w:bookmarkEnd w:id="1450"/>
      <w:bookmarkStart w:id="1451" w:name="_Toc38476887"/>
      <w:bookmarkEnd w:id="1451"/>
      <w:bookmarkStart w:id="1452" w:name="_Toc38477201"/>
      <w:bookmarkEnd w:id="1452"/>
      <w:bookmarkStart w:id="1453" w:name="_Toc38476183"/>
      <w:bookmarkEnd w:id="1453"/>
      <w:bookmarkStart w:id="1454" w:name="_Toc38476328"/>
      <w:bookmarkEnd w:id="1454"/>
      <w:bookmarkStart w:id="1455" w:name="_Toc36382262"/>
      <w:bookmarkEnd w:id="1455"/>
      <w:bookmarkStart w:id="1456" w:name="_Toc38476723"/>
      <w:bookmarkEnd w:id="1456"/>
      <w:bookmarkStart w:id="1457" w:name="_Toc38477036"/>
      <w:bookmarkEnd w:id="1457"/>
      <w:bookmarkStart w:id="1458" w:name="_Toc38476259"/>
      <w:bookmarkEnd w:id="1458"/>
      <w:bookmarkStart w:id="1459" w:name="_Toc38475551"/>
      <w:bookmarkEnd w:id="1459"/>
      <w:bookmarkStart w:id="1460" w:name="_Toc38477049"/>
      <w:bookmarkEnd w:id="1460"/>
      <w:bookmarkStart w:id="1461" w:name="_Toc36382311"/>
      <w:bookmarkEnd w:id="1461"/>
      <w:bookmarkStart w:id="1462" w:name="_Toc38476837"/>
      <w:bookmarkEnd w:id="1462"/>
      <w:bookmarkStart w:id="1463" w:name="_Toc38477030"/>
      <w:bookmarkEnd w:id="1463"/>
      <w:bookmarkStart w:id="1464" w:name="_Toc38476860"/>
      <w:bookmarkEnd w:id="1464"/>
      <w:bookmarkStart w:id="1465" w:name="_Toc38476040"/>
      <w:bookmarkEnd w:id="1465"/>
      <w:bookmarkStart w:id="1466" w:name="_Toc38476122"/>
      <w:bookmarkEnd w:id="1466"/>
      <w:bookmarkStart w:id="1467" w:name="_Toc38477067"/>
      <w:bookmarkEnd w:id="1467"/>
      <w:bookmarkStart w:id="1468" w:name="_Toc38476693"/>
      <w:bookmarkEnd w:id="1468"/>
      <w:bookmarkStart w:id="1469" w:name="_Toc38477064"/>
      <w:bookmarkEnd w:id="1469"/>
      <w:bookmarkStart w:id="1470" w:name="_Toc38475679"/>
      <w:bookmarkEnd w:id="1470"/>
      <w:bookmarkStart w:id="1471" w:name="_Toc38476037"/>
      <w:bookmarkEnd w:id="1471"/>
      <w:bookmarkStart w:id="1472" w:name="_Toc38476918"/>
      <w:bookmarkEnd w:id="1472"/>
      <w:bookmarkStart w:id="1473" w:name="_Toc38476493"/>
      <w:bookmarkEnd w:id="1473"/>
      <w:bookmarkStart w:id="1474" w:name="_Toc38475588"/>
      <w:bookmarkEnd w:id="1474"/>
      <w:bookmarkStart w:id="1475" w:name="_Toc38476853"/>
      <w:bookmarkEnd w:id="1475"/>
      <w:bookmarkStart w:id="1476" w:name="_Toc38476905"/>
      <w:bookmarkEnd w:id="1476"/>
      <w:bookmarkStart w:id="1477" w:name="_Toc38476832"/>
      <w:bookmarkEnd w:id="1477"/>
      <w:bookmarkStart w:id="1478" w:name="_Toc38476727"/>
      <w:bookmarkEnd w:id="1478"/>
      <w:bookmarkStart w:id="1479" w:name="_Toc38476713"/>
      <w:bookmarkEnd w:id="1479"/>
      <w:bookmarkStart w:id="1480" w:name="_Toc38476733"/>
      <w:bookmarkEnd w:id="1480"/>
      <w:bookmarkStart w:id="1481" w:name="_Toc38475466"/>
      <w:bookmarkEnd w:id="1481"/>
      <w:bookmarkStart w:id="1482" w:name="_Toc38476572"/>
      <w:bookmarkEnd w:id="1482"/>
      <w:bookmarkStart w:id="1483" w:name="_Toc38476921"/>
      <w:bookmarkEnd w:id="1483"/>
      <w:bookmarkStart w:id="1484" w:name="_Toc36382319"/>
      <w:bookmarkEnd w:id="1484"/>
      <w:bookmarkStart w:id="1485" w:name="_Toc38476794"/>
      <w:bookmarkEnd w:id="1485"/>
      <w:bookmarkStart w:id="1486" w:name="_Toc38476451"/>
      <w:bookmarkEnd w:id="1486"/>
      <w:bookmarkStart w:id="1487" w:name="_Toc38476542"/>
      <w:bookmarkEnd w:id="1487"/>
      <w:bookmarkStart w:id="1488" w:name="_Toc38475769"/>
      <w:bookmarkEnd w:id="1488"/>
      <w:bookmarkStart w:id="1489" w:name="_Toc38476977"/>
      <w:bookmarkEnd w:id="1489"/>
      <w:bookmarkStart w:id="1490" w:name="_Toc38475489"/>
      <w:bookmarkEnd w:id="1490"/>
      <w:bookmarkStart w:id="1491" w:name="_Toc36382261"/>
      <w:bookmarkEnd w:id="1491"/>
      <w:bookmarkStart w:id="1492" w:name="_Toc38476987"/>
      <w:bookmarkEnd w:id="1492"/>
      <w:bookmarkStart w:id="1493" w:name="_Toc38476438"/>
      <w:bookmarkEnd w:id="1493"/>
      <w:bookmarkStart w:id="1494" w:name="_Toc38476578"/>
      <w:bookmarkEnd w:id="1494"/>
      <w:bookmarkStart w:id="1495" w:name="_Toc38476642"/>
      <w:bookmarkEnd w:id="1495"/>
      <w:bookmarkStart w:id="1496" w:name="_Toc38475555"/>
      <w:bookmarkEnd w:id="1496"/>
      <w:bookmarkStart w:id="1497" w:name="_Toc36382345"/>
      <w:bookmarkEnd w:id="1497"/>
      <w:bookmarkStart w:id="1498" w:name="_Toc4789186"/>
      <w:bookmarkEnd w:id="1498"/>
      <w:bookmarkStart w:id="1499" w:name="_Toc36382035"/>
      <w:bookmarkEnd w:id="1499"/>
      <w:bookmarkStart w:id="1500" w:name="_Toc38477161"/>
      <w:bookmarkEnd w:id="1500"/>
      <w:bookmarkStart w:id="1501" w:name="_Toc36382002"/>
      <w:bookmarkEnd w:id="1501"/>
      <w:bookmarkStart w:id="1502" w:name="_Toc38477001"/>
      <w:bookmarkEnd w:id="1502"/>
      <w:bookmarkStart w:id="1503" w:name="_Toc38476878"/>
      <w:bookmarkEnd w:id="1503"/>
      <w:bookmarkStart w:id="1504" w:name="_Toc36381954"/>
      <w:bookmarkEnd w:id="1504"/>
      <w:bookmarkStart w:id="1505" w:name="_Toc38475716"/>
      <w:bookmarkEnd w:id="1505"/>
      <w:bookmarkStart w:id="1506" w:name="_Toc38475538"/>
      <w:bookmarkEnd w:id="1506"/>
      <w:bookmarkStart w:id="1507" w:name="_Toc38477162"/>
      <w:bookmarkEnd w:id="1507"/>
      <w:bookmarkStart w:id="1508" w:name="_Toc38476806"/>
      <w:bookmarkEnd w:id="1508"/>
      <w:bookmarkStart w:id="1509" w:name="_Toc38476557"/>
      <w:bookmarkEnd w:id="1509"/>
      <w:bookmarkStart w:id="1510" w:name="_Toc36382259"/>
      <w:bookmarkEnd w:id="1510"/>
      <w:bookmarkStart w:id="1511" w:name="_Toc38476555"/>
      <w:bookmarkEnd w:id="1511"/>
      <w:bookmarkStart w:id="1512" w:name="_Toc38475702"/>
      <w:bookmarkEnd w:id="1512"/>
      <w:bookmarkStart w:id="1513" w:name="_Toc38476599"/>
      <w:bookmarkEnd w:id="1513"/>
      <w:bookmarkStart w:id="1514" w:name="_Toc38476985"/>
      <w:bookmarkEnd w:id="1514"/>
      <w:bookmarkStart w:id="1515" w:name="_Toc38476974"/>
      <w:bookmarkEnd w:id="1515"/>
      <w:bookmarkStart w:id="1516" w:name="_Toc36382314"/>
      <w:bookmarkEnd w:id="1516"/>
      <w:bookmarkStart w:id="1517" w:name="_Toc38476734"/>
      <w:bookmarkEnd w:id="1517"/>
      <w:bookmarkStart w:id="1518" w:name="_Toc38476375"/>
      <w:bookmarkEnd w:id="1518"/>
      <w:bookmarkStart w:id="1519" w:name="_Toc38475723"/>
      <w:bookmarkEnd w:id="1519"/>
      <w:bookmarkStart w:id="1520" w:name="_Toc38476590"/>
      <w:bookmarkEnd w:id="1520"/>
      <w:bookmarkStart w:id="1521" w:name="_Toc38476939"/>
      <w:bookmarkEnd w:id="1521"/>
      <w:bookmarkStart w:id="1522" w:name="_Toc38476816"/>
      <w:bookmarkEnd w:id="1522"/>
      <w:bookmarkStart w:id="1523" w:name="_Toc38477190"/>
      <w:bookmarkEnd w:id="1523"/>
      <w:bookmarkStart w:id="1524" w:name="_Toc38476833"/>
      <w:bookmarkEnd w:id="1524"/>
      <w:bookmarkStart w:id="1525" w:name="_Toc38476954"/>
      <w:bookmarkEnd w:id="1525"/>
      <w:bookmarkStart w:id="1526" w:name="_Toc38476870"/>
      <w:bookmarkEnd w:id="1526"/>
      <w:bookmarkStart w:id="1527" w:name="_Toc36382062"/>
      <w:bookmarkEnd w:id="1527"/>
      <w:bookmarkStart w:id="1528" w:name="_Toc38476859"/>
      <w:bookmarkEnd w:id="1528"/>
      <w:bookmarkStart w:id="1529" w:name="_Toc38475532"/>
      <w:bookmarkEnd w:id="1529"/>
      <w:bookmarkStart w:id="1530" w:name="_Toc38476440"/>
      <w:bookmarkEnd w:id="1530"/>
      <w:bookmarkStart w:id="1531" w:name="_Toc9592712"/>
      <w:bookmarkEnd w:id="1531"/>
      <w:bookmarkStart w:id="1532" w:name="_Toc38475630"/>
      <w:bookmarkEnd w:id="1532"/>
      <w:bookmarkStart w:id="1533" w:name="_Toc38475695"/>
      <w:bookmarkEnd w:id="1533"/>
      <w:bookmarkStart w:id="1534" w:name="_Toc36382265"/>
      <w:bookmarkEnd w:id="1534"/>
      <w:bookmarkStart w:id="1535" w:name="_Toc38476485"/>
      <w:bookmarkEnd w:id="1535"/>
      <w:bookmarkStart w:id="1536" w:name="_Toc36381792"/>
      <w:bookmarkEnd w:id="1536"/>
      <w:bookmarkStart w:id="1537" w:name="_Toc38476813"/>
      <w:bookmarkEnd w:id="1537"/>
      <w:bookmarkStart w:id="1538" w:name="_Toc38477217"/>
      <w:bookmarkEnd w:id="1538"/>
      <w:bookmarkStart w:id="1539" w:name="_Toc38476740"/>
      <w:bookmarkEnd w:id="1539"/>
      <w:bookmarkStart w:id="1540" w:name="_Toc38475724"/>
      <w:bookmarkEnd w:id="1540"/>
      <w:bookmarkStart w:id="1541" w:name="_Toc38475554"/>
      <w:bookmarkEnd w:id="1541"/>
      <w:bookmarkStart w:id="1542" w:name="_Toc38475672"/>
      <w:bookmarkEnd w:id="1542"/>
      <w:bookmarkStart w:id="1543" w:name="_Toc1045"/>
      <w:bookmarkStart w:id="1544" w:name="_Toc24603"/>
      <w:bookmarkStart w:id="1545" w:name="_Toc1228"/>
      <w:bookmarkStart w:id="1546" w:name="_Toc1280"/>
      <w:bookmarkStart w:id="1547" w:name="_Toc18263"/>
      <w:bookmarkStart w:id="1548" w:name="_Toc61611591"/>
      <w:bookmarkStart w:id="1549" w:name="_Toc1252"/>
      <w:bookmarkStart w:id="1550" w:name="_Toc19347"/>
      <w:r>
        <w:rPr>
          <w:rFonts w:hint="eastAsia" w:ascii="宋体" w:hAnsi="宋体" w:cs="宋体"/>
          <w:color w:val="auto"/>
          <w:highlight w:val="none"/>
        </w:rPr>
        <w:t>平台体系架构</w:t>
      </w:r>
      <w:bookmarkEnd w:id="1543"/>
      <w:bookmarkEnd w:id="1544"/>
      <w:bookmarkEnd w:id="1545"/>
      <w:bookmarkEnd w:id="1546"/>
      <w:bookmarkEnd w:id="1547"/>
      <w:bookmarkEnd w:id="1548"/>
      <w:bookmarkEnd w:id="1549"/>
      <w:bookmarkEnd w:id="1550"/>
    </w:p>
    <w:p>
      <w:pPr>
        <w:ind w:firstLine="420"/>
        <w:rPr>
          <w:rFonts w:ascii="宋体" w:hAnsi="宋体" w:cs="宋体"/>
          <w:color w:val="auto"/>
          <w:highlight w:val="none"/>
        </w:rPr>
      </w:pPr>
      <w:r>
        <w:rPr>
          <w:rFonts w:hint="eastAsia" w:ascii="宋体" w:hAnsi="宋体" w:cs="宋体"/>
          <w:color w:val="auto"/>
          <w:highlight w:val="none"/>
        </w:rPr>
        <w:t>宁波石化经济技术开发区智慧园区一期平台与企业安全与应急相关管理系统共同构成互联互通、信息共享、协调联动的园区智慧园区管理平台体系，平台向上对接浙江省化工产业大脑，同时智慧园区管理平台智慧应急系统接受上至国务院应急办、浙江省应急办、宁波市应急办的政府综合应急指挥调度。</w:t>
      </w:r>
    </w:p>
    <w:p>
      <w:pPr>
        <w:ind w:firstLine="420"/>
        <w:rPr>
          <w:rFonts w:ascii="宋体" w:hAnsi="宋体" w:cs="宋体"/>
          <w:color w:val="auto"/>
          <w:highlight w:val="none"/>
        </w:rPr>
      </w:pPr>
      <w:r>
        <w:rPr>
          <w:rFonts w:hint="eastAsia" w:ascii="宋体" w:hAnsi="宋体" w:cs="宋体"/>
          <w:color w:val="auto"/>
          <w:highlight w:val="none"/>
        </w:rPr>
        <w:t>平台体系结构如下图所示：</w:t>
      </w:r>
    </w:p>
    <w:p>
      <w:pPr>
        <w:pStyle w:val="58"/>
        <w:ind w:firstLine="0" w:firstLineChars="0"/>
        <w:jc w:val="both"/>
        <w:rPr>
          <w:rFonts w:ascii="宋体" w:hAnsi="宋体" w:eastAsia="宋体" w:cs="宋体"/>
          <w:color w:val="auto"/>
          <w:highlight w:val="none"/>
        </w:rPr>
      </w:pPr>
      <w:r>
        <w:rPr>
          <w:rFonts w:hint="eastAsia" w:ascii="宋体" w:hAnsi="宋体" w:eastAsia="宋体" w:cs="宋体"/>
          <w:color w:val="auto"/>
          <w:highlight w:val="none"/>
        </w:rPr>
        <w:drawing>
          <wp:inline distT="0" distB="0" distL="0" distR="0">
            <wp:extent cx="5638800" cy="42386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638800" cy="4238625"/>
                    </a:xfrm>
                    <a:prstGeom prst="rect">
                      <a:avLst/>
                    </a:prstGeom>
                    <a:noFill/>
                    <a:ln>
                      <a:noFill/>
                    </a:ln>
                    <a:effectLst/>
                  </pic:spPr>
                </pic:pic>
              </a:graphicData>
            </a:graphic>
          </wp:inline>
        </w:drawing>
      </w:r>
    </w:p>
    <w:p>
      <w:pPr>
        <w:ind w:firstLine="420"/>
        <w:rPr>
          <w:rFonts w:ascii="宋体" w:hAnsi="宋体" w:cs="宋体"/>
          <w:color w:val="auto"/>
          <w:highlight w:val="none"/>
        </w:rPr>
      </w:pPr>
      <w:r>
        <w:rPr>
          <w:rFonts w:hint="eastAsia" w:ascii="宋体" w:hAnsi="宋体" w:cs="宋体"/>
          <w:color w:val="auto"/>
          <w:highlight w:val="none"/>
        </w:rPr>
        <w:t>同时，智慧园区应急指挥系统横向与镇海区生态环境分局、区运管局、公安***等相关部门实现互联互通、资源共享和业务协同，共同为宁波石化经济技术开发区安全管理和应急救援工作提供保障。</w:t>
      </w:r>
    </w:p>
    <w:p>
      <w:pPr>
        <w:pStyle w:val="5"/>
        <w:ind w:firstLine="422"/>
        <w:rPr>
          <w:rFonts w:ascii="宋体" w:hAnsi="宋体" w:cs="宋体"/>
          <w:color w:val="auto"/>
          <w:highlight w:val="none"/>
        </w:rPr>
      </w:pPr>
      <w:bookmarkStart w:id="1551" w:name="_Toc12366"/>
      <w:bookmarkStart w:id="1552" w:name="_Toc14429"/>
      <w:bookmarkStart w:id="1553" w:name="_Toc31870"/>
      <w:bookmarkStart w:id="1554" w:name="_Toc27009"/>
      <w:r>
        <w:rPr>
          <w:rFonts w:hint="eastAsia" w:ascii="宋体" w:hAnsi="宋体" w:cs="宋体"/>
          <w:color w:val="auto"/>
          <w:highlight w:val="none"/>
        </w:rPr>
        <w:t>网络架构</w:t>
      </w:r>
      <w:bookmarkEnd w:id="1551"/>
      <w:bookmarkEnd w:id="1552"/>
      <w:bookmarkEnd w:id="1553"/>
      <w:bookmarkEnd w:id="1554"/>
    </w:p>
    <w:p>
      <w:pPr>
        <w:ind w:firstLine="0" w:firstLineChars="0"/>
        <w:rPr>
          <w:rFonts w:ascii="宋体" w:hAnsi="宋体" w:cs="宋体"/>
          <w:color w:val="auto"/>
          <w:highlight w:val="none"/>
        </w:rPr>
      </w:pPr>
      <w:r>
        <w:rPr>
          <w:rFonts w:hint="eastAsia" w:ascii="宋体" w:hAnsi="宋体" w:cs="宋体"/>
          <w:color w:val="auto"/>
          <w:highlight w:val="none"/>
        </w:rPr>
        <w:drawing>
          <wp:inline distT="0" distB="0" distL="0" distR="0">
            <wp:extent cx="5991225" cy="34290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91225" cy="3429000"/>
                    </a:xfrm>
                    <a:prstGeom prst="rect">
                      <a:avLst/>
                    </a:prstGeom>
                    <a:noFill/>
                    <a:ln>
                      <a:noFill/>
                    </a:ln>
                    <a:effectLst/>
                  </pic:spPr>
                </pic:pic>
              </a:graphicData>
            </a:graphic>
          </wp:inline>
        </w:drawing>
      </w:r>
    </w:p>
    <w:p>
      <w:pPr>
        <w:ind w:firstLine="420"/>
        <w:rPr>
          <w:rFonts w:ascii="宋体" w:hAnsi="宋体" w:cs="宋体"/>
          <w:color w:val="auto"/>
          <w:highlight w:val="none"/>
        </w:rPr>
      </w:pPr>
      <w:r>
        <w:rPr>
          <w:rFonts w:hint="eastAsia" w:ascii="宋体" w:hAnsi="宋体" w:cs="宋体"/>
          <w:color w:val="auto"/>
          <w:highlight w:val="none"/>
        </w:rPr>
        <w:t>构建网络安全，满足等保2.0三级保护要求。</w:t>
      </w:r>
    </w:p>
    <w:p>
      <w:pPr>
        <w:pStyle w:val="4"/>
        <w:ind w:firstLine="422"/>
        <w:rPr>
          <w:rFonts w:ascii="宋体" w:hAnsi="宋体" w:eastAsia="宋体" w:cs="宋体"/>
          <w:bCs w:val="0"/>
          <w:color w:val="auto"/>
          <w:szCs w:val="21"/>
          <w:highlight w:val="none"/>
        </w:rPr>
      </w:pPr>
      <w:bookmarkStart w:id="1555" w:name="_Toc10886"/>
      <w:bookmarkStart w:id="1556" w:name="_Toc22080"/>
      <w:bookmarkStart w:id="1557" w:name="_Toc14229"/>
      <w:bookmarkStart w:id="1558" w:name="_Toc29168"/>
      <w:bookmarkStart w:id="1559" w:name="_Toc28993"/>
      <w:bookmarkStart w:id="1560" w:name="_Toc25495"/>
      <w:r>
        <w:rPr>
          <w:rFonts w:hint="eastAsia" w:ascii="宋体" w:hAnsi="宋体" w:eastAsia="宋体" w:cs="宋体"/>
          <w:bCs w:val="0"/>
          <w:color w:val="auto"/>
          <w:szCs w:val="21"/>
          <w:highlight w:val="none"/>
        </w:rPr>
        <w:t>具体建设要求</w:t>
      </w:r>
      <w:bookmarkEnd w:id="1555"/>
      <w:bookmarkEnd w:id="1556"/>
      <w:bookmarkEnd w:id="1557"/>
      <w:bookmarkEnd w:id="1558"/>
    </w:p>
    <w:p>
      <w:pPr>
        <w:pStyle w:val="5"/>
        <w:ind w:firstLine="422"/>
        <w:rPr>
          <w:rFonts w:ascii="宋体" w:hAnsi="宋体" w:cs="宋体"/>
          <w:color w:val="auto"/>
          <w:highlight w:val="none"/>
        </w:rPr>
      </w:pPr>
      <w:bookmarkStart w:id="1561" w:name="_Toc1638"/>
      <w:bookmarkStart w:id="1562" w:name="_Toc32477"/>
      <w:bookmarkStart w:id="1563" w:name="_Toc13694"/>
      <w:bookmarkStart w:id="1564" w:name="_Toc13783"/>
      <w:r>
        <w:rPr>
          <w:rFonts w:hint="eastAsia" w:ascii="宋体" w:hAnsi="宋体" w:cs="宋体"/>
          <w:color w:val="auto"/>
          <w:highlight w:val="none"/>
        </w:rPr>
        <w:t>数字平台建设</w:t>
      </w:r>
      <w:bookmarkEnd w:id="1559"/>
      <w:bookmarkEnd w:id="1560"/>
      <w:bookmarkEnd w:id="1561"/>
      <w:bookmarkEnd w:id="1562"/>
      <w:bookmarkEnd w:id="1563"/>
      <w:bookmarkEnd w:id="1564"/>
    </w:p>
    <w:p>
      <w:pPr>
        <w:ind w:firstLine="420"/>
        <w:rPr>
          <w:rFonts w:ascii="宋体" w:hAnsi="宋体" w:cs="宋体"/>
          <w:color w:val="auto"/>
          <w:highlight w:val="none"/>
        </w:rPr>
      </w:pPr>
      <w:r>
        <w:rPr>
          <w:rFonts w:hint="eastAsia" w:ascii="宋体" w:hAnsi="宋体" w:cs="宋体"/>
          <w:color w:val="auto"/>
          <w:highlight w:val="none"/>
        </w:rPr>
        <w:t>数字平台作为新一代信息技术与制造业深度融合的产物，通过实现人、机、物的全面互联，构建起全要素、全产业链、全价值链全面连接的新型工业生产制造和服务体系，成为支撑第四次工业革命的基础设施，对未来园区化工发展产生全方位、深层次、革命性影响。数字平台所构建的业务生态系统，将实现企业乃至整个行业的数字化重塑,它将多种数字技术进行有效融合，包括：云计算、边缘计算、认知计算、智能终端、数字孪生、数字主线、数字化知识体系、移动通讯和物联网等。从技术架构层面看，数字平台是在传统平台的基础上叠加物联网、大数据、工业人工智能等新兴技术，实现海量异构数据汇聚与建模分析、工业经验知识软件化与模块化、工业创新应用开发与运行，从而支撑生产智能决策、业务模式创新、资源优化配置和产业生态培育等服务。</w:t>
      </w:r>
    </w:p>
    <w:p>
      <w:pPr>
        <w:pStyle w:val="7"/>
        <w:ind w:firstLine="422"/>
        <w:rPr>
          <w:rFonts w:ascii="宋体" w:hAnsi="宋体" w:cs="宋体"/>
          <w:color w:val="auto"/>
          <w:highlight w:val="none"/>
        </w:rPr>
      </w:pPr>
      <w:bookmarkStart w:id="1565" w:name="_Toc43327321"/>
      <w:bookmarkStart w:id="1566" w:name="_Toc54530001"/>
      <w:bookmarkStart w:id="1567" w:name="_Toc62036327"/>
      <w:bookmarkStart w:id="1568" w:name="_Toc46058347"/>
      <w:bookmarkStart w:id="1569" w:name="_Toc46065282"/>
      <w:bookmarkStart w:id="1570" w:name="_Toc62423068"/>
      <w:bookmarkStart w:id="1571" w:name="_Toc51263347"/>
      <w:bookmarkStart w:id="1572" w:name="_Toc43496142"/>
      <w:bookmarkStart w:id="1573" w:name="_Toc5574"/>
      <w:bookmarkStart w:id="1574" w:name="_Toc14051"/>
      <w:bookmarkStart w:id="1575" w:name="_Toc4668"/>
      <w:bookmarkStart w:id="1576" w:name="_Toc15313"/>
      <w:r>
        <w:rPr>
          <w:rFonts w:hint="eastAsia" w:ascii="宋体" w:hAnsi="宋体" w:cs="宋体"/>
          <w:color w:val="auto"/>
          <w:highlight w:val="none"/>
        </w:rPr>
        <w:t>基础平台</w:t>
      </w:r>
    </w:p>
    <w:p>
      <w:pPr>
        <w:pStyle w:val="14"/>
        <w:rPr>
          <w:rFonts w:ascii="宋体" w:hAnsi="宋体" w:cs="宋体"/>
          <w:color w:val="auto"/>
          <w:highlight w:val="none"/>
        </w:rPr>
      </w:pPr>
      <w:r>
        <w:rPr>
          <w:rFonts w:hint="eastAsia" w:ascii="宋体" w:hAnsi="宋体" w:cs="宋体"/>
          <w:color w:val="auto"/>
          <w:highlight w:val="none"/>
        </w:rPr>
        <w:t>基础数字平台提供对象模型建模、大数据分析和人工智能应用、场景化分析服务、智慧决策和分析服务等功能，以集成化、数字化、智能化手段解决园区安全生产、环境保护和产业发展等综合问题，打造服务于企业、赋能于工业的智慧大脑。</w:t>
      </w:r>
    </w:p>
    <w:p>
      <w:pPr>
        <w:pStyle w:val="14"/>
        <w:rPr>
          <w:rFonts w:ascii="宋体" w:hAnsi="宋体" w:cs="宋体"/>
          <w:color w:val="auto"/>
          <w:highlight w:val="none"/>
        </w:rPr>
      </w:pPr>
      <w:r>
        <w:rPr>
          <w:rFonts w:hint="eastAsia" w:ascii="宋体" w:hAnsi="宋体" w:cs="宋体"/>
          <w:color w:val="auto"/>
          <w:highlight w:val="none"/>
        </w:rPr>
        <w:t>总体要求如下：</w:t>
      </w:r>
    </w:p>
    <w:p>
      <w:pPr>
        <w:widowControl/>
        <w:numPr>
          <w:ilvl w:val="0"/>
          <w:numId w:val="9"/>
        </w:numPr>
        <w:ind w:left="0" w:firstLine="420" w:firstLineChars="0"/>
        <w:rPr>
          <w:rFonts w:ascii="宋体" w:hAnsi="宋体" w:cs="宋体"/>
          <w:color w:val="auto"/>
          <w:highlight w:val="none"/>
        </w:rPr>
      </w:pPr>
      <w:r>
        <w:rPr>
          <w:rFonts w:hint="eastAsia" w:ascii="宋体" w:hAnsi="宋体" w:cs="宋体"/>
          <w:color w:val="auto"/>
          <w:highlight w:val="none"/>
        </w:rPr>
        <w:t>提供工业互联网的应用模式，为园区提供以工业大数据为核心的全生命周期服务。</w:t>
      </w:r>
    </w:p>
    <w:p>
      <w:pPr>
        <w:widowControl/>
        <w:numPr>
          <w:ilvl w:val="0"/>
          <w:numId w:val="9"/>
        </w:numPr>
        <w:ind w:left="0" w:firstLine="420" w:firstLineChars="0"/>
        <w:rPr>
          <w:rFonts w:ascii="宋体" w:hAnsi="宋体" w:cs="宋体"/>
          <w:color w:val="auto"/>
          <w:highlight w:val="none"/>
        </w:rPr>
      </w:pPr>
      <w:r>
        <w:rPr>
          <w:rFonts w:hint="eastAsia" w:ascii="宋体" w:hAnsi="宋体" w:cs="宋体"/>
          <w:color w:val="auto"/>
          <w:highlight w:val="none"/>
        </w:rPr>
        <w:t>提供开放的数据服务、计算服务、存储服务和安全服务，降低基础服务的技术门槛和开发成本。</w:t>
      </w:r>
    </w:p>
    <w:p>
      <w:pPr>
        <w:widowControl/>
        <w:numPr>
          <w:ilvl w:val="0"/>
          <w:numId w:val="9"/>
        </w:numPr>
        <w:ind w:left="0" w:firstLine="420" w:firstLineChars="0"/>
        <w:rPr>
          <w:rFonts w:ascii="宋体" w:hAnsi="宋体" w:cs="宋体"/>
          <w:color w:val="auto"/>
          <w:highlight w:val="none"/>
        </w:rPr>
      </w:pPr>
      <w:r>
        <w:rPr>
          <w:rFonts w:hint="eastAsia" w:ascii="宋体" w:hAnsi="宋体" w:cs="宋体"/>
          <w:color w:val="auto"/>
          <w:highlight w:val="none"/>
        </w:rPr>
        <w:t>提供大数据集成、分析、挖掘和可视化展示的一整套IT工具集和模板库。</w:t>
      </w:r>
    </w:p>
    <w:p>
      <w:pPr>
        <w:widowControl/>
        <w:numPr>
          <w:ilvl w:val="0"/>
          <w:numId w:val="9"/>
        </w:numPr>
        <w:ind w:left="0" w:firstLine="420" w:firstLineChars="0"/>
        <w:rPr>
          <w:rFonts w:ascii="宋体" w:hAnsi="宋体" w:cs="宋体"/>
          <w:color w:val="auto"/>
          <w:highlight w:val="none"/>
        </w:rPr>
      </w:pPr>
      <w:r>
        <w:rPr>
          <w:rFonts w:hint="eastAsia" w:ascii="宋体" w:hAnsi="宋体" w:cs="宋体"/>
          <w:color w:val="auto"/>
          <w:highlight w:val="none"/>
        </w:rPr>
        <w:t>提供云、企、端的统一架构，可实现工业智能APP和数据的快速迁移。</w:t>
      </w:r>
    </w:p>
    <w:p>
      <w:pPr>
        <w:pStyle w:val="7"/>
        <w:ind w:firstLine="422"/>
        <w:rPr>
          <w:rFonts w:ascii="宋体" w:hAnsi="宋体" w:cs="宋体"/>
          <w:color w:val="auto"/>
          <w:highlight w:val="none"/>
        </w:rPr>
      </w:pPr>
      <w:bookmarkStart w:id="1577" w:name="_Toc476216632"/>
      <w:bookmarkStart w:id="1578" w:name="_Toc476216593"/>
      <w:r>
        <w:rPr>
          <w:rFonts w:hint="eastAsia" w:ascii="宋体" w:hAnsi="宋体" w:cs="宋体"/>
          <w:color w:val="auto"/>
          <w:highlight w:val="none"/>
        </w:rPr>
        <w:t>多元数据接入</w:t>
      </w:r>
      <w:bookmarkEnd w:id="1565"/>
      <w:bookmarkEnd w:id="1566"/>
      <w:bookmarkEnd w:id="1567"/>
      <w:bookmarkEnd w:id="1568"/>
      <w:bookmarkEnd w:id="1569"/>
      <w:bookmarkEnd w:id="1570"/>
      <w:bookmarkEnd w:id="1571"/>
      <w:bookmarkEnd w:id="1572"/>
      <w:bookmarkEnd w:id="1573"/>
      <w:bookmarkEnd w:id="1574"/>
      <w:bookmarkEnd w:id="1577"/>
      <w:bookmarkEnd w:id="1578"/>
    </w:p>
    <w:p>
      <w:pPr>
        <w:pStyle w:val="14"/>
        <w:rPr>
          <w:rFonts w:ascii="宋体" w:hAnsi="宋体" w:cs="宋体"/>
          <w:color w:val="auto"/>
          <w:highlight w:val="none"/>
        </w:rPr>
      </w:pPr>
      <w:r>
        <w:rPr>
          <w:rFonts w:hint="eastAsia" w:ascii="宋体" w:hAnsi="宋体" w:cs="宋体"/>
          <w:color w:val="auto"/>
          <w:highlight w:val="none"/>
        </w:rPr>
        <w:t>数字平台提供统一的远程园区数据接入终端（采集器软件），实现多元异构数据的接入和预处理。针对不同系统（如OA、安全监管系统、环保监测系统、能源管理系统、企业DCS、SCADA等系统）的数据特性，采用统一的数据驱动框架和不同的接入驱动实现多元数据的清洗，并利用统一的数据协议进行数据上送，在平台上通过对象化模型（如设备、人员、物料和产品等）将多种数据来源的数据进行重组和应用。</w:t>
      </w:r>
    </w:p>
    <w:p>
      <w:pPr>
        <w:pStyle w:val="14"/>
        <w:rPr>
          <w:rFonts w:ascii="宋体" w:hAnsi="宋体" w:cs="宋体"/>
          <w:color w:val="auto"/>
          <w:highlight w:val="none"/>
        </w:rPr>
      </w:pPr>
      <w:r>
        <w:rPr>
          <w:rFonts w:hint="eastAsia" w:ascii="宋体" w:hAnsi="宋体" w:cs="宋体"/>
          <w:color w:val="auto"/>
          <w:highlight w:val="none"/>
        </w:rPr>
        <w:t>平台需支持控制系统的实时数据接入、异构信息系统的集成、流媒体数据的接入、智慧园区多元数据接入等。同时为上层应用提供数据服务能力。</w:t>
      </w:r>
    </w:p>
    <w:p>
      <w:pPr>
        <w:pStyle w:val="7"/>
        <w:ind w:firstLine="422" w:firstLineChars="200"/>
        <w:rPr>
          <w:rFonts w:ascii="宋体" w:hAnsi="宋体" w:cs="宋体"/>
          <w:color w:val="auto"/>
          <w:highlight w:val="none"/>
        </w:rPr>
      </w:pPr>
      <w:bookmarkStart w:id="1579" w:name="_Toc476216633"/>
      <w:bookmarkStart w:id="1580" w:name="_Toc43327322"/>
      <w:bookmarkStart w:id="1581" w:name="_Toc54530002"/>
      <w:bookmarkStart w:id="1582" w:name="_Toc476216594"/>
      <w:bookmarkStart w:id="1583" w:name="_Toc29598"/>
      <w:bookmarkStart w:id="1584" w:name="_Toc46058348"/>
      <w:bookmarkStart w:id="1585" w:name="_Toc43496143"/>
      <w:bookmarkStart w:id="1586" w:name="_Toc19916"/>
      <w:bookmarkStart w:id="1587" w:name="_Toc51263348"/>
      <w:bookmarkStart w:id="1588" w:name="_Toc46065283"/>
      <w:bookmarkStart w:id="1589" w:name="_Toc51263349"/>
      <w:bookmarkStart w:id="1590" w:name="_Toc21229"/>
      <w:bookmarkStart w:id="1591" w:name="_Toc46058349"/>
      <w:bookmarkStart w:id="1592" w:name="_Toc46065284"/>
      <w:bookmarkStart w:id="1593" w:name="_Toc54530003"/>
      <w:bookmarkStart w:id="1594" w:name="_Toc43327323"/>
      <w:bookmarkStart w:id="1595" w:name="_Toc15177"/>
      <w:bookmarkStart w:id="1596" w:name="_Toc43496144"/>
      <w:bookmarkStart w:id="1597" w:name="_Toc476216595"/>
      <w:bookmarkStart w:id="1598" w:name="_Toc476216634"/>
      <w:r>
        <w:rPr>
          <w:rFonts w:hint="eastAsia" w:ascii="宋体" w:hAnsi="宋体" w:cs="宋体"/>
          <w:color w:val="auto"/>
          <w:highlight w:val="none"/>
        </w:rPr>
        <w:t>通用PaaS服务</w:t>
      </w:r>
      <w:bookmarkEnd w:id="1579"/>
      <w:bookmarkEnd w:id="1580"/>
      <w:bookmarkEnd w:id="1581"/>
      <w:bookmarkEnd w:id="1582"/>
      <w:bookmarkEnd w:id="1583"/>
      <w:bookmarkEnd w:id="1584"/>
      <w:bookmarkEnd w:id="1585"/>
      <w:bookmarkEnd w:id="1586"/>
      <w:bookmarkEnd w:id="1587"/>
      <w:bookmarkEnd w:id="1588"/>
    </w:p>
    <w:p>
      <w:pPr>
        <w:pStyle w:val="8"/>
        <w:ind w:firstLine="422"/>
        <w:rPr>
          <w:rFonts w:ascii="宋体" w:hAnsi="宋体" w:cs="宋体"/>
          <w:color w:val="auto"/>
          <w:highlight w:val="none"/>
        </w:rPr>
      </w:pPr>
      <w:r>
        <w:rPr>
          <w:rFonts w:hint="eastAsia" w:ascii="宋体" w:hAnsi="宋体" w:cs="宋体"/>
          <w:color w:val="auto"/>
          <w:highlight w:val="none"/>
        </w:rPr>
        <w:t>弹性运行环境</w:t>
      </w:r>
    </w:p>
    <w:p>
      <w:pPr>
        <w:ind w:firstLine="420"/>
        <w:rPr>
          <w:rFonts w:ascii="宋体" w:hAnsi="宋体" w:cs="宋体"/>
          <w:color w:val="auto"/>
          <w:highlight w:val="none"/>
        </w:rPr>
      </w:pPr>
      <w:r>
        <w:rPr>
          <w:rFonts w:hint="eastAsia" w:ascii="宋体" w:hAnsi="宋体" w:cs="宋体"/>
          <w:color w:val="auto"/>
          <w:highlight w:val="none"/>
        </w:rPr>
        <w:t>弹性运行环境提供用于运行云中间件的弹性计算框架，构建在基础设施资源和云计算平台的云服务之间，用于实现中间件分布式架构、自动化部署运维、高可用保障等功能，支持基于虚拟机、云原生应用环境、容器环境三种调度引擎。弹性运行环境规避基础设施资源的差异性和中间件分布式化带来的复杂性，可以大幅降低云计算平台的实施运维成本，提升云计算平台的灵活性、适应性和可靠性，弹性运行环境用以实现资源的多租户、高可用和弹性扩展。</w:t>
      </w:r>
    </w:p>
    <w:p>
      <w:pPr>
        <w:ind w:firstLine="420"/>
        <w:rPr>
          <w:rFonts w:ascii="宋体" w:hAnsi="宋体" w:cs="宋体"/>
          <w:color w:val="auto"/>
          <w:highlight w:val="none"/>
        </w:rPr>
      </w:pPr>
      <w:r>
        <w:rPr>
          <w:rFonts w:hint="eastAsia" w:ascii="宋体" w:hAnsi="宋体" w:cs="宋体"/>
          <w:color w:val="auto"/>
          <w:highlight w:val="none"/>
        </w:rPr>
        <w:t>弹性运行环境采用分布式系统架构，负责管理底层的资源并支撑上层的应用运行。通过多租户及资源隔离、资源管理、分布式集群管理、服务调度管理，实现资源的动态按需分配、集群的自动化高可用部署、任务的合理高效调度、服务的工厂化接入和管理、应用的全生命周期管理等。</w:t>
      </w:r>
    </w:p>
    <w:p>
      <w:pPr>
        <w:pStyle w:val="8"/>
        <w:ind w:firstLine="422"/>
        <w:rPr>
          <w:rFonts w:ascii="宋体" w:hAnsi="宋体" w:cs="宋体"/>
          <w:color w:val="auto"/>
          <w:highlight w:val="none"/>
        </w:rPr>
      </w:pPr>
      <w:r>
        <w:rPr>
          <w:rFonts w:hint="eastAsia" w:ascii="宋体" w:hAnsi="宋体" w:cs="宋体"/>
          <w:color w:val="auto"/>
          <w:highlight w:val="none"/>
        </w:rPr>
        <w:t>应用服务</w:t>
      </w:r>
    </w:p>
    <w:p>
      <w:pPr>
        <w:ind w:firstLine="420"/>
        <w:rPr>
          <w:rFonts w:ascii="宋体" w:hAnsi="宋体" w:cs="宋体"/>
          <w:color w:val="auto"/>
          <w:highlight w:val="none"/>
        </w:rPr>
      </w:pPr>
      <w:r>
        <w:rPr>
          <w:rFonts w:hint="eastAsia" w:ascii="宋体" w:hAnsi="宋体" w:cs="宋体"/>
          <w:color w:val="auto"/>
          <w:highlight w:val="none"/>
        </w:rPr>
        <w:t>应用服务以应用为中心，面向容器化的应用（Container-BasedApplication，特别是云原生应用）提供大规模容器集群、应用及服务的高效全生命周期管理服务，包括自动化部署、弹性资源调度、多策略发布、智能伸缩等功能，屏蔽技术的复杂性，助力用户业务交付和创新。提供基于容器的高性能微服务托管服务，服务包含微服务注册与发现、服务网关、服务治理与监控、动态服务配置等，帮助用户简化微服务应用的发布、部署和运维复杂度。</w:t>
      </w:r>
    </w:p>
    <w:p>
      <w:pPr>
        <w:pStyle w:val="8"/>
        <w:ind w:firstLine="422"/>
        <w:rPr>
          <w:rFonts w:ascii="宋体" w:hAnsi="宋体" w:cs="宋体"/>
          <w:color w:val="auto"/>
          <w:highlight w:val="none"/>
        </w:rPr>
      </w:pPr>
      <w:r>
        <w:rPr>
          <w:rFonts w:hint="eastAsia" w:ascii="宋体" w:hAnsi="宋体" w:cs="宋体"/>
          <w:color w:val="auto"/>
          <w:highlight w:val="none"/>
        </w:rPr>
        <w:t>软件开发服务</w:t>
      </w:r>
    </w:p>
    <w:p>
      <w:pPr>
        <w:ind w:firstLine="420"/>
        <w:rPr>
          <w:rFonts w:ascii="宋体" w:hAnsi="宋体" w:cs="宋体"/>
          <w:color w:val="auto"/>
          <w:highlight w:val="none"/>
        </w:rPr>
      </w:pPr>
      <w:r>
        <w:rPr>
          <w:rFonts w:hint="eastAsia" w:ascii="宋体" w:hAnsi="宋体" w:cs="宋体"/>
          <w:color w:val="auto"/>
          <w:highlight w:val="none"/>
        </w:rPr>
        <w:t>软件开发服务面向开发者提供DevOps相关的云服务，实现从“开发-&gt;测试-&gt;发布-&gt;运维”全流程的研发工具支撑和一站式服务。服务即开即用，随时随地在云端实现代码托管、代码质控、流水线管理、代码编译、镜像构建、应用部署、测试、发布等功能。方便开发者快速、可靠的构建和交付产品，紧密联系开发和运维工作。</w:t>
      </w:r>
    </w:p>
    <w:p>
      <w:pPr>
        <w:pStyle w:val="8"/>
        <w:ind w:firstLine="422"/>
        <w:rPr>
          <w:rFonts w:ascii="宋体" w:hAnsi="宋体" w:cs="宋体"/>
          <w:color w:val="auto"/>
          <w:highlight w:val="none"/>
        </w:rPr>
      </w:pPr>
      <w:r>
        <w:rPr>
          <w:rFonts w:hint="eastAsia" w:ascii="宋体" w:hAnsi="宋体" w:cs="宋体"/>
          <w:color w:val="auto"/>
          <w:highlight w:val="none"/>
        </w:rPr>
        <w:t>数据库服务</w:t>
      </w:r>
    </w:p>
    <w:p>
      <w:pPr>
        <w:ind w:firstLine="420"/>
        <w:rPr>
          <w:rFonts w:ascii="宋体" w:hAnsi="宋体" w:cs="宋体"/>
          <w:color w:val="auto"/>
          <w:highlight w:val="none"/>
        </w:rPr>
      </w:pPr>
      <w:r>
        <w:rPr>
          <w:rFonts w:hint="eastAsia" w:ascii="宋体" w:hAnsi="宋体" w:cs="宋体"/>
          <w:color w:val="auto"/>
          <w:highlight w:val="none"/>
        </w:rPr>
        <w:t>基于成熟云计算技术提供的高性能数据库服务，包括MySQL、Redis、TSDB等，具有创建管理便捷、运行稳定可靠、数据安全完整等优势，满足互联网应用系统对高性能数据库的架构需求；极大节省自建数据库的高额硬件成本，有效降低数据库搭建、管理、备份的运维人力投入，帮助业务快速上线并稳定安全运行。</w:t>
      </w:r>
    </w:p>
    <w:p>
      <w:pPr>
        <w:pStyle w:val="8"/>
        <w:ind w:firstLine="422"/>
        <w:rPr>
          <w:rFonts w:ascii="宋体" w:hAnsi="宋体" w:cs="宋体"/>
          <w:color w:val="auto"/>
          <w:highlight w:val="none"/>
        </w:rPr>
      </w:pPr>
      <w:r>
        <w:rPr>
          <w:rFonts w:hint="eastAsia" w:ascii="宋体" w:hAnsi="宋体" w:cs="宋体"/>
          <w:color w:val="auto"/>
          <w:highlight w:val="none"/>
        </w:rPr>
        <w:t>数据服务</w:t>
      </w:r>
    </w:p>
    <w:p>
      <w:pPr>
        <w:ind w:firstLine="420"/>
        <w:rPr>
          <w:rFonts w:ascii="宋体" w:hAnsi="宋体" w:cs="宋体"/>
          <w:color w:val="auto"/>
          <w:highlight w:val="none"/>
        </w:rPr>
      </w:pPr>
      <w:r>
        <w:rPr>
          <w:rFonts w:hint="eastAsia" w:ascii="宋体" w:hAnsi="宋体" w:cs="宋体"/>
          <w:color w:val="auto"/>
          <w:highlight w:val="none"/>
        </w:rPr>
        <w:t>数据服务提供以Hadoop框架为核心的数据服务，可便捷、快速地处理数字营销、数据分析、商业智能、科学模拟等领域TB甚至PB级的海量数据。服务涵盖HDFS、HBase、Spark等主要数据处理工具，与由业务数据支撑的数据资源中心数据互联互通，为决策制定提供更有力的数据支撑。</w:t>
      </w:r>
    </w:p>
    <w:p>
      <w:pPr>
        <w:ind w:firstLine="420"/>
        <w:rPr>
          <w:rFonts w:ascii="宋体" w:hAnsi="宋体" w:cs="宋体"/>
          <w:color w:val="auto"/>
          <w:highlight w:val="none"/>
        </w:rPr>
      </w:pPr>
      <w:r>
        <w:rPr>
          <w:rFonts w:hint="eastAsia" w:ascii="宋体" w:hAnsi="宋体" w:cs="宋体"/>
          <w:color w:val="auto"/>
          <w:highlight w:val="none"/>
        </w:rPr>
        <w:t>数据服务包含数据非实时处理的主流技术支撑组件，如Hadoop、HBase、Spark、Hive、Pig、Oozie、Hue等，提供从自动化部署运维、性能优化、资源隔离、资源调度、数据计算任务执行及跟踪等全套解决方案。</w:t>
      </w:r>
    </w:p>
    <w:p>
      <w:pPr>
        <w:pStyle w:val="8"/>
        <w:ind w:firstLine="422"/>
        <w:rPr>
          <w:rFonts w:ascii="宋体" w:hAnsi="宋体" w:cs="宋体"/>
          <w:color w:val="auto"/>
          <w:highlight w:val="none"/>
        </w:rPr>
      </w:pPr>
      <w:r>
        <w:rPr>
          <w:rFonts w:hint="eastAsia" w:ascii="宋体" w:hAnsi="宋体" w:cs="宋体"/>
          <w:color w:val="auto"/>
          <w:highlight w:val="none"/>
        </w:rPr>
        <w:t>物联网服务</w:t>
      </w:r>
    </w:p>
    <w:p>
      <w:pPr>
        <w:ind w:firstLine="420"/>
        <w:rPr>
          <w:rFonts w:ascii="宋体" w:hAnsi="宋体" w:cs="宋体"/>
          <w:color w:val="auto"/>
          <w:highlight w:val="none"/>
        </w:rPr>
      </w:pPr>
      <w:r>
        <w:rPr>
          <w:rFonts w:hint="eastAsia" w:ascii="宋体" w:hAnsi="宋体" w:cs="宋体"/>
          <w:color w:val="auto"/>
          <w:highlight w:val="none"/>
        </w:rPr>
        <w:t>物联网服务提供一站式的智能物联网支撑，具备设备管理、数据采集、数据解析、数据计算等关键能力，赋能物联网应用开发商和生态合作伙伴，实现终端与云端的双向数据通道，助力智能物联网应用创新。</w:t>
      </w:r>
    </w:p>
    <w:p>
      <w:pPr>
        <w:ind w:firstLine="420"/>
        <w:rPr>
          <w:rFonts w:ascii="宋体" w:hAnsi="宋体" w:cs="宋体"/>
          <w:color w:val="auto"/>
          <w:highlight w:val="none"/>
        </w:rPr>
      </w:pPr>
      <w:r>
        <w:rPr>
          <w:rFonts w:hint="eastAsia" w:ascii="宋体" w:hAnsi="宋体" w:cs="宋体"/>
          <w:color w:val="auto"/>
          <w:highlight w:val="none"/>
        </w:rPr>
        <w:t>物接入服务：物接入是全托管的云服务，可以在智能设备与云计算平台云端之间建立安全的双向连接，并通过主流的物联网协议（如MQTT）通讯，快速实现物联网项目。</w:t>
      </w:r>
    </w:p>
    <w:p>
      <w:pPr>
        <w:ind w:firstLine="420"/>
        <w:rPr>
          <w:rFonts w:ascii="宋体" w:hAnsi="宋体" w:cs="宋体"/>
          <w:color w:val="auto"/>
          <w:highlight w:val="none"/>
        </w:rPr>
      </w:pPr>
      <w:r>
        <w:rPr>
          <w:rFonts w:hint="eastAsia" w:ascii="宋体" w:hAnsi="宋体" w:cs="宋体"/>
          <w:color w:val="auto"/>
          <w:highlight w:val="none"/>
        </w:rPr>
        <w:t>物解析服务：通过物解析服务，可在云计算平台云端解析和计算各种设备中的数据，大大节约数据流量，并降低设备成本。在云端解析数据，可以随时统一调整解析规则以适应业务的变化。</w:t>
      </w:r>
    </w:p>
    <w:p>
      <w:pPr>
        <w:ind w:firstLine="420"/>
        <w:rPr>
          <w:rFonts w:ascii="宋体" w:hAnsi="宋体" w:cs="宋体"/>
          <w:color w:val="auto"/>
          <w:highlight w:val="none"/>
        </w:rPr>
      </w:pPr>
      <w:r>
        <w:rPr>
          <w:rFonts w:hint="eastAsia" w:ascii="宋体" w:hAnsi="宋体" w:cs="宋体"/>
          <w:color w:val="auto"/>
          <w:highlight w:val="none"/>
        </w:rPr>
        <w:t>物管理服务：物管理主要用于对接入云端的设备进行管理和操作，物管理需要与云计算平台的物接入服务配合使用，对接入云端的设备进行一站式设备管理，可应用于设备的层级管理、监测、遥控、固件升级和维护保养等各个场景。</w:t>
      </w:r>
    </w:p>
    <w:p>
      <w:pPr>
        <w:pStyle w:val="8"/>
        <w:ind w:firstLine="422"/>
        <w:rPr>
          <w:rFonts w:ascii="宋体" w:hAnsi="宋体" w:cs="宋体"/>
          <w:color w:val="auto"/>
          <w:highlight w:val="none"/>
        </w:rPr>
      </w:pPr>
      <w:r>
        <w:rPr>
          <w:rFonts w:hint="eastAsia" w:ascii="宋体" w:hAnsi="宋体" w:cs="宋体"/>
          <w:color w:val="auto"/>
          <w:highlight w:val="none"/>
        </w:rPr>
        <w:t>数据治理服务</w:t>
      </w:r>
    </w:p>
    <w:p>
      <w:pPr>
        <w:ind w:firstLine="420"/>
        <w:rPr>
          <w:rFonts w:ascii="宋体" w:hAnsi="宋体" w:cs="宋体"/>
          <w:color w:val="auto"/>
          <w:highlight w:val="none"/>
        </w:rPr>
      </w:pPr>
      <w:r>
        <w:rPr>
          <w:rFonts w:hint="eastAsia" w:ascii="宋体" w:hAnsi="宋体" w:cs="宋体"/>
          <w:color w:val="auto"/>
          <w:highlight w:val="none"/>
        </w:rPr>
        <w:t>数据治理服务的主要功能是从其它子系统中提取共享数据，并对多来源渠道的、相互不一致的数据进行数据融合处理；基于数据字典对实时数据和历史数据进行组织，以保证数据间关系的正确性、可理解性并避免数据冗余；以各种形式提供数据服务，采用分层次的方法对各类用户设置权限，使不同用户既能获得各自所需要的数据，又能确保数据传输过程的安全性及共享数据的互操作性和互用性；维护基础信息、动态业务数据以及系统管理配置参数；支撑系统的网络构架、信息安全、网络管理、流程管理、数据库维护和备份等运维能力。数据治理服务根据功能可分为两个部分：</w:t>
      </w:r>
    </w:p>
    <w:p>
      <w:pPr>
        <w:ind w:firstLine="420"/>
        <w:rPr>
          <w:rFonts w:ascii="宋体" w:hAnsi="宋体" w:cs="宋体"/>
          <w:color w:val="auto"/>
          <w:highlight w:val="none"/>
        </w:rPr>
      </w:pPr>
      <w:r>
        <w:rPr>
          <w:rFonts w:hint="eastAsia" w:ascii="宋体" w:hAnsi="宋体" w:cs="宋体"/>
          <w:color w:val="auto"/>
          <w:highlight w:val="none"/>
        </w:rPr>
        <w:t>第一部分，基础数据和共享数据的交换服务和路由流程管理，该部分是交换平台的基础，包括：静态交换数据、动态交换数据、图形数据及表格、统计资料等属性数据。</w:t>
      </w:r>
    </w:p>
    <w:p>
      <w:pPr>
        <w:ind w:firstLine="420"/>
        <w:rPr>
          <w:rFonts w:ascii="宋体" w:hAnsi="宋体" w:cs="宋体"/>
          <w:color w:val="auto"/>
          <w:highlight w:val="none"/>
        </w:rPr>
      </w:pPr>
      <w:r>
        <w:rPr>
          <w:rFonts w:hint="eastAsia" w:ascii="宋体" w:hAnsi="宋体" w:cs="宋体"/>
          <w:color w:val="auto"/>
          <w:highlight w:val="none"/>
        </w:rPr>
        <w:t>第二部分，各子系统之间的接口实现，根据事先制订好的规范、标准，实现各子系统之间的数据共享和传输操作。在接入中心平台时，应按系统集成要求设计系统结构，各类数据接口遵循系统集成规范。</w:t>
      </w:r>
    </w:p>
    <w:p>
      <w:pPr>
        <w:ind w:firstLine="420"/>
        <w:rPr>
          <w:rFonts w:ascii="宋体" w:hAnsi="宋体" w:cs="宋体"/>
          <w:color w:val="auto"/>
          <w:highlight w:val="none"/>
        </w:rPr>
      </w:pPr>
      <w:r>
        <w:rPr>
          <w:rFonts w:hint="eastAsia" w:ascii="宋体" w:hAnsi="宋体" w:cs="宋体"/>
          <w:color w:val="auto"/>
          <w:highlight w:val="none"/>
        </w:rPr>
        <w:t>整合协同平台服务器是公共基础平台的核心部分，数据治理服务提供一整套规范的、高效的、安全的数据交换机制。数据治理服务由部署在数据中心和各业务部门的数据交换服务器、数据接口系统共同组成，解决数据采集、更新、汇总、分发、一致性等数据交换问题，解决按需查询、公共数据存取控制等问题。</w:t>
      </w:r>
    </w:p>
    <w:p>
      <w:pPr>
        <w:ind w:firstLine="420"/>
        <w:rPr>
          <w:rFonts w:ascii="宋体" w:hAnsi="宋体" w:cs="宋体"/>
          <w:color w:val="auto"/>
          <w:highlight w:val="none"/>
        </w:rPr>
      </w:pPr>
      <w:r>
        <w:rPr>
          <w:rFonts w:hint="eastAsia" w:ascii="宋体" w:hAnsi="宋体" w:cs="宋体"/>
          <w:color w:val="auto"/>
          <w:highlight w:val="none"/>
        </w:rPr>
        <w:t>各业务子系统都要统一使用数据治理服务进行数据交换。数据中心统一管理和制定数据交换标准。各业务部门通过数据级整合或者应用级整合通过数据治理服务向数据中心提供数据，也通过数据治理服务访问共享数据。</w:t>
      </w:r>
    </w:p>
    <w:p>
      <w:pPr>
        <w:ind w:firstLine="420"/>
        <w:rPr>
          <w:rFonts w:ascii="宋体" w:hAnsi="宋体" w:cs="宋体"/>
          <w:color w:val="auto"/>
          <w:highlight w:val="none"/>
        </w:rPr>
      </w:pPr>
      <w:r>
        <w:rPr>
          <w:rFonts w:hint="eastAsia" w:ascii="宋体" w:hAnsi="宋体" w:cs="宋体"/>
          <w:color w:val="auto"/>
          <w:highlight w:val="none"/>
        </w:rPr>
        <w:t>数据治理服务的基本功能如下：</w:t>
      </w:r>
    </w:p>
    <w:p>
      <w:pPr>
        <w:ind w:firstLine="420"/>
        <w:rPr>
          <w:rFonts w:ascii="宋体" w:hAnsi="宋体" w:cs="宋体"/>
          <w:color w:val="auto"/>
          <w:highlight w:val="none"/>
        </w:rPr>
      </w:pPr>
      <w:r>
        <w:rPr>
          <w:rFonts w:hint="eastAsia" w:ascii="宋体" w:hAnsi="宋体" w:cs="宋体"/>
          <w:color w:val="auto"/>
          <w:highlight w:val="none"/>
        </w:rPr>
        <w:t>共享数据库的数据采集、更新、维护。</w:t>
      </w:r>
    </w:p>
    <w:p>
      <w:pPr>
        <w:ind w:firstLine="420"/>
        <w:rPr>
          <w:rFonts w:ascii="宋体" w:hAnsi="宋体" w:cs="宋体"/>
          <w:color w:val="auto"/>
          <w:highlight w:val="none"/>
        </w:rPr>
      </w:pPr>
      <w:r>
        <w:rPr>
          <w:rFonts w:hint="eastAsia" w:ascii="宋体" w:hAnsi="宋体" w:cs="宋体"/>
          <w:color w:val="auto"/>
          <w:highlight w:val="none"/>
        </w:rPr>
        <w:t>业务资料库、公共服务数据库的数据采集。</w:t>
      </w:r>
    </w:p>
    <w:p>
      <w:pPr>
        <w:ind w:firstLine="420"/>
        <w:rPr>
          <w:rFonts w:ascii="宋体" w:hAnsi="宋体" w:cs="宋体"/>
          <w:color w:val="auto"/>
          <w:highlight w:val="none"/>
        </w:rPr>
      </w:pPr>
      <w:r>
        <w:rPr>
          <w:rFonts w:hint="eastAsia" w:ascii="宋体" w:hAnsi="宋体" w:cs="宋体"/>
          <w:color w:val="auto"/>
          <w:highlight w:val="none"/>
        </w:rPr>
        <w:t>提供安全可靠的共享数据服务。</w:t>
      </w:r>
    </w:p>
    <w:p>
      <w:pPr>
        <w:ind w:firstLine="420"/>
        <w:rPr>
          <w:rFonts w:ascii="宋体" w:hAnsi="宋体" w:cs="宋体"/>
          <w:color w:val="auto"/>
          <w:highlight w:val="none"/>
        </w:rPr>
      </w:pPr>
      <w:r>
        <w:rPr>
          <w:rFonts w:hint="eastAsia" w:ascii="宋体" w:hAnsi="宋体" w:cs="宋体"/>
          <w:color w:val="auto"/>
          <w:highlight w:val="none"/>
        </w:rPr>
        <w:t>业务部门之间的业务数据交换。</w:t>
      </w:r>
    </w:p>
    <w:p>
      <w:pPr>
        <w:ind w:firstLine="420"/>
        <w:rPr>
          <w:rFonts w:ascii="宋体" w:hAnsi="宋体" w:cs="宋体"/>
          <w:color w:val="auto"/>
          <w:highlight w:val="none"/>
        </w:rPr>
      </w:pPr>
      <w:r>
        <w:rPr>
          <w:rFonts w:hint="eastAsia" w:ascii="宋体" w:hAnsi="宋体" w:cs="宋体"/>
          <w:color w:val="auto"/>
          <w:highlight w:val="none"/>
        </w:rPr>
        <w:t>结合工作流的协调数据服务。</w:t>
      </w:r>
    </w:p>
    <w:p>
      <w:pPr>
        <w:pStyle w:val="58"/>
        <w:ind w:firstLine="420"/>
        <w:rPr>
          <w:rFonts w:ascii="宋体" w:hAnsi="宋体" w:eastAsia="宋体" w:cs="宋体"/>
          <w:color w:val="auto"/>
          <w:highlight w:val="none"/>
        </w:rPr>
      </w:pPr>
      <w:r>
        <w:rPr>
          <w:rFonts w:hint="eastAsia" w:ascii="宋体" w:hAnsi="宋体" w:eastAsia="宋体" w:cs="宋体"/>
          <w:color w:val="auto"/>
          <w:highlight w:val="none"/>
        </w:rPr>
        <w:object>
          <v:shape id="_x0000_i1025" o:spt="75" type="#_x0000_t75" style="height:279.45pt;width:382.1pt;" o:ole="t" filled="f" o:preferrelative="t" stroked="f" coordsize="21600,21600">
            <v:path/>
            <v:fill on="f" focussize="0,0"/>
            <v:stroke on="f" joinstyle="miter"/>
            <v:imagedata r:id="rId23" o:title=""/>
            <o:lock v:ext="edit" aspectratio="t"/>
            <w10:wrap type="none"/>
            <w10:anchorlock/>
          </v:shape>
          <o:OLEObject Type="Embed" ProgID="PowerPoint.Show.8" ShapeID="_x0000_i1025" DrawAspect="Content" ObjectID="_1468075725" r:id="rId22">
            <o:LockedField>false</o:LockedField>
          </o:OLEObject>
        </w:object>
      </w:r>
    </w:p>
    <w:p>
      <w:pPr>
        <w:ind w:firstLine="420"/>
        <w:rPr>
          <w:rFonts w:ascii="宋体" w:hAnsi="宋体" w:cs="宋体"/>
          <w:color w:val="auto"/>
          <w:highlight w:val="none"/>
        </w:rPr>
      </w:pPr>
      <w:r>
        <w:rPr>
          <w:rFonts w:hint="eastAsia" w:ascii="宋体" w:hAnsi="宋体" w:cs="宋体"/>
          <w:color w:val="auto"/>
          <w:highlight w:val="none"/>
        </w:rPr>
        <w:t>功能流程说明：</w:t>
      </w:r>
    </w:p>
    <w:p>
      <w:pPr>
        <w:ind w:firstLine="420"/>
        <w:rPr>
          <w:rFonts w:ascii="宋体" w:hAnsi="宋体" w:cs="宋体"/>
          <w:color w:val="auto"/>
          <w:highlight w:val="none"/>
        </w:rPr>
      </w:pPr>
      <w:r>
        <w:rPr>
          <w:rFonts w:hint="eastAsia" w:ascii="宋体" w:hAnsi="宋体" w:cs="宋体"/>
          <w:color w:val="auto"/>
          <w:highlight w:val="none"/>
        </w:rPr>
        <w:t>数据供需方的接口数据系统：为了满足应用层交换和数据层交换，交换代理必须有应用层和数据层的连接和接口适配功能，数据代理必须有数据格式的转换功能。</w:t>
      </w:r>
    </w:p>
    <w:p>
      <w:pPr>
        <w:ind w:firstLine="420"/>
        <w:rPr>
          <w:rFonts w:ascii="宋体" w:hAnsi="宋体" w:cs="宋体"/>
          <w:color w:val="auto"/>
          <w:highlight w:val="none"/>
        </w:rPr>
      </w:pPr>
      <w:r>
        <w:rPr>
          <w:rFonts w:hint="eastAsia" w:ascii="宋体" w:hAnsi="宋体" w:cs="宋体"/>
          <w:color w:val="auto"/>
          <w:highlight w:val="none"/>
        </w:rPr>
        <w:t>数据传输：为了保证数据的正确传输和传输性能，必须有传输管理功能，包括了传输协议管理和控制，传输过程控、数据传输加密、压缩、网络故障检测和连接共享等功能。</w:t>
      </w:r>
    </w:p>
    <w:p>
      <w:pPr>
        <w:ind w:firstLine="420"/>
        <w:rPr>
          <w:rFonts w:ascii="宋体" w:hAnsi="宋体" w:cs="宋体"/>
          <w:color w:val="auto"/>
          <w:highlight w:val="none"/>
        </w:rPr>
      </w:pPr>
      <w:r>
        <w:rPr>
          <w:rFonts w:hint="eastAsia" w:ascii="宋体" w:hAnsi="宋体" w:cs="宋体"/>
          <w:color w:val="auto"/>
          <w:highlight w:val="none"/>
        </w:rPr>
        <w:t>数据整合协同平台：</w:t>
      </w:r>
    </w:p>
    <w:p>
      <w:pPr>
        <w:ind w:firstLine="420"/>
        <w:rPr>
          <w:rFonts w:ascii="宋体" w:hAnsi="宋体" w:cs="宋体"/>
          <w:color w:val="auto"/>
          <w:highlight w:val="none"/>
        </w:rPr>
      </w:pPr>
      <w:r>
        <w:rPr>
          <w:rFonts w:hint="eastAsia" w:ascii="宋体" w:hAnsi="宋体" w:cs="宋体"/>
          <w:color w:val="auto"/>
          <w:highlight w:val="none"/>
        </w:rPr>
        <w:t>会话管理：为了能提供数据的交换方式如主动（推）、被动（拉）；支持定时和实时策略，支持超时控制管理等功能，数据交换平台必须有会话策略、会话控制和管理功能。</w:t>
      </w:r>
    </w:p>
    <w:p>
      <w:pPr>
        <w:ind w:firstLine="420"/>
        <w:rPr>
          <w:rFonts w:ascii="宋体" w:hAnsi="宋体" w:cs="宋体"/>
          <w:color w:val="auto"/>
          <w:highlight w:val="none"/>
        </w:rPr>
      </w:pPr>
      <w:r>
        <w:rPr>
          <w:rFonts w:hint="eastAsia" w:ascii="宋体" w:hAnsi="宋体" w:cs="宋体"/>
          <w:color w:val="auto"/>
          <w:highlight w:val="none"/>
        </w:rPr>
        <w:t>数据管理：为了数据能按标准进行交换，能按照部署的路由规则进行交换，必须有数据路由、数据模板管理、数据解析、数据转换等功能。</w:t>
      </w:r>
    </w:p>
    <w:p>
      <w:pPr>
        <w:ind w:firstLine="420"/>
        <w:rPr>
          <w:rFonts w:ascii="宋体" w:hAnsi="宋体" w:cs="宋体"/>
          <w:color w:val="auto"/>
          <w:highlight w:val="none"/>
        </w:rPr>
      </w:pPr>
      <w:r>
        <w:rPr>
          <w:rFonts w:hint="eastAsia" w:ascii="宋体" w:hAnsi="宋体" w:cs="宋体"/>
          <w:color w:val="auto"/>
          <w:highlight w:val="none"/>
        </w:rPr>
        <w:t>系统管理功能：同时数据交换平台还应该提供服务管理功能，包括运行管理，部署管理，服务管理，系统日志等功能。</w:t>
      </w:r>
    </w:p>
    <w:p>
      <w:pPr>
        <w:pStyle w:val="7"/>
        <w:ind w:firstLine="422"/>
        <w:rPr>
          <w:rFonts w:ascii="宋体" w:hAnsi="宋体" w:cs="宋体"/>
          <w:color w:val="auto"/>
          <w:highlight w:val="none"/>
        </w:rPr>
      </w:pPr>
      <w:r>
        <w:rPr>
          <w:rFonts w:hint="eastAsia" w:ascii="宋体" w:hAnsi="宋体" w:cs="宋体"/>
          <w:color w:val="auto"/>
          <w:highlight w:val="none"/>
        </w:rPr>
        <w:t>行业PaaS服务</w:t>
      </w:r>
      <w:bookmarkEnd w:id="1589"/>
      <w:bookmarkEnd w:id="1590"/>
      <w:bookmarkEnd w:id="1591"/>
      <w:bookmarkEnd w:id="1592"/>
      <w:bookmarkEnd w:id="1593"/>
      <w:bookmarkEnd w:id="1594"/>
      <w:bookmarkEnd w:id="1595"/>
      <w:bookmarkEnd w:id="1596"/>
      <w:bookmarkEnd w:id="1597"/>
      <w:bookmarkEnd w:id="1598"/>
    </w:p>
    <w:p>
      <w:pPr>
        <w:ind w:firstLine="420"/>
        <w:rPr>
          <w:rFonts w:ascii="宋体" w:hAnsi="宋体" w:cs="宋体"/>
          <w:color w:val="auto"/>
          <w:highlight w:val="none"/>
        </w:rPr>
      </w:pPr>
      <w:r>
        <w:rPr>
          <w:rFonts w:hint="eastAsia" w:ascii="宋体" w:hAnsi="宋体" w:cs="宋体"/>
          <w:color w:val="auto"/>
          <w:highlight w:val="none"/>
        </w:rPr>
        <w:t>包含工业安全服务、安全管理服务、环保管理服务、应急调度服务、安防视频服务等。</w:t>
      </w:r>
    </w:p>
    <w:p>
      <w:pPr>
        <w:pStyle w:val="14"/>
        <w:rPr>
          <w:rFonts w:ascii="宋体" w:hAnsi="宋体" w:cs="宋体"/>
          <w:color w:val="auto"/>
          <w:highlight w:val="none"/>
        </w:rPr>
      </w:pPr>
      <w:r>
        <w:rPr>
          <w:rFonts w:hint="eastAsia" w:ascii="宋体" w:hAnsi="宋体" w:cs="宋体"/>
          <w:color w:val="auto"/>
          <w:highlight w:val="none"/>
        </w:rPr>
        <w:t>工业安全服务基于工业信息安全的一体化防护，需考虑系统的本质安全、设备过程安全、安全操作管理、内建安全与纵深防御等。从而确保系统的正常运转，保证网络、应用系统与数据的安全。</w:t>
      </w:r>
    </w:p>
    <w:p>
      <w:pPr>
        <w:ind w:firstLine="420"/>
        <w:rPr>
          <w:rFonts w:ascii="宋体" w:hAnsi="宋体" w:cs="宋体"/>
          <w:color w:val="auto"/>
          <w:highlight w:val="none"/>
        </w:rPr>
      </w:pPr>
      <w:r>
        <w:rPr>
          <w:rFonts w:hint="eastAsia" w:ascii="宋体" w:hAnsi="宋体" w:cs="宋体"/>
          <w:color w:val="auto"/>
          <w:highlight w:val="none"/>
        </w:rPr>
        <w:t>安全管理服务提供风险识别矩阵、危险源监测预警、研判分析决策等。</w:t>
      </w:r>
    </w:p>
    <w:p>
      <w:pPr>
        <w:ind w:firstLine="420"/>
        <w:rPr>
          <w:rFonts w:ascii="宋体" w:hAnsi="宋体" w:cs="宋体"/>
          <w:color w:val="auto"/>
          <w:highlight w:val="none"/>
        </w:rPr>
      </w:pPr>
      <w:r>
        <w:rPr>
          <w:rFonts w:hint="eastAsia" w:ascii="宋体" w:hAnsi="宋体" w:cs="宋体"/>
          <w:color w:val="auto"/>
          <w:highlight w:val="none"/>
        </w:rPr>
        <w:t>环保管理服务提供数据融合交叉认证、污染物排放扩散、污染源认知计算分析等。</w:t>
      </w:r>
    </w:p>
    <w:p>
      <w:pPr>
        <w:ind w:left="420" w:firstLine="0" w:firstLineChars="0"/>
        <w:rPr>
          <w:rFonts w:ascii="宋体" w:hAnsi="宋体" w:cs="宋体"/>
          <w:color w:val="auto"/>
          <w:highlight w:val="none"/>
        </w:rPr>
      </w:pPr>
      <w:r>
        <w:rPr>
          <w:rFonts w:hint="eastAsia" w:ascii="宋体" w:hAnsi="宋体" w:cs="宋体"/>
          <w:color w:val="auto"/>
          <w:highlight w:val="none"/>
        </w:rPr>
        <w:t>应急调度服务提供池火灾综合分析、火灾爆炸分析、危化品泄漏分析、事故影响分析等。</w:t>
      </w:r>
    </w:p>
    <w:p>
      <w:pPr>
        <w:pStyle w:val="7"/>
        <w:numPr>
          <w:ilvl w:val="0"/>
          <w:numId w:val="0"/>
        </w:numPr>
        <w:ind w:firstLine="420" w:firstLineChars="200"/>
        <w:rPr>
          <w:rFonts w:ascii="宋体" w:hAnsi="宋体" w:cs="宋体"/>
          <w:b w:val="0"/>
          <w:color w:val="auto"/>
          <w:highlight w:val="none"/>
        </w:rPr>
      </w:pPr>
      <w:r>
        <w:rPr>
          <w:rFonts w:hint="eastAsia" w:ascii="宋体" w:hAnsi="宋体" w:cs="宋体"/>
          <w:b w:val="0"/>
          <w:color w:val="auto"/>
          <w:highlight w:val="none"/>
        </w:rPr>
        <w:t>安防视频服务提供视频自动识别分析等。</w:t>
      </w:r>
    </w:p>
    <w:p>
      <w:pPr>
        <w:pStyle w:val="7"/>
        <w:ind w:firstLine="422"/>
        <w:rPr>
          <w:rFonts w:ascii="宋体" w:hAnsi="宋体" w:cs="宋体"/>
          <w:color w:val="auto"/>
          <w:highlight w:val="none"/>
        </w:rPr>
      </w:pPr>
      <w:r>
        <w:rPr>
          <w:rFonts w:hint="eastAsia" w:ascii="宋体" w:hAnsi="宋体" w:cs="宋体"/>
          <w:color w:val="auto"/>
          <w:highlight w:val="none"/>
        </w:rPr>
        <w:t>数据中心</w:t>
      </w:r>
      <w:bookmarkEnd w:id="1575"/>
      <w:bookmarkEnd w:id="1576"/>
      <w:r>
        <w:rPr>
          <w:rFonts w:hint="eastAsia" w:ascii="宋体" w:hAnsi="宋体" w:cs="宋体"/>
          <w:color w:val="auto"/>
          <w:highlight w:val="none"/>
        </w:rPr>
        <w:t>要求</w:t>
      </w:r>
    </w:p>
    <w:p>
      <w:pPr>
        <w:ind w:firstLine="420"/>
        <w:rPr>
          <w:rFonts w:ascii="宋体" w:hAnsi="宋体" w:cs="宋体"/>
          <w:color w:val="auto"/>
          <w:highlight w:val="none"/>
        </w:rPr>
      </w:pPr>
      <w:r>
        <w:rPr>
          <w:rFonts w:hint="eastAsia" w:ascii="宋体" w:hAnsi="宋体" w:cs="宋体"/>
          <w:color w:val="auto"/>
          <w:highlight w:val="none"/>
        </w:rPr>
        <w:t>通过数字平台建设实现向下可以调用园区企业端生产设备、系统、生产线等海量的资源，向上可以承载工业软件或者新型的工业APP。通过微服务的架构把工业技术、工艺经验等工业知识，组件化、封装化、软件化成一个一个的组件模型、微服务模型、软件模型，并沉淀到数字平台上，为平台提供能力。</w:t>
      </w:r>
    </w:p>
    <w:p>
      <w:pPr>
        <w:ind w:firstLine="420"/>
        <w:rPr>
          <w:rFonts w:ascii="宋体" w:hAnsi="宋体" w:cs="宋体"/>
          <w:color w:val="auto"/>
          <w:highlight w:val="none"/>
        </w:rPr>
      </w:pPr>
      <w:r>
        <w:rPr>
          <w:rFonts w:hint="eastAsia" w:ascii="宋体" w:hAnsi="宋体" w:cs="宋体"/>
          <w:color w:val="auto"/>
          <w:highlight w:val="none"/>
        </w:rPr>
        <w:t>总体要求如下：</w:t>
      </w:r>
    </w:p>
    <w:p>
      <w:pPr>
        <w:pStyle w:val="14"/>
        <w:numPr>
          <w:ilvl w:val="0"/>
          <w:numId w:val="10"/>
        </w:numPr>
        <w:ind w:firstLineChars="0"/>
        <w:rPr>
          <w:rFonts w:ascii="宋体" w:hAnsi="宋体" w:cs="宋体"/>
          <w:color w:val="auto"/>
          <w:highlight w:val="none"/>
        </w:rPr>
      </w:pPr>
      <w:r>
        <w:rPr>
          <w:rFonts w:hint="eastAsia" w:ascii="宋体" w:hAnsi="宋体" w:cs="宋体"/>
          <w:color w:val="auto"/>
          <w:highlight w:val="none"/>
        </w:rPr>
        <w:t>数据集成能力</w:t>
      </w:r>
    </w:p>
    <w:p>
      <w:pPr>
        <w:pStyle w:val="14"/>
        <w:rPr>
          <w:rFonts w:ascii="宋体" w:hAnsi="宋体" w:cs="宋体"/>
          <w:color w:val="auto"/>
          <w:highlight w:val="none"/>
        </w:rPr>
      </w:pPr>
      <w:r>
        <w:rPr>
          <w:rFonts w:hint="eastAsia" w:ascii="宋体" w:hAnsi="宋体" w:cs="宋体"/>
          <w:color w:val="auto"/>
          <w:highlight w:val="none"/>
        </w:rPr>
        <w:t>通过数据仓库的标准接口实现与不同种类数据的共享交换、接口对接，形成“数据高铁”，实现对园区数据资源的分类接入与综合集成。</w:t>
      </w:r>
    </w:p>
    <w:p>
      <w:pPr>
        <w:pStyle w:val="14"/>
        <w:numPr>
          <w:ilvl w:val="0"/>
          <w:numId w:val="10"/>
        </w:numPr>
        <w:ind w:firstLineChars="0"/>
        <w:rPr>
          <w:rFonts w:ascii="宋体" w:hAnsi="宋体" w:cs="宋体"/>
          <w:color w:val="auto"/>
          <w:highlight w:val="none"/>
        </w:rPr>
      </w:pPr>
      <w:r>
        <w:rPr>
          <w:rFonts w:hint="eastAsia" w:ascii="宋体" w:hAnsi="宋体" w:cs="宋体"/>
          <w:color w:val="auto"/>
          <w:highlight w:val="none"/>
        </w:rPr>
        <w:t>数据资源治理能力</w:t>
      </w:r>
    </w:p>
    <w:p>
      <w:pPr>
        <w:pStyle w:val="14"/>
        <w:rPr>
          <w:rFonts w:ascii="宋体" w:hAnsi="宋体" w:cs="宋体"/>
          <w:color w:val="auto"/>
          <w:highlight w:val="none"/>
        </w:rPr>
      </w:pPr>
      <w:r>
        <w:rPr>
          <w:rFonts w:hint="eastAsia" w:ascii="宋体" w:hAnsi="宋体" w:cs="宋体"/>
          <w:color w:val="auto"/>
          <w:highlight w:val="none"/>
        </w:rPr>
        <w:t>依托数据仓库的底层能力，搭建宁波石化智慧园区的数据资产全流程治理体系。从数据接入集成、数据清洗整合、数据计算、数据服务等不同维度，形成数据标准化、通用化治理的基础模型和标准规范，面向企业以及石化管委会各部门的各类业务应用系统的数据治理提供支撑服务。</w:t>
      </w:r>
    </w:p>
    <w:p>
      <w:pPr>
        <w:pStyle w:val="14"/>
        <w:numPr>
          <w:ilvl w:val="0"/>
          <w:numId w:val="10"/>
        </w:numPr>
        <w:ind w:firstLineChars="0"/>
        <w:rPr>
          <w:rFonts w:ascii="宋体" w:hAnsi="宋体" w:cs="宋体"/>
          <w:color w:val="auto"/>
          <w:highlight w:val="none"/>
        </w:rPr>
      </w:pPr>
      <w:r>
        <w:rPr>
          <w:rFonts w:hint="eastAsia" w:ascii="宋体" w:hAnsi="宋体" w:cs="宋体"/>
          <w:color w:val="auto"/>
          <w:highlight w:val="none"/>
        </w:rPr>
        <w:t>数据仓建设能力</w:t>
      </w:r>
    </w:p>
    <w:p>
      <w:pPr>
        <w:ind w:firstLine="420"/>
        <w:rPr>
          <w:rFonts w:ascii="宋体" w:hAnsi="宋体" w:cs="宋体"/>
          <w:color w:val="auto"/>
          <w:szCs w:val="20"/>
          <w:highlight w:val="none"/>
        </w:rPr>
      </w:pPr>
      <w:r>
        <w:rPr>
          <w:rFonts w:hint="eastAsia" w:ascii="宋体" w:hAnsi="宋体" w:cs="宋体"/>
          <w:color w:val="auto"/>
          <w:szCs w:val="20"/>
          <w:highlight w:val="none"/>
        </w:rPr>
        <w:t>因省产业大脑接入工作要求和数据安全的需要，宁波石化智慧园区一期项目需建设数据仓，以满足本地数据的汇集处理和向省产业大脑的数据传输需求。整个数据仓的建设需符合《宁波市公共数据管理办法》和《宁波市县级公共数据平台建设导则（征求意见稿）》的要求。</w:t>
      </w:r>
    </w:p>
    <w:p>
      <w:pPr>
        <w:pStyle w:val="14"/>
        <w:numPr>
          <w:ilvl w:val="0"/>
          <w:numId w:val="10"/>
        </w:numPr>
        <w:ind w:firstLineChars="0"/>
        <w:rPr>
          <w:rFonts w:ascii="宋体" w:hAnsi="宋体" w:cs="宋体"/>
          <w:color w:val="auto"/>
          <w:highlight w:val="none"/>
        </w:rPr>
      </w:pPr>
      <w:r>
        <w:rPr>
          <w:rFonts w:hint="eastAsia" w:ascii="宋体" w:hAnsi="宋体" w:cs="宋体"/>
          <w:color w:val="auto"/>
          <w:highlight w:val="none"/>
        </w:rPr>
        <w:t>专题库建设</w:t>
      </w:r>
    </w:p>
    <w:p>
      <w:pPr>
        <w:ind w:firstLine="420"/>
        <w:rPr>
          <w:rFonts w:ascii="宋体" w:hAnsi="宋体" w:cs="宋体"/>
          <w:color w:val="auto"/>
          <w:highlight w:val="none"/>
        </w:rPr>
      </w:pPr>
      <w:r>
        <w:rPr>
          <w:rFonts w:hint="eastAsia" w:ascii="宋体" w:hAnsi="宋体" w:cs="宋体"/>
          <w:color w:val="auto"/>
          <w:highlight w:val="none"/>
        </w:rPr>
        <w:t>专题数据库根据石化管委会业务需求进行建设，可面向宁波石化管委会管辖范围内根据企业业务需求等领域构建专题库。</w:t>
      </w:r>
    </w:p>
    <w:p>
      <w:pPr>
        <w:pStyle w:val="14"/>
        <w:numPr>
          <w:ilvl w:val="0"/>
          <w:numId w:val="10"/>
        </w:numPr>
        <w:ind w:firstLineChars="0"/>
        <w:rPr>
          <w:rFonts w:ascii="宋体" w:hAnsi="宋体" w:cs="宋体"/>
          <w:color w:val="auto"/>
          <w:highlight w:val="none"/>
        </w:rPr>
      </w:pPr>
      <w:r>
        <w:rPr>
          <w:rFonts w:hint="eastAsia" w:ascii="宋体" w:hAnsi="宋体" w:cs="宋体"/>
          <w:color w:val="auto"/>
          <w:highlight w:val="none"/>
        </w:rPr>
        <w:t>数据安全</w:t>
      </w:r>
    </w:p>
    <w:p>
      <w:pPr>
        <w:pStyle w:val="22"/>
        <w:spacing w:before="120" w:after="120" w:line="360" w:lineRule="auto"/>
        <w:ind w:firstLine="420"/>
        <w:rPr>
          <w:rFonts w:hAnsi="宋体" w:cs="宋体"/>
          <w:color w:val="auto"/>
          <w:sz w:val="21"/>
          <w:highlight w:val="none"/>
        </w:rPr>
      </w:pPr>
      <w:r>
        <w:rPr>
          <w:rFonts w:hint="eastAsia" w:hAnsi="宋体" w:cs="宋体"/>
          <w:color w:val="auto"/>
          <w:sz w:val="21"/>
          <w:highlight w:val="none"/>
        </w:rPr>
        <w:t>数据安全管理是指对数据设定安全等级，按照相应国家/组织相关法案及监督要求，通过评估数据安全风险、制定数据安全管理制度规范、进行数据安全分级分类，完善数据安全管理相关技术规范，保证数据被合法合规、安全地采集、传输、存储和使用。企业通过数据安全管理，规划、开发和执行安全政策与措施，提供适当的身份以确认、授权、访问与审计等功能。</w:t>
      </w:r>
    </w:p>
    <w:p>
      <w:pPr>
        <w:pStyle w:val="14"/>
        <w:numPr>
          <w:ilvl w:val="0"/>
          <w:numId w:val="10"/>
        </w:numPr>
        <w:ind w:firstLineChars="0"/>
        <w:rPr>
          <w:rFonts w:ascii="宋体" w:hAnsi="宋体" w:cs="宋体"/>
          <w:color w:val="auto"/>
          <w:highlight w:val="none"/>
        </w:rPr>
      </w:pPr>
      <w:r>
        <w:rPr>
          <w:rFonts w:hint="eastAsia" w:ascii="宋体" w:hAnsi="宋体" w:cs="宋体"/>
          <w:color w:val="auto"/>
          <w:highlight w:val="none"/>
        </w:rPr>
        <w:t>异地备份</w:t>
      </w:r>
    </w:p>
    <w:p>
      <w:pPr>
        <w:ind w:firstLine="420"/>
        <w:rPr>
          <w:rFonts w:ascii="宋体" w:hAnsi="宋体" w:cs="宋体"/>
          <w:color w:val="auto"/>
          <w:highlight w:val="none"/>
        </w:rPr>
      </w:pPr>
      <w:r>
        <w:rPr>
          <w:rFonts w:hint="eastAsia" w:ascii="宋体" w:hAnsi="宋体" w:cs="宋体"/>
          <w:color w:val="auto"/>
          <w:highlight w:val="none"/>
        </w:rPr>
        <w:t>宁波石化智慧园区一期项目中数据存储采用本地部署，但数字平台需要具有异地备份的能力，为后续的异地备份或者数据迁移做好接口准备。</w:t>
      </w:r>
    </w:p>
    <w:p>
      <w:pPr>
        <w:pStyle w:val="5"/>
        <w:spacing w:line="480" w:lineRule="auto"/>
        <w:ind w:firstLine="422"/>
        <w:rPr>
          <w:rFonts w:ascii="宋体" w:hAnsi="宋体" w:cs="宋体"/>
          <w:color w:val="auto"/>
          <w:highlight w:val="none"/>
        </w:rPr>
      </w:pPr>
      <w:bookmarkStart w:id="1599" w:name="_Toc18514"/>
      <w:bookmarkStart w:id="1600" w:name="_Toc28363"/>
      <w:bookmarkStart w:id="1601" w:name="_Toc2415"/>
      <w:bookmarkStart w:id="1602" w:name="_Toc560"/>
      <w:bookmarkStart w:id="1603" w:name="_Toc14949"/>
      <w:bookmarkStart w:id="1604" w:name="_Toc9761"/>
      <w:bookmarkStart w:id="1605" w:name="_Toc4131"/>
      <w:r>
        <w:rPr>
          <w:rFonts w:hint="eastAsia" w:ascii="宋体" w:hAnsi="宋体" w:cs="宋体"/>
          <w:color w:val="auto"/>
          <w:highlight w:val="none"/>
        </w:rPr>
        <w:t>数据库管理系统</w:t>
      </w:r>
      <w:bookmarkEnd w:id="1599"/>
      <w:bookmarkEnd w:id="1600"/>
      <w:bookmarkEnd w:id="1601"/>
      <w:bookmarkEnd w:id="1602"/>
      <w:bookmarkEnd w:id="1603"/>
      <w:bookmarkEnd w:id="1604"/>
      <w:bookmarkEnd w:id="1605"/>
    </w:p>
    <w:p>
      <w:pPr>
        <w:ind w:firstLine="420"/>
        <w:rPr>
          <w:rFonts w:ascii="宋体" w:hAnsi="宋体" w:cs="宋体"/>
          <w:color w:val="auto"/>
          <w:highlight w:val="none"/>
        </w:rPr>
      </w:pPr>
      <w:r>
        <w:rPr>
          <w:rFonts w:hint="eastAsia" w:ascii="宋体" w:hAnsi="宋体" w:cs="宋体"/>
          <w:color w:val="auto"/>
          <w:highlight w:val="none"/>
        </w:rPr>
        <w:t>在本项目建设的过程中，需要对数据库内容进行合理的规划界定。在此基础之上，伴随着对系统需求的深入分析和应用系统设计的深化逐步展开，实施工作中还将依据逻辑设计和物理设计的相关规范对数据库设计进行细化。</w:t>
      </w:r>
    </w:p>
    <w:p>
      <w:pPr>
        <w:pStyle w:val="7"/>
        <w:ind w:firstLine="422"/>
        <w:rPr>
          <w:rFonts w:ascii="宋体" w:hAnsi="宋体" w:cs="宋体"/>
          <w:color w:val="auto"/>
          <w:highlight w:val="none"/>
        </w:rPr>
      </w:pPr>
      <w:bookmarkStart w:id="1606" w:name="_Toc31401"/>
      <w:bookmarkStart w:id="1607" w:name="_Toc7448"/>
      <w:bookmarkStart w:id="1608" w:name="_Toc12418"/>
      <w:r>
        <w:rPr>
          <w:rFonts w:hint="eastAsia" w:ascii="宋体" w:hAnsi="宋体" w:cs="宋体"/>
          <w:color w:val="auto"/>
          <w:highlight w:val="none"/>
        </w:rPr>
        <w:t>数据库逻辑架构</w:t>
      </w:r>
      <w:bookmarkEnd w:id="1606"/>
      <w:bookmarkEnd w:id="1607"/>
      <w:bookmarkEnd w:id="1608"/>
    </w:p>
    <w:p>
      <w:pPr>
        <w:ind w:firstLine="420"/>
        <w:rPr>
          <w:rFonts w:ascii="宋体" w:hAnsi="宋体" w:cs="宋体"/>
          <w:color w:val="auto"/>
          <w:highlight w:val="none"/>
        </w:rPr>
      </w:pPr>
      <w:r>
        <w:rPr>
          <w:rFonts w:hint="eastAsia" w:ascii="宋体" w:hAnsi="宋体" w:cs="宋体"/>
          <w:color w:val="auto"/>
          <w:highlight w:val="none"/>
        </w:rPr>
        <w:t>数据库管理系统依托数字平台关系数据库管理软件构建数据库，实现数据对象的定义等基本操作。通过开发数据库管理系统实现数据库的备份与恢复、操作日志管理、数据批量导入导出、数据字典维护、数据库更新等操作，与数据源进行连接。用户通过智慧园区门户访问应用系统，对数据库中的数据进行信息查询和加工处理，每个具体的应用系统都可以在基础数据库和相关文件基础上生成与自己应用数据有关的数据库子模式和文件。</w:t>
      </w:r>
    </w:p>
    <w:p>
      <w:pPr>
        <w:pStyle w:val="7"/>
        <w:ind w:firstLine="422"/>
        <w:rPr>
          <w:rFonts w:ascii="宋体" w:hAnsi="宋体" w:cs="宋体"/>
          <w:color w:val="auto"/>
          <w:highlight w:val="none"/>
        </w:rPr>
      </w:pPr>
      <w:bookmarkStart w:id="1609" w:name="_Toc24539"/>
      <w:bookmarkStart w:id="1610" w:name="_Toc8690"/>
      <w:bookmarkStart w:id="1611" w:name="_Toc9367"/>
      <w:r>
        <w:rPr>
          <w:rFonts w:hint="eastAsia" w:ascii="宋体" w:hAnsi="宋体" w:cs="宋体"/>
          <w:color w:val="auto"/>
          <w:highlight w:val="none"/>
        </w:rPr>
        <w:t>数据库内容规划</w:t>
      </w:r>
      <w:bookmarkEnd w:id="1609"/>
      <w:bookmarkEnd w:id="1610"/>
      <w:bookmarkEnd w:id="1611"/>
    </w:p>
    <w:p>
      <w:pPr>
        <w:ind w:firstLine="420"/>
        <w:rPr>
          <w:rFonts w:ascii="宋体" w:hAnsi="宋体" w:cs="宋体"/>
          <w:color w:val="auto"/>
          <w:highlight w:val="none"/>
        </w:rPr>
      </w:pPr>
      <w:r>
        <w:rPr>
          <w:rFonts w:hint="eastAsia" w:ascii="宋体" w:hAnsi="宋体" w:cs="宋体"/>
          <w:color w:val="auto"/>
          <w:highlight w:val="none"/>
        </w:rPr>
        <w:t>在本项目中将建设智慧园区数据库，如企业基础数据库、应急信息数据库、应急预案数据库、应急资源及资产数据库、应急演练数据库、应急统计分析数据库、应急事故救援案例数据库、应急政策法规数据库、应急决策支持及模型数据库、应急地理信息数据库、系统管理数据库等。数据库的内容如下表所示：</w:t>
      </w:r>
    </w:p>
    <w:tbl>
      <w:tblPr>
        <w:tblStyle w:val="37"/>
        <w:tblW w:w="892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8"/>
        <w:gridCol w:w="2916"/>
        <w:gridCol w:w="51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818" w:type="dxa"/>
            <w:tcBorders>
              <w:top w:val="single" w:color="auto" w:sz="4" w:space="0"/>
              <w:left w:val="single" w:color="auto" w:sz="4" w:space="0"/>
              <w:bottom w:val="single" w:color="auto" w:sz="4" w:space="0"/>
              <w:right w:val="single" w:color="auto" w:sz="4" w:space="0"/>
            </w:tcBorders>
            <w:noWrap/>
          </w:tcPr>
          <w:p>
            <w:pPr>
              <w:ind w:firstLine="0" w:firstLineChars="0"/>
              <w:jc w:val="center"/>
              <w:rPr>
                <w:rFonts w:ascii="宋体" w:hAnsi="宋体" w:cs="宋体"/>
                <w:color w:val="auto"/>
                <w:highlight w:val="none"/>
              </w:rPr>
            </w:pPr>
            <w:r>
              <w:rPr>
                <w:rFonts w:hint="eastAsia" w:ascii="宋体" w:hAnsi="宋体" w:cs="宋体"/>
                <w:color w:val="auto"/>
                <w:highlight w:val="none"/>
              </w:rPr>
              <w:t>序号</w:t>
            </w:r>
          </w:p>
        </w:tc>
        <w:tc>
          <w:tcPr>
            <w:tcW w:w="2916" w:type="dxa"/>
            <w:tcBorders>
              <w:top w:val="single" w:color="auto" w:sz="4" w:space="0"/>
              <w:left w:val="single" w:color="auto" w:sz="4" w:space="0"/>
              <w:bottom w:val="single" w:color="auto" w:sz="4" w:space="0"/>
              <w:right w:val="single" w:color="auto" w:sz="4" w:space="0"/>
            </w:tcBorders>
            <w:noWrap/>
          </w:tcPr>
          <w:p>
            <w:pPr>
              <w:ind w:firstLine="0" w:firstLineChars="0"/>
              <w:rPr>
                <w:rFonts w:ascii="宋体" w:hAnsi="宋体" w:cs="宋体"/>
                <w:color w:val="auto"/>
                <w:highlight w:val="none"/>
              </w:rPr>
            </w:pPr>
            <w:r>
              <w:rPr>
                <w:rFonts w:hint="eastAsia" w:ascii="宋体" w:hAnsi="宋体" w:cs="宋体"/>
                <w:color w:val="auto"/>
                <w:highlight w:val="none"/>
              </w:rPr>
              <w:t>数据库名称</w:t>
            </w:r>
          </w:p>
        </w:tc>
        <w:tc>
          <w:tcPr>
            <w:tcW w:w="5192" w:type="dxa"/>
            <w:tcBorders>
              <w:top w:val="single" w:color="auto" w:sz="4" w:space="0"/>
              <w:left w:val="single" w:color="auto" w:sz="4" w:space="0"/>
              <w:bottom w:val="single" w:color="auto" w:sz="4" w:space="0"/>
              <w:right w:val="single" w:color="auto" w:sz="4" w:space="0"/>
            </w:tcBorders>
            <w:noWrap/>
          </w:tcPr>
          <w:p>
            <w:pPr>
              <w:ind w:firstLine="0" w:firstLineChars="0"/>
              <w:rPr>
                <w:rFonts w:ascii="宋体" w:hAnsi="宋体" w:cs="宋体"/>
                <w:color w:val="auto"/>
                <w:highlight w:val="none"/>
              </w:rPr>
            </w:pPr>
            <w:r>
              <w:rPr>
                <w:rFonts w:hint="eastAsia" w:ascii="宋体" w:hAnsi="宋体" w:cs="宋体"/>
                <w:color w:val="auto"/>
                <w:highlight w:val="none"/>
              </w:rPr>
              <w:t>主要内容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818" w:type="dxa"/>
            <w:tcBorders>
              <w:top w:val="single" w:color="auto" w:sz="4" w:space="0"/>
            </w:tcBorders>
            <w:noWrap/>
          </w:tcPr>
          <w:p>
            <w:pPr>
              <w:ind w:firstLine="0" w:firstLineChars="0"/>
              <w:jc w:val="center"/>
              <w:rPr>
                <w:rFonts w:ascii="宋体" w:hAnsi="宋体" w:cs="宋体"/>
                <w:color w:val="auto"/>
                <w:highlight w:val="none"/>
              </w:rPr>
            </w:pPr>
            <w:r>
              <w:rPr>
                <w:rFonts w:hint="eastAsia" w:ascii="宋体" w:hAnsi="宋体" w:cs="宋体"/>
                <w:color w:val="auto"/>
                <w:highlight w:val="none"/>
              </w:rPr>
              <w:t>1</w:t>
            </w:r>
          </w:p>
        </w:tc>
        <w:tc>
          <w:tcPr>
            <w:tcW w:w="2916" w:type="dxa"/>
            <w:tcBorders>
              <w:top w:val="single" w:color="auto" w:sz="4" w:space="0"/>
            </w:tcBorders>
            <w:noWrap/>
          </w:tcPr>
          <w:p>
            <w:pPr>
              <w:ind w:firstLine="0" w:firstLineChars="0"/>
              <w:rPr>
                <w:rFonts w:ascii="宋体" w:hAnsi="宋体" w:cs="宋体"/>
                <w:color w:val="auto"/>
                <w:highlight w:val="none"/>
              </w:rPr>
            </w:pPr>
            <w:r>
              <w:rPr>
                <w:rFonts w:hint="eastAsia" w:ascii="宋体" w:hAnsi="宋体" w:cs="宋体"/>
                <w:color w:val="auto"/>
                <w:highlight w:val="none"/>
              </w:rPr>
              <w:t>企业基础数据库</w:t>
            </w:r>
          </w:p>
        </w:tc>
        <w:tc>
          <w:tcPr>
            <w:tcW w:w="5192" w:type="dxa"/>
            <w:tcBorders>
              <w:top w:val="single" w:color="auto" w:sz="4" w:space="0"/>
            </w:tcBorders>
            <w:noWrap/>
          </w:tcPr>
          <w:p>
            <w:pPr>
              <w:ind w:firstLine="0" w:firstLineChars="0"/>
              <w:rPr>
                <w:rFonts w:ascii="宋体" w:hAnsi="宋体" w:cs="宋体"/>
                <w:color w:val="auto"/>
                <w:highlight w:val="none"/>
              </w:rPr>
            </w:pPr>
            <w:r>
              <w:rPr>
                <w:rFonts w:hint="eastAsia" w:ascii="宋体" w:hAnsi="宋体" w:cs="宋体"/>
                <w:color w:val="auto"/>
                <w:highlight w:val="none"/>
              </w:rPr>
              <w:t>主要用于存储企业安全生产相关的各类信息，如：资质、人员、设备、危险源、预案等。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818"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2</w:t>
            </w:r>
          </w:p>
        </w:tc>
        <w:tc>
          <w:tcPr>
            <w:tcW w:w="2916" w:type="dxa"/>
            <w:noWrap/>
          </w:tcPr>
          <w:p>
            <w:pPr>
              <w:ind w:firstLine="0" w:firstLineChars="0"/>
              <w:rPr>
                <w:rFonts w:ascii="宋体" w:hAnsi="宋体" w:cs="宋体"/>
                <w:color w:val="auto"/>
                <w:highlight w:val="none"/>
              </w:rPr>
            </w:pPr>
            <w:r>
              <w:rPr>
                <w:rFonts w:hint="eastAsia" w:ascii="宋体" w:hAnsi="宋体" w:cs="宋体"/>
                <w:color w:val="auto"/>
                <w:highlight w:val="none"/>
              </w:rPr>
              <w:t>应急信息数据库</w:t>
            </w:r>
          </w:p>
        </w:tc>
        <w:tc>
          <w:tcPr>
            <w:tcW w:w="5192" w:type="dxa"/>
            <w:noWrap/>
          </w:tcPr>
          <w:p>
            <w:pPr>
              <w:ind w:firstLine="0" w:firstLineChars="0"/>
              <w:rPr>
                <w:rFonts w:ascii="宋体" w:hAnsi="宋体" w:cs="宋体"/>
                <w:color w:val="auto"/>
                <w:highlight w:val="none"/>
              </w:rPr>
            </w:pPr>
            <w:r>
              <w:rPr>
                <w:rFonts w:hint="eastAsia" w:ascii="宋体" w:hAnsi="宋体" w:cs="宋体"/>
                <w:color w:val="auto"/>
                <w:highlight w:val="none"/>
              </w:rPr>
              <w:t>主要用于存储安全生产类突发应急事件的基本情况、预测预警信息和指挥协调过程信息。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818"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3</w:t>
            </w:r>
          </w:p>
        </w:tc>
        <w:tc>
          <w:tcPr>
            <w:tcW w:w="2916" w:type="dxa"/>
            <w:noWrap/>
          </w:tcPr>
          <w:p>
            <w:pPr>
              <w:ind w:firstLine="0" w:firstLineChars="0"/>
              <w:rPr>
                <w:rFonts w:ascii="宋体" w:hAnsi="宋体" w:cs="宋体"/>
                <w:color w:val="auto"/>
                <w:highlight w:val="none"/>
              </w:rPr>
            </w:pPr>
            <w:r>
              <w:rPr>
                <w:rFonts w:hint="eastAsia" w:ascii="宋体" w:hAnsi="宋体" w:cs="宋体"/>
                <w:color w:val="auto"/>
                <w:highlight w:val="none"/>
              </w:rPr>
              <w:t>应急预案数据库</w:t>
            </w:r>
          </w:p>
        </w:tc>
        <w:tc>
          <w:tcPr>
            <w:tcW w:w="5192" w:type="dxa"/>
            <w:noWrap/>
          </w:tcPr>
          <w:p>
            <w:pPr>
              <w:ind w:firstLine="0" w:firstLineChars="0"/>
              <w:rPr>
                <w:rFonts w:ascii="宋体" w:hAnsi="宋体" w:cs="宋体"/>
                <w:color w:val="auto"/>
                <w:highlight w:val="none"/>
              </w:rPr>
            </w:pPr>
            <w:r>
              <w:rPr>
                <w:rFonts w:hint="eastAsia" w:ascii="宋体" w:hAnsi="宋体" w:cs="宋体"/>
                <w:color w:val="auto"/>
                <w:highlight w:val="none"/>
              </w:rPr>
              <w:t>主要用于存储数字预案和文本预案。包括政府预案和企业预案。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818"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4</w:t>
            </w:r>
          </w:p>
        </w:tc>
        <w:tc>
          <w:tcPr>
            <w:tcW w:w="2916" w:type="dxa"/>
            <w:noWrap/>
          </w:tcPr>
          <w:p>
            <w:pPr>
              <w:ind w:firstLine="0" w:firstLineChars="0"/>
              <w:rPr>
                <w:rFonts w:ascii="宋体" w:hAnsi="宋体" w:cs="宋体"/>
                <w:color w:val="auto"/>
                <w:highlight w:val="none"/>
              </w:rPr>
            </w:pPr>
            <w:r>
              <w:rPr>
                <w:rFonts w:hint="eastAsia" w:ascii="宋体" w:hAnsi="宋体" w:cs="宋体"/>
                <w:color w:val="auto"/>
                <w:highlight w:val="none"/>
              </w:rPr>
              <w:t>应急资源及资产数据库</w:t>
            </w:r>
          </w:p>
        </w:tc>
        <w:tc>
          <w:tcPr>
            <w:tcW w:w="5192" w:type="dxa"/>
            <w:noWrap/>
          </w:tcPr>
          <w:p>
            <w:pPr>
              <w:ind w:firstLine="0" w:firstLineChars="0"/>
              <w:rPr>
                <w:rFonts w:ascii="宋体" w:hAnsi="宋体" w:cs="宋体"/>
                <w:color w:val="auto"/>
                <w:highlight w:val="none"/>
              </w:rPr>
            </w:pPr>
            <w:r>
              <w:rPr>
                <w:rFonts w:hint="eastAsia" w:ascii="宋体" w:hAnsi="宋体" w:cs="宋体"/>
                <w:color w:val="auto"/>
                <w:highlight w:val="none"/>
              </w:rPr>
              <w:t>主要用于存储企业、救援队伍、专家信息、应急资产、应急物资、应急救援装备数据。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818"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5</w:t>
            </w:r>
          </w:p>
        </w:tc>
        <w:tc>
          <w:tcPr>
            <w:tcW w:w="2916" w:type="dxa"/>
            <w:noWrap/>
          </w:tcPr>
          <w:p>
            <w:pPr>
              <w:ind w:firstLine="0" w:firstLineChars="0"/>
              <w:rPr>
                <w:rFonts w:ascii="宋体" w:hAnsi="宋体" w:cs="宋体"/>
                <w:color w:val="auto"/>
                <w:highlight w:val="none"/>
              </w:rPr>
            </w:pPr>
            <w:r>
              <w:rPr>
                <w:rFonts w:hint="eastAsia" w:ascii="宋体" w:hAnsi="宋体" w:cs="宋体"/>
                <w:color w:val="auto"/>
                <w:highlight w:val="none"/>
              </w:rPr>
              <w:t>应急演练数据库</w:t>
            </w:r>
          </w:p>
        </w:tc>
        <w:tc>
          <w:tcPr>
            <w:tcW w:w="5192" w:type="dxa"/>
            <w:noWrap/>
          </w:tcPr>
          <w:p>
            <w:pPr>
              <w:ind w:firstLine="0" w:firstLineChars="0"/>
              <w:rPr>
                <w:rFonts w:ascii="宋体" w:hAnsi="宋体" w:cs="宋体"/>
                <w:color w:val="auto"/>
                <w:highlight w:val="none"/>
              </w:rPr>
            </w:pPr>
            <w:r>
              <w:rPr>
                <w:rFonts w:hint="eastAsia" w:ascii="宋体" w:hAnsi="宋体" w:cs="宋体"/>
                <w:color w:val="auto"/>
                <w:highlight w:val="none"/>
              </w:rPr>
              <w:t>主要用于存储模拟事件、模拟计划、事件处置、参演机构和参演人员信息等。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818"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6</w:t>
            </w:r>
          </w:p>
        </w:tc>
        <w:tc>
          <w:tcPr>
            <w:tcW w:w="2916" w:type="dxa"/>
            <w:noWrap/>
          </w:tcPr>
          <w:p>
            <w:pPr>
              <w:ind w:firstLine="0" w:firstLineChars="0"/>
              <w:rPr>
                <w:rFonts w:ascii="宋体" w:hAnsi="宋体" w:cs="宋体"/>
                <w:color w:val="auto"/>
                <w:highlight w:val="none"/>
              </w:rPr>
            </w:pPr>
            <w:r>
              <w:rPr>
                <w:rFonts w:hint="eastAsia" w:ascii="宋体" w:hAnsi="宋体" w:cs="宋体"/>
                <w:color w:val="auto"/>
                <w:highlight w:val="none"/>
              </w:rPr>
              <w:t>应急统计分析数据库</w:t>
            </w:r>
          </w:p>
        </w:tc>
        <w:tc>
          <w:tcPr>
            <w:tcW w:w="5192" w:type="dxa"/>
            <w:noWrap/>
          </w:tcPr>
          <w:p>
            <w:pPr>
              <w:ind w:firstLine="0" w:firstLineChars="0"/>
              <w:rPr>
                <w:rFonts w:ascii="宋体" w:hAnsi="宋体" w:cs="宋体"/>
                <w:color w:val="auto"/>
                <w:highlight w:val="none"/>
              </w:rPr>
            </w:pPr>
            <w:r>
              <w:rPr>
                <w:rFonts w:hint="eastAsia" w:ascii="宋体" w:hAnsi="宋体" w:cs="宋体"/>
                <w:color w:val="auto"/>
                <w:highlight w:val="none"/>
              </w:rPr>
              <w:t>主要用于存储重大危险源统计、资源统计、资产统计、事故信息、案例、预案等统计分析信息。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818"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7</w:t>
            </w:r>
          </w:p>
        </w:tc>
        <w:tc>
          <w:tcPr>
            <w:tcW w:w="2916" w:type="dxa"/>
            <w:noWrap/>
          </w:tcPr>
          <w:p>
            <w:pPr>
              <w:ind w:firstLine="0" w:firstLineChars="0"/>
              <w:rPr>
                <w:rFonts w:ascii="宋体" w:hAnsi="宋体" w:cs="宋体"/>
                <w:color w:val="auto"/>
                <w:highlight w:val="none"/>
              </w:rPr>
            </w:pPr>
            <w:r>
              <w:rPr>
                <w:rFonts w:hint="eastAsia" w:ascii="宋体" w:hAnsi="宋体" w:cs="宋体"/>
                <w:color w:val="auto"/>
                <w:highlight w:val="none"/>
              </w:rPr>
              <w:t>应急事故救援案例数据库</w:t>
            </w:r>
          </w:p>
        </w:tc>
        <w:tc>
          <w:tcPr>
            <w:tcW w:w="5192" w:type="dxa"/>
            <w:noWrap/>
          </w:tcPr>
          <w:p>
            <w:pPr>
              <w:ind w:firstLine="0" w:firstLineChars="0"/>
              <w:rPr>
                <w:rFonts w:ascii="宋体" w:hAnsi="宋体" w:cs="宋体"/>
                <w:color w:val="auto"/>
                <w:highlight w:val="none"/>
              </w:rPr>
            </w:pPr>
            <w:r>
              <w:rPr>
                <w:rFonts w:hint="eastAsia" w:ascii="宋体" w:hAnsi="宋体" w:cs="宋体"/>
                <w:color w:val="auto"/>
                <w:highlight w:val="none"/>
              </w:rPr>
              <w:t>主要用于存储案例基本信息和案例扩展信息。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818"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8</w:t>
            </w:r>
          </w:p>
        </w:tc>
        <w:tc>
          <w:tcPr>
            <w:tcW w:w="2916" w:type="dxa"/>
            <w:noWrap/>
          </w:tcPr>
          <w:p>
            <w:pPr>
              <w:ind w:firstLine="0" w:firstLineChars="0"/>
              <w:rPr>
                <w:rFonts w:ascii="宋体" w:hAnsi="宋体" w:cs="宋体"/>
                <w:color w:val="auto"/>
                <w:highlight w:val="none"/>
              </w:rPr>
            </w:pPr>
            <w:r>
              <w:rPr>
                <w:rFonts w:hint="eastAsia" w:ascii="宋体" w:hAnsi="宋体" w:cs="宋体"/>
                <w:color w:val="auto"/>
                <w:highlight w:val="none"/>
              </w:rPr>
              <w:t>应急政策法规数据库</w:t>
            </w:r>
          </w:p>
        </w:tc>
        <w:tc>
          <w:tcPr>
            <w:tcW w:w="5192" w:type="dxa"/>
            <w:noWrap/>
          </w:tcPr>
          <w:p>
            <w:pPr>
              <w:ind w:firstLine="0" w:firstLineChars="0"/>
              <w:rPr>
                <w:rFonts w:ascii="宋体" w:hAnsi="宋体" w:cs="宋体"/>
                <w:color w:val="auto"/>
                <w:highlight w:val="none"/>
              </w:rPr>
            </w:pPr>
            <w:r>
              <w:rPr>
                <w:rFonts w:hint="eastAsia" w:ascii="宋体" w:hAnsi="宋体" w:cs="宋体"/>
                <w:color w:val="auto"/>
                <w:highlight w:val="none"/>
              </w:rPr>
              <w:t>主要用于存储法律法规和技术规范信息。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818"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9</w:t>
            </w:r>
          </w:p>
        </w:tc>
        <w:tc>
          <w:tcPr>
            <w:tcW w:w="2916" w:type="dxa"/>
            <w:noWrap/>
          </w:tcPr>
          <w:p>
            <w:pPr>
              <w:ind w:firstLine="0" w:firstLineChars="0"/>
              <w:rPr>
                <w:rFonts w:ascii="宋体" w:hAnsi="宋体" w:cs="宋体"/>
                <w:color w:val="auto"/>
                <w:highlight w:val="none"/>
              </w:rPr>
            </w:pPr>
            <w:r>
              <w:rPr>
                <w:rFonts w:hint="eastAsia" w:ascii="宋体" w:hAnsi="宋体" w:cs="宋体"/>
                <w:color w:val="auto"/>
                <w:highlight w:val="none"/>
              </w:rPr>
              <w:t>应急决策支持及模型数据库</w:t>
            </w:r>
          </w:p>
        </w:tc>
        <w:tc>
          <w:tcPr>
            <w:tcW w:w="5192" w:type="dxa"/>
            <w:noWrap/>
          </w:tcPr>
          <w:p>
            <w:pPr>
              <w:ind w:firstLine="0" w:firstLineChars="0"/>
              <w:rPr>
                <w:rFonts w:ascii="宋体" w:hAnsi="宋体" w:cs="宋体"/>
                <w:color w:val="auto"/>
                <w:highlight w:val="none"/>
              </w:rPr>
            </w:pPr>
            <w:r>
              <w:rPr>
                <w:rFonts w:hint="eastAsia" w:ascii="宋体" w:hAnsi="宋体" w:cs="宋体"/>
                <w:color w:val="auto"/>
                <w:highlight w:val="none"/>
              </w:rPr>
              <w:t>主要用于存储决策支持和模型信息。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818"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10</w:t>
            </w:r>
          </w:p>
        </w:tc>
        <w:tc>
          <w:tcPr>
            <w:tcW w:w="2916" w:type="dxa"/>
            <w:noWrap/>
          </w:tcPr>
          <w:p>
            <w:pPr>
              <w:ind w:firstLine="0" w:firstLineChars="0"/>
              <w:rPr>
                <w:rFonts w:ascii="宋体" w:hAnsi="宋体" w:cs="宋体"/>
                <w:color w:val="auto"/>
                <w:highlight w:val="none"/>
              </w:rPr>
            </w:pPr>
            <w:r>
              <w:rPr>
                <w:rFonts w:hint="eastAsia" w:ascii="宋体" w:hAnsi="宋体" w:cs="宋体"/>
                <w:color w:val="auto"/>
                <w:highlight w:val="none"/>
              </w:rPr>
              <w:t>应急空间信息数据库</w:t>
            </w:r>
          </w:p>
        </w:tc>
        <w:tc>
          <w:tcPr>
            <w:tcW w:w="5192" w:type="dxa"/>
            <w:noWrap/>
          </w:tcPr>
          <w:p>
            <w:pPr>
              <w:ind w:firstLine="0" w:firstLineChars="0"/>
              <w:rPr>
                <w:rFonts w:ascii="宋体" w:hAnsi="宋体" w:cs="宋体"/>
                <w:color w:val="auto"/>
                <w:highlight w:val="none"/>
              </w:rPr>
            </w:pPr>
            <w:r>
              <w:rPr>
                <w:rFonts w:hint="eastAsia" w:ascii="宋体" w:hAnsi="宋体" w:cs="宋体"/>
                <w:color w:val="auto"/>
                <w:highlight w:val="none"/>
              </w:rPr>
              <w:t>主要用于存储矢量数字地形、数字高程模型、航天航空影像、地名和空间元信息。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818"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11</w:t>
            </w:r>
          </w:p>
        </w:tc>
        <w:tc>
          <w:tcPr>
            <w:tcW w:w="2916" w:type="dxa"/>
            <w:noWrap/>
          </w:tcPr>
          <w:p>
            <w:pPr>
              <w:ind w:firstLine="0" w:firstLineChars="0"/>
              <w:rPr>
                <w:rFonts w:ascii="宋体" w:hAnsi="宋体" w:cs="宋体"/>
                <w:color w:val="auto"/>
                <w:highlight w:val="none"/>
              </w:rPr>
            </w:pPr>
            <w:r>
              <w:rPr>
                <w:rFonts w:hint="eastAsia" w:ascii="宋体" w:hAnsi="宋体" w:cs="宋体"/>
                <w:color w:val="auto"/>
                <w:highlight w:val="none"/>
              </w:rPr>
              <w:t>系统管理数据库</w:t>
            </w:r>
          </w:p>
        </w:tc>
        <w:tc>
          <w:tcPr>
            <w:tcW w:w="5192" w:type="dxa"/>
            <w:noWrap/>
          </w:tcPr>
          <w:p>
            <w:pPr>
              <w:ind w:firstLine="0" w:firstLineChars="0"/>
              <w:rPr>
                <w:rFonts w:ascii="宋体" w:hAnsi="宋体" w:cs="宋体"/>
                <w:color w:val="auto"/>
                <w:highlight w:val="none"/>
              </w:rPr>
            </w:pPr>
            <w:r>
              <w:rPr>
                <w:rFonts w:hint="eastAsia" w:ascii="宋体" w:hAnsi="宋体" w:cs="宋体"/>
                <w:color w:val="auto"/>
                <w:highlight w:val="none"/>
              </w:rPr>
              <w:t>主要用于存储分类、代码数据和用户权限信息。</w:t>
            </w:r>
          </w:p>
        </w:tc>
      </w:tr>
    </w:tbl>
    <w:p>
      <w:pPr>
        <w:pStyle w:val="58"/>
        <w:ind w:firstLine="420"/>
        <w:jc w:val="both"/>
        <w:rPr>
          <w:rFonts w:ascii="宋体" w:hAnsi="宋体" w:eastAsia="宋体" w:cs="宋体"/>
          <w:color w:val="auto"/>
          <w:highlight w:val="none"/>
        </w:rPr>
      </w:pPr>
      <w:r>
        <w:rPr>
          <w:rFonts w:hint="eastAsia" w:ascii="宋体" w:hAnsi="宋体" w:eastAsia="宋体" w:cs="宋体"/>
          <w:color w:val="auto"/>
          <w:szCs w:val="24"/>
          <w:highlight w:val="none"/>
        </w:rPr>
        <w:t>备注：上表内容在中标后应根据业主需求按实进行调整，对数据库灵活配置。</w:t>
      </w:r>
    </w:p>
    <w:p>
      <w:pPr>
        <w:pStyle w:val="5"/>
        <w:ind w:firstLine="422"/>
        <w:rPr>
          <w:rFonts w:ascii="宋体" w:hAnsi="宋体" w:cs="宋体"/>
          <w:color w:val="auto"/>
          <w:highlight w:val="none"/>
        </w:rPr>
      </w:pPr>
      <w:bookmarkStart w:id="1612" w:name="_Toc17019"/>
      <w:bookmarkStart w:id="1613" w:name="_Toc29241"/>
      <w:bookmarkStart w:id="1614" w:name="_Toc25601"/>
      <w:bookmarkStart w:id="1615" w:name="_Toc17161"/>
      <w:bookmarkStart w:id="1616" w:name="_Toc23930"/>
      <w:bookmarkStart w:id="1617" w:name="_Toc2813"/>
      <w:r>
        <w:rPr>
          <w:rFonts w:hint="eastAsia" w:ascii="宋体" w:hAnsi="宋体" w:cs="宋体"/>
          <w:color w:val="auto"/>
          <w:highlight w:val="none"/>
        </w:rPr>
        <w:t>数字孪生</w:t>
      </w:r>
      <w:bookmarkEnd w:id="1612"/>
      <w:bookmarkEnd w:id="1613"/>
      <w:bookmarkEnd w:id="1614"/>
      <w:bookmarkEnd w:id="1615"/>
      <w:bookmarkEnd w:id="1616"/>
      <w:bookmarkEnd w:id="1617"/>
    </w:p>
    <w:p>
      <w:pPr>
        <w:ind w:firstLine="420"/>
        <w:rPr>
          <w:rFonts w:ascii="宋体" w:hAnsi="宋体" w:cs="宋体"/>
          <w:color w:val="auto"/>
          <w:highlight w:val="none"/>
        </w:rPr>
      </w:pPr>
      <w:r>
        <w:rPr>
          <w:rFonts w:hint="eastAsia" w:ascii="宋体" w:hAnsi="宋体" w:cs="宋体"/>
          <w:color w:val="auto"/>
          <w:highlight w:val="none"/>
        </w:rPr>
        <w:t>本项目基础数据三维建模通过无人机倾斜摄影和单体化建模，形成CIM数据底座。再通过三维CIM引擎，在园区CIM数据底座基础上，融合相关数据信息、视频信息、位置信息等内容，形成资源管理、数据分析、数据共享交换、业务管理等应用。</w:t>
      </w:r>
    </w:p>
    <w:p>
      <w:pPr>
        <w:pStyle w:val="2"/>
        <w:ind w:firstLine="420"/>
        <w:rPr>
          <w:rFonts w:ascii="宋体" w:hAnsi="宋体" w:eastAsia="宋体" w:cs="宋体"/>
          <w:color w:val="auto"/>
          <w:sz w:val="21"/>
          <w:highlight w:val="none"/>
        </w:rPr>
      </w:pPr>
      <w:r>
        <w:rPr>
          <w:rFonts w:hint="eastAsia" w:ascii="宋体" w:hAnsi="宋体" w:eastAsia="宋体" w:cs="宋体"/>
          <w:color w:val="auto"/>
          <w:sz w:val="21"/>
          <w:highlight w:val="none"/>
        </w:rPr>
        <w:t>在数字孪生化工园区中，对于园区地上的每个装置、每个储罐、每个设施甚至每个部件都能查询到其相应的属性信息，并且在此基础上，叠加园区运行的IOT数据、视频数据及业务数据等内容，形成园区业务应用专题图，为园区智慧化管理赋能。</w:t>
      </w:r>
    </w:p>
    <w:p>
      <w:pPr>
        <w:pStyle w:val="2"/>
        <w:ind w:firstLine="420"/>
        <w:rPr>
          <w:rFonts w:ascii="宋体" w:hAnsi="宋体" w:eastAsia="宋体" w:cs="宋体"/>
          <w:color w:val="auto"/>
          <w:highlight w:val="none"/>
        </w:rPr>
      </w:pPr>
      <w:r>
        <w:rPr>
          <w:rFonts w:hint="eastAsia" w:ascii="宋体" w:hAnsi="宋体" w:eastAsia="宋体" w:cs="宋体"/>
          <w:color w:val="auto"/>
          <w:sz w:val="21"/>
          <w:highlight w:val="none"/>
        </w:rPr>
        <w:t>利用园区数字孪生平台，通过虚拟服务现实，数据驱动治理，智能定义一切等运行机制，实现园区全要素数字化和虚拟化、全状态实时化和可视化、园区运行管理协同化智能化，形成物理维度上的实体园区和信息维度上的虚拟园区同生共存、虚实交融的化工园区发展全新模式。</w:t>
      </w:r>
    </w:p>
    <w:p>
      <w:pPr>
        <w:pStyle w:val="7"/>
        <w:ind w:firstLine="422"/>
        <w:rPr>
          <w:rFonts w:ascii="宋体" w:hAnsi="宋体" w:cs="宋体"/>
          <w:color w:val="auto"/>
          <w:highlight w:val="none"/>
        </w:rPr>
      </w:pPr>
      <w:bookmarkStart w:id="1618" w:name="_Toc19383"/>
      <w:bookmarkStart w:id="1619" w:name="_Toc22409"/>
      <w:r>
        <w:rPr>
          <w:rFonts w:hint="eastAsia" w:ascii="宋体" w:hAnsi="宋体" w:cs="宋体"/>
          <w:color w:val="auto"/>
          <w:highlight w:val="none"/>
        </w:rPr>
        <w:t>主要功能</w:t>
      </w:r>
      <w:bookmarkEnd w:id="1618"/>
      <w:bookmarkEnd w:id="1619"/>
    </w:p>
    <w:p>
      <w:pPr>
        <w:ind w:firstLine="420"/>
        <w:rPr>
          <w:rFonts w:ascii="宋体" w:hAnsi="宋体" w:cs="宋体"/>
          <w:color w:val="auto"/>
          <w:highlight w:val="none"/>
        </w:rPr>
      </w:pPr>
      <w:r>
        <w:rPr>
          <w:rFonts w:hint="eastAsia" w:ascii="宋体" w:hAnsi="宋体" w:cs="宋体"/>
          <w:color w:val="auto"/>
          <w:highlight w:val="none"/>
        </w:rPr>
        <w:t>数字孪生采用GIS基础平台，通过融入GIS和IoT数据，构建园区智能数字底座，实现园区管理人员直观的了解园区运转状态，为园区的规划、建设和管理提供基础支撑，实现园区的智能化管控。</w:t>
      </w:r>
      <w:r>
        <w:rPr>
          <w:rFonts w:hint="eastAsia" w:ascii="宋体" w:hAnsi="宋体" w:cs="宋体"/>
          <w:color w:val="auto"/>
          <w:highlight w:val="none"/>
        </w:rPr>
        <w:t>主要要求：</w:t>
      </w:r>
    </w:p>
    <w:p>
      <w:pPr>
        <w:numPr>
          <w:ilvl w:val="0"/>
          <w:numId w:val="11"/>
        </w:numPr>
        <w:ind w:firstLine="420"/>
        <w:rPr>
          <w:rFonts w:ascii="宋体" w:hAnsi="宋体" w:cs="宋体"/>
          <w:color w:val="auto"/>
          <w:highlight w:val="none"/>
        </w:rPr>
      </w:pPr>
      <w:r>
        <w:rPr>
          <w:rFonts w:hint="eastAsia" w:ascii="宋体" w:hAnsi="宋体" w:cs="宋体"/>
          <w:color w:val="auto"/>
          <w:highlight w:val="none"/>
        </w:rPr>
        <w:t>支持国产操作系统。</w:t>
      </w:r>
    </w:p>
    <w:p>
      <w:pPr>
        <w:numPr>
          <w:ilvl w:val="0"/>
          <w:numId w:val="11"/>
        </w:numPr>
        <w:ind w:firstLine="420"/>
        <w:rPr>
          <w:rFonts w:ascii="宋体" w:hAnsi="宋体" w:cs="宋体"/>
          <w:color w:val="auto"/>
          <w:highlight w:val="none"/>
        </w:rPr>
      </w:pPr>
      <w:r>
        <w:rPr>
          <w:rFonts w:hint="eastAsia" w:ascii="宋体" w:hAnsi="宋体" w:cs="宋体"/>
          <w:color w:val="auto"/>
          <w:highlight w:val="none"/>
        </w:rPr>
        <w:t>支持多种关系型数据库管理矢量数据、栅格数据、三维模型数据，支持三维数据融合为统一的标准格式，能够精准刻画园区细节，实现对地上全空间数据的一体化管理。</w:t>
      </w:r>
    </w:p>
    <w:p>
      <w:pPr>
        <w:numPr>
          <w:ilvl w:val="0"/>
          <w:numId w:val="11"/>
        </w:numPr>
        <w:ind w:firstLine="420"/>
        <w:rPr>
          <w:rFonts w:ascii="宋体" w:hAnsi="宋体" w:cs="宋体"/>
          <w:color w:val="auto"/>
          <w:highlight w:val="none"/>
        </w:rPr>
      </w:pPr>
      <w:r>
        <w:rPr>
          <w:rFonts w:hint="eastAsia" w:ascii="宋体" w:hAnsi="宋体" w:cs="宋体"/>
          <w:color w:val="auto"/>
          <w:highlight w:val="none"/>
        </w:rPr>
        <w:t>服务器端的地图服务和数据服务的聚合，聚合后的服务作为一个服务对外提供访问。</w:t>
      </w:r>
    </w:p>
    <w:p>
      <w:pPr>
        <w:numPr>
          <w:ilvl w:val="0"/>
          <w:numId w:val="11"/>
        </w:numPr>
        <w:ind w:firstLineChars="0"/>
        <w:rPr>
          <w:rFonts w:ascii="宋体" w:hAnsi="宋体" w:cs="宋体"/>
          <w:color w:val="auto"/>
          <w:highlight w:val="none"/>
        </w:rPr>
      </w:pPr>
      <w:r>
        <w:rPr>
          <w:rFonts w:hint="eastAsia" w:ascii="宋体" w:hAnsi="宋体" w:cs="宋体"/>
          <w:color w:val="auto"/>
          <w:highlight w:val="none"/>
        </w:rPr>
        <w:t>将多来源的地图服务聚合成一张图，一起对外提供地图服务（包括SuperMap REST地图服务、ArcGIS缓存、OGC标准服务、在线地图服务）。</w:t>
      </w:r>
    </w:p>
    <w:p>
      <w:pPr>
        <w:numPr>
          <w:ilvl w:val="0"/>
          <w:numId w:val="11"/>
        </w:numPr>
        <w:ind w:firstLineChars="0"/>
        <w:rPr>
          <w:rFonts w:ascii="宋体" w:hAnsi="宋体" w:cs="宋体"/>
          <w:color w:val="auto"/>
          <w:highlight w:val="none"/>
        </w:rPr>
      </w:pPr>
      <w:r>
        <w:rPr>
          <w:rFonts w:hint="eastAsia" w:ascii="宋体" w:hAnsi="宋体" w:cs="宋体"/>
          <w:color w:val="auto"/>
          <w:highlight w:val="none"/>
        </w:rPr>
        <w:t>GIS服务对聚合后的地图进行切图能力。支持丰富的可视化技术，包括：麻点图、矢量图、属性图、态势图、标签图；高性能矢量渲染技术；时空数据可视化。</w:t>
      </w:r>
    </w:p>
    <w:p>
      <w:pPr>
        <w:numPr>
          <w:ilvl w:val="0"/>
          <w:numId w:val="11"/>
        </w:numPr>
        <w:ind w:firstLineChars="0"/>
        <w:rPr>
          <w:rFonts w:ascii="宋体" w:hAnsi="宋体" w:cs="宋体"/>
          <w:color w:val="auto"/>
          <w:highlight w:val="none"/>
        </w:rPr>
      </w:pPr>
      <w:r>
        <w:rPr>
          <w:rFonts w:hint="eastAsia" w:ascii="宋体" w:hAnsi="宋体" w:cs="宋体"/>
          <w:color w:val="auto"/>
          <w:highlight w:val="none"/>
        </w:rPr>
        <w:t>可连接第三方地图API的SDK，实现互联互通。</w:t>
      </w:r>
    </w:p>
    <w:p>
      <w:pPr>
        <w:numPr>
          <w:ilvl w:val="0"/>
          <w:numId w:val="11"/>
        </w:numPr>
        <w:ind w:firstLineChars="0"/>
        <w:rPr>
          <w:rFonts w:ascii="宋体" w:hAnsi="宋体" w:cs="宋体"/>
          <w:color w:val="auto"/>
          <w:highlight w:val="none"/>
        </w:rPr>
      </w:pPr>
      <w:r>
        <w:rPr>
          <w:rFonts w:hint="eastAsia" w:ascii="宋体" w:hAnsi="宋体" w:cs="宋体"/>
          <w:color w:val="auto"/>
          <w:highlight w:val="none"/>
        </w:rPr>
        <w:t>支持城市级大场景三维，基于Webgl，支持跨IE、Chrome、Safari、Opera、Firefox、360等浏览器。</w:t>
      </w:r>
    </w:p>
    <w:p>
      <w:pPr>
        <w:numPr>
          <w:ilvl w:val="0"/>
          <w:numId w:val="11"/>
        </w:numPr>
        <w:ind w:firstLineChars="0"/>
        <w:rPr>
          <w:rFonts w:ascii="宋体" w:hAnsi="宋体" w:cs="宋体"/>
          <w:color w:val="auto"/>
          <w:highlight w:val="none"/>
        </w:rPr>
      </w:pPr>
      <w:r>
        <w:rPr>
          <w:rFonts w:hint="eastAsia" w:ascii="宋体" w:hAnsi="宋体" w:cs="宋体"/>
          <w:color w:val="auto"/>
          <w:highlight w:val="none"/>
        </w:rPr>
        <w:t>支持数据汇聚、清洗、结构化存储和融合。采用立体空间索引技术将地上全空间剖分为足够精细的立体网格，通过地上全空间多源、多时相海量异构矢量、影像、模型等数据的一体化组织存储模型，把多元、多尺度、多语义、多模态等特征的地上全空间数据映射到统一空间，构建统一时空基准下的时空对象关联关系；并通过布尔运算工具，实现地上全空间数据的无缝融合。</w:t>
      </w:r>
    </w:p>
    <w:p>
      <w:pPr>
        <w:pStyle w:val="8"/>
        <w:ind w:firstLine="422"/>
        <w:rPr>
          <w:rFonts w:ascii="宋体" w:hAnsi="宋体" w:cs="宋体"/>
          <w:color w:val="auto"/>
          <w:highlight w:val="none"/>
        </w:rPr>
      </w:pPr>
      <w:r>
        <w:rPr>
          <w:rFonts w:hint="eastAsia" w:ascii="宋体" w:hAnsi="宋体" w:cs="宋体"/>
          <w:color w:val="auto"/>
          <w:highlight w:val="none"/>
        </w:rPr>
        <w:t>数据三维可视化</w:t>
      </w:r>
    </w:p>
    <w:p>
      <w:pPr>
        <w:ind w:firstLine="420"/>
        <w:rPr>
          <w:rFonts w:ascii="宋体" w:hAnsi="宋体" w:cs="宋体"/>
          <w:color w:val="auto"/>
          <w:highlight w:val="none"/>
        </w:rPr>
      </w:pPr>
      <w:r>
        <w:rPr>
          <w:rFonts w:hint="eastAsia" w:ascii="宋体" w:hAnsi="宋体" w:cs="宋体"/>
          <w:color w:val="auto"/>
          <w:highlight w:val="none"/>
        </w:rPr>
        <w:t>采用GPU和CPU混合渲染架构、四叉树或八叉树划分的空间索引技术、LOD、场景视锥体剪裁、对象压缩等技术，形成海量空间数据三维可视化引擎，实现TB级地上时空数据的一体化精准表达。</w:t>
      </w:r>
    </w:p>
    <w:p>
      <w:pPr>
        <w:ind w:firstLine="420"/>
        <w:rPr>
          <w:rFonts w:ascii="宋体" w:hAnsi="宋体" w:cs="宋体"/>
          <w:color w:val="auto"/>
          <w:highlight w:val="none"/>
        </w:rPr>
      </w:pPr>
      <w:r>
        <w:rPr>
          <w:rFonts w:hint="eastAsia" w:ascii="宋体" w:hAnsi="宋体" w:cs="宋体"/>
          <w:color w:val="auto"/>
          <w:highlight w:val="none"/>
        </w:rPr>
        <w:t>支持根据园区地理信息数据源、模型精度、业务场景需求，按照不同精度标准呈现园区现实场景，通过对园区的规划、设计、建设、运行、管理过程中多空间维度、多时间维度的各类数据进行展示，逼真还原园区发展变化过程；实现地上全空间真三维可视化表达与展示，赋能园区构件级精细化数据管理。</w:t>
      </w:r>
    </w:p>
    <w:p>
      <w:pPr>
        <w:pStyle w:val="8"/>
        <w:ind w:firstLine="422"/>
        <w:rPr>
          <w:rFonts w:ascii="宋体" w:hAnsi="宋体" w:cs="宋体"/>
          <w:color w:val="auto"/>
          <w:highlight w:val="none"/>
        </w:rPr>
      </w:pPr>
      <w:r>
        <w:rPr>
          <w:rFonts w:hint="eastAsia" w:ascii="宋体" w:hAnsi="宋体" w:cs="宋体"/>
          <w:color w:val="auto"/>
          <w:highlight w:val="none"/>
        </w:rPr>
        <w:t>数据分析与挖掘</w:t>
      </w:r>
    </w:p>
    <w:p>
      <w:pPr>
        <w:ind w:firstLine="420"/>
        <w:rPr>
          <w:rFonts w:ascii="宋体" w:hAnsi="宋体" w:cs="宋体"/>
          <w:color w:val="auto"/>
          <w:highlight w:val="none"/>
        </w:rPr>
      </w:pPr>
      <w:r>
        <w:rPr>
          <w:rFonts w:hint="eastAsia" w:ascii="宋体" w:hAnsi="宋体" w:cs="宋体"/>
          <w:color w:val="auto"/>
          <w:highlight w:val="none"/>
        </w:rPr>
        <w:t>从全域视角出发，基于三维属性模型、分布式计算和数据挖掘技术，结合数字孪生园区模型和业务数据模型实现地上全空间分析、预测与评价，平台提供数据更新、编辑、分析测量、查询统计等数据管理功能，支持数据分析与挖掘、空间分析、信息提取、模拟推演。</w:t>
      </w:r>
    </w:p>
    <w:p>
      <w:pPr>
        <w:pStyle w:val="8"/>
        <w:ind w:firstLine="422"/>
        <w:rPr>
          <w:rFonts w:ascii="宋体" w:hAnsi="宋体" w:cs="宋体"/>
          <w:color w:val="auto"/>
          <w:highlight w:val="none"/>
        </w:rPr>
      </w:pPr>
      <w:r>
        <w:rPr>
          <w:rFonts w:hint="eastAsia" w:ascii="宋体" w:hAnsi="宋体" w:cs="宋体"/>
          <w:color w:val="auto"/>
          <w:highlight w:val="none"/>
        </w:rPr>
        <w:t>全资源管理</w:t>
      </w:r>
    </w:p>
    <w:p>
      <w:pPr>
        <w:ind w:firstLine="420"/>
        <w:rPr>
          <w:rFonts w:ascii="宋体" w:hAnsi="宋体" w:cs="宋体"/>
          <w:color w:val="auto"/>
          <w:highlight w:val="none"/>
        </w:rPr>
      </w:pPr>
      <w:r>
        <w:rPr>
          <w:rFonts w:hint="eastAsia" w:ascii="宋体" w:hAnsi="宋体" w:cs="宋体"/>
          <w:color w:val="auto"/>
          <w:highlight w:val="none"/>
        </w:rPr>
        <w:t>采用多节点分布式技术将基础时空数据、公共专题数据、物联网监控数据等进行多层次、时空化管理。通过数据输入输出、数据编辑及处理、查询统计、数据可视化、动态更新、历史数据管理、元数据管理、安全管理等模块，为各类智慧应用提供服务。</w:t>
      </w:r>
    </w:p>
    <w:p>
      <w:pPr>
        <w:pStyle w:val="8"/>
        <w:ind w:firstLine="422"/>
        <w:rPr>
          <w:rFonts w:ascii="宋体" w:hAnsi="宋体" w:cs="宋体"/>
          <w:color w:val="auto"/>
          <w:highlight w:val="none"/>
        </w:rPr>
      </w:pPr>
      <w:r>
        <w:rPr>
          <w:rFonts w:hint="eastAsia" w:ascii="宋体" w:hAnsi="宋体" w:cs="宋体"/>
          <w:color w:val="auto"/>
          <w:highlight w:val="none"/>
        </w:rPr>
        <w:t>数据共享交换</w:t>
      </w:r>
    </w:p>
    <w:p>
      <w:pPr>
        <w:ind w:firstLine="420"/>
        <w:rPr>
          <w:rFonts w:ascii="宋体" w:hAnsi="宋体" w:cs="宋体"/>
          <w:color w:val="auto"/>
          <w:highlight w:val="none"/>
        </w:rPr>
      </w:pPr>
      <w:r>
        <w:rPr>
          <w:rFonts w:hint="eastAsia" w:ascii="宋体" w:hAnsi="宋体" w:cs="宋体"/>
          <w:color w:val="auto"/>
          <w:highlight w:val="none"/>
        </w:rPr>
        <w:t>实现与园区应用部门之间共享交换，主要包括数据交换共享、服务交换共享等功能，可以实现数据、服务的交换与共享。支持资源的分层分级、分类高效管理；适配多种外部数据格式，支持OGC服务、Arcgis服务、和常规的Restful服务的共享交换；支持二三维地上全空间数据服务发布。能够打破信息壁垒，消除数据孤岛，实现多部门、多应用的信息共享，有效避免重复建设，资源浪费等。</w:t>
      </w:r>
    </w:p>
    <w:p>
      <w:pPr>
        <w:pStyle w:val="8"/>
        <w:ind w:firstLine="422"/>
        <w:rPr>
          <w:rFonts w:ascii="宋体" w:hAnsi="宋体" w:cs="宋体"/>
          <w:color w:val="auto"/>
          <w:highlight w:val="none"/>
        </w:rPr>
      </w:pPr>
      <w:r>
        <w:rPr>
          <w:rFonts w:hint="eastAsia" w:ascii="宋体" w:hAnsi="宋体" w:cs="宋体"/>
          <w:color w:val="auto"/>
          <w:highlight w:val="none"/>
        </w:rPr>
        <w:t>运维管理</w:t>
      </w:r>
    </w:p>
    <w:p>
      <w:pPr>
        <w:ind w:firstLine="420"/>
        <w:rPr>
          <w:rFonts w:ascii="宋体" w:hAnsi="宋体" w:cs="宋体"/>
          <w:color w:val="auto"/>
          <w:highlight w:val="none"/>
        </w:rPr>
      </w:pPr>
      <w:r>
        <w:rPr>
          <w:rFonts w:hint="eastAsia" w:ascii="宋体" w:hAnsi="宋体" w:cs="宋体"/>
          <w:color w:val="auto"/>
          <w:highlight w:val="none"/>
        </w:rPr>
        <w:t>采用监控管理、组织管理、角色管理、权限管理和日志管理等方式，实现平台的功能、数据、服务、专题等按用户、角色进行统一授权管理，保证“共性的部分被共享，个性的部分被隔离”。对平台统一监控，当出现异常情况时能即时发现、即时定位、即时分析、即时处理、即时记录，确保平台安全高效的运转。</w:t>
      </w:r>
    </w:p>
    <w:p>
      <w:pPr>
        <w:pStyle w:val="7"/>
        <w:ind w:firstLine="422"/>
        <w:rPr>
          <w:rFonts w:ascii="宋体" w:hAnsi="宋体" w:cs="宋体"/>
          <w:color w:val="auto"/>
          <w:highlight w:val="none"/>
        </w:rPr>
      </w:pPr>
      <w:bookmarkStart w:id="1620" w:name="_Toc26158"/>
      <w:bookmarkStart w:id="1621" w:name="_Toc1756"/>
      <w:r>
        <w:rPr>
          <w:rFonts w:hint="eastAsia" w:ascii="宋体" w:hAnsi="宋体" w:cs="宋体"/>
          <w:color w:val="auto"/>
          <w:highlight w:val="none"/>
        </w:rPr>
        <w:t>园区模型</w:t>
      </w:r>
      <w:bookmarkEnd w:id="1620"/>
      <w:bookmarkEnd w:id="1621"/>
      <w:r>
        <w:rPr>
          <w:rFonts w:hint="eastAsia" w:ascii="宋体" w:hAnsi="宋体" w:cs="宋体"/>
          <w:color w:val="auto"/>
          <w:highlight w:val="none"/>
        </w:rPr>
        <w:t>主要技术指标</w:t>
      </w:r>
    </w:p>
    <w:p>
      <w:pPr>
        <w:numPr>
          <w:ilvl w:val="0"/>
          <w:numId w:val="12"/>
        </w:numPr>
        <w:ind w:firstLineChars="0"/>
        <w:rPr>
          <w:rFonts w:ascii="宋体" w:hAnsi="宋体" w:cs="宋体"/>
          <w:color w:val="auto"/>
          <w:highlight w:val="none"/>
        </w:rPr>
      </w:pPr>
      <w:r>
        <w:rPr>
          <w:rFonts w:hint="eastAsia" w:ascii="宋体" w:hAnsi="宋体" w:cs="宋体"/>
          <w:color w:val="auto"/>
          <w:highlight w:val="none"/>
        </w:rPr>
        <w:t>园区建模数据主要技术指标</w:t>
      </w:r>
    </w:p>
    <w:tbl>
      <w:tblPr>
        <w:tblStyle w:val="37"/>
        <w:tblW w:w="0" w:type="auto"/>
        <w:jc w:val="cente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Layout w:type="fixed"/>
        <w:tblCellMar>
          <w:top w:w="0" w:type="dxa"/>
          <w:left w:w="108" w:type="dxa"/>
          <w:bottom w:w="0" w:type="dxa"/>
          <w:right w:w="108" w:type="dxa"/>
        </w:tblCellMar>
      </w:tblPr>
      <w:tblGrid>
        <w:gridCol w:w="2647"/>
        <w:gridCol w:w="1593"/>
        <w:gridCol w:w="2011"/>
        <w:gridCol w:w="2177"/>
        <w:gridCol w:w="737"/>
      </w:tblGrid>
      <w:tr>
        <w:tblPrEx>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Ex>
        <w:trPr>
          <w:jc w:val="center"/>
        </w:trPr>
        <w:tc>
          <w:tcPr>
            <w:tcW w:w="2647" w:type="dxa"/>
            <w:tcBorders>
              <w:top w:val="single" w:color="000000" w:sz="4" w:space="0"/>
              <w:left w:val="single" w:color="000000" w:sz="4" w:space="0"/>
              <w:bottom w:val="single" w:color="000000" w:sz="4" w:space="0"/>
              <w:right w:val="nil"/>
            </w:tcBorders>
            <w:shd w:val="clear" w:color="auto" w:fill="000000"/>
            <w:noWrap/>
          </w:tcPr>
          <w:p>
            <w:pPr>
              <w:ind w:firstLine="0" w:firstLineChars="0"/>
              <w:rPr>
                <w:rFonts w:ascii="宋体" w:hAnsi="宋体" w:cs="宋体"/>
                <w:color w:val="auto"/>
                <w:highlight w:val="none"/>
              </w:rPr>
            </w:pPr>
            <w:r>
              <w:rPr>
                <w:rFonts w:hint="eastAsia" w:ascii="宋体" w:hAnsi="宋体" w:cs="宋体"/>
                <w:color w:val="auto"/>
                <w:highlight w:val="none"/>
              </w:rPr>
              <w:t>建模分类</w:t>
            </w:r>
          </w:p>
        </w:tc>
        <w:tc>
          <w:tcPr>
            <w:tcW w:w="1593" w:type="dxa"/>
            <w:tcBorders>
              <w:top w:val="single" w:color="000000" w:sz="4" w:space="0"/>
              <w:bottom w:val="single" w:color="000000" w:sz="4" w:space="0"/>
              <w:right w:val="nil"/>
            </w:tcBorders>
            <w:shd w:val="clear" w:color="auto" w:fill="000000"/>
            <w:noWrap/>
          </w:tcPr>
          <w:p>
            <w:pPr>
              <w:ind w:firstLine="0" w:firstLineChars="0"/>
              <w:rPr>
                <w:rFonts w:ascii="宋体" w:hAnsi="宋体" w:cs="宋体"/>
                <w:color w:val="auto"/>
                <w:highlight w:val="none"/>
              </w:rPr>
            </w:pPr>
            <w:r>
              <w:rPr>
                <w:rFonts w:hint="eastAsia" w:ascii="宋体" w:hAnsi="宋体" w:cs="宋体"/>
                <w:color w:val="auto"/>
                <w:highlight w:val="none"/>
              </w:rPr>
              <w:t>建设面积</w:t>
            </w:r>
          </w:p>
        </w:tc>
        <w:tc>
          <w:tcPr>
            <w:tcW w:w="2011" w:type="dxa"/>
            <w:tcBorders>
              <w:top w:val="single" w:color="000000" w:sz="4" w:space="0"/>
              <w:bottom w:val="single" w:color="000000" w:sz="4" w:space="0"/>
              <w:right w:val="nil"/>
            </w:tcBorders>
            <w:shd w:val="clear" w:color="auto" w:fill="000000"/>
          </w:tcPr>
          <w:p>
            <w:pPr>
              <w:ind w:firstLine="0" w:firstLineChars="0"/>
              <w:rPr>
                <w:rFonts w:ascii="宋体" w:hAnsi="宋体" w:cs="宋体"/>
                <w:color w:val="auto"/>
                <w:highlight w:val="none"/>
              </w:rPr>
            </w:pPr>
            <w:r>
              <w:rPr>
                <w:rFonts w:hint="eastAsia" w:ascii="宋体" w:hAnsi="宋体" w:cs="宋体"/>
                <w:color w:val="auto"/>
                <w:highlight w:val="none"/>
              </w:rPr>
              <w:t>数据格式</w:t>
            </w:r>
          </w:p>
        </w:tc>
        <w:tc>
          <w:tcPr>
            <w:tcW w:w="2177" w:type="dxa"/>
            <w:tcBorders>
              <w:top w:val="single" w:color="000000" w:sz="4" w:space="0"/>
              <w:bottom w:val="single" w:color="000000" w:sz="4" w:space="0"/>
              <w:right w:val="nil"/>
            </w:tcBorders>
            <w:shd w:val="clear" w:color="auto" w:fill="000000"/>
            <w:noWrap/>
          </w:tcPr>
          <w:p>
            <w:pPr>
              <w:ind w:firstLine="0" w:firstLineChars="0"/>
              <w:rPr>
                <w:rFonts w:ascii="宋体" w:hAnsi="宋体" w:cs="宋体"/>
                <w:color w:val="auto"/>
                <w:highlight w:val="none"/>
              </w:rPr>
            </w:pPr>
            <w:r>
              <w:rPr>
                <w:rFonts w:hint="eastAsia" w:ascii="宋体" w:hAnsi="宋体" w:cs="宋体"/>
                <w:color w:val="auto"/>
                <w:highlight w:val="none"/>
              </w:rPr>
              <w:t>精细度</w:t>
            </w:r>
          </w:p>
        </w:tc>
        <w:tc>
          <w:tcPr>
            <w:tcW w:w="737" w:type="dxa"/>
            <w:tcBorders>
              <w:top w:val="single" w:color="000000" w:sz="4" w:space="0"/>
              <w:bottom w:val="single" w:color="000000" w:sz="4" w:space="0"/>
              <w:right w:val="single" w:color="000000" w:sz="4" w:space="0"/>
            </w:tcBorders>
            <w:shd w:val="clear" w:color="auto" w:fill="000000"/>
            <w:noWrap/>
          </w:tcPr>
          <w:p>
            <w:pPr>
              <w:pStyle w:val="97"/>
              <w:ind w:firstLine="0" w:firstLineChars="0"/>
              <w:rPr>
                <w:rFonts w:ascii="宋体" w:hAnsi="宋体" w:eastAsia="宋体" w:cs="宋体"/>
                <w:b/>
                <w:bCs/>
                <w:color w:val="auto"/>
                <w:highlight w:val="none"/>
              </w:rPr>
            </w:pPr>
            <w:r>
              <w:rPr>
                <w:rFonts w:hint="eastAsia" w:ascii="宋体" w:hAnsi="宋体" w:eastAsia="宋体" w:cs="宋体"/>
                <w:color w:val="auto"/>
                <w:highlight w:val="none"/>
                <w:lang w:val="en-US"/>
              </w:rPr>
              <w:t>备注</w:t>
            </w:r>
          </w:p>
        </w:tc>
      </w:tr>
      <w:tr>
        <w:tblPrEx>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Ex>
        <w:trPr>
          <w:trHeight w:val="251" w:hRule="atLeast"/>
          <w:jc w:val="center"/>
        </w:trPr>
        <w:tc>
          <w:tcPr>
            <w:tcW w:w="2647" w:type="dxa"/>
            <w:noWrap/>
          </w:tcPr>
          <w:p>
            <w:pPr>
              <w:ind w:firstLine="0" w:firstLineChars="0"/>
              <w:rPr>
                <w:rFonts w:ascii="宋体" w:hAnsi="宋体" w:cs="宋体"/>
                <w:color w:val="auto"/>
                <w:highlight w:val="none"/>
              </w:rPr>
            </w:pPr>
            <w:r>
              <w:rPr>
                <w:rFonts w:hint="eastAsia" w:ascii="宋体" w:hAnsi="宋体" w:cs="宋体"/>
                <w:color w:val="auto"/>
                <w:highlight w:val="none"/>
              </w:rPr>
              <w:t>倾斜摄影实景建模</w:t>
            </w:r>
          </w:p>
        </w:tc>
        <w:tc>
          <w:tcPr>
            <w:tcW w:w="1593" w:type="dxa"/>
            <w:noWrap/>
          </w:tcPr>
          <w:p>
            <w:pPr>
              <w:ind w:firstLine="0" w:firstLineChars="0"/>
              <w:rPr>
                <w:rFonts w:ascii="宋体" w:hAnsi="宋体" w:cs="宋体"/>
                <w:color w:val="auto"/>
                <w:highlight w:val="none"/>
              </w:rPr>
            </w:pPr>
            <w:r>
              <w:rPr>
                <w:rFonts w:hint="eastAsia" w:ascii="宋体" w:hAnsi="宋体" w:cs="宋体"/>
                <w:color w:val="auto"/>
                <w:highlight w:val="none"/>
              </w:rPr>
              <w:t>52.6平方公里</w:t>
            </w:r>
          </w:p>
        </w:tc>
        <w:tc>
          <w:tcPr>
            <w:tcW w:w="2011" w:type="dxa"/>
          </w:tcPr>
          <w:p>
            <w:pPr>
              <w:ind w:firstLine="0" w:firstLineChars="0"/>
              <w:rPr>
                <w:rFonts w:ascii="宋体" w:hAnsi="宋体" w:cs="宋体"/>
                <w:color w:val="auto"/>
                <w:highlight w:val="none"/>
              </w:rPr>
            </w:pPr>
            <w:r>
              <w:rPr>
                <w:rFonts w:hint="eastAsia" w:ascii="宋体" w:hAnsi="宋体" w:cs="宋体"/>
                <w:color w:val="auto"/>
                <w:highlight w:val="none"/>
              </w:rPr>
              <w:t>.OSGB/.S3M</w:t>
            </w:r>
          </w:p>
        </w:tc>
        <w:tc>
          <w:tcPr>
            <w:tcW w:w="2177" w:type="dxa"/>
          </w:tcPr>
          <w:p>
            <w:pPr>
              <w:ind w:firstLine="0" w:firstLineChars="0"/>
              <w:rPr>
                <w:rFonts w:ascii="宋体" w:hAnsi="宋体" w:cs="宋体"/>
                <w:color w:val="auto"/>
                <w:highlight w:val="none"/>
              </w:rPr>
            </w:pPr>
            <w:r>
              <w:rPr>
                <w:rFonts w:hint="eastAsia" w:ascii="宋体" w:hAnsi="宋体" w:cs="宋体"/>
                <w:color w:val="auto"/>
                <w:highlight w:val="none"/>
              </w:rPr>
              <w:t>分辨率优于2CM</w:t>
            </w:r>
          </w:p>
        </w:tc>
        <w:tc>
          <w:tcPr>
            <w:tcW w:w="737" w:type="dxa"/>
            <w:noWrap/>
          </w:tcPr>
          <w:p>
            <w:pPr>
              <w:pStyle w:val="97"/>
              <w:ind w:firstLine="420"/>
              <w:rPr>
                <w:rFonts w:ascii="宋体" w:hAnsi="宋体" w:eastAsia="宋体" w:cs="宋体"/>
                <w:color w:val="auto"/>
                <w:highlight w:val="none"/>
              </w:rPr>
            </w:pPr>
            <w:r>
              <w:rPr>
                <w:rFonts w:hint="eastAsia" w:ascii="宋体" w:hAnsi="宋体" w:eastAsia="宋体" w:cs="宋体"/>
                <w:color w:val="auto"/>
                <w:highlight w:val="none"/>
              </w:rPr>
              <w:t>-</w:t>
            </w:r>
          </w:p>
        </w:tc>
      </w:tr>
      <w:tr>
        <w:tblPrEx>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Ex>
        <w:trPr>
          <w:trHeight w:val="231" w:hRule="atLeast"/>
          <w:jc w:val="center"/>
        </w:trPr>
        <w:tc>
          <w:tcPr>
            <w:tcW w:w="2647" w:type="dxa"/>
            <w:noWrap/>
          </w:tcPr>
          <w:p>
            <w:pPr>
              <w:ind w:firstLine="0" w:firstLineChars="0"/>
              <w:rPr>
                <w:rFonts w:ascii="宋体" w:hAnsi="宋体" w:cs="宋体"/>
                <w:color w:val="auto"/>
                <w:highlight w:val="none"/>
              </w:rPr>
            </w:pPr>
            <w:r>
              <w:rPr>
                <w:rFonts w:hint="eastAsia" w:ascii="宋体" w:hAnsi="宋体" w:cs="宋体"/>
                <w:color w:val="auto"/>
                <w:highlight w:val="none"/>
              </w:rPr>
              <w:t>倾斜摄影数据单体化</w:t>
            </w:r>
          </w:p>
        </w:tc>
        <w:tc>
          <w:tcPr>
            <w:tcW w:w="1593" w:type="dxa"/>
            <w:noWrap/>
          </w:tcPr>
          <w:p>
            <w:pPr>
              <w:ind w:firstLine="0" w:firstLineChars="0"/>
              <w:rPr>
                <w:rFonts w:ascii="宋体" w:hAnsi="宋体" w:cs="宋体"/>
                <w:color w:val="auto"/>
                <w:highlight w:val="none"/>
              </w:rPr>
            </w:pPr>
            <w:r>
              <w:rPr>
                <w:rFonts w:hint="eastAsia" w:ascii="宋体" w:hAnsi="宋体" w:cs="宋体"/>
                <w:color w:val="auto"/>
                <w:highlight w:val="none"/>
              </w:rPr>
              <w:t>52.6平方公里</w:t>
            </w:r>
          </w:p>
        </w:tc>
        <w:tc>
          <w:tcPr>
            <w:tcW w:w="2011" w:type="dxa"/>
          </w:tcPr>
          <w:p>
            <w:pPr>
              <w:ind w:firstLine="0" w:firstLineChars="0"/>
              <w:rPr>
                <w:rFonts w:ascii="宋体" w:hAnsi="宋体" w:cs="宋体"/>
                <w:color w:val="auto"/>
                <w:highlight w:val="none"/>
              </w:rPr>
            </w:pPr>
            <w:r>
              <w:rPr>
                <w:rFonts w:hint="eastAsia" w:ascii="宋体" w:hAnsi="宋体" w:cs="宋体"/>
                <w:color w:val="auto"/>
                <w:highlight w:val="none"/>
              </w:rPr>
              <w:t>.SHP/.UDB/.GDB</w:t>
            </w:r>
          </w:p>
        </w:tc>
        <w:tc>
          <w:tcPr>
            <w:tcW w:w="2177" w:type="dxa"/>
          </w:tcPr>
          <w:p>
            <w:pPr>
              <w:ind w:firstLine="0" w:firstLineChars="0"/>
              <w:rPr>
                <w:rFonts w:ascii="宋体" w:hAnsi="宋体" w:cs="宋体"/>
                <w:color w:val="auto"/>
                <w:highlight w:val="none"/>
              </w:rPr>
            </w:pPr>
            <w:r>
              <w:rPr>
                <w:rFonts w:hint="eastAsia" w:ascii="宋体" w:hAnsi="宋体" w:cs="宋体"/>
                <w:color w:val="auto"/>
                <w:highlight w:val="none"/>
              </w:rPr>
              <w:t>分辨率优于2CM</w:t>
            </w:r>
          </w:p>
        </w:tc>
        <w:tc>
          <w:tcPr>
            <w:tcW w:w="737" w:type="dxa"/>
            <w:noWrap/>
          </w:tcPr>
          <w:p>
            <w:pPr>
              <w:pStyle w:val="97"/>
              <w:ind w:firstLine="420"/>
              <w:rPr>
                <w:rFonts w:ascii="宋体" w:hAnsi="宋体" w:eastAsia="宋体" w:cs="宋体"/>
                <w:color w:val="auto"/>
                <w:highlight w:val="none"/>
              </w:rPr>
            </w:pPr>
            <w:r>
              <w:rPr>
                <w:rFonts w:hint="eastAsia" w:ascii="宋体" w:hAnsi="宋体" w:eastAsia="宋体" w:cs="宋体"/>
                <w:color w:val="auto"/>
                <w:highlight w:val="none"/>
              </w:rPr>
              <w:t>-</w:t>
            </w:r>
          </w:p>
        </w:tc>
      </w:tr>
      <w:tr>
        <w:tblPrEx>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Ex>
        <w:trPr>
          <w:trHeight w:val="690" w:hRule="atLeast"/>
          <w:jc w:val="center"/>
        </w:trPr>
        <w:tc>
          <w:tcPr>
            <w:tcW w:w="2647" w:type="dxa"/>
            <w:noWrap/>
          </w:tcPr>
          <w:p>
            <w:pPr>
              <w:ind w:firstLine="0" w:firstLineChars="0"/>
              <w:rPr>
                <w:rFonts w:ascii="宋体" w:hAnsi="宋体" w:cs="宋体"/>
                <w:color w:val="auto"/>
                <w:highlight w:val="none"/>
              </w:rPr>
            </w:pPr>
            <w:r>
              <w:rPr>
                <w:rFonts w:hint="eastAsia" w:ascii="宋体" w:hAnsi="宋体" w:cs="宋体"/>
                <w:color w:val="auto"/>
                <w:highlight w:val="none"/>
              </w:rPr>
              <w:t>DEM、DOM数据生产</w:t>
            </w:r>
          </w:p>
        </w:tc>
        <w:tc>
          <w:tcPr>
            <w:tcW w:w="1593" w:type="dxa"/>
            <w:noWrap/>
          </w:tcPr>
          <w:p>
            <w:pPr>
              <w:ind w:firstLine="0" w:firstLineChars="0"/>
              <w:rPr>
                <w:rFonts w:ascii="宋体" w:hAnsi="宋体" w:cs="宋体"/>
                <w:color w:val="auto"/>
                <w:highlight w:val="none"/>
              </w:rPr>
            </w:pPr>
            <w:r>
              <w:rPr>
                <w:rFonts w:hint="eastAsia" w:ascii="宋体" w:hAnsi="宋体" w:cs="宋体"/>
                <w:color w:val="auto"/>
                <w:highlight w:val="none"/>
              </w:rPr>
              <w:t>52.6平方公里</w:t>
            </w:r>
          </w:p>
        </w:tc>
        <w:tc>
          <w:tcPr>
            <w:tcW w:w="2011" w:type="dxa"/>
          </w:tcPr>
          <w:p>
            <w:pPr>
              <w:ind w:firstLine="0" w:firstLineChars="0"/>
              <w:rPr>
                <w:rFonts w:ascii="宋体" w:hAnsi="宋体" w:cs="宋体"/>
                <w:color w:val="auto"/>
                <w:highlight w:val="none"/>
              </w:rPr>
            </w:pPr>
            <w:r>
              <w:rPr>
                <w:rFonts w:hint="eastAsia" w:ascii="宋体" w:hAnsi="宋体" w:cs="宋体"/>
                <w:color w:val="auto"/>
                <w:highlight w:val="none"/>
              </w:rPr>
              <w:t>.TIFF/.IMG/.DEM</w:t>
            </w:r>
          </w:p>
        </w:tc>
        <w:tc>
          <w:tcPr>
            <w:tcW w:w="2177" w:type="dxa"/>
          </w:tcPr>
          <w:p>
            <w:pPr>
              <w:ind w:firstLine="0" w:firstLineChars="0"/>
              <w:rPr>
                <w:rFonts w:ascii="宋体" w:hAnsi="宋体" w:cs="宋体"/>
                <w:color w:val="auto"/>
                <w:highlight w:val="none"/>
              </w:rPr>
            </w:pPr>
            <w:r>
              <w:rPr>
                <w:rFonts w:hint="eastAsia" w:ascii="宋体" w:hAnsi="宋体" w:cs="宋体"/>
                <w:color w:val="auto"/>
                <w:highlight w:val="none"/>
              </w:rPr>
              <w:t>比例尺1:500</w:t>
            </w:r>
          </w:p>
        </w:tc>
        <w:tc>
          <w:tcPr>
            <w:tcW w:w="737" w:type="dxa"/>
            <w:noWrap/>
          </w:tcPr>
          <w:p>
            <w:pPr>
              <w:pStyle w:val="97"/>
              <w:ind w:firstLine="420"/>
              <w:rPr>
                <w:rFonts w:ascii="宋体" w:hAnsi="宋体" w:eastAsia="宋体" w:cs="宋体"/>
                <w:color w:val="auto"/>
                <w:highlight w:val="none"/>
              </w:rPr>
            </w:pPr>
            <w:r>
              <w:rPr>
                <w:rFonts w:hint="eastAsia" w:ascii="宋体" w:hAnsi="宋体" w:eastAsia="宋体" w:cs="宋体"/>
                <w:color w:val="auto"/>
                <w:highlight w:val="none"/>
              </w:rPr>
              <w:t>-</w:t>
            </w:r>
          </w:p>
        </w:tc>
      </w:tr>
      <w:tr>
        <w:tblPrEx>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Ex>
        <w:trPr>
          <w:trHeight w:val="385" w:hRule="atLeast"/>
          <w:jc w:val="center"/>
        </w:trPr>
        <w:tc>
          <w:tcPr>
            <w:tcW w:w="2647" w:type="dxa"/>
            <w:noWrap/>
          </w:tcPr>
          <w:p>
            <w:pPr>
              <w:ind w:firstLine="0" w:firstLineChars="0"/>
              <w:rPr>
                <w:rFonts w:ascii="宋体" w:hAnsi="宋体" w:cs="宋体"/>
                <w:color w:val="auto"/>
                <w:highlight w:val="none"/>
              </w:rPr>
            </w:pPr>
            <w:r>
              <w:rPr>
                <w:rFonts w:hint="eastAsia" w:ascii="宋体" w:hAnsi="宋体" w:cs="宋体"/>
                <w:color w:val="auto"/>
                <w:highlight w:val="none"/>
              </w:rPr>
              <w:t>地上基础设施普查数据（部件）</w:t>
            </w:r>
          </w:p>
        </w:tc>
        <w:tc>
          <w:tcPr>
            <w:tcW w:w="1593" w:type="dxa"/>
            <w:noWrap/>
          </w:tcPr>
          <w:p>
            <w:pPr>
              <w:ind w:firstLine="0" w:firstLineChars="0"/>
              <w:rPr>
                <w:rFonts w:ascii="宋体" w:hAnsi="宋体" w:cs="宋体"/>
                <w:color w:val="auto"/>
                <w:highlight w:val="none"/>
              </w:rPr>
            </w:pPr>
            <w:r>
              <w:rPr>
                <w:rFonts w:hint="eastAsia" w:ascii="宋体" w:hAnsi="宋体" w:cs="宋体"/>
                <w:color w:val="auto"/>
                <w:highlight w:val="none"/>
              </w:rPr>
              <w:t>40平方公里</w:t>
            </w:r>
          </w:p>
        </w:tc>
        <w:tc>
          <w:tcPr>
            <w:tcW w:w="2011" w:type="dxa"/>
          </w:tcPr>
          <w:p>
            <w:pPr>
              <w:ind w:firstLine="0" w:firstLineChars="0"/>
              <w:rPr>
                <w:rFonts w:ascii="宋体" w:hAnsi="宋体" w:cs="宋体"/>
                <w:color w:val="auto"/>
                <w:highlight w:val="none"/>
              </w:rPr>
            </w:pPr>
            <w:r>
              <w:rPr>
                <w:rFonts w:hint="eastAsia" w:ascii="宋体" w:hAnsi="宋体" w:cs="宋体"/>
                <w:color w:val="auto"/>
                <w:highlight w:val="none"/>
              </w:rPr>
              <w:t>.SHP</w:t>
            </w:r>
          </w:p>
        </w:tc>
        <w:tc>
          <w:tcPr>
            <w:tcW w:w="2177" w:type="dxa"/>
          </w:tcPr>
          <w:p>
            <w:pPr>
              <w:ind w:firstLine="0" w:firstLineChars="0"/>
              <w:rPr>
                <w:rFonts w:ascii="宋体" w:hAnsi="宋体" w:cs="宋体"/>
                <w:color w:val="auto"/>
                <w:highlight w:val="none"/>
              </w:rPr>
            </w:pPr>
            <w:r>
              <w:rPr>
                <w:rFonts w:hint="eastAsia" w:ascii="宋体" w:hAnsi="宋体" w:cs="宋体"/>
                <w:color w:val="auto"/>
                <w:highlight w:val="none"/>
              </w:rPr>
              <w:t>定位精度小于5CM</w:t>
            </w:r>
          </w:p>
        </w:tc>
        <w:tc>
          <w:tcPr>
            <w:tcW w:w="737" w:type="dxa"/>
            <w:noWrap/>
          </w:tcPr>
          <w:p>
            <w:pPr>
              <w:pStyle w:val="97"/>
              <w:ind w:firstLine="420"/>
              <w:rPr>
                <w:rFonts w:ascii="宋体" w:hAnsi="宋体" w:eastAsia="宋体" w:cs="宋体"/>
                <w:color w:val="auto"/>
                <w:highlight w:val="none"/>
              </w:rPr>
            </w:pPr>
            <w:r>
              <w:rPr>
                <w:rFonts w:hint="eastAsia" w:ascii="宋体" w:hAnsi="宋体" w:eastAsia="宋体" w:cs="宋体"/>
                <w:color w:val="auto"/>
                <w:highlight w:val="none"/>
              </w:rPr>
              <w:t>-</w:t>
            </w:r>
          </w:p>
        </w:tc>
      </w:tr>
    </w:tbl>
    <w:p>
      <w:pPr>
        <w:numPr>
          <w:ilvl w:val="0"/>
          <w:numId w:val="12"/>
        </w:numPr>
        <w:ind w:firstLineChars="0"/>
        <w:rPr>
          <w:rFonts w:ascii="宋体" w:hAnsi="宋体" w:cs="宋体"/>
          <w:color w:val="auto"/>
          <w:highlight w:val="none"/>
        </w:rPr>
      </w:pPr>
      <w:r>
        <w:rPr>
          <w:rFonts w:hint="eastAsia" w:ascii="宋体" w:hAnsi="宋体" w:cs="宋体"/>
          <w:color w:val="auto"/>
          <w:highlight w:val="none"/>
        </w:rPr>
        <w:t>园区三维倾斜摄影数据采集（52.6平方公里）</w:t>
      </w:r>
    </w:p>
    <w:p>
      <w:pPr>
        <w:ind w:firstLine="420"/>
        <w:rPr>
          <w:rFonts w:ascii="宋体" w:hAnsi="宋体" w:cs="宋体"/>
          <w:color w:val="auto"/>
          <w:highlight w:val="none"/>
        </w:rPr>
      </w:pPr>
      <w:r>
        <w:rPr>
          <w:rFonts w:hint="eastAsia" w:ascii="宋体" w:hAnsi="宋体" w:cs="宋体"/>
          <w:color w:val="auto"/>
          <w:highlight w:val="none"/>
        </w:rPr>
        <w:drawing>
          <wp:inline distT="0" distB="0" distL="0" distR="0">
            <wp:extent cx="4105275" cy="31337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105275" cy="3133725"/>
                    </a:xfrm>
                    <a:prstGeom prst="rect">
                      <a:avLst/>
                    </a:prstGeom>
                    <a:noFill/>
                    <a:ln>
                      <a:noFill/>
                    </a:ln>
                  </pic:spPr>
                </pic:pic>
              </a:graphicData>
            </a:graphic>
          </wp:inline>
        </w:drawing>
      </w:r>
    </w:p>
    <w:p>
      <w:pPr>
        <w:ind w:firstLine="420"/>
        <w:rPr>
          <w:rFonts w:ascii="宋体" w:hAnsi="宋体" w:cs="宋体"/>
          <w:color w:val="auto"/>
          <w:highlight w:val="none"/>
        </w:rPr>
      </w:pPr>
      <w:r>
        <w:rPr>
          <w:rFonts w:hint="eastAsia" w:ascii="宋体" w:hAnsi="宋体" w:cs="宋体"/>
          <w:color w:val="auto"/>
          <w:highlight w:val="none"/>
        </w:rPr>
        <w:t>技术指标要求：</w:t>
      </w:r>
    </w:p>
    <w:p>
      <w:pPr>
        <w:numPr>
          <w:ilvl w:val="0"/>
          <w:numId w:val="11"/>
        </w:numPr>
        <w:ind w:firstLineChars="0"/>
        <w:rPr>
          <w:rFonts w:ascii="宋体" w:hAnsi="宋体" w:cs="宋体"/>
          <w:color w:val="auto"/>
          <w:highlight w:val="none"/>
        </w:rPr>
      </w:pPr>
      <w:r>
        <w:rPr>
          <w:rFonts w:hint="eastAsia" w:ascii="宋体" w:hAnsi="宋体" w:cs="宋体"/>
          <w:color w:val="auto"/>
          <w:highlight w:val="none"/>
        </w:rPr>
        <w:t>坐标高程体系及技术指标要求</w:t>
      </w:r>
    </w:p>
    <w:p>
      <w:pPr>
        <w:pStyle w:val="69"/>
        <w:numPr>
          <w:ilvl w:val="0"/>
          <w:numId w:val="0"/>
        </w:numPr>
        <w:ind w:firstLine="420" w:firstLineChars="200"/>
        <w:rPr>
          <w:rFonts w:ascii="宋体" w:hAnsi="宋体" w:eastAsia="宋体" w:cs="宋体"/>
          <w:color w:val="auto"/>
          <w:highlight w:val="none"/>
        </w:rPr>
      </w:pPr>
      <w:r>
        <w:rPr>
          <w:rFonts w:hint="eastAsia" w:ascii="宋体" w:hAnsi="宋体" w:eastAsia="宋体" w:cs="宋体"/>
          <w:color w:val="auto"/>
          <w:highlight w:val="none"/>
        </w:rPr>
        <w:t>地理坐标系统：统一采用2000国家大地坐标系，如采用其他国家坐标系统或地方坐标系统，应与2000国家大地坐标系统联测并建立转换关系；</w:t>
      </w:r>
    </w:p>
    <w:p>
      <w:pPr>
        <w:pStyle w:val="69"/>
        <w:numPr>
          <w:ilvl w:val="0"/>
          <w:numId w:val="0"/>
        </w:numPr>
        <w:ind w:firstLine="420" w:firstLineChars="200"/>
        <w:rPr>
          <w:rFonts w:ascii="宋体" w:hAnsi="宋体" w:eastAsia="宋体" w:cs="宋体"/>
          <w:color w:val="auto"/>
          <w:highlight w:val="none"/>
        </w:rPr>
      </w:pPr>
      <w:r>
        <w:rPr>
          <w:rFonts w:hint="eastAsia" w:ascii="宋体" w:hAnsi="宋体" w:eastAsia="宋体" w:cs="宋体"/>
          <w:color w:val="auto"/>
          <w:highlight w:val="none"/>
        </w:rPr>
        <w:t>高程基准：采用1985国家高程基准地图投影采用高斯—克吕格投影，按3度分带，投影带的中央经线与赤道的交点向西平移500千米后的点为坐标原点，平面坐标单位采用“米；</w:t>
      </w:r>
    </w:p>
    <w:p>
      <w:pPr>
        <w:pStyle w:val="69"/>
        <w:numPr>
          <w:ilvl w:val="0"/>
          <w:numId w:val="0"/>
        </w:numPr>
        <w:ind w:left="420"/>
        <w:rPr>
          <w:rFonts w:ascii="宋体" w:hAnsi="宋体" w:eastAsia="宋体" w:cs="宋体"/>
          <w:color w:val="auto"/>
          <w:highlight w:val="none"/>
        </w:rPr>
      </w:pPr>
      <w:r>
        <w:rPr>
          <w:rFonts w:hint="eastAsia" w:ascii="宋体" w:hAnsi="宋体" w:eastAsia="宋体" w:cs="宋体"/>
          <w:color w:val="auto"/>
          <w:highlight w:val="none"/>
        </w:rPr>
        <w:t>高程系统采用1985国家高程基准，高程系统为正常高；高程值单位为“米”。</w:t>
      </w:r>
    </w:p>
    <w:p>
      <w:pPr>
        <w:numPr>
          <w:ilvl w:val="0"/>
          <w:numId w:val="11"/>
        </w:numPr>
        <w:ind w:firstLineChars="0"/>
        <w:rPr>
          <w:rFonts w:ascii="宋体" w:hAnsi="宋体" w:cs="宋体"/>
          <w:color w:val="auto"/>
          <w:highlight w:val="none"/>
        </w:rPr>
      </w:pPr>
      <w:r>
        <w:rPr>
          <w:rFonts w:hint="eastAsia" w:ascii="宋体" w:hAnsi="宋体" w:cs="宋体"/>
          <w:color w:val="auto"/>
          <w:highlight w:val="none"/>
        </w:rPr>
        <w:t>精度要求</w:t>
      </w:r>
    </w:p>
    <w:p>
      <w:pPr>
        <w:ind w:firstLine="420"/>
        <w:rPr>
          <w:rFonts w:ascii="宋体" w:hAnsi="宋体" w:cs="宋体"/>
          <w:color w:val="auto"/>
          <w:highlight w:val="none"/>
        </w:rPr>
      </w:pPr>
      <w:r>
        <w:rPr>
          <w:rFonts w:hint="eastAsia" w:ascii="宋体" w:hAnsi="宋体" w:cs="宋体"/>
          <w:color w:val="auto"/>
          <w:highlight w:val="none"/>
        </w:rPr>
        <w:t>项目区域倾斜摄影航片分辨率应优于0.02米。</w:t>
      </w:r>
    </w:p>
    <w:p>
      <w:pPr>
        <w:numPr>
          <w:ilvl w:val="0"/>
          <w:numId w:val="11"/>
        </w:numPr>
        <w:ind w:firstLineChars="0"/>
        <w:rPr>
          <w:rFonts w:ascii="宋体" w:hAnsi="宋体" w:cs="宋体"/>
          <w:color w:val="auto"/>
          <w:highlight w:val="none"/>
        </w:rPr>
      </w:pPr>
      <w:r>
        <w:rPr>
          <w:rFonts w:hint="eastAsia" w:ascii="宋体" w:hAnsi="宋体" w:cs="宋体"/>
          <w:color w:val="auto"/>
          <w:highlight w:val="none"/>
        </w:rPr>
        <w:t>模型精度</w:t>
      </w:r>
    </w:p>
    <w:p>
      <w:pPr>
        <w:ind w:firstLine="420"/>
        <w:rPr>
          <w:rFonts w:ascii="宋体" w:hAnsi="宋体" w:cs="宋体"/>
          <w:color w:val="auto"/>
          <w:highlight w:val="none"/>
        </w:rPr>
      </w:pPr>
      <w:r>
        <w:rPr>
          <w:rFonts w:hint="eastAsia" w:ascii="宋体" w:hAnsi="宋体" w:cs="宋体"/>
          <w:color w:val="auto"/>
          <w:highlight w:val="none"/>
        </w:rPr>
        <w:t>实景三维地图建筑顶部、道路铺装等特征点相对邻近控制点的平面位置中误差应当小于±0.09米，高程中误差应当小于±0.1米，阴影、摄影死角、隐蔽等特殊困难地区可放宽50%。</w:t>
      </w:r>
    </w:p>
    <w:p>
      <w:pPr>
        <w:numPr>
          <w:ilvl w:val="0"/>
          <w:numId w:val="13"/>
        </w:numPr>
        <w:ind w:firstLineChars="0"/>
        <w:rPr>
          <w:rFonts w:ascii="宋体" w:hAnsi="宋体" w:cs="宋体"/>
          <w:color w:val="auto"/>
          <w:highlight w:val="none"/>
        </w:rPr>
      </w:pPr>
      <w:r>
        <w:rPr>
          <w:rFonts w:hint="eastAsia" w:ascii="宋体" w:hAnsi="宋体" w:cs="宋体"/>
          <w:color w:val="auto"/>
          <w:highlight w:val="none"/>
        </w:rPr>
        <w:t>DEM和DOM生产（52.6平方公里1:500）</w:t>
      </w:r>
    </w:p>
    <w:p>
      <w:pPr>
        <w:numPr>
          <w:ilvl w:val="0"/>
          <w:numId w:val="11"/>
        </w:numPr>
        <w:ind w:firstLine="420"/>
        <w:rPr>
          <w:rFonts w:ascii="宋体" w:hAnsi="宋体" w:cs="宋体"/>
          <w:color w:val="auto"/>
          <w:highlight w:val="none"/>
        </w:rPr>
      </w:pPr>
      <w:r>
        <w:rPr>
          <w:rFonts w:hint="eastAsia" w:ascii="宋体" w:hAnsi="宋体" w:cs="宋体"/>
          <w:color w:val="auto"/>
          <w:highlight w:val="none"/>
        </w:rPr>
        <w:t>数据采集</w:t>
      </w:r>
    </w:p>
    <w:p>
      <w:pPr>
        <w:pStyle w:val="69"/>
        <w:numPr>
          <w:ilvl w:val="0"/>
          <w:numId w:val="0"/>
        </w:numPr>
        <w:ind w:firstLine="420" w:firstLineChars="200"/>
        <w:rPr>
          <w:rFonts w:ascii="宋体" w:hAnsi="宋体" w:eastAsia="宋体" w:cs="宋体"/>
          <w:color w:val="auto"/>
          <w:highlight w:val="none"/>
        </w:rPr>
      </w:pPr>
      <w:r>
        <w:rPr>
          <w:rFonts w:hint="eastAsia" w:ascii="宋体" w:hAnsi="宋体" w:eastAsia="宋体" w:cs="宋体"/>
          <w:color w:val="auto"/>
          <w:highlight w:val="none"/>
        </w:rPr>
        <w:t>对于无数据水域，需要对池塘、湖泊等静止水面补充采集水面线，对于植被密集区域拟合内插地面点。利用分类准确的地面点数据（Ground）及采集的水面线内插DEM。直接输出测区内整体DOM数据（无需进行接边），并对DOM中出现的水面破洞进行修饰。</w:t>
      </w:r>
    </w:p>
    <w:p>
      <w:pPr>
        <w:numPr>
          <w:ilvl w:val="0"/>
          <w:numId w:val="11"/>
        </w:numPr>
        <w:ind w:firstLine="420"/>
        <w:rPr>
          <w:rFonts w:ascii="宋体" w:hAnsi="宋体" w:cs="宋体"/>
          <w:color w:val="auto"/>
          <w:highlight w:val="none"/>
        </w:rPr>
      </w:pPr>
      <w:r>
        <w:rPr>
          <w:rFonts w:hint="eastAsia" w:ascii="宋体" w:hAnsi="宋体" w:cs="宋体"/>
          <w:color w:val="auto"/>
          <w:highlight w:val="none"/>
        </w:rPr>
        <w:t>1:500 DOM、DEM制作</w:t>
      </w:r>
    </w:p>
    <w:p>
      <w:pPr>
        <w:ind w:firstLine="420"/>
        <w:rPr>
          <w:rFonts w:ascii="宋体" w:hAnsi="宋体" w:cs="宋体"/>
          <w:color w:val="auto"/>
          <w:highlight w:val="none"/>
        </w:rPr>
      </w:pPr>
      <w:r>
        <w:rPr>
          <w:rFonts w:hint="eastAsia" w:ascii="宋体" w:hAnsi="宋体" w:cs="宋体"/>
          <w:color w:val="auto"/>
          <w:highlight w:val="none"/>
        </w:rPr>
        <w:t>直接利用实景三维模型数据输出TDOM数据，对空三分开区域进行接边处理。</w:t>
      </w:r>
    </w:p>
    <w:p>
      <w:pPr>
        <w:ind w:firstLine="420"/>
        <w:rPr>
          <w:rFonts w:ascii="宋体" w:hAnsi="宋体" w:cs="宋体"/>
          <w:color w:val="auto"/>
          <w:highlight w:val="none"/>
        </w:rPr>
      </w:pPr>
      <w:r>
        <w:rPr>
          <w:rFonts w:hint="eastAsia" w:ascii="宋体" w:hAnsi="宋体" w:cs="宋体"/>
          <w:color w:val="auto"/>
          <w:highlight w:val="none"/>
        </w:rPr>
        <w:t>直接利用实景三维模型数据输出1:500 DEM数据。</w:t>
      </w:r>
    </w:p>
    <w:p>
      <w:pPr>
        <w:numPr>
          <w:ilvl w:val="0"/>
          <w:numId w:val="11"/>
        </w:numPr>
        <w:ind w:firstLine="420"/>
        <w:rPr>
          <w:rFonts w:ascii="宋体" w:hAnsi="宋体" w:cs="宋体"/>
          <w:color w:val="auto"/>
          <w:highlight w:val="none"/>
        </w:rPr>
      </w:pPr>
      <w:r>
        <w:rPr>
          <w:rFonts w:hint="eastAsia" w:ascii="宋体" w:hAnsi="宋体" w:cs="宋体"/>
          <w:color w:val="auto"/>
          <w:highlight w:val="none"/>
        </w:rPr>
        <w:t>模型质量</w:t>
      </w:r>
    </w:p>
    <w:p>
      <w:pPr>
        <w:pStyle w:val="2"/>
        <w:ind w:firstLine="420"/>
        <w:rPr>
          <w:rFonts w:ascii="宋体" w:hAnsi="宋体" w:eastAsia="宋体" w:cs="宋体"/>
          <w:color w:val="auto"/>
          <w:highlight w:val="none"/>
        </w:rPr>
      </w:pPr>
      <w:r>
        <w:rPr>
          <w:rFonts w:hint="eastAsia" w:ascii="宋体" w:hAnsi="宋体" w:eastAsia="宋体" w:cs="宋体"/>
          <w:color w:val="auto"/>
          <w:sz w:val="21"/>
          <w:highlight w:val="none"/>
        </w:rPr>
        <w:t>实景模型要求结构、纹理完整。模型表面纹理颜色均匀，明暗合理。建筑物模型数据不应出现露面、镂空、黑洞等现象，保证模型的完整性。生成的建筑物模型应对产生的噪声、漏洞进行人工干预、修改，保持建筑物模型完整、棱角分明、结构清晰准确，各立面平整。水面必须通过压平处理，保证水面没有破洞。植被整体轮廓清晰自然，道路平整真实自然。三维数据应以所见即所得的方式真实反映园区原貌，所有地形、地物形状都是真实的。</w:t>
      </w:r>
    </w:p>
    <w:p>
      <w:pPr>
        <w:numPr>
          <w:ilvl w:val="0"/>
          <w:numId w:val="13"/>
        </w:numPr>
        <w:ind w:firstLineChars="0"/>
        <w:rPr>
          <w:rFonts w:ascii="宋体" w:hAnsi="宋体" w:cs="宋体"/>
          <w:color w:val="auto"/>
          <w:highlight w:val="none"/>
        </w:rPr>
      </w:pPr>
      <w:r>
        <w:rPr>
          <w:rFonts w:hint="eastAsia" w:ascii="宋体" w:hAnsi="宋体" w:cs="宋体"/>
          <w:color w:val="auto"/>
          <w:highlight w:val="none"/>
        </w:rPr>
        <w:t>地上基础设施普查（40平方公里）</w:t>
      </w:r>
    </w:p>
    <w:p>
      <w:pPr>
        <w:ind w:firstLine="420"/>
        <w:rPr>
          <w:rFonts w:ascii="宋体" w:hAnsi="宋体" w:cs="宋体"/>
          <w:color w:val="auto"/>
          <w:highlight w:val="none"/>
        </w:rPr>
      </w:pPr>
      <w:r>
        <w:rPr>
          <w:rFonts w:hint="eastAsia" w:ascii="宋体" w:hAnsi="宋体" w:cs="宋体"/>
          <w:color w:val="auto"/>
          <w:highlight w:val="none"/>
        </w:rPr>
        <w:t>根据《数字化城市管理信息系统第2部分：管理部件和事件》（GB/T30428.2-2013），部件普查的对象为园区管理公共区域内的各项市政工程设施与市政公用设施，包括公用设施、交通设施、市容环境设施、园林绿化设施和其他部件等。</w:t>
      </w:r>
    </w:p>
    <w:p>
      <w:pPr>
        <w:pStyle w:val="2"/>
        <w:ind w:firstLine="420"/>
        <w:rPr>
          <w:rFonts w:ascii="宋体" w:hAnsi="宋体" w:eastAsia="宋体" w:cs="宋体"/>
          <w:color w:val="auto"/>
          <w:highlight w:val="none"/>
        </w:rPr>
      </w:pPr>
      <w:r>
        <w:rPr>
          <w:rFonts w:hint="eastAsia" w:ascii="宋体" w:hAnsi="宋体" w:eastAsia="宋体" w:cs="宋体"/>
          <w:color w:val="auto"/>
          <w:sz w:val="21"/>
          <w:highlight w:val="none"/>
        </w:rPr>
        <w:t>通过调查部件的空间位置、实际位置描述及管理属性，根据有关技术规范要求建立部件数据库，并对管理部件进行三维精细化建模。部件普查的内容包括对部件属性信息（基本属性和附加属性）的调查采集和对部件进行测绘定位。部件的基本属性包括标识码、名称、专业部门（主管部门、权属单位、养护单位）、所在单元网格、状态、初始日期、变更日期、数据来源等；部件的附加属性是根据行业特点和专业需要增加的属性项。部件的测绘定位要根据建设部对各类部件的定位精度要求，通过现场测绘，获取部件的空间位置信息。</w:t>
      </w:r>
      <w:r>
        <w:rPr>
          <w:rFonts w:hint="eastAsia" w:ascii="宋体" w:hAnsi="宋体" w:eastAsia="宋体" w:cs="宋体"/>
          <w:color w:val="auto"/>
          <w:sz w:val="21"/>
          <w:highlight w:val="none"/>
        </w:rPr>
        <w:t>测绘服务供应商需具备测绘乙级及以上资质。</w:t>
      </w:r>
    </w:p>
    <w:p>
      <w:pPr>
        <w:pStyle w:val="5"/>
        <w:ind w:firstLine="422"/>
        <w:rPr>
          <w:rFonts w:ascii="宋体" w:hAnsi="宋体" w:cs="宋体"/>
          <w:color w:val="auto"/>
          <w:highlight w:val="none"/>
        </w:rPr>
      </w:pPr>
      <w:bookmarkStart w:id="1622" w:name="_Toc26384"/>
      <w:bookmarkStart w:id="1623" w:name="_Toc13804"/>
      <w:bookmarkStart w:id="1624" w:name="_Toc11743"/>
      <w:bookmarkStart w:id="1625" w:name="_Toc17601"/>
      <w:bookmarkStart w:id="1626" w:name="_Toc476"/>
      <w:bookmarkStart w:id="1627" w:name="_Toc28630"/>
      <w:r>
        <w:rPr>
          <w:rFonts w:hint="eastAsia" w:ascii="宋体" w:hAnsi="宋体" w:cs="宋体"/>
          <w:color w:val="auto"/>
          <w:highlight w:val="none"/>
        </w:rPr>
        <w:t>园区大脑</w:t>
      </w:r>
      <w:bookmarkEnd w:id="1622"/>
      <w:bookmarkEnd w:id="1623"/>
      <w:bookmarkEnd w:id="1624"/>
      <w:bookmarkEnd w:id="1625"/>
      <w:bookmarkEnd w:id="1626"/>
      <w:bookmarkEnd w:id="1627"/>
    </w:p>
    <w:p>
      <w:pPr>
        <w:pStyle w:val="7"/>
        <w:ind w:firstLine="422"/>
        <w:rPr>
          <w:rFonts w:ascii="宋体" w:hAnsi="宋体" w:cs="宋体"/>
          <w:color w:val="auto"/>
          <w:highlight w:val="none"/>
        </w:rPr>
      </w:pPr>
      <w:r>
        <w:rPr>
          <w:rFonts w:hint="eastAsia" w:ascii="宋体" w:hAnsi="宋体" w:cs="宋体"/>
          <w:color w:val="auto"/>
          <w:highlight w:val="none"/>
        </w:rPr>
        <w:t>园区驾驶舱</w:t>
      </w:r>
    </w:p>
    <w:p>
      <w:pPr>
        <w:ind w:firstLine="420"/>
        <w:rPr>
          <w:rFonts w:ascii="宋体" w:hAnsi="宋体" w:cs="宋体"/>
          <w:color w:val="auto"/>
          <w:highlight w:val="none"/>
        </w:rPr>
      </w:pPr>
      <w:r>
        <w:rPr>
          <w:rFonts w:hint="eastAsia" w:ascii="宋体" w:hAnsi="宋体" w:cs="宋体"/>
          <w:color w:val="auto"/>
          <w:highlight w:val="none"/>
        </w:rPr>
        <w:t>智慧运营中心统一入口，集成各业务子系统，并根据场景、用户角色，提供统一的入口和作业平台。建立从运营状态可视、业务分析&amp;预警、辅助决策执行的能力，并融合园区应用，提供用户统一入口，实现园区的可视、可管、可控。</w:t>
      </w:r>
    </w:p>
    <w:p>
      <w:pPr>
        <w:numPr>
          <w:ilvl w:val="0"/>
          <w:numId w:val="14"/>
        </w:numPr>
        <w:tabs>
          <w:tab w:val="left" w:pos="1019"/>
        </w:tabs>
        <w:ind w:firstLineChars="0"/>
        <w:rPr>
          <w:rFonts w:ascii="宋体" w:hAnsi="宋体" w:cs="宋体"/>
          <w:color w:val="auto"/>
          <w:highlight w:val="none"/>
        </w:rPr>
      </w:pPr>
      <w:r>
        <w:rPr>
          <w:rFonts w:hint="eastAsia" w:ascii="宋体" w:hAnsi="宋体" w:cs="宋体"/>
          <w:color w:val="auto"/>
          <w:highlight w:val="none"/>
        </w:rPr>
        <w:t>安全生产一张图</w:t>
      </w:r>
    </w:p>
    <w:p>
      <w:pPr>
        <w:ind w:firstLine="420"/>
        <w:rPr>
          <w:rFonts w:ascii="宋体" w:hAnsi="宋体" w:cs="宋体"/>
          <w:color w:val="auto"/>
          <w:highlight w:val="none"/>
        </w:rPr>
      </w:pPr>
      <w:r>
        <w:rPr>
          <w:rFonts w:hint="eastAsia" w:ascii="宋体" w:hAnsi="宋体" w:cs="宋体"/>
          <w:color w:val="auto"/>
          <w:highlight w:val="none"/>
        </w:rPr>
        <w:t>综合运用地图、报表、视频等多媒体展示方式，对园区的两重点一重大、安全风险指数地图、隐患及人员分布图、特殊危险作业许可等情况以直观生动的方式呈现，实现园区安全生产日常监管的网络化、数字化，通过安全生产一张图，可直观了解园区安全态势，便于决策部署，提升园区安全水平。支持“钻取式查询”，实现对指标的逐层细化、深化分析，将数据形象化、直观化、具体化。主要功能点包含：两重点一重大、安全风险指数、安全风险地图、危险作业地图、隐患分布图、人员分布图。</w:t>
      </w:r>
    </w:p>
    <w:p>
      <w:pPr>
        <w:numPr>
          <w:ilvl w:val="0"/>
          <w:numId w:val="15"/>
        </w:numPr>
        <w:ind w:firstLineChars="0"/>
        <w:rPr>
          <w:rFonts w:ascii="宋体" w:hAnsi="宋体" w:cs="宋体"/>
          <w:color w:val="auto"/>
          <w:highlight w:val="none"/>
        </w:rPr>
      </w:pPr>
      <w:r>
        <w:rPr>
          <w:rFonts w:hint="eastAsia" w:ascii="宋体" w:hAnsi="宋体" w:cs="宋体"/>
          <w:color w:val="auto"/>
          <w:highlight w:val="none"/>
        </w:rPr>
        <w:t>应急资源一张图</w:t>
      </w:r>
    </w:p>
    <w:p>
      <w:pPr>
        <w:ind w:firstLine="420"/>
        <w:rPr>
          <w:rFonts w:ascii="宋体" w:hAnsi="宋体" w:cs="宋体"/>
          <w:color w:val="auto"/>
          <w:highlight w:val="none"/>
        </w:rPr>
      </w:pPr>
      <w:r>
        <w:rPr>
          <w:rFonts w:hint="eastAsia" w:ascii="宋体" w:hAnsi="宋体" w:cs="宋体"/>
          <w:color w:val="auto"/>
          <w:highlight w:val="none"/>
        </w:rPr>
        <w:t>应急资源一张图，以GIS为核心，通过对事件应急中地理信息、环境信息、事件态势信息、人员处置动态信息等关键要素的抽取，形成应急处置全貌，辅助领导掌握事件动态，进行精准指挥调度；畅通信息渠道，各应急处置专项部门可快速了解应急态势全貌，提升协作处置效率。结合监测预警对风险产生全过程的严密监控，集突发事件现场监测监控、智能方案、指挥调度、模型模拟、沙盘推演、专家会商等手段融于一身，贯穿应急事前、事中、事后的全过程，做到事前超前预警、事中高效处置、事后救援恢复。主要功能包含：应急事件监控、自定义管控区域划分展示、应急资源动态、紧急出口点位图、危险源动态、环保指标动态、视频监控、重点工艺流程。</w:t>
      </w:r>
    </w:p>
    <w:p>
      <w:pPr>
        <w:pStyle w:val="7"/>
        <w:ind w:firstLine="422"/>
        <w:rPr>
          <w:rFonts w:ascii="宋体" w:hAnsi="宋体" w:cs="宋体"/>
          <w:color w:val="auto"/>
          <w:highlight w:val="none"/>
        </w:rPr>
      </w:pPr>
      <w:r>
        <w:rPr>
          <w:rFonts w:hint="eastAsia" w:ascii="宋体" w:hAnsi="宋体" w:cs="宋体"/>
          <w:color w:val="auto"/>
          <w:highlight w:val="none"/>
        </w:rPr>
        <w:t>园区画像</w:t>
      </w:r>
    </w:p>
    <w:p>
      <w:pPr>
        <w:numPr>
          <w:ilvl w:val="0"/>
          <w:numId w:val="16"/>
        </w:numPr>
        <w:ind w:firstLineChars="0"/>
        <w:rPr>
          <w:rFonts w:ascii="宋体" w:hAnsi="宋体" w:cs="宋体"/>
          <w:color w:val="auto"/>
          <w:highlight w:val="none"/>
        </w:rPr>
      </w:pPr>
      <w:r>
        <w:rPr>
          <w:rFonts w:hint="eastAsia" w:ascii="宋体" w:hAnsi="宋体" w:cs="宋体"/>
          <w:color w:val="auto"/>
          <w:highlight w:val="none"/>
        </w:rPr>
        <w:t>园区档案</w:t>
      </w:r>
    </w:p>
    <w:p>
      <w:pPr>
        <w:ind w:firstLine="420"/>
        <w:rPr>
          <w:rFonts w:ascii="宋体" w:hAnsi="宋体" w:cs="宋体"/>
          <w:color w:val="auto"/>
          <w:highlight w:val="none"/>
        </w:rPr>
      </w:pPr>
      <w:r>
        <w:rPr>
          <w:rFonts w:hint="eastAsia" w:ascii="宋体" w:hAnsi="宋体" w:cs="宋体"/>
          <w:color w:val="auto"/>
          <w:highlight w:val="none"/>
        </w:rPr>
        <w:t>园区基本信息、机构、设施等数据的维护，实现园区信息的动态更新和展示查询。</w:t>
      </w:r>
    </w:p>
    <w:p>
      <w:pPr>
        <w:numPr>
          <w:ilvl w:val="0"/>
          <w:numId w:val="16"/>
        </w:numPr>
        <w:ind w:firstLineChars="0"/>
        <w:rPr>
          <w:rFonts w:ascii="宋体" w:hAnsi="宋体" w:cs="宋体"/>
          <w:color w:val="auto"/>
          <w:highlight w:val="none"/>
        </w:rPr>
      </w:pPr>
      <w:r>
        <w:rPr>
          <w:rFonts w:hint="eastAsia" w:ascii="宋体" w:hAnsi="宋体" w:cs="宋体"/>
          <w:color w:val="auto"/>
          <w:highlight w:val="none"/>
        </w:rPr>
        <w:t>园区知识库</w:t>
      </w:r>
    </w:p>
    <w:p>
      <w:pPr>
        <w:ind w:firstLine="420"/>
        <w:rPr>
          <w:rFonts w:ascii="宋体" w:hAnsi="宋体" w:cs="宋体"/>
          <w:color w:val="auto"/>
          <w:highlight w:val="none"/>
        </w:rPr>
      </w:pPr>
      <w:r>
        <w:rPr>
          <w:rFonts w:hint="eastAsia" w:ascii="宋体" w:hAnsi="宋体" w:cs="宋体"/>
          <w:color w:val="auto"/>
          <w:highlight w:val="none"/>
        </w:rPr>
        <w:t>实现对配套服务相关政策法规的发布，包括各级政府的政策，并发布政府职能部门的法规和管理条例。存储行业相关的法律法规、标准规范，以及其它重要文件、MSDS库和典型事故案例库等安全基础信息。</w:t>
      </w:r>
    </w:p>
    <w:p>
      <w:pPr>
        <w:numPr>
          <w:ilvl w:val="0"/>
          <w:numId w:val="16"/>
        </w:numPr>
        <w:ind w:firstLineChars="0"/>
        <w:rPr>
          <w:rFonts w:ascii="宋体" w:hAnsi="宋体" w:cs="宋体"/>
          <w:color w:val="auto"/>
          <w:highlight w:val="none"/>
        </w:rPr>
      </w:pPr>
      <w:r>
        <w:rPr>
          <w:rFonts w:hint="eastAsia" w:ascii="宋体" w:hAnsi="宋体" w:cs="宋体"/>
          <w:color w:val="auto"/>
          <w:highlight w:val="none"/>
        </w:rPr>
        <w:t>一企一档</w:t>
      </w:r>
    </w:p>
    <w:p>
      <w:pPr>
        <w:ind w:firstLine="420"/>
        <w:rPr>
          <w:rFonts w:ascii="宋体" w:hAnsi="宋体" w:cs="宋体"/>
          <w:color w:val="auto"/>
          <w:highlight w:val="none"/>
        </w:rPr>
      </w:pPr>
      <w:r>
        <w:rPr>
          <w:rFonts w:hint="eastAsia" w:ascii="宋体" w:hAnsi="宋体" w:cs="宋体"/>
          <w:color w:val="auto"/>
          <w:highlight w:val="none"/>
        </w:rPr>
        <w:t>通过为</w:t>
      </w:r>
      <w:bookmarkStart w:id="1628" w:name="_Hlk48293745"/>
      <w:r>
        <w:rPr>
          <w:rFonts w:hint="eastAsia" w:ascii="宋体" w:hAnsi="宋体" w:cs="宋体"/>
          <w:color w:val="auto"/>
          <w:highlight w:val="none"/>
        </w:rPr>
        <w:t>安全生产</w:t>
      </w:r>
      <w:bookmarkEnd w:id="1628"/>
      <w:r>
        <w:rPr>
          <w:rFonts w:hint="eastAsia" w:ascii="宋体" w:hAnsi="宋体" w:cs="宋体"/>
          <w:color w:val="auto"/>
          <w:highlight w:val="none"/>
        </w:rPr>
        <w:t>重点企业建立档案，详细了解企安全生产基本信息，掌握企业风险，有助于个性化的定制企业突发事件应急处置策略，保证企业安全生产运行。按照规范化、标准化管理企业所有相关安全信息档案，实现企业信息“一表清”，便于企业登记报送与管理企业安全档案，又满足监管部门全面了解企业安全档案的需要。同时系统可向上对接应急局安全生产风险防控软件，避免企业重复录入。</w:t>
      </w:r>
    </w:p>
    <w:p>
      <w:pPr>
        <w:pStyle w:val="5"/>
        <w:ind w:firstLine="422"/>
        <w:rPr>
          <w:rFonts w:ascii="宋体" w:hAnsi="宋体" w:cs="宋体"/>
          <w:color w:val="auto"/>
          <w:highlight w:val="none"/>
        </w:rPr>
      </w:pPr>
      <w:bookmarkStart w:id="1629" w:name="_Toc8672"/>
      <w:bookmarkStart w:id="1630" w:name="_Toc28739"/>
      <w:bookmarkStart w:id="1631" w:name="_Toc8205"/>
      <w:bookmarkStart w:id="1632" w:name="_Toc8219"/>
      <w:bookmarkStart w:id="1633" w:name="_Toc18839"/>
      <w:bookmarkStart w:id="1634" w:name="_Toc21976"/>
      <w:r>
        <w:rPr>
          <w:rFonts w:hint="eastAsia" w:ascii="宋体" w:hAnsi="宋体" w:cs="宋体"/>
          <w:color w:val="auto"/>
          <w:highlight w:val="none"/>
        </w:rPr>
        <w:t>应急</w:t>
      </w:r>
      <w:bookmarkEnd w:id="1629"/>
      <w:bookmarkEnd w:id="1630"/>
      <w:bookmarkEnd w:id="1631"/>
      <w:bookmarkEnd w:id="1632"/>
      <w:bookmarkEnd w:id="1633"/>
      <w:bookmarkEnd w:id="1634"/>
      <w:r>
        <w:rPr>
          <w:rFonts w:hint="eastAsia" w:ascii="宋体" w:hAnsi="宋体" w:cs="宋体"/>
          <w:color w:val="auto"/>
          <w:highlight w:val="none"/>
        </w:rPr>
        <w:t>指挥</w:t>
      </w:r>
    </w:p>
    <w:p>
      <w:pPr>
        <w:ind w:firstLine="420"/>
        <w:rPr>
          <w:rFonts w:ascii="宋体" w:hAnsi="宋体" w:cs="宋体"/>
          <w:color w:val="auto"/>
          <w:highlight w:val="none"/>
        </w:rPr>
      </w:pPr>
      <w:r>
        <w:rPr>
          <w:rFonts w:hint="eastAsia" w:ascii="宋体" w:hAnsi="宋体" w:cs="宋体"/>
          <w:color w:val="auto"/>
          <w:highlight w:val="none"/>
        </w:rPr>
        <w:t>按照“以防为主、防救结合”的基本建设原则，充分利用物联网、云计算、移动互联网、数据挖掘等先进信息技术，对园区内泄露、火灾、爆炸、暴雨等紧急事件，以突发事件为驱动，辅助应急指挥人员：了解突发公共事件发生、发展状况，通盘掌握应急处置情况；部署和调度相关的人和物资，创建并向各单位分发任务，协调任务执行的过程中出现的问题，并进一步采取相应的措施；实现应急事件的全流程信息化管理，使园区应急管理模式从静态、事后管理向动态、实时监管模式的转变，为应急防范、救援和保障等工作提供智能化的手段，满足园区日常与应急救援业务工作，全面提高园区应急处置工作水平，有效预防各类突发事件发生，提高事故处置效率，最大程度降低事故损失，保护人民生命财产安全。因此，形成一整套快速响应的应急任务规划原则，对加强政企合力应急、提升事故救援效率有着重要价值。</w:t>
      </w:r>
    </w:p>
    <w:p>
      <w:pPr>
        <w:tabs>
          <w:tab w:val="left" w:pos="405"/>
        </w:tabs>
        <w:ind w:left="429" w:firstLine="0" w:firstLineChars="0"/>
        <w:rPr>
          <w:rFonts w:ascii="宋体" w:hAnsi="宋体" w:cs="宋体"/>
          <w:color w:val="auto"/>
          <w:highlight w:val="none"/>
        </w:rPr>
      </w:pPr>
      <w:r>
        <w:rPr>
          <w:rFonts w:hint="eastAsia" w:ascii="宋体" w:hAnsi="宋体" w:cs="宋体"/>
          <w:color w:val="auto"/>
          <w:highlight w:val="none"/>
        </w:rPr>
        <w:t>1.4.5.1</w:t>
      </w:r>
      <w:r>
        <w:rPr>
          <w:rFonts w:hint="eastAsia" w:ascii="宋体" w:hAnsi="宋体" w:cs="宋体"/>
          <w:color w:val="auto"/>
          <w:highlight w:val="none"/>
        </w:rPr>
        <w:tab/>
      </w:r>
      <w:r>
        <w:rPr>
          <w:rFonts w:hint="eastAsia" w:ascii="宋体" w:hAnsi="宋体" w:cs="宋体"/>
          <w:color w:val="auto"/>
          <w:highlight w:val="none"/>
        </w:rPr>
        <w:t>应急资源动态</w:t>
      </w:r>
    </w:p>
    <w:p>
      <w:pPr>
        <w:ind w:firstLine="420"/>
        <w:rPr>
          <w:rFonts w:ascii="宋体" w:hAnsi="宋体" w:cs="宋体"/>
          <w:color w:val="auto"/>
          <w:highlight w:val="none"/>
        </w:rPr>
      </w:pPr>
      <w:r>
        <w:rPr>
          <w:rFonts w:hint="eastAsia" w:ascii="宋体" w:hAnsi="宋体" w:cs="宋体"/>
          <w:color w:val="auto"/>
          <w:highlight w:val="none"/>
        </w:rPr>
        <w:t>应急资源管理子系统是将人力、物力、财力、信息、技术资源按应急资源需求的空间、时间分布进行管理以按时按量满足应急处置与救援对应急资源的需求。应急资源动态的内容包括：人力资源信息，如应急人员（含专家），消防、公安、医疗救护队伍，救援队伍，专家；应急设备信息(如呼吸器、个人防护装备、起重设备)；救援物资信息(如沙袋、药品)、生活物资信息、通信和信息资源等等在系统中统一维护，同时为一张图等系统提供数据调用。</w:t>
      </w:r>
    </w:p>
    <w:p>
      <w:pPr>
        <w:numPr>
          <w:ilvl w:val="0"/>
          <w:numId w:val="16"/>
        </w:numPr>
        <w:ind w:firstLineChars="0"/>
        <w:rPr>
          <w:rFonts w:ascii="宋体" w:hAnsi="宋体" w:cs="宋体"/>
          <w:color w:val="auto"/>
          <w:highlight w:val="none"/>
        </w:rPr>
      </w:pPr>
      <w:r>
        <w:rPr>
          <w:rFonts w:hint="eastAsia" w:ascii="宋体" w:hAnsi="宋体" w:cs="宋体"/>
          <w:color w:val="auto"/>
          <w:highlight w:val="none"/>
        </w:rPr>
        <w:t>应急物资装备</w:t>
      </w:r>
    </w:p>
    <w:p>
      <w:pPr>
        <w:ind w:firstLine="420"/>
        <w:rPr>
          <w:rFonts w:ascii="宋体" w:hAnsi="宋体" w:cs="宋体"/>
          <w:color w:val="auto"/>
          <w:highlight w:val="none"/>
        </w:rPr>
      </w:pPr>
      <w:r>
        <w:rPr>
          <w:rFonts w:hint="eastAsia" w:ascii="宋体" w:hAnsi="宋体" w:cs="宋体"/>
          <w:color w:val="auto"/>
          <w:highlight w:val="none"/>
        </w:rPr>
        <w:t>维护园区应急物资装备信息，建立应急资源库，整合园区所有物资装备信息，在应急事件发生时能实现对物资的调用。</w:t>
      </w:r>
    </w:p>
    <w:p>
      <w:pPr>
        <w:numPr>
          <w:ilvl w:val="0"/>
          <w:numId w:val="16"/>
        </w:numPr>
        <w:ind w:firstLineChars="0"/>
        <w:rPr>
          <w:rFonts w:ascii="宋体" w:hAnsi="宋体" w:cs="宋体"/>
          <w:color w:val="auto"/>
          <w:highlight w:val="none"/>
        </w:rPr>
      </w:pPr>
      <w:r>
        <w:rPr>
          <w:rFonts w:hint="eastAsia" w:ascii="宋体" w:hAnsi="宋体" w:cs="宋体"/>
          <w:color w:val="auto"/>
          <w:highlight w:val="none"/>
        </w:rPr>
        <w:t>应急专家</w:t>
      </w:r>
    </w:p>
    <w:p>
      <w:pPr>
        <w:ind w:firstLine="420"/>
        <w:rPr>
          <w:rFonts w:ascii="宋体" w:hAnsi="宋体" w:cs="宋体"/>
          <w:color w:val="auto"/>
          <w:highlight w:val="none"/>
        </w:rPr>
      </w:pPr>
      <w:r>
        <w:rPr>
          <w:rFonts w:hint="eastAsia" w:ascii="宋体" w:hAnsi="宋体" w:cs="宋体"/>
          <w:color w:val="auto"/>
          <w:highlight w:val="none"/>
        </w:rPr>
        <w:t>维护应急专家信息，以便事故发生时及时联系进行协助救援。</w:t>
      </w:r>
    </w:p>
    <w:p>
      <w:pPr>
        <w:numPr>
          <w:ilvl w:val="0"/>
          <w:numId w:val="16"/>
        </w:numPr>
        <w:ind w:firstLineChars="0"/>
        <w:rPr>
          <w:rFonts w:ascii="宋体" w:hAnsi="宋体" w:cs="宋体"/>
          <w:color w:val="auto"/>
          <w:highlight w:val="none"/>
        </w:rPr>
      </w:pPr>
      <w:r>
        <w:rPr>
          <w:rFonts w:hint="eastAsia" w:ascii="宋体" w:hAnsi="宋体" w:cs="宋体"/>
          <w:color w:val="auto"/>
          <w:highlight w:val="none"/>
        </w:rPr>
        <w:t>应急机构和人员</w:t>
      </w:r>
    </w:p>
    <w:p>
      <w:pPr>
        <w:ind w:firstLine="420"/>
        <w:rPr>
          <w:rFonts w:ascii="宋体" w:hAnsi="宋体" w:cs="宋体"/>
          <w:color w:val="auto"/>
          <w:highlight w:val="none"/>
        </w:rPr>
      </w:pPr>
      <w:r>
        <w:rPr>
          <w:rFonts w:hint="eastAsia" w:ascii="宋体" w:hAnsi="宋体" w:cs="宋体"/>
          <w:color w:val="auto"/>
          <w:highlight w:val="none"/>
        </w:rPr>
        <w:t>建立统一的应急人员库和应急机构库，对园区应急人员和应急就机构信息进行登记并整合园区各企业的应急人员信息。</w:t>
      </w:r>
    </w:p>
    <w:p>
      <w:pPr>
        <w:numPr>
          <w:ilvl w:val="0"/>
          <w:numId w:val="16"/>
        </w:numPr>
        <w:ind w:firstLineChars="0"/>
        <w:rPr>
          <w:rFonts w:ascii="宋体" w:hAnsi="宋体" w:cs="宋体"/>
          <w:color w:val="auto"/>
          <w:highlight w:val="none"/>
        </w:rPr>
      </w:pPr>
      <w:r>
        <w:rPr>
          <w:rFonts w:hint="eastAsia" w:ascii="宋体" w:hAnsi="宋体" w:cs="宋体"/>
          <w:color w:val="auto"/>
          <w:highlight w:val="none"/>
        </w:rPr>
        <w:t>救援队伍</w:t>
      </w:r>
    </w:p>
    <w:p>
      <w:pPr>
        <w:ind w:firstLine="420"/>
        <w:rPr>
          <w:rFonts w:ascii="宋体" w:hAnsi="宋体" w:cs="宋体"/>
          <w:color w:val="auto"/>
          <w:highlight w:val="none"/>
        </w:rPr>
      </w:pPr>
      <w:r>
        <w:rPr>
          <w:rFonts w:hint="eastAsia" w:ascii="宋体" w:hAnsi="宋体" w:cs="宋体"/>
          <w:color w:val="auto"/>
          <w:highlight w:val="none"/>
        </w:rPr>
        <w:t>提供救援队伍信息的维护和在线查询功能，管理不同类型的应急救援队伍信息。维护辖区内或周边可以调用的救援队伍信息，以备应急响应时统一调配。</w:t>
      </w:r>
    </w:p>
    <w:p>
      <w:pPr>
        <w:numPr>
          <w:ilvl w:val="0"/>
          <w:numId w:val="16"/>
        </w:numPr>
        <w:ind w:firstLineChars="0"/>
        <w:rPr>
          <w:rFonts w:ascii="宋体" w:hAnsi="宋体" w:cs="宋体"/>
          <w:color w:val="auto"/>
          <w:highlight w:val="none"/>
        </w:rPr>
      </w:pPr>
      <w:r>
        <w:rPr>
          <w:rFonts w:hint="eastAsia" w:ascii="宋体" w:hAnsi="宋体" w:cs="宋体"/>
          <w:color w:val="auto"/>
          <w:highlight w:val="none"/>
        </w:rPr>
        <w:t>应急车辆</w:t>
      </w:r>
    </w:p>
    <w:p>
      <w:pPr>
        <w:ind w:firstLine="420"/>
        <w:rPr>
          <w:rFonts w:ascii="宋体" w:hAnsi="宋体" w:cs="宋体"/>
          <w:color w:val="auto"/>
          <w:highlight w:val="none"/>
        </w:rPr>
      </w:pPr>
      <w:r>
        <w:rPr>
          <w:rFonts w:hint="eastAsia" w:ascii="宋体" w:hAnsi="宋体" w:cs="宋体"/>
          <w:color w:val="auto"/>
          <w:highlight w:val="none"/>
        </w:rPr>
        <w:t>维护园区内的应急车辆信息（消防车、应急指挥车、应急工程车等），包括车牌号、车辆类型、负责人、联系电话、常驻地址、物资配备情况等信息，以便事故发生时迅速调集进行救援。</w:t>
      </w:r>
    </w:p>
    <w:p>
      <w:pPr>
        <w:numPr>
          <w:ilvl w:val="0"/>
          <w:numId w:val="16"/>
        </w:numPr>
        <w:ind w:firstLineChars="0"/>
        <w:rPr>
          <w:rFonts w:ascii="宋体" w:hAnsi="宋体" w:cs="宋体"/>
          <w:color w:val="auto"/>
          <w:highlight w:val="none"/>
        </w:rPr>
      </w:pPr>
      <w:r>
        <w:rPr>
          <w:rFonts w:hint="eastAsia" w:ascii="宋体" w:hAnsi="宋体" w:cs="宋体"/>
          <w:color w:val="auto"/>
          <w:highlight w:val="none"/>
        </w:rPr>
        <w:t>保护对象</w:t>
      </w:r>
    </w:p>
    <w:p>
      <w:pPr>
        <w:ind w:firstLine="420"/>
        <w:rPr>
          <w:rFonts w:ascii="宋体" w:hAnsi="宋体" w:cs="宋体"/>
          <w:color w:val="auto"/>
          <w:highlight w:val="none"/>
        </w:rPr>
      </w:pPr>
      <w:r>
        <w:rPr>
          <w:rFonts w:hint="eastAsia" w:ascii="宋体" w:hAnsi="宋体" w:cs="宋体"/>
          <w:color w:val="auto"/>
          <w:highlight w:val="none"/>
        </w:rPr>
        <w:t>维护辖区内和周边需要进行安全、环境保护的目标，发生事故时重点保护。维护的信息包括：安全、环境保护对象名称、保护对象类型、经纬度、规模、联系人、联系电话等。</w:t>
      </w:r>
    </w:p>
    <w:p>
      <w:pPr>
        <w:numPr>
          <w:ilvl w:val="0"/>
          <w:numId w:val="16"/>
        </w:numPr>
        <w:ind w:firstLineChars="0"/>
        <w:rPr>
          <w:rFonts w:ascii="宋体" w:hAnsi="宋体" w:cs="宋体"/>
          <w:color w:val="auto"/>
          <w:highlight w:val="none"/>
        </w:rPr>
      </w:pPr>
      <w:r>
        <w:rPr>
          <w:rFonts w:hint="eastAsia" w:ascii="宋体" w:hAnsi="宋体" w:cs="宋体"/>
          <w:color w:val="auto"/>
          <w:highlight w:val="none"/>
        </w:rPr>
        <w:t>避难场所</w:t>
      </w:r>
    </w:p>
    <w:p>
      <w:pPr>
        <w:ind w:firstLine="420"/>
        <w:rPr>
          <w:rFonts w:ascii="宋体" w:hAnsi="宋体" w:cs="宋体"/>
          <w:color w:val="auto"/>
          <w:highlight w:val="none"/>
        </w:rPr>
      </w:pPr>
      <w:r>
        <w:rPr>
          <w:rFonts w:hint="eastAsia" w:ascii="宋体" w:hAnsi="宋体" w:cs="宋体"/>
          <w:color w:val="auto"/>
          <w:highlight w:val="none"/>
        </w:rPr>
        <w:t>维护应急避难场所信息，以便突发事故发生时，制定疏散方案时调用。包括避难场所的名称、容纳人数、具体地址以及经纬度、场所负责人、联系方式等信息。以便突发事故发生时，制定疏散方案时调用。</w:t>
      </w:r>
    </w:p>
    <w:p>
      <w:pPr>
        <w:pStyle w:val="7"/>
        <w:ind w:firstLine="424" w:firstLineChars="201"/>
        <w:rPr>
          <w:rFonts w:ascii="宋体" w:hAnsi="宋体" w:cs="宋体"/>
          <w:color w:val="auto"/>
          <w:highlight w:val="none"/>
        </w:rPr>
      </w:pPr>
      <w:r>
        <w:rPr>
          <w:rFonts w:hint="eastAsia" w:ascii="宋体" w:hAnsi="宋体" w:cs="宋体"/>
          <w:color w:val="auto"/>
          <w:highlight w:val="none"/>
        </w:rPr>
        <w:t>应急值守接警</w:t>
      </w:r>
    </w:p>
    <w:p>
      <w:pPr>
        <w:ind w:firstLine="420"/>
        <w:rPr>
          <w:rFonts w:ascii="宋体" w:hAnsi="宋体" w:cs="宋体"/>
          <w:color w:val="auto"/>
          <w:highlight w:val="none"/>
        </w:rPr>
      </w:pPr>
      <w:r>
        <w:rPr>
          <w:rFonts w:hint="eastAsia" w:ascii="宋体" w:hAnsi="宋体" w:cs="宋体"/>
          <w:color w:val="auto"/>
          <w:highlight w:val="none"/>
        </w:rPr>
        <w:t>应急值守接警，实现园区突发事件的信息报送和处理，保证信息报送及时准确，传达和督促落实领导对突发事件信息的指示批示，并跟踪反馈落实情况，实现对应急值守的智能化管理，有效提高各项工作的办事效率，提升应急值守高效效应能力。</w:t>
      </w:r>
    </w:p>
    <w:p>
      <w:pPr>
        <w:ind w:firstLine="420"/>
        <w:rPr>
          <w:rFonts w:ascii="宋体" w:hAnsi="宋体" w:cs="宋体"/>
          <w:color w:val="auto"/>
          <w:highlight w:val="none"/>
        </w:rPr>
      </w:pPr>
      <w:r>
        <w:rPr>
          <w:rFonts w:hint="eastAsia" w:ascii="宋体" w:hAnsi="宋体" w:cs="宋体"/>
          <w:color w:val="auto"/>
          <w:highlight w:val="none"/>
        </w:rPr>
        <w:t>管委会办公大楼一楼设置应急值守室和值守人员，负责各自警情接收和报送。主要包括：应急事故值排值守、一键接报、事故接警、一键响应等功能。</w:t>
      </w:r>
    </w:p>
    <w:p>
      <w:pPr>
        <w:pStyle w:val="7"/>
        <w:numPr>
          <w:ilvl w:val="3"/>
          <w:numId w:val="17"/>
        </w:numPr>
        <w:ind w:firstLine="424" w:firstLineChars="201"/>
        <w:rPr>
          <w:rFonts w:ascii="宋体" w:hAnsi="宋体" w:cs="宋体"/>
          <w:color w:val="auto"/>
          <w:highlight w:val="none"/>
        </w:rPr>
      </w:pPr>
      <w:r>
        <w:rPr>
          <w:rFonts w:hint="eastAsia" w:ascii="宋体" w:hAnsi="宋体" w:cs="宋体"/>
          <w:color w:val="auto"/>
          <w:highlight w:val="none"/>
        </w:rPr>
        <w:t>应急预警发布</w:t>
      </w:r>
    </w:p>
    <w:p>
      <w:pPr>
        <w:ind w:firstLine="420"/>
        <w:rPr>
          <w:rFonts w:ascii="宋体" w:hAnsi="宋体" w:cs="宋体"/>
          <w:color w:val="auto"/>
          <w:highlight w:val="none"/>
        </w:rPr>
      </w:pPr>
      <w:r>
        <w:rPr>
          <w:rFonts w:hint="eastAsia" w:ascii="宋体" w:hAnsi="宋体" w:cs="宋体"/>
          <w:color w:val="auto"/>
          <w:highlight w:val="none"/>
        </w:rPr>
        <w:t>应急预警发布通过手机短信和邮件方式，实现园区日常安全管理信息、环境监测信息、气象监测信息、预警信息、指挥调度信息的多渠道全方位发布，保证信息发布统一、及时、正确、有序。集成物联网终端或视频监控等，系统提供平台告警功能。监测区域出现异常情况时，系统进行报警，为人员处理告警事件提供辅助决策，具体包含告警事件核实与处理。</w:t>
      </w:r>
    </w:p>
    <w:p>
      <w:pPr>
        <w:pStyle w:val="7"/>
        <w:numPr>
          <w:ilvl w:val="3"/>
          <w:numId w:val="17"/>
        </w:numPr>
        <w:ind w:firstLine="424" w:firstLineChars="201"/>
        <w:rPr>
          <w:rFonts w:ascii="宋体" w:hAnsi="宋体" w:cs="宋体"/>
          <w:color w:val="auto"/>
          <w:highlight w:val="none"/>
        </w:rPr>
      </w:pPr>
      <w:r>
        <w:rPr>
          <w:rFonts w:hint="eastAsia" w:ascii="宋体" w:hAnsi="宋体" w:cs="宋体"/>
          <w:color w:val="auto"/>
          <w:highlight w:val="none"/>
        </w:rPr>
        <w:t>应急救援指挥</w:t>
      </w:r>
    </w:p>
    <w:p>
      <w:pPr>
        <w:ind w:firstLine="420"/>
        <w:rPr>
          <w:rFonts w:ascii="宋体" w:hAnsi="宋体" w:cs="宋体"/>
          <w:color w:val="auto"/>
          <w:highlight w:val="none"/>
        </w:rPr>
      </w:pPr>
      <w:r>
        <w:rPr>
          <w:rFonts w:hint="eastAsia" w:ascii="宋体" w:hAnsi="宋体" w:cs="宋体"/>
          <w:color w:val="auto"/>
          <w:highlight w:val="none"/>
        </w:rPr>
        <w:t>通过结合多媒体通信、高清视频等多种先进的技术，对园区内泄露、火灾、爆炸、暴雨等紧急事件进行管理，提高应急防范、救援和保障能力，使园区应急管理模式从静态、时候管理向动态、实时监管模式的转变，满足园区日常与应急值守业务工作，实现应急事件的全流程信息化管理。</w:t>
      </w:r>
    </w:p>
    <w:p>
      <w:pPr>
        <w:ind w:firstLine="420"/>
        <w:rPr>
          <w:rFonts w:ascii="宋体" w:hAnsi="宋体" w:cs="宋体"/>
          <w:color w:val="auto"/>
          <w:highlight w:val="none"/>
        </w:rPr>
      </w:pPr>
      <w:r>
        <w:rPr>
          <w:rFonts w:hint="eastAsia" w:ascii="宋体" w:hAnsi="宋体" w:cs="宋体"/>
          <w:color w:val="auto"/>
          <w:highlight w:val="none"/>
        </w:rPr>
        <w:t>应急救援智慧功能与地理信息系统必须实现深度融合，应急相关数据通过GIS技术进行可视化展示。以厂区地图为载体，图形化展示事故周边情况、危险源、预案、资源等，系统自动关联推送的关联预案，辅助指挥人员决策并下达处置任务，跟踪事故处置情、态势的发展过程，实时共享应急资源数据，通过PC端、融合通讯系统协同指挥。</w:t>
      </w:r>
    </w:p>
    <w:p>
      <w:pPr>
        <w:pStyle w:val="2"/>
        <w:ind w:firstLine="420"/>
        <w:rPr>
          <w:rFonts w:ascii="宋体" w:hAnsi="宋体" w:eastAsia="宋体" w:cs="宋体"/>
          <w:color w:val="auto"/>
          <w:sz w:val="21"/>
          <w:highlight w:val="none"/>
        </w:rPr>
      </w:pPr>
      <w:r>
        <w:rPr>
          <w:rFonts w:hint="eastAsia" w:ascii="宋体" w:hAnsi="宋体" w:eastAsia="宋体" w:cs="宋体"/>
          <w:color w:val="auto"/>
          <w:sz w:val="21"/>
          <w:highlight w:val="none"/>
        </w:rPr>
        <w:t>在发生应急事件时，关联事件附近摄像头确认事件，通过安防事件中心的事件处置功能，快速响应；关联相应的结构化应急预案，可在应急资源一张图上直接进行各个流程步骤指挥；关联“融合通信指挥”子场景，对应急事件处置过程进行指挥调度。</w:t>
      </w:r>
    </w:p>
    <w:p>
      <w:pPr>
        <w:pStyle w:val="2"/>
        <w:ind w:firstLine="420"/>
        <w:rPr>
          <w:rFonts w:ascii="宋体" w:hAnsi="宋体" w:eastAsia="宋体" w:cs="宋体"/>
          <w:color w:val="auto"/>
          <w:highlight w:val="none"/>
        </w:rPr>
      </w:pPr>
      <w:r>
        <w:rPr>
          <w:rFonts w:hint="eastAsia" w:ascii="宋体" w:hAnsi="宋体" w:eastAsia="宋体" w:cs="宋体"/>
          <w:color w:val="auto"/>
          <w:sz w:val="21"/>
          <w:highlight w:val="none"/>
        </w:rPr>
        <w:t>包含且不限于应急联动、通信调度、远程协同会商、跟踪记录等全过程管理。</w:t>
      </w:r>
    </w:p>
    <w:p>
      <w:pPr>
        <w:pStyle w:val="7"/>
        <w:numPr>
          <w:ilvl w:val="3"/>
          <w:numId w:val="17"/>
        </w:numPr>
        <w:ind w:firstLine="424" w:firstLineChars="201"/>
        <w:rPr>
          <w:rFonts w:ascii="宋体" w:hAnsi="宋体" w:cs="宋体"/>
          <w:color w:val="auto"/>
          <w:highlight w:val="none"/>
        </w:rPr>
      </w:pPr>
      <w:r>
        <w:rPr>
          <w:rFonts w:hint="eastAsia" w:ascii="宋体" w:hAnsi="宋体" w:cs="宋体"/>
          <w:color w:val="auto"/>
          <w:highlight w:val="none"/>
        </w:rPr>
        <w:t>应急辅助决策</w:t>
      </w:r>
    </w:p>
    <w:p>
      <w:pPr>
        <w:ind w:firstLine="420"/>
        <w:rPr>
          <w:rFonts w:ascii="宋体" w:hAnsi="宋体" w:cs="宋体"/>
          <w:color w:val="auto"/>
          <w:highlight w:val="none"/>
        </w:rPr>
      </w:pPr>
      <w:r>
        <w:rPr>
          <w:rFonts w:hint="eastAsia" w:ascii="宋体" w:hAnsi="宋体" w:cs="宋体"/>
          <w:color w:val="auto"/>
          <w:highlight w:val="none"/>
        </w:rPr>
        <w:t>安全生产事故发生后，结合事故发展情况，对事故影响范围、影响方式、持续时间和危害程度等进行综合研判。在应急救援决策和行动中，能够针对当前灾情，采集相应的资源数据、地理信息、历史处置方案，通过征求专家库相应专家的意见，对信息综合集成、分析、处理、评估，研究制定相应方案和措施，对救援过程中遇到的技术难题为前线指挥者提出解决方案，实现应急救援的科学性和准确性。包括辅助信息库、辅助处置方案、危险化学品库等。</w:t>
      </w:r>
    </w:p>
    <w:p>
      <w:pPr>
        <w:pStyle w:val="7"/>
        <w:numPr>
          <w:ilvl w:val="3"/>
          <w:numId w:val="17"/>
        </w:numPr>
        <w:ind w:firstLine="424" w:firstLineChars="201"/>
        <w:rPr>
          <w:rFonts w:ascii="宋体" w:hAnsi="宋体" w:cs="宋体"/>
          <w:color w:val="auto"/>
          <w:highlight w:val="none"/>
        </w:rPr>
      </w:pPr>
      <w:r>
        <w:rPr>
          <w:rFonts w:hint="eastAsia" w:ascii="宋体" w:hAnsi="宋体" w:cs="宋体"/>
          <w:color w:val="auto"/>
          <w:highlight w:val="none"/>
        </w:rPr>
        <w:t>事故总结评估</w:t>
      </w:r>
    </w:p>
    <w:p>
      <w:pPr>
        <w:ind w:firstLine="420"/>
        <w:rPr>
          <w:rFonts w:ascii="宋体" w:hAnsi="宋体" w:cs="宋体"/>
          <w:color w:val="auto"/>
          <w:highlight w:val="none"/>
        </w:rPr>
      </w:pPr>
      <w:r>
        <w:rPr>
          <w:rFonts w:hint="eastAsia" w:ascii="宋体" w:hAnsi="宋体" w:cs="宋体"/>
          <w:color w:val="auto"/>
          <w:highlight w:val="none"/>
        </w:rPr>
        <w:t>基于生产组织管理、工作过程流程分析和人员作业行为、设备故障等方面进行事故分析，并实现事故信息的日常事故管理、事故统计分析与跟进管理等功能。包括事故快报、事故事件报告、工作改进跟踪、事故事件统计等。</w:t>
      </w:r>
    </w:p>
    <w:p>
      <w:pPr>
        <w:pStyle w:val="7"/>
        <w:numPr>
          <w:ilvl w:val="3"/>
          <w:numId w:val="17"/>
        </w:numPr>
        <w:ind w:firstLine="424" w:firstLineChars="201"/>
        <w:rPr>
          <w:rFonts w:ascii="宋体" w:hAnsi="宋体" w:cs="宋体"/>
          <w:color w:val="auto"/>
          <w:highlight w:val="none"/>
        </w:rPr>
      </w:pPr>
      <w:r>
        <w:rPr>
          <w:rFonts w:hint="eastAsia" w:ascii="宋体" w:hAnsi="宋体" w:cs="宋体"/>
          <w:color w:val="auto"/>
          <w:highlight w:val="none"/>
        </w:rPr>
        <w:t>模拟演练</w:t>
      </w:r>
    </w:p>
    <w:p>
      <w:pPr>
        <w:ind w:firstLine="420"/>
        <w:rPr>
          <w:rFonts w:ascii="宋体" w:hAnsi="宋体" w:cs="宋体"/>
          <w:color w:val="auto"/>
          <w:highlight w:val="none"/>
        </w:rPr>
      </w:pPr>
      <w:r>
        <w:rPr>
          <w:rFonts w:hint="eastAsia" w:ascii="宋体" w:hAnsi="宋体" w:cs="宋体"/>
          <w:color w:val="auto"/>
          <w:highlight w:val="none"/>
        </w:rPr>
        <w:t>包括演练计划的制定、演练的实施、演练评估，相关单位根据演练方案对响应的演练过程进行指挥、调度。同时，系统对演练的过程形成文档，实现对演练的评估和总结、事故模拟处置培训。</w:t>
      </w:r>
    </w:p>
    <w:p>
      <w:pPr>
        <w:ind w:firstLine="420"/>
        <w:rPr>
          <w:rFonts w:ascii="宋体" w:hAnsi="宋体" w:cs="宋体"/>
          <w:color w:val="auto"/>
          <w:highlight w:val="none"/>
        </w:rPr>
      </w:pPr>
      <w:r>
        <w:rPr>
          <w:rFonts w:hint="eastAsia" w:ascii="宋体" w:hAnsi="宋体" w:cs="宋体"/>
          <w:color w:val="auto"/>
          <w:highlight w:val="none"/>
        </w:rPr>
        <w:t>系统根据天气情况参数（气温、气压、风向、风速）、介质类型、泄漏量等参数进行模型算法推演，对危险化学品随时间变化的空间扩散趋势进行预测，基于地理信息系统的展现，为快速封锁爆炸现场、划分警戒区域、组织人员疏散等提供决策支持。包括演练计划、演练方案、演练记录、演练评估、三维模拟演练。</w:t>
      </w:r>
    </w:p>
    <w:p>
      <w:pPr>
        <w:pStyle w:val="7"/>
        <w:numPr>
          <w:ilvl w:val="3"/>
          <w:numId w:val="17"/>
        </w:numPr>
        <w:ind w:firstLine="424" w:firstLineChars="201"/>
        <w:rPr>
          <w:rFonts w:ascii="宋体" w:hAnsi="宋体" w:cs="宋体"/>
          <w:color w:val="auto"/>
          <w:highlight w:val="none"/>
        </w:rPr>
      </w:pPr>
      <w:r>
        <w:rPr>
          <w:rFonts w:hint="eastAsia" w:ascii="宋体" w:hAnsi="宋体" w:cs="宋体"/>
          <w:color w:val="auto"/>
          <w:highlight w:val="none"/>
        </w:rPr>
        <w:t>结构化预案</w:t>
      </w:r>
    </w:p>
    <w:p>
      <w:pPr>
        <w:ind w:firstLine="420"/>
        <w:rPr>
          <w:rFonts w:ascii="宋体" w:hAnsi="宋体" w:cs="宋体"/>
          <w:color w:val="auto"/>
          <w:highlight w:val="none"/>
        </w:rPr>
      </w:pPr>
      <w:r>
        <w:rPr>
          <w:rFonts w:hint="eastAsia" w:ascii="宋体" w:hAnsi="宋体" w:cs="宋体"/>
          <w:color w:val="auto"/>
          <w:highlight w:val="none"/>
        </w:rPr>
        <w:t>基于现场应急流程，实现预案的流程结构化和图形化，形成全面、具体、针对性强、直观高效的应急预案；在此基础上，运用事故树（FTA）的理论方法，综合分析评估结构化的指令在应急过程中的重要度，进行应急指令的重要度排序，并根据应急重要度进行预案指令智能推送，支撑指挥调度方案输出、应急行动快速部署和临机调整，保障迅速、有序、有效的开展应急救援行动。通过对各级各类应急预案的数字化管理，实现事故灾害快速关联响应和查询统计。包括预案全流程管理、预案结构化分解、预案构建模块、结构化预案分类、预案智能匹配、预案执行启动等。</w:t>
      </w:r>
    </w:p>
    <w:p>
      <w:pPr>
        <w:pStyle w:val="5"/>
        <w:ind w:firstLine="422"/>
        <w:rPr>
          <w:rFonts w:ascii="宋体" w:hAnsi="宋体" w:cs="宋体"/>
          <w:color w:val="auto"/>
          <w:highlight w:val="none"/>
        </w:rPr>
      </w:pPr>
      <w:bookmarkStart w:id="1635" w:name="_Toc15950"/>
      <w:bookmarkStart w:id="1636" w:name="_Toc31485"/>
      <w:bookmarkStart w:id="1637" w:name="_Toc5289"/>
      <w:bookmarkStart w:id="1638" w:name="_Toc9064"/>
      <w:bookmarkStart w:id="1639" w:name="_Toc30111"/>
      <w:bookmarkStart w:id="1640" w:name="_Toc1173"/>
      <w:bookmarkStart w:id="1641" w:name="_Toc30097"/>
      <w:bookmarkStart w:id="1642" w:name="_Toc28113"/>
      <w:bookmarkStart w:id="1643" w:name="_Toc31902"/>
      <w:r>
        <w:rPr>
          <w:rFonts w:hint="eastAsia" w:ascii="宋体" w:hAnsi="宋体" w:cs="宋体"/>
          <w:color w:val="auto"/>
          <w:highlight w:val="none"/>
        </w:rPr>
        <w:t>标准化</w:t>
      </w:r>
      <w:bookmarkEnd w:id="1635"/>
      <w:bookmarkEnd w:id="1636"/>
      <w:bookmarkEnd w:id="1637"/>
      <w:r>
        <w:rPr>
          <w:rFonts w:hint="eastAsia" w:ascii="宋体" w:hAnsi="宋体" w:cs="宋体"/>
          <w:color w:val="auto"/>
          <w:highlight w:val="none"/>
        </w:rPr>
        <w:t>建设要求</w:t>
      </w:r>
      <w:bookmarkEnd w:id="1638"/>
    </w:p>
    <w:p>
      <w:pPr>
        <w:ind w:firstLine="420"/>
        <w:rPr>
          <w:rFonts w:ascii="宋体" w:hAnsi="宋体" w:cs="宋体"/>
          <w:color w:val="auto"/>
          <w:highlight w:val="none"/>
        </w:rPr>
      </w:pPr>
      <w:r>
        <w:rPr>
          <w:rFonts w:hint="eastAsia" w:ascii="宋体" w:hAnsi="宋体" w:cs="宋体"/>
          <w:color w:val="auto"/>
          <w:highlight w:val="none"/>
        </w:rPr>
        <w:t>智慧园区平台建设是一项庞大复杂的系统工程，标准化作为一种科学的管理手段，可以减少建设过程中不必要的重复和盲目建设，应急平台标准规范为园区智慧运营中心整体建设提供标准支撑，并为平台的日常运行和维护提供统一的标准。</w:t>
      </w:r>
    </w:p>
    <w:p>
      <w:pPr>
        <w:ind w:firstLine="420"/>
        <w:rPr>
          <w:rFonts w:ascii="宋体" w:hAnsi="宋体" w:cs="宋体"/>
          <w:color w:val="auto"/>
          <w:highlight w:val="none"/>
        </w:rPr>
      </w:pPr>
      <w:r>
        <w:rPr>
          <w:rFonts w:hint="eastAsia" w:ascii="宋体" w:hAnsi="宋体" w:cs="宋体"/>
          <w:color w:val="auto"/>
          <w:highlight w:val="none"/>
        </w:rPr>
        <w:t>本项目在采用国家标准、浙江省地方标准的基础上，补充编制部分应急救援指挥平台建设必需的标准规范，形成宁波市石化经济技术开发区智慧运营中心应急监测与预警管理系统建设标准规范体系。需要补充编制的标准规范有《重点企业动态监控信息接入技术规范》、《企业安全生产应急救援指挥系统建设基本要求》、《应急平台数据交换共享标准》。</w:t>
      </w:r>
    </w:p>
    <w:p>
      <w:pPr>
        <w:pStyle w:val="5"/>
        <w:ind w:firstLine="422"/>
        <w:rPr>
          <w:rFonts w:ascii="宋体" w:hAnsi="宋体" w:cs="宋体"/>
          <w:color w:val="auto"/>
          <w:highlight w:val="none"/>
        </w:rPr>
      </w:pPr>
      <w:bookmarkStart w:id="1644" w:name="_Toc10142"/>
      <w:r>
        <w:rPr>
          <w:rFonts w:hint="eastAsia" w:ascii="宋体" w:hAnsi="宋体" w:cs="宋体"/>
          <w:color w:val="auto"/>
          <w:highlight w:val="none"/>
        </w:rPr>
        <w:t>信息系统集成服务</w:t>
      </w:r>
      <w:bookmarkEnd w:id="1639"/>
      <w:bookmarkEnd w:id="1640"/>
      <w:bookmarkEnd w:id="1641"/>
      <w:bookmarkEnd w:id="1642"/>
      <w:bookmarkEnd w:id="1643"/>
      <w:bookmarkEnd w:id="1644"/>
    </w:p>
    <w:p>
      <w:pPr>
        <w:pStyle w:val="6"/>
        <w:ind w:firstLine="422"/>
        <w:rPr>
          <w:rFonts w:ascii="宋体" w:hAnsi="宋体"/>
          <w:b/>
          <w:bCs/>
          <w:color w:val="auto"/>
          <w:highlight w:val="none"/>
        </w:rPr>
      </w:pPr>
      <w:r>
        <w:rPr>
          <w:rFonts w:hint="eastAsia" w:ascii="宋体" w:hAnsi="宋体"/>
          <w:b/>
          <w:bCs/>
          <w:color w:val="auto"/>
          <w:highlight w:val="none"/>
        </w:rPr>
        <w:t>完成信息系统集成接口开发工作，并按业主需求，在园区平台上增加部分子平台的业务界面。</w:t>
      </w:r>
    </w:p>
    <w:p>
      <w:pPr>
        <w:ind w:firstLine="422"/>
        <w:rPr>
          <w:rFonts w:ascii="宋体" w:hAnsi="宋体" w:cs="宋体"/>
          <w:b/>
          <w:bCs/>
          <w:color w:val="auto"/>
          <w:highlight w:val="none"/>
        </w:rPr>
      </w:pPr>
      <w:r>
        <w:rPr>
          <w:rFonts w:hint="eastAsia" w:ascii="宋体" w:hAnsi="宋体" w:cs="宋体"/>
          <w:b/>
          <w:bCs/>
          <w:color w:val="auto"/>
          <w:highlight w:val="none"/>
        </w:rPr>
        <w:t>备注：需包含企业侧必备软硬件及数据接入的安装调试服务。</w:t>
      </w:r>
    </w:p>
    <w:p>
      <w:pPr>
        <w:pStyle w:val="7"/>
        <w:ind w:firstLine="422"/>
        <w:rPr>
          <w:rFonts w:ascii="宋体" w:hAnsi="宋体" w:cs="宋体"/>
          <w:color w:val="auto"/>
          <w:highlight w:val="none"/>
        </w:rPr>
      </w:pPr>
      <w:r>
        <w:rPr>
          <w:rFonts w:hint="eastAsia" w:ascii="宋体" w:hAnsi="宋体" w:cs="宋体"/>
          <w:color w:val="auto"/>
          <w:highlight w:val="none"/>
        </w:rPr>
        <w:t>石化区应急指挥综合管控平台</w:t>
      </w:r>
    </w:p>
    <w:p>
      <w:pPr>
        <w:ind w:firstLine="422"/>
        <w:rPr>
          <w:rFonts w:ascii="宋体" w:hAnsi="宋体" w:cs="宋体"/>
          <w:color w:val="auto"/>
          <w:highlight w:val="none"/>
        </w:rPr>
      </w:pPr>
      <w:r>
        <w:rPr>
          <w:rFonts w:hint="eastAsia" w:ascii="宋体" w:hAnsi="宋体" w:cs="宋体"/>
          <w:b/>
          <w:color w:val="auto"/>
          <w:highlight w:val="none"/>
        </w:rPr>
        <w:t>集成要求：</w:t>
      </w:r>
    </w:p>
    <w:p>
      <w:pPr>
        <w:numPr>
          <w:ilvl w:val="0"/>
          <w:numId w:val="11"/>
        </w:numPr>
        <w:ind w:firstLineChars="0"/>
        <w:rPr>
          <w:rFonts w:ascii="宋体" w:hAnsi="宋体" w:cs="宋体"/>
          <w:color w:val="auto"/>
          <w:highlight w:val="none"/>
        </w:rPr>
      </w:pPr>
      <w:r>
        <w:rPr>
          <w:rFonts w:hint="eastAsia" w:ascii="宋体" w:hAnsi="宋体" w:cs="宋体"/>
          <w:color w:val="auto"/>
          <w:highlight w:val="none"/>
        </w:rPr>
        <w:t>园区视频、数据集成接入，包含物流、管廊、高空瞭望、岗亭视频监控、水利等；</w:t>
      </w:r>
    </w:p>
    <w:p>
      <w:pPr>
        <w:numPr>
          <w:ilvl w:val="0"/>
          <w:numId w:val="11"/>
        </w:numPr>
        <w:ind w:firstLineChars="0"/>
        <w:rPr>
          <w:rFonts w:ascii="宋体" w:hAnsi="宋体" w:cs="宋体"/>
          <w:color w:val="auto"/>
          <w:highlight w:val="none"/>
        </w:rPr>
      </w:pPr>
      <w:r>
        <w:rPr>
          <w:rFonts w:hint="eastAsia" w:ascii="宋体" w:hAnsi="宋体" w:cs="宋体"/>
          <w:color w:val="auto"/>
          <w:highlight w:val="none"/>
        </w:rPr>
        <w:t>园区高空瞭望视频链接，接入7个点位7套；</w:t>
      </w:r>
    </w:p>
    <w:p>
      <w:pPr>
        <w:numPr>
          <w:ilvl w:val="0"/>
          <w:numId w:val="11"/>
        </w:numPr>
        <w:ind w:firstLineChars="0"/>
        <w:rPr>
          <w:rFonts w:ascii="宋体" w:hAnsi="宋体" w:cs="宋体"/>
          <w:color w:val="auto"/>
          <w:highlight w:val="none"/>
        </w:rPr>
      </w:pPr>
      <w:r>
        <w:rPr>
          <w:rFonts w:hint="eastAsia" w:ascii="宋体" w:hAnsi="宋体" w:cs="宋体"/>
          <w:color w:val="auto"/>
          <w:highlight w:val="none"/>
        </w:rPr>
        <w:t>应急广播播报内容发送；</w:t>
      </w:r>
    </w:p>
    <w:p>
      <w:pPr>
        <w:numPr>
          <w:ilvl w:val="0"/>
          <w:numId w:val="11"/>
        </w:numPr>
        <w:ind w:firstLineChars="0"/>
        <w:rPr>
          <w:rFonts w:ascii="宋体" w:hAnsi="宋体" w:cs="宋体"/>
          <w:color w:val="auto"/>
          <w:highlight w:val="none"/>
        </w:rPr>
      </w:pPr>
      <w:r>
        <w:rPr>
          <w:rFonts w:hint="eastAsia" w:ascii="宋体" w:hAnsi="宋体" w:cs="宋体"/>
          <w:color w:val="auto"/>
          <w:highlight w:val="none"/>
        </w:rPr>
        <w:t>自建气象站5参数。</w:t>
      </w:r>
    </w:p>
    <w:p>
      <w:pPr>
        <w:pStyle w:val="7"/>
        <w:ind w:firstLine="422"/>
        <w:rPr>
          <w:rFonts w:ascii="宋体" w:hAnsi="宋体" w:cs="宋体"/>
          <w:color w:val="auto"/>
          <w:highlight w:val="none"/>
        </w:rPr>
      </w:pPr>
      <w:r>
        <w:rPr>
          <w:rFonts w:hint="eastAsia" w:ascii="宋体" w:hAnsi="宋体" w:cs="宋体"/>
          <w:color w:val="auto"/>
          <w:highlight w:val="none"/>
        </w:rPr>
        <w:t>石化区危险化学品重大危险源在线监测预警系统</w:t>
      </w:r>
    </w:p>
    <w:p>
      <w:pPr>
        <w:ind w:firstLine="422"/>
        <w:rPr>
          <w:rFonts w:ascii="宋体" w:hAnsi="宋体" w:cs="宋体"/>
          <w:color w:val="auto"/>
          <w:highlight w:val="none"/>
        </w:rPr>
      </w:pPr>
      <w:r>
        <w:rPr>
          <w:rFonts w:hint="eastAsia" w:ascii="宋体" w:hAnsi="宋体" w:cs="宋体"/>
          <w:b/>
          <w:color w:val="auto"/>
          <w:highlight w:val="none"/>
        </w:rPr>
        <w:t>集成要求：</w:t>
      </w:r>
    </w:p>
    <w:p>
      <w:pPr>
        <w:numPr>
          <w:ilvl w:val="0"/>
          <w:numId w:val="11"/>
        </w:numPr>
        <w:ind w:firstLineChars="0"/>
        <w:rPr>
          <w:rFonts w:ascii="宋体" w:hAnsi="宋体" w:cs="宋体"/>
          <w:color w:val="auto"/>
          <w:highlight w:val="none"/>
        </w:rPr>
      </w:pPr>
      <w:r>
        <w:rPr>
          <w:rFonts w:hint="eastAsia" w:ascii="宋体" w:hAnsi="宋体" w:cs="宋体"/>
          <w:color w:val="auto"/>
          <w:highlight w:val="none"/>
        </w:rPr>
        <w:t>在危险化学品重大危险源的各类数据、视频采集设备，包括液位、气压、温度、气体等相关传感器和视频监控摄像头。</w:t>
      </w:r>
    </w:p>
    <w:p>
      <w:pPr>
        <w:pStyle w:val="7"/>
        <w:ind w:firstLine="422"/>
        <w:rPr>
          <w:rFonts w:ascii="宋体" w:hAnsi="宋体" w:cs="宋体"/>
          <w:color w:val="auto"/>
          <w:highlight w:val="none"/>
        </w:rPr>
      </w:pPr>
      <w:r>
        <w:rPr>
          <w:rFonts w:hint="eastAsia" w:ascii="宋体" w:hAnsi="宋体" w:cs="宋体"/>
          <w:color w:val="auto"/>
          <w:highlight w:val="none"/>
        </w:rPr>
        <w:t>公共管廊智慧安全管理系统</w:t>
      </w:r>
    </w:p>
    <w:p>
      <w:pPr>
        <w:ind w:firstLine="422"/>
        <w:rPr>
          <w:rFonts w:ascii="宋体" w:hAnsi="宋体" w:cs="宋体"/>
          <w:color w:val="auto"/>
          <w:highlight w:val="none"/>
        </w:rPr>
      </w:pPr>
      <w:r>
        <w:rPr>
          <w:rFonts w:hint="eastAsia" w:ascii="宋体" w:hAnsi="宋体" w:cs="宋体"/>
          <w:b/>
          <w:color w:val="auto"/>
          <w:highlight w:val="none"/>
        </w:rPr>
        <w:t>集成要求：</w:t>
      </w:r>
    </w:p>
    <w:p>
      <w:pPr>
        <w:numPr>
          <w:ilvl w:val="0"/>
          <w:numId w:val="11"/>
        </w:numPr>
        <w:ind w:firstLineChars="0"/>
        <w:rPr>
          <w:rFonts w:ascii="宋体" w:hAnsi="宋体" w:cs="宋体"/>
          <w:color w:val="auto"/>
          <w:highlight w:val="none"/>
        </w:rPr>
      </w:pPr>
      <w:r>
        <w:rPr>
          <w:rFonts w:hint="eastAsia" w:ascii="宋体" w:hAnsi="宋体" w:cs="宋体"/>
          <w:color w:val="auto"/>
          <w:highlight w:val="none"/>
        </w:rPr>
        <w:t>管廊3D仿真基础数据；</w:t>
      </w:r>
    </w:p>
    <w:p>
      <w:pPr>
        <w:numPr>
          <w:ilvl w:val="0"/>
          <w:numId w:val="11"/>
        </w:numPr>
        <w:ind w:firstLineChars="0"/>
        <w:rPr>
          <w:rFonts w:ascii="宋体" w:hAnsi="宋体" w:cs="宋体"/>
          <w:color w:val="auto"/>
          <w:highlight w:val="none"/>
        </w:rPr>
      </w:pPr>
      <w:r>
        <w:rPr>
          <w:rFonts w:hint="eastAsia" w:ascii="宋体" w:hAnsi="宋体" w:cs="宋体"/>
          <w:color w:val="auto"/>
          <w:highlight w:val="none"/>
        </w:rPr>
        <w:t>管廊巡查异常情况；</w:t>
      </w:r>
    </w:p>
    <w:p>
      <w:pPr>
        <w:numPr>
          <w:ilvl w:val="0"/>
          <w:numId w:val="11"/>
        </w:numPr>
        <w:ind w:firstLineChars="0"/>
        <w:rPr>
          <w:rFonts w:ascii="宋体" w:hAnsi="宋体" w:cs="宋体"/>
          <w:color w:val="auto"/>
          <w:highlight w:val="none"/>
        </w:rPr>
      </w:pPr>
      <w:r>
        <w:rPr>
          <w:rFonts w:hint="eastAsia" w:ascii="宋体" w:hAnsi="宋体" w:cs="宋体"/>
          <w:color w:val="auto"/>
          <w:highlight w:val="none"/>
        </w:rPr>
        <w:t>利用专网共享安捷物流公司视频资源：重点区域视频、可燃气体报警、气象站（德国进口）；</w:t>
      </w:r>
    </w:p>
    <w:p>
      <w:pPr>
        <w:numPr>
          <w:ilvl w:val="0"/>
          <w:numId w:val="11"/>
        </w:numPr>
        <w:ind w:firstLineChars="0"/>
        <w:rPr>
          <w:rFonts w:ascii="宋体" w:hAnsi="宋体" w:cs="宋体"/>
          <w:color w:val="auto"/>
          <w:highlight w:val="none"/>
        </w:rPr>
      </w:pPr>
      <w:r>
        <w:rPr>
          <w:rFonts w:hint="eastAsia" w:ascii="宋体" w:hAnsi="宋体" w:cs="宋体"/>
          <w:color w:val="auto"/>
          <w:highlight w:val="none"/>
        </w:rPr>
        <w:t>应急预案、应急对策；</w:t>
      </w:r>
    </w:p>
    <w:p>
      <w:pPr>
        <w:numPr>
          <w:ilvl w:val="0"/>
          <w:numId w:val="11"/>
        </w:numPr>
        <w:ind w:firstLineChars="0"/>
        <w:rPr>
          <w:rFonts w:ascii="宋体" w:hAnsi="宋体" w:cs="宋体"/>
          <w:color w:val="auto"/>
          <w:highlight w:val="none"/>
        </w:rPr>
      </w:pPr>
      <w:r>
        <w:rPr>
          <w:rFonts w:hint="eastAsia" w:ascii="宋体" w:hAnsi="宋体" w:cs="宋体"/>
          <w:color w:val="auto"/>
          <w:highlight w:val="none"/>
        </w:rPr>
        <w:t>一管一策基础信息；</w:t>
      </w:r>
    </w:p>
    <w:p>
      <w:pPr>
        <w:numPr>
          <w:ilvl w:val="0"/>
          <w:numId w:val="11"/>
        </w:numPr>
        <w:ind w:firstLineChars="0"/>
        <w:rPr>
          <w:rFonts w:ascii="宋体" w:hAnsi="宋体" w:cs="宋体"/>
          <w:color w:val="auto"/>
          <w:highlight w:val="none"/>
        </w:rPr>
      </w:pPr>
      <w:r>
        <w:rPr>
          <w:rFonts w:hint="eastAsia" w:ascii="宋体" w:hAnsi="宋体" w:cs="宋体"/>
          <w:color w:val="auto"/>
          <w:highlight w:val="none"/>
        </w:rPr>
        <w:t>安全标准化文件导入。</w:t>
      </w:r>
    </w:p>
    <w:p>
      <w:pPr>
        <w:pStyle w:val="7"/>
        <w:ind w:firstLine="422"/>
        <w:rPr>
          <w:rFonts w:ascii="宋体" w:hAnsi="宋体" w:cs="宋体"/>
          <w:color w:val="auto"/>
          <w:highlight w:val="none"/>
        </w:rPr>
      </w:pPr>
      <w:r>
        <w:rPr>
          <w:rFonts w:hint="eastAsia" w:ascii="宋体" w:hAnsi="宋体" w:cs="宋体"/>
          <w:color w:val="auto"/>
          <w:highlight w:val="none"/>
        </w:rPr>
        <w:t>水务信息化系统</w:t>
      </w:r>
    </w:p>
    <w:p>
      <w:pPr>
        <w:ind w:firstLine="422"/>
        <w:rPr>
          <w:rFonts w:ascii="宋体" w:hAnsi="宋体" w:cs="宋体"/>
          <w:color w:val="auto"/>
          <w:highlight w:val="none"/>
        </w:rPr>
      </w:pPr>
      <w:r>
        <w:rPr>
          <w:rFonts w:hint="eastAsia" w:ascii="宋体" w:hAnsi="宋体" w:cs="宋体"/>
          <w:b/>
          <w:color w:val="auto"/>
          <w:highlight w:val="none"/>
        </w:rPr>
        <w:t>集成要求：</w:t>
      </w:r>
    </w:p>
    <w:p>
      <w:pPr>
        <w:numPr>
          <w:ilvl w:val="0"/>
          <w:numId w:val="11"/>
        </w:numPr>
        <w:ind w:firstLineChars="0"/>
        <w:rPr>
          <w:rFonts w:ascii="宋体" w:hAnsi="宋体" w:cs="宋体"/>
          <w:color w:val="auto"/>
          <w:highlight w:val="none"/>
        </w:rPr>
      </w:pPr>
      <w:r>
        <w:rPr>
          <w:rFonts w:hint="eastAsia" w:ascii="宋体" w:hAnsi="宋体" w:cs="宋体"/>
          <w:color w:val="auto"/>
          <w:highlight w:val="none"/>
        </w:rPr>
        <w:t>闸泵工程基础信息；</w:t>
      </w:r>
    </w:p>
    <w:p>
      <w:pPr>
        <w:numPr>
          <w:ilvl w:val="0"/>
          <w:numId w:val="11"/>
        </w:numPr>
        <w:ind w:firstLineChars="0"/>
        <w:rPr>
          <w:rFonts w:ascii="宋体" w:hAnsi="宋体" w:cs="宋体"/>
          <w:color w:val="auto"/>
          <w:highlight w:val="none"/>
        </w:rPr>
      </w:pPr>
      <w:r>
        <w:rPr>
          <w:rFonts w:hint="eastAsia" w:ascii="宋体" w:hAnsi="宋体" w:cs="宋体"/>
          <w:color w:val="auto"/>
          <w:highlight w:val="none"/>
        </w:rPr>
        <w:t>闸泵工程在线状态；</w:t>
      </w:r>
    </w:p>
    <w:p>
      <w:pPr>
        <w:numPr>
          <w:ilvl w:val="0"/>
          <w:numId w:val="11"/>
        </w:numPr>
        <w:ind w:firstLineChars="0"/>
        <w:rPr>
          <w:rFonts w:ascii="宋体" w:hAnsi="宋体" w:cs="宋体"/>
          <w:color w:val="auto"/>
          <w:highlight w:val="none"/>
        </w:rPr>
      </w:pPr>
      <w:r>
        <w:rPr>
          <w:rFonts w:hint="eastAsia" w:ascii="宋体" w:hAnsi="宋体" w:cs="宋体"/>
          <w:color w:val="auto"/>
          <w:highlight w:val="none"/>
        </w:rPr>
        <w:t>应急状态下闸泵远程控制：北海路泵站、泥螺山泵站、新泓口2号泵站、跃进塘河排水泵站与盘棋山泵站，共计5处闸泵；</w:t>
      </w:r>
    </w:p>
    <w:p>
      <w:pPr>
        <w:numPr>
          <w:ilvl w:val="0"/>
          <w:numId w:val="11"/>
        </w:numPr>
        <w:ind w:firstLineChars="0"/>
        <w:rPr>
          <w:rFonts w:ascii="宋体" w:hAnsi="宋体" w:cs="宋体"/>
          <w:color w:val="auto"/>
          <w:highlight w:val="none"/>
        </w:rPr>
      </w:pPr>
      <w:r>
        <w:rPr>
          <w:rFonts w:hint="eastAsia" w:ascii="宋体" w:hAnsi="宋体" w:cs="宋体"/>
          <w:color w:val="auto"/>
          <w:highlight w:val="none"/>
        </w:rPr>
        <w:t>视频监控：主要监控点布置在闸各站点河道上游、河道下游、管理处入口、泵室、启闭机室、控制设备等安防要求较高的场所，及需要巡查的河道沿线，共计51处。</w:t>
      </w:r>
    </w:p>
    <w:p>
      <w:pPr>
        <w:pStyle w:val="7"/>
        <w:ind w:firstLine="422"/>
        <w:rPr>
          <w:rFonts w:ascii="宋体" w:hAnsi="宋体" w:cs="宋体"/>
          <w:color w:val="auto"/>
          <w:highlight w:val="none"/>
        </w:rPr>
      </w:pPr>
      <w:r>
        <w:rPr>
          <w:rFonts w:hint="eastAsia" w:ascii="宋体" w:hAnsi="宋体" w:cs="宋体"/>
          <w:color w:val="auto"/>
          <w:highlight w:val="none"/>
        </w:rPr>
        <w:t>镇海区智慧环保VOCs平台</w:t>
      </w:r>
    </w:p>
    <w:p>
      <w:pPr>
        <w:ind w:firstLine="422"/>
        <w:rPr>
          <w:rFonts w:ascii="宋体" w:hAnsi="宋体" w:cs="宋体"/>
          <w:color w:val="auto"/>
          <w:highlight w:val="none"/>
        </w:rPr>
      </w:pPr>
      <w:r>
        <w:rPr>
          <w:rFonts w:hint="eastAsia" w:ascii="宋体" w:hAnsi="宋体" w:cs="宋体"/>
          <w:b/>
          <w:color w:val="auto"/>
          <w:highlight w:val="none"/>
        </w:rPr>
        <w:t>集成要求：</w:t>
      </w:r>
    </w:p>
    <w:p>
      <w:pPr>
        <w:numPr>
          <w:ilvl w:val="0"/>
          <w:numId w:val="18"/>
        </w:numPr>
        <w:ind w:firstLineChars="0"/>
        <w:rPr>
          <w:rFonts w:ascii="宋体" w:hAnsi="宋体" w:cs="宋体"/>
          <w:color w:val="auto"/>
          <w:highlight w:val="none"/>
        </w:rPr>
      </w:pPr>
      <w:r>
        <w:rPr>
          <w:rFonts w:hint="eastAsia" w:ascii="宋体" w:hAnsi="宋体" w:cs="宋体"/>
          <w:color w:val="auto"/>
          <w:highlight w:val="none"/>
        </w:rPr>
        <w:t>园区布设的监测点位以及企业污染源的实时数据，包含：废气、废水、LDAR、大气站、边界站等；</w:t>
      </w:r>
    </w:p>
    <w:p>
      <w:pPr>
        <w:numPr>
          <w:ilvl w:val="0"/>
          <w:numId w:val="18"/>
        </w:numPr>
        <w:ind w:firstLineChars="0"/>
        <w:rPr>
          <w:rFonts w:ascii="宋体" w:hAnsi="宋体" w:cs="宋体"/>
          <w:color w:val="auto"/>
          <w:highlight w:val="none"/>
        </w:rPr>
      </w:pPr>
      <w:r>
        <w:rPr>
          <w:rFonts w:hint="eastAsia" w:ascii="宋体" w:hAnsi="宋体" w:cs="宋体"/>
          <w:color w:val="auto"/>
          <w:highlight w:val="none"/>
        </w:rPr>
        <w:t>10套大气自动站：6套常规【龙赛医院、新城、澥浦镇、九龙湖、煤场2套TSP】、4套大气特殊污染因子【镇海中学、围垦局、澥浦镇、蛟川站】；</w:t>
      </w:r>
    </w:p>
    <w:p>
      <w:pPr>
        <w:numPr>
          <w:ilvl w:val="0"/>
          <w:numId w:val="11"/>
        </w:numPr>
        <w:ind w:firstLineChars="0"/>
        <w:rPr>
          <w:rFonts w:ascii="宋体" w:hAnsi="宋体" w:cs="宋体"/>
          <w:color w:val="auto"/>
          <w:highlight w:val="none"/>
        </w:rPr>
      </w:pPr>
      <w:r>
        <w:rPr>
          <w:rFonts w:hint="eastAsia" w:ascii="宋体" w:hAnsi="宋体" w:cs="宋体"/>
          <w:color w:val="auto"/>
          <w:highlight w:val="none"/>
        </w:rPr>
        <w:t>22家企业48套烟气自动监控数据；</w:t>
      </w:r>
    </w:p>
    <w:p>
      <w:pPr>
        <w:numPr>
          <w:ilvl w:val="0"/>
          <w:numId w:val="11"/>
        </w:numPr>
        <w:ind w:firstLineChars="0"/>
        <w:rPr>
          <w:rFonts w:ascii="宋体" w:hAnsi="宋体" w:cs="宋体"/>
          <w:color w:val="auto"/>
          <w:highlight w:val="none"/>
        </w:rPr>
      </w:pPr>
      <w:r>
        <w:rPr>
          <w:rFonts w:hint="eastAsia" w:ascii="宋体" w:hAnsi="宋体" w:cs="宋体"/>
          <w:color w:val="auto"/>
          <w:highlight w:val="none"/>
        </w:rPr>
        <w:t>企业挥发性有机物监控：49家企业，52套厂界、117套排放口；</w:t>
      </w:r>
    </w:p>
    <w:p>
      <w:pPr>
        <w:numPr>
          <w:ilvl w:val="0"/>
          <w:numId w:val="11"/>
        </w:numPr>
        <w:ind w:firstLineChars="0"/>
        <w:rPr>
          <w:rFonts w:ascii="宋体" w:hAnsi="宋体" w:cs="宋体"/>
          <w:color w:val="auto"/>
          <w:highlight w:val="none"/>
        </w:rPr>
      </w:pPr>
      <w:r>
        <w:rPr>
          <w:rFonts w:hint="eastAsia" w:ascii="宋体" w:hAnsi="宋体" w:cs="宋体"/>
          <w:color w:val="auto"/>
          <w:highlight w:val="none"/>
        </w:rPr>
        <w:t>城郊烟气16套热成像摄像机；</w:t>
      </w:r>
    </w:p>
    <w:p>
      <w:pPr>
        <w:numPr>
          <w:ilvl w:val="0"/>
          <w:numId w:val="11"/>
        </w:numPr>
        <w:ind w:firstLineChars="0"/>
        <w:rPr>
          <w:rFonts w:ascii="宋体" w:hAnsi="宋体" w:cs="宋体"/>
          <w:color w:val="auto"/>
          <w:highlight w:val="none"/>
        </w:rPr>
      </w:pPr>
      <w:r>
        <w:rPr>
          <w:rFonts w:hint="eastAsia" w:ascii="宋体" w:hAnsi="宋体" w:cs="宋体"/>
          <w:color w:val="auto"/>
          <w:highlight w:val="none"/>
        </w:rPr>
        <w:t>扬尘在线监测PM2.5、PM10、TSP；</w:t>
      </w:r>
    </w:p>
    <w:p>
      <w:pPr>
        <w:numPr>
          <w:ilvl w:val="0"/>
          <w:numId w:val="11"/>
        </w:numPr>
        <w:ind w:firstLineChars="0"/>
        <w:rPr>
          <w:rFonts w:ascii="宋体" w:hAnsi="宋体" w:cs="宋体"/>
          <w:color w:val="auto"/>
          <w:highlight w:val="none"/>
        </w:rPr>
      </w:pPr>
      <w:r>
        <w:rPr>
          <w:rFonts w:hint="eastAsia" w:ascii="宋体" w:hAnsi="宋体" w:cs="宋体"/>
          <w:color w:val="auto"/>
          <w:highlight w:val="none"/>
        </w:rPr>
        <w:t>危险废物监控：25家企业出入口及贮存点视频监控70余个；</w:t>
      </w:r>
    </w:p>
    <w:p>
      <w:pPr>
        <w:numPr>
          <w:ilvl w:val="0"/>
          <w:numId w:val="11"/>
        </w:numPr>
        <w:ind w:firstLineChars="0"/>
        <w:rPr>
          <w:rFonts w:ascii="宋体" w:hAnsi="宋体" w:cs="宋体"/>
          <w:color w:val="auto"/>
          <w:highlight w:val="none"/>
        </w:rPr>
      </w:pPr>
      <w:r>
        <w:rPr>
          <w:rFonts w:hint="eastAsia" w:ascii="宋体" w:hAnsi="宋体" w:cs="宋体"/>
          <w:color w:val="auto"/>
          <w:highlight w:val="none"/>
        </w:rPr>
        <w:t>放射源监控：共14家涉源单位，重点监管源230枚；</w:t>
      </w:r>
    </w:p>
    <w:p>
      <w:pPr>
        <w:numPr>
          <w:ilvl w:val="0"/>
          <w:numId w:val="11"/>
        </w:numPr>
        <w:ind w:firstLineChars="0"/>
        <w:rPr>
          <w:rFonts w:ascii="宋体" w:hAnsi="宋体" w:cs="宋体"/>
          <w:color w:val="auto"/>
          <w:highlight w:val="none"/>
        </w:rPr>
      </w:pPr>
      <w:r>
        <w:rPr>
          <w:rFonts w:hint="eastAsia" w:ascii="宋体" w:hAnsi="宋体" w:cs="宋体"/>
          <w:color w:val="auto"/>
          <w:highlight w:val="none"/>
        </w:rPr>
        <w:t>高空瞭望等。</w:t>
      </w:r>
    </w:p>
    <w:p>
      <w:pPr>
        <w:pStyle w:val="7"/>
        <w:ind w:firstLine="422"/>
        <w:rPr>
          <w:rFonts w:ascii="宋体" w:hAnsi="宋体" w:cs="宋体"/>
          <w:color w:val="auto"/>
          <w:highlight w:val="none"/>
        </w:rPr>
      </w:pPr>
      <w:r>
        <w:rPr>
          <w:rFonts w:hint="eastAsia" w:ascii="宋体" w:hAnsi="宋体" w:cs="宋体"/>
          <w:color w:val="auto"/>
          <w:highlight w:val="none"/>
        </w:rPr>
        <w:t>镇海区道路运输监管平台</w:t>
      </w:r>
    </w:p>
    <w:p>
      <w:pPr>
        <w:ind w:firstLine="422"/>
        <w:rPr>
          <w:rFonts w:ascii="宋体" w:hAnsi="宋体" w:cs="宋体"/>
          <w:color w:val="auto"/>
          <w:highlight w:val="none"/>
        </w:rPr>
      </w:pPr>
      <w:r>
        <w:rPr>
          <w:rFonts w:hint="eastAsia" w:ascii="宋体" w:hAnsi="宋体" w:cs="宋体"/>
          <w:b/>
          <w:color w:val="auto"/>
          <w:highlight w:val="none"/>
        </w:rPr>
        <w:t>集成要求：</w:t>
      </w:r>
    </w:p>
    <w:p>
      <w:pPr>
        <w:numPr>
          <w:ilvl w:val="0"/>
          <w:numId w:val="11"/>
        </w:numPr>
        <w:ind w:firstLineChars="0"/>
        <w:rPr>
          <w:rFonts w:ascii="宋体" w:hAnsi="宋体" w:cs="宋体"/>
          <w:color w:val="auto"/>
          <w:highlight w:val="none"/>
        </w:rPr>
      </w:pPr>
      <w:r>
        <w:rPr>
          <w:rFonts w:hint="eastAsia" w:ascii="宋体" w:hAnsi="宋体" w:cs="宋体"/>
          <w:color w:val="auto"/>
          <w:highlight w:val="none"/>
        </w:rPr>
        <w:t>危化品运输车辆基本信息；</w:t>
      </w:r>
    </w:p>
    <w:p>
      <w:pPr>
        <w:numPr>
          <w:ilvl w:val="0"/>
          <w:numId w:val="11"/>
        </w:numPr>
        <w:ind w:firstLineChars="0"/>
        <w:rPr>
          <w:rFonts w:ascii="宋体" w:hAnsi="宋体" w:cs="宋体"/>
          <w:color w:val="auto"/>
          <w:highlight w:val="none"/>
        </w:rPr>
      </w:pPr>
      <w:r>
        <w:rPr>
          <w:rFonts w:hint="eastAsia" w:ascii="宋体" w:hAnsi="宋体" w:cs="宋体"/>
          <w:color w:val="auto"/>
          <w:highlight w:val="none"/>
        </w:rPr>
        <w:t>危化品道路运输报警信号；</w:t>
      </w:r>
    </w:p>
    <w:p>
      <w:pPr>
        <w:numPr>
          <w:ilvl w:val="0"/>
          <w:numId w:val="11"/>
        </w:numPr>
        <w:ind w:firstLineChars="0"/>
        <w:rPr>
          <w:rFonts w:ascii="宋体" w:hAnsi="宋体" w:cs="宋体"/>
          <w:color w:val="auto"/>
          <w:highlight w:val="none"/>
        </w:rPr>
      </w:pPr>
      <w:r>
        <w:rPr>
          <w:rFonts w:hint="eastAsia" w:ascii="宋体" w:hAnsi="宋体" w:cs="宋体"/>
          <w:color w:val="auto"/>
          <w:highlight w:val="none"/>
        </w:rPr>
        <w:t>危化品道路运输卡口视频。</w:t>
      </w:r>
    </w:p>
    <w:p>
      <w:pPr>
        <w:pStyle w:val="7"/>
        <w:ind w:firstLine="422"/>
        <w:rPr>
          <w:rFonts w:ascii="宋体" w:hAnsi="宋体" w:cs="宋体"/>
          <w:color w:val="auto"/>
          <w:highlight w:val="none"/>
        </w:rPr>
      </w:pPr>
      <w:r>
        <w:rPr>
          <w:rFonts w:hint="eastAsia" w:ascii="宋体" w:hAnsi="宋体" w:cs="宋体"/>
          <w:color w:val="auto"/>
          <w:highlight w:val="none"/>
        </w:rPr>
        <w:t>园区企业综合信息录入平台</w:t>
      </w:r>
    </w:p>
    <w:p>
      <w:pPr>
        <w:ind w:firstLine="420"/>
        <w:rPr>
          <w:rFonts w:ascii="宋体" w:hAnsi="宋体" w:cs="宋体"/>
          <w:color w:val="auto"/>
          <w:highlight w:val="none"/>
        </w:rPr>
      </w:pPr>
      <w:r>
        <w:rPr>
          <w:rFonts w:hint="eastAsia" w:ascii="宋体" w:hAnsi="宋体" w:cs="宋体"/>
          <w:color w:val="auto"/>
          <w:highlight w:val="none"/>
        </w:rPr>
        <w:t>因应急局正在进行系统升级，本期项目需要开发园区安全应急信息填报子系统，园区所有企业必须进行填报，主要内容有：</w:t>
      </w:r>
    </w:p>
    <w:p>
      <w:pPr>
        <w:numPr>
          <w:ilvl w:val="0"/>
          <w:numId w:val="11"/>
        </w:numPr>
        <w:ind w:firstLineChars="0"/>
        <w:rPr>
          <w:rFonts w:ascii="宋体" w:hAnsi="宋体" w:cs="宋体"/>
          <w:color w:val="auto"/>
          <w:highlight w:val="none"/>
        </w:rPr>
      </w:pPr>
      <w:r>
        <w:rPr>
          <w:rFonts w:hint="eastAsia" w:ascii="宋体" w:hAnsi="宋体" w:cs="宋体"/>
          <w:color w:val="auto"/>
          <w:highlight w:val="none"/>
        </w:rPr>
        <w:t>企业安全生产档案管理；</w:t>
      </w:r>
    </w:p>
    <w:p>
      <w:pPr>
        <w:numPr>
          <w:ilvl w:val="0"/>
          <w:numId w:val="11"/>
        </w:numPr>
        <w:ind w:firstLineChars="0"/>
        <w:rPr>
          <w:rFonts w:ascii="宋体" w:hAnsi="宋体" w:cs="宋体"/>
          <w:color w:val="auto"/>
          <w:highlight w:val="none"/>
        </w:rPr>
      </w:pPr>
      <w:r>
        <w:rPr>
          <w:rFonts w:hint="eastAsia" w:ascii="宋体" w:hAnsi="宋体" w:cs="宋体"/>
          <w:color w:val="auto"/>
          <w:highlight w:val="none"/>
        </w:rPr>
        <w:t>重大危险源管理信息；</w:t>
      </w:r>
    </w:p>
    <w:p>
      <w:pPr>
        <w:numPr>
          <w:ilvl w:val="0"/>
          <w:numId w:val="11"/>
        </w:numPr>
        <w:ind w:firstLineChars="0"/>
        <w:rPr>
          <w:rFonts w:ascii="宋体" w:hAnsi="宋体" w:cs="宋体"/>
          <w:color w:val="auto"/>
          <w:highlight w:val="none"/>
        </w:rPr>
      </w:pPr>
      <w:r>
        <w:rPr>
          <w:rFonts w:hint="eastAsia" w:ascii="宋体" w:hAnsi="宋体" w:cs="宋体"/>
          <w:color w:val="auto"/>
          <w:highlight w:val="none"/>
        </w:rPr>
        <w:t>应急救援管理信息；</w:t>
      </w:r>
    </w:p>
    <w:p>
      <w:pPr>
        <w:numPr>
          <w:ilvl w:val="0"/>
          <w:numId w:val="11"/>
        </w:numPr>
        <w:ind w:firstLineChars="0"/>
        <w:rPr>
          <w:rFonts w:ascii="宋体" w:hAnsi="宋体" w:cs="宋体"/>
          <w:color w:val="auto"/>
          <w:highlight w:val="none"/>
        </w:rPr>
      </w:pPr>
      <w:r>
        <w:rPr>
          <w:rFonts w:hint="eastAsia" w:ascii="宋体" w:hAnsi="宋体" w:cs="宋体"/>
          <w:color w:val="auto"/>
          <w:highlight w:val="none"/>
        </w:rPr>
        <w:t>承包商及分包商基础信息；</w:t>
      </w:r>
    </w:p>
    <w:p>
      <w:pPr>
        <w:numPr>
          <w:ilvl w:val="0"/>
          <w:numId w:val="11"/>
        </w:numPr>
        <w:ind w:firstLineChars="0"/>
        <w:rPr>
          <w:rFonts w:ascii="宋体" w:hAnsi="宋体" w:cs="宋体"/>
          <w:color w:val="auto"/>
          <w:highlight w:val="none"/>
        </w:rPr>
      </w:pPr>
      <w:r>
        <w:rPr>
          <w:rFonts w:hint="eastAsia" w:ascii="宋体" w:hAnsi="宋体" w:cs="宋体"/>
          <w:color w:val="auto"/>
          <w:highlight w:val="none"/>
        </w:rPr>
        <w:t>特殊作业申报信息：企业动火、受限空间、用电、吊装、盲板抽堵、动土、高处作业七大类；</w:t>
      </w:r>
    </w:p>
    <w:p>
      <w:pPr>
        <w:numPr>
          <w:ilvl w:val="0"/>
          <w:numId w:val="19"/>
        </w:numPr>
        <w:ind w:firstLineChars="0"/>
        <w:rPr>
          <w:rFonts w:ascii="宋体" w:hAnsi="宋体" w:cs="宋体"/>
          <w:color w:val="auto"/>
          <w:highlight w:val="none"/>
        </w:rPr>
      </w:pPr>
      <w:r>
        <w:rPr>
          <w:rFonts w:hint="eastAsia" w:ascii="宋体" w:hAnsi="宋体" w:cs="宋体"/>
          <w:color w:val="auto"/>
          <w:highlight w:val="none"/>
        </w:rPr>
        <w:t>检维修项目网上报告登记基础信息，包括企业检维修时间、承包商的资质文件（等级、范围）复印件、承包商法人代表、项目主要负责人、项目安全管理人员安全培训合格证书复印件、与检维修承包商签订的安全管理协议复印件、经公司盖章确认的承包商安全管理制度目录清单等；</w:t>
      </w:r>
    </w:p>
    <w:p>
      <w:pPr>
        <w:numPr>
          <w:ilvl w:val="0"/>
          <w:numId w:val="11"/>
        </w:numPr>
        <w:ind w:firstLineChars="0"/>
        <w:rPr>
          <w:rFonts w:ascii="宋体" w:hAnsi="宋体" w:cs="宋体"/>
          <w:color w:val="auto"/>
          <w:highlight w:val="none"/>
        </w:rPr>
      </w:pPr>
      <w:r>
        <w:rPr>
          <w:rFonts w:hint="eastAsia" w:ascii="宋体" w:hAnsi="宋体" w:cs="宋体"/>
          <w:color w:val="auto"/>
          <w:highlight w:val="none"/>
        </w:rPr>
        <w:t>应急救援指挥：应急预案、应急演练记录；</w:t>
      </w:r>
    </w:p>
    <w:p>
      <w:pPr>
        <w:numPr>
          <w:ilvl w:val="0"/>
          <w:numId w:val="11"/>
        </w:numPr>
        <w:ind w:firstLineChars="0"/>
        <w:rPr>
          <w:rFonts w:ascii="宋体" w:hAnsi="宋体" w:cs="宋体"/>
          <w:color w:val="auto"/>
          <w:highlight w:val="none"/>
        </w:rPr>
      </w:pPr>
      <w:r>
        <w:rPr>
          <w:rFonts w:hint="eastAsia" w:ascii="宋体" w:hAnsi="宋体" w:cs="宋体"/>
          <w:color w:val="auto"/>
          <w:highlight w:val="none"/>
        </w:rPr>
        <w:t>人员违章等黑名单管理信息；包括人员违章、供应商黑名单、车辆黑名单等。</w:t>
      </w:r>
    </w:p>
    <w:p>
      <w:pPr>
        <w:pStyle w:val="2"/>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备注：待应急局系统升级结束后，与应急局平台进行对接。</w:t>
      </w:r>
    </w:p>
    <w:p>
      <w:pPr>
        <w:pStyle w:val="7"/>
        <w:ind w:firstLine="422"/>
        <w:rPr>
          <w:rFonts w:ascii="宋体" w:hAnsi="宋体" w:cs="宋体"/>
          <w:color w:val="auto"/>
          <w:highlight w:val="none"/>
        </w:rPr>
      </w:pPr>
      <w:bookmarkStart w:id="1645" w:name="_Toc10934"/>
      <w:bookmarkStart w:id="1646" w:name="_Toc3164"/>
      <w:r>
        <w:rPr>
          <w:rFonts w:hint="eastAsia" w:ascii="宋体" w:hAnsi="宋体" w:cs="宋体"/>
          <w:color w:val="auto"/>
          <w:highlight w:val="none"/>
        </w:rPr>
        <w:t>园区企业类（一期试点5家企业）</w:t>
      </w:r>
      <w:bookmarkEnd w:id="1645"/>
      <w:bookmarkEnd w:id="1646"/>
    </w:p>
    <w:p>
      <w:pPr>
        <w:ind w:firstLine="420"/>
        <w:rPr>
          <w:rFonts w:ascii="宋体" w:hAnsi="宋体" w:cs="宋体"/>
          <w:color w:val="auto"/>
          <w:highlight w:val="none"/>
        </w:rPr>
      </w:pPr>
      <w:r>
        <w:rPr>
          <w:rFonts w:hint="eastAsia" w:ascii="宋体" w:hAnsi="宋体" w:cs="宋体"/>
          <w:color w:val="auto"/>
          <w:highlight w:val="none"/>
        </w:rPr>
        <w:t>智慧园区平台将实现与5家试点企业进行数据对接。</w:t>
      </w:r>
    </w:p>
    <w:p>
      <w:pPr>
        <w:ind w:firstLine="422"/>
        <w:rPr>
          <w:rFonts w:ascii="宋体" w:hAnsi="宋体" w:cs="宋体"/>
          <w:color w:val="auto"/>
          <w:highlight w:val="none"/>
        </w:rPr>
      </w:pPr>
      <w:r>
        <w:rPr>
          <w:rFonts w:hint="eastAsia" w:ascii="宋体" w:hAnsi="宋体" w:cs="宋体"/>
          <w:b/>
          <w:color w:val="auto"/>
          <w:highlight w:val="none"/>
        </w:rPr>
        <w:t>对接要求：</w:t>
      </w:r>
    </w:p>
    <w:p>
      <w:pPr>
        <w:numPr>
          <w:ilvl w:val="0"/>
          <w:numId w:val="20"/>
        </w:numPr>
        <w:ind w:firstLineChars="0"/>
        <w:rPr>
          <w:rFonts w:ascii="宋体" w:hAnsi="宋体" w:cs="宋体"/>
          <w:color w:val="auto"/>
          <w:highlight w:val="none"/>
        </w:rPr>
      </w:pPr>
      <w:r>
        <w:rPr>
          <w:rFonts w:hint="eastAsia" w:ascii="宋体" w:hAnsi="宋体" w:cs="宋体"/>
          <w:color w:val="auto"/>
          <w:highlight w:val="none"/>
        </w:rPr>
        <w:t>企业安全生产数据：实时采集企业两重点一重大数据、SIS系统报警数据、环保设施运行状态及数据。采集数据包括：一二级重大危险源的罐区（槽位）液位、温度、压力；进料、出料阀门状态；可燃易爆有毒气体监测信息；关键工艺上下限报警信息；SIS系统投用情况；A类设备运行状态；企业一级能耗；重大耗能设备用能情况；环保设备运行状态和监测数据；</w:t>
      </w:r>
    </w:p>
    <w:p>
      <w:pPr>
        <w:numPr>
          <w:ilvl w:val="0"/>
          <w:numId w:val="20"/>
        </w:numPr>
        <w:ind w:firstLineChars="0"/>
        <w:rPr>
          <w:rFonts w:ascii="宋体" w:hAnsi="宋体" w:cs="宋体"/>
          <w:color w:val="auto"/>
          <w:highlight w:val="none"/>
        </w:rPr>
      </w:pPr>
      <w:r>
        <w:rPr>
          <w:rFonts w:hint="eastAsia" w:ascii="宋体" w:hAnsi="宋体" w:cs="宋体"/>
          <w:color w:val="auto"/>
          <w:highlight w:val="none"/>
        </w:rPr>
        <w:t>一、二道门门禁：人员进出数据，含时间、人员、进出状态；关键危险源视频、企业全局高空瞭望、进出一、二道门门禁。</w:t>
      </w:r>
    </w:p>
    <w:p>
      <w:pPr>
        <w:pStyle w:val="5"/>
        <w:ind w:firstLine="422"/>
        <w:rPr>
          <w:rFonts w:ascii="宋体" w:hAnsi="宋体" w:cs="宋体"/>
          <w:color w:val="auto"/>
          <w:highlight w:val="none"/>
        </w:rPr>
      </w:pPr>
      <w:bookmarkStart w:id="1647" w:name="_Toc476216652"/>
      <w:bookmarkStart w:id="1648" w:name="_Toc71364395"/>
      <w:bookmarkStart w:id="1649" w:name="_Toc14333"/>
      <w:bookmarkStart w:id="1650" w:name="_Toc476216613"/>
      <w:bookmarkStart w:id="1651" w:name="_Toc61611609"/>
      <w:r>
        <w:rPr>
          <w:rFonts w:hint="eastAsia" w:ascii="宋体" w:hAnsi="宋体" w:cs="宋体"/>
          <w:color w:val="auto"/>
          <w:highlight w:val="none"/>
        </w:rPr>
        <w:t>基础设施平台建设需求</w:t>
      </w:r>
      <w:bookmarkEnd w:id="1647"/>
      <w:bookmarkEnd w:id="1648"/>
      <w:bookmarkEnd w:id="1649"/>
      <w:bookmarkEnd w:id="1650"/>
    </w:p>
    <w:p>
      <w:pPr>
        <w:pStyle w:val="7"/>
        <w:ind w:firstLine="422"/>
        <w:rPr>
          <w:rFonts w:ascii="宋体" w:hAnsi="宋体" w:cs="宋体"/>
          <w:color w:val="auto"/>
          <w:highlight w:val="none"/>
        </w:rPr>
      </w:pPr>
      <w:r>
        <w:rPr>
          <w:rFonts w:hint="eastAsia" w:ascii="宋体" w:hAnsi="宋体" w:cs="宋体"/>
          <w:color w:val="auto"/>
          <w:highlight w:val="none"/>
        </w:rPr>
        <w:t>总体需求</w:t>
      </w:r>
    </w:p>
    <w:p>
      <w:pPr>
        <w:ind w:firstLine="420"/>
        <w:rPr>
          <w:rFonts w:ascii="宋体" w:hAnsi="宋体" w:cs="宋体"/>
          <w:color w:val="auto"/>
          <w:highlight w:val="none"/>
        </w:rPr>
      </w:pPr>
      <w:r>
        <w:rPr>
          <w:rFonts w:hint="eastAsia" w:ascii="宋体" w:hAnsi="宋体" w:cs="宋体"/>
          <w:color w:val="auto"/>
          <w:highlight w:val="none"/>
        </w:rPr>
        <w:t>目前机房使用年限较久，缺乏统一规划，既有服务器机柜又有网络机柜，部分设备老化，总体需求：</w:t>
      </w:r>
    </w:p>
    <w:p>
      <w:pPr>
        <w:pStyle w:val="154"/>
        <w:numPr>
          <w:ilvl w:val="0"/>
          <w:numId w:val="21"/>
        </w:numPr>
        <w:ind w:firstLineChars="0"/>
        <w:rPr>
          <w:rFonts w:ascii="宋体" w:hAnsi="宋体" w:cs="宋体"/>
          <w:color w:val="auto"/>
          <w:highlight w:val="none"/>
        </w:rPr>
      </w:pPr>
      <w:r>
        <w:rPr>
          <w:rFonts w:hint="eastAsia" w:ascii="宋体" w:hAnsi="宋体" w:cs="宋体"/>
          <w:color w:val="auto"/>
          <w:highlight w:val="none"/>
        </w:rPr>
        <w:t>机房利旧，原网络机柜更换成服务器机柜，新增二个机柜；</w:t>
      </w:r>
    </w:p>
    <w:p>
      <w:pPr>
        <w:pStyle w:val="154"/>
        <w:numPr>
          <w:ilvl w:val="0"/>
          <w:numId w:val="21"/>
        </w:numPr>
        <w:ind w:firstLineChars="0"/>
        <w:rPr>
          <w:rFonts w:ascii="宋体" w:hAnsi="宋体" w:cs="宋体"/>
          <w:color w:val="auto"/>
          <w:highlight w:val="none"/>
        </w:rPr>
      </w:pPr>
      <w:r>
        <w:rPr>
          <w:rFonts w:hint="eastAsia" w:ascii="宋体" w:hAnsi="宋体" w:cs="宋体"/>
          <w:color w:val="auto"/>
          <w:highlight w:val="none"/>
        </w:rPr>
        <w:t>建设虚拟化应用场景，满足数字平台、应急指挥等应用系统部署要求；</w:t>
      </w:r>
    </w:p>
    <w:p>
      <w:pPr>
        <w:pStyle w:val="154"/>
        <w:numPr>
          <w:ilvl w:val="0"/>
          <w:numId w:val="21"/>
        </w:numPr>
        <w:ind w:firstLineChars="0"/>
        <w:rPr>
          <w:rFonts w:ascii="宋体" w:hAnsi="宋体" w:cs="宋体"/>
          <w:color w:val="auto"/>
          <w:highlight w:val="none"/>
        </w:rPr>
      </w:pPr>
      <w:r>
        <w:rPr>
          <w:rFonts w:hint="eastAsia" w:ascii="宋体" w:hAnsi="宋体" w:cs="宋体"/>
          <w:color w:val="auto"/>
          <w:highlight w:val="none"/>
        </w:rPr>
        <w:t>存储资源要求数据存储时间5年，高清晰视频存储为3天（500路）；</w:t>
      </w:r>
    </w:p>
    <w:p>
      <w:pPr>
        <w:pStyle w:val="154"/>
        <w:numPr>
          <w:ilvl w:val="0"/>
          <w:numId w:val="21"/>
        </w:numPr>
        <w:ind w:firstLineChars="0"/>
        <w:rPr>
          <w:rFonts w:ascii="宋体" w:hAnsi="宋体" w:cs="宋体"/>
          <w:color w:val="auto"/>
          <w:highlight w:val="none"/>
        </w:rPr>
      </w:pPr>
      <w:r>
        <w:rPr>
          <w:rFonts w:hint="eastAsia" w:ascii="宋体" w:hAnsi="宋体" w:cs="宋体"/>
          <w:color w:val="auto"/>
          <w:highlight w:val="none"/>
        </w:rPr>
        <w:t>升级UPS系统满足用电要求；</w:t>
      </w:r>
    </w:p>
    <w:p>
      <w:pPr>
        <w:pStyle w:val="154"/>
        <w:numPr>
          <w:ilvl w:val="0"/>
          <w:numId w:val="21"/>
        </w:numPr>
        <w:ind w:firstLineChars="0"/>
        <w:rPr>
          <w:rFonts w:ascii="宋体" w:hAnsi="宋体" w:cs="宋体"/>
          <w:color w:val="auto"/>
          <w:highlight w:val="none"/>
        </w:rPr>
      </w:pPr>
      <w:r>
        <w:rPr>
          <w:rFonts w:hint="eastAsia" w:ascii="宋体" w:hAnsi="宋体" w:cs="宋体"/>
          <w:color w:val="auto"/>
          <w:highlight w:val="none"/>
        </w:rPr>
        <w:t>现有设备和线路整理；</w:t>
      </w:r>
    </w:p>
    <w:p>
      <w:pPr>
        <w:pStyle w:val="154"/>
        <w:numPr>
          <w:ilvl w:val="0"/>
          <w:numId w:val="21"/>
        </w:numPr>
        <w:ind w:firstLineChars="0"/>
        <w:rPr>
          <w:rFonts w:ascii="宋体" w:hAnsi="宋体" w:cs="宋体"/>
          <w:color w:val="auto"/>
          <w:highlight w:val="none"/>
        </w:rPr>
      </w:pPr>
      <w:r>
        <w:rPr>
          <w:rFonts w:hint="eastAsia" w:ascii="宋体" w:hAnsi="宋体" w:cs="宋体"/>
          <w:color w:val="auto"/>
          <w:highlight w:val="none"/>
        </w:rPr>
        <w:t>增加门禁系统、机房监测、消防系统改造等；</w:t>
      </w:r>
    </w:p>
    <w:p>
      <w:pPr>
        <w:pStyle w:val="154"/>
        <w:numPr>
          <w:ilvl w:val="0"/>
          <w:numId w:val="22"/>
        </w:numPr>
        <w:ind w:firstLineChars="0"/>
        <w:rPr>
          <w:rFonts w:ascii="宋体" w:hAnsi="宋体" w:cs="宋体"/>
          <w:color w:val="auto"/>
          <w:highlight w:val="none"/>
        </w:rPr>
      </w:pPr>
      <w:r>
        <w:rPr>
          <w:rFonts w:hint="eastAsia" w:ascii="宋体" w:hAnsi="宋体" w:cs="宋体"/>
          <w:color w:val="auto"/>
          <w:highlight w:val="none"/>
        </w:rPr>
        <w:t>网络及安全区主要有核心交换机、存储交换机、网络安全设备等设备构成。满足等保2.0三级保护要求。</w:t>
      </w:r>
    </w:p>
    <w:p>
      <w:pPr>
        <w:pStyle w:val="7"/>
        <w:ind w:firstLine="422"/>
        <w:rPr>
          <w:rFonts w:ascii="宋体" w:hAnsi="宋体" w:cs="宋体"/>
          <w:color w:val="auto"/>
          <w:highlight w:val="none"/>
        </w:rPr>
      </w:pPr>
      <w:r>
        <w:rPr>
          <w:rFonts w:hint="eastAsia" w:ascii="宋体" w:hAnsi="宋体" w:cs="宋体"/>
          <w:color w:val="auto"/>
          <w:highlight w:val="none"/>
        </w:rPr>
        <w:t>性能要求</w:t>
      </w:r>
    </w:p>
    <w:p>
      <w:pPr>
        <w:pStyle w:val="8"/>
        <w:ind w:firstLine="420"/>
        <w:rPr>
          <w:rFonts w:ascii="宋体" w:hAnsi="宋体" w:cs="宋体"/>
          <w:color w:val="auto"/>
          <w:highlight w:val="none"/>
        </w:rPr>
      </w:pPr>
      <w:r>
        <w:rPr>
          <w:rFonts w:hint="eastAsia" w:ascii="宋体" w:hAnsi="宋体" w:cs="宋体"/>
          <w:color w:val="auto"/>
          <w:highlight w:val="none"/>
        </w:rPr>
        <w:t>网络、安全及5家试点企业接入设备</w:t>
      </w:r>
    </w:p>
    <w:p>
      <w:pPr>
        <w:ind w:firstLine="420"/>
        <w:rPr>
          <w:rFonts w:ascii="宋体" w:hAnsi="宋体" w:cs="宋体"/>
          <w:color w:val="auto"/>
          <w:highlight w:val="none"/>
        </w:rPr>
      </w:pPr>
      <w:r>
        <w:rPr>
          <w:rFonts w:hint="eastAsia" w:ascii="宋体" w:hAnsi="宋体" w:cs="宋体"/>
          <w:color w:val="auto"/>
          <w:highlight w:val="none"/>
        </w:rPr>
        <w:t>详见技术需求1.4.11.3软硬件清单。</w:t>
      </w:r>
    </w:p>
    <w:p>
      <w:pPr>
        <w:pStyle w:val="8"/>
        <w:ind w:firstLine="420"/>
        <w:rPr>
          <w:rFonts w:ascii="宋体" w:hAnsi="宋体" w:cs="宋体"/>
          <w:color w:val="auto"/>
          <w:highlight w:val="none"/>
        </w:rPr>
      </w:pPr>
      <w:r>
        <w:rPr>
          <w:rFonts w:hint="eastAsia" w:ascii="宋体" w:hAnsi="宋体" w:cs="宋体"/>
          <w:color w:val="auto"/>
          <w:highlight w:val="none"/>
        </w:rPr>
        <w:t>机房硬件设备</w:t>
      </w:r>
    </w:p>
    <w:p>
      <w:pPr>
        <w:ind w:firstLine="420"/>
        <w:rPr>
          <w:rFonts w:ascii="宋体" w:hAnsi="宋体" w:cs="宋体"/>
          <w:color w:val="auto"/>
          <w:highlight w:val="none"/>
        </w:rPr>
      </w:pPr>
      <w:r>
        <w:rPr>
          <w:rFonts w:hint="eastAsia" w:ascii="宋体" w:hAnsi="宋体" w:cs="宋体"/>
          <w:color w:val="auto"/>
          <w:highlight w:val="none"/>
        </w:rPr>
        <w:t>详见技术需求1.4.11.3软硬件清单。</w:t>
      </w:r>
    </w:p>
    <w:p>
      <w:pPr>
        <w:pStyle w:val="5"/>
        <w:ind w:firstLine="422"/>
        <w:rPr>
          <w:rFonts w:ascii="宋体" w:hAnsi="宋体" w:cs="宋体"/>
          <w:color w:val="auto"/>
          <w:highlight w:val="none"/>
        </w:rPr>
      </w:pPr>
      <w:bookmarkStart w:id="1652" w:name="_Toc17615"/>
      <w:bookmarkStart w:id="1653" w:name="_Toc29941"/>
      <w:bookmarkStart w:id="1654" w:name="_Toc29494"/>
      <w:bookmarkStart w:id="1655" w:name="_Toc24510"/>
      <w:r>
        <w:rPr>
          <w:rFonts w:hint="eastAsia" w:ascii="宋体" w:hAnsi="宋体" w:cs="宋体"/>
          <w:color w:val="auto"/>
          <w:highlight w:val="none"/>
        </w:rPr>
        <w:t>运营中心</w:t>
      </w:r>
      <w:bookmarkEnd w:id="1652"/>
      <w:bookmarkEnd w:id="1653"/>
      <w:bookmarkEnd w:id="1654"/>
      <w:bookmarkEnd w:id="1655"/>
    </w:p>
    <w:p>
      <w:pPr>
        <w:ind w:firstLine="420"/>
        <w:rPr>
          <w:rFonts w:ascii="宋体" w:hAnsi="宋体" w:cs="宋体"/>
          <w:b/>
          <w:color w:val="auto"/>
          <w:sz w:val="28"/>
          <w:szCs w:val="26"/>
          <w:highlight w:val="none"/>
        </w:rPr>
      </w:pPr>
      <w:r>
        <w:rPr>
          <w:rFonts w:hint="eastAsia" w:ascii="宋体" w:hAnsi="宋体" w:cs="宋体"/>
          <w:color w:val="auto"/>
          <w:highlight w:val="none"/>
        </w:rPr>
        <w:t>运营中心位于管委会1#楼一楼。目前显示区有P1.2全彩LED显示屏，高度为1.6875m，长度为4.2m，总计面积为7.08平方，配套有视频会议系统、会议系统、调度台等。主要功能有日常会议、远程视频会议、执行现场指挥、内网大数据分析、联合相关部门信息决策，预览视频监控（含新建5个高空瞭望及2个镇海炼化高空瞭望点），综合调度指挥等。一期项目建设中运营中心使用现有的显示资源，在充分利旧的基础下，新增融合通讯设备，实现园区运行管理、辅助决策支持和应急救援指挥三大功能。</w:t>
      </w:r>
    </w:p>
    <w:p>
      <w:pPr>
        <w:pStyle w:val="5"/>
        <w:ind w:firstLine="422"/>
        <w:rPr>
          <w:rFonts w:ascii="宋体" w:hAnsi="宋体" w:cs="宋体"/>
          <w:color w:val="auto"/>
          <w:highlight w:val="none"/>
        </w:rPr>
      </w:pPr>
      <w:bookmarkStart w:id="1656" w:name="_Toc31358"/>
      <w:bookmarkStart w:id="1657" w:name="_Toc25364"/>
      <w:bookmarkStart w:id="1658" w:name="_Toc9200"/>
      <w:bookmarkStart w:id="1659" w:name="_Toc16"/>
      <w:bookmarkStart w:id="1660" w:name="_Toc26886"/>
      <w:bookmarkStart w:id="1661" w:name="_Toc11712"/>
      <w:bookmarkStart w:id="1662" w:name="_Toc26044"/>
      <w:r>
        <w:rPr>
          <w:rFonts w:hint="eastAsia" w:ascii="宋体" w:hAnsi="宋体" w:cs="宋体"/>
          <w:color w:val="auto"/>
          <w:highlight w:val="none"/>
        </w:rPr>
        <w:t>融合通信平台建设</w:t>
      </w:r>
      <w:bookmarkEnd w:id="1656"/>
      <w:bookmarkEnd w:id="1657"/>
      <w:bookmarkEnd w:id="1658"/>
      <w:bookmarkEnd w:id="1659"/>
      <w:bookmarkEnd w:id="1660"/>
      <w:bookmarkEnd w:id="1661"/>
      <w:bookmarkEnd w:id="1662"/>
    </w:p>
    <w:p>
      <w:pPr>
        <w:ind w:firstLine="420"/>
        <w:rPr>
          <w:rFonts w:ascii="宋体" w:hAnsi="宋体" w:cs="宋体"/>
          <w:color w:val="auto"/>
          <w:highlight w:val="none"/>
        </w:rPr>
      </w:pPr>
      <w:r>
        <w:rPr>
          <w:rFonts w:hint="eastAsia" w:ascii="宋体" w:hAnsi="宋体" w:cs="宋体"/>
          <w:color w:val="auto"/>
          <w:highlight w:val="none"/>
        </w:rPr>
        <w:t>融合通信平台能够实现各种渠道的接入，包括会商终端、视频监控、语音话机/手机、移动终端、单兵执法仪、短信系统、传真系统等，各种渠道接入后对上层可视指挥调度应用提供通信能力支撑，开放接口供上层应用进行音视频通信的控制。同时融合指挥平台提供北向接口，便于后续平台的对接。本项目涉及到72家危化企业，企业清单如下：</w:t>
      </w:r>
    </w:p>
    <w:tbl>
      <w:tblPr>
        <w:tblStyle w:val="37"/>
        <w:tblW w:w="0" w:type="auto"/>
        <w:jc w:val="center"/>
        <w:tblLayout w:type="fixed"/>
        <w:tblCellMar>
          <w:top w:w="0" w:type="dxa"/>
          <w:left w:w="0" w:type="dxa"/>
          <w:bottom w:w="0" w:type="dxa"/>
          <w:right w:w="0" w:type="dxa"/>
        </w:tblCellMar>
      </w:tblPr>
      <w:tblGrid>
        <w:gridCol w:w="630"/>
        <w:gridCol w:w="6221"/>
        <w:gridCol w:w="2077"/>
      </w:tblGrid>
      <w:tr>
        <w:tblPrEx>
          <w:tblCellMar>
            <w:top w:w="0" w:type="dxa"/>
            <w:left w:w="0" w:type="dxa"/>
            <w:bottom w:w="0" w:type="dxa"/>
            <w:right w:w="0" w:type="dxa"/>
          </w:tblCellMar>
        </w:tblPrEx>
        <w:trPr>
          <w:trHeight w:val="460" w:hRule="atLeast"/>
          <w:jc w:val="center"/>
        </w:trPr>
        <w:tc>
          <w:tcPr>
            <w:tcW w:w="8928" w:type="dxa"/>
            <w:gridSpan w:val="3"/>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ind w:firstLine="422"/>
              <w:jc w:val="center"/>
              <w:rPr>
                <w:rFonts w:ascii="宋体" w:hAnsi="宋体" w:cs="宋体"/>
                <w:color w:val="auto"/>
                <w:highlight w:val="none"/>
              </w:rPr>
            </w:pPr>
            <w:r>
              <w:rPr>
                <w:rFonts w:hint="eastAsia" w:ascii="宋体" w:hAnsi="宋体" w:cs="宋体"/>
                <w:b/>
                <w:bCs/>
                <w:color w:val="auto"/>
                <w:highlight w:val="none"/>
              </w:rPr>
              <w:t>宁波石化经济技术开发区危化企业清单</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序号</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单      位</w:t>
            </w:r>
          </w:p>
        </w:tc>
        <w:tc>
          <w:tcPr>
            <w:tcW w:w="2077"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所属行业</w:t>
            </w:r>
          </w:p>
        </w:tc>
      </w:tr>
      <w:tr>
        <w:tblPrEx>
          <w:tblCellMar>
            <w:top w:w="0" w:type="dxa"/>
            <w:left w:w="0" w:type="dxa"/>
            <w:bottom w:w="0" w:type="dxa"/>
            <w:right w:w="0" w:type="dxa"/>
          </w:tblCellMar>
        </w:tblPrEx>
        <w:trPr>
          <w:trHeight w:val="585"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1</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中国石化化工股份有限公司镇海炼化分公司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石油化工</w:t>
            </w:r>
          </w:p>
        </w:tc>
      </w:tr>
      <w:tr>
        <w:tblPrEx>
          <w:tblCellMar>
            <w:top w:w="0" w:type="dxa"/>
            <w:left w:w="0" w:type="dxa"/>
            <w:bottom w:w="0" w:type="dxa"/>
            <w:right w:w="0" w:type="dxa"/>
          </w:tblCellMar>
        </w:tblPrEx>
        <w:trPr>
          <w:trHeight w:val="48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2</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宁波镇海炼化利安德化学有限公司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石油化工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3</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宁波巨化科技发展有限公司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石油化工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4</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宁波镇洋化工发展有限公司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基础化工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5</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宁波富德能源有限公司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石油化工</w:t>
            </w:r>
          </w:p>
        </w:tc>
      </w:tr>
      <w:tr>
        <w:tblPrEx>
          <w:tblCellMar>
            <w:top w:w="0" w:type="dxa"/>
            <w:left w:w="0" w:type="dxa"/>
            <w:bottom w:w="0" w:type="dxa"/>
            <w:right w:w="0" w:type="dxa"/>
          </w:tblCellMar>
        </w:tblPrEx>
        <w:trPr>
          <w:trHeight w:val="52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6</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诺力昂化学品（宁波）有限公司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精细化工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7</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宁波大安化学工业有限公司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石油化工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8</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恒河材料科技股份有限公司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石油化工</w:t>
            </w:r>
          </w:p>
        </w:tc>
      </w:tr>
      <w:tr>
        <w:tblPrEx>
          <w:tblCellMar>
            <w:top w:w="0" w:type="dxa"/>
            <w:left w:w="0" w:type="dxa"/>
            <w:bottom w:w="0" w:type="dxa"/>
            <w:right w:w="0" w:type="dxa"/>
          </w:tblCellMar>
        </w:tblPrEx>
        <w:trPr>
          <w:trHeight w:val="52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9</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宁波金海晨光化学股份有限公司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石油化工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10</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宁波江宁化工有限公司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石油化工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11</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宁波浙铁大风化工有限公司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石油化工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12</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宁波四明化工有限公司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基础化工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13</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宁波市镇海泰达化工有限公司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石油化工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14</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宁波广昌达石油化工有限公司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石油化工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15</w:t>
            </w:r>
          </w:p>
        </w:tc>
        <w:tc>
          <w:tcPr>
            <w:tcW w:w="6221"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宁波先安化工有限公司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精细化工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16</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宁波新福化工科技有限公司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基础化工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17</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宁波新明化工有限公司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精细化工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18</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宁波爱思开橡胶有限公司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石油化工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19</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宁波人健医药化工有限公司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医药</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20</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镇海泰纳化工有限公司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石油化工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21</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宁波三江益农化学有限公司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精细化工</w:t>
            </w:r>
          </w:p>
        </w:tc>
      </w:tr>
      <w:tr>
        <w:tblPrEx>
          <w:tblCellMar>
            <w:top w:w="0" w:type="dxa"/>
            <w:left w:w="0" w:type="dxa"/>
            <w:bottom w:w="0" w:type="dxa"/>
            <w:right w:w="0" w:type="dxa"/>
          </w:tblCellMar>
        </w:tblPrEx>
        <w:trPr>
          <w:trHeight w:val="52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22</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福安药业集团宁波天衡制药有限公司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医药</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23</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宁波争光树脂有限公司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精细化工</w:t>
            </w:r>
          </w:p>
        </w:tc>
      </w:tr>
      <w:tr>
        <w:tblPrEx>
          <w:tblCellMar>
            <w:top w:w="0" w:type="dxa"/>
            <w:left w:w="0" w:type="dxa"/>
            <w:bottom w:w="0" w:type="dxa"/>
            <w:right w:w="0" w:type="dxa"/>
          </w:tblCellMar>
        </w:tblPrEx>
        <w:trPr>
          <w:trHeight w:val="52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24</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浙江鑫甬生物化工股份有限公司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精细化工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25</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宁波金辉化工实业有限公司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精细化工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26</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宁波诺尔丽化学科技有限公司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精细化工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27</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宁波安力电子材料有限公司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精细化工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28</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宁波永顺精细化工有限公司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精细化工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29</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宁波大达化学有限公司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精细化工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30</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华东能源环保股份有限公司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基础化工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31</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宁波市镇海飞翔液氨充装站</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精细化工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32</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宁波三达化工有限公司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基础化工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33</w:t>
            </w:r>
          </w:p>
        </w:tc>
        <w:tc>
          <w:tcPr>
            <w:tcW w:w="6221"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宁波中金石化股份有限公司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石油化工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34</w:t>
            </w:r>
          </w:p>
        </w:tc>
        <w:tc>
          <w:tcPr>
            <w:tcW w:w="6221"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宁波渤川废液处置有限公司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基础化工</w:t>
            </w:r>
          </w:p>
        </w:tc>
      </w:tr>
      <w:tr>
        <w:tblPrEx>
          <w:tblCellMar>
            <w:top w:w="0" w:type="dxa"/>
            <w:left w:w="0" w:type="dxa"/>
            <w:bottom w:w="0" w:type="dxa"/>
            <w:right w:w="0" w:type="dxa"/>
          </w:tblCellMar>
        </w:tblPrEx>
        <w:trPr>
          <w:trHeight w:val="52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35</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宁波镇海炼化林德气体有限公司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基础化工</w:t>
            </w:r>
          </w:p>
        </w:tc>
      </w:tr>
      <w:tr>
        <w:tblPrEx>
          <w:tblCellMar>
            <w:top w:w="0" w:type="dxa"/>
            <w:left w:w="0" w:type="dxa"/>
            <w:bottom w:w="0" w:type="dxa"/>
            <w:right w:w="0" w:type="dxa"/>
          </w:tblCellMar>
        </w:tblPrEx>
        <w:trPr>
          <w:trHeight w:val="52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36</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宁波昊德化学工业股份有限公司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石油化工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37</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宁波博汇石油有限公司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石油化工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38</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宁波德欣科技有限公司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精细化工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39</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宁波乐金甬兴化工有限公司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石油化工</w:t>
            </w:r>
          </w:p>
        </w:tc>
      </w:tr>
      <w:tr>
        <w:tblPrEx>
          <w:tblCellMar>
            <w:top w:w="0" w:type="dxa"/>
            <w:left w:w="0" w:type="dxa"/>
            <w:bottom w:w="0" w:type="dxa"/>
            <w:right w:w="0" w:type="dxa"/>
          </w:tblCellMar>
        </w:tblPrEx>
        <w:trPr>
          <w:trHeight w:val="52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40</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英力士苯领高分子材料（宁波）有限公司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石油化工</w:t>
            </w:r>
          </w:p>
        </w:tc>
      </w:tr>
      <w:tr>
        <w:tblPrEx>
          <w:tblCellMar>
            <w:top w:w="0" w:type="dxa"/>
            <w:left w:w="0" w:type="dxa"/>
            <w:bottom w:w="0" w:type="dxa"/>
            <w:right w:w="0" w:type="dxa"/>
          </w:tblCellMar>
        </w:tblPrEx>
        <w:trPr>
          <w:trHeight w:val="52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41</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镇海石化工业贸易有限责任公司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石油化工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42</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浙江杭州湾腈纶有限公司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石油化工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43</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宁波顺泽橡胶有限公司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石油化工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44</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宁波甬兴化工有限公司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石油化工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45</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宁波远海化工有限公司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精细化工</w:t>
            </w:r>
          </w:p>
        </w:tc>
      </w:tr>
      <w:tr>
        <w:tblPrEx>
          <w:tblCellMar>
            <w:top w:w="0" w:type="dxa"/>
            <w:left w:w="0" w:type="dxa"/>
            <w:bottom w:w="0" w:type="dxa"/>
            <w:right w:w="0" w:type="dxa"/>
          </w:tblCellMar>
        </w:tblPrEx>
        <w:trPr>
          <w:trHeight w:val="52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46</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中国石化集团石油商业储备有限公司宁波分公司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石油化工</w:t>
            </w:r>
          </w:p>
        </w:tc>
      </w:tr>
      <w:tr>
        <w:tblPrEx>
          <w:tblCellMar>
            <w:top w:w="0" w:type="dxa"/>
            <w:left w:w="0" w:type="dxa"/>
            <w:bottom w:w="0" w:type="dxa"/>
            <w:right w:w="0" w:type="dxa"/>
          </w:tblCellMar>
        </w:tblPrEx>
        <w:trPr>
          <w:trHeight w:val="52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47</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中石化石油销售有限责任公司宁波镇海分公司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石油化工</w:t>
            </w:r>
          </w:p>
        </w:tc>
      </w:tr>
      <w:tr>
        <w:tblPrEx>
          <w:tblCellMar>
            <w:top w:w="0" w:type="dxa"/>
            <w:left w:w="0" w:type="dxa"/>
            <w:bottom w:w="0" w:type="dxa"/>
            <w:right w:w="0" w:type="dxa"/>
          </w:tblCellMar>
        </w:tblPrEx>
        <w:trPr>
          <w:trHeight w:val="52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48</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镇海国家石油储备基地有限责任公司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石油化工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49</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宁波瑞福特气体储运有限公司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石油化工</w:t>
            </w:r>
          </w:p>
        </w:tc>
      </w:tr>
      <w:tr>
        <w:tblPrEx>
          <w:tblCellMar>
            <w:top w:w="0" w:type="dxa"/>
            <w:left w:w="0" w:type="dxa"/>
            <w:bottom w:w="0" w:type="dxa"/>
            <w:right w:w="0" w:type="dxa"/>
          </w:tblCellMar>
        </w:tblPrEx>
        <w:trPr>
          <w:trHeight w:val="52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50</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宁波镇海威远林德气体有限公司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基础化工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51</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宁波市镇海蟹浦亚大供气站</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基础化工</w:t>
            </w:r>
          </w:p>
        </w:tc>
      </w:tr>
      <w:tr>
        <w:tblPrEx>
          <w:tblCellMar>
            <w:top w:w="0" w:type="dxa"/>
            <w:left w:w="0" w:type="dxa"/>
            <w:bottom w:w="0" w:type="dxa"/>
            <w:right w:w="0" w:type="dxa"/>
          </w:tblCellMar>
        </w:tblPrEx>
        <w:trPr>
          <w:trHeight w:val="52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52</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宁波神化特种化学品集成有限公司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基础化工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53</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宁波天利石油化工有限公司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石油化工</w:t>
            </w:r>
          </w:p>
        </w:tc>
      </w:tr>
      <w:tr>
        <w:tblPrEx>
          <w:tblCellMar>
            <w:top w:w="0" w:type="dxa"/>
            <w:left w:w="0" w:type="dxa"/>
            <w:bottom w:w="0" w:type="dxa"/>
            <w:right w:w="0" w:type="dxa"/>
          </w:tblCellMar>
        </w:tblPrEx>
        <w:trPr>
          <w:trHeight w:val="52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54</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宁波大红鹰生物工程股份有限公司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精细化工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55</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宁波远欧精细化工有限公司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医药</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56</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宁波龙欣精细化工有限公司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精细化工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57</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爱敬（宁波）化工有限公司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精细化工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58</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宁波康普化工有限公司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精细化工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59</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宁波立华制药镇海分公司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医药</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60</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宁波现代精细化工有限公司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精细化工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61</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宁波甬华树脂有限公司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石油化工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62</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宁波伸春亚克力制品有限公司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精细化工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63</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浙江久而久化学有限公司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精细化工</w:t>
            </w:r>
          </w:p>
        </w:tc>
      </w:tr>
      <w:tr>
        <w:tblPrEx>
          <w:tblCellMar>
            <w:top w:w="0" w:type="dxa"/>
            <w:left w:w="0" w:type="dxa"/>
            <w:bottom w:w="0" w:type="dxa"/>
            <w:right w:w="0" w:type="dxa"/>
          </w:tblCellMar>
        </w:tblPrEx>
        <w:trPr>
          <w:trHeight w:val="52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64</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宁波东方永宁化工科技有限公司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精细化工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65</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宁波美琪化工有限公司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精细化工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66</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宁波永固化工有限公司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精细化工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67</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宁波互邦新材料有限公司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精细化工</w:t>
            </w:r>
          </w:p>
        </w:tc>
      </w:tr>
      <w:tr>
        <w:tblPrEx>
          <w:tblCellMar>
            <w:top w:w="0" w:type="dxa"/>
            <w:left w:w="0" w:type="dxa"/>
            <w:bottom w:w="0" w:type="dxa"/>
            <w:right w:w="0" w:type="dxa"/>
          </w:tblCellMar>
        </w:tblPrEx>
        <w:trPr>
          <w:trHeight w:val="52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68</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宁波市镇海新东方精细化工有限公司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精细化工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69</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宁波大地环保有限公司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危废处置</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70</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朗盛（宁波）颜料有限公司</w:t>
            </w:r>
          </w:p>
        </w:tc>
        <w:tc>
          <w:tcPr>
            <w:tcW w:w="2077"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highlight w:val="none"/>
              </w:rPr>
            </w:pP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71</w:t>
            </w:r>
          </w:p>
        </w:tc>
        <w:tc>
          <w:tcPr>
            <w:tcW w:w="622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宁波银亿科创新材料有限公司</w:t>
            </w:r>
          </w:p>
        </w:tc>
        <w:tc>
          <w:tcPr>
            <w:tcW w:w="2077"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ind w:firstLine="0" w:firstLineChars="0"/>
              <w:rPr>
                <w:rFonts w:ascii="宋体" w:hAnsi="宋体" w:cs="宋体"/>
                <w:color w:val="auto"/>
                <w:highlight w:val="none"/>
              </w:rPr>
            </w:pP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72</w:t>
            </w:r>
          </w:p>
        </w:tc>
        <w:tc>
          <w:tcPr>
            <w:tcW w:w="622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ind w:firstLine="0" w:firstLineChars="0"/>
              <w:rPr>
                <w:rFonts w:ascii="宋体" w:hAnsi="宋体" w:cs="宋体"/>
                <w:color w:val="auto"/>
                <w:highlight w:val="none"/>
              </w:rPr>
            </w:pPr>
            <w:r>
              <w:rPr>
                <w:rFonts w:hint="eastAsia" w:ascii="宋体" w:hAnsi="宋体" w:cs="宋体"/>
                <w:color w:val="auto"/>
                <w:highlight w:val="none"/>
              </w:rPr>
              <w:t>宁波家联科技股份有限公司</w:t>
            </w:r>
          </w:p>
        </w:tc>
        <w:tc>
          <w:tcPr>
            <w:tcW w:w="2077"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ind w:firstLine="0" w:firstLineChars="0"/>
              <w:rPr>
                <w:rFonts w:ascii="宋体" w:hAnsi="宋体" w:cs="宋体"/>
                <w:color w:val="auto"/>
                <w:highlight w:val="none"/>
              </w:rPr>
            </w:pPr>
          </w:p>
        </w:tc>
      </w:tr>
    </w:tbl>
    <w:p>
      <w:pPr>
        <w:pStyle w:val="123"/>
        <w:ind w:firstLine="0" w:firstLineChars="0"/>
        <w:rPr>
          <w:rFonts w:ascii="宋体" w:hAnsi="宋体" w:cs="宋体"/>
          <w:color w:val="auto"/>
          <w:highlight w:val="none"/>
        </w:rPr>
      </w:pPr>
    </w:p>
    <w:p>
      <w:pPr>
        <w:pStyle w:val="7"/>
        <w:ind w:firstLine="422"/>
        <w:rPr>
          <w:rFonts w:ascii="宋体" w:hAnsi="宋体" w:cs="宋体"/>
          <w:color w:val="auto"/>
          <w:highlight w:val="none"/>
        </w:rPr>
      </w:pPr>
      <w:r>
        <w:rPr>
          <w:rFonts w:hint="eastAsia" w:ascii="宋体" w:hAnsi="宋体" w:cs="宋体"/>
          <w:color w:val="auto"/>
          <w:highlight w:val="none"/>
        </w:rPr>
        <w:t>融合调度业务功能</w:t>
      </w:r>
    </w:p>
    <w:p>
      <w:pPr>
        <w:ind w:firstLine="420"/>
        <w:rPr>
          <w:rFonts w:ascii="宋体" w:hAnsi="宋体" w:cs="宋体"/>
          <w:color w:val="auto"/>
          <w:highlight w:val="none"/>
        </w:rPr>
      </w:pPr>
      <w:r>
        <w:rPr>
          <w:rFonts w:hint="eastAsia" w:ascii="宋体" w:hAnsi="宋体" w:cs="宋体"/>
          <w:color w:val="auto"/>
          <w:highlight w:val="none"/>
        </w:rPr>
        <w:t>融合通信平台应能将园区调度指挥过程中的各类通信要素，语音、视频、数据进行高度融合，通过“一套平台一个操作台”即可实现对系统汇接的各类通信终端、视频终端、数据资源进行统一指挥调度，满足不同行业用户的各类日常管理和应急处置的指挥调度需求。包括通讯录管理、语音融合、语音会议、视频融合、统一上墙、数字录音、短信调度、传真调度、移动APP调度等。</w:t>
      </w:r>
    </w:p>
    <w:p>
      <w:pPr>
        <w:pStyle w:val="7"/>
        <w:ind w:firstLine="422"/>
        <w:rPr>
          <w:rFonts w:ascii="宋体" w:hAnsi="宋体" w:cs="宋体"/>
          <w:color w:val="auto"/>
          <w:highlight w:val="none"/>
        </w:rPr>
      </w:pPr>
      <w:r>
        <w:rPr>
          <w:rFonts w:hint="eastAsia" w:ascii="宋体" w:hAnsi="宋体" w:cs="宋体"/>
          <w:color w:val="auto"/>
          <w:highlight w:val="none"/>
        </w:rPr>
        <w:t>系统对接</w:t>
      </w:r>
    </w:p>
    <w:p>
      <w:pPr>
        <w:ind w:firstLine="420"/>
        <w:rPr>
          <w:rFonts w:ascii="宋体" w:hAnsi="宋体" w:cs="宋体"/>
          <w:color w:val="auto"/>
          <w:highlight w:val="none"/>
        </w:rPr>
      </w:pPr>
      <w:r>
        <w:rPr>
          <w:rFonts w:hint="eastAsia" w:ascii="宋体" w:hAnsi="宋体" w:cs="宋体"/>
          <w:color w:val="auto"/>
          <w:highlight w:val="none"/>
        </w:rPr>
        <w:t>（1）视频监控系统</w:t>
      </w:r>
    </w:p>
    <w:p>
      <w:pPr>
        <w:ind w:firstLine="420"/>
        <w:rPr>
          <w:rFonts w:ascii="宋体" w:hAnsi="宋体" w:cs="宋体"/>
          <w:color w:val="auto"/>
          <w:highlight w:val="none"/>
        </w:rPr>
      </w:pPr>
      <w:r>
        <w:rPr>
          <w:rFonts w:hint="eastAsia" w:ascii="宋体" w:hAnsi="宋体" w:cs="宋体"/>
          <w:color w:val="auto"/>
          <w:highlight w:val="none"/>
        </w:rPr>
        <w:t>值班中心已接入（建设）视频监控如下：水利视频监控、镇海炼化2套高空瞭望、园区自有5套高空瞭望、管廊视频监控、岗亭视频监控、气象站视频、环保视频监控；公安和交警视频监控。</w:t>
      </w:r>
    </w:p>
    <w:p>
      <w:pPr>
        <w:ind w:firstLine="420"/>
        <w:rPr>
          <w:rFonts w:ascii="宋体" w:hAnsi="宋体" w:cs="宋体"/>
          <w:color w:val="auto"/>
          <w:highlight w:val="none"/>
        </w:rPr>
      </w:pPr>
      <w:r>
        <w:rPr>
          <w:rFonts w:hint="eastAsia" w:ascii="宋体" w:hAnsi="宋体" w:cs="宋体"/>
          <w:color w:val="auto"/>
          <w:highlight w:val="none"/>
        </w:rPr>
        <w:t>（2）企业应急广播</w:t>
      </w:r>
    </w:p>
    <w:p>
      <w:pPr>
        <w:ind w:firstLine="420"/>
        <w:rPr>
          <w:rFonts w:ascii="宋体" w:hAnsi="宋体" w:cs="宋体"/>
          <w:color w:val="auto"/>
          <w:highlight w:val="none"/>
        </w:rPr>
      </w:pPr>
      <w:r>
        <w:rPr>
          <w:rFonts w:hint="eastAsia" w:ascii="宋体" w:hAnsi="宋体" w:cs="宋体"/>
          <w:color w:val="auto"/>
          <w:highlight w:val="none"/>
        </w:rPr>
        <w:t>宁波石化管委会目前已经建立了91套4G应急广播，位于各个企业，需和融合通信接入形成互联互通，企业应急广播采用了杭州迈可行通信股份有限公的MST-4GP8和MST-4GP100。</w:t>
      </w:r>
    </w:p>
    <w:p>
      <w:pPr>
        <w:ind w:firstLine="420"/>
        <w:rPr>
          <w:rFonts w:ascii="宋体" w:hAnsi="宋体" w:cs="宋体"/>
          <w:color w:val="auto"/>
          <w:highlight w:val="none"/>
        </w:rPr>
      </w:pPr>
      <w:r>
        <w:rPr>
          <w:rFonts w:hint="eastAsia" w:ascii="宋体" w:hAnsi="宋体" w:cs="宋体"/>
          <w:color w:val="auto"/>
          <w:highlight w:val="none"/>
        </w:rPr>
        <w:t>（3）大屏控制系统</w:t>
      </w:r>
    </w:p>
    <w:p>
      <w:pPr>
        <w:ind w:firstLine="420"/>
        <w:rPr>
          <w:rFonts w:ascii="宋体" w:hAnsi="宋体" w:cs="宋体"/>
          <w:color w:val="auto"/>
          <w:highlight w:val="none"/>
        </w:rPr>
      </w:pPr>
      <w:r>
        <w:rPr>
          <w:rFonts w:hint="eastAsia" w:ascii="宋体" w:hAnsi="宋体" w:cs="宋体"/>
          <w:color w:val="auto"/>
          <w:highlight w:val="none"/>
        </w:rPr>
        <w:t>值班中心已建设2块大屏，其中室内一块，大厅一块。大屏控制系统需接入融合通信系统中。</w:t>
      </w:r>
    </w:p>
    <w:p>
      <w:pPr>
        <w:ind w:firstLine="420"/>
        <w:rPr>
          <w:rFonts w:ascii="宋体" w:hAnsi="宋体" w:cs="宋体"/>
          <w:color w:val="auto"/>
          <w:highlight w:val="none"/>
        </w:rPr>
      </w:pPr>
      <w:r>
        <w:rPr>
          <w:rFonts w:hint="eastAsia" w:ascii="宋体" w:hAnsi="宋体" w:cs="宋体"/>
          <w:color w:val="auto"/>
          <w:highlight w:val="none"/>
        </w:rPr>
        <w:t>（4）1套会议系统（力卡）</w:t>
      </w:r>
    </w:p>
    <w:p>
      <w:pPr>
        <w:ind w:firstLine="420"/>
        <w:rPr>
          <w:rFonts w:ascii="宋体" w:hAnsi="宋体" w:cs="宋体"/>
          <w:color w:val="auto"/>
          <w:highlight w:val="none"/>
        </w:rPr>
      </w:pPr>
      <w:r>
        <w:rPr>
          <w:rFonts w:hint="eastAsia" w:ascii="宋体" w:hAnsi="宋体" w:cs="宋体"/>
          <w:color w:val="auto"/>
          <w:highlight w:val="none"/>
        </w:rPr>
        <w:t>现有的会议系统有调音台、无线麦克风、音响系统组成，需接入到融合通信系统中，实现统一调配。</w:t>
      </w:r>
    </w:p>
    <w:p>
      <w:pPr>
        <w:ind w:firstLine="420"/>
        <w:rPr>
          <w:rFonts w:ascii="宋体" w:hAnsi="宋体" w:cs="宋体"/>
          <w:color w:val="auto"/>
          <w:highlight w:val="none"/>
        </w:rPr>
      </w:pPr>
      <w:r>
        <w:rPr>
          <w:rFonts w:hint="eastAsia" w:ascii="宋体" w:hAnsi="宋体" w:cs="宋体"/>
          <w:color w:val="auto"/>
          <w:highlight w:val="none"/>
        </w:rPr>
        <w:t>（5）1套视频会议（视联动力）</w:t>
      </w:r>
    </w:p>
    <w:p>
      <w:pPr>
        <w:ind w:firstLine="420"/>
        <w:rPr>
          <w:rFonts w:ascii="宋体" w:hAnsi="宋体" w:cs="宋体"/>
          <w:color w:val="auto"/>
          <w:highlight w:val="none"/>
        </w:rPr>
      </w:pPr>
      <w:r>
        <w:rPr>
          <w:rFonts w:hint="eastAsia" w:ascii="宋体" w:hAnsi="宋体" w:cs="宋体"/>
          <w:color w:val="auto"/>
          <w:highlight w:val="none"/>
        </w:rPr>
        <w:t>一楼运营中心视联动力视频会议一套，需接入到融合通信系统中，实现统一调配。</w:t>
      </w:r>
    </w:p>
    <w:p>
      <w:pPr>
        <w:pStyle w:val="7"/>
        <w:ind w:firstLine="422"/>
        <w:rPr>
          <w:rFonts w:ascii="宋体" w:hAnsi="宋体" w:cs="宋体"/>
          <w:color w:val="auto"/>
          <w:highlight w:val="none"/>
        </w:rPr>
      </w:pPr>
      <w:r>
        <w:rPr>
          <w:rFonts w:hint="eastAsia" w:ascii="宋体" w:hAnsi="宋体" w:cs="宋体"/>
          <w:color w:val="auto"/>
          <w:highlight w:val="none"/>
        </w:rPr>
        <w:t>性能要求</w:t>
      </w:r>
    </w:p>
    <w:p>
      <w:pPr>
        <w:ind w:firstLine="420"/>
        <w:rPr>
          <w:rFonts w:ascii="宋体" w:hAnsi="宋体" w:cs="宋体"/>
          <w:color w:val="auto"/>
          <w:highlight w:val="none"/>
        </w:rPr>
      </w:pPr>
      <w:r>
        <w:rPr>
          <w:rFonts w:hint="eastAsia" w:ascii="宋体" w:hAnsi="宋体" w:cs="宋体"/>
          <w:color w:val="auto"/>
          <w:highlight w:val="none"/>
        </w:rPr>
        <w:t>详见技术需求1.4.11.3软硬件清单。</w:t>
      </w:r>
    </w:p>
    <w:p>
      <w:pPr>
        <w:pStyle w:val="5"/>
        <w:ind w:firstLine="422"/>
        <w:rPr>
          <w:rFonts w:ascii="宋体" w:hAnsi="宋体" w:cs="宋体"/>
          <w:color w:val="auto"/>
          <w:highlight w:val="none"/>
        </w:rPr>
      </w:pPr>
      <w:r>
        <w:rPr>
          <w:rFonts w:hint="eastAsia" w:ascii="宋体" w:hAnsi="宋体" w:cs="宋体"/>
          <w:color w:val="auto"/>
          <w:highlight w:val="none"/>
        </w:rPr>
        <w:t>其他</w:t>
      </w:r>
    </w:p>
    <w:p>
      <w:pPr>
        <w:pStyle w:val="7"/>
        <w:ind w:firstLine="422"/>
        <w:rPr>
          <w:rFonts w:ascii="宋体" w:hAnsi="宋体" w:cs="宋体"/>
          <w:color w:val="auto"/>
          <w:highlight w:val="none"/>
        </w:rPr>
      </w:pPr>
      <w:r>
        <w:rPr>
          <w:rFonts w:hint="eastAsia" w:ascii="宋体" w:hAnsi="宋体" w:cs="宋体"/>
          <w:color w:val="auto"/>
          <w:highlight w:val="none"/>
        </w:rPr>
        <w:t>化工产业大脑接入要求</w:t>
      </w:r>
    </w:p>
    <w:p>
      <w:pPr>
        <w:pStyle w:val="6"/>
        <w:ind w:firstLine="420"/>
        <w:rPr>
          <w:rFonts w:ascii="宋体" w:hAnsi="宋体"/>
          <w:color w:val="auto"/>
          <w:highlight w:val="none"/>
        </w:rPr>
      </w:pPr>
      <w:r>
        <w:rPr>
          <w:rFonts w:hint="eastAsia" w:ascii="宋体" w:hAnsi="宋体"/>
          <w:color w:val="auto"/>
          <w:highlight w:val="none"/>
        </w:rPr>
        <w:t>根据浙江省经济和信息化厅57号文件要求，为贯彻落实省委、省政府关于数字化改革的重要决策部署，以化工产业大脑建设为先行，开展数字经济产业大脑的建设。化工产业大脑基于“1+N”工业互联网平台搭建应用场景，通过与一体化智能化公共数据平台交换实现数据共享。化工园区（集聚区）智慧化数字化平台将作为重要应用场景纳入化工产业大脑建设范畴，向化工产业大脑输送各类管理运营数据，为产业大脑建设奠定良好基础。</w:t>
      </w:r>
    </w:p>
    <w:p>
      <w:pPr>
        <w:pStyle w:val="6"/>
        <w:ind w:firstLine="0" w:firstLineChars="0"/>
        <w:jc w:val="center"/>
        <w:rPr>
          <w:rFonts w:ascii="宋体" w:hAnsi="宋体"/>
          <w:color w:val="auto"/>
          <w:highlight w:val="none"/>
        </w:rPr>
      </w:pPr>
      <w:r>
        <w:rPr>
          <w:rFonts w:hint="eastAsia" w:ascii="宋体" w:hAnsi="宋体"/>
          <w:color w:val="auto"/>
          <w:highlight w:val="none"/>
        </w:rPr>
        <w:drawing>
          <wp:inline distT="0" distB="0" distL="0" distR="0">
            <wp:extent cx="5915025" cy="2495550"/>
            <wp:effectExtent l="0" t="0" r="9525" b="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15025" cy="2495550"/>
                    </a:xfrm>
                    <a:prstGeom prst="rect">
                      <a:avLst/>
                    </a:prstGeom>
                    <a:noFill/>
                    <a:ln>
                      <a:noFill/>
                    </a:ln>
                  </pic:spPr>
                </pic:pic>
              </a:graphicData>
            </a:graphic>
          </wp:inline>
        </w:drawing>
      </w:r>
    </w:p>
    <w:p>
      <w:pPr>
        <w:pStyle w:val="8"/>
        <w:ind w:firstLine="422"/>
        <w:rPr>
          <w:rFonts w:ascii="宋体" w:hAnsi="宋体" w:cs="宋体"/>
          <w:color w:val="auto"/>
          <w:highlight w:val="none"/>
        </w:rPr>
      </w:pPr>
      <w:r>
        <w:rPr>
          <w:rFonts w:hint="eastAsia" w:ascii="宋体" w:hAnsi="宋体" w:cs="宋体"/>
          <w:color w:val="auto"/>
          <w:highlight w:val="none"/>
        </w:rPr>
        <w:t>建设内容及对接要求</w:t>
      </w:r>
    </w:p>
    <w:p>
      <w:pPr>
        <w:ind w:firstLine="420"/>
        <w:rPr>
          <w:rFonts w:ascii="宋体" w:hAnsi="宋体" w:cs="宋体"/>
          <w:color w:val="auto"/>
          <w:highlight w:val="none"/>
        </w:rPr>
      </w:pPr>
      <w:r>
        <w:rPr>
          <w:rFonts w:hint="eastAsia" w:ascii="宋体" w:hAnsi="宋体" w:cs="宋体"/>
          <w:color w:val="auto"/>
          <w:highlight w:val="none"/>
        </w:rPr>
        <w:t>全省52家化工园区（集聚区）的智慧化数字化平台与化工产业大脑数据对接，保证化工产业大脑稳定运行。通过数字驱动，协同产业链、共享资源，对园区内工业大数据统一标准、统一管理。</w:t>
      </w:r>
    </w:p>
    <w:p>
      <w:pPr>
        <w:ind w:firstLine="420"/>
        <w:rPr>
          <w:rFonts w:ascii="宋体" w:hAnsi="宋体" w:cs="宋体"/>
          <w:color w:val="auto"/>
          <w:highlight w:val="none"/>
        </w:rPr>
      </w:pPr>
      <w:r>
        <w:rPr>
          <w:rFonts w:hint="eastAsia" w:ascii="宋体" w:hAnsi="宋体" w:cs="宋体"/>
          <w:color w:val="auto"/>
          <w:highlight w:val="none"/>
        </w:rPr>
        <w:t>本项目实施过程当中，要有与省化工产业大脑提供数据传输开发的工作量。完成与化工产业大脑对接接口开发工作，保证智慧园区平台与省化工产业大脑的数据互通。</w:t>
      </w:r>
    </w:p>
    <w:p>
      <w:pPr>
        <w:pStyle w:val="8"/>
        <w:ind w:firstLine="422"/>
        <w:rPr>
          <w:rFonts w:ascii="宋体" w:hAnsi="宋体" w:cs="宋体"/>
          <w:color w:val="auto"/>
          <w:highlight w:val="none"/>
        </w:rPr>
      </w:pPr>
      <w:r>
        <w:rPr>
          <w:rFonts w:hint="eastAsia" w:ascii="宋体" w:hAnsi="宋体" w:cs="宋体"/>
          <w:color w:val="auto"/>
          <w:highlight w:val="none"/>
        </w:rPr>
        <w:t>化工产业大脑接入数据信息</w:t>
      </w:r>
    </w:p>
    <w:tbl>
      <w:tblPr>
        <w:tblStyle w:val="37"/>
        <w:tblW w:w="8303" w:type="dxa"/>
        <w:jc w:val="center"/>
        <w:tblLayout w:type="fixed"/>
        <w:tblCellMar>
          <w:top w:w="0" w:type="dxa"/>
          <w:left w:w="0" w:type="dxa"/>
          <w:bottom w:w="0" w:type="dxa"/>
          <w:right w:w="0" w:type="dxa"/>
        </w:tblCellMar>
      </w:tblPr>
      <w:tblGrid>
        <w:gridCol w:w="1039"/>
        <w:gridCol w:w="5748"/>
        <w:gridCol w:w="1516"/>
      </w:tblGrid>
      <w:tr>
        <w:tblPrEx>
          <w:tblCellMar>
            <w:top w:w="0" w:type="dxa"/>
            <w:left w:w="0" w:type="dxa"/>
            <w:bottom w:w="0" w:type="dxa"/>
            <w:right w:w="0" w:type="dxa"/>
          </w:tblCellMar>
        </w:tblPrEx>
        <w:trPr>
          <w:trHeight w:val="278" w:hRule="atLeast"/>
          <w:jc w:val="center"/>
        </w:trPr>
        <w:tc>
          <w:tcPr>
            <w:tcW w:w="10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
                <w:color w:val="auto"/>
                <w:sz w:val="22"/>
                <w:szCs w:val="22"/>
                <w:highlight w:val="none"/>
              </w:rPr>
            </w:pPr>
            <w:r>
              <w:rPr>
                <w:rFonts w:hint="eastAsia" w:ascii="宋体" w:hAnsi="宋体" w:cs="宋体"/>
                <w:b/>
                <w:color w:val="auto"/>
                <w:kern w:val="0"/>
                <w:sz w:val="22"/>
                <w:szCs w:val="22"/>
                <w:highlight w:val="none"/>
                <w:lang w:bidi="ar"/>
              </w:rPr>
              <w:t>序号</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
                <w:color w:val="auto"/>
                <w:sz w:val="22"/>
                <w:szCs w:val="22"/>
                <w:highlight w:val="none"/>
              </w:rPr>
            </w:pPr>
            <w:r>
              <w:rPr>
                <w:rFonts w:hint="eastAsia" w:ascii="宋体" w:hAnsi="宋体" w:cs="宋体"/>
                <w:b/>
                <w:color w:val="auto"/>
                <w:kern w:val="0"/>
                <w:sz w:val="22"/>
                <w:szCs w:val="22"/>
                <w:highlight w:val="none"/>
                <w:lang w:bidi="ar"/>
              </w:rPr>
              <w:t>名称</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
                <w:color w:val="auto"/>
                <w:sz w:val="22"/>
                <w:szCs w:val="22"/>
                <w:highlight w:val="none"/>
              </w:rPr>
            </w:pPr>
            <w:r>
              <w:rPr>
                <w:rFonts w:hint="eastAsia" w:ascii="宋体" w:hAnsi="宋体" w:cs="宋体"/>
                <w:b/>
                <w:color w:val="auto"/>
                <w:kern w:val="0"/>
                <w:sz w:val="22"/>
                <w:szCs w:val="22"/>
                <w:highlight w:val="none"/>
                <w:lang w:bidi="ar"/>
              </w:rPr>
              <w:t>备注</w:t>
            </w:r>
          </w:p>
        </w:tc>
      </w:tr>
      <w:tr>
        <w:tblPrEx>
          <w:tblCellMar>
            <w:top w:w="0" w:type="dxa"/>
            <w:left w:w="0" w:type="dxa"/>
            <w:bottom w:w="0" w:type="dxa"/>
            <w:right w:w="0" w:type="dxa"/>
          </w:tblCellMar>
        </w:tblPrEx>
        <w:trPr>
          <w:trHeight w:val="278" w:hRule="atLeast"/>
          <w:jc w:val="center"/>
        </w:trPr>
        <w:tc>
          <w:tcPr>
            <w:tcW w:w="10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color w:val="auto"/>
                <w:kern w:val="0"/>
                <w:sz w:val="22"/>
                <w:szCs w:val="22"/>
                <w:highlight w:val="none"/>
                <w:lang w:bidi="ar"/>
              </w:rPr>
            </w:pPr>
            <w:r>
              <w:rPr>
                <w:rFonts w:hint="eastAsia" w:ascii="宋体" w:hAnsi="宋体" w:cs="宋体"/>
                <w:color w:val="auto"/>
                <w:kern w:val="0"/>
                <w:sz w:val="22"/>
                <w:szCs w:val="22"/>
                <w:highlight w:val="none"/>
              </w:rPr>
              <w:t>1</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color w:val="auto"/>
                <w:kern w:val="0"/>
                <w:sz w:val="22"/>
                <w:szCs w:val="22"/>
                <w:highlight w:val="none"/>
                <w:lang w:bidi="ar"/>
              </w:rPr>
            </w:pPr>
            <w:r>
              <w:rPr>
                <w:rFonts w:hint="eastAsia" w:ascii="宋体" w:hAnsi="宋体" w:cs="宋体"/>
                <w:color w:val="auto"/>
                <w:kern w:val="0"/>
                <w:sz w:val="22"/>
                <w:szCs w:val="22"/>
                <w:highlight w:val="none"/>
              </w:rPr>
              <w:t>园区事故表信息</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ind w:firstLine="442"/>
              <w:jc w:val="center"/>
              <w:rPr>
                <w:rFonts w:ascii="宋体" w:hAnsi="宋体" w:cs="宋体"/>
                <w:b/>
                <w:color w:val="auto"/>
                <w:sz w:val="22"/>
                <w:szCs w:val="22"/>
                <w:highlight w:val="none"/>
              </w:rPr>
            </w:pPr>
            <w:r>
              <w:rPr>
                <w:rFonts w:hint="eastAsia" w:ascii="宋体" w:hAnsi="宋体" w:cs="宋体"/>
                <w:b/>
                <w:bCs/>
                <w:color w:val="auto"/>
                <w:kern w:val="0"/>
                <w:sz w:val="22"/>
                <w:szCs w:val="22"/>
                <w:highlight w:val="none"/>
              </w:rPr>
              <w:t>　</w:t>
            </w:r>
          </w:p>
        </w:tc>
      </w:tr>
      <w:tr>
        <w:tblPrEx>
          <w:tblCellMar>
            <w:top w:w="0" w:type="dxa"/>
            <w:left w:w="0" w:type="dxa"/>
            <w:bottom w:w="0" w:type="dxa"/>
            <w:right w:w="0" w:type="dxa"/>
          </w:tblCellMar>
        </w:tblPrEx>
        <w:trPr>
          <w:trHeight w:val="278" w:hRule="atLeast"/>
          <w:jc w:val="center"/>
        </w:trPr>
        <w:tc>
          <w:tcPr>
            <w:tcW w:w="10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color w:val="auto"/>
                <w:kern w:val="0"/>
                <w:sz w:val="22"/>
                <w:szCs w:val="22"/>
                <w:highlight w:val="none"/>
                <w:lang w:bidi="ar"/>
              </w:rPr>
            </w:pPr>
            <w:r>
              <w:rPr>
                <w:rFonts w:hint="eastAsia" w:ascii="宋体" w:hAnsi="宋体" w:cs="宋体"/>
                <w:color w:val="auto"/>
                <w:kern w:val="0"/>
                <w:sz w:val="22"/>
                <w:szCs w:val="22"/>
                <w:highlight w:val="none"/>
              </w:rPr>
              <w:t>2</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color w:val="auto"/>
                <w:kern w:val="0"/>
                <w:sz w:val="22"/>
                <w:szCs w:val="22"/>
                <w:highlight w:val="none"/>
                <w:lang w:bidi="ar"/>
              </w:rPr>
            </w:pPr>
            <w:r>
              <w:rPr>
                <w:rFonts w:hint="eastAsia" w:ascii="宋体" w:hAnsi="宋体" w:cs="宋体"/>
                <w:color w:val="auto"/>
                <w:kern w:val="0"/>
                <w:sz w:val="22"/>
                <w:szCs w:val="22"/>
                <w:highlight w:val="none"/>
              </w:rPr>
              <w:t>园区应急物资表信息</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ind w:firstLine="442"/>
              <w:jc w:val="center"/>
              <w:rPr>
                <w:rFonts w:ascii="宋体" w:hAnsi="宋体" w:cs="宋体"/>
                <w:b/>
                <w:color w:val="auto"/>
                <w:sz w:val="22"/>
                <w:szCs w:val="22"/>
                <w:highlight w:val="none"/>
              </w:rPr>
            </w:pPr>
            <w:r>
              <w:rPr>
                <w:rFonts w:hint="eastAsia" w:ascii="宋体" w:hAnsi="宋体" w:cs="宋体"/>
                <w:b/>
                <w:bCs/>
                <w:color w:val="auto"/>
                <w:kern w:val="0"/>
                <w:sz w:val="22"/>
                <w:szCs w:val="22"/>
                <w:highlight w:val="none"/>
              </w:rPr>
              <w:t>　</w:t>
            </w:r>
          </w:p>
        </w:tc>
      </w:tr>
      <w:tr>
        <w:tblPrEx>
          <w:tblCellMar>
            <w:top w:w="0" w:type="dxa"/>
            <w:left w:w="0" w:type="dxa"/>
            <w:bottom w:w="0" w:type="dxa"/>
            <w:right w:w="0" w:type="dxa"/>
          </w:tblCellMar>
        </w:tblPrEx>
        <w:trPr>
          <w:trHeight w:val="278" w:hRule="atLeast"/>
          <w:jc w:val="center"/>
        </w:trPr>
        <w:tc>
          <w:tcPr>
            <w:tcW w:w="10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color w:val="auto"/>
                <w:kern w:val="0"/>
                <w:sz w:val="22"/>
                <w:szCs w:val="22"/>
                <w:highlight w:val="none"/>
                <w:lang w:bidi="ar"/>
              </w:rPr>
            </w:pPr>
            <w:r>
              <w:rPr>
                <w:rFonts w:hint="eastAsia" w:ascii="宋体" w:hAnsi="宋体" w:cs="宋体"/>
                <w:color w:val="auto"/>
                <w:kern w:val="0"/>
                <w:sz w:val="22"/>
                <w:szCs w:val="22"/>
                <w:highlight w:val="none"/>
              </w:rPr>
              <w:t>3</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color w:val="auto"/>
                <w:kern w:val="0"/>
                <w:sz w:val="22"/>
                <w:szCs w:val="22"/>
                <w:highlight w:val="none"/>
                <w:lang w:bidi="ar"/>
              </w:rPr>
            </w:pPr>
            <w:r>
              <w:rPr>
                <w:rFonts w:hint="eastAsia" w:ascii="宋体" w:hAnsi="宋体" w:cs="宋体"/>
                <w:color w:val="auto"/>
                <w:kern w:val="0"/>
                <w:sz w:val="22"/>
                <w:szCs w:val="22"/>
                <w:highlight w:val="none"/>
              </w:rPr>
              <w:t>园区应急资源表信息</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ind w:firstLine="442"/>
              <w:jc w:val="center"/>
              <w:rPr>
                <w:rFonts w:ascii="宋体" w:hAnsi="宋体" w:cs="宋体"/>
                <w:b/>
                <w:color w:val="auto"/>
                <w:sz w:val="22"/>
                <w:szCs w:val="22"/>
                <w:highlight w:val="none"/>
              </w:rPr>
            </w:pPr>
            <w:r>
              <w:rPr>
                <w:rFonts w:hint="eastAsia" w:ascii="宋体" w:hAnsi="宋体" w:cs="宋体"/>
                <w:b/>
                <w:bCs/>
                <w:color w:val="auto"/>
                <w:kern w:val="0"/>
                <w:sz w:val="22"/>
                <w:szCs w:val="22"/>
                <w:highlight w:val="none"/>
              </w:rPr>
              <w:t>　</w:t>
            </w:r>
          </w:p>
        </w:tc>
      </w:tr>
      <w:tr>
        <w:tblPrEx>
          <w:tblCellMar>
            <w:top w:w="0" w:type="dxa"/>
            <w:left w:w="0" w:type="dxa"/>
            <w:bottom w:w="0" w:type="dxa"/>
            <w:right w:w="0" w:type="dxa"/>
          </w:tblCellMar>
        </w:tblPrEx>
        <w:trPr>
          <w:trHeight w:val="278" w:hRule="atLeast"/>
          <w:jc w:val="center"/>
        </w:trPr>
        <w:tc>
          <w:tcPr>
            <w:tcW w:w="10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color w:val="auto"/>
                <w:kern w:val="0"/>
                <w:sz w:val="22"/>
                <w:szCs w:val="22"/>
                <w:highlight w:val="none"/>
                <w:lang w:bidi="ar"/>
              </w:rPr>
            </w:pPr>
            <w:r>
              <w:rPr>
                <w:rFonts w:hint="eastAsia" w:ascii="宋体" w:hAnsi="宋体" w:cs="宋体"/>
                <w:color w:val="auto"/>
                <w:kern w:val="0"/>
                <w:sz w:val="22"/>
                <w:szCs w:val="22"/>
                <w:highlight w:val="none"/>
              </w:rPr>
              <w:t>4</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color w:val="auto"/>
                <w:kern w:val="0"/>
                <w:sz w:val="22"/>
                <w:szCs w:val="22"/>
                <w:highlight w:val="none"/>
                <w:lang w:bidi="ar"/>
              </w:rPr>
            </w:pPr>
            <w:r>
              <w:rPr>
                <w:rFonts w:hint="eastAsia" w:ascii="宋体" w:hAnsi="宋体" w:cs="宋体"/>
                <w:color w:val="auto"/>
                <w:kern w:val="0"/>
                <w:sz w:val="22"/>
                <w:szCs w:val="22"/>
                <w:highlight w:val="none"/>
              </w:rPr>
              <w:t>园区值班员表信息</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ind w:firstLine="442"/>
              <w:jc w:val="center"/>
              <w:rPr>
                <w:rFonts w:ascii="宋体" w:hAnsi="宋体" w:cs="宋体"/>
                <w:b/>
                <w:color w:val="auto"/>
                <w:sz w:val="22"/>
                <w:szCs w:val="22"/>
                <w:highlight w:val="none"/>
              </w:rPr>
            </w:pPr>
            <w:r>
              <w:rPr>
                <w:rFonts w:hint="eastAsia" w:ascii="宋体" w:hAnsi="宋体" w:cs="宋体"/>
                <w:b/>
                <w:bCs/>
                <w:color w:val="auto"/>
                <w:kern w:val="0"/>
                <w:sz w:val="22"/>
                <w:szCs w:val="22"/>
                <w:highlight w:val="none"/>
              </w:rPr>
              <w:t>　</w:t>
            </w:r>
          </w:p>
        </w:tc>
      </w:tr>
      <w:tr>
        <w:tblPrEx>
          <w:tblCellMar>
            <w:top w:w="0" w:type="dxa"/>
            <w:left w:w="0" w:type="dxa"/>
            <w:bottom w:w="0" w:type="dxa"/>
            <w:right w:w="0" w:type="dxa"/>
          </w:tblCellMar>
        </w:tblPrEx>
        <w:trPr>
          <w:trHeight w:val="278" w:hRule="atLeast"/>
          <w:jc w:val="center"/>
        </w:trPr>
        <w:tc>
          <w:tcPr>
            <w:tcW w:w="10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color w:val="auto"/>
                <w:kern w:val="0"/>
                <w:sz w:val="22"/>
                <w:szCs w:val="22"/>
                <w:highlight w:val="none"/>
                <w:lang w:bidi="ar"/>
              </w:rPr>
            </w:pPr>
            <w:r>
              <w:rPr>
                <w:rFonts w:hint="eastAsia" w:ascii="宋体" w:hAnsi="宋体" w:cs="宋体"/>
                <w:color w:val="auto"/>
                <w:kern w:val="0"/>
                <w:sz w:val="22"/>
                <w:szCs w:val="22"/>
                <w:highlight w:val="none"/>
              </w:rPr>
              <w:t>5</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color w:val="auto"/>
                <w:kern w:val="0"/>
                <w:sz w:val="22"/>
                <w:szCs w:val="22"/>
                <w:highlight w:val="none"/>
                <w:lang w:bidi="ar"/>
              </w:rPr>
            </w:pPr>
            <w:r>
              <w:rPr>
                <w:rFonts w:hint="eastAsia" w:ascii="宋体" w:hAnsi="宋体" w:cs="宋体"/>
                <w:color w:val="auto"/>
                <w:kern w:val="0"/>
                <w:sz w:val="22"/>
                <w:szCs w:val="22"/>
                <w:highlight w:val="none"/>
              </w:rPr>
              <w:t>外部人员通讯录表信息</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ind w:firstLine="442"/>
              <w:jc w:val="center"/>
              <w:rPr>
                <w:rFonts w:ascii="宋体" w:hAnsi="宋体" w:cs="宋体"/>
                <w:b/>
                <w:color w:val="auto"/>
                <w:sz w:val="22"/>
                <w:szCs w:val="22"/>
                <w:highlight w:val="none"/>
              </w:rPr>
            </w:pPr>
            <w:r>
              <w:rPr>
                <w:rFonts w:hint="eastAsia" w:ascii="宋体" w:hAnsi="宋体" w:cs="宋体"/>
                <w:b/>
                <w:bCs/>
                <w:color w:val="auto"/>
                <w:kern w:val="0"/>
                <w:sz w:val="22"/>
                <w:szCs w:val="22"/>
                <w:highlight w:val="none"/>
              </w:rPr>
              <w:t>　</w:t>
            </w:r>
          </w:p>
        </w:tc>
      </w:tr>
      <w:tr>
        <w:tblPrEx>
          <w:tblCellMar>
            <w:top w:w="0" w:type="dxa"/>
            <w:left w:w="0" w:type="dxa"/>
            <w:bottom w:w="0" w:type="dxa"/>
            <w:right w:w="0" w:type="dxa"/>
          </w:tblCellMar>
        </w:tblPrEx>
        <w:trPr>
          <w:trHeight w:val="278" w:hRule="atLeast"/>
          <w:jc w:val="center"/>
        </w:trPr>
        <w:tc>
          <w:tcPr>
            <w:tcW w:w="10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color w:val="auto"/>
                <w:kern w:val="0"/>
                <w:sz w:val="22"/>
                <w:szCs w:val="22"/>
                <w:highlight w:val="none"/>
                <w:lang w:bidi="ar"/>
              </w:rPr>
            </w:pPr>
            <w:r>
              <w:rPr>
                <w:rFonts w:hint="eastAsia" w:ascii="宋体" w:hAnsi="宋体" w:cs="宋体"/>
                <w:color w:val="auto"/>
                <w:kern w:val="0"/>
                <w:sz w:val="22"/>
                <w:szCs w:val="22"/>
                <w:highlight w:val="none"/>
              </w:rPr>
              <w:t>6</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color w:val="auto"/>
                <w:kern w:val="0"/>
                <w:sz w:val="22"/>
                <w:szCs w:val="22"/>
                <w:highlight w:val="none"/>
                <w:lang w:bidi="ar"/>
              </w:rPr>
            </w:pPr>
            <w:r>
              <w:rPr>
                <w:rFonts w:hint="eastAsia" w:ascii="宋体" w:hAnsi="宋体" w:cs="宋体"/>
                <w:color w:val="auto"/>
                <w:kern w:val="0"/>
                <w:sz w:val="22"/>
                <w:szCs w:val="22"/>
                <w:highlight w:val="none"/>
              </w:rPr>
              <w:t>园区产值/增加值表信息</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ind w:firstLine="442"/>
              <w:jc w:val="center"/>
              <w:rPr>
                <w:rFonts w:ascii="宋体" w:hAnsi="宋体" w:cs="宋体"/>
                <w:b/>
                <w:color w:val="auto"/>
                <w:sz w:val="22"/>
                <w:szCs w:val="22"/>
                <w:highlight w:val="none"/>
              </w:rPr>
            </w:pPr>
            <w:r>
              <w:rPr>
                <w:rFonts w:hint="eastAsia" w:ascii="宋体" w:hAnsi="宋体" w:cs="宋体"/>
                <w:b/>
                <w:bCs/>
                <w:color w:val="auto"/>
                <w:kern w:val="0"/>
                <w:sz w:val="22"/>
                <w:szCs w:val="22"/>
                <w:highlight w:val="none"/>
              </w:rPr>
              <w:t>　</w:t>
            </w:r>
          </w:p>
        </w:tc>
      </w:tr>
      <w:tr>
        <w:tblPrEx>
          <w:tblCellMar>
            <w:top w:w="0" w:type="dxa"/>
            <w:left w:w="0" w:type="dxa"/>
            <w:bottom w:w="0" w:type="dxa"/>
            <w:right w:w="0" w:type="dxa"/>
          </w:tblCellMar>
        </w:tblPrEx>
        <w:trPr>
          <w:trHeight w:val="278" w:hRule="atLeast"/>
          <w:jc w:val="center"/>
        </w:trPr>
        <w:tc>
          <w:tcPr>
            <w:tcW w:w="10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color w:val="auto"/>
                <w:kern w:val="0"/>
                <w:sz w:val="22"/>
                <w:szCs w:val="22"/>
                <w:highlight w:val="none"/>
                <w:lang w:bidi="ar"/>
              </w:rPr>
            </w:pPr>
            <w:r>
              <w:rPr>
                <w:rFonts w:hint="eastAsia" w:ascii="宋体" w:hAnsi="宋体" w:cs="宋体"/>
                <w:color w:val="auto"/>
                <w:kern w:val="0"/>
                <w:sz w:val="22"/>
                <w:szCs w:val="22"/>
                <w:highlight w:val="none"/>
              </w:rPr>
              <w:t>7</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color w:val="auto"/>
                <w:kern w:val="0"/>
                <w:sz w:val="22"/>
                <w:szCs w:val="22"/>
                <w:highlight w:val="none"/>
                <w:lang w:bidi="ar"/>
              </w:rPr>
            </w:pPr>
            <w:r>
              <w:rPr>
                <w:rFonts w:hint="eastAsia" w:ascii="宋体" w:hAnsi="宋体" w:cs="宋体"/>
                <w:color w:val="auto"/>
                <w:kern w:val="0"/>
                <w:sz w:val="22"/>
                <w:szCs w:val="22"/>
                <w:highlight w:val="none"/>
              </w:rPr>
              <w:t>园区基本信息表信息</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ind w:firstLine="442"/>
              <w:jc w:val="center"/>
              <w:rPr>
                <w:rFonts w:ascii="宋体" w:hAnsi="宋体" w:cs="宋体"/>
                <w:b/>
                <w:color w:val="auto"/>
                <w:sz w:val="22"/>
                <w:szCs w:val="22"/>
                <w:highlight w:val="none"/>
              </w:rPr>
            </w:pPr>
            <w:r>
              <w:rPr>
                <w:rFonts w:hint="eastAsia" w:ascii="宋体" w:hAnsi="宋体" w:cs="宋体"/>
                <w:b/>
                <w:bCs/>
                <w:color w:val="auto"/>
                <w:kern w:val="0"/>
                <w:sz w:val="22"/>
                <w:szCs w:val="22"/>
                <w:highlight w:val="none"/>
              </w:rPr>
              <w:t>　</w:t>
            </w:r>
          </w:p>
        </w:tc>
      </w:tr>
      <w:tr>
        <w:tblPrEx>
          <w:tblCellMar>
            <w:top w:w="0" w:type="dxa"/>
            <w:left w:w="0" w:type="dxa"/>
            <w:bottom w:w="0" w:type="dxa"/>
            <w:right w:w="0" w:type="dxa"/>
          </w:tblCellMar>
        </w:tblPrEx>
        <w:trPr>
          <w:trHeight w:val="278" w:hRule="atLeast"/>
          <w:jc w:val="center"/>
        </w:trPr>
        <w:tc>
          <w:tcPr>
            <w:tcW w:w="10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color w:val="auto"/>
                <w:kern w:val="0"/>
                <w:sz w:val="22"/>
                <w:szCs w:val="22"/>
                <w:highlight w:val="none"/>
                <w:lang w:bidi="ar"/>
              </w:rPr>
            </w:pPr>
            <w:r>
              <w:rPr>
                <w:rFonts w:hint="eastAsia" w:ascii="宋体" w:hAnsi="宋体" w:cs="宋体"/>
                <w:color w:val="auto"/>
                <w:kern w:val="0"/>
                <w:sz w:val="22"/>
                <w:szCs w:val="22"/>
                <w:highlight w:val="none"/>
              </w:rPr>
              <w:t>8</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color w:val="auto"/>
                <w:kern w:val="0"/>
                <w:sz w:val="22"/>
                <w:szCs w:val="22"/>
                <w:highlight w:val="none"/>
                <w:lang w:bidi="ar"/>
              </w:rPr>
            </w:pPr>
            <w:r>
              <w:rPr>
                <w:rFonts w:hint="eastAsia" w:ascii="宋体" w:hAnsi="宋体" w:cs="宋体"/>
                <w:color w:val="auto"/>
                <w:kern w:val="0"/>
                <w:sz w:val="22"/>
                <w:szCs w:val="22"/>
                <w:highlight w:val="none"/>
              </w:rPr>
              <w:t>园区产值表信息</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ind w:firstLine="442"/>
              <w:jc w:val="center"/>
              <w:rPr>
                <w:rFonts w:ascii="宋体" w:hAnsi="宋体" w:cs="宋体"/>
                <w:b/>
                <w:color w:val="auto"/>
                <w:sz w:val="22"/>
                <w:szCs w:val="22"/>
                <w:highlight w:val="none"/>
              </w:rPr>
            </w:pPr>
            <w:r>
              <w:rPr>
                <w:rFonts w:hint="eastAsia" w:ascii="宋体" w:hAnsi="宋体" w:cs="宋体"/>
                <w:b/>
                <w:bCs/>
                <w:color w:val="auto"/>
                <w:kern w:val="0"/>
                <w:sz w:val="22"/>
                <w:szCs w:val="22"/>
                <w:highlight w:val="none"/>
              </w:rPr>
              <w:t>　</w:t>
            </w:r>
          </w:p>
        </w:tc>
      </w:tr>
      <w:tr>
        <w:tblPrEx>
          <w:tblCellMar>
            <w:top w:w="0" w:type="dxa"/>
            <w:left w:w="0" w:type="dxa"/>
            <w:bottom w:w="0" w:type="dxa"/>
            <w:right w:w="0" w:type="dxa"/>
          </w:tblCellMar>
        </w:tblPrEx>
        <w:trPr>
          <w:trHeight w:val="278" w:hRule="atLeast"/>
          <w:jc w:val="center"/>
        </w:trPr>
        <w:tc>
          <w:tcPr>
            <w:tcW w:w="10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color w:val="auto"/>
                <w:kern w:val="0"/>
                <w:sz w:val="22"/>
                <w:szCs w:val="22"/>
                <w:highlight w:val="none"/>
                <w:lang w:bidi="ar"/>
              </w:rPr>
            </w:pPr>
            <w:r>
              <w:rPr>
                <w:rFonts w:hint="eastAsia" w:ascii="宋体" w:hAnsi="宋体" w:cs="宋体"/>
                <w:color w:val="auto"/>
                <w:kern w:val="0"/>
                <w:sz w:val="22"/>
                <w:szCs w:val="22"/>
                <w:highlight w:val="none"/>
              </w:rPr>
              <w:t>9</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color w:val="auto"/>
                <w:kern w:val="0"/>
                <w:sz w:val="22"/>
                <w:szCs w:val="22"/>
                <w:highlight w:val="none"/>
                <w:lang w:bidi="ar"/>
              </w:rPr>
            </w:pPr>
            <w:r>
              <w:rPr>
                <w:rFonts w:hint="eastAsia" w:ascii="宋体" w:hAnsi="宋体" w:cs="宋体"/>
                <w:color w:val="auto"/>
                <w:kern w:val="0"/>
                <w:sz w:val="22"/>
                <w:szCs w:val="22"/>
                <w:highlight w:val="none"/>
              </w:rPr>
              <w:t>园区安全人员统计表信息</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ind w:firstLine="442"/>
              <w:jc w:val="center"/>
              <w:rPr>
                <w:rFonts w:ascii="宋体" w:hAnsi="宋体" w:cs="宋体"/>
                <w:b/>
                <w:color w:val="auto"/>
                <w:sz w:val="22"/>
                <w:szCs w:val="22"/>
                <w:highlight w:val="none"/>
              </w:rPr>
            </w:pPr>
            <w:r>
              <w:rPr>
                <w:rFonts w:hint="eastAsia" w:ascii="宋体" w:hAnsi="宋体" w:cs="宋体"/>
                <w:b/>
                <w:bCs/>
                <w:color w:val="auto"/>
                <w:kern w:val="0"/>
                <w:sz w:val="22"/>
                <w:szCs w:val="22"/>
                <w:highlight w:val="none"/>
              </w:rPr>
              <w:t>　</w:t>
            </w:r>
          </w:p>
        </w:tc>
      </w:tr>
      <w:tr>
        <w:tblPrEx>
          <w:tblCellMar>
            <w:top w:w="0" w:type="dxa"/>
            <w:left w:w="0" w:type="dxa"/>
            <w:bottom w:w="0" w:type="dxa"/>
            <w:right w:w="0" w:type="dxa"/>
          </w:tblCellMar>
        </w:tblPrEx>
        <w:trPr>
          <w:trHeight w:val="278" w:hRule="atLeast"/>
          <w:jc w:val="center"/>
        </w:trPr>
        <w:tc>
          <w:tcPr>
            <w:tcW w:w="10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color w:val="auto"/>
                <w:kern w:val="0"/>
                <w:sz w:val="22"/>
                <w:szCs w:val="22"/>
                <w:highlight w:val="none"/>
                <w:lang w:bidi="ar"/>
              </w:rPr>
            </w:pPr>
            <w:r>
              <w:rPr>
                <w:rFonts w:hint="eastAsia" w:ascii="宋体" w:hAnsi="宋体" w:cs="宋体"/>
                <w:color w:val="auto"/>
                <w:kern w:val="0"/>
                <w:sz w:val="22"/>
                <w:szCs w:val="22"/>
                <w:highlight w:val="none"/>
              </w:rPr>
              <w:t>10</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color w:val="auto"/>
                <w:kern w:val="0"/>
                <w:sz w:val="22"/>
                <w:szCs w:val="22"/>
                <w:highlight w:val="none"/>
                <w:lang w:bidi="ar"/>
              </w:rPr>
            </w:pPr>
            <w:r>
              <w:rPr>
                <w:rFonts w:hint="eastAsia" w:ascii="宋体" w:hAnsi="宋体" w:cs="宋体"/>
                <w:color w:val="auto"/>
                <w:kern w:val="0"/>
                <w:sz w:val="22"/>
                <w:szCs w:val="22"/>
                <w:highlight w:val="none"/>
              </w:rPr>
              <w:t>园区企业信息表信息</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ind w:firstLine="442"/>
              <w:jc w:val="center"/>
              <w:rPr>
                <w:rFonts w:ascii="宋体" w:hAnsi="宋体" w:cs="宋体"/>
                <w:b/>
                <w:color w:val="auto"/>
                <w:sz w:val="22"/>
                <w:szCs w:val="22"/>
                <w:highlight w:val="none"/>
              </w:rPr>
            </w:pPr>
            <w:r>
              <w:rPr>
                <w:rFonts w:hint="eastAsia" w:ascii="宋体" w:hAnsi="宋体" w:cs="宋体"/>
                <w:b/>
                <w:bCs/>
                <w:color w:val="auto"/>
                <w:kern w:val="0"/>
                <w:sz w:val="22"/>
                <w:szCs w:val="22"/>
                <w:highlight w:val="none"/>
              </w:rPr>
              <w:t>　</w:t>
            </w:r>
          </w:p>
        </w:tc>
      </w:tr>
      <w:tr>
        <w:tblPrEx>
          <w:tblCellMar>
            <w:top w:w="0" w:type="dxa"/>
            <w:left w:w="0" w:type="dxa"/>
            <w:bottom w:w="0" w:type="dxa"/>
            <w:right w:w="0" w:type="dxa"/>
          </w:tblCellMar>
        </w:tblPrEx>
        <w:trPr>
          <w:trHeight w:val="278" w:hRule="atLeast"/>
          <w:jc w:val="center"/>
        </w:trPr>
        <w:tc>
          <w:tcPr>
            <w:tcW w:w="10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color w:val="auto"/>
                <w:kern w:val="0"/>
                <w:sz w:val="22"/>
                <w:szCs w:val="22"/>
                <w:highlight w:val="none"/>
                <w:lang w:bidi="ar"/>
              </w:rPr>
            </w:pPr>
            <w:r>
              <w:rPr>
                <w:rFonts w:hint="eastAsia" w:ascii="宋体" w:hAnsi="宋体" w:cs="宋体"/>
                <w:color w:val="auto"/>
                <w:kern w:val="0"/>
                <w:sz w:val="22"/>
                <w:szCs w:val="22"/>
                <w:highlight w:val="none"/>
              </w:rPr>
              <w:t>11</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color w:val="auto"/>
                <w:kern w:val="0"/>
                <w:sz w:val="22"/>
                <w:szCs w:val="22"/>
                <w:highlight w:val="none"/>
                <w:lang w:bidi="ar"/>
              </w:rPr>
            </w:pPr>
            <w:r>
              <w:rPr>
                <w:rFonts w:hint="eastAsia" w:ascii="宋体" w:hAnsi="宋体" w:cs="宋体"/>
                <w:color w:val="auto"/>
                <w:kern w:val="0"/>
                <w:sz w:val="22"/>
                <w:szCs w:val="22"/>
                <w:highlight w:val="none"/>
              </w:rPr>
              <w:t>园区危化品信息表信息</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ind w:firstLine="442"/>
              <w:jc w:val="center"/>
              <w:rPr>
                <w:rFonts w:ascii="宋体" w:hAnsi="宋体" w:cs="宋体"/>
                <w:b/>
                <w:color w:val="auto"/>
                <w:sz w:val="22"/>
                <w:szCs w:val="22"/>
                <w:highlight w:val="none"/>
              </w:rPr>
            </w:pPr>
            <w:r>
              <w:rPr>
                <w:rFonts w:hint="eastAsia" w:ascii="宋体" w:hAnsi="宋体" w:cs="宋体"/>
                <w:b/>
                <w:bCs/>
                <w:color w:val="auto"/>
                <w:kern w:val="0"/>
                <w:sz w:val="22"/>
                <w:szCs w:val="22"/>
                <w:highlight w:val="none"/>
              </w:rPr>
              <w:t>　</w:t>
            </w:r>
          </w:p>
        </w:tc>
      </w:tr>
      <w:tr>
        <w:tblPrEx>
          <w:tblCellMar>
            <w:top w:w="0" w:type="dxa"/>
            <w:left w:w="0" w:type="dxa"/>
            <w:bottom w:w="0" w:type="dxa"/>
            <w:right w:w="0" w:type="dxa"/>
          </w:tblCellMar>
        </w:tblPrEx>
        <w:trPr>
          <w:trHeight w:val="278" w:hRule="atLeast"/>
          <w:jc w:val="center"/>
        </w:trPr>
        <w:tc>
          <w:tcPr>
            <w:tcW w:w="10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color w:val="auto"/>
                <w:kern w:val="0"/>
                <w:sz w:val="22"/>
                <w:szCs w:val="22"/>
                <w:highlight w:val="none"/>
                <w:lang w:bidi="ar"/>
              </w:rPr>
            </w:pPr>
            <w:r>
              <w:rPr>
                <w:rFonts w:hint="eastAsia" w:ascii="宋体" w:hAnsi="宋体" w:cs="宋体"/>
                <w:color w:val="auto"/>
                <w:kern w:val="0"/>
                <w:sz w:val="22"/>
                <w:szCs w:val="22"/>
                <w:highlight w:val="none"/>
              </w:rPr>
              <w:t>12</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color w:val="auto"/>
                <w:kern w:val="0"/>
                <w:sz w:val="22"/>
                <w:szCs w:val="22"/>
                <w:highlight w:val="none"/>
                <w:lang w:bidi="ar"/>
              </w:rPr>
            </w:pPr>
            <w:r>
              <w:rPr>
                <w:rFonts w:hint="eastAsia" w:ascii="宋体" w:hAnsi="宋体" w:cs="宋体"/>
                <w:color w:val="auto"/>
                <w:kern w:val="0"/>
                <w:sz w:val="22"/>
                <w:szCs w:val="22"/>
                <w:highlight w:val="none"/>
              </w:rPr>
              <w:t>园区危险生产工艺表信息</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ind w:firstLine="442"/>
              <w:jc w:val="center"/>
              <w:rPr>
                <w:rFonts w:ascii="宋体" w:hAnsi="宋体" w:cs="宋体"/>
                <w:b/>
                <w:color w:val="auto"/>
                <w:sz w:val="22"/>
                <w:szCs w:val="22"/>
                <w:highlight w:val="none"/>
              </w:rPr>
            </w:pPr>
            <w:r>
              <w:rPr>
                <w:rFonts w:hint="eastAsia" w:ascii="宋体" w:hAnsi="宋体" w:cs="宋体"/>
                <w:b/>
                <w:bCs/>
                <w:color w:val="auto"/>
                <w:kern w:val="0"/>
                <w:sz w:val="22"/>
                <w:szCs w:val="22"/>
                <w:highlight w:val="none"/>
              </w:rPr>
              <w:t>　</w:t>
            </w:r>
          </w:p>
        </w:tc>
      </w:tr>
      <w:tr>
        <w:tblPrEx>
          <w:tblCellMar>
            <w:top w:w="0" w:type="dxa"/>
            <w:left w:w="0" w:type="dxa"/>
            <w:bottom w:w="0" w:type="dxa"/>
            <w:right w:w="0" w:type="dxa"/>
          </w:tblCellMar>
        </w:tblPrEx>
        <w:trPr>
          <w:trHeight w:val="278" w:hRule="atLeast"/>
          <w:jc w:val="center"/>
        </w:trPr>
        <w:tc>
          <w:tcPr>
            <w:tcW w:w="10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color w:val="auto"/>
                <w:kern w:val="0"/>
                <w:sz w:val="22"/>
                <w:szCs w:val="22"/>
                <w:highlight w:val="none"/>
                <w:lang w:bidi="ar"/>
              </w:rPr>
            </w:pPr>
            <w:r>
              <w:rPr>
                <w:rFonts w:hint="eastAsia" w:ascii="宋体" w:hAnsi="宋体" w:cs="宋体"/>
                <w:color w:val="auto"/>
                <w:kern w:val="0"/>
                <w:sz w:val="22"/>
                <w:szCs w:val="22"/>
                <w:highlight w:val="none"/>
              </w:rPr>
              <w:t>13</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color w:val="auto"/>
                <w:kern w:val="0"/>
                <w:sz w:val="22"/>
                <w:szCs w:val="22"/>
                <w:highlight w:val="none"/>
                <w:lang w:bidi="ar"/>
              </w:rPr>
            </w:pPr>
            <w:r>
              <w:rPr>
                <w:rFonts w:hint="eastAsia" w:ascii="宋体" w:hAnsi="宋体" w:cs="宋体"/>
                <w:color w:val="auto"/>
                <w:kern w:val="0"/>
                <w:sz w:val="22"/>
                <w:szCs w:val="22"/>
                <w:highlight w:val="none"/>
              </w:rPr>
              <w:t>园区危险源表信息</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ind w:firstLine="442"/>
              <w:jc w:val="center"/>
              <w:rPr>
                <w:rFonts w:ascii="宋体" w:hAnsi="宋体" w:cs="宋体"/>
                <w:b/>
                <w:color w:val="auto"/>
                <w:sz w:val="22"/>
                <w:szCs w:val="22"/>
                <w:highlight w:val="none"/>
              </w:rPr>
            </w:pPr>
            <w:r>
              <w:rPr>
                <w:rFonts w:hint="eastAsia" w:ascii="宋体" w:hAnsi="宋体" w:cs="宋体"/>
                <w:b/>
                <w:bCs/>
                <w:color w:val="auto"/>
                <w:kern w:val="0"/>
                <w:sz w:val="22"/>
                <w:szCs w:val="22"/>
                <w:highlight w:val="none"/>
              </w:rPr>
              <w:t>　</w:t>
            </w:r>
          </w:p>
        </w:tc>
      </w:tr>
      <w:tr>
        <w:tblPrEx>
          <w:tblCellMar>
            <w:top w:w="0" w:type="dxa"/>
            <w:left w:w="0" w:type="dxa"/>
            <w:bottom w:w="0" w:type="dxa"/>
            <w:right w:w="0" w:type="dxa"/>
          </w:tblCellMar>
        </w:tblPrEx>
        <w:trPr>
          <w:trHeight w:val="278" w:hRule="atLeast"/>
          <w:jc w:val="center"/>
        </w:trPr>
        <w:tc>
          <w:tcPr>
            <w:tcW w:w="10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color w:val="auto"/>
                <w:kern w:val="0"/>
                <w:sz w:val="22"/>
                <w:szCs w:val="22"/>
                <w:highlight w:val="none"/>
                <w:lang w:bidi="ar"/>
              </w:rPr>
            </w:pPr>
            <w:r>
              <w:rPr>
                <w:rFonts w:hint="eastAsia" w:ascii="宋体" w:hAnsi="宋体" w:cs="宋体"/>
                <w:color w:val="auto"/>
                <w:kern w:val="0"/>
                <w:sz w:val="22"/>
                <w:szCs w:val="22"/>
                <w:highlight w:val="none"/>
              </w:rPr>
              <w:t>14</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color w:val="auto"/>
                <w:kern w:val="0"/>
                <w:sz w:val="22"/>
                <w:szCs w:val="22"/>
                <w:highlight w:val="none"/>
                <w:lang w:bidi="ar"/>
              </w:rPr>
            </w:pPr>
            <w:r>
              <w:rPr>
                <w:rFonts w:hint="eastAsia" w:ascii="宋体" w:hAnsi="宋体" w:cs="宋体"/>
                <w:color w:val="auto"/>
                <w:kern w:val="0"/>
                <w:sz w:val="22"/>
                <w:szCs w:val="22"/>
                <w:highlight w:val="none"/>
              </w:rPr>
              <w:t>园区告警记录表表信息</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ind w:firstLine="442"/>
              <w:jc w:val="center"/>
              <w:rPr>
                <w:rFonts w:ascii="宋体" w:hAnsi="宋体" w:cs="宋体"/>
                <w:b/>
                <w:color w:val="auto"/>
                <w:sz w:val="22"/>
                <w:szCs w:val="22"/>
                <w:highlight w:val="none"/>
              </w:rPr>
            </w:pPr>
            <w:r>
              <w:rPr>
                <w:rFonts w:hint="eastAsia" w:ascii="宋体" w:hAnsi="宋体" w:cs="宋体"/>
                <w:b/>
                <w:bCs/>
                <w:color w:val="auto"/>
                <w:kern w:val="0"/>
                <w:sz w:val="22"/>
                <w:szCs w:val="22"/>
                <w:highlight w:val="none"/>
              </w:rPr>
              <w:t>　</w:t>
            </w:r>
          </w:p>
        </w:tc>
      </w:tr>
      <w:tr>
        <w:tblPrEx>
          <w:tblCellMar>
            <w:top w:w="0" w:type="dxa"/>
            <w:left w:w="0" w:type="dxa"/>
            <w:bottom w:w="0" w:type="dxa"/>
            <w:right w:w="0" w:type="dxa"/>
          </w:tblCellMar>
        </w:tblPrEx>
        <w:trPr>
          <w:trHeight w:val="278" w:hRule="atLeast"/>
          <w:jc w:val="center"/>
        </w:trPr>
        <w:tc>
          <w:tcPr>
            <w:tcW w:w="10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color w:val="auto"/>
                <w:kern w:val="0"/>
                <w:sz w:val="22"/>
                <w:szCs w:val="22"/>
                <w:highlight w:val="none"/>
                <w:lang w:bidi="ar"/>
              </w:rPr>
            </w:pPr>
            <w:r>
              <w:rPr>
                <w:rFonts w:hint="eastAsia" w:ascii="宋体" w:hAnsi="宋体" w:cs="宋体"/>
                <w:color w:val="auto"/>
                <w:kern w:val="0"/>
                <w:sz w:val="22"/>
                <w:szCs w:val="22"/>
                <w:highlight w:val="none"/>
              </w:rPr>
              <w:t>15</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color w:val="auto"/>
                <w:kern w:val="0"/>
                <w:sz w:val="22"/>
                <w:szCs w:val="22"/>
                <w:highlight w:val="none"/>
                <w:lang w:bidi="ar"/>
              </w:rPr>
            </w:pPr>
            <w:r>
              <w:rPr>
                <w:rFonts w:hint="eastAsia" w:ascii="宋体" w:hAnsi="宋体" w:cs="宋体"/>
                <w:color w:val="auto"/>
                <w:kern w:val="0"/>
                <w:sz w:val="22"/>
                <w:szCs w:val="22"/>
                <w:highlight w:val="none"/>
              </w:rPr>
              <w:t>园区空气质量表信息</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ind w:firstLine="442"/>
              <w:jc w:val="center"/>
              <w:rPr>
                <w:rFonts w:ascii="宋体" w:hAnsi="宋体" w:cs="宋体"/>
                <w:b/>
                <w:color w:val="auto"/>
                <w:sz w:val="22"/>
                <w:szCs w:val="22"/>
                <w:highlight w:val="none"/>
              </w:rPr>
            </w:pPr>
            <w:r>
              <w:rPr>
                <w:rFonts w:hint="eastAsia" w:ascii="宋体" w:hAnsi="宋体" w:cs="宋体"/>
                <w:b/>
                <w:bCs/>
                <w:color w:val="auto"/>
                <w:kern w:val="0"/>
                <w:sz w:val="22"/>
                <w:szCs w:val="22"/>
                <w:highlight w:val="none"/>
              </w:rPr>
              <w:t>　</w:t>
            </w:r>
          </w:p>
        </w:tc>
      </w:tr>
      <w:tr>
        <w:tblPrEx>
          <w:tblCellMar>
            <w:top w:w="0" w:type="dxa"/>
            <w:left w:w="0" w:type="dxa"/>
            <w:bottom w:w="0" w:type="dxa"/>
            <w:right w:w="0" w:type="dxa"/>
          </w:tblCellMar>
        </w:tblPrEx>
        <w:trPr>
          <w:trHeight w:val="278" w:hRule="atLeast"/>
          <w:jc w:val="center"/>
        </w:trPr>
        <w:tc>
          <w:tcPr>
            <w:tcW w:w="10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color w:val="auto"/>
                <w:kern w:val="0"/>
                <w:sz w:val="22"/>
                <w:szCs w:val="22"/>
                <w:highlight w:val="none"/>
                <w:lang w:bidi="ar"/>
              </w:rPr>
            </w:pPr>
            <w:r>
              <w:rPr>
                <w:rFonts w:hint="eastAsia" w:ascii="宋体" w:hAnsi="宋体" w:cs="宋体"/>
                <w:color w:val="auto"/>
                <w:kern w:val="0"/>
                <w:sz w:val="22"/>
                <w:szCs w:val="22"/>
                <w:highlight w:val="none"/>
              </w:rPr>
              <w:t>16</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color w:val="auto"/>
                <w:kern w:val="0"/>
                <w:sz w:val="22"/>
                <w:szCs w:val="22"/>
                <w:highlight w:val="none"/>
                <w:lang w:bidi="ar"/>
              </w:rPr>
            </w:pPr>
            <w:r>
              <w:rPr>
                <w:rFonts w:hint="eastAsia" w:ascii="宋体" w:hAnsi="宋体" w:cs="宋体"/>
                <w:color w:val="auto"/>
                <w:kern w:val="0"/>
                <w:sz w:val="22"/>
                <w:szCs w:val="22"/>
                <w:highlight w:val="none"/>
              </w:rPr>
              <w:t>园区水质量表信息</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ind w:firstLine="442"/>
              <w:jc w:val="center"/>
              <w:rPr>
                <w:rFonts w:ascii="宋体" w:hAnsi="宋体" w:cs="宋体"/>
                <w:b/>
                <w:color w:val="auto"/>
                <w:sz w:val="22"/>
                <w:szCs w:val="22"/>
                <w:highlight w:val="none"/>
              </w:rPr>
            </w:pPr>
            <w:r>
              <w:rPr>
                <w:rFonts w:hint="eastAsia" w:ascii="宋体" w:hAnsi="宋体" w:cs="宋体"/>
                <w:b/>
                <w:bCs/>
                <w:color w:val="auto"/>
                <w:kern w:val="0"/>
                <w:sz w:val="22"/>
                <w:szCs w:val="22"/>
                <w:highlight w:val="none"/>
              </w:rPr>
              <w:t>　</w:t>
            </w:r>
          </w:p>
        </w:tc>
      </w:tr>
      <w:tr>
        <w:tblPrEx>
          <w:tblCellMar>
            <w:top w:w="0" w:type="dxa"/>
            <w:left w:w="0" w:type="dxa"/>
            <w:bottom w:w="0" w:type="dxa"/>
            <w:right w:w="0" w:type="dxa"/>
          </w:tblCellMar>
        </w:tblPrEx>
        <w:trPr>
          <w:trHeight w:val="278" w:hRule="atLeast"/>
          <w:jc w:val="center"/>
        </w:trPr>
        <w:tc>
          <w:tcPr>
            <w:tcW w:w="10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color w:val="auto"/>
                <w:kern w:val="0"/>
                <w:sz w:val="22"/>
                <w:szCs w:val="22"/>
                <w:highlight w:val="none"/>
                <w:lang w:bidi="ar"/>
              </w:rPr>
            </w:pPr>
            <w:r>
              <w:rPr>
                <w:rFonts w:hint="eastAsia" w:ascii="宋体" w:hAnsi="宋体" w:cs="宋体"/>
                <w:color w:val="auto"/>
                <w:kern w:val="0"/>
                <w:sz w:val="22"/>
                <w:szCs w:val="22"/>
                <w:highlight w:val="none"/>
              </w:rPr>
              <w:t>17</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color w:val="auto"/>
                <w:kern w:val="0"/>
                <w:sz w:val="22"/>
                <w:szCs w:val="22"/>
                <w:highlight w:val="none"/>
                <w:lang w:bidi="ar"/>
              </w:rPr>
            </w:pPr>
            <w:r>
              <w:rPr>
                <w:rFonts w:hint="eastAsia" w:ascii="宋体" w:hAnsi="宋体" w:cs="宋体"/>
                <w:color w:val="auto"/>
                <w:kern w:val="0"/>
                <w:sz w:val="22"/>
                <w:szCs w:val="22"/>
                <w:highlight w:val="none"/>
              </w:rPr>
              <w:t>园区环境信息表信息</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ind w:firstLine="442"/>
              <w:jc w:val="center"/>
              <w:rPr>
                <w:rFonts w:ascii="宋体" w:hAnsi="宋体" w:cs="宋体"/>
                <w:b/>
                <w:color w:val="auto"/>
                <w:sz w:val="22"/>
                <w:szCs w:val="22"/>
                <w:highlight w:val="none"/>
              </w:rPr>
            </w:pPr>
            <w:r>
              <w:rPr>
                <w:rFonts w:hint="eastAsia" w:ascii="宋体" w:hAnsi="宋体" w:cs="宋体"/>
                <w:b/>
                <w:bCs/>
                <w:color w:val="auto"/>
                <w:kern w:val="0"/>
                <w:sz w:val="22"/>
                <w:szCs w:val="22"/>
                <w:highlight w:val="none"/>
              </w:rPr>
              <w:t>　</w:t>
            </w:r>
          </w:p>
        </w:tc>
      </w:tr>
    </w:tbl>
    <w:p>
      <w:pPr>
        <w:pStyle w:val="7"/>
        <w:ind w:firstLine="422"/>
        <w:rPr>
          <w:rFonts w:ascii="宋体" w:hAnsi="宋体" w:cs="宋体"/>
          <w:color w:val="auto"/>
          <w:highlight w:val="none"/>
        </w:rPr>
      </w:pPr>
      <w:r>
        <w:rPr>
          <w:rFonts w:hint="eastAsia" w:ascii="宋体" w:hAnsi="宋体" w:cs="宋体"/>
          <w:color w:val="auto"/>
          <w:highlight w:val="none"/>
        </w:rPr>
        <w:t>信息安全要求</w:t>
      </w:r>
    </w:p>
    <w:p>
      <w:pPr>
        <w:ind w:firstLine="420"/>
        <w:rPr>
          <w:rFonts w:ascii="宋体" w:hAnsi="宋体" w:cs="宋体"/>
          <w:color w:val="auto"/>
          <w:highlight w:val="none"/>
        </w:rPr>
      </w:pPr>
      <w:r>
        <w:rPr>
          <w:rFonts w:hint="eastAsia" w:ascii="宋体" w:hAnsi="宋体" w:cs="宋体"/>
          <w:color w:val="auto"/>
          <w:highlight w:val="none"/>
        </w:rPr>
        <w:t>为保证项目信息安全，在项目建设过程中，需提供法律、资源、管理、技术等方面的安全需求界定、安全设计及安全服务。在项目运维期间，通过技术设施安全评估、技术设施安全加固、安全漏洞补丁通告、安全事件应急响应以及信息安全运维咨询，协助组织系统管理人员进行信息系统的日常安全运维工作，以发现并修复信息系统中所存在的安全隐患，降低安全隐患被非法利用的可能性，并在安全隐患被利用后及时加以响应。</w:t>
      </w:r>
    </w:p>
    <w:p>
      <w:pPr>
        <w:pStyle w:val="7"/>
        <w:ind w:firstLine="422"/>
        <w:rPr>
          <w:rFonts w:ascii="宋体" w:hAnsi="宋体" w:cs="宋体"/>
          <w:color w:val="auto"/>
          <w:highlight w:val="none"/>
        </w:rPr>
      </w:pPr>
      <w:bookmarkStart w:id="1663" w:name="_Hlk77365752"/>
      <w:r>
        <w:rPr>
          <w:rFonts w:hint="eastAsia" w:ascii="宋体" w:hAnsi="宋体" w:cs="宋体"/>
          <w:color w:val="auto"/>
          <w:highlight w:val="none"/>
        </w:rPr>
        <w:t>软硬件清单</w:t>
      </w:r>
    </w:p>
    <w:p>
      <w:pPr>
        <w:pStyle w:val="8"/>
        <w:ind w:firstLine="422"/>
        <w:rPr>
          <w:rFonts w:ascii="宋体" w:hAnsi="宋体" w:cs="宋体"/>
          <w:color w:val="auto"/>
          <w:highlight w:val="none"/>
        </w:rPr>
      </w:pPr>
      <w:r>
        <w:rPr>
          <w:rFonts w:hint="eastAsia" w:ascii="宋体" w:hAnsi="宋体" w:cs="宋体"/>
          <w:color w:val="auto"/>
          <w:highlight w:val="none"/>
        </w:rPr>
        <w:t>软件清单</w:t>
      </w:r>
    </w:p>
    <w:p>
      <w:pPr>
        <w:pStyle w:val="8"/>
        <w:numPr>
          <w:ilvl w:val="4"/>
          <w:numId w:val="0"/>
        </w:numPr>
        <w:ind w:left="422"/>
        <w:rPr>
          <w:rFonts w:ascii="宋体" w:hAnsi="宋体" w:cs="宋体"/>
          <w:color w:val="auto"/>
          <w:highlight w:val="none"/>
        </w:rPr>
      </w:pPr>
      <w:r>
        <w:rPr>
          <w:rFonts w:hint="eastAsia" w:ascii="宋体" w:hAnsi="宋体" w:cs="宋体"/>
          <w:b w:val="0"/>
          <w:bCs w:val="0"/>
          <w:color w:val="auto"/>
          <w:highlight w:val="none"/>
        </w:rPr>
        <w:t xml:space="preserve">1.4.11.3.1.1  </w:t>
      </w:r>
      <w:r>
        <w:rPr>
          <w:rFonts w:hint="eastAsia" w:ascii="宋体" w:hAnsi="宋体" w:cs="宋体"/>
          <w:color w:val="auto"/>
          <w:highlight w:val="none"/>
        </w:rPr>
        <w:t>数字平台建设</w:t>
      </w:r>
    </w:p>
    <w:tbl>
      <w:tblPr>
        <w:tblStyle w:val="37"/>
        <w:tblW w:w="0" w:type="auto"/>
        <w:jc w:val="center"/>
        <w:tblLayout w:type="fixed"/>
        <w:tblCellMar>
          <w:top w:w="0" w:type="dxa"/>
          <w:left w:w="0" w:type="dxa"/>
          <w:bottom w:w="0" w:type="dxa"/>
          <w:right w:w="0" w:type="dxa"/>
        </w:tblCellMar>
      </w:tblPr>
      <w:tblGrid>
        <w:gridCol w:w="630"/>
        <w:gridCol w:w="1618"/>
        <w:gridCol w:w="3100"/>
        <w:gridCol w:w="992"/>
        <w:gridCol w:w="851"/>
        <w:gridCol w:w="924"/>
      </w:tblGrid>
      <w:tr>
        <w:trPr>
          <w:trHeight w:val="52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b/>
                <w:color w:val="auto"/>
                <w:szCs w:val="21"/>
                <w:highlight w:val="none"/>
              </w:rPr>
            </w:pPr>
            <w:r>
              <w:rPr>
                <w:rFonts w:hint="eastAsia" w:ascii="宋体" w:hAnsi="宋体" w:cs="宋体"/>
                <w:b/>
                <w:color w:val="auto"/>
                <w:kern w:val="0"/>
                <w:szCs w:val="21"/>
                <w:highlight w:val="none"/>
                <w:lang w:bidi="ar"/>
              </w:rPr>
              <w:t>序号</w:t>
            </w:r>
          </w:p>
        </w:tc>
        <w:tc>
          <w:tcPr>
            <w:tcW w:w="1618"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b/>
                <w:color w:val="auto"/>
                <w:szCs w:val="21"/>
                <w:highlight w:val="none"/>
              </w:rPr>
            </w:pPr>
            <w:r>
              <w:rPr>
                <w:rFonts w:hint="eastAsia" w:ascii="宋体" w:hAnsi="宋体" w:cs="宋体"/>
                <w:b/>
                <w:color w:val="auto"/>
                <w:kern w:val="0"/>
                <w:szCs w:val="21"/>
                <w:highlight w:val="none"/>
                <w:lang w:bidi="ar"/>
              </w:rPr>
              <w:t>系统名称</w:t>
            </w:r>
          </w:p>
        </w:tc>
        <w:tc>
          <w:tcPr>
            <w:tcW w:w="310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b/>
                <w:color w:val="auto"/>
                <w:szCs w:val="21"/>
                <w:highlight w:val="none"/>
              </w:rPr>
            </w:pPr>
            <w:r>
              <w:rPr>
                <w:rFonts w:hint="eastAsia" w:ascii="宋体" w:hAnsi="宋体" w:cs="宋体"/>
                <w:b/>
                <w:color w:val="auto"/>
                <w:kern w:val="0"/>
                <w:szCs w:val="21"/>
                <w:highlight w:val="none"/>
                <w:lang w:bidi="ar"/>
              </w:rPr>
              <w:t>功能名称</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b/>
                <w:color w:val="auto"/>
                <w:szCs w:val="21"/>
                <w:highlight w:val="none"/>
              </w:rPr>
            </w:pPr>
            <w:r>
              <w:rPr>
                <w:rFonts w:hint="eastAsia" w:ascii="宋体" w:hAnsi="宋体" w:cs="宋体"/>
                <w:b/>
                <w:color w:val="auto"/>
                <w:kern w:val="0"/>
                <w:szCs w:val="21"/>
                <w:highlight w:val="none"/>
                <w:lang w:bidi="ar"/>
              </w:rPr>
              <w:t>单位</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b/>
                <w:color w:val="auto"/>
                <w:szCs w:val="21"/>
                <w:highlight w:val="none"/>
              </w:rPr>
            </w:pPr>
            <w:r>
              <w:rPr>
                <w:rFonts w:hint="eastAsia" w:ascii="宋体" w:hAnsi="宋体" w:cs="宋体"/>
                <w:b/>
                <w:color w:val="auto"/>
                <w:kern w:val="0"/>
                <w:szCs w:val="21"/>
                <w:highlight w:val="none"/>
                <w:lang w:bidi="ar"/>
              </w:rPr>
              <w:t>数量</w:t>
            </w:r>
          </w:p>
        </w:tc>
        <w:tc>
          <w:tcPr>
            <w:tcW w:w="92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b/>
                <w:color w:val="auto"/>
                <w:szCs w:val="21"/>
                <w:highlight w:val="none"/>
              </w:rPr>
            </w:pPr>
            <w:r>
              <w:rPr>
                <w:rFonts w:hint="eastAsia" w:ascii="宋体" w:hAnsi="宋体" w:cs="宋体"/>
                <w:b/>
                <w:color w:val="auto"/>
                <w:kern w:val="0"/>
                <w:szCs w:val="21"/>
                <w:highlight w:val="none"/>
                <w:lang w:bidi="ar"/>
              </w:rPr>
              <w:t>备注</w:t>
            </w:r>
          </w:p>
        </w:tc>
      </w:tr>
      <w:tr>
        <w:tblPrEx>
          <w:tblCellMar>
            <w:top w:w="0" w:type="dxa"/>
            <w:left w:w="0" w:type="dxa"/>
            <w:bottom w:w="0" w:type="dxa"/>
            <w:right w:w="0" w:type="dxa"/>
          </w:tblCellMar>
        </w:tblPrEx>
        <w:trPr>
          <w:trHeight w:val="52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18"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数字基础平台</w:t>
            </w:r>
          </w:p>
        </w:tc>
        <w:tc>
          <w:tcPr>
            <w:tcW w:w="310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color w:val="auto"/>
                <w:szCs w:val="21"/>
                <w:highlight w:val="none"/>
              </w:rPr>
            </w:pPr>
            <w:r>
              <w:rPr>
                <w:rFonts w:hint="eastAsia" w:ascii="宋体" w:hAnsi="宋体" w:cs="宋体"/>
                <w:color w:val="auto"/>
                <w:kern w:val="0"/>
                <w:szCs w:val="21"/>
                <w:highlight w:val="none"/>
                <w:lang w:bidi="ar"/>
              </w:rPr>
              <w:t>数字基础平台</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520" w:hRule="atLeast"/>
          <w:jc w:val="center"/>
        </w:trPr>
        <w:tc>
          <w:tcPr>
            <w:tcW w:w="630" w:type="dxa"/>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618" w:type="dxa"/>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多元数据接入</w:t>
            </w:r>
          </w:p>
        </w:tc>
        <w:tc>
          <w:tcPr>
            <w:tcW w:w="310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color w:val="auto"/>
                <w:szCs w:val="21"/>
                <w:highlight w:val="none"/>
              </w:rPr>
            </w:pPr>
            <w:r>
              <w:rPr>
                <w:rFonts w:hint="eastAsia" w:ascii="宋体" w:hAnsi="宋体" w:cs="宋体"/>
                <w:color w:val="auto"/>
                <w:kern w:val="0"/>
                <w:szCs w:val="21"/>
                <w:highlight w:val="none"/>
                <w:lang w:bidi="ar"/>
              </w:rPr>
              <w:t>控制系统的实时数据接入</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52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center"/>
              <w:rPr>
                <w:rFonts w:ascii="宋体" w:hAnsi="宋体" w:cs="宋体"/>
                <w:color w:val="auto"/>
                <w:szCs w:val="21"/>
                <w:highlight w:val="none"/>
              </w:rPr>
            </w:pPr>
          </w:p>
        </w:tc>
        <w:tc>
          <w:tcPr>
            <w:tcW w:w="1618"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310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color w:val="auto"/>
                <w:szCs w:val="21"/>
                <w:highlight w:val="none"/>
              </w:rPr>
            </w:pPr>
            <w:r>
              <w:rPr>
                <w:rFonts w:hint="eastAsia" w:ascii="宋体" w:hAnsi="宋体" w:cs="宋体"/>
                <w:color w:val="auto"/>
                <w:kern w:val="0"/>
                <w:szCs w:val="21"/>
                <w:highlight w:val="none"/>
                <w:lang w:bidi="ar"/>
              </w:rPr>
              <w:t>异构信息系统的集成接入</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52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center"/>
              <w:rPr>
                <w:rFonts w:ascii="宋体" w:hAnsi="宋体" w:cs="宋体"/>
                <w:color w:val="auto"/>
                <w:szCs w:val="21"/>
                <w:highlight w:val="none"/>
              </w:rPr>
            </w:pPr>
          </w:p>
        </w:tc>
        <w:tc>
          <w:tcPr>
            <w:tcW w:w="1618"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310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color w:val="auto"/>
                <w:szCs w:val="21"/>
                <w:highlight w:val="none"/>
              </w:rPr>
            </w:pPr>
            <w:r>
              <w:rPr>
                <w:rFonts w:hint="eastAsia" w:ascii="宋体" w:hAnsi="宋体" w:cs="宋体"/>
                <w:color w:val="auto"/>
                <w:kern w:val="0"/>
                <w:szCs w:val="21"/>
                <w:highlight w:val="none"/>
                <w:lang w:bidi="ar"/>
              </w:rPr>
              <w:t>流媒体数据的接入</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1618" w:type="dxa"/>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通用PasS服务</w:t>
            </w:r>
          </w:p>
        </w:tc>
        <w:tc>
          <w:tcPr>
            <w:tcW w:w="310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color w:val="auto"/>
                <w:szCs w:val="21"/>
                <w:highlight w:val="none"/>
              </w:rPr>
            </w:pPr>
            <w:r>
              <w:rPr>
                <w:rFonts w:hint="eastAsia" w:ascii="宋体" w:hAnsi="宋体" w:cs="宋体"/>
                <w:color w:val="auto"/>
                <w:kern w:val="0"/>
                <w:szCs w:val="21"/>
                <w:highlight w:val="none"/>
                <w:lang w:bidi="ar"/>
              </w:rPr>
              <w:t>弹性运行环境</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center"/>
              <w:rPr>
                <w:rFonts w:ascii="宋体" w:hAnsi="宋体" w:cs="宋体"/>
                <w:color w:val="auto"/>
                <w:szCs w:val="21"/>
                <w:highlight w:val="none"/>
              </w:rPr>
            </w:pPr>
          </w:p>
        </w:tc>
        <w:tc>
          <w:tcPr>
            <w:tcW w:w="1618"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310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color w:val="auto"/>
                <w:szCs w:val="21"/>
                <w:highlight w:val="none"/>
              </w:rPr>
            </w:pPr>
            <w:r>
              <w:rPr>
                <w:rFonts w:hint="eastAsia" w:ascii="宋体" w:hAnsi="宋体" w:cs="宋体"/>
                <w:color w:val="auto"/>
                <w:kern w:val="0"/>
                <w:szCs w:val="21"/>
                <w:highlight w:val="none"/>
                <w:lang w:bidi="ar"/>
              </w:rPr>
              <w:t>应用服务</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center"/>
              <w:rPr>
                <w:rFonts w:ascii="宋体" w:hAnsi="宋体" w:cs="宋体"/>
                <w:color w:val="auto"/>
                <w:szCs w:val="21"/>
                <w:highlight w:val="none"/>
              </w:rPr>
            </w:pPr>
          </w:p>
        </w:tc>
        <w:tc>
          <w:tcPr>
            <w:tcW w:w="1618"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310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color w:val="auto"/>
                <w:szCs w:val="21"/>
                <w:highlight w:val="none"/>
              </w:rPr>
            </w:pPr>
            <w:r>
              <w:rPr>
                <w:rFonts w:hint="eastAsia" w:ascii="宋体" w:hAnsi="宋体" w:cs="宋体"/>
                <w:color w:val="auto"/>
                <w:kern w:val="0"/>
                <w:szCs w:val="21"/>
                <w:highlight w:val="none"/>
                <w:lang w:bidi="ar"/>
              </w:rPr>
              <w:t>软件开发服务</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center"/>
              <w:rPr>
                <w:rFonts w:ascii="宋体" w:hAnsi="宋体" w:cs="宋体"/>
                <w:color w:val="auto"/>
                <w:szCs w:val="21"/>
                <w:highlight w:val="none"/>
              </w:rPr>
            </w:pPr>
          </w:p>
        </w:tc>
        <w:tc>
          <w:tcPr>
            <w:tcW w:w="1618"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310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color w:val="auto"/>
                <w:szCs w:val="21"/>
                <w:highlight w:val="none"/>
              </w:rPr>
            </w:pPr>
            <w:r>
              <w:rPr>
                <w:rFonts w:hint="eastAsia" w:ascii="宋体" w:hAnsi="宋体" w:cs="宋体"/>
                <w:color w:val="auto"/>
                <w:kern w:val="0"/>
                <w:szCs w:val="21"/>
                <w:highlight w:val="none"/>
                <w:lang w:bidi="ar"/>
              </w:rPr>
              <w:t>数据库服务</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center"/>
              <w:rPr>
                <w:rFonts w:ascii="宋体" w:hAnsi="宋体" w:cs="宋体"/>
                <w:color w:val="auto"/>
                <w:szCs w:val="21"/>
                <w:highlight w:val="none"/>
              </w:rPr>
            </w:pPr>
          </w:p>
        </w:tc>
        <w:tc>
          <w:tcPr>
            <w:tcW w:w="1618"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310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color w:val="auto"/>
                <w:szCs w:val="21"/>
                <w:highlight w:val="none"/>
              </w:rPr>
            </w:pPr>
            <w:r>
              <w:rPr>
                <w:rFonts w:hint="eastAsia" w:ascii="宋体" w:hAnsi="宋体" w:cs="宋体"/>
                <w:color w:val="auto"/>
                <w:kern w:val="0"/>
                <w:szCs w:val="21"/>
                <w:highlight w:val="none"/>
                <w:lang w:bidi="ar"/>
              </w:rPr>
              <w:t>数据服务</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center"/>
              <w:rPr>
                <w:rFonts w:ascii="宋体" w:hAnsi="宋体" w:cs="宋体"/>
                <w:color w:val="auto"/>
                <w:szCs w:val="21"/>
                <w:highlight w:val="none"/>
              </w:rPr>
            </w:pPr>
          </w:p>
        </w:tc>
        <w:tc>
          <w:tcPr>
            <w:tcW w:w="1618"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310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color w:val="auto"/>
                <w:szCs w:val="21"/>
                <w:highlight w:val="none"/>
              </w:rPr>
            </w:pPr>
            <w:r>
              <w:rPr>
                <w:rFonts w:hint="eastAsia" w:ascii="宋体" w:hAnsi="宋体" w:cs="宋体"/>
                <w:color w:val="auto"/>
                <w:kern w:val="0"/>
                <w:szCs w:val="21"/>
                <w:highlight w:val="none"/>
                <w:lang w:bidi="ar"/>
              </w:rPr>
              <w:t>物联网服务</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center"/>
              <w:rPr>
                <w:rFonts w:ascii="宋体" w:hAnsi="宋体" w:cs="宋体"/>
                <w:color w:val="auto"/>
                <w:szCs w:val="21"/>
                <w:highlight w:val="none"/>
              </w:rPr>
            </w:pPr>
          </w:p>
        </w:tc>
        <w:tc>
          <w:tcPr>
            <w:tcW w:w="1618"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310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color w:val="auto"/>
                <w:szCs w:val="21"/>
                <w:highlight w:val="none"/>
              </w:rPr>
            </w:pPr>
            <w:r>
              <w:rPr>
                <w:rFonts w:hint="eastAsia" w:ascii="宋体" w:hAnsi="宋体" w:cs="宋体"/>
                <w:color w:val="auto"/>
                <w:kern w:val="0"/>
                <w:szCs w:val="21"/>
                <w:highlight w:val="none"/>
                <w:lang w:bidi="ar"/>
              </w:rPr>
              <w:t>数据治理服务</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1618" w:type="dxa"/>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行业PasS服务</w:t>
            </w:r>
          </w:p>
        </w:tc>
        <w:tc>
          <w:tcPr>
            <w:tcW w:w="310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color w:val="auto"/>
                <w:szCs w:val="21"/>
                <w:highlight w:val="none"/>
              </w:rPr>
            </w:pPr>
            <w:r>
              <w:rPr>
                <w:rFonts w:hint="eastAsia" w:ascii="宋体" w:hAnsi="宋体" w:cs="宋体"/>
                <w:color w:val="auto"/>
                <w:kern w:val="0"/>
                <w:szCs w:val="21"/>
                <w:highlight w:val="none"/>
                <w:lang w:bidi="ar"/>
              </w:rPr>
              <w:t>工业安全服务</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center"/>
              <w:rPr>
                <w:rFonts w:ascii="宋体" w:hAnsi="宋体" w:cs="宋体"/>
                <w:color w:val="auto"/>
                <w:szCs w:val="21"/>
                <w:highlight w:val="none"/>
              </w:rPr>
            </w:pPr>
          </w:p>
        </w:tc>
        <w:tc>
          <w:tcPr>
            <w:tcW w:w="1618"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310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color w:val="auto"/>
                <w:szCs w:val="21"/>
                <w:highlight w:val="none"/>
              </w:rPr>
            </w:pPr>
            <w:r>
              <w:rPr>
                <w:rFonts w:hint="eastAsia" w:ascii="宋体" w:hAnsi="宋体" w:cs="宋体"/>
                <w:color w:val="auto"/>
                <w:kern w:val="0"/>
                <w:szCs w:val="21"/>
                <w:highlight w:val="none"/>
                <w:lang w:bidi="ar"/>
              </w:rPr>
              <w:t>安全管理服务</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center"/>
              <w:rPr>
                <w:rFonts w:ascii="宋体" w:hAnsi="宋体" w:cs="宋体"/>
                <w:color w:val="auto"/>
                <w:szCs w:val="21"/>
                <w:highlight w:val="none"/>
              </w:rPr>
            </w:pPr>
          </w:p>
        </w:tc>
        <w:tc>
          <w:tcPr>
            <w:tcW w:w="1618"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310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color w:val="auto"/>
                <w:szCs w:val="21"/>
                <w:highlight w:val="none"/>
              </w:rPr>
            </w:pPr>
            <w:r>
              <w:rPr>
                <w:rFonts w:hint="eastAsia" w:ascii="宋体" w:hAnsi="宋体" w:cs="宋体"/>
                <w:color w:val="auto"/>
                <w:kern w:val="0"/>
                <w:szCs w:val="21"/>
                <w:highlight w:val="none"/>
                <w:lang w:bidi="ar"/>
              </w:rPr>
              <w:t>环保管理服务</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center"/>
              <w:rPr>
                <w:rFonts w:ascii="宋体" w:hAnsi="宋体" w:cs="宋体"/>
                <w:color w:val="auto"/>
                <w:szCs w:val="21"/>
                <w:highlight w:val="none"/>
              </w:rPr>
            </w:pPr>
          </w:p>
        </w:tc>
        <w:tc>
          <w:tcPr>
            <w:tcW w:w="1618"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310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color w:val="auto"/>
                <w:szCs w:val="21"/>
                <w:highlight w:val="none"/>
              </w:rPr>
            </w:pPr>
            <w:r>
              <w:rPr>
                <w:rFonts w:hint="eastAsia" w:ascii="宋体" w:hAnsi="宋体" w:cs="宋体"/>
                <w:color w:val="auto"/>
                <w:kern w:val="0"/>
                <w:szCs w:val="21"/>
                <w:highlight w:val="none"/>
                <w:lang w:bidi="ar"/>
              </w:rPr>
              <w:t>应急调度服务</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center"/>
              <w:rPr>
                <w:rFonts w:ascii="宋体" w:hAnsi="宋体" w:cs="宋体"/>
                <w:color w:val="auto"/>
                <w:szCs w:val="21"/>
                <w:highlight w:val="none"/>
              </w:rPr>
            </w:pPr>
          </w:p>
        </w:tc>
        <w:tc>
          <w:tcPr>
            <w:tcW w:w="1618"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310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color w:val="auto"/>
                <w:szCs w:val="21"/>
                <w:highlight w:val="none"/>
              </w:rPr>
            </w:pPr>
            <w:r>
              <w:rPr>
                <w:rFonts w:hint="eastAsia" w:ascii="宋体" w:hAnsi="宋体" w:cs="宋体"/>
                <w:color w:val="auto"/>
                <w:kern w:val="0"/>
                <w:szCs w:val="21"/>
                <w:highlight w:val="none"/>
                <w:lang w:bidi="ar"/>
              </w:rPr>
              <w:t>安防视频服务</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auto"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auto" w:sz="4" w:space="0"/>
              <w:right w:val="single" w:color="000000" w:sz="4" w:space="0"/>
            </w:tcBorders>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center"/>
              <w:rPr>
                <w:rFonts w:ascii="宋体" w:hAnsi="宋体" w:cs="宋体"/>
                <w:color w:val="auto"/>
                <w:szCs w:val="21"/>
                <w:highlight w:val="none"/>
              </w:rPr>
            </w:pPr>
          </w:p>
        </w:tc>
        <w:tc>
          <w:tcPr>
            <w:tcW w:w="1618"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310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szCs w:val="21"/>
                <w:highlight w:val="none"/>
              </w:rPr>
            </w:pPr>
            <w:r>
              <w:rPr>
                <w:rFonts w:hint="eastAsia" w:ascii="宋体" w:hAnsi="宋体" w:cs="宋体"/>
                <w:color w:val="auto"/>
                <w:kern w:val="0"/>
                <w:szCs w:val="21"/>
                <w:highlight w:val="none"/>
                <w:lang w:bidi="ar"/>
              </w:rPr>
              <w:t>数据资源中心</w:t>
            </w:r>
          </w:p>
        </w:tc>
        <w:tc>
          <w:tcPr>
            <w:tcW w:w="992" w:type="dxa"/>
            <w:tcBorders>
              <w:top w:val="single" w:color="000000" w:sz="4" w:space="0"/>
              <w:left w:val="single" w:color="000000" w:sz="4" w:space="0"/>
              <w:bottom w:val="single" w:color="000000"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auto" w:sz="4" w:space="0"/>
              <w:left w:val="single" w:color="auto" w:sz="4" w:space="0"/>
              <w:bottom w:val="single" w:color="auto" w:sz="4" w:space="0"/>
              <w:right w:val="single" w:color="auto"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bl>
    <w:p>
      <w:pPr>
        <w:pStyle w:val="2"/>
        <w:spacing w:line="240" w:lineRule="auto"/>
        <w:ind w:firstLine="422"/>
        <w:rPr>
          <w:rFonts w:ascii="宋体" w:hAnsi="宋体" w:eastAsia="宋体" w:cs="宋体"/>
          <w:b/>
          <w:bCs/>
          <w:color w:val="auto"/>
          <w:sz w:val="21"/>
          <w:highlight w:val="none"/>
        </w:rPr>
      </w:pPr>
      <w:r>
        <w:rPr>
          <w:rFonts w:hint="eastAsia" w:ascii="宋体" w:hAnsi="宋体" w:eastAsia="宋体" w:cs="宋体"/>
          <w:b/>
          <w:bCs/>
          <w:color w:val="auto"/>
          <w:sz w:val="21"/>
          <w:highlight w:val="none"/>
        </w:rPr>
        <w:t>注：以上清单中各功能项供应商在配置中必须全部包含，但不限于此。</w:t>
      </w:r>
    </w:p>
    <w:p>
      <w:pPr>
        <w:pStyle w:val="8"/>
        <w:numPr>
          <w:ilvl w:val="4"/>
          <w:numId w:val="0"/>
        </w:numPr>
        <w:ind w:left="422"/>
        <w:rPr>
          <w:rFonts w:ascii="宋体" w:hAnsi="宋体" w:cs="宋体"/>
          <w:color w:val="auto"/>
          <w:highlight w:val="none"/>
        </w:rPr>
      </w:pPr>
      <w:bookmarkStart w:id="1664" w:name="_Hlk77364684"/>
      <w:r>
        <w:rPr>
          <w:rFonts w:hint="eastAsia" w:ascii="宋体" w:hAnsi="宋体" w:cs="宋体"/>
          <w:b w:val="0"/>
          <w:bCs w:val="0"/>
          <w:color w:val="auto"/>
          <w:highlight w:val="none"/>
        </w:rPr>
        <w:t xml:space="preserve">1.4.11.3.1.2  </w:t>
      </w:r>
      <w:r>
        <w:rPr>
          <w:rFonts w:hint="eastAsia" w:ascii="宋体" w:hAnsi="宋体" w:cs="宋体"/>
          <w:color w:val="auto"/>
          <w:highlight w:val="none"/>
        </w:rPr>
        <w:t>智慧应急</w:t>
      </w:r>
    </w:p>
    <w:tbl>
      <w:tblPr>
        <w:tblStyle w:val="37"/>
        <w:tblW w:w="0" w:type="auto"/>
        <w:jc w:val="center"/>
        <w:tblLayout w:type="fixed"/>
        <w:tblCellMar>
          <w:top w:w="0" w:type="dxa"/>
          <w:left w:w="0" w:type="dxa"/>
          <w:bottom w:w="0" w:type="dxa"/>
          <w:right w:w="0" w:type="dxa"/>
        </w:tblCellMar>
      </w:tblPr>
      <w:tblGrid>
        <w:gridCol w:w="630"/>
        <w:gridCol w:w="990"/>
        <w:gridCol w:w="1602"/>
        <w:gridCol w:w="2126"/>
        <w:gridCol w:w="992"/>
        <w:gridCol w:w="851"/>
        <w:gridCol w:w="924"/>
      </w:tblGrid>
      <w:tr>
        <w:tblPrEx>
          <w:tblCellMar>
            <w:top w:w="0" w:type="dxa"/>
            <w:left w:w="0" w:type="dxa"/>
            <w:bottom w:w="0" w:type="dxa"/>
            <w:right w:w="0" w:type="dxa"/>
          </w:tblCellMar>
        </w:tblPrEx>
        <w:trPr>
          <w:trHeight w:val="330" w:hRule="atLeast"/>
          <w:jc w:val="center"/>
        </w:trPr>
        <w:tc>
          <w:tcPr>
            <w:tcW w:w="630"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b/>
                <w:color w:val="auto"/>
                <w:szCs w:val="21"/>
                <w:highlight w:val="none"/>
              </w:rPr>
            </w:pPr>
            <w:r>
              <w:rPr>
                <w:rFonts w:hint="eastAsia" w:ascii="宋体" w:hAnsi="宋体" w:cs="宋体"/>
                <w:b/>
                <w:color w:val="auto"/>
                <w:kern w:val="0"/>
                <w:szCs w:val="21"/>
                <w:highlight w:val="none"/>
                <w:lang w:bidi="ar"/>
              </w:rPr>
              <w:t>序号</w:t>
            </w:r>
          </w:p>
        </w:tc>
        <w:tc>
          <w:tcPr>
            <w:tcW w:w="990"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b/>
                <w:color w:val="auto"/>
                <w:szCs w:val="21"/>
                <w:highlight w:val="none"/>
              </w:rPr>
            </w:pPr>
            <w:r>
              <w:rPr>
                <w:rFonts w:hint="eastAsia" w:ascii="宋体" w:hAnsi="宋体" w:cs="宋体"/>
                <w:b/>
                <w:color w:val="auto"/>
                <w:kern w:val="0"/>
                <w:szCs w:val="21"/>
                <w:highlight w:val="none"/>
                <w:lang w:bidi="ar"/>
              </w:rPr>
              <w:t>系统名称</w:t>
            </w:r>
          </w:p>
        </w:tc>
        <w:tc>
          <w:tcPr>
            <w:tcW w:w="160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b/>
                <w:color w:val="auto"/>
                <w:szCs w:val="21"/>
                <w:highlight w:val="none"/>
              </w:rPr>
            </w:pPr>
            <w:r>
              <w:rPr>
                <w:rFonts w:hint="eastAsia" w:ascii="宋体" w:hAnsi="宋体" w:cs="宋体"/>
                <w:b/>
                <w:color w:val="auto"/>
                <w:kern w:val="0"/>
                <w:szCs w:val="21"/>
                <w:highlight w:val="none"/>
                <w:lang w:bidi="ar"/>
              </w:rPr>
              <w:t>一级功能</w:t>
            </w:r>
          </w:p>
        </w:tc>
        <w:tc>
          <w:tcPr>
            <w:tcW w:w="2126"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b/>
                <w:color w:val="auto"/>
                <w:szCs w:val="21"/>
                <w:highlight w:val="none"/>
              </w:rPr>
            </w:pPr>
            <w:r>
              <w:rPr>
                <w:rFonts w:hint="eastAsia" w:ascii="宋体" w:hAnsi="宋体" w:cs="宋体"/>
                <w:b/>
                <w:color w:val="auto"/>
                <w:kern w:val="0"/>
                <w:szCs w:val="21"/>
                <w:highlight w:val="none"/>
                <w:lang w:bidi="ar"/>
              </w:rPr>
              <w:t>二级功能</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b/>
                <w:color w:val="auto"/>
                <w:szCs w:val="21"/>
                <w:highlight w:val="none"/>
              </w:rPr>
            </w:pPr>
            <w:r>
              <w:rPr>
                <w:rFonts w:hint="eastAsia" w:ascii="宋体" w:hAnsi="宋体" w:cs="宋体"/>
                <w:b/>
                <w:color w:val="auto"/>
                <w:kern w:val="0"/>
                <w:szCs w:val="21"/>
                <w:highlight w:val="none"/>
                <w:lang w:bidi="ar"/>
              </w:rPr>
              <w:t>单位</w:t>
            </w:r>
          </w:p>
        </w:tc>
        <w:tc>
          <w:tcPr>
            <w:tcW w:w="8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b/>
                <w:color w:val="auto"/>
                <w:szCs w:val="21"/>
                <w:highlight w:val="none"/>
              </w:rPr>
            </w:pPr>
            <w:r>
              <w:rPr>
                <w:rFonts w:hint="eastAsia" w:ascii="宋体" w:hAnsi="宋体" w:cs="宋体"/>
                <w:b/>
                <w:color w:val="auto"/>
                <w:kern w:val="0"/>
                <w:szCs w:val="21"/>
                <w:highlight w:val="none"/>
                <w:lang w:bidi="ar"/>
              </w:rPr>
              <w:t>数量</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b/>
                <w:color w:val="auto"/>
                <w:szCs w:val="21"/>
                <w:highlight w:val="none"/>
              </w:rPr>
            </w:pPr>
            <w:r>
              <w:rPr>
                <w:rFonts w:hint="eastAsia" w:ascii="宋体" w:hAnsi="宋体" w:cs="宋体"/>
                <w:b/>
                <w:color w:val="auto"/>
                <w:kern w:val="0"/>
                <w:szCs w:val="21"/>
                <w:highlight w:val="none"/>
                <w:lang w:bidi="ar"/>
              </w:rPr>
              <w:t>备注</w:t>
            </w:r>
          </w:p>
        </w:tc>
      </w:tr>
      <w:tr>
        <w:tblPrEx>
          <w:tblCellMar>
            <w:top w:w="0" w:type="dxa"/>
            <w:left w:w="0" w:type="dxa"/>
            <w:bottom w:w="0" w:type="dxa"/>
            <w:right w:w="0" w:type="dxa"/>
          </w:tblCellMar>
        </w:tblPrEx>
        <w:trPr>
          <w:trHeight w:val="280" w:hRule="atLeast"/>
          <w:jc w:val="center"/>
        </w:trPr>
        <w:tc>
          <w:tcPr>
            <w:tcW w:w="630" w:type="dxa"/>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990" w:type="dxa"/>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园区大脑</w:t>
            </w:r>
          </w:p>
        </w:tc>
        <w:tc>
          <w:tcPr>
            <w:tcW w:w="1602" w:type="dxa"/>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安全一张图</w:t>
            </w: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两重点一重大</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安全风险指数</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安全风险地图</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危险作业地图</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隐患分布图</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人员分布图</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应急资源一张图</w:t>
            </w: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应急事件监控</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52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自定义管控区域划分</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应急资源动态</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紧急出口点位图</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危险源动态</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环保指标动态</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视频监控</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重点工艺流程</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园区画像</w:t>
            </w: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园区档案</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园区知识库</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一企一档</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52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数字孪生</w:t>
            </w: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倾斜航空摄影（0.02m）</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52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szCs w:val="21"/>
                <w:highlight w:val="none"/>
              </w:rPr>
              <w:t>倾斜摄影数据单体化</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DEM</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DOM</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地上基础设施普查数据（部件）</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52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园区数字孪生平台</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restart"/>
            <w:tcBorders>
              <w:top w:val="single" w:color="auto" w:sz="4" w:space="0"/>
              <w:left w:val="single" w:color="auto" w:sz="4" w:space="0"/>
              <w:bottom w:val="single" w:color="auto" w:sz="4" w:space="0"/>
              <w:right w:val="single" w:color="auto"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990" w:type="dxa"/>
            <w:vMerge w:val="restart"/>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应急指挥</w:t>
            </w:r>
          </w:p>
        </w:tc>
        <w:tc>
          <w:tcPr>
            <w:tcW w:w="1602" w:type="dxa"/>
            <w:vMerge w:val="restart"/>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应急资源动态</w:t>
            </w: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应急物资装备</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应急专家</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应急机构和人员</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救援队伍</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应急车辆</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保护对象</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避难场所</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48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restart"/>
            <w:tcBorders>
              <w:top w:val="single" w:color="000000" w:sz="4" w:space="0"/>
              <w:left w:val="single" w:color="auto"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应急值守接警</w:t>
            </w: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一键接报</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46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continue"/>
            <w:tcBorders>
              <w:left w:val="single" w:color="auto"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一键响应</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50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continue"/>
            <w:tcBorders>
              <w:left w:val="single" w:color="auto"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事故接警</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56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continue"/>
            <w:tcBorders>
              <w:left w:val="single" w:color="auto"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值班值守</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56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continue"/>
            <w:tcBorders>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通信调度</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◆应急预警发布</w:t>
            </w: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◆应急预警发布</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restart"/>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◆应急救援指挥</w:t>
            </w: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◆应急联动</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◆远程协同会商</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◆跟踪记录</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◆应急辅助决策</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restart"/>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应急辅助决策</w:t>
            </w: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辅助信息库</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辅助处置方案</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危险化学品库</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restart"/>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◆事故总结评估</w:t>
            </w: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◆事故快报</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◆事故事件报告</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◆工作改进跟踪</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◆事故事件统计</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restart"/>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◆模拟演练</w:t>
            </w: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◆演练计划</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◆演练记录</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◆演练评估</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◆三维演练</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◆事故模拟</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restart"/>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◆结构化预案</w:t>
            </w: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◆预案全流程管理</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◆预案结构化分解</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◆预案构建模块</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◆结构化预案搭建</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◆结构化预案分类</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126" w:type="dxa"/>
            <w:tcBorders>
              <w:top w:val="single" w:color="000000" w:sz="4" w:space="0"/>
              <w:left w:val="single" w:color="000000" w:sz="4" w:space="0"/>
              <w:bottom w:val="single" w:color="auto"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◆预案智能匹配</w:t>
            </w:r>
          </w:p>
        </w:tc>
        <w:tc>
          <w:tcPr>
            <w:tcW w:w="992" w:type="dxa"/>
            <w:tcBorders>
              <w:top w:val="single" w:color="000000" w:sz="4" w:space="0"/>
              <w:left w:val="single" w:color="000000" w:sz="4" w:space="0"/>
              <w:bottom w:val="single" w:color="auto"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000000" w:sz="4" w:space="0"/>
              <w:left w:val="single" w:color="000000" w:sz="4" w:space="0"/>
              <w:bottom w:val="single" w:color="auto"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000000" w:sz="4" w:space="0"/>
              <w:left w:val="single" w:color="000000" w:sz="4" w:space="0"/>
              <w:bottom w:val="single" w:color="auto"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602" w:type="dxa"/>
            <w:vMerge w:val="continue"/>
            <w:tcBorders>
              <w:top w:val="single" w:color="000000" w:sz="4" w:space="0"/>
              <w:left w:val="single" w:color="auto" w:sz="4" w:space="0"/>
              <w:bottom w:val="single" w:color="000000"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126"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◆预案执行启动</w:t>
            </w:r>
          </w:p>
        </w:tc>
        <w:tc>
          <w:tcPr>
            <w:tcW w:w="992" w:type="dxa"/>
            <w:tcBorders>
              <w:top w:val="single" w:color="auto" w:sz="4" w:space="0"/>
              <w:left w:val="single" w:color="auto" w:sz="4" w:space="0"/>
              <w:bottom w:val="single" w:color="auto" w:sz="4" w:space="0"/>
              <w:right w:val="single" w:color="auto"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auto" w:sz="4" w:space="0"/>
              <w:left w:val="single" w:color="auto" w:sz="4" w:space="0"/>
              <w:bottom w:val="single" w:color="auto" w:sz="4" w:space="0"/>
              <w:right w:val="single" w:color="auto"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bl>
    <w:p>
      <w:pPr>
        <w:pStyle w:val="2"/>
        <w:spacing w:line="240" w:lineRule="auto"/>
        <w:ind w:firstLine="422"/>
        <w:rPr>
          <w:rFonts w:ascii="宋体" w:hAnsi="宋体" w:eastAsia="宋体" w:cs="宋体"/>
          <w:b/>
          <w:bCs/>
          <w:color w:val="auto"/>
          <w:sz w:val="21"/>
          <w:highlight w:val="none"/>
        </w:rPr>
      </w:pPr>
      <w:r>
        <w:rPr>
          <w:rFonts w:hint="eastAsia" w:ascii="宋体" w:hAnsi="宋体" w:eastAsia="宋体" w:cs="宋体"/>
          <w:b/>
          <w:bCs/>
          <w:color w:val="auto"/>
          <w:sz w:val="21"/>
          <w:highlight w:val="none"/>
        </w:rPr>
        <w:t>注：1、以上清单中各功能项供应商在配置中必须全部包含，但不限于此。</w:t>
      </w:r>
    </w:p>
    <w:p>
      <w:pPr>
        <w:pStyle w:val="2"/>
        <w:ind w:firstLine="422"/>
        <w:rPr>
          <w:rFonts w:ascii="宋体" w:hAnsi="宋体" w:eastAsia="宋体" w:cs="宋体"/>
          <w:b/>
          <w:bCs/>
          <w:color w:val="auto"/>
          <w:sz w:val="21"/>
          <w:highlight w:val="none"/>
        </w:rPr>
      </w:pPr>
      <w:r>
        <w:rPr>
          <w:rFonts w:hint="eastAsia" w:ascii="宋体" w:hAnsi="宋体" w:eastAsia="宋体" w:cs="宋体"/>
          <w:b/>
          <w:bCs/>
          <w:color w:val="auto"/>
          <w:sz w:val="21"/>
          <w:highlight w:val="none"/>
        </w:rPr>
        <w:t>2、软件清单中标注“◆”项，即应急预警发布（39.8万元）、应急救援指挥（92万元）、事故总结评估（68万元）、模拟演练（208万元）、结构化预案（88万元）五项内容为暂定开发项目，投标人应根据实际情况进行分项报价，以上五项内容包含在投标总价中。其中各分项报价不得低于上述各项括号内概算金额的85%，投标人各分项投标报价低于上述各项括号内概算金额的85%的作无效标处理。</w:t>
      </w:r>
      <w:r>
        <w:rPr>
          <w:rFonts w:hint="eastAsia" w:hAnsi="宋体" w:eastAsia="宋体" w:cs="宋体"/>
          <w:b/>
          <w:bCs/>
          <w:color w:val="auto"/>
          <w:sz w:val="21"/>
          <w:highlight w:val="none"/>
        </w:rPr>
        <w:t>合同签订时包括以上暂定开发项目，在项目实施过程中，由采购人根据实际工作需要再确定是否开发，如最终确定不开发的，双方另行签定补充协议。</w:t>
      </w:r>
    </w:p>
    <w:bookmarkEnd w:id="1664"/>
    <w:p>
      <w:pPr>
        <w:pStyle w:val="8"/>
        <w:numPr>
          <w:ilvl w:val="4"/>
          <w:numId w:val="0"/>
        </w:numPr>
        <w:ind w:left="422"/>
        <w:rPr>
          <w:rFonts w:ascii="宋体" w:hAnsi="宋体" w:cs="宋体"/>
          <w:color w:val="auto"/>
          <w:highlight w:val="none"/>
        </w:rPr>
      </w:pPr>
      <w:r>
        <w:rPr>
          <w:rFonts w:hint="eastAsia" w:ascii="宋体" w:hAnsi="宋体" w:cs="宋体"/>
          <w:b w:val="0"/>
          <w:bCs w:val="0"/>
          <w:color w:val="auto"/>
          <w:highlight w:val="none"/>
        </w:rPr>
        <w:t xml:space="preserve">1.4.11.3.1.3  </w:t>
      </w:r>
      <w:r>
        <w:rPr>
          <w:rFonts w:hint="eastAsia" w:ascii="宋体" w:hAnsi="宋体" w:cs="宋体"/>
          <w:color w:val="auto"/>
          <w:highlight w:val="none"/>
        </w:rPr>
        <w:t>标准规范</w:t>
      </w:r>
    </w:p>
    <w:tbl>
      <w:tblPr>
        <w:tblStyle w:val="37"/>
        <w:tblW w:w="0" w:type="auto"/>
        <w:jc w:val="center"/>
        <w:tblLayout w:type="fixed"/>
        <w:tblCellMar>
          <w:top w:w="0" w:type="dxa"/>
          <w:left w:w="0" w:type="dxa"/>
          <w:bottom w:w="0" w:type="dxa"/>
          <w:right w:w="0" w:type="dxa"/>
        </w:tblCellMar>
      </w:tblPr>
      <w:tblGrid>
        <w:gridCol w:w="630"/>
        <w:gridCol w:w="1669"/>
        <w:gridCol w:w="3049"/>
        <w:gridCol w:w="992"/>
        <w:gridCol w:w="851"/>
        <w:gridCol w:w="924"/>
      </w:tblGrid>
      <w:tr>
        <w:tblPrEx>
          <w:tblCellMar>
            <w:top w:w="0" w:type="dxa"/>
            <w:left w:w="0" w:type="dxa"/>
            <w:bottom w:w="0" w:type="dxa"/>
            <w:right w:w="0" w:type="dxa"/>
          </w:tblCellMar>
        </w:tblPrEx>
        <w:trPr>
          <w:trHeight w:val="458" w:hRule="atLeast"/>
          <w:jc w:val="center"/>
        </w:trPr>
        <w:tc>
          <w:tcPr>
            <w:tcW w:w="630" w:type="dxa"/>
            <w:tcBorders>
              <w:top w:val="single" w:color="auto" w:sz="4" w:space="0"/>
              <w:left w:val="single" w:color="auto" w:sz="4" w:space="0"/>
              <w:bottom w:val="single" w:color="auto" w:sz="4" w:space="0"/>
              <w:right w:val="single" w:color="auto" w:sz="4" w:space="0"/>
            </w:tcBorders>
            <w:noWrap/>
            <w:tcMar>
              <w:top w:w="10" w:type="dxa"/>
              <w:left w:w="10" w:type="dxa"/>
              <w:right w:w="10" w:type="dxa"/>
            </w:tcMar>
            <w:vAlign w:val="center"/>
          </w:tcPr>
          <w:p>
            <w:pPr>
              <w:widowControl/>
              <w:ind w:firstLine="0" w:firstLineChars="0"/>
              <w:jc w:val="center"/>
              <w:textAlignment w:val="center"/>
              <w:rPr>
                <w:rFonts w:ascii="宋体" w:hAnsi="宋体" w:cs="宋体"/>
                <w:b/>
                <w:color w:val="auto"/>
                <w:szCs w:val="21"/>
                <w:highlight w:val="none"/>
              </w:rPr>
            </w:pPr>
            <w:r>
              <w:rPr>
                <w:rFonts w:hint="eastAsia" w:ascii="宋体" w:hAnsi="宋体" w:cs="宋体"/>
                <w:b/>
                <w:color w:val="auto"/>
                <w:kern w:val="0"/>
                <w:szCs w:val="21"/>
                <w:highlight w:val="none"/>
                <w:lang w:bidi="ar"/>
              </w:rPr>
              <w:t>序号</w:t>
            </w:r>
          </w:p>
        </w:tc>
        <w:tc>
          <w:tcPr>
            <w:tcW w:w="1669"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b/>
                <w:color w:val="auto"/>
                <w:szCs w:val="21"/>
                <w:highlight w:val="none"/>
              </w:rPr>
            </w:pPr>
            <w:r>
              <w:rPr>
                <w:rFonts w:hint="eastAsia" w:ascii="宋体" w:hAnsi="宋体" w:cs="宋体"/>
                <w:b/>
                <w:color w:val="auto"/>
                <w:kern w:val="0"/>
                <w:szCs w:val="21"/>
                <w:highlight w:val="none"/>
                <w:lang w:bidi="ar"/>
              </w:rPr>
              <w:t>系统名称</w:t>
            </w:r>
          </w:p>
        </w:tc>
        <w:tc>
          <w:tcPr>
            <w:tcW w:w="3049"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b/>
                <w:color w:val="auto"/>
                <w:szCs w:val="21"/>
                <w:highlight w:val="none"/>
              </w:rPr>
            </w:pPr>
            <w:r>
              <w:rPr>
                <w:rFonts w:hint="eastAsia" w:ascii="宋体" w:hAnsi="宋体" w:cs="宋体"/>
                <w:b/>
                <w:color w:val="auto"/>
                <w:kern w:val="0"/>
                <w:szCs w:val="21"/>
                <w:highlight w:val="none"/>
                <w:lang w:bidi="ar"/>
              </w:rPr>
              <w:t>功能名称</w:t>
            </w:r>
          </w:p>
        </w:tc>
        <w:tc>
          <w:tcPr>
            <w:tcW w:w="992"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b/>
                <w:color w:val="auto"/>
                <w:szCs w:val="21"/>
                <w:highlight w:val="none"/>
              </w:rPr>
            </w:pPr>
            <w:r>
              <w:rPr>
                <w:rFonts w:hint="eastAsia" w:ascii="宋体" w:hAnsi="宋体" w:cs="宋体"/>
                <w:b/>
                <w:color w:val="auto"/>
                <w:kern w:val="0"/>
                <w:szCs w:val="21"/>
                <w:highlight w:val="none"/>
                <w:lang w:bidi="ar"/>
              </w:rPr>
              <w:t>单位</w:t>
            </w:r>
          </w:p>
        </w:tc>
        <w:tc>
          <w:tcPr>
            <w:tcW w:w="851"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b/>
                <w:color w:val="auto"/>
                <w:szCs w:val="21"/>
                <w:highlight w:val="none"/>
              </w:rPr>
            </w:pPr>
            <w:r>
              <w:rPr>
                <w:rFonts w:hint="eastAsia" w:ascii="宋体" w:hAnsi="宋体" w:cs="宋体"/>
                <w:b/>
                <w:color w:val="auto"/>
                <w:kern w:val="0"/>
                <w:szCs w:val="21"/>
                <w:highlight w:val="none"/>
                <w:lang w:bidi="ar"/>
              </w:rPr>
              <w:t>数量</w:t>
            </w:r>
          </w:p>
        </w:tc>
        <w:tc>
          <w:tcPr>
            <w:tcW w:w="924" w:type="dxa"/>
            <w:tcBorders>
              <w:top w:val="single" w:color="auto" w:sz="4" w:space="0"/>
              <w:left w:val="single" w:color="auto" w:sz="4" w:space="0"/>
              <w:bottom w:val="single" w:color="auto" w:sz="4" w:space="0"/>
              <w:right w:val="single" w:color="auto" w:sz="4" w:space="0"/>
            </w:tcBorders>
            <w:noWrap/>
            <w:tcMar>
              <w:top w:w="10" w:type="dxa"/>
              <w:left w:w="10" w:type="dxa"/>
              <w:right w:w="10" w:type="dxa"/>
            </w:tcMar>
            <w:vAlign w:val="center"/>
          </w:tcPr>
          <w:p>
            <w:pPr>
              <w:ind w:firstLine="0" w:firstLineChars="0"/>
              <w:jc w:val="center"/>
              <w:rPr>
                <w:rFonts w:ascii="宋体" w:hAnsi="宋体" w:cs="宋体"/>
                <w:color w:val="auto"/>
                <w:szCs w:val="21"/>
                <w:highlight w:val="none"/>
              </w:rPr>
            </w:pPr>
            <w:r>
              <w:rPr>
                <w:rFonts w:hint="eastAsia" w:ascii="宋体" w:hAnsi="宋体" w:cs="宋体"/>
                <w:b/>
                <w:color w:val="auto"/>
                <w:kern w:val="0"/>
                <w:szCs w:val="21"/>
                <w:highlight w:val="none"/>
                <w:lang w:bidi="ar"/>
              </w:rPr>
              <w:t>备注</w:t>
            </w:r>
          </w:p>
        </w:tc>
      </w:tr>
      <w:tr>
        <w:tblPrEx>
          <w:tblCellMar>
            <w:top w:w="0" w:type="dxa"/>
            <w:left w:w="0" w:type="dxa"/>
            <w:bottom w:w="0" w:type="dxa"/>
            <w:right w:w="0" w:type="dxa"/>
          </w:tblCellMar>
        </w:tblPrEx>
        <w:trPr>
          <w:trHeight w:val="780" w:hRule="atLeast"/>
          <w:jc w:val="center"/>
        </w:trPr>
        <w:tc>
          <w:tcPr>
            <w:tcW w:w="630" w:type="dxa"/>
            <w:vMerge w:val="restart"/>
            <w:tcBorders>
              <w:top w:val="single" w:color="auto" w:sz="4" w:space="0"/>
              <w:left w:val="single" w:color="auto" w:sz="4" w:space="0"/>
              <w:right w:val="single" w:color="auto"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1669" w:type="dxa"/>
            <w:vMerge w:val="restart"/>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安全应急标准规范建设</w:t>
            </w:r>
          </w:p>
        </w:tc>
        <w:tc>
          <w:tcPr>
            <w:tcW w:w="3049"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0" w:firstLineChars="0"/>
              <w:rPr>
                <w:rFonts w:ascii="宋体" w:hAnsi="宋体" w:cs="宋体"/>
                <w:color w:val="auto"/>
                <w:szCs w:val="21"/>
                <w:highlight w:val="none"/>
              </w:rPr>
            </w:pPr>
            <w:r>
              <w:rPr>
                <w:rFonts w:hint="eastAsia" w:ascii="宋体" w:hAnsi="宋体" w:cs="宋体"/>
                <w:color w:val="auto"/>
                <w:kern w:val="0"/>
                <w:szCs w:val="21"/>
                <w:highlight w:val="none"/>
                <w:lang w:bidi="ar"/>
              </w:rPr>
              <w:t>重点企业动态监控信息接入技术规范</w:t>
            </w:r>
          </w:p>
        </w:tc>
        <w:tc>
          <w:tcPr>
            <w:tcW w:w="992"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auto" w:sz="4" w:space="0"/>
              <w:left w:val="single" w:color="auto" w:sz="4" w:space="0"/>
              <w:bottom w:val="single" w:color="auto" w:sz="4" w:space="0"/>
              <w:right w:val="single" w:color="auto"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818" w:hRule="atLeast"/>
          <w:jc w:val="center"/>
        </w:trPr>
        <w:tc>
          <w:tcPr>
            <w:tcW w:w="630" w:type="dxa"/>
            <w:vMerge w:val="continue"/>
            <w:tcBorders>
              <w:left w:val="single" w:color="auto" w:sz="4" w:space="0"/>
              <w:right w:val="single" w:color="auto"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szCs w:val="21"/>
                <w:highlight w:val="none"/>
              </w:rPr>
            </w:pPr>
          </w:p>
        </w:tc>
        <w:tc>
          <w:tcPr>
            <w:tcW w:w="1669"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center"/>
              <w:rPr>
                <w:rFonts w:ascii="宋体" w:hAnsi="宋体" w:cs="宋体"/>
                <w:color w:val="auto"/>
                <w:szCs w:val="21"/>
                <w:highlight w:val="none"/>
              </w:rPr>
            </w:pPr>
          </w:p>
        </w:tc>
        <w:tc>
          <w:tcPr>
            <w:tcW w:w="3049"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0" w:firstLineChars="0"/>
              <w:rPr>
                <w:rFonts w:ascii="宋体" w:hAnsi="宋体" w:cs="宋体"/>
                <w:color w:val="auto"/>
                <w:szCs w:val="21"/>
                <w:highlight w:val="none"/>
              </w:rPr>
            </w:pPr>
            <w:r>
              <w:rPr>
                <w:rFonts w:hint="eastAsia" w:ascii="宋体" w:hAnsi="宋体" w:cs="宋体"/>
                <w:color w:val="auto"/>
                <w:kern w:val="0"/>
                <w:szCs w:val="21"/>
                <w:highlight w:val="none"/>
                <w:lang w:bidi="ar"/>
              </w:rPr>
              <w:t>企业安全生产应急救援指挥系统建设基本要求</w:t>
            </w:r>
          </w:p>
        </w:tc>
        <w:tc>
          <w:tcPr>
            <w:tcW w:w="992"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auto" w:sz="4" w:space="0"/>
              <w:left w:val="single" w:color="auto" w:sz="4" w:space="0"/>
              <w:bottom w:val="single" w:color="auto" w:sz="4" w:space="0"/>
              <w:right w:val="single" w:color="auto"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520" w:hRule="atLeast"/>
          <w:jc w:val="center"/>
        </w:trPr>
        <w:tc>
          <w:tcPr>
            <w:tcW w:w="630" w:type="dxa"/>
            <w:vMerge w:val="continue"/>
            <w:tcBorders>
              <w:left w:val="single" w:color="auto" w:sz="4" w:space="0"/>
              <w:bottom w:val="single" w:color="auto" w:sz="4" w:space="0"/>
              <w:right w:val="single" w:color="auto"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szCs w:val="21"/>
                <w:highlight w:val="none"/>
              </w:rPr>
            </w:pPr>
          </w:p>
        </w:tc>
        <w:tc>
          <w:tcPr>
            <w:tcW w:w="1669"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center"/>
              <w:rPr>
                <w:rFonts w:ascii="宋体" w:hAnsi="宋体" w:cs="宋体"/>
                <w:color w:val="auto"/>
                <w:szCs w:val="21"/>
                <w:highlight w:val="none"/>
              </w:rPr>
            </w:pPr>
          </w:p>
        </w:tc>
        <w:tc>
          <w:tcPr>
            <w:tcW w:w="3049"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0" w:firstLineChars="0"/>
              <w:rPr>
                <w:rFonts w:ascii="宋体" w:hAnsi="宋体" w:cs="宋体"/>
                <w:color w:val="auto"/>
                <w:szCs w:val="21"/>
                <w:highlight w:val="none"/>
              </w:rPr>
            </w:pPr>
            <w:r>
              <w:rPr>
                <w:rFonts w:hint="eastAsia" w:ascii="宋体" w:hAnsi="宋体" w:cs="宋体"/>
                <w:color w:val="auto"/>
                <w:kern w:val="0"/>
                <w:szCs w:val="21"/>
                <w:highlight w:val="none"/>
                <w:lang w:bidi="ar"/>
              </w:rPr>
              <w:t>应急平台数据交换共享标准</w:t>
            </w:r>
          </w:p>
        </w:tc>
        <w:tc>
          <w:tcPr>
            <w:tcW w:w="992"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auto" w:sz="4" w:space="0"/>
              <w:left w:val="single" w:color="auto" w:sz="4" w:space="0"/>
              <w:bottom w:val="single" w:color="auto" w:sz="4" w:space="0"/>
              <w:right w:val="single" w:color="auto"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bl>
    <w:p>
      <w:pPr>
        <w:pStyle w:val="2"/>
        <w:spacing w:line="240" w:lineRule="auto"/>
        <w:ind w:firstLine="422"/>
        <w:rPr>
          <w:rFonts w:ascii="宋体" w:hAnsi="宋体" w:eastAsia="宋体" w:cs="宋体"/>
          <w:b/>
          <w:bCs/>
          <w:color w:val="auto"/>
          <w:sz w:val="21"/>
          <w:highlight w:val="none"/>
        </w:rPr>
      </w:pPr>
      <w:r>
        <w:rPr>
          <w:rFonts w:hint="eastAsia" w:ascii="宋体" w:hAnsi="宋体" w:eastAsia="宋体" w:cs="宋体"/>
          <w:b/>
          <w:bCs/>
          <w:color w:val="auto"/>
          <w:sz w:val="21"/>
          <w:highlight w:val="none"/>
        </w:rPr>
        <w:t>注：以上清单中各功能项供应商在配置中必须全部包含，但不限于此。</w:t>
      </w:r>
    </w:p>
    <w:p>
      <w:pPr>
        <w:pStyle w:val="8"/>
        <w:numPr>
          <w:ilvl w:val="4"/>
          <w:numId w:val="0"/>
        </w:numPr>
        <w:ind w:left="422"/>
        <w:rPr>
          <w:rFonts w:ascii="宋体" w:hAnsi="宋体" w:cs="宋体"/>
          <w:color w:val="auto"/>
          <w:highlight w:val="none"/>
        </w:rPr>
      </w:pPr>
      <w:r>
        <w:rPr>
          <w:rFonts w:hint="eastAsia" w:ascii="宋体" w:hAnsi="宋体" w:cs="宋体"/>
          <w:b w:val="0"/>
          <w:bCs w:val="0"/>
          <w:color w:val="auto"/>
          <w:highlight w:val="none"/>
        </w:rPr>
        <w:t xml:space="preserve">1.4.11.3.1.4  </w:t>
      </w:r>
      <w:r>
        <w:rPr>
          <w:rFonts w:hint="eastAsia" w:ascii="宋体" w:hAnsi="宋体" w:cs="宋体"/>
          <w:color w:val="auto"/>
          <w:highlight w:val="none"/>
        </w:rPr>
        <w:t>系统集成</w:t>
      </w:r>
    </w:p>
    <w:tbl>
      <w:tblPr>
        <w:tblStyle w:val="37"/>
        <w:tblW w:w="0" w:type="auto"/>
        <w:jc w:val="center"/>
        <w:tblLayout w:type="fixed"/>
        <w:tblCellMar>
          <w:top w:w="0" w:type="dxa"/>
          <w:left w:w="0" w:type="dxa"/>
          <w:bottom w:w="0" w:type="dxa"/>
          <w:right w:w="0" w:type="dxa"/>
        </w:tblCellMar>
      </w:tblPr>
      <w:tblGrid>
        <w:gridCol w:w="630"/>
        <w:gridCol w:w="1398"/>
        <w:gridCol w:w="2693"/>
        <w:gridCol w:w="709"/>
        <w:gridCol w:w="850"/>
        <w:gridCol w:w="1835"/>
      </w:tblGrid>
      <w:tr>
        <w:tblPrEx>
          <w:tblCellMar>
            <w:top w:w="0" w:type="dxa"/>
            <w:left w:w="0" w:type="dxa"/>
            <w:bottom w:w="0" w:type="dxa"/>
            <w:right w:w="0" w:type="dxa"/>
          </w:tblCellMar>
        </w:tblPrEx>
        <w:trPr>
          <w:trHeight w:val="497" w:hRule="atLeast"/>
          <w:jc w:val="center"/>
        </w:trPr>
        <w:tc>
          <w:tcPr>
            <w:tcW w:w="630"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b/>
                <w:color w:val="auto"/>
                <w:szCs w:val="21"/>
                <w:highlight w:val="none"/>
              </w:rPr>
            </w:pPr>
            <w:r>
              <w:rPr>
                <w:rFonts w:hint="eastAsia" w:ascii="宋体" w:hAnsi="宋体" w:cs="宋体"/>
                <w:b/>
                <w:color w:val="auto"/>
                <w:kern w:val="0"/>
                <w:szCs w:val="21"/>
                <w:highlight w:val="none"/>
                <w:lang w:bidi="ar"/>
              </w:rPr>
              <w:t>序号</w:t>
            </w:r>
          </w:p>
        </w:tc>
        <w:tc>
          <w:tcPr>
            <w:tcW w:w="1398"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b/>
                <w:color w:val="auto"/>
                <w:szCs w:val="21"/>
                <w:highlight w:val="none"/>
              </w:rPr>
            </w:pPr>
            <w:r>
              <w:rPr>
                <w:rFonts w:hint="eastAsia" w:ascii="宋体" w:hAnsi="宋体" w:cs="宋体"/>
                <w:b/>
                <w:color w:val="auto"/>
                <w:kern w:val="0"/>
                <w:szCs w:val="21"/>
                <w:highlight w:val="none"/>
                <w:lang w:bidi="ar"/>
              </w:rPr>
              <w:t>系统名称</w:t>
            </w:r>
          </w:p>
        </w:tc>
        <w:tc>
          <w:tcPr>
            <w:tcW w:w="2693"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b/>
                <w:color w:val="auto"/>
                <w:szCs w:val="21"/>
                <w:highlight w:val="none"/>
              </w:rPr>
            </w:pPr>
            <w:r>
              <w:rPr>
                <w:rFonts w:hint="eastAsia" w:ascii="宋体" w:hAnsi="宋体" w:cs="宋体"/>
                <w:b/>
                <w:color w:val="auto"/>
                <w:kern w:val="0"/>
                <w:szCs w:val="21"/>
                <w:highlight w:val="none"/>
                <w:lang w:bidi="ar"/>
              </w:rPr>
              <w:t>功能名称</w:t>
            </w:r>
          </w:p>
        </w:tc>
        <w:tc>
          <w:tcPr>
            <w:tcW w:w="709"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b/>
                <w:color w:val="auto"/>
                <w:szCs w:val="21"/>
                <w:highlight w:val="none"/>
              </w:rPr>
            </w:pPr>
            <w:r>
              <w:rPr>
                <w:rFonts w:hint="eastAsia" w:ascii="宋体" w:hAnsi="宋体" w:cs="宋体"/>
                <w:b/>
                <w:color w:val="auto"/>
                <w:kern w:val="0"/>
                <w:szCs w:val="21"/>
                <w:highlight w:val="none"/>
                <w:lang w:bidi="ar"/>
              </w:rPr>
              <w:t>单位</w:t>
            </w:r>
          </w:p>
        </w:tc>
        <w:tc>
          <w:tcPr>
            <w:tcW w:w="850"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b/>
                <w:color w:val="auto"/>
                <w:szCs w:val="21"/>
                <w:highlight w:val="none"/>
              </w:rPr>
            </w:pPr>
            <w:r>
              <w:rPr>
                <w:rFonts w:hint="eastAsia" w:ascii="宋体" w:hAnsi="宋体" w:cs="宋体"/>
                <w:b/>
                <w:color w:val="auto"/>
                <w:kern w:val="0"/>
                <w:szCs w:val="21"/>
                <w:highlight w:val="none"/>
                <w:lang w:bidi="ar"/>
              </w:rPr>
              <w:t>数量</w:t>
            </w:r>
          </w:p>
        </w:tc>
        <w:tc>
          <w:tcPr>
            <w:tcW w:w="1835"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0" w:firstLineChars="0"/>
              <w:jc w:val="center"/>
              <w:rPr>
                <w:rFonts w:ascii="宋体" w:hAnsi="宋体" w:cs="宋体"/>
                <w:color w:val="auto"/>
                <w:szCs w:val="21"/>
                <w:highlight w:val="none"/>
              </w:rPr>
            </w:pPr>
            <w:r>
              <w:rPr>
                <w:rFonts w:hint="eastAsia" w:ascii="宋体" w:hAnsi="宋体" w:cs="宋体"/>
                <w:b/>
                <w:color w:val="auto"/>
                <w:kern w:val="0"/>
                <w:szCs w:val="21"/>
                <w:highlight w:val="none"/>
                <w:lang w:bidi="ar"/>
              </w:rPr>
              <w:t>备注</w:t>
            </w:r>
          </w:p>
        </w:tc>
      </w:tr>
      <w:tr>
        <w:tblPrEx>
          <w:tblCellMar>
            <w:top w:w="0" w:type="dxa"/>
            <w:left w:w="0" w:type="dxa"/>
            <w:bottom w:w="0" w:type="dxa"/>
            <w:right w:w="0" w:type="dxa"/>
          </w:tblCellMar>
        </w:tblPrEx>
        <w:trPr>
          <w:trHeight w:val="477" w:hRule="atLeast"/>
          <w:jc w:val="center"/>
        </w:trPr>
        <w:tc>
          <w:tcPr>
            <w:tcW w:w="630" w:type="dxa"/>
            <w:vMerge w:val="restart"/>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98" w:type="dxa"/>
            <w:vMerge w:val="restart"/>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第三方系统（园区现有系统对接开发）</w:t>
            </w:r>
          </w:p>
        </w:tc>
        <w:tc>
          <w:tcPr>
            <w:tcW w:w="2693"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0" w:firstLineChars="0"/>
              <w:jc w:val="left"/>
              <w:rPr>
                <w:rFonts w:ascii="宋体" w:hAnsi="宋体" w:cs="宋体"/>
                <w:color w:val="auto"/>
                <w:szCs w:val="21"/>
                <w:highlight w:val="none"/>
              </w:rPr>
            </w:pPr>
            <w:r>
              <w:rPr>
                <w:rFonts w:hint="eastAsia" w:ascii="宋体" w:hAnsi="宋体" w:cs="宋体"/>
                <w:color w:val="auto"/>
                <w:kern w:val="0"/>
                <w:szCs w:val="21"/>
                <w:highlight w:val="none"/>
                <w:lang w:bidi="ar"/>
              </w:rPr>
              <w:t>石化区应急指挥综合管控平台</w:t>
            </w:r>
          </w:p>
        </w:tc>
        <w:tc>
          <w:tcPr>
            <w:tcW w:w="709"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0"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835"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r>
      <w:tr>
        <w:tblPrEx>
          <w:tblCellMar>
            <w:top w:w="0" w:type="dxa"/>
            <w:left w:w="0" w:type="dxa"/>
            <w:bottom w:w="0" w:type="dxa"/>
            <w:right w:w="0" w:type="dxa"/>
          </w:tblCellMar>
        </w:tblPrEx>
        <w:trPr>
          <w:trHeight w:val="477" w:hRule="atLeast"/>
          <w:jc w:val="center"/>
        </w:trPr>
        <w:tc>
          <w:tcPr>
            <w:tcW w:w="630"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p>
        </w:tc>
        <w:tc>
          <w:tcPr>
            <w:tcW w:w="1398"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kern w:val="0"/>
                <w:szCs w:val="21"/>
                <w:highlight w:val="none"/>
                <w:lang w:bidi="ar"/>
              </w:rPr>
            </w:pPr>
          </w:p>
        </w:tc>
        <w:tc>
          <w:tcPr>
            <w:tcW w:w="2693"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0" w:firstLineChars="0"/>
              <w:jc w:val="left"/>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石化区危险化学品重大危险源在线监测预警系统</w:t>
            </w:r>
          </w:p>
        </w:tc>
        <w:tc>
          <w:tcPr>
            <w:tcW w:w="709"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0"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835"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r>
      <w:tr>
        <w:tblPrEx>
          <w:tblCellMar>
            <w:top w:w="0" w:type="dxa"/>
            <w:left w:w="0" w:type="dxa"/>
            <w:bottom w:w="0" w:type="dxa"/>
            <w:right w:w="0" w:type="dxa"/>
          </w:tblCellMar>
        </w:tblPrEx>
        <w:trPr>
          <w:trHeight w:val="520" w:hRule="atLeast"/>
          <w:jc w:val="center"/>
        </w:trPr>
        <w:tc>
          <w:tcPr>
            <w:tcW w:w="630"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center"/>
              <w:rPr>
                <w:rFonts w:ascii="宋体" w:hAnsi="宋体" w:cs="宋体"/>
                <w:color w:val="auto"/>
                <w:szCs w:val="21"/>
                <w:highlight w:val="none"/>
              </w:rPr>
            </w:pPr>
          </w:p>
        </w:tc>
        <w:tc>
          <w:tcPr>
            <w:tcW w:w="1398"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693"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0" w:firstLineChars="0"/>
              <w:jc w:val="left"/>
              <w:rPr>
                <w:rFonts w:ascii="宋体" w:hAnsi="宋体" w:cs="宋体"/>
                <w:color w:val="auto"/>
                <w:szCs w:val="21"/>
                <w:highlight w:val="none"/>
              </w:rPr>
            </w:pPr>
            <w:r>
              <w:rPr>
                <w:rFonts w:hint="eastAsia" w:ascii="宋体" w:hAnsi="宋体" w:cs="宋体"/>
                <w:color w:val="auto"/>
                <w:kern w:val="0"/>
                <w:szCs w:val="21"/>
                <w:highlight w:val="none"/>
                <w:lang w:bidi="ar"/>
              </w:rPr>
              <w:t>公共管廊智慧安全管理系统</w:t>
            </w:r>
          </w:p>
        </w:tc>
        <w:tc>
          <w:tcPr>
            <w:tcW w:w="709"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0"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835"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r>
      <w:tr>
        <w:tblPrEx>
          <w:tblCellMar>
            <w:top w:w="0" w:type="dxa"/>
            <w:left w:w="0" w:type="dxa"/>
            <w:bottom w:w="0" w:type="dxa"/>
            <w:right w:w="0" w:type="dxa"/>
          </w:tblCellMar>
        </w:tblPrEx>
        <w:trPr>
          <w:trHeight w:val="520" w:hRule="atLeast"/>
          <w:jc w:val="center"/>
        </w:trPr>
        <w:tc>
          <w:tcPr>
            <w:tcW w:w="630"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center"/>
              <w:rPr>
                <w:rFonts w:ascii="宋体" w:hAnsi="宋体" w:cs="宋体"/>
                <w:color w:val="auto"/>
                <w:szCs w:val="21"/>
                <w:highlight w:val="none"/>
              </w:rPr>
            </w:pPr>
          </w:p>
        </w:tc>
        <w:tc>
          <w:tcPr>
            <w:tcW w:w="1398"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693"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0" w:firstLineChars="0"/>
              <w:jc w:val="left"/>
              <w:rPr>
                <w:rFonts w:ascii="宋体" w:hAnsi="宋体" w:cs="宋体"/>
                <w:color w:val="auto"/>
                <w:szCs w:val="21"/>
                <w:highlight w:val="none"/>
              </w:rPr>
            </w:pPr>
            <w:r>
              <w:rPr>
                <w:rFonts w:hint="eastAsia" w:ascii="宋体" w:hAnsi="宋体" w:cs="宋体"/>
                <w:color w:val="auto"/>
                <w:kern w:val="0"/>
                <w:szCs w:val="21"/>
                <w:highlight w:val="none"/>
                <w:lang w:bidi="ar"/>
              </w:rPr>
              <w:t>水务信息化系统</w:t>
            </w:r>
          </w:p>
        </w:tc>
        <w:tc>
          <w:tcPr>
            <w:tcW w:w="709"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0"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835"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r>
      <w:tr>
        <w:tblPrEx>
          <w:tblCellMar>
            <w:top w:w="0" w:type="dxa"/>
            <w:left w:w="0" w:type="dxa"/>
            <w:bottom w:w="0" w:type="dxa"/>
            <w:right w:w="0" w:type="dxa"/>
          </w:tblCellMar>
        </w:tblPrEx>
        <w:trPr>
          <w:trHeight w:val="546" w:hRule="atLeast"/>
          <w:jc w:val="center"/>
        </w:trPr>
        <w:tc>
          <w:tcPr>
            <w:tcW w:w="630"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center"/>
              <w:rPr>
                <w:rFonts w:ascii="宋体" w:hAnsi="宋体" w:cs="宋体"/>
                <w:color w:val="auto"/>
                <w:szCs w:val="21"/>
                <w:highlight w:val="none"/>
              </w:rPr>
            </w:pPr>
          </w:p>
        </w:tc>
        <w:tc>
          <w:tcPr>
            <w:tcW w:w="1398"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693"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0" w:firstLineChars="0"/>
              <w:jc w:val="left"/>
              <w:rPr>
                <w:rFonts w:ascii="宋体" w:hAnsi="宋体" w:cs="宋体"/>
                <w:color w:val="auto"/>
                <w:szCs w:val="21"/>
                <w:highlight w:val="none"/>
              </w:rPr>
            </w:pPr>
            <w:r>
              <w:rPr>
                <w:rFonts w:hint="eastAsia" w:ascii="宋体" w:hAnsi="宋体" w:cs="宋体"/>
                <w:color w:val="auto"/>
                <w:kern w:val="0"/>
                <w:szCs w:val="21"/>
                <w:highlight w:val="none"/>
                <w:lang w:bidi="ar"/>
              </w:rPr>
              <w:t>镇海区智慧环保VOCs平台</w:t>
            </w:r>
          </w:p>
        </w:tc>
        <w:tc>
          <w:tcPr>
            <w:tcW w:w="709"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0"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835"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r>
      <w:tr>
        <w:tblPrEx>
          <w:tblCellMar>
            <w:top w:w="0" w:type="dxa"/>
            <w:left w:w="0" w:type="dxa"/>
            <w:bottom w:w="0" w:type="dxa"/>
            <w:right w:w="0" w:type="dxa"/>
          </w:tblCellMar>
        </w:tblPrEx>
        <w:trPr>
          <w:trHeight w:val="520" w:hRule="atLeast"/>
          <w:jc w:val="center"/>
        </w:trPr>
        <w:tc>
          <w:tcPr>
            <w:tcW w:w="630"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center"/>
              <w:rPr>
                <w:rFonts w:ascii="宋体" w:hAnsi="宋体" w:cs="宋体"/>
                <w:color w:val="auto"/>
                <w:szCs w:val="21"/>
                <w:highlight w:val="none"/>
              </w:rPr>
            </w:pPr>
          </w:p>
        </w:tc>
        <w:tc>
          <w:tcPr>
            <w:tcW w:w="1398"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693"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0" w:firstLineChars="0"/>
              <w:jc w:val="left"/>
              <w:rPr>
                <w:rFonts w:ascii="宋体" w:hAnsi="宋体" w:cs="宋体"/>
                <w:color w:val="auto"/>
                <w:szCs w:val="21"/>
                <w:highlight w:val="none"/>
              </w:rPr>
            </w:pPr>
            <w:r>
              <w:rPr>
                <w:rFonts w:hint="eastAsia" w:ascii="宋体" w:hAnsi="宋体" w:cs="宋体"/>
                <w:color w:val="auto"/>
                <w:kern w:val="0"/>
                <w:szCs w:val="21"/>
                <w:highlight w:val="none"/>
                <w:lang w:bidi="ar"/>
              </w:rPr>
              <w:t>镇海区道路运输监管平台</w:t>
            </w:r>
          </w:p>
        </w:tc>
        <w:tc>
          <w:tcPr>
            <w:tcW w:w="709"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0"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835"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r>
      <w:tr>
        <w:tblPrEx>
          <w:tblCellMar>
            <w:top w:w="0" w:type="dxa"/>
            <w:left w:w="0" w:type="dxa"/>
            <w:bottom w:w="0" w:type="dxa"/>
            <w:right w:w="0" w:type="dxa"/>
          </w:tblCellMar>
        </w:tblPrEx>
        <w:trPr>
          <w:trHeight w:val="520" w:hRule="atLeast"/>
          <w:jc w:val="center"/>
        </w:trPr>
        <w:tc>
          <w:tcPr>
            <w:tcW w:w="630"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center"/>
              <w:rPr>
                <w:rFonts w:ascii="宋体" w:hAnsi="宋体" w:cs="宋体"/>
                <w:color w:val="auto"/>
                <w:szCs w:val="21"/>
                <w:highlight w:val="none"/>
              </w:rPr>
            </w:pPr>
          </w:p>
        </w:tc>
        <w:tc>
          <w:tcPr>
            <w:tcW w:w="1398"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693"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0" w:firstLineChars="0"/>
              <w:jc w:val="left"/>
              <w:rPr>
                <w:rFonts w:ascii="宋体" w:hAnsi="宋体" w:cs="宋体"/>
                <w:color w:val="auto"/>
                <w:szCs w:val="21"/>
                <w:highlight w:val="none"/>
              </w:rPr>
            </w:pPr>
            <w:r>
              <w:rPr>
                <w:rFonts w:hint="eastAsia" w:ascii="宋体" w:hAnsi="宋体" w:cs="宋体"/>
                <w:color w:val="auto"/>
                <w:szCs w:val="21"/>
                <w:highlight w:val="none"/>
              </w:rPr>
              <w:t>园区企业综合信息录入平台</w:t>
            </w:r>
          </w:p>
        </w:tc>
        <w:tc>
          <w:tcPr>
            <w:tcW w:w="709"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0"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835"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0" w:firstLineChars="0"/>
              <w:jc w:val="left"/>
              <w:rPr>
                <w:rFonts w:ascii="宋体" w:hAnsi="宋体" w:cs="宋体"/>
                <w:color w:val="auto"/>
                <w:szCs w:val="21"/>
                <w:highlight w:val="none"/>
              </w:rPr>
            </w:pPr>
            <w:r>
              <w:rPr>
                <w:rFonts w:hint="eastAsia" w:ascii="宋体" w:hAnsi="宋体" w:cs="宋体"/>
                <w:color w:val="auto"/>
                <w:szCs w:val="21"/>
                <w:highlight w:val="none"/>
              </w:rPr>
              <w:t>应急数据接口门户录入。具体内容详见技术需求。</w:t>
            </w:r>
          </w:p>
        </w:tc>
      </w:tr>
    </w:tbl>
    <w:p>
      <w:pPr>
        <w:pStyle w:val="2"/>
        <w:spacing w:line="240" w:lineRule="auto"/>
        <w:ind w:firstLine="422"/>
        <w:rPr>
          <w:rFonts w:ascii="宋体" w:hAnsi="宋体" w:eastAsia="宋体" w:cs="宋体"/>
          <w:color w:val="auto"/>
          <w:highlight w:val="none"/>
        </w:rPr>
      </w:pPr>
      <w:r>
        <w:rPr>
          <w:rFonts w:hint="eastAsia" w:ascii="宋体" w:hAnsi="宋体" w:eastAsia="宋体" w:cs="宋体"/>
          <w:b/>
          <w:bCs/>
          <w:color w:val="auto"/>
          <w:sz w:val="21"/>
          <w:highlight w:val="none"/>
        </w:rPr>
        <w:t>注：以上清单中各功能项供应商在配置中必须全部包含，但不限于此。</w:t>
      </w:r>
    </w:p>
    <w:p>
      <w:pPr>
        <w:pStyle w:val="8"/>
        <w:ind w:firstLine="422"/>
        <w:rPr>
          <w:rFonts w:ascii="宋体" w:hAnsi="宋体" w:cs="宋体"/>
          <w:color w:val="auto"/>
          <w:highlight w:val="none"/>
        </w:rPr>
      </w:pPr>
      <w:r>
        <w:rPr>
          <w:rFonts w:hint="eastAsia" w:ascii="宋体" w:hAnsi="宋体" w:cs="宋体"/>
          <w:color w:val="auto"/>
          <w:highlight w:val="none"/>
        </w:rPr>
        <w:t>硬件清单</w:t>
      </w:r>
    </w:p>
    <w:p>
      <w:pPr>
        <w:pStyle w:val="8"/>
        <w:numPr>
          <w:ilvl w:val="4"/>
          <w:numId w:val="0"/>
        </w:numPr>
        <w:ind w:left="422"/>
        <w:rPr>
          <w:rFonts w:ascii="宋体" w:hAnsi="宋体" w:cs="宋体"/>
          <w:color w:val="auto"/>
          <w:highlight w:val="none"/>
        </w:rPr>
      </w:pPr>
      <w:r>
        <w:rPr>
          <w:rFonts w:hint="eastAsia" w:ascii="宋体" w:hAnsi="宋体" w:cs="宋体"/>
          <w:b w:val="0"/>
          <w:bCs w:val="0"/>
          <w:color w:val="auto"/>
          <w:highlight w:val="none"/>
        </w:rPr>
        <w:t xml:space="preserve">1.4.11.3.2.1  </w:t>
      </w:r>
      <w:r>
        <w:rPr>
          <w:rFonts w:hint="eastAsia" w:ascii="宋体" w:hAnsi="宋体" w:cs="宋体"/>
          <w:color w:val="auto"/>
          <w:highlight w:val="none"/>
        </w:rPr>
        <w:t>网络、安全及5家试点企业接入设备</w:t>
      </w:r>
    </w:p>
    <w:tbl>
      <w:tblPr>
        <w:tblStyle w:val="37"/>
        <w:tblW w:w="86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878"/>
        <w:gridCol w:w="5980"/>
        <w:gridCol w:w="560"/>
        <w:gridCol w:w="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95"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878"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名称</w:t>
            </w:r>
          </w:p>
        </w:tc>
        <w:tc>
          <w:tcPr>
            <w:tcW w:w="5980"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招标要求</w:t>
            </w:r>
          </w:p>
        </w:tc>
        <w:tc>
          <w:tcPr>
            <w:tcW w:w="560"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单位</w:t>
            </w:r>
          </w:p>
        </w:tc>
        <w:tc>
          <w:tcPr>
            <w:tcW w:w="549"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662" w:type="dxa"/>
            <w:gridSpan w:val="5"/>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(一）、计算节点及虚拟化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c>
          <w:tcPr>
            <w:tcW w:w="878"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服务器</w:t>
            </w:r>
          </w:p>
        </w:tc>
        <w:tc>
          <w:tcPr>
            <w:tcW w:w="5980" w:type="dxa"/>
            <w:shd w:val="clear" w:color="000000" w:fill="FFFFFF"/>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1、2*CPU（2.3GHz ，16C）, 768GB DDR4 内存，2*600G SAS硬盘，1*3.2T NVME 读写混合型SSD 硬盘，10*1.2T 10k rpm SAS硬盘，2*GE电口+4*10G光口（含4个万兆多模光模块）；</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2、配置≥2颗CPU。</w:t>
            </w:r>
          </w:p>
        </w:tc>
        <w:tc>
          <w:tcPr>
            <w:tcW w:w="560"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台</w:t>
            </w:r>
          </w:p>
        </w:tc>
        <w:tc>
          <w:tcPr>
            <w:tcW w:w="549"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2</w:t>
            </w:r>
          </w:p>
        </w:tc>
        <w:tc>
          <w:tcPr>
            <w:tcW w:w="878"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软件</w:t>
            </w:r>
          </w:p>
        </w:tc>
        <w:tc>
          <w:tcPr>
            <w:tcW w:w="5980" w:type="dxa"/>
            <w:shd w:val="clear" w:color="000000" w:fill="FFFFFF"/>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rPr>
              <w:t>虚拟化平台软件、分布式存储软件，具有自主研发能力，保障后续产品的连续性；</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▲2.支持业界主流的数据库部署，包括但不限于Oracle、Gbase、人大金仓，达梦,PolarDB等，在投标文件中需提供至少三家数据库厂商官网可以查询或提供数据库认证证书；</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3.支持在统一个管理界面中监控和管理计算、存储、交换机、虚拟化平台等。分布式存储软件构筑在x86或者ARM标准硬件之上，严禁使用开源Lustre和Ceph软件等，支持EC、2副本或3副本数据保护；</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▲4.分布式存储软件，当磁盘或者存储节点故障时系统能自动进行数据重构，在无人工干预的条件下，数据重构速度支持最快每TB&lt;15分钟，</w:t>
            </w:r>
            <w:r>
              <w:rPr>
                <w:rFonts w:hint="eastAsia" w:ascii="宋体" w:hAnsi="宋体" w:cs="宋体"/>
                <w:color w:val="auto"/>
                <w:szCs w:val="21"/>
                <w:highlight w:val="none"/>
              </w:rPr>
              <w:t>在投标文件中提供具备</w:t>
            </w:r>
            <w:r>
              <w:rPr>
                <w:rFonts w:hint="eastAsia" w:ascii="宋体" w:hAnsi="宋体" w:cs="宋体"/>
                <w:color w:val="auto"/>
                <w:kern w:val="0"/>
                <w:sz w:val="22"/>
                <w:szCs w:val="22"/>
                <w:highlight w:val="none"/>
                <w:lang w:bidi="ar"/>
              </w:rPr>
              <w:t>CMA或CNAS资质的</w:t>
            </w:r>
            <w:r>
              <w:rPr>
                <w:rFonts w:hint="eastAsia" w:ascii="宋体" w:hAnsi="宋体" w:cs="宋体"/>
                <w:color w:val="auto"/>
                <w:szCs w:val="21"/>
                <w:highlight w:val="none"/>
              </w:rPr>
              <w:t>三方评测机构盖章的测试报告复印件；</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5.在全SSD配置及SSD+HDD混合配置下，均支持EC（Erasure Code）算法实现数据冗余存储，支持2+2,4+2,6+2,8+2多种冗余配置，投标文件中提供产品配置截图；</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6.支持在统一图形界面上一键式或定期自动输出系统健康巡检报告，包括CPU、内存、HDD、SSD、RAID卡等硬件状态，虚拟化平台，存储软件，管理软件等部件的健康状态，便于主动识别潜在的风险；</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7.虚拟机平台须支持主流的X86/ARM架构的操作系统，包括Windows， Redhat、SUSE、CentOS、麒麟、凝思等OS，投标方应在投标文件中详细列出所支持的系统范围；</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8.提供三年软硬件原厂技术支持与售后服务。</w:t>
            </w:r>
          </w:p>
        </w:tc>
        <w:tc>
          <w:tcPr>
            <w:tcW w:w="560"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套</w:t>
            </w:r>
          </w:p>
        </w:tc>
        <w:tc>
          <w:tcPr>
            <w:tcW w:w="549"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3</w:t>
            </w:r>
          </w:p>
        </w:tc>
        <w:tc>
          <w:tcPr>
            <w:tcW w:w="878"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交换机</w:t>
            </w:r>
          </w:p>
        </w:tc>
        <w:tc>
          <w:tcPr>
            <w:tcW w:w="5980" w:type="dxa"/>
            <w:shd w:val="clear" w:color="000000" w:fill="FFFFFF"/>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rPr>
              <w:t>交换容量 ≥4.8Tbps，包转发率≥2000Mpps；</w:t>
            </w:r>
            <w:r>
              <w:rPr>
                <w:rFonts w:hint="eastAsia" w:ascii="宋体" w:hAnsi="宋体" w:cs="宋体"/>
                <w:color w:val="auto"/>
                <w:szCs w:val="21"/>
                <w:highlight w:val="none"/>
              </w:rPr>
              <w:br w:type="textWrapping"/>
            </w:r>
            <w:r>
              <w:rPr>
                <w:rFonts w:hint="eastAsia" w:ascii="宋体" w:hAnsi="宋体" w:cs="宋体"/>
                <w:color w:val="auto"/>
                <w:szCs w:val="21"/>
                <w:highlight w:val="none"/>
              </w:rPr>
              <w:t>2、整机支持10GE光口≥48个，40GE/100G光口≥6个；</w:t>
            </w:r>
            <w:r>
              <w:rPr>
                <w:rFonts w:hint="eastAsia" w:ascii="宋体" w:hAnsi="宋体" w:cs="宋体"/>
                <w:color w:val="auto"/>
                <w:szCs w:val="21"/>
                <w:highlight w:val="none"/>
              </w:rPr>
              <w:br w:type="textWrapping"/>
            </w:r>
            <w:r>
              <w:rPr>
                <w:rFonts w:hint="eastAsia" w:ascii="宋体" w:hAnsi="宋体" w:cs="宋体"/>
                <w:color w:val="auto"/>
                <w:szCs w:val="21"/>
                <w:highlight w:val="none"/>
              </w:rPr>
              <w:t>3、电源1+1备份，风扇3+1备份；</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4、支持前后、后前风道；</w:t>
            </w:r>
            <w:r>
              <w:rPr>
                <w:rFonts w:hint="eastAsia" w:ascii="宋体" w:hAnsi="宋体" w:cs="宋体"/>
                <w:color w:val="auto"/>
                <w:szCs w:val="21"/>
                <w:highlight w:val="none"/>
              </w:rPr>
              <w:br w:type="textWrapping"/>
            </w:r>
            <w:r>
              <w:rPr>
                <w:rFonts w:hint="eastAsia" w:ascii="宋体" w:hAnsi="宋体" w:cs="宋体"/>
                <w:color w:val="auto"/>
                <w:szCs w:val="21"/>
                <w:highlight w:val="none"/>
              </w:rPr>
              <w:t>5、支持M-LAG技术（跨框链路聚合，要求配对设备有独立的控制平面，不能用堆叠等多虚一技术实现）；</w:t>
            </w:r>
            <w:r>
              <w:rPr>
                <w:rFonts w:hint="eastAsia" w:ascii="宋体" w:hAnsi="宋体" w:cs="宋体"/>
                <w:color w:val="auto"/>
                <w:szCs w:val="21"/>
                <w:highlight w:val="none"/>
              </w:rPr>
              <w:br w:type="textWrapping"/>
            </w:r>
            <w:r>
              <w:rPr>
                <w:rFonts w:hint="eastAsia" w:ascii="宋体" w:hAnsi="宋体" w:cs="宋体"/>
                <w:color w:val="auto"/>
                <w:szCs w:val="21"/>
                <w:highlight w:val="none"/>
              </w:rPr>
              <w:t>6、支持RIP、OSPF、ISIS、BGP等IPv4动态路由协议，BGP4+等IPv6动态路由协议；</w:t>
            </w:r>
            <w:r>
              <w:rPr>
                <w:rFonts w:hint="eastAsia" w:ascii="宋体" w:hAnsi="宋体" w:cs="宋体"/>
                <w:color w:val="auto"/>
                <w:szCs w:val="21"/>
                <w:highlight w:val="none"/>
              </w:rPr>
              <w:br w:type="textWrapping"/>
            </w:r>
            <w:r>
              <w:rPr>
                <w:rFonts w:hint="eastAsia" w:ascii="宋体" w:hAnsi="宋体" w:cs="宋体"/>
                <w:color w:val="auto"/>
                <w:szCs w:val="21"/>
                <w:highlight w:val="none"/>
              </w:rPr>
              <w:t>7、单台实配万兆多模光模块≥14；</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8、3米40G高速堆叠线缆≥1根；</w:t>
            </w:r>
            <w:r>
              <w:rPr>
                <w:rFonts w:hint="eastAsia" w:ascii="宋体" w:hAnsi="宋体" w:cs="宋体"/>
                <w:color w:val="auto"/>
                <w:szCs w:val="21"/>
                <w:highlight w:val="none"/>
              </w:rPr>
              <w:br w:type="textWrapping"/>
            </w:r>
            <w:r>
              <w:rPr>
                <w:rFonts w:hint="eastAsia" w:ascii="宋体" w:hAnsi="宋体" w:cs="宋体"/>
                <w:color w:val="auto"/>
                <w:szCs w:val="21"/>
                <w:highlight w:val="none"/>
              </w:rPr>
              <w:t>9、提供三年软硬件原厂技术支持与售后服务；</w:t>
            </w:r>
          </w:p>
        </w:tc>
        <w:tc>
          <w:tcPr>
            <w:tcW w:w="560"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台</w:t>
            </w:r>
          </w:p>
        </w:tc>
        <w:tc>
          <w:tcPr>
            <w:tcW w:w="549"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662" w:type="dxa"/>
            <w:gridSpan w:val="5"/>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(二）、存储节点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c>
          <w:tcPr>
            <w:tcW w:w="878"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服务器</w:t>
            </w:r>
          </w:p>
        </w:tc>
        <w:tc>
          <w:tcPr>
            <w:tcW w:w="5980" w:type="dxa"/>
            <w:shd w:val="clear" w:color="000000" w:fill="FFFFFF"/>
          </w:tcPr>
          <w:p>
            <w:pPr>
              <w:ind w:firstLine="0" w:firstLineChars="0"/>
              <w:rPr>
                <w:rFonts w:ascii="宋体" w:hAnsi="宋体" w:cs="宋体"/>
                <w:color w:val="auto"/>
                <w:szCs w:val="21"/>
                <w:highlight w:val="none"/>
              </w:rPr>
            </w:pPr>
            <w:r>
              <w:rPr>
                <w:rFonts w:hint="eastAsia" w:ascii="宋体" w:hAnsi="宋体" w:cs="宋体"/>
                <w:color w:val="auto"/>
                <w:szCs w:val="21"/>
                <w:highlight w:val="none"/>
              </w:rPr>
              <w:t>2* CPU（2.6GHz，28核）, 128GB内存，2*600G 10K rpm SAS硬盘，1*1.92T  SSD，11*4T SATA， 4*10G光口（含4个万兆多模光模块），配置配额授权许可。</w:t>
            </w:r>
          </w:p>
        </w:tc>
        <w:tc>
          <w:tcPr>
            <w:tcW w:w="560"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台</w:t>
            </w:r>
          </w:p>
        </w:tc>
        <w:tc>
          <w:tcPr>
            <w:tcW w:w="549"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695"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2</w:t>
            </w:r>
          </w:p>
        </w:tc>
        <w:tc>
          <w:tcPr>
            <w:tcW w:w="878"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软件</w:t>
            </w:r>
          </w:p>
        </w:tc>
        <w:tc>
          <w:tcPr>
            <w:tcW w:w="5980" w:type="dxa"/>
            <w:shd w:val="clear" w:color="000000" w:fill="FFFFFF"/>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rPr>
              <w:t>全对称分布式架构，无独立元数据节点，如果是非对称架构（有独立的元数据服务或元数据节点），则元数据节点或部署元数据服务的节点≥3台；</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2、专业存储操作系统（非WINDOWS操作系统）。支持NFS（V3/V4），CIFS（SMB 1.0/SMB 2.0/SMB 2.1/SMB 3.0），FTP，NDMP接口；支持N+1到N+4的纠删码保护；可用容量≥72TB；</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3、配置企业级WORM功能，可实现用户对目录设置宽限期和保护期，当指定的文件进入保护期后，使文件在保护期内只能被读取，防止文件中的数据被修改或删除；</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▲4、NAS存储要求单节点读写带宽均大于5GB/S，在投标文件中提供第三方评测机构</w:t>
            </w:r>
            <w:r>
              <w:rPr>
                <w:rFonts w:hint="eastAsia" w:ascii="宋体" w:hAnsi="宋体" w:cs="宋体"/>
                <w:color w:val="auto"/>
                <w:szCs w:val="21"/>
                <w:highlight w:val="none"/>
              </w:rPr>
              <w:t>盖章的</w:t>
            </w:r>
            <w:r>
              <w:rPr>
                <w:rFonts w:hint="eastAsia" w:ascii="宋体" w:hAnsi="宋体" w:cs="宋体"/>
                <w:color w:val="auto"/>
                <w:szCs w:val="21"/>
                <w:highlight w:val="none"/>
              </w:rPr>
              <w:t>测试报告复印件；</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5、提供三年软硬件原厂技术支持与售后服务。</w:t>
            </w:r>
          </w:p>
        </w:tc>
        <w:tc>
          <w:tcPr>
            <w:tcW w:w="560"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套</w:t>
            </w:r>
          </w:p>
        </w:tc>
        <w:tc>
          <w:tcPr>
            <w:tcW w:w="549"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695"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3</w:t>
            </w:r>
          </w:p>
        </w:tc>
        <w:tc>
          <w:tcPr>
            <w:tcW w:w="878"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存储节点后端交换机</w:t>
            </w:r>
          </w:p>
        </w:tc>
        <w:tc>
          <w:tcPr>
            <w:tcW w:w="5980" w:type="dxa"/>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rPr>
              <w:t>、交换容量 ≥4.8Tbps，包转发率≥2000Mpps；</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2、整机支持10GE光口≥48个，40GE/100G光口≥6个；</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3、电源1+1备份，风扇3+1备份；支持前后、后前风道；</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▲4、支持M-LAG技术（跨框链路聚合，要求配对设备有独立的控制平面，不能用堆叠等多虚一技术实现，在投标文件中提供第三方测试报告）；</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5、支持RIP、OSPF、ISIS、BGP等IPv4动态路由协议，BGP4+等IPv6动态路由协议；支持按需装载功能特性，例如OSPF，BGP等，可单个重启该进程，在投标文件中提供第三方评测机构</w:t>
            </w:r>
            <w:r>
              <w:rPr>
                <w:rFonts w:hint="eastAsia" w:ascii="宋体" w:hAnsi="宋体" w:cs="宋体"/>
                <w:color w:val="auto"/>
                <w:szCs w:val="21"/>
                <w:highlight w:val="none"/>
              </w:rPr>
              <w:t>盖章</w:t>
            </w:r>
            <w:r>
              <w:rPr>
                <w:rFonts w:hint="eastAsia" w:ascii="宋体" w:hAnsi="宋体" w:cs="宋体"/>
                <w:color w:val="auto"/>
                <w:szCs w:val="21"/>
                <w:highlight w:val="none"/>
              </w:rPr>
              <w:t>的测试报告复印件；</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6、单台实配万兆多模光模块≥10；3米40G高速堆叠线缆≥1根；</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7、提供三年软硬件原厂技术支持与售后服务。</w:t>
            </w:r>
          </w:p>
        </w:tc>
        <w:tc>
          <w:tcPr>
            <w:tcW w:w="56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台</w:t>
            </w:r>
          </w:p>
        </w:tc>
        <w:tc>
          <w:tcPr>
            <w:tcW w:w="549"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662" w:type="dxa"/>
            <w:gridSpan w:val="5"/>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(三）、网络设备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c>
          <w:tcPr>
            <w:tcW w:w="878"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业务核心交换机</w:t>
            </w:r>
          </w:p>
        </w:tc>
        <w:tc>
          <w:tcPr>
            <w:tcW w:w="5980" w:type="dxa"/>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rPr>
              <w:t>、交换容量≥380Tbps，包转发率≥115000Mpps；</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2、整机支持业务槽位数≥8，主控引擎与交换网板硬件分离，交换网板插槽数量≥6, 支持网板N+M 冗余；</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3、风扇框冗余设计，要求风扇框个数≥3；支持M-LAG或vPC等类似技术；</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4、单台支持虚拟为≥8台虚拟交换机，每个虚拟交换机拥有独立的配置和管理界面以及独立的管理IP地址；本次配置单板卡中端口可支持分配给至少6台虚拟交换机，不得影响整机功能和性能；</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5、单台配置冗余主控板，电源模块≥2个，交换网板≥3个，万兆接口≥48个，万兆多模模块≥36；</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6、提供三年软硬件原厂技术支持与售后服务。</w:t>
            </w:r>
          </w:p>
        </w:tc>
        <w:tc>
          <w:tcPr>
            <w:tcW w:w="56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台</w:t>
            </w:r>
          </w:p>
        </w:tc>
        <w:tc>
          <w:tcPr>
            <w:tcW w:w="549"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2</w:t>
            </w:r>
          </w:p>
        </w:tc>
        <w:tc>
          <w:tcPr>
            <w:tcW w:w="878"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业务接入交换机</w:t>
            </w:r>
          </w:p>
        </w:tc>
        <w:tc>
          <w:tcPr>
            <w:tcW w:w="5980" w:type="dxa"/>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rPr>
              <w:t>交换容量 ≥4.8Tbps，包转发率≥2000Mpps；</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2、整机支持10GE光口≥48个，40GE/100G光口≥6个；</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3、电源1+1备份，风扇3+1备份；支持前后、后前风道；</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4、支持M-LAG技术（跨框链路聚合，要求配对设备有独立的控制平面；</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5、不能用堆叠等多虚一技术实现，提供第三方测试报告；</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6、支持RIP、OSPF、ISIS、BGP等IPv4动态路由协议，BGP4+等IPv6动态路由协议；例如OSPF，BGP等，可单个重启该进程；</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7、单台实配万兆光模块≥24；</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8、提供三年软硬件原厂技术支持与售后服务。</w:t>
            </w:r>
          </w:p>
        </w:tc>
        <w:tc>
          <w:tcPr>
            <w:tcW w:w="56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台</w:t>
            </w:r>
          </w:p>
        </w:tc>
        <w:tc>
          <w:tcPr>
            <w:tcW w:w="549"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3</w:t>
            </w:r>
          </w:p>
        </w:tc>
        <w:tc>
          <w:tcPr>
            <w:tcW w:w="878"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汇入层交换机</w:t>
            </w:r>
          </w:p>
        </w:tc>
        <w:tc>
          <w:tcPr>
            <w:tcW w:w="598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1、双主控，双电源,≥2端口万兆SFP+,≥12端口千兆SFP,≥8端口千兆RJ4；</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2、支持整机包转发能力为≥9Mpps，采用了全分布式处理架构，路由引擎和业务引擎硬件分离，所有引擎上控制平面和业务平面分离，确保系统全速运行时业务和控制互不干扰，主备倒换时业务不中断；</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3、各业务引擎可独立完成NAT、IPSec、Netstream等业务的分布式处理，在提高系统的整体处理能力的同时又保证了各业务的高可靠性。</w:t>
            </w:r>
          </w:p>
        </w:tc>
        <w:tc>
          <w:tcPr>
            <w:tcW w:w="56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台</w:t>
            </w:r>
          </w:p>
        </w:tc>
        <w:tc>
          <w:tcPr>
            <w:tcW w:w="549"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662" w:type="dxa"/>
            <w:gridSpan w:val="5"/>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(四）、安全设备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c>
          <w:tcPr>
            <w:tcW w:w="878"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网闸</w:t>
            </w:r>
          </w:p>
        </w:tc>
        <w:tc>
          <w:tcPr>
            <w:tcW w:w="598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1、电源规格:冗余电源;机箱规格:2U（尺寸(宽深高)426*570*88mm ）；</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2、接口配置:内外端双侧液晶屏；内端机6个10/100/1000Base-T接口，含1个MAN口； 外端机6个10/100/1000Base-T接口，含1个 HA口；USB接口4个；</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3、标准配置包含web访问模块、邮件访问模块、FTP访问模块、文件同步模块、数据库访问模块、数据库同步模块、视频监控模块、自定义应用模块；</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4、功率：380w；运行温度0~40℃；存储温度：-40~85℃；相对湿度：5~95%，非冷凝；吞吐量≥1Gbps；并发连接数≥8万；</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▲5、支持HTTPS网络传输，并且可在SSL加密通道中分解出正常HTTPS网络应用，屏蔽自由门等各类加密翻墙软件的传输；（在投标文件中提供功能截图）</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6、支持文件同步容错策略和告警策略，同步出错能够自动重传并能够设置重传次数，出现异常同步状况能够终止同步弹出告警提示并记录日志；（在投标文件中提供功能截图）</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7、支持TCP应用层数据单向传输的控制，保证TCP应用数据的0 反馈，以满足二次防护对数据传输的安全性需求；</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8、支持代理模式、透明代理、路由模式三种工作模式，管理员可依据实际网络状况进行相应的部署，以满足各种网络环境状况；（在投标文件中提供功能截图）</w:t>
            </w:r>
          </w:p>
        </w:tc>
        <w:tc>
          <w:tcPr>
            <w:tcW w:w="56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套</w:t>
            </w:r>
          </w:p>
        </w:tc>
        <w:tc>
          <w:tcPr>
            <w:tcW w:w="549"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2</w:t>
            </w:r>
          </w:p>
        </w:tc>
        <w:tc>
          <w:tcPr>
            <w:tcW w:w="878"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链路负载均衡</w:t>
            </w:r>
          </w:p>
        </w:tc>
        <w:tc>
          <w:tcPr>
            <w:tcW w:w="598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1、2U机架式架构（尺寸(宽深高) 426*470*89mm）；标配6个千兆电口；2个千兆接口SFP插槽；2个扩展插槽；双电源；功率 150W；运行温度 0~40℃；存储温度 -20~70℃；相对湿度 5~95%（非冷凝）；四层新建≥24W 七层新建≥27W 整机吞吐量：≥15G 最大并发连接数：≥800W"；支持串行、旁路、三角传输部署模式；</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2、信息安全设备、系统软件的开发、生产符合TL9000-HSV 标准；</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3、链路负载均衡和服务器负载部署支持AS/AA模式（在投标文件中提供截图证明）。支持主备之间会话同步，支持IPV6/IPV4双栈，支持NAT66、NAT64、DNS64；（在投标文件中提供截图证明）</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4、支持多功能合一同时支持链路负载均衡、服务器负载均衡和全局负载均衡的功能,无需额外购买相应授权。此外设备集成TCP协议优化、WEB压缩缓存、页面加速、SSL卸载、网络防火墙、Web应用防火墙、DNS防火墙、漏洞扫描、四七层DDos攻击防护等功能；（在投标文件中提供功截图证明）</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5、根据源地址范围、源端口、协议、拓扑区域和具体应用进行出站链路的选择，给用户最大选择力度，保证链路按需所用；</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6、提供服务器负载均衡算法包括：轮询算法，比率算法，随机算法，源地址哈希算法，最小连接算法，加权最小连接算法，最快响应算法，观察者算法，首个有效算法等；</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7、内置SSL卸载模块，SSL工作减轻服务器负担。支持服务器CA证书导入，提供证书单向和双向认证，双向认证支持透传客户端证书给后台服务器；（在投标文件中提供截图证明）</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8、提供CSS加速功能，支持内嵌CSS,合并CSS,最小化CSS，将CSS移动到head中，将CSS移动到JS前。提供JavaScript加速功能，支持内嵌JS，合并JS，最小化JS。提供HTML加速功能，支持去除空白，去除注释。提供图片加速功能，支持内嵌图片，转换图片格式；</w:t>
            </w:r>
          </w:p>
        </w:tc>
        <w:tc>
          <w:tcPr>
            <w:tcW w:w="56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台</w:t>
            </w:r>
          </w:p>
        </w:tc>
        <w:tc>
          <w:tcPr>
            <w:tcW w:w="549"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3</w:t>
            </w:r>
          </w:p>
        </w:tc>
        <w:tc>
          <w:tcPr>
            <w:tcW w:w="878"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综合安全接入网关</w:t>
            </w:r>
          </w:p>
        </w:tc>
        <w:tc>
          <w:tcPr>
            <w:tcW w:w="5980" w:type="dxa"/>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rPr>
              <w:t>硬件设计采用高性能一体化智能安全处理引擎；</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2、网络处理能力为20Gbps，并发连接≥800万，每秒新建连接24万/秒；</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3、标准2U机箱，配置12个10/100/1000Mbps自适应电口+8个SFP千兆光口插槽，4个SFP+万兆光口插槽，冗余电源，</w:t>
            </w:r>
            <w:r>
              <w:rPr>
                <w:rFonts w:hint="eastAsia" w:ascii="宋体" w:hAnsi="宋体" w:cs="宋体"/>
                <w:color w:val="auto"/>
                <w:highlight w:val="none"/>
              </w:rPr>
              <w:t>100个SSL VPN授权</w:t>
            </w:r>
            <w:r>
              <w:rPr>
                <w:rFonts w:hint="eastAsia" w:ascii="宋体" w:hAnsi="宋体" w:cs="宋体"/>
                <w:color w:val="auto"/>
                <w:szCs w:val="21"/>
                <w:highlight w:val="none"/>
              </w:rPr>
              <w:t>；</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4、配置防病毒功能、入侵防御功能、威胁情报功能；</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5、支持支持静态路由、策略路由及动态路由；</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6、具有独立审计用户，支持标准Syslog日志审计方式，支持Syslog端口自定义（支持内外端机主机名更改，强化日志审计及集中管理功能，能够对功能访问模块拒绝访问进行日志记录，支持对日志的高性能处理和存储，在投标文件中提供高性能Syslog日志处理和存储证书。在投标文件中提供第三方评测机构</w:t>
            </w:r>
            <w:r>
              <w:rPr>
                <w:rFonts w:hint="eastAsia" w:ascii="宋体" w:hAnsi="宋体" w:cs="宋体"/>
                <w:color w:val="auto"/>
                <w:szCs w:val="21"/>
                <w:highlight w:val="none"/>
              </w:rPr>
              <w:t>盖章的</w:t>
            </w:r>
            <w:r>
              <w:rPr>
                <w:rFonts w:hint="eastAsia" w:ascii="宋体" w:hAnsi="宋体" w:cs="宋体"/>
                <w:color w:val="auto"/>
                <w:szCs w:val="21"/>
                <w:highlight w:val="none"/>
              </w:rPr>
              <w:t>测试报告复印件；</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7、三年质保、三年病毒库升级服务、三年攻击特征库升级服务、三年威胁情报库升级服务。</w:t>
            </w:r>
          </w:p>
        </w:tc>
        <w:tc>
          <w:tcPr>
            <w:tcW w:w="56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套</w:t>
            </w:r>
          </w:p>
        </w:tc>
        <w:tc>
          <w:tcPr>
            <w:tcW w:w="549"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4</w:t>
            </w:r>
          </w:p>
        </w:tc>
        <w:tc>
          <w:tcPr>
            <w:tcW w:w="878"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防DDoS</w:t>
            </w:r>
          </w:p>
        </w:tc>
        <w:tc>
          <w:tcPr>
            <w:tcW w:w="5980" w:type="dxa"/>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1、标准机架式设备，支持GE电口，10GE、40GE光口多种接口形式；</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2、支持40GE接口≥2个，万兆光口≥12个，千兆电口≥16个；</w:t>
            </w:r>
            <w:r>
              <w:rPr>
                <w:rFonts w:hint="eastAsia" w:ascii="宋体" w:hAnsi="宋体" w:cs="宋体"/>
                <w:color w:val="auto"/>
                <w:szCs w:val="21"/>
                <w:highlight w:val="none"/>
              </w:rPr>
              <w:br w:type="textWrapping"/>
            </w:r>
            <w:r>
              <w:rPr>
                <w:rFonts w:hint="eastAsia" w:ascii="宋体" w:hAnsi="宋体" w:cs="宋体"/>
                <w:color w:val="auto"/>
                <w:szCs w:val="21"/>
                <w:highlight w:val="none"/>
              </w:rPr>
              <w:t>整机吞吐量最高可达20Gbps，实配DDos检测/DDos清洗能力≥10G；</w:t>
            </w:r>
            <w:r>
              <w:rPr>
                <w:rFonts w:hint="eastAsia" w:ascii="宋体" w:hAnsi="宋体" w:cs="宋体"/>
                <w:color w:val="auto"/>
                <w:szCs w:val="21"/>
                <w:highlight w:val="none"/>
              </w:rPr>
              <w:br w:type="textWrapping"/>
            </w:r>
            <w:r>
              <w:rPr>
                <w:rFonts w:hint="eastAsia" w:ascii="宋体" w:hAnsi="宋体" w:cs="宋体"/>
                <w:color w:val="auto"/>
                <w:szCs w:val="21"/>
                <w:highlight w:val="none"/>
              </w:rPr>
              <w:t>3、实配冗余电源，支持热插拔；</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4、设备支持前后风道；</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5、提供3年免费原厂质保、技术服务。（含特征库升级）</w:t>
            </w:r>
          </w:p>
        </w:tc>
        <w:tc>
          <w:tcPr>
            <w:tcW w:w="56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套</w:t>
            </w:r>
          </w:p>
        </w:tc>
        <w:tc>
          <w:tcPr>
            <w:tcW w:w="549"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5</w:t>
            </w:r>
          </w:p>
        </w:tc>
        <w:tc>
          <w:tcPr>
            <w:tcW w:w="878"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WAF</w:t>
            </w:r>
          </w:p>
        </w:tc>
        <w:tc>
          <w:tcPr>
            <w:tcW w:w="598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2U机架式结构（（宽深高）426*470*89mm）；最大配置为26个接口；包括2个可插拨的扩展槽和4个10/100/1000BASE-T接口（默认支持两组电口Bypass功能）和4个SFP插槽，2个10/100/1000BASE-T接口（作为HA口和管理口）；双电源；含3年特征库升级服务。内含SQL注入、XSS、CSRF等WEB攻击防护功能、URL访问控制功能、防盗链功能、WEB漏洞扫描功能、DDOS攻击防护功能、网页防篡改功能、服务器负载均衡功能、报表分析及告警功能；功率 300W；工作温度：0~45摄氏度 ；非工作温度：-20~70摄氏度 ；工作湿度：5~95%，非冷凝；并发连接≥120万；网络层吞吐率≥5Gbps，应用层吞吐率≥1Gbps；</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2、支持虚拟线无论任何网络环境可强制数据从一个接口转发到另一个接口；</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3、支持服务器健康检查，可以实时监测服务器的活跃状态，并且可定期备份健康记录；</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▲4、支持HTTP/HTTPS站点防护，在代理模式下支持HTTPS流量解析，支持SSL卸载功能；（在投标文件中提供截图证明）</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5、对DDoS流量支持检测清洗和强制防御两种模式，检测清洗根据是否到达阈值对流量进行清洗，强制清洗对所有流量直接进行流量清洗判断；</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6、支持虚拟补丁功能，支持导入WAF内置扫描器及appscan、w3af等第三方扫描器的扫描结果生成WAF的防护规则，对此类网站漏洞直接防护；</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7、支持多种爬虫攻击防护：包括但不限于内置爬虫对象库，自定义爬虫对象，导入或者下载后端服务器robots.txt 等方式提供爬虫攻击防护；</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8、支持域名自学习，可以自动学习网络中网站服务器的IP地址及此地址下的域名；</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▲9、支持与现有防火墙进行联动防护。（在投标文件中提供截图证明）</w:t>
            </w:r>
          </w:p>
        </w:tc>
        <w:tc>
          <w:tcPr>
            <w:tcW w:w="56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套</w:t>
            </w:r>
          </w:p>
        </w:tc>
        <w:tc>
          <w:tcPr>
            <w:tcW w:w="549"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6</w:t>
            </w:r>
          </w:p>
        </w:tc>
        <w:tc>
          <w:tcPr>
            <w:tcW w:w="878"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VPN设备</w:t>
            </w:r>
          </w:p>
        </w:tc>
        <w:tc>
          <w:tcPr>
            <w:tcW w:w="598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1、1U机箱（尺寸(宽深高)426*330*44mm）最大配置为26个接口，配置10个10/100/1000BASE-T接口，1个USB口，2个可插拨的扩展槽 单电源 默认含50个SSL VPN的客户端许可，5个IPSEC VPN的客户端许可；功率250W；运行温度0~40℃；存储温度-40~70℃相对湿度10~95%（非冷凝）；整机吞吐率：3Gbps，并发连接数：140W，IPSEC隧道数：4000，IPSEC吞吐率：160Mbps，SSL吞吐率：350Mbps，SSL并发用户数：3000；</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2、信息安全设备、系统软件的开发、生产符合TL9000-HSV 标准；</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3、符合国密局制定的《SSL VPN技术规范》，支持国家商用密码算法SM1、SM2、SM3、SM4,支持硬件加密卡加载，提升加密效率；</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4、支持智能递推；（在投标文件中提供截图证明）</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▲5、支持基于Android/ IOS平台的第三方软件开发包（SDK），用于封装第三方应用软件（APP），无需安装独立客户端，即可实现数据加密传输，业务安全接入（投标文件中提供代码Demo示例文档描述或者截图）；</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6、支持通过WebCache技术对web页面进行数据优化，支持智能压缩技术，减少不必要的数据传输；</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7、同时支持5套以上第三方CA根证书；（在投标文件中提供截图证明）</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8、支持国密算法、国际算法、国密/国际混合算法的自由切换；</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9、支持双操作系统故障切换，保障单台设备的高可用性；支持双系统升级，支持TFTP、Webui、Ftp升级（在投标文件中提供截图证明）支持授权漂移策略，在主备模式下仅需采购一套接入许可；</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10、支持双引擎防病毒，提高系统安全性；</w:t>
            </w:r>
          </w:p>
        </w:tc>
        <w:tc>
          <w:tcPr>
            <w:tcW w:w="56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套</w:t>
            </w:r>
          </w:p>
        </w:tc>
        <w:tc>
          <w:tcPr>
            <w:tcW w:w="549"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7</w:t>
            </w:r>
          </w:p>
        </w:tc>
        <w:tc>
          <w:tcPr>
            <w:tcW w:w="878"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态势感知</w:t>
            </w:r>
          </w:p>
        </w:tc>
        <w:tc>
          <w:tcPr>
            <w:tcW w:w="5980" w:type="dxa"/>
            <w:vAlign w:val="center"/>
          </w:tcPr>
          <w:p>
            <w:pPr>
              <w:pStyle w:val="97"/>
              <w:ind w:firstLine="0" w:firstLineChars="0"/>
              <w:rPr>
                <w:rFonts w:ascii="宋体" w:hAnsi="宋体" w:eastAsia="宋体" w:cs="宋体"/>
                <w:color w:val="auto"/>
                <w:highlight w:val="none"/>
              </w:rPr>
            </w:pPr>
            <w:r>
              <w:rPr>
                <w:rFonts w:hint="eastAsia" w:ascii="宋体" w:hAnsi="宋体" w:eastAsia="宋体" w:cs="宋体"/>
                <w:color w:val="auto"/>
                <w:highlight w:val="none"/>
                <w:lang w:val="en-US"/>
              </w:rPr>
              <w:t>1、</w:t>
            </w:r>
            <w:r>
              <w:rPr>
                <w:rFonts w:hint="eastAsia" w:ascii="宋体" w:hAnsi="宋体" w:eastAsia="宋体" w:cs="宋体"/>
                <w:color w:val="auto"/>
                <w:highlight w:val="none"/>
              </w:rPr>
              <w:t>设备应用层吞吐量≥1.5Gbps；</w:t>
            </w:r>
          </w:p>
          <w:p>
            <w:pPr>
              <w:pStyle w:val="97"/>
              <w:ind w:firstLine="0" w:firstLineChars="0"/>
              <w:rPr>
                <w:rFonts w:ascii="宋体" w:hAnsi="宋体" w:eastAsia="宋体" w:cs="宋体"/>
                <w:color w:val="auto"/>
                <w:highlight w:val="none"/>
              </w:rPr>
            </w:pPr>
            <w:r>
              <w:rPr>
                <w:rFonts w:hint="eastAsia" w:ascii="宋体" w:hAnsi="宋体" w:eastAsia="宋体" w:cs="宋体"/>
                <w:color w:val="auto"/>
                <w:highlight w:val="none"/>
                <w:lang w:val="en-US"/>
              </w:rPr>
              <w:t>2、</w:t>
            </w:r>
            <w:r>
              <w:rPr>
                <w:rFonts w:hint="eastAsia" w:ascii="宋体" w:hAnsi="宋体" w:eastAsia="宋体" w:cs="宋体"/>
                <w:color w:val="auto"/>
                <w:highlight w:val="none"/>
              </w:rPr>
              <w:t>支持精准识别即时通信类、社交网络类、远程访问类、电子邮箱类、企业应用类、数据备份类、网络代理类等多类别的应用识别，应用识别库6000+；支持与网络安全设备（如防火墙、入侵检测）、网络控制器设备（如网络控制器）、终端EDR设备等联动阻断发现的威胁，并支持针对威胁事件触发手动联动、自动联动等联动响应方式；</w:t>
            </w:r>
          </w:p>
          <w:p>
            <w:pPr>
              <w:pStyle w:val="97"/>
              <w:ind w:firstLine="0" w:firstLineChars="0"/>
              <w:rPr>
                <w:rFonts w:ascii="宋体" w:hAnsi="宋体" w:eastAsia="宋体" w:cs="宋体"/>
                <w:color w:val="auto"/>
                <w:highlight w:val="none"/>
              </w:rPr>
            </w:pPr>
            <w:r>
              <w:rPr>
                <w:rFonts w:hint="eastAsia" w:ascii="宋体" w:hAnsi="宋体" w:eastAsia="宋体" w:cs="宋体"/>
                <w:color w:val="auto"/>
                <w:highlight w:val="none"/>
                <w:lang w:val="en-US"/>
              </w:rPr>
              <w:t>3、</w:t>
            </w:r>
            <w:r>
              <w:rPr>
                <w:rFonts w:hint="eastAsia" w:ascii="宋体" w:hAnsi="宋体" w:eastAsia="宋体" w:cs="宋体"/>
                <w:color w:val="auto"/>
                <w:highlight w:val="none"/>
              </w:rPr>
              <w:t>支持采用Hadoop数据架构进行数据存储、检索与计算，包含但不限于HDFS，Kafka，spark，Zookeeper，YARN、ElasticSearch等大数据组件；支持不同视角展示全网态势，包括综合安全态势、内网安全态势、外网安全态势、脆弱性态势、资产安全态势、威胁事件态势等6个独立的大屏展示功能。支持大屏轮播功能，能手动配置轮播间隔事件。并支持大屏Logo定制功能；</w:t>
            </w:r>
          </w:p>
          <w:p>
            <w:pPr>
              <w:pStyle w:val="97"/>
              <w:ind w:firstLine="0" w:firstLineChars="0"/>
              <w:rPr>
                <w:rFonts w:ascii="宋体" w:hAnsi="宋体" w:eastAsia="宋体" w:cs="宋体"/>
                <w:color w:val="auto"/>
                <w:highlight w:val="none"/>
              </w:rPr>
            </w:pPr>
            <w:r>
              <w:rPr>
                <w:rFonts w:hint="eastAsia" w:ascii="宋体" w:hAnsi="宋体" w:eastAsia="宋体" w:cs="宋体"/>
                <w:color w:val="auto"/>
                <w:highlight w:val="none"/>
                <w:lang w:val="en-US"/>
              </w:rPr>
              <w:t>4、</w:t>
            </w:r>
            <w:r>
              <w:rPr>
                <w:rFonts w:hint="eastAsia" w:ascii="宋体" w:hAnsi="宋体" w:eastAsia="宋体" w:cs="宋体"/>
                <w:color w:val="auto"/>
                <w:highlight w:val="none"/>
              </w:rPr>
              <w:t>实配所需物理服务器，考虑兼容性需求，要求硬件与态势感知软件同品牌：</w:t>
            </w:r>
          </w:p>
          <w:p>
            <w:pPr>
              <w:ind w:firstLine="0" w:firstLineChars="0"/>
              <w:rPr>
                <w:rFonts w:ascii="宋体" w:hAnsi="宋体" w:cs="宋体"/>
                <w:color w:val="auto"/>
                <w:szCs w:val="21"/>
                <w:highlight w:val="none"/>
              </w:rPr>
            </w:pPr>
            <w:r>
              <w:rPr>
                <w:rFonts w:hint="eastAsia" w:ascii="宋体" w:hAnsi="宋体" w:cs="宋体"/>
                <w:color w:val="auto"/>
                <w:highlight w:val="none"/>
              </w:rPr>
              <w:t>5、单台设备性能要求：实配2颗CPU，单CPU核数≥18，主频≥2.3G，内存≥384G，系统盘≥2*600G，数据盘≥23*1.2T（支持RAID6）；提供3年免费原厂质保、技术服务（含特征库升级）</w:t>
            </w:r>
            <w:r>
              <w:rPr>
                <w:rFonts w:hint="eastAsia" w:ascii="宋体" w:hAnsi="宋体" w:cs="宋体"/>
                <w:color w:val="auto"/>
                <w:szCs w:val="21"/>
                <w:highlight w:val="none"/>
              </w:rPr>
              <w:t>6、三年质保、三年病毒库升级服务、三年攻击特征库升级服务、三年威胁情报库升级服务。</w:t>
            </w:r>
          </w:p>
        </w:tc>
        <w:tc>
          <w:tcPr>
            <w:tcW w:w="56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套</w:t>
            </w:r>
          </w:p>
        </w:tc>
        <w:tc>
          <w:tcPr>
            <w:tcW w:w="549"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8</w:t>
            </w:r>
          </w:p>
        </w:tc>
        <w:tc>
          <w:tcPr>
            <w:tcW w:w="878"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堡垒机</w:t>
            </w:r>
          </w:p>
        </w:tc>
        <w:tc>
          <w:tcPr>
            <w:tcW w:w="598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1、1U机型，1个console口，2个USB口； 6个千兆电口，2个SFP插槽，2个可扩展插槽； 2T存储空间，单电源；默认自带100个资源授权和一年软件升级。100资源授权，用户数不限制；授权后续扩展，建议总数≤200；</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▲2、信息安全设备、系统软件的开发、生产符合TL9000-HSV 标准。在投标文件中要求提供相关证明复印件；</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3、物理旁路单臂部署，以逻辑网关方式工作；不改变现有网络结构，不改变运维人员的运维习惯；</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4、完整的用户帐号生命周期管理，实现帐号的创建、维护、修改、删除的集中管理；自定义用户类型，基于针对用户类型进行用户地址策略；</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5、定期检查平台存储的设备账号密码与设备实际密码是否匹配，以便进校验密码一致性，提高设备的安全性避免密码混乱无法登陆现象发生；</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6、平台在网络设备的认证协议上不仅支持RADIUS和TACACS+协议，而且产品系统自身可以作为Radius和TACACS服务器；</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7、产品自带病毒检测功能，在通过平台进行文件传输时，自动对传输的文件进行防病毒检测，并阻止带病毒文件的传输，有效防护服务器的安全；</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▲8、内置VPN功能，无需专用VPN硬件支持，即可保证远程接入堡垒机的链路安全；</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9、系统状态，包括：cpu工作情况，内存使用情况，磁盘使用情况，网卡使用情况，系统数据库工作情况，WEB服务工作情况，其他关键组件工作情况等。</w:t>
            </w:r>
          </w:p>
        </w:tc>
        <w:tc>
          <w:tcPr>
            <w:tcW w:w="56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套</w:t>
            </w:r>
          </w:p>
        </w:tc>
        <w:tc>
          <w:tcPr>
            <w:tcW w:w="549"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9</w:t>
            </w:r>
          </w:p>
        </w:tc>
        <w:tc>
          <w:tcPr>
            <w:tcW w:w="878"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日志审计</w:t>
            </w:r>
          </w:p>
        </w:tc>
        <w:tc>
          <w:tcPr>
            <w:tcW w:w="598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1、1U机架式设备；16G内存；256G SSD 系统盘；数据存储容量2T*4，Raid5；自带7千兆电口（2管理口+4数据口+1 BMC口），6 USB接口（含4个3.0）；不支持接口扩展；400W 单电源；日志综合采集处理峰值：10000EPS；</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▲2、支持BT级数据交互式多条件查询,上亿级数据查询结果返回延时小于10s；（在投标文件中提供截图证明）</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3、支持市面主流安全设备、网络设备、中间件、服务器、数据库、操作系统等不少于26类300种日志对象的日志数据采集；</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4、支持主动、被动相结合的数据采集方式；支持支持Telnet、Syslog、SNMP Trap、Netflow、JDBC、SSH、WMI、FTP等进行数据采集；支持通过Agent采集日志数据；</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5、支持控制被采集设备的日志流量速度；</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6、支持海量原始日志加密压缩存储，压缩比不低于10:1；支持控制被采集设备的日志流量速度；支持日志归一化处理，将不同设备所产生的不同格式的难以理解的日志数据进行统一格式化处理，提炼出有用信息清晰、明确的展示给管理者；</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7、支持根据设备重要程度设置独立的数据存储策略；系统内置常见安全事件关联分析规则；</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▲8、支持IPv6/IPv4双栈环境部署，对IPv6/IPv4日志源的日志进行高速采集。提供IPv6 Ready Logo委员会颁发的IPv6 Ready Logo认证证书；</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9、内置不少于500种报表模板；</w:t>
            </w:r>
          </w:p>
          <w:p>
            <w:pPr>
              <w:pStyle w:val="2"/>
              <w:ind w:firstLine="0" w:firstLineChars="0"/>
              <w:rPr>
                <w:color w:val="auto"/>
                <w:sz w:val="21"/>
                <w:szCs w:val="21"/>
                <w:highlight w:val="none"/>
              </w:rPr>
            </w:pPr>
            <w:r>
              <w:rPr>
                <w:rFonts w:hint="eastAsia"/>
                <w:color w:val="auto"/>
                <w:sz w:val="21"/>
                <w:szCs w:val="21"/>
                <w:highlight w:val="none"/>
              </w:rPr>
              <w:t>1</w:t>
            </w:r>
            <w:r>
              <w:rPr>
                <w:color w:val="auto"/>
                <w:sz w:val="21"/>
                <w:szCs w:val="21"/>
                <w:highlight w:val="none"/>
              </w:rPr>
              <w:t>0</w:t>
            </w:r>
            <w:r>
              <w:rPr>
                <w:rFonts w:hint="eastAsia"/>
                <w:color w:val="auto"/>
                <w:sz w:val="21"/>
                <w:szCs w:val="21"/>
                <w:highlight w:val="none"/>
              </w:rPr>
              <w:t>、</w:t>
            </w:r>
            <w:r>
              <w:rPr>
                <w:rFonts w:hint="eastAsia" w:asciiTheme="minorEastAsia" w:hAnsiTheme="minorEastAsia"/>
                <w:color w:val="auto"/>
                <w:sz w:val="21"/>
                <w:szCs w:val="21"/>
                <w:highlight w:val="none"/>
              </w:rPr>
              <w:t>投标时提供中国国家信息安全产品认证证书复印件。</w:t>
            </w:r>
          </w:p>
        </w:tc>
        <w:tc>
          <w:tcPr>
            <w:tcW w:w="56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套</w:t>
            </w:r>
          </w:p>
        </w:tc>
        <w:tc>
          <w:tcPr>
            <w:tcW w:w="549"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10</w:t>
            </w:r>
          </w:p>
        </w:tc>
        <w:tc>
          <w:tcPr>
            <w:tcW w:w="878"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漏洞扫描</w:t>
            </w:r>
          </w:p>
        </w:tc>
        <w:tc>
          <w:tcPr>
            <w:tcW w:w="598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1、电源规格:单电源;机箱规格:1U（尺寸(宽深高)426*450*44mm）;处理器Intel Atom C2758，内存8G，存储1T；接口配置:6个千兆电口，2个USB口，2个千兆光口，1个console;接口数量:9;扩展槽位:2,,包含1年漏洞规则库升级；功率150W；运行温度0~40°C；非运行温度-20~75℃；相对湿度10~90%（非冷凝）性能： 任务不限制IP数量；并发扫描160个IP地址；并发扫描15个扫描任务；支持分布式部署；</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2、产品应界面友好，Webui管理界面语言支持中英文切换；</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3、支持多个系统升级包并存，系统升级包文件数量不少于5个；</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4支持防火墙联动功能，防火墙能根据漏扫提供的资产信息对重要资产信息进行防护，根据漏洞信息自动生成防护规则，保护内网安全；</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5、支持首页全面展示风险分布及趋势图表，包括主机风险分布、站点风险分布、漏洞风险分布、漏洞top10、资产风险值趋势、资产风险分布趋势；</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▲6、支持扫描系统漏洞数量大于56000种，web漏洞数量大于1000种；（在投标文件中提供截图证明）</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7、允许管理员配置扫描通知，在扫描任务运行开始时向被扫描的资产发送扫描通知；</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8、支持扫描国产操作系统如中标麒麟、银河麒麟、深度、优麒麟、红旗，国产达梦数据库及TongWeb国产中间件的安全漏洞；</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9、支持扫描虚拟机安全漏洞，如VMWare、EXSI、KVM、XEN、XenServer、Hyper-V，可扫描漏洞数量大于800条；</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▲10、支持扫描大数据组件的安全漏洞，如Spark、Splunk、Kafka、Storm、Cassandra、Ambari、Impala、Solr、Oozie、Hbase、Hadoop等；（提供截图证明）</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11、支持排除后缀名，可自定义无需爬取的文件后缀名。</w:t>
            </w:r>
          </w:p>
        </w:tc>
        <w:tc>
          <w:tcPr>
            <w:tcW w:w="56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套</w:t>
            </w:r>
          </w:p>
        </w:tc>
        <w:tc>
          <w:tcPr>
            <w:tcW w:w="549"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11</w:t>
            </w:r>
          </w:p>
        </w:tc>
        <w:tc>
          <w:tcPr>
            <w:tcW w:w="878"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数据库审计</w:t>
            </w:r>
          </w:p>
        </w:tc>
        <w:tc>
          <w:tcPr>
            <w:tcW w:w="598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1、2U机架式结构（尺寸(宽深高) 426*560*89mm），包含1个10/100/1000BASE-TX管理口，2个USB接口，5个10/100/1000BASE-T电口采集口，4个SFP插槽，2个USB接口，1个Console接口，2个可插拔扩展插槽；1T存储空间，配置双电源，带有液晶屏；默认含1年攻击检测规则库、僵尸主机规则库升级许可，功率 250W；运行温度0~40℃；存储温度 -20~70℃；相对湿度 20~90%（非冷凝），默认五个云审计代理/Agent授权；最高支持10个云审计代理/Agent授权；</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性能：审计处理能力≥600Mbps,峰值SQL处理能力≥4000条/秒，日志存储能力≥20亿条；</w:t>
            </w:r>
            <w:r>
              <w:rPr>
                <w:rFonts w:hint="eastAsia" w:ascii="宋体" w:hAnsi="宋体" w:cs="宋体"/>
                <w:color w:val="auto"/>
                <w:szCs w:val="21"/>
                <w:highlight w:val="none"/>
              </w:rPr>
              <w:br w:type="textWrapping"/>
            </w:r>
            <w:r>
              <w:rPr>
                <w:rFonts w:hint="eastAsia" w:ascii="宋体" w:hAnsi="宋体" w:cs="宋体"/>
                <w:color w:val="auto"/>
                <w:szCs w:val="21"/>
                <w:highlight w:val="none"/>
              </w:rPr>
              <w:t>2、支持多点、多级及混合的管理模式，不需要安装额外的管理软件，不需要单独的管理设备；</w:t>
            </w:r>
            <w:r>
              <w:rPr>
                <w:rFonts w:hint="eastAsia" w:ascii="宋体" w:hAnsi="宋体" w:cs="宋体"/>
                <w:color w:val="auto"/>
                <w:szCs w:val="21"/>
                <w:highlight w:val="none"/>
              </w:rPr>
              <w:br w:type="textWrapping"/>
            </w:r>
            <w:r>
              <w:rPr>
                <w:rFonts w:hint="eastAsia" w:ascii="宋体" w:hAnsi="宋体" w:cs="宋体"/>
                <w:color w:val="auto"/>
                <w:szCs w:val="21"/>
                <w:highlight w:val="none"/>
              </w:rPr>
              <w:t>3、采用B/S管理方式，无需在被审计系统上安装任何代理，无需单独的数据中心，无需额外安装管理端软件；</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4、系统采用专用硬件架构与专用安全操作系统；专用的安全操作系统具有自主知识产权；</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5、双操作系统支持。当常用系统出现故障可以使用备用系统恢复；</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▲6、以列表形式给出出错原因、出错信息以及解决办法；（在投标文件中提供截图证明）</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▲7、支持会话回放功能,并至少支持0.5倍速、1倍速、1.5倍速、2倍速、4倍速五级播放速度调节；（在投标文件中提供截图证明）</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8、支持自定义多维度统计分析场景、支持统计分析的下钻与上卷；</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9、事件实时统计，查看统计结果时快速返回，操作人员无需等待；</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10、支持与防火墙联动阻断功能。</w:t>
            </w:r>
          </w:p>
        </w:tc>
        <w:tc>
          <w:tcPr>
            <w:tcW w:w="56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套</w:t>
            </w:r>
          </w:p>
        </w:tc>
        <w:tc>
          <w:tcPr>
            <w:tcW w:w="549"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12</w:t>
            </w:r>
          </w:p>
        </w:tc>
        <w:tc>
          <w:tcPr>
            <w:tcW w:w="878"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防火墙</w:t>
            </w:r>
          </w:p>
        </w:tc>
        <w:tc>
          <w:tcPr>
            <w:tcW w:w="598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1、2U机箱（尺寸（宽深高） 426*470*89 mm） 配置为6个10/100/1000BASE-T接口和2个SFP插槽，2个USB接口，2个可插拔的扩展槽 配置模块化双冗余电源，包含防病毒毒功能，含3年病毒特征库升级许可；功率 150W；运行温度：0~45摄氏度；存储温度：-20~70摄氏度；相对湿度：5~95%（非冷凝）；防火墙吞吐率：12Gbps并发连接数：300万；</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2、为保障系统运行的可靠性与稳定性，要求信息安全设备、系统软件的开发、生产符合TL9000-HSV R5.0/R5.0标准。在投标文件中要求提供相关证明复印件；</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3、为提高链路可靠性，需支持手工链路聚合及LACP链路聚合。提供不少于11种的负载分担算法，灵活实现对聚合组内业务流量的负载分担；</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4、支持在一台物理设备上默认可划分出128个相互独立的虚拟系统，可根据连接配额及连接新建速率为每个虚拟系统分配资源； （在投标文件中提供截图证明）</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▲5、内置至少2种专业反病毒厂商或研究机构的病毒特征库，符合等级保护相关标准对网关防病毒特征库和主机防病毒特征库异构的要求。病毒特征库规模超过350万；（在投标文件中提供截图证明）</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6、内置DLP数据防泄漏引擎，可针对发送者或接收者模式配置独立的DLP策略，对数据进行监控识别，达到敏感数据防护目的。支持识别的文件类型数量不少于1000种；文件内容识格式不少于300种；加密文件格式不少于12种；压缩文件格式不少于25种，如RAR、ZIP、GZ、TAR等；支持识别Linux，Unix等非Winodws的文件类型；支持识别异常文件格式类型；支持识别自定义文件类型；</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7、支持日志本地存储6个月以上，可对不同类型日志设置存储空间；同时支持外发至SYSLOG服务器，可将多条日志合并成一条日志传送到日志服务器中，可选择对日志传输是否加密，设定8位的加密密钥；</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8、在WEB界面提供资源监控开关，可对cpu占用率、内存占用率、磁盘占用率设置阈值。</w:t>
            </w:r>
          </w:p>
          <w:p>
            <w:pPr>
              <w:pStyle w:val="2"/>
              <w:ind w:firstLine="0" w:firstLineChars="0"/>
              <w:rPr>
                <w:rFonts w:asciiTheme="minorEastAsia" w:hAnsiTheme="minorEastAsia"/>
                <w:color w:val="auto"/>
                <w:sz w:val="21"/>
                <w:szCs w:val="21"/>
                <w:highlight w:val="none"/>
              </w:rPr>
            </w:pPr>
            <w:r>
              <w:rPr>
                <w:rFonts w:hint="eastAsia" w:asciiTheme="minorEastAsia" w:hAnsiTheme="minorEastAsia"/>
                <w:color w:val="auto"/>
                <w:sz w:val="21"/>
                <w:szCs w:val="21"/>
                <w:highlight w:val="none"/>
              </w:rPr>
              <w:t>9、投标时提供中国国家信息安全产品认证证书复印件。</w:t>
            </w:r>
          </w:p>
        </w:tc>
        <w:tc>
          <w:tcPr>
            <w:tcW w:w="560" w:type="dxa"/>
            <w:noWrap/>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台</w:t>
            </w:r>
          </w:p>
        </w:tc>
        <w:tc>
          <w:tcPr>
            <w:tcW w:w="549" w:type="dxa"/>
            <w:noWrap/>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13</w:t>
            </w:r>
          </w:p>
        </w:tc>
        <w:tc>
          <w:tcPr>
            <w:tcW w:w="878"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入侵防御</w:t>
            </w:r>
          </w:p>
        </w:tc>
        <w:tc>
          <w:tcPr>
            <w:tcW w:w="598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1、2U机架式结构（尺寸(宽深高) 426* 500 *89mm）， 最大配置为26个接口，默认包括2个扩展槽位； 1个管理口，5个10/100/1000BASE-T接口(支持1组Bypass)，4个SFP插槽； 1个CONSOLE，2个USB，1TB硬盘； 标配冗余电源； 默认含：3年IDP攻击规则库升级许可；3年WebFilter过滤规则库升级许可；功率 300W；运行温度 0~40℃；存储温度 -20~70℃；相对湿度 10~95%（非冷凝）；整机吞吐率：12Gbps，最大并发连接数：300万，IPS吞吐率：6Gbps；</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▲2、为保障系统运行的可靠性与稳定性，要求信息安全设备、系统软件的开发、生产符合TL9000-HSV R5.0/R5.0标准。在投标文件中提供第三方评测机构</w:t>
            </w:r>
            <w:r>
              <w:rPr>
                <w:rFonts w:hint="eastAsia" w:ascii="宋体" w:hAnsi="宋体" w:cs="宋体"/>
                <w:color w:val="auto"/>
                <w:szCs w:val="21"/>
                <w:highlight w:val="none"/>
              </w:rPr>
              <w:t>盖章的</w:t>
            </w:r>
            <w:r>
              <w:rPr>
                <w:rFonts w:hint="eastAsia" w:ascii="宋体" w:hAnsi="宋体" w:cs="宋体"/>
                <w:color w:val="auto"/>
                <w:szCs w:val="21"/>
                <w:highlight w:val="none"/>
              </w:rPr>
              <w:t>测试报告复印件；</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3、双操作系统支持。当常用系统出现故障可以使用备用系统进行恢复；</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4、要求能够检测包括溢出攻击类、RPC攻击类、WEBCGI攻击类、拒绝服务类、木马类、蠕虫类、扫描类、网络访问类、HTTP攻击类、系统漏洞类等在内的多种攻击事件，提供截图证明，并出具CVE证书, 原厂属于国家信息安全漏洞共享平台成员，要求报送漏洞数量不小于3500个；</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5、支持攻击报文取证功能，检测到攻击事件后将原始报文完整记录下来，作为电子证据；</w:t>
            </w:r>
          </w:p>
          <w:p>
            <w:pPr>
              <w:numPr>
                <w:ilvl w:val="0"/>
                <w:numId w:val="23"/>
              </w:numPr>
              <w:ind w:firstLine="0" w:firstLineChars="0"/>
              <w:rPr>
                <w:rFonts w:ascii="宋体" w:hAnsi="宋体" w:cs="宋体"/>
                <w:color w:val="auto"/>
                <w:szCs w:val="21"/>
                <w:highlight w:val="none"/>
              </w:rPr>
            </w:pPr>
            <w:r>
              <w:rPr>
                <w:rFonts w:hint="eastAsia" w:ascii="宋体" w:hAnsi="宋体" w:cs="宋体"/>
                <w:color w:val="auto"/>
                <w:szCs w:val="21"/>
                <w:highlight w:val="none"/>
              </w:rPr>
              <w:t>可对无线AP进行告警，告警包括，告警显示风险级别、风险类型、AP信息（包括SSID和MAC地址）；</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7、支持DDOS 机器人自学习功能，学习时间可设置；</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8、同时支持文件型和网络型病毒查杀，支持带毒邮件警告提示（警告动作），支持带毒邮件破坏染毒附件（阻断动作）；</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9、支持设备温度监视以及报警，可以自定义温度阀值；</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10、设备生产厂商属于国家互联网应急中心（CNCERT）国家级网络安全应急服务支撑单位。</w:t>
            </w:r>
          </w:p>
        </w:tc>
        <w:tc>
          <w:tcPr>
            <w:tcW w:w="560" w:type="dxa"/>
            <w:noWrap/>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台</w:t>
            </w:r>
          </w:p>
        </w:tc>
        <w:tc>
          <w:tcPr>
            <w:tcW w:w="549" w:type="dxa"/>
            <w:noWrap/>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14</w:t>
            </w:r>
          </w:p>
        </w:tc>
        <w:tc>
          <w:tcPr>
            <w:tcW w:w="878"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上网行为管理</w:t>
            </w:r>
          </w:p>
        </w:tc>
        <w:tc>
          <w:tcPr>
            <w:tcW w:w="598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1、2U机架式结构（尺寸(宽深高) 426x470x89mm）；1TB硬盘；16G内存；包括6个千兆电口，2个USB接口，2个SFP插槽和2个可插拨的扩展槽；标配双电源；支持Bypass；配置包含三年系统版本升级、URL库及应用特征库升级许可；功率 150W；运行温度 0~40℃；存储温度 -40~70℃；相对湿度 10~95%（非冷凝）；带宽性能500M，网络吞吐量1.5G，最大并发连接数&gt;100万，推荐用户数：3000人；</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2、支持路由模式，旁路模式、网桥模式、混合模式部署；</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3、要求支持http代理、https透明代理、全透明代理、二级代理、DNS代理、dns缓存；</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4、支持将多个以太网物理端口捆绑成一条逻辑端口（即将多个端口捆绑成一个逻辑的端口以增加带宽，同时增加链路备份）支持基于轮循、主备、哈希、广播、802.3ad、发送自适应、双向自适应等多种负载方式；</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5、支持基于ip的网管策略，防止恶意ip探测攻击设备，增加网关的安全性；</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6、支持管理员通过Radius认证后才能登录设备；</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7、支持行为管理设备接入集中管控平台，并通过APP管理集中管理平台并查各个局点的ACM的状态和告警信息；</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8、必须支持URL分类库、应用识别库基于域名方式自动在线升级；</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9、支持对TCP、UDP、ICMP、TCP SYN超时时间，无回应UDP超时时间设置，并能支持按照新建会话与总会话比例设置老化开始或者结束；</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10、可通过 NetbIOS 协议扫描内网的主机信息，扫描结果将列出每个主机的 IP 地址、MAC地址和主机名等，然后可以将其加入某个用户组中，逐步完善组织结构的管理；</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11、系统能够支持多个Syslog等第三方日志服务器系统。</w:t>
            </w:r>
          </w:p>
        </w:tc>
        <w:tc>
          <w:tcPr>
            <w:tcW w:w="560" w:type="dxa"/>
            <w:noWrap/>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台</w:t>
            </w:r>
          </w:p>
        </w:tc>
        <w:tc>
          <w:tcPr>
            <w:tcW w:w="549" w:type="dxa"/>
            <w:noWrap/>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15</w:t>
            </w:r>
          </w:p>
        </w:tc>
        <w:tc>
          <w:tcPr>
            <w:tcW w:w="878"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准入</w:t>
            </w:r>
          </w:p>
        </w:tc>
        <w:tc>
          <w:tcPr>
            <w:tcW w:w="598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1、1U机架结构；单电源；标准配置6个1000MBASE-T接口，每秒事务数（TPS)：≥800（次/秒），最大吞吐量：≥300Mbps，最大并发连接数：500（条）；最大支持认证终端数200；</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2、准入设备支持基于多厂商Virtual Gateway的VLAN隔离技术，实现无客户端环境下端口级准入控制；（在投标文件中提供截图证明）</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3、准入设备支持基于策略路由技术的准入控制模式，入网设备在访问网内关键资源时，将被强制隔离、引导至认证管理页面，同时支持交换机接口动态VLAN下发、端口隔离模式的网络边界管理；（在投标文件中提供产品界面截图证明）</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4、实现相同子网不同VLAN的终端设备之间通讯的系统；</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▲5、具有NAT识别和检测机制能够及时发现网内私接的小路由器、无线AP、随身WIFI等NAT设备，帮助清查通过网中网隐藏的真实网络终端；（在投标文件中提供截图证明）</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6、能够发现内网私接的Hub、傻瓜交换机等非网管设备，当多台计算机通过Hub接入网络时，能够及时产生告警通知管理员；</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7、准入设备能够采用VLAN隔离、逻辑关闭端口等方式禁止Hub下联计算机接入网络；（在投标文件中提供截图证明）</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8、通过检测终端文件路径、指定文件版本、大小、MD5，注册表的项、注册表值，进程，服务名称、服务状态，进行检查。通过安装包运行、访问站点、开关服务、关闭进程、执行文件、删除文件、修改注册表进行修复。可以灵活的全访问的对终端进行安全检查和修复；（在投标文件中提供截图证明）</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9、提供独立的智能终端入网引导界面的自主定制功能，至少包括界面标题、界面LOGO、界面说明文字等；</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 xml:space="preserve">10、能够在IE页面检查出主流的桌面管理系统（包括Landesk、北信源、威盾、盈高、圣博润等）客户端是否安装并正常运行，能够在IE页面显示出检查结果。 </w:t>
            </w:r>
          </w:p>
        </w:tc>
        <w:tc>
          <w:tcPr>
            <w:tcW w:w="560" w:type="dxa"/>
            <w:noWrap/>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台</w:t>
            </w:r>
          </w:p>
        </w:tc>
        <w:tc>
          <w:tcPr>
            <w:tcW w:w="549" w:type="dxa"/>
            <w:noWrap/>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16</w:t>
            </w:r>
          </w:p>
        </w:tc>
        <w:tc>
          <w:tcPr>
            <w:tcW w:w="878"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主机安全</w:t>
            </w:r>
          </w:p>
        </w:tc>
        <w:tc>
          <w:tcPr>
            <w:tcW w:w="598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1、中央管理端支持全中文界面，纯B/S架构部署，可选择无需安装中控端软件。管理员只需通过浏览器登陆控制中心，可对虚拟化终端进行管理；</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2、终端行为管理客户端资源系统占用率应小于50MB，提供相关证明，便于有效节省客户终端资源。支持主流的WINDOWS和linux操作系统；</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3、本次项目配置1个软件版管理中心10个服务器版本客户端；</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4、要求信息安全设备、系统软件的开发、生产符合TL9000-HSV 标准；</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5、支持全网威胁统计分析管理控制台可直观的展示病毒趋势统计、终端信息、病毒类型排行、病毒排行、终端危险排行等统计情况。并随时对网络中病毒发生的情况进行查询统计，能按时间、按IP地址、机器名、按病毒名称、病毒类型进行展示。在投标文件中提供第三方评测机构</w:t>
            </w:r>
            <w:r>
              <w:rPr>
                <w:rFonts w:hint="eastAsia" w:ascii="宋体" w:hAnsi="宋体" w:cs="宋体"/>
                <w:color w:val="auto"/>
                <w:szCs w:val="21"/>
                <w:highlight w:val="none"/>
              </w:rPr>
              <w:t>盖章的</w:t>
            </w:r>
            <w:r>
              <w:rPr>
                <w:rFonts w:hint="eastAsia" w:ascii="宋体" w:hAnsi="宋体" w:cs="宋体"/>
                <w:color w:val="auto"/>
                <w:szCs w:val="21"/>
                <w:highlight w:val="none"/>
              </w:rPr>
              <w:t>测试报告复印件；</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▲6、管理控制台支持实时显示客户端的状态，包括机器名称、IP地址、mac地址、操作系统、显卡信息、内存大小、连接状态、监控状态、当前版本信息和物理位置等信息，投标文件中提供截图证明；</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7、控制台支持恶意网站拦截、浏览器保护、恶意行为、文件保护、下载保护、黑客拦截、系统加固、U盘防护、白名单等策略下发。支持基于SMTP/POP3协议的邮件监控，包括如：Outlook、Outlook Express、foxmail、DreamMail等邮件客户端的防（杀）病毒。在投标文件中提供第三方评测机构</w:t>
            </w:r>
            <w:r>
              <w:rPr>
                <w:rFonts w:hint="eastAsia" w:ascii="宋体" w:hAnsi="宋体" w:cs="宋体"/>
                <w:color w:val="auto"/>
                <w:szCs w:val="21"/>
                <w:highlight w:val="none"/>
              </w:rPr>
              <w:t>盖章的</w:t>
            </w:r>
            <w:r>
              <w:rPr>
                <w:rFonts w:hint="eastAsia" w:ascii="宋体" w:hAnsi="宋体" w:cs="宋体"/>
                <w:color w:val="auto"/>
                <w:szCs w:val="21"/>
                <w:highlight w:val="none"/>
              </w:rPr>
              <w:t>测试报告复印件；</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8、支持病毒自动隔离功能，对于暂时无法清除的被感染文件或者可疑文件，防病毒软件的客户端能自动将其隔离到本地隔离区；</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9、支持可疑文件上报功能，如果用户觉得某个文件比较可疑，可将此文件上报给病毒管控中心进行检查分析和处理，并将情报全网共享。建立个性化的威胁情报；</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10、端点安全防护软件，提供主机安全检测、主机合规审查、安全防护和响应能力。主机安全检测包含恶意文件检测、WebShell检测、暴力破解检测，微隔离等。主机合规审查包含等级保护主机安全合规审查和行为日志合规审查。安全防护能力包含防病毒，防入侵。安全响应包含一键文件隔离、一键主机隔离.端点安全软件控制中心:资产管理：统一管理终端主机的资产信息。集中管控：统一配置，下发EDR软件的安全检测策略，联动响应配置。智能分析：统一分析端点安全上传信息，集中存储日志，满足日志存储的要求。响应中心：统一处置安全事件，对事件进行威胁定位、溯源分析、取证调查。</w:t>
            </w:r>
          </w:p>
        </w:tc>
        <w:tc>
          <w:tcPr>
            <w:tcW w:w="56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套</w:t>
            </w:r>
          </w:p>
        </w:tc>
        <w:tc>
          <w:tcPr>
            <w:tcW w:w="549"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17</w:t>
            </w:r>
          </w:p>
        </w:tc>
        <w:tc>
          <w:tcPr>
            <w:tcW w:w="878"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杀毒软件</w:t>
            </w:r>
          </w:p>
        </w:tc>
        <w:tc>
          <w:tcPr>
            <w:tcW w:w="598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1、软件符合中国《计算机软件保护条例》和《计算机软件软件著作权登记办法》的标准，并通过审核，属于国家安全测评中心网络版杀毒类EAL3+级别产品，在投标文件中提供相关证明；</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2、终端行为管理客户端资源系统占用率应小于50MB，提供相关证明，便于有效节省客户终端资源。支持主流的WINDOWS和linux操作系统；</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3、项目配置1个软件版管理中心20个客户端（不区分Linux与windows），三年知识库升级license，3年原厂质保；</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4、报表内容必须包括御类型分析、病毒类型分析、病毒排行、终端杀毒排行、病毒趋势统计、黑客拦截、对外攻击分析。支持威胁Top10、Top20、Top30排行；</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5、控制台支持恶意网站拦截、浏览器保护、恶意行为、文件保护、下载保护、黑客拦截、系统加固、U盘防护、白名单等策略下发。支持基于SMTP/POP3协议的邮件监控，包括如：Outlook、Outlook Express、foxmail、DreamMail等邮件客户端的防（杀）病毒；</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6、支持定制磁盘管理规则，对审计、系统、终端、告警等日志即时或定期清理，实现磁盘瘦身；</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7、支持病毒自动隔离功能，对于暂时无法清除的被感染文件或者可疑文件，防病毒软件的客户端能自动将其隔离到本地隔离区；</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8、支持可疑文件上报功能，如果用户觉得某个文件比较可疑，可将此文件上报给病毒管控中心进行检查分析和处理，并将情报全网共享。建立个性化的威胁情报。</w:t>
            </w:r>
          </w:p>
        </w:tc>
        <w:tc>
          <w:tcPr>
            <w:tcW w:w="56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套</w:t>
            </w:r>
          </w:p>
        </w:tc>
        <w:tc>
          <w:tcPr>
            <w:tcW w:w="549"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18</w:t>
            </w:r>
          </w:p>
        </w:tc>
        <w:tc>
          <w:tcPr>
            <w:tcW w:w="878" w:type="dxa"/>
            <w:vAlign w:val="center"/>
          </w:tcPr>
          <w:p>
            <w:pPr>
              <w:ind w:firstLine="0" w:firstLineChars="0"/>
              <w:jc w:val="left"/>
              <w:rPr>
                <w:rFonts w:ascii="宋体" w:hAnsi="宋体" w:cs="宋体"/>
                <w:color w:val="auto"/>
                <w:szCs w:val="21"/>
                <w:highlight w:val="none"/>
              </w:rPr>
            </w:pPr>
            <w:r>
              <w:rPr>
                <w:rFonts w:hint="eastAsia" w:ascii="宋体" w:hAnsi="宋体" w:cs="宋体"/>
                <w:color w:val="auto"/>
                <w:szCs w:val="21"/>
                <w:highlight w:val="none"/>
              </w:rPr>
              <w:t>OPC服务器</w:t>
            </w:r>
          </w:p>
        </w:tc>
        <w:tc>
          <w:tcPr>
            <w:tcW w:w="598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工业级opc服务器，CPU3.7GHz以上，内存128G以上，硬盘不小于1T（含OPC软件）。</w:t>
            </w:r>
          </w:p>
        </w:tc>
        <w:tc>
          <w:tcPr>
            <w:tcW w:w="560"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台</w:t>
            </w:r>
          </w:p>
        </w:tc>
        <w:tc>
          <w:tcPr>
            <w:tcW w:w="549"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19</w:t>
            </w:r>
          </w:p>
        </w:tc>
        <w:tc>
          <w:tcPr>
            <w:tcW w:w="878" w:type="dxa"/>
            <w:vAlign w:val="center"/>
          </w:tcPr>
          <w:p>
            <w:pPr>
              <w:ind w:firstLine="0" w:firstLineChars="0"/>
              <w:jc w:val="left"/>
              <w:rPr>
                <w:rFonts w:ascii="宋体" w:hAnsi="宋体" w:cs="宋体"/>
                <w:color w:val="auto"/>
                <w:szCs w:val="21"/>
                <w:highlight w:val="none"/>
              </w:rPr>
            </w:pPr>
            <w:r>
              <w:rPr>
                <w:rFonts w:hint="eastAsia" w:ascii="宋体" w:hAnsi="宋体" w:cs="宋体"/>
                <w:color w:val="auto"/>
                <w:szCs w:val="21"/>
                <w:highlight w:val="none"/>
              </w:rPr>
              <w:t>隔离网关</w:t>
            </w:r>
          </w:p>
        </w:tc>
        <w:tc>
          <w:tcPr>
            <w:tcW w:w="598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 支持 TCP 会话状态跟踪检测，包括 TCP 标志状态检测、TCP 窗口状态检测；</w:t>
            </w:r>
            <w:r>
              <w:rPr>
                <w:rFonts w:hint="eastAsia" w:ascii="宋体" w:hAnsi="宋体" w:cs="宋体"/>
                <w:color w:val="auto"/>
                <w:szCs w:val="21"/>
                <w:highlight w:val="none"/>
              </w:rPr>
              <w:br w:type="textWrapping"/>
            </w:r>
            <w:r>
              <w:rPr>
                <w:rFonts w:hint="eastAsia" w:ascii="宋体" w:hAnsi="宋体" w:cs="宋体"/>
                <w:color w:val="auto"/>
                <w:szCs w:val="21"/>
                <w:highlight w:val="none"/>
              </w:rPr>
              <w:t>2. 支持静态 IP-MAC 绑定，可检测并拦截盗用 IP 地址的主机进行访问；</w:t>
            </w:r>
            <w:r>
              <w:rPr>
                <w:rFonts w:hint="eastAsia" w:ascii="宋体" w:hAnsi="宋体" w:cs="宋体"/>
                <w:color w:val="auto"/>
                <w:szCs w:val="21"/>
                <w:highlight w:val="none"/>
              </w:rPr>
              <w:br w:type="textWrapping"/>
            </w:r>
            <w:r>
              <w:rPr>
                <w:rFonts w:hint="eastAsia" w:ascii="宋体" w:hAnsi="宋体" w:cs="宋体"/>
                <w:color w:val="auto"/>
                <w:szCs w:val="21"/>
                <w:highlight w:val="none"/>
              </w:rPr>
              <w:t>3. 具备检测并抵抗拒绝服务攻击的能力，可有效抵抗：TearDrop 攻击、LAND 攻击、超大 ICMP；</w:t>
            </w:r>
            <w:r>
              <w:rPr>
                <w:rFonts w:hint="eastAsia" w:ascii="宋体" w:hAnsi="宋体" w:cs="宋体"/>
                <w:color w:val="auto"/>
                <w:szCs w:val="21"/>
                <w:highlight w:val="none"/>
              </w:rPr>
              <w:br w:type="textWrapping"/>
            </w:r>
            <w:r>
              <w:rPr>
                <w:rFonts w:hint="eastAsia" w:ascii="宋体" w:hAnsi="宋体" w:cs="宋体"/>
                <w:color w:val="auto"/>
                <w:szCs w:val="21"/>
                <w:highlight w:val="none"/>
              </w:rPr>
              <w:t>4. 数据攻击、UDP Flood 攻击、ICMP Flood 攻击、ARP Flood 攻击、SYN Flood 攻击等；</w:t>
            </w:r>
            <w:r>
              <w:rPr>
                <w:rFonts w:hint="eastAsia" w:ascii="宋体" w:hAnsi="宋体" w:cs="宋体"/>
                <w:color w:val="auto"/>
                <w:szCs w:val="21"/>
                <w:highlight w:val="none"/>
              </w:rPr>
              <w:br w:type="textWrapping"/>
            </w:r>
            <w:r>
              <w:rPr>
                <w:rFonts w:hint="eastAsia" w:ascii="宋体" w:hAnsi="宋体" w:cs="宋体"/>
                <w:color w:val="auto"/>
                <w:szCs w:val="21"/>
                <w:highlight w:val="none"/>
              </w:rPr>
              <w:t>5. 支持 OPC DA 3.0 接口协议，具备 OPC 深度包解析功能，实现 OPC 动态端口跟踪；</w:t>
            </w:r>
            <w:r>
              <w:rPr>
                <w:rFonts w:hint="eastAsia" w:ascii="宋体" w:hAnsi="宋体" w:cs="宋体"/>
                <w:color w:val="auto"/>
                <w:szCs w:val="21"/>
                <w:highlight w:val="none"/>
              </w:rPr>
              <w:br w:type="textWrapping"/>
            </w:r>
            <w:r>
              <w:rPr>
                <w:rFonts w:hint="eastAsia" w:ascii="宋体" w:hAnsi="宋体" w:cs="宋体"/>
                <w:color w:val="auto"/>
                <w:szCs w:val="21"/>
                <w:highlight w:val="none"/>
              </w:rPr>
              <w:t>6. OPC 指令只读/读写白名单；</w:t>
            </w:r>
            <w:r>
              <w:rPr>
                <w:rFonts w:hint="eastAsia" w:ascii="宋体" w:hAnsi="宋体" w:cs="宋体"/>
                <w:color w:val="auto"/>
                <w:szCs w:val="21"/>
                <w:highlight w:val="none"/>
              </w:rPr>
              <w:br w:type="textWrapping"/>
            </w:r>
            <w:r>
              <w:rPr>
                <w:rFonts w:hint="eastAsia" w:ascii="宋体" w:hAnsi="宋体" w:cs="宋体"/>
                <w:color w:val="auto"/>
                <w:szCs w:val="21"/>
                <w:highlight w:val="none"/>
              </w:rPr>
              <w:t>7. 支持 WEB 访问，用户可在 WEB 配置页中查阅统计信息，配置防火墙参数等；</w:t>
            </w:r>
            <w:r>
              <w:rPr>
                <w:rFonts w:hint="eastAsia" w:ascii="宋体" w:hAnsi="宋体" w:cs="宋体"/>
                <w:color w:val="auto"/>
                <w:szCs w:val="21"/>
                <w:highlight w:val="none"/>
              </w:rPr>
              <w:br w:type="textWrapping"/>
            </w:r>
            <w:r>
              <w:rPr>
                <w:rFonts w:hint="eastAsia" w:ascii="宋体" w:hAnsi="宋体" w:cs="宋体"/>
                <w:color w:val="auto"/>
                <w:szCs w:val="21"/>
                <w:highlight w:val="none"/>
              </w:rPr>
              <w:t>8. 具备异常处理的能力，异常关机（如掉电、强行关机）重启后，能够保存安全策略；</w:t>
            </w:r>
            <w:r>
              <w:rPr>
                <w:rFonts w:hint="eastAsia" w:ascii="宋体" w:hAnsi="宋体" w:cs="宋体"/>
                <w:color w:val="auto"/>
                <w:szCs w:val="21"/>
                <w:highlight w:val="none"/>
              </w:rPr>
              <w:br w:type="textWrapping"/>
            </w:r>
            <w:r>
              <w:rPr>
                <w:rFonts w:hint="eastAsia" w:ascii="宋体" w:hAnsi="宋体" w:cs="宋体"/>
                <w:color w:val="auto"/>
                <w:szCs w:val="21"/>
                <w:highlight w:val="none"/>
              </w:rPr>
              <w:t>9. 支持标准的 ModbusTCP 通讯协议深度包解析。</w:t>
            </w:r>
          </w:p>
        </w:tc>
        <w:tc>
          <w:tcPr>
            <w:tcW w:w="560"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台</w:t>
            </w:r>
          </w:p>
        </w:tc>
        <w:tc>
          <w:tcPr>
            <w:tcW w:w="549"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20</w:t>
            </w:r>
          </w:p>
        </w:tc>
        <w:tc>
          <w:tcPr>
            <w:tcW w:w="878"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PC机</w:t>
            </w:r>
          </w:p>
        </w:tc>
        <w:tc>
          <w:tcPr>
            <w:tcW w:w="598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 xml:space="preserve">十代酷睿™i9-10900K DDR4 16G内存 1TBSSD  RTX3080 </w:t>
            </w:r>
            <w:r>
              <w:rPr>
                <w:rFonts w:hint="eastAsia" w:ascii="宋体" w:hAnsi="宋体" w:cs="宋体"/>
                <w:color w:val="auto"/>
                <w:szCs w:val="21"/>
                <w:highlight w:val="none"/>
              </w:rPr>
              <w:br w:type="textWrapping"/>
            </w:r>
            <w:r>
              <w:rPr>
                <w:rFonts w:hint="eastAsia" w:ascii="宋体" w:hAnsi="宋体" w:cs="宋体"/>
                <w:color w:val="auto"/>
                <w:szCs w:val="21"/>
                <w:highlight w:val="none"/>
              </w:rPr>
              <w:t>27寸高清显示器</w:t>
            </w:r>
          </w:p>
        </w:tc>
        <w:tc>
          <w:tcPr>
            <w:tcW w:w="56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台</w:t>
            </w:r>
          </w:p>
        </w:tc>
        <w:tc>
          <w:tcPr>
            <w:tcW w:w="549"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2</w:t>
            </w:r>
          </w:p>
        </w:tc>
      </w:tr>
    </w:tbl>
    <w:p>
      <w:pPr>
        <w:pStyle w:val="2"/>
        <w:ind w:firstLine="422"/>
        <w:rPr>
          <w:rFonts w:ascii="宋体" w:hAnsi="宋体" w:eastAsia="宋体" w:cs="宋体"/>
          <w:b/>
          <w:bCs/>
          <w:color w:val="auto"/>
          <w:sz w:val="21"/>
          <w:highlight w:val="none"/>
        </w:rPr>
      </w:pPr>
      <w:r>
        <w:rPr>
          <w:rFonts w:hint="eastAsia" w:ascii="宋体" w:hAnsi="宋体" w:eastAsia="宋体" w:cs="宋体"/>
          <w:b/>
          <w:bCs/>
          <w:color w:val="auto"/>
          <w:sz w:val="21"/>
          <w:highlight w:val="none"/>
        </w:rPr>
        <w:t>备注：以上设备均需提供安装调试服务。</w:t>
      </w:r>
    </w:p>
    <w:p>
      <w:pPr>
        <w:pStyle w:val="8"/>
        <w:numPr>
          <w:ilvl w:val="4"/>
          <w:numId w:val="0"/>
        </w:numPr>
        <w:ind w:left="422"/>
        <w:rPr>
          <w:rFonts w:ascii="宋体" w:hAnsi="宋体" w:cs="宋体"/>
          <w:color w:val="auto"/>
          <w:highlight w:val="none"/>
        </w:rPr>
      </w:pPr>
      <w:r>
        <w:rPr>
          <w:rFonts w:hint="eastAsia" w:ascii="宋体" w:hAnsi="宋体" w:cs="宋体"/>
          <w:b w:val="0"/>
          <w:bCs w:val="0"/>
          <w:color w:val="auto"/>
          <w:highlight w:val="none"/>
        </w:rPr>
        <w:t xml:space="preserve">1.4.11.3.2.2  </w:t>
      </w:r>
      <w:r>
        <w:rPr>
          <w:rFonts w:hint="eastAsia" w:ascii="宋体" w:hAnsi="宋体" w:cs="宋体"/>
          <w:color w:val="auto"/>
          <w:highlight w:val="none"/>
        </w:rPr>
        <w:t>机房硬件设备</w:t>
      </w:r>
    </w:p>
    <w:tbl>
      <w:tblPr>
        <w:tblStyle w:val="37"/>
        <w:tblW w:w="87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952"/>
        <w:gridCol w:w="6026"/>
        <w:gridCol w:w="536"/>
        <w:gridCol w:w="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641"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952"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名称</w:t>
            </w:r>
          </w:p>
        </w:tc>
        <w:tc>
          <w:tcPr>
            <w:tcW w:w="6026"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招标要求</w:t>
            </w:r>
          </w:p>
        </w:tc>
        <w:tc>
          <w:tcPr>
            <w:tcW w:w="536"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单位</w:t>
            </w:r>
          </w:p>
        </w:tc>
        <w:tc>
          <w:tcPr>
            <w:tcW w:w="591"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746" w:type="dxa"/>
            <w:gridSpan w:val="5"/>
            <w:vAlign w:val="center"/>
          </w:tcPr>
          <w:p>
            <w:pPr>
              <w:ind w:firstLine="0" w:firstLineChars="0"/>
              <w:jc w:val="left"/>
              <w:rPr>
                <w:rFonts w:ascii="宋体" w:hAnsi="宋体" w:cs="宋体"/>
                <w:color w:val="auto"/>
                <w:szCs w:val="21"/>
                <w:highlight w:val="none"/>
              </w:rPr>
            </w:pPr>
            <w:r>
              <w:rPr>
                <w:rFonts w:hint="eastAsia" w:ascii="宋体" w:hAnsi="宋体" w:cs="宋体"/>
                <w:color w:val="auto"/>
                <w:szCs w:val="21"/>
                <w:highlight w:val="none"/>
              </w:rPr>
              <w:t>（一）UPS系统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64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c>
          <w:tcPr>
            <w:tcW w:w="952"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物联网UPS主机</w:t>
            </w:r>
          </w:p>
        </w:tc>
        <w:tc>
          <w:tcPr>
            <w:tcW w:w="602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1、≥150KVA模块化热插拔UPS电源系统，≥5个支持热插拔功率模块，兼容上下进线；单机柜不更换功率模块可扩展至150KVA；本次配置模块≥2个；</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2、纯在线“0”转换机柜式模块化支持热插拔式UPS，外形尺寸≥600*850*1200,本项目杜绝塔式支持热插拔式UPS；</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3、电池电压30-50节双数可调，电池数量液晶面板可以设置，保证电池配置灵活性，提供彩页及面板操作证明（盖原厂公章原件）；主机柜充电电流20%功率内可设置；（在投标文件中提供截图证明）</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▲4、UPS服务商具有自有的云平台运维中心，</w:t>
            </w:r>
            <w:r>
              <w:rPr>
                <w:rFonts w:hint="eastAsia" w:ascii="宋体" w:hAnsi="宋体" w:cs="宋体"/>
                <w:color w:val="auto"/>
                <w:szCs w:val="21"/>
                <w:highlight w:val="none"/>
              </w:rPr>
              <w:t>支持云监测运维功能</w:t>
            </w:r>
            <w:r>
              <w:rPr>
                <w:rFonts w:hint="eastAsia" w:ascii="宋体" w:hAnsi="宋体" w:cs="宋体"/>
                <w:color w:val="auto"/>
                <w:szCs w:val="21"/>
                <w:highlight w:val="none"/>
              </w:rPr>
              <w:t>（手机APP和PC端WEB状态浏览、云存储、云模块断电后续航2小时、多人监测、一键维护、历史数据管理、电池过保提醒，异常提醒方式：APP、短信、语音、邮件，具备离线告警）；（在投标文件中提供截图证明）</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5、标配维修旁路，紧急情况下可在线维修；</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6、主机柜自带配电模块，与主机一体，配电模块功率为满配；</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7、投标时提供原厂针对本项目三年7*24小时免费上门服务函</w:t>
            </w:r>
          </w:p>
        </w:tc>
        <w:tc>
          <w:tcPr>
            <w:tcW w:w="53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台</w:t>
            </w:r>
          </w:p>
        </w:tc>
        <w:tc>
          <w:tcPr>
            <w:tcW w:w="59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2</w:t>
            </w:r>
          </w:p>
        </w:tc>
        <w:tc>
          <w:tcPr>
            <w:tcW w:w="952"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功率模块</w:t>
            </w:r>
          </w:p>
        </w:tc>
        <w:tc>
          <w:tcPr>
            <w:tcW w:w="602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1、单个功率模块容量30KVA，高度≤2U；每个功率模块有独立的控制系统，故障功能模块能自动退出运行，控制系统冗余数与模块数相同，5个功率模块就有5套控制系统组成冗余；</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2、功率模块必需支持在线热插拔，各模块间应满足均流控制；</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3、功率模块散热风扇需采用容错设计，要求在单个故障情况下仍可带载50%，在两个故障情况下仍可带载30%；（在投标文件中提供技术证明材料）</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4、功率模块采用加厚三防漆处理；</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5、每个功率模块具有独立的充电器，单模块最大充电电流≥18A，保证电池组的可靠充电；</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 xml:space="preserve">6、主机自带:干接点\RS232\RS485\SNMP通讯界面及2个Intelligent Slot(智能插槽）； </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7、输入电压范围208vac～478vac，UPS输入频率范围40HZ～70HZ,能与任意发电机兼容；</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8、充电电流最大可设置60Amax；</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9、单个功率模块抽出能单独使用，直流电压与主机柜能通用；</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10、32/34/36/38/40节电池灵活配置。系统在运行使用中有电池故障，可直接在线下架故障的电池。最低可在线设置成不少于32节电池供电；</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11、输入功率因数≥0.99，输出功率因数≥0.9，电源效率≥95%；</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12、投标时提供原厂针对本项目三年7*24小时免费上门服务函。</w:t>
            </w:r>
          </w:p>
        </w:tc>
        <w:tc>
          <w:tcPr>
            <w:tcW w:w="53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块</w:t>
            </w:r>
          </w:p>
        </w:tc>
        <w:tc>
          <w:tcPr>
            <w:tcW w:w="59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3</w:t>
            </w:r>
          </w:p>
        </w:tc>
        <w:tc>
          <w:tcPr>
            <w:tcW w:w="952"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铅酸蓄电池</w:t>
            </w:r>
          </w:p>
        </w:tc>
        <w:tc>
          <w:tcPr>
            <w:tcW w:w="602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1、12V-200AH 铅酸蓄电池；</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2、蓄电池产品需提供提升蓄电池自身安全性及高效性所采取的方案及措施；</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3、外观要求：无变形、漏液、裂纹及污迹；标识清晰；结构要求：正负极端子有明显标志，便于链接；阻燃性能：符合YDT799-2010中6.4条的要求；气密性：能承受50KPa正压或负压而不破裂、不开胶，压力释放后壳体无残余变形；容量：10小时率放电：以1.0 I10A电流放电至终止电压1.80V时，放出容量≥</w:t>
            </w:r>
            <w:r>
              <w:rPr>
                <w:rFonts w:hint="eastAsia" w:ascii="宋体" w:hAnsi="宋体" w:cs="宋体"/>
                <w:color w:val="auto"/>
                <w:highlight w:val="none"/>
              </w:rPr>
              <w:t>6</w:t>
            </w:r>
            <w:r>
              <w:rPr>
                <w:rFonts w:hint="eastAsia" w:ascii="宋体" w:hAnsi="宋体" w:cs="宋体"/>
                <w:color w:val="auto"/>
                <w:szCs w:val="21"/>
                <w:highlight w:val="none"/>
              </w:rPr>
              <w:t>C10,25℃)，3小时率放电：以2.5 I10A电流放电至终止电压1.80V时，放出容量≥0.75C10,25℃)，1小时率放电：以5.5 I10A电流放电至终止电压1.750V时，放出容量≥0.55C10,25℃)，大电流放电：以30I10放电3min，极柱不熔断，内部汇流排不熔断，外观不出现异常；</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4、防酸雾性能：对完全充放电后的电池以0.2I10A，连续再充4小时，PH值应呈中性；</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 xml:space="preserve">5、耐过充电能力：完全充电后电池以0.3I10A连续充电160小时，无变形，无漏液； </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6、端电压均衡性：开路状态下，最高与最低电压差值≤90mV；浮充状态：进入浮充24小时后，端电压差值≤300mV；放电状态：端电压差值≤250mV，电池间连接电压降≤5mV，防爆性能：充电过程中，遇到明火，内部不引爆，不引燃；封口剂性能：环境温度在-30℃~+65℃之间，封口剂无裂纹与溢流现象；</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7、可预装预报警功能。</w:t>
            </w:r>
          </w:p>
        </w:tc>
        <w:tc>
          <w:tcPr>
            <w:tcW w:w="53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节</w:t>
            </w:r>
          </w:p>
        </w:tc>
        <w:tc>
          <w:tcPr>
            <w:tcW w:w="59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4</w:t>
            </w:r>
          </w:p>
        </w:tc>
        <w:tc>
          <w:tcPr>
            <w:tcW w:w="952"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电池柜</w:t>
            </w:r>
          </w:p>
        </w:tc>
        <w:tc>
          <w:tcPr>
            <w:tcW w:w="6026"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A16，含底座支架（采用8号角钢，尺寸470*787*200。）。</w:t>
            </w:r>
          </w:p>
        </w:tc>
        <w:tc>
          <w:tcPr>
            <w:tcW w:w="536"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个</w:t>
            </w:r>
          </w:p>
        </w:tc>
        <w:tc>
          <w:tcPr>
            <w:tcW w:w="591"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5</w:t>
            </w:r>
          </w:p>
        </w:tc>
        <w:tc>
          <w:tcPr>
            <w:tcW w:w="952"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电池空开箱</w:t>
            </w:r>
          </w:p>
        </w:tc>
        <w:tc>
          <w:tcPr>
            <w:tcW w:w="6026"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含电池空开及空开箱子，直流开关要求≥250A。</w:t>
            </w:r>
          </w:p>
        </w:tc>
        <w:tc>
          <w:tcPr>
            <w:tcW w:w="536"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套</w:t>
            </w:r>
          </w:p>
        </w:tc>
        <w:tc>
          <w:tcPr>
            <w:tcW w:w="591"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6</w:t>
            </w:r>
          </w:p>
        </w:tc>
        <w:tc>
          <w:tcPr>
            <w:tcW w:w="952"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UPS配电箱</w:t>
            </w:r>
          </w:p>
        </w:tc>
        <w:tc>
          <w:tcPr>
            <w:tcW w:w="6026"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总接入空开200A3P1个，UPS输入输出空开150A3P2个，旁路带锁空开150A3P1个，带防雷。</w:t>
            </w:r>
          </w:p>
        </w:tc>
        <w:tc>
          <w:tcPr>
            <w:tcW w:w="536"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套</w:t>
            </w:r>
          </w:p>
        </w:tc>
        <w:tc>
          <w:tcPr>
            <w:tcW w:w="591"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7</w:t>
            </w:r>
          </w:p>
        </w:tc>
        <w:tc>
          <w:tcPr>
            <w:tcW w:w="952"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辅材</w:t>
            </w:r>
          </w:p>
        </w:tc>
        <w:tc>
          <w:tcPr>
            <w:tcW w:w="6026"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含UPS输入输出电缆线缆YJV4*50+1*25m²、电池与主机连接线ZR-BVR50管材及其他等。</w:t>
            </w:r>
          </w:p>
        </w:tc>
        <w:tc>
          <w:tcPr>
            <w:tcW w:w="536"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项</w:t>
            </w:r>
          </w:p>
        </w:tc>
        <w:tc>
          <w:tcPr>
            <w:tcW w:w="591"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746" w:type="dxa"/>
            <w:gridSpan w:val="5"/>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（二）机房改造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8</w:t>
            </w:r>
          </w:p>
        </w:tc>
        <w:tc>
          <w:tcPr>
            <w:tcW w:w="952"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机房监测</w:t>
            </w:r>
          </w:p>
        </w:tc>
        <w:tc>
          <w:tcPr>
            <w:tcW w:w="6026"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含电源监控（市电及UPS电源）、水浸、烟感探测器3个、视频监控4个，温湿度探测器5个，硬盘录像机1台，环控主机一台以及移动端的查看。</w:t>
            </w:r>
          </w:p>
        </w:tc>
        <w:tc>
          <w:tcPr>
            <w:tcW w:w="536"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套</w:t>
            </w:r>
          </w:p>
        </w:tc>
        <w:tc>
          <w:tcPr>
            <w:tcW w:w="591"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9</w:t>
            </w:r>
          </w:p>
        </w:tc>
        <w:tc>
          <w:tcPr>
            <w:tcW w:w="952"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电视机</w:t>
            </w:r>
          </w:p>
        </w:tc>
        <w:tc>
          <w:tcPr>
            <w:tcW w:w="6026"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55寸液晶显示器含壁挂支架。</w:t>
            </w:r>
          </w:p>
        </w:tc>
        <w:tc>
          <w:tcPr>
            <w:tcW w:w="536"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台</w:t>
            </w:r>
          </w:p>
        </w:tc>
        <w:tc>
          <w:tcPr>
            <w:tcW w:w="591"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10</w:t>
            </w:r>
          </w:p>
        </w:tc>
        <w:tc>
          <w:tcPr>
            <w:tcW w:w="952"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线缆</w:t>
            </w:r>
          </w:p>
        </w:tc>
        <w:tc>
          <w:tcPr>
            <w:tcW w:w="6026"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HDMI信号线。</w:t>
            </w:r>
          </w:p>
        </w:tc>
        <w:tc>
          <w:tcPr>
            <w:tcW w:w="536"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根</w:t>
            </w:r>
          </w:p>
        </w:tc>
        <w:tc>
          <w:tcPr>
            <w:tcW w:w="591"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11</w:t>
            </w:r>
          </w:p>
        </w:tc>
        <w:tc>
          <w:tcPr>
            <w:tcW w:w="952"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设备拆除</w:t>
            </w:r>
          </w:p>
        </w:tc>
        <w:tc>
          <w:tcPr>
            <w:tcW w:w="602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原5个老机柜内设备拆除（不负责拆旧处理）。</w:t>
            </w:r>
          </w:p>
        </w:tc>
        <w:tc>
          <w:tcPr>
            <w:tcW w:w="53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项</w:t>
            </w:r>
          </w:p>
        </w:tc>
        <w:tc>
          <w:tcPr>
            <w:tcW w:w="59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12</w:t>
            </w:r>
          </w:p>
        </w:tc>
        <w:tc>
          <w:tcPr>
            <w:tcW w:w="952"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机柜拆卸</w:t>
            </w:r>
          </w:p>
        </w:tc>
        <w:tc>
          <w:tcPr>
            <w:tcW w:w="602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原有5个42U，600*600*2000网络机柜拆除。</w:t>
            </w:r>
          </w:p>
        </w:tc>
        <w:tc>
          <w:tcPr>
            <w:tcW w:w="53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项</w:t>
            </w:r>
          </w:p>
        </w:tc>
        <w:tc>
          <w:tcPr>
            <w:tcW w:w="59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13</w:t>
            </w:r>
          </w:p>
        </w:tc>
        <w:tc>
          <w:tcPr>
            <w:tcW w:w="952"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静电地板整改</w:t>
            </w:r>
          </w:p>
        </w:tc>
        <w:tc>
          <w:tcPr>
            <w:tcW w:w="602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7个服务器机柜及UPS电池柜部分静电地板整改。</w:t>
            </w:r>
          </w:p>
        </w:tc>
        <w:tc>
          <w:tcPr>
            <w:tcW w:w="53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批</w:t>
            </w:r>
          </w:p>
        </w:tc>
        <w:tc>
          <w:tcPr>
            <w:tcW w:w="59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14</w:t>
            </w:r>
          </w:p>
        </w:tc>
        <w:tc>
          <w:tcPr>
            <w:tcW w:w="952"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机柜底座</w:t>
            </w:r>
          </w:p>
        </w:tc>
        <w:tc>
          <w:tcPr>
            <w:tcW w:w="602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采用5号角钢，尺寸600*1000*200。</w:t>
            </w:r>
          </w:p>
        </w:tc>
        <w:tc>
          <w:tcPr>
            <w:tcW w:w="53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个</w:t>
            </w:r>
          </w:p>
        </w:tc>
        <w:tc>
          <w:tcPr>
            <w:tcW w:w="59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15</w:t>
            </w:r>
          </w:p>
        </w:tc>
        <w:tc>
          <w:tcPr>
            <w:tcW w:w="952"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设备位置规划及上架</w:t>
            </w:r>
          </w:p>
        </w:tc>
        <w:tc>
          <w:tcPr>
            <w:tcW w:w="602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前期资料的排摸和标签的黏贴，后期资料的整理。</w:t>
            </w:r>
          </w:p>
        </w:tc>
        <w:tc>
          <w:tcPr>
            <w:tcW w:w="53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批</w:t>
            </w:r>
          </w:p>
        </w:tc>
        <w:tc>
          <w:tcPr>
            <w:tcW w:w="59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16</w:t>
            </w:r>
          </w:p>
        </w:tc>
        <w:tc>
          <w:tcPr>
            <w:tcW w:w="952"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线缆整理</w:t>
            </w:r>
          </w:p>
        </w:tc>
        <w:tc>
          <w:tcPr>
            <w:tcW w:w="602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新机柜线缆整理及测试以及原有光纤熔接。</w:t>
            </w:r>
          </w:p>
        </w:tc>
        <w:tc>
          <w:tcPr>
            <w:tcW w:w="53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批</w:t>
            </w:r>
          </w:p>
        </w:tc>
        <w:tc>
          <w:tcPr>
            <w:tcW w:w="59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17</w:t>
            </w:r>
          </w:p>
        </w:tc>
        <w:tc>
          <w:tcPr>
            <w:tcW w:w="952"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理线架</w:t>
            </w:r>
          </w:p>
        </w:tc>
        <w:tc>
          <w:tcPr>
            <w:tcW w:w="602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19寸1U机架式每个机柜配置8个。</w:t>
            </w:r>
          </w:p>
        </w:tc>
        <w:tc>
          <w:tcPr>
            <w:tcW w:w="53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个</w:t>
            </w:r>
          </w:p>
        </w:tc>
        <w:tc>
          <w:tcPr>
            <w:tcW w:w="59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18</w:t>
            </w:r>
          </w:p>
        </w:tc>
        <w:tc>
          <w:tcPr>
            <w:tcW w:w="952"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辅材</w:t>
            </w:r>
          </w:p>
        </w:tc>
        <w:tc>
          <w:tcPr>
            <w:tcW w:w="602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电源线YJV3*6每个机柜按1路市电1路UPS供电、每个机柜预留2套16A工业连机器插口，含六类网络跳线5M网络跳线28根，六类网络跳线10M网络跳线14根，六类网络跳线3M网络跳线28根，LC转LC多模光纤跳线10M56根。原有网格桥架重先安装。</w:t>
            </w:r>
          </w:p>
        </w:tc>
        <w:tc>
          <w:tcPr>
            <w:tcW w:w="53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批</w:t>
            </w:r>
          </w:p>
        </w:tc>
        <w:tc>
          <w:tcPr>
            <w:tcW w:w="59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746" w:type="dxa"/>
            <w:gridSpan w:val="5"/>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（三）消防系统改造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19</w:t>
            </w:r>
          </w:p>
        </w:tc>
        <w:tc>
          <w:tcPr>
            <w:tcW w:w="952"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七氟丙烷柜式装置</w:t>
            </w:r>
          </w:p>
        </w:tc>
        <w:tc>
          <w:tcPr>
            <w:tcW w:w="6026" w:type="dxa"/>
            <w:noWrap/>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GQQ90∕2.5柜式装置</w:t>
            </w:r>
          </w:p>
        </w:tc>
        <w:tc>
          <w:tcPr>
            <w:tcW w:w="536" w:type="dxa"/>
            <w:noWrap/>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套</w:t>
            </w:r>
          </w:p>
        </w:tc>
        <w:tc>
          <w:tcPr>
            <w:tcW w:w="591" w:type="dxa"/>
            <w:noWrap/>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20</w:t>
            </w:r>
          </w:p>
        </w:tc>
        <w:tc>
          <w:tcPr>
            <w:tcW w:w="952"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七氟丙烷药剂</w:t>
            </w:r>
          </w:p>
        </w:tc>
        <w:tc>
          <w:tcPr>
            <w:tcW w:w="602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HCE227</w:t>
            </w:r>
          </w:p>
        </w:tc>
        <w:tc>
          <w:tcPr>
            <w:tcW w:w="536" w:type="dxa"/>
            <w:noWrap/>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KG</w:t>
            </w:r>
          </w:p>
        </w:tc>
        <w:tc>
          <w:tcPr>
            <w:tcW w:w="591" w:type="dxa"/>
            <w:noWrap/>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21</w:t>
            </w:r>
          </w:p>
        </w:tc>
        <w:tc>
          <w:tcPr>
            <w:tcW w:w="952"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感烟探测器</w:t>
            </w:r>
          </w:p>
        </w:tc>
        <w:tc>
          <w:tcPr>
            <w:tcW w:w="602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1、PCB板全封闭防护工艺；2、电子编码、遥控编码；3、自动补偿功能；4、清洗预报；5、快速、智能响应模式；6、3级灵敏度选择</w:t>
            </w:r>
            <w:r>
              <w:rPr>
                <w:rFonts w:hint="eastAsia" w:ascii="宋体" w:hAnsi="宋体" w:cs="宋体"/>
                <w:color w:val="auto"/>
                <w:szCs w:val="21"/>
                <w:highlight w:val="none"/>
              </w:rPr>
              <w:t>。</w:t>
            </w:r>
            <w:r>
              <w:rPr>
                <w:rFonts w:hint="eastAsia" w:asciiTheme="minorEastAsia" w:hAnsiTheme="minorEastAsia" w:eastAsiaTheme="minorEastAsia"/>
                <w:color w:val="auto"/>
                <w:szCs w:val="21"/>
                <w:highlight w:val="none"/>
              </w:rPr>
              <w:t>7、投标时提供中国国家强制性产品认证证书复印件。</w:t>
            </w:r>
          </w:p>
        </w:tc>
        <w:tc>
          <w:tcPr>
            <w:tcW w:w="536" w:type="dxa"/>
            <w:noWrap/>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只</w:t>
            </w:r>
          </w:p>
        </w:tc>
        <w:tc>
          <w:tcPr>
            <w:tcW w:w="591" w:type="dxa"/>
            <w:noWrap/>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22</w:t>
            </w:r>
          </w:p>
        </w:tc>
        <w:tc>
          <w:tcPr>
            <w:tcW w:w="952"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感温探测器</w:t>
            </w:r>
          </w:p>
        </w:tc>
        <w:tc>
          <w:tcPr>
            <w:tcW w:w="602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1、二总线，无极性；2、静态工作电流为0.45mA； 3、探测器类别为A2，动作温度范围为54-70度； 4、电子编码、遥控编码；5、采用高灵敏度热敏原件。</w:t>
            </w:r>
            <w:r>
              <w:rPr>
                <w:rFonts w:hint="eastAsia" w:asciiTheme="minorEastAsia" w:hAnsiTheme="minorEastAsia" w:eastAsiaTheme="minorEastAsia"/>
                <w:color w:val="auto"/>
                <w:szCs w:val="21"/>
                <w:highlight w:val="none"/>
              </w:rPr>
              <w:t>6、</w:t>
            </w:r>
            <w:r>
              <w:rPr>
                <w:rFonts w:hint="eastAsia" w:asciiTheme="minorEastAsia" w:hAnsiTheme="minorEastAsia" w:eastAsiaTheme="minorEastAsia"/>
                <w:color w:val="auto"/>
                <w:szCs w:val="21"/>
                <w:highlight w:val="none"/>
              </w:rPr>
              <w:t>投标时提供中国国家强制性产品认证证书复印件。</w:t>
            </w:r>
          </w:p>
        </w:tc>
        <w:tc>
          <w:tcPr>
            <w:tcW w:w="536" w:type="dxa"/>
            <w:noWrap/>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只</w:t>
            </w:r>
          </w:p>
        </w:tc>
        <w:tc>
          <w:tcPr>
            <w:tcW w:w="591" w:type="dxa"/>
            <w:noWrap/>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23</w:t>
            </w:r>
          </w:p>
        </w:tc>
        <w:tc>
          <w:tcPr>
            <w:tcW w:w="952"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紧急启停按钮</w:t>
            </w:r>
          </w:p>
        </w:tc>
        <w:tc>
          <w:tcPr>
            <w:tcW w:w="602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1、采用动作触点全密封设计；2、带电话插孔，可与消防电话系统连接；3、采用专用钥匙复位；4、具有防盗功能。</w:t>
            </w:r>
          </w:p>
        </w:tc>
        <w:tc>
          <w:tcPr>
            <w:tcW w:w="536" w:type="dxa"/>
            <w:noWrap/>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只</w:t>
            </w:r>
          </w:p>
        </w:tc>
        <w:tc>
          <w:tcPr>
            <w:tcW w:w="591" w:type="dxa"/>
            <w:noWrap/>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24</w:t>
            </w:r>
          </w:p>
        </w:tc>
        <w:tc>
          <w:tcPr>
            <w:tcW w:w="952"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气体指示灯</w:t>
            </w:r>
          </w:p>
        </w:tc>
        <w:tc>
          <w:tcPr>
            <w:tcW w:w="6026" w:type="dxa"/>
            <w:noWrap/>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配套</w:t>
            </w:r>
          </w:p>
        </w:tc>
        <w:tc>
          <w:tcPr>
            <w:tcW w:w="53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台</w:t>
            </w:r>
          </w:p>
        </w:tc>
        <w:tc>
          <w:tcPr>
            <w:tcW w:w="591" w:type="dxa"/>
            <w:noWrap/>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25</w:t>
            </w:r>
          </w:p>
        </w:tc>
        <w:tc>
          <w:tcPr>
            <w:tcW w:w="952"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声光报警器</w:t>
            </w:r>
          </w:p>
        </w:tc>
        <w:tc>
          <w:tcPr>
            <w:tcW w:w="602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1、24V电源无须区分正负极；2、六只超高亮白光二极管作光源；3、采用LED冷光源发光技术，功耗小；4、启动电流35mA。</w:t>
            </w:r>
            <w:r>
              <w:rPr>
                <w:rFonts w:hint="eastAsia" w:asciiTheme="minorEastAsia" w:hAnsiTheme="minorEastAsia" w:eastAsiaTheme="minorEastAsia"/>
                <w:color w:val="auto"/>
                <w:szCs w:val="21"/>
                <w:highlight w:val="none"/>
              </w:rPr>
              <w:t>5、投标时提供中国国家强制性产品认证证书复印件。</w:t>
            </w:r>
          </w:p>
        </w:tc>
        <w:tc>
          <w:tcPr>
            <w:tcW w:w="53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只</w:t>
            </w:r>
          </w:p>
        </w:tc>
        <w:tc>
          <w:tcPr>
            <w:tcW w:w="591" w:type="dxa"/>
            <w:noWrap/>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26</w:t>
            </w:r>
          </w:p>
        </w:tc>
        <w:tc>
          <w:tcPr>
            <w:tcW w:w="952"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控制模块</w:t>
            </w:r>
          </w:p>
        </w:tc>
        <w:tc>
          <w:tcPr>
            <w:tcW w:w="6026" w:type="dxa"/>
            <w:noWrap/>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采用脉冲隔直探测技术，接线方便牢靠。</w:t>
            </w:r>
            <w:r>
              <w:rPr>
                <w:rFonts w:hint="eastAsia" w:asciiTheme="minorEastAsia" w:hAnsiTheme="minorEastAsia" w:eastAsiaTheme="minorEastAsia"/>
                <w:color w:val="auto"/>
                <w:szCs w:val="21"/>
                <w:highlight w:val="none"/>
              </w:rPr>
              <w:t>投标时提供消防产品认证证书复印件。</w:t>
            </w:r>
          </w:p>
        </w:tc>
        <w:tc>
          <w:tcPr>
            <w:tcW w:w="53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只</w:t>
            </w:r>
          </w:p>
        </w:tc>
        <w:tc>
          <w:tcPr>
            <w:tcW w:w="591" w:type="dxa"/>
            <w:noWrap/>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27</w:t>
            </w:r>
          </w:p>
        </w:tc>
        <w:tc>
          <w:tcPr>
            <w:tcW w:w="952"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保护区标牌</w:t>
            </w:r>
          </w:p>
        </w:tc>
        <w:tc>
          <w:tcPr>
            <w:tcW w:w="6026" w:type="dxa"/>
            <w:noWrap/>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定制</w:t>
            </w:r>
          </w:p>
        </w:tc>
        <w:tc>
          <w:tcPr>
            <w:tcW w:w="53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个</w:t>
            </w:r>
          </w:p>
        </w:tc>
        <w:tc>
          <w:tcPr>
            <w:tcW w:w="591" w:type="dxa"/>
            <w:noWrap/>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28</w:t>
            </w:r>
          </w:p>
        </w:tc>
        <w:tc>
          <w:tcPr>
            <w:tcW w:w="952"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泄压口</w:t>
            </w:r>
          </w:p>
        </w:tc>
        <w:tc>
          <w:tcPr>
            <w:tcW w:w="6026" w:type="dxa"/>
            <w:noWrap/>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定制</w:t>
            </w:r>
          </w:p>
        </w:tc>
        <w:tc>
          <w:tcPr>
            <w:tcW w:w="53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套</w:t>
            </w:r>
          </w:p>
        </w:tc>
        <w:tc>
          <w:tcPr>
            <w:tcW w:w="591" w:type="dxa"/>
            <w:noWrap/>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29</w:t>
            </w:r>
          </w:p>
        </w:tc>
        <w:tc>
          <w:tcPr>
            <w:tcW w:w="952"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气体灭火控制器</w:t>
            </w:r>
          </w:p>
        </w:tc>
        <w:tc>
          <w:tcPr>
            <w:tcW w:w="602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壁挂式机构，采用模块化设计，配置方便；2、采用液晶显示，全中文菜单操作，清晰直观；3、控制器软关机功能；4、按消防设备分类启动技术；5、具有黑匣子功能，报警联动一体化；6、一个主机管理4个分区。</w:t>
            </w:r>
            <w:r>
              <w:rPr>
                <w:rFonts w:hint="eastAsia" w:asciiTheme="minorEastAsia" w:hAnsiTheme="minorEastAsia" w:eastAsiaTheme="minorEastAsia"/>
                <w:color w:val="auto"/>
                <w:szCs w:val="21"/>
                <w:highlight w:val="none"/>
              </w:rPr>
              <w:t>7、投标时提供消防产品认证证书复印件。</w:t>
            </w:r>
          </w:p>
        </w:tc>
        <w:tc>
          <w:tcPr>
            <w:tcW w:w="53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套</w:t>
            </w:r>
          </w:p>
        </w:tc>
        <w:tc>
          <w:tcPr>
            <w:tcW w:w="591" w:type="dxa"/>
            <w:noWrap/>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30</w:t>
            </w:r>
          </w:p>
        </w:tc>
        <w:tc>
          <w:tcPr>
            <w:tcW w:w="952"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辅材</w:t>
            </w:r>
          </w:p>
        </w:tc>
        <w:tc>
          <w:tcPr>
            <w:tcW w:w="602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KBG管、线槽、线材、软管等配套材料。</w:t>
            </w:r>
          </w:p>
        </w:tc>
        <w:tc>
          <w:tcPr>
            <w:tcW w:w="53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项</w:t>
            </w:r>
          </w:p>
        </w:tc>
        <w:tc>
          <w:tcPr>
            <w:tcW w:w="591" w:type="dxa"/>
            <w:noWrap/>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746" w:type="dxa"/>
            <w:gridSpan w:val="5"/>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（四）其他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31</w:t>
            </w:r>
          </w:p>
        </w:tc>
        <w:tc>
          <w:tcPr>
            <w:tcW w:w="952"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服务器机柜</w:t>
            </w:r>
          </w:p>
        </w:tc>
        <w:tc>
          <w:tcPr>
            <w:tcW w:w="602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42U,600*1000*2055，含风扇4组，含三块固定板，含2套机柜电源专用插座12位10A兼容孔2.5平16A输入PDU，含1套机柜插座8位10A新国标插孔机房专用PDU。</w:t>
            </w:r>
          </w:p>
        </w:tc>
        <w:tc>
          <w:tcPr>
            <w:tcW w:w="53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个</w:t>
            </w:r>
          </w:p>
        </w:tc>
        <w:tc>
          <w:tcPr>
            <w:tcW w:w="59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32</w:t>
            </w:r>
          </w:p>
        </w:tc>
        <w:tc>
          <w:tcPr>
            <w:tcW w:w="952"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门禁</w:t>
            </w:r>
          </w:p>
        </w:tc>
        <w:tc>
          <w:tcPr>
            <w:tcW w:w="602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1、包括人脸识别系统，控制器、电磁锁、开门按钮。1、设备外观：采用7英寸LCD触摸显示屏，200万像素双目摄像头，面部识别距离0.2-3m，支持照片视频防假；</w:t>
            </w:r>
            <w:r>
              <w:rPr>
                <w:rFonts w:hint="eastAsia" w:ascii="宋体" w:hAnsi="宋体" w:cs="宋体"/>
                <w:color w:val="auto"/>
                <w:szCs w:val="21"/>
                <w:highlight w:val="none"/>
              </w:rPr>
              <w:br w:type="textWrapping"/>
            </w:r>
            <w:r>
              <w:rPr>
                <w:rFonts w:hint="eastAsia" w:ascii="宋体" w:hAnsi="宋体" w:cs="宋体"/>
                <w:color w:val="auto"/>
                <w:szCs w:val="21"/>
                <w:highlight w:val="none"/>
              </w:rPr>
              <w:t>2、设备容量：支持5000张人脸白名单，1：N人脸比对时间＜0.2S/人，支持5000枚指纹，6000张卡片，50000条记录；</w:t>
            </w:r>
            <w:r>
              <w:rPr>
                <w:rFonts w:hint="eastAsia" w:ascii="宋体" w:hAnsi="宋体" w:cs="宋体"/>
                <w:color w:val="auto"/>
                <w:szCs w:val="21"/>
                <w:highlight w:val="none"/>
              </w:rPr>
              <w:br w:type="textWrapping"/>
            </w:r>
            <w:r>
              <w:rPr>
                <w:rFonts w:hint="eastAsia" w:ascii="宋体" w:hAnsi="宋体" w:cs="宋体"/>
                <w:color w:val="auto"/>
                <w:szCs w:val="21"/>
                <w:highlight w:val="none"/>
              </w:rPr>
              <w:t>3、认证方式：支持人脸、刷卡、指纹、密码（超级密码）及其组合的认证方式；可读取Mifare卡（IC卡）、CPU卡序列号/内容、身份证序列号；</w:t>
            </w:r>
            <w:r>
              <w:rPr>
                <w:rFonts w:hint="eastAsia" w:ascii="宋体" w:hAnsi="宋体" w:cs="宋体"/>
                <w:color w:val="auto"/>
                <w:szCs w:val="21"/>
                <w:highlight w:val="none"/>
              </w:rPr>
              <w:br w:type="textWrapping"/>
            </w:r>
            <w:r>
              <w:rPr>
                <w:rFonts w:hint="eastAsia" w:ascii="宋体" w:hAnsi="宋体" w:cs="宋体"/>
                <w:color w:val="auto"/>
                <w:szCs w:val="21"/>
                <w:highlight w:val="none"/>
              </w:rPr>
              <w:t>4、通讯方式：上行通讯为TCP/IP；支持外接RS485，Wiegand副读卡器（不支持外接指纹读卡器）；基线支持标准韦根34/26；</w:t>
            </w:r>
            <w:r>
              <w:rPr>
                <w:rFonts w:hint="eastAsia" w:ascii="宋体" w:hAnsi="宋体" w:cs="宋体"/>
                <w:color w:val="auto"/>
                <w:szCs w:val="21"/>
                <w:highlight w:val="none"/>
              </w:rPr>
              <w:br w:type="textWrapping"/>
            </w:r>
            <w:r>
              <w:rPr>
                <w:rFonts w:hint="eastAsia" w:ascii="宋体" w:hAnsi="宋体" w:cs="宋体"/>
                <w:color w:val="auto"/>
                <w:szCs w:val="21"/>
                <w:highlight w:val="none"/>
              </w:rPr>
              <w:t>5、视频对讲：支持与云眸、4200客户端、主副室内分机、管理机的视频对讲功能；支持远程视频预览功能，可以通过RTSP协议输出视频码流，编码格式H.264；</w:t>
            </w:r>
            <w:r>
              <w:rPr>
                <w:rFonts w:hint="eastAsia" w:ascii="宋体" w:hAnsi="宋体" w:cs="宋体"/>
                <w:color w:val="auto"/>
                <w:szCs w:val="21"/>
                <w:highlight w:val="none"/>
              </w:rPr>
              <w:br w:type="textWrapping"/>
            </w:r>
            <w:r>
              <w:rPr>
                <w:rFonts w:hint="eastAsia" w:ascii="宋体" w:hAnsi="宋体" w:cs="宋体"/>
                <w:color w:val="auto"/>
                <w:szCs w:val="21"/>
                <w:highlight w:val="none"/>
              </w:rPr>
              <w:t>6、输入接口：LAN*1、RS485*1、wiegand * 1、USB*1、门磁*1、报警输入*2、防拆*1、开门按钮*1；7、输出接口：电锁*1个，报警输出*1个。</w:t>
            </w:r>
          </w:p>
        </w:tc>
        <w:tc>
          <w:tcPr>
            <w:tcW w:w="53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套</w:t>
            </w:r>
          </w:p>
        </w:tc>
        <w:tc>
          <w:tcPr>
            <w:tcW w:w="59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2</w:t>
            </w:r>
          </w:p>
        </w:tc>
      </w:tr>
    </w:tbl>
    <w:p>
      <w:pPr>
        <w:pStyle w:val="2"/>
        <w:ind w:firstLine="422"/>
        <w:rPr>
          <w:rFonts w:ascii="宋体" w:hAnsi="宋体" w:eastAsia="宋体" w:cs="宋体"/>
          <w:b/>
          <w:bCs/>
          <w:color w:val="auto"/>
          <w:sz w:val="21"/>
          <w:highlight w:val="none"/>
        </w:rPr>
      </w:pPr>
      <w:r>
        <w:rPr>
          <w:rFonts w:hint="eastAsia" w:ascii="宋体" w:hAnsi="宋体" w:eastAsia="宋体" w:cs="宋体"/>
          <w:b/>
          <w:bCs/>
          <w:color w:val="auto"/>
          <w:sz w:val="21"/>
          <w:highlight w:val="none"/>
        </w:rPr>
        <w:t>备注：以上设备均需提供安装调试服务。</w:t>
      </w:r>
    </w:p>
    <w:p>
      <w:pPr>
        <w:pStyle w:val="8"/>
        <w:numPr>
          <w:ilvl w:val="4"/>
          <w:numId w:val="0"/>
        </w:numPr>
        <w:ind w:left="422"/>
        <w:rPr>
          <w:rFonts w:ascii="宋体" w:hAnsi="宋体" w:cs="宋体"/>
          <w:color w:val="auto"/>
          <w:highlight w:val="none"/>
        </w:rPr>
      </w:pPr>
      <w:r>
        <w:rPr>
          <w:rFonts w:hint="eastAsia" w:ascii="宋体" w:hAnsi="宋体" w:cs="宋体"/>
          <w:b w:val="0"/>
          <w:bCs w:val="0"/>
          <w:color w:val="auto"/>
          <w:highlight w:val="none"/>
        </w:rPr>
        <w:t xml:space="preserve">1.4.11.3.2.3  </w:t>
      </w:r>
      <w:r>
        <w:rPr>
          <w:rFonts w:hint="eastAsia" w:ascii="宋体" w:hAnsi="宋体" w:cs="宋体"/>
          <w:color w:val="auto"/>
          <w:highlight w:val="none"/>
        </w:rPr>
        <w:t>融和通讯设备</w:t>
      </w:r>
    </w:p>
    <w:tbl>
      <w:tblPr>
        <w:tblStyle w:val="37"/>
        <w:tblW w:w="8727" w:type="dxa"/>
        <w:tblInd w:w="-1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949"/>
        <w:gridCol w:w="1266"/>
        <w:gridCol w:w="4522"/>
        <w:gridCol w:w="667"/>
        <w:gridCol w:w="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noWrap/>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949"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名称</w:t>
            </w:r>
          </w:p>
        </w:tc>
        <w:tc>
          <w:tcPr>
            <w:tcW w:w="1266"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设备名称</w:t>
            </w:r>
          </w:p>
        </w:tc>
        <w:tc>
          <w:tcPr>
            <w:tcW w:w="4522"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招标要求</w:t>
            </w:r>
          </w:p>
        </w:tc>
        <w:tc>
          <w:tcPr>
            <w:tcW w:w="667"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单位</w:t>
            </w:r>
          </w:p>
        </w:tc>
        <w:tc>
          <w:tcPr>
            <w:tcW w:w="666"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restart"/>
            <w:noWrap/>
          </w:tcPr>
          <w:p>
            <w:pPr>
              <w:ind w:firstLine="0" w:firstLineChars="0"/>
              <w:rPr>
                <w:rFonts w:ascii="宋体" w:hAnsi="宋体" w:cs="宋体"/>
                <w:color w:val="auto"/>
                <w:highlight w:val="none"/>
              </w:rPr>
            </w:pPr>
            <w:r>
              <w:rPr>
                <w:rFonts w:hint="eastAsia" w:ascii="宋体" w:hAnsi="宋体" w:cs="宋体"/>
                <w:color w:val="auto"/>
                <w:highlight w:val="none"/>
              </w:rPr>
              <w:t>1</w:t>
            </w:r>
          </w:p>
          <w:p>
            <w:pPr>
              <w:ind w:firstLine="0" w:firstLineChars="0"/>
              <w:rPr>
                <w:rFonts w:ascii="宋体" w:hAnsi="宋体" w:cs="宋体"/>
                <w:color w:val="auto"/>
                <w:highlight w:val="none"/>
              </w:rPr>
            </w:pPr>
          </w:p>
          <w:p>
            <w:pPr>
              <w:ind w:firstLine="0" w:firstLineChars="0"/>
              <w:rPr>
                <w:rFonts w:ascii="宋体" w:hAnsi="宋体" w:cs="宋体"/>
                <w:color w:val="auto"/>
                <w:highlight w:val="none"/>
              </w:rPr>
            </w:pPr>
          </w:p>
          <w:p>
            <w:pPr>
              <w:ind w:firstLine="0" w:firstLineChars="0"/>
              <w:rPr>
                <w:rFonts w:ascii="宋体" w:hAnsi="宋体" w:cs="宋体"/>
                <w:color w:val="auto"/>
                <w:highlight w:val="none"/>
              </w:rPr>
            </w:pPr>
          </w:p>
          <w:p>
            <w:pPr>
              <w:ind w:firstLine="0" w:firstLineChars="0"/>
              <w:rPr>
                <w:rFonts w:ascii="宋体" w:hAnsi="宋体" w:cs="宋体"/>
                <w:color w:val="auto"/>
                <w:highlight w:val="none"/>
              </w:rPr>
            </w:pPr>
          </w:p>
          <w:p>
            <w:pPr>
              <w:ind w:firstLine="0" w:firstLineChars="0"/>
              <w:rPr>
                <w:rFonts w:ascii="宋体" w:hAnsi="宋体" w:cs="宋体"/>
                <w:color w:val="auto"/>
                <w:highlight w:val="none"/>
              </w:rPr>
            </w:pPr>
          </w:p>
          <w:p>
            <w:pPr>
              <w:ind w:firstLine="0" w:firstLineChars="0"/>
              <w:rPr>
                <w:rFonts w:ascii="宋体" w:hAnsi="宋体" w:cs="宋体"/>
                <w:color w:val="auto"/>
                <w:highlight w:val="none"/>
              </w:rPr>
            </w:pPr>
          </w:p>
          <w:p>
            <w:pPr>
              <w:ind w:firstLine="0" w:firstLineChars="0"/>
              <w:rPr>
                <w:rFonts w:ascii="宋体" w:hAnsi="宋体" w:cs="宋体"/>
                <w:color w:val="auto"/>
                <w:highlight w:val="none"/>
              </w:rPr>
            </w:pPr>
          </w:p>
          <w:p>
            <w:pPr>
              <w:ind w:firstLine="0" w:firstLineChars="0"/>
              <w:rPr>
                <w:rFonts w:ascii="宋体" w:hAnsi="宋体" w:cs="宋体"/>
                <w:color w:val="auto"/>
                <w:szCs w:val="21"/>
                <w:highlight w:val="none"/>
              </w:rPr>
            </w:pPr>
          </w:p>
        </w:tc>
        <w:tc>
          <w:tcPr>
            <w:tcW w:w="949" w:type="dxa"/>
            <w:vMerge w:val="restart"/>
          </w:tcPr>
          <w:p>
            <w:pPr>
              <w:ind w:firstLine="0" w:firstLineChars="0"/>
              <w:rPr>
                <w:rFonts w:ascii="宋体" w:hAnsi="宋体" w:cs="宋体"/>
                <w:color w:val="auto"/>
                <w:szCs w:val="21"/>
                <w:highlight w:val="none"/>
              </w:rPr>
            </w:pPr>
            <w:r>
              <w:rPr>
                <w:rFonts w:hint="eastAsia" w:ascii="宋体" w:hAnsi="宋体" w:cs="宋体"/>
                <w:color w:val="auto"/>
                <w:highlight w:val="none"/>
              </w:rPr>
              <w:t>多媒体指挥调度系统</w:t>
            </w:r>
          </w:p>
        </w:tc>
        <w:tc>
          <w:tcPr>
            <w:tcW w:w="1266" w:type="dxa"/>
          </w:tcPr>
          <w:p>
            <w:pPr>
              <w:ind w:firstLine="0" w:firstLineChars="0"/>
              <w:rPr>
                <w:rFonts w:ascii="宋体" w:hAnsi="宋体" w:cs="宋体"/>
                <w:color w:val="auto"/>
                <w:szCs w:val="21"/>
                <w:highlight w:val="none"/>
              </w:rPr>
            </w:pPr>
            <w:r>
              <w:rPr>
                <w:rFonts w:hint="eastAsia" w:ascii="宋体" w:hAnsi="宋体" w:cs="宋体"/>
                <w:bCs/>
                <w:color w:val="auto"/>
                <w:highlight w:val="none"/>
              </w:rPr>
              <w:t>多媒体指挥调度系统软件</w:t>
            </w:r>
            <w:r>
              <w:rPr>
                <w:rFonts w:hint="eastAsia" w:ascii="宋体" w:hAnsi="宋体" w:cs="宋体"/>
                <w:bCs/>
                <w:color w:val="auto"/>
                <w:highlight w:val="none"/>
              </w:rPr>
              <w:br w:type="textWrapping"/>
            </w:r>
            <w:r>
              <w:rPr>
                <w:rFonts w:hint="eastAsia" w:ascii="宋体" w:hAnsi="宋体" w:cs="宋体"/>
                <w:bCs/>
                <w:color w:val="auto"/>
                <w:highlight w:val="none"/>
              </w:rPr>
              <w:t>（包含主机）</w:t>
            </w:r>
          </w:p>
        </w:tc>
        <w:tc>
          <w:tcPr>
            <w:tcW w:w="4522" w:type="dxa"/>
          </w:tcPr>
          <w:p>
            <w:pPr>
              <w:ind w:firstLine="0" w:firstLineChars="0"/>
              <w:rPr>
                <w:rFonts w:ascii="宋体" w:hAnsi="宋体" w:cs="宋体"/>
                <w:color w:val="auto"/>
                <w:szCs w:val="21"/>
                <w:highlight w:val="none"/>
              </w:rPr>
            </w:pPr>
            <w:r>
              <w:rPr>
                <w:rFonts w:hint="eastAsia" w:ascii="宋体" w:hAnsi="宋体" w:cs="宋体"/>
                <w:color w:val="auto"/>
                <w:highlight w:val="none"/>
              </w:rPr>
              <w:t>1、标准19寸 2U标准机箱，I5 处理器，8G内存；</w:t>
            </w:r>
            <w:r>
              <w:rPr>
                <w:rFonts w:hint="eastAsia" w:ascii="宋体" w:hAnsi="宋体" w:cs="宋体"/>
                <w:color w:val="auto"/>
                <w:highlight w:val="none"/>
              </w:rPr>
              <w:br w:type="textWrapping"/>
            </w:r>
            <w:r>
              <w:rPr>
                <w:rFonts w:hint="eastAsia" w:ascii="宋体" w:hAnsi="宋体" w:cs="宋体"/>
                <w:color w:val="auto"/>
                <w:highlight w:val="none"/>
              </w:rPr>
              <w:t>2、支持注册用户数不少于10000门，最大支持128路并发音视频通话。本期配置600调度用户；</w:t>
            </w:r>
            <w:r>
              <w:rPr>
                <w:rFonts w:hint="eastAsia" w:ascii="宋体" w:hAnsi="宋体" w:cs="宋体"/>
                <w:color w:val="auto"/>
                <w:highlight w:val="none"/>
              </w:rPr>
              <w:br w:type="textWrapping"/>
            </w:r>
            <w:r>
              <w:rPr>
                <w:rFonts w:hint="eastAsia" w:ascii="宋体" w:hAnsi="宋体" w:cs="宋体"/>
                <w:color w:val="auto"/>
                <w:highlight w:val="none"/>
              </w:rPr>
              <w:t>3、电话会议性能：内置电话会议功能，最大支持128方电话会议能力，本期配置64方会议；</w:t>
            </w:r>
            <w:r>
              <w:rPr>
                <w:rFonts w:hint="eastAsia" w:ascii="宋体" w:hAnsi="宋体" w:cs="宋体"/>
                <w:color w:val="auto"/>
                <w:highlight w:val="none"/>
              </w:rPr>
              <w:br w:type="textWrapping"/>
            </w:r>
            <w:r>
              <w:rPr>
                <w:rFonts w:hint="eastAsia" w:ascii="宋体" w:hAnsi="宋体" w:cs="宋体"/>
                <w:color w:val="auto"/>
                <w:highlight w:val="none"/>
              </w:rPr>
              <w:t xml:space="preserve">4、语音调度：支持语音单呼、视频单呼、会议等基本语音功能语； </w:t>
            </w:r>
            <w:r>
              <w:rPr>
                <w:rFonts w:hint="eastAsia" w:ascii="宋体" w:hAnsi="宋体" w:cs="宋体"/>
                <w:color w:val="auto"/>
                <w:highlight w:val="none"/>
              </w:rPr>
              <w:br w:type="textWrapping"/>
            </w:r>
            <w:r>
              <w:rPr>
                <w:rFonts w:hint="eastAsia" w:ascii="宋体" w:hAnsi="宋体" w:cs="宋体"/>
                <w:color w:val="auto"/>
                <w:highlight w:val="none"/>
              </w:rPr>
              <w:t>5、集群调度：支持基于 4G/5G 网络的集群调度业务，终端只需按下 PTT 键即可实现一键式群组对讲；</w:t>
            </w:r>
            <w:r>
              <w:rPr>
                <w:rFonts w:hint="eastAsia" w:ascii="宋体" w:hAnsi="宋体" w:cs="宋体"/>
                <w:color w:val="auto"/>
                <w:highlight w:val="none"/>
              </w:rPr>
              <w:br w:type="textWrapping"/>
            </w:r>
            <w:r>
              <w:rPr>
                <w:rFonts w:hint="eastAsia" w:ascii="宋体" w:hAnsi="宋体" w:cs="宋体"/>
                <w:color w:val="auto"/>
                <w:highlight w:val="none"/>
              </w:rPr>
              <w:t>6、即时通讯业务：支持文本消息、图片消息、语音消息、视频消息等类微信功能的多方交互；</w:t>
            </w:r>
            <w:r>
              <w:rPr>
                <w:rFonts w:hint="eastAsia" w:ascii="宋体" w:hAnsi="宋体" w:cs="宋体"/>
                <w:color w:val="auto"/>
                <w:highlight w:val="none"/>
              </w:rPr>
              <w:br w:type="textWrapping"/>
            </w:r>
            <w:r>
              <w:rPr>
                <w:rFonts w:hint="eastAsia" w:ascii="宋体" w:hAnsi="宋体" w:cs="宋体"/>
                <w:color w:val="auto"/>
                <w:highlight w:val="none"/>
              </w:rPr>
              <w:t>7、视频调度：支持调度台和智能单兵、通用可视话机之间的点对点视频通话、视频查看功能；</w:t>
            </w:r>
            <w:r>
              <w:rPr>
                <w:rFonts w:hint="eastAsia" w:ascii="宋体" w:hAnsi="宋体" w:cs="宋体"/>
                <w:color w:val="auto"/>
                <w:highlight w:val="none"/>
              </w:rPr>
              <w:br w:type="textWrapping"/>
            </w:r>
            <w:r>
              <w:rPr>
                <w:rFonts w:hint="eastAsia" w:ascii="宋体" w:hAnsi="宋体" w:cs="宋体"/>
                <w:color w:val="auto"/>
                <w:highlight w:val="none"/>
              </w:rPr>
              <w:t>8、 支持基于4G/5G网络的移动视频查看、视频通话、集群对讲、位置跟踪等功能，实现指挥调度能力在移动端的延展；</w:t>
            </w:r>
            <w:r>
              <w:rPr>
                <w:rFonts w:hint="eastAsia" w:ascii="宋体" w:hAnsi="宋体" w:cs="宋体"/>
                <w:color w:val="auto"/>
                <w:highlight w:val="none"/>
              </w:rPr>
              <w:br w:type="textWrapping"/>
            </w:r>
            <w:r>
              <w:rPr>
                <w:rFonts w:hint="eastAsia" w:ascii="宋体" w:hAnsi="宋体" w:cs="宋体"/>
                <w:color w:val="auto"/>
                <w:highlight w:val="none"/>
              </w:rPr>
              <w:t>9、 GIS 调度：支持基于可视化GIS调度能力；地图上实时显示成员的位置和状态，并支持基于地图的点选、圈选等操作发起语音/视频呼叫、视频会商等调度操作，实现基于位置信息的可视化调度；</w:t>
            </w:r>
            <w:r>
              <w:rPr>
                <w:rFonts w:hint="eastAsia" w:ascii="宋体" w:hAnsi="宋体" w:cs="宋体"/>
                <w:color w:val="auto"/>
                <w:highlight w:val="none"/>
              </w:rPr>
              <w:br w:type="textWrapping"/>
            </w:r>
            <w:r>
              <w:rPr>
                <w:rFonts w:hint="eastAsia" w:ascii="宋体" w:hAnsi="宋体" w:cs="宋体"/>
                <w:color w:val="auto"/>
                <w:highlight w:val="none"/>
              </w:rPr>
              <w:t>10、系统基于标准的SIP协议，具备对各类语音终端、宽带集群终端、视频监控、视频会议、单兵终端、GIS等系统信息资源的接入与集中管理功能、统一调用，实现语音、视频、数据媒体流融合调度服务；</w:t>
            </w:r>
            <w:r>
              <w:rPr>
                <w:rFonts w:hint="eastAsia" w:ascii="宋体" w:hAnsi="宋体" w:cs="宋体"/>
                <w:color w:val="auto"/>
                <w:highlight w:val="none"/>
              </w:rPr>
              <w:br w:type="textWrapping"/>
            </w:r>
            <w:r>
              <w:rPr>
                <w:rFonts w:hint="eastAsia" w:ascii="宋体" w:hAnsi="宋体" w:cs="宋体"/>
                <w:color w:val="auto"/>
                <w:highlight w:val="none"/>
              </w:rPr>
              <w:t>11、支持在国产操作系统上安装部署；</w:t>
            </w:r>
            <w:r>
              <w:rPr>
                <w:rFonts w:hint="eastAsia" w:ascii="宋体" w:hAnsi="宋体" w:cs="宋体"/>
                <w:color w:val="auto"/>
                <w:highlight w:val="none"/>
              </w:rPr>
              <w:br w:type="textWrapping"/>
            </w:r>
            <w:r>
              <w:rPr>
                <w:rFonts w:hint="eastAsia" w:ascii="宋体" w:hAnsi="宋体" w:cs="宋体"/>
                <w:color w:val="auto"/>
                <w:highlight w:val="none"/>
              </w:rPr>
              <w:t>12、本期提供600个调度用户许可，提供64路并发调度。</w:t>
            </w:r>
          </w:p>
        </w:tc>
        <w:tc>
          <w:tcPr>
            <w:tcW w:w="667" w:type="dxa"/>
            <w:noWrap/>
          </w:tcPr>
          <w:p>
            <w:pPr>
              <w:ind w:firstLine="0" w:firstLineChars="0"/>
              <w:jc w:val="center"/>
              <w:rPr>
                <w:rFonts w:ascii="宋体" w:hAnsi="宋体" w:cs="宋体"/>
                <w:color w:val="auto"/>
                <w:szCs w:val="21"/>
                <w:highlight w:val="none"/>
              </w:rPr>
            </w:pPr>
            <w:r>
              <w:rPr>
                <w:rFonts w:hint="eastAsia" w:ascii="宋体" w:hAnsi="宋体" w:cs="宋体"/>
                <w:color w:val="auto"/>
                <w:highlight w:val="none"/>
              </w:rPr>
              <w:t>套</w:t>
            </w:r>
          </w:p>
        </w:tc>
        <w:tc>
          <w:tcPr>
            <w:tcW w:w="666" w:type="dxa"/>
            <w:noWrap/>
          </w:tcPr>
          <w:p>
            <w:pPr>
              <w:ind w:firstLine="0" w:firstLineChars="0"/>
              <w:jc w:val="center"/>
              <w:rPr>
                <w:rFonts w:ascii="宋体" w:hAnsi="宋体" w:cs="宋体"/>
                <w:color w:val="auto"/>
                <w:szCs w:val="21"/>
                <w:highlight w:val="none"/>
              </w:rPr>
            </w:pPr>
            <w:r>
              <w:rPr>
                <w:rFonts w:hint="eastAsia" w:ascii="宋体" w:hAnsi="宋体" w:cs="宋体"/>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noWrap/>
          </w:tcPr>
          <w:p>
            <w:pPr>
              <w:ind w:firstLine="0" w:firstLineChars="0"/>
              <w:rPr>
                <w:rFonts w:ascii="宋体" w:hAnsi="宋体" w:cs="宋体"/>
                <w:color w:val="auto"/>
                <w:szCs w:val="21"/>
                <w:highlight w:val="none"/>
              </w:rPr>
            </w:pPr>
          </w:p>
        </w:tc>
        <w:tc>
          <w:tcPr>
            <w:tcW w:w="949" w:type="dxa"/>
            <w:vMerge w:val="continue"/>
          </w:tcPr>
          <w:p>
            <w:pPr>
              <w:ind w:firstLine="0" w:firstLineChars="0"/>
              <w:rPr>
                <w:rFonts w:ascii="宋体" w:hAnsi="宋体" w:cs="宋体"/>
                <w:color w:val="auto"/>
                <w:szCs w:val="21"/>
                <w:highlight w:val="none"/>
              </w:rPr>
            </w:pPr>
          </w:p>
        </w:tc>
        <w:tc>
          <w:tcPr>
            <w:tcW w:w="1266" w:type="dxa"/>
          </w:tcPr>
          <w:p>
            <w:pPr>
              <w:ind w:firstLine="0" w:firstLineChars="0"/>
              <w:rPr>
                <w:rFonts w:ascii="宋体" w:hAnsi="宋体" w:cs="宋体"/>
                <w:color w:val="auto"/>
                <w:szCs w:val="21"/>
                <w:highlight w:val="none"/>
              </w:rPr>
            </w:pPr>
            <w:r>
              <w:rPr>
                <w:rFonts w:hint="eastAsia" w:ascii="宋体" w:hAnsi="宋体" w:cs="宋体"/>
                <w:bCs/>
                <w:color w:val="auto"/>
                <w:highlight w:val="none"/>
              </w:rPr>
              <w:t>4G对讲机互联接口</w:t>
            </w:r>
          </w:p>
        </w:tc>
        <w:tc>
          <w:tcPr>
            <w:tcW w:w="4522" w:type="dxa"/>
          </w:tcPr>
          <w:p>
            <w:pPr>
              <w:ind w:firstLine="0" w:firstLineChars="0"/>
              <w:rPr>
                <w:rFonts w:ascii="宋体" w:hAnsi="宋体" w:cs="宋体"/>
                <w:color w:val="auto"/>
                <w:szCs w:val="21"/>
                <w:highlight w:val="none"/>
              </w:rPr>
            </w:pPr>
            <w:r>
              <w:rPr>
                <w:rFonts w:hint="eastAsia" w:ascii="宋体" w:hAnsi="宋体" w:cs="宋体"/>
                <w:bCs/>
                <w:color w:val="auto"/>
                <w:highlight w:val="none"/>
              </w:rPr>
              <w:t>实现与4G对讲机系统互联，支持POC对接互联互通，需要4G对讲机系统支持SIP中继互联，并提供相关授权，后台服务器需与融合通信网关网络互通。</w:t>
            </w:r>
          </w:p>
        </w:tc>
        <w:tc>
          <w:tcPr>
            <w:tcW w:w="667" w:type="dxa"/>
            <w:noWrap/>
          </w:tcPr>
          <w:p>
            <w:pPr>
              <w:ind w:firstLine="0" w:firstLineChars="0"/>
              <w:jc w:val="center"/>
              <w:rPr>
                <w:rFonts w:ascii="宋体" w:hAnsi="宋体" w:cs="宋体"/>
                <w:color w:val="auto"/>
                <w:szCs w:val="21"/>
                <w:highlight w:val="none"/>
              </w:rPr>
            </w:pPr>
            <w:r>
              <w:rPr>
                <w:rFonts w:hint="eastAsia" w:ascii="宋体" w:hAnsi="宋体" w:cs="宋体"/>
                <w:color w:val="auto"/>
                <w:highlight w:val="none"/>
              </w:rPr>
              <w:t>套</w:t>
            </w:r>
          </w:p>
        </w:tc>
        <w:tc>
          <w:tcPr>
            <w:tcW w:w="666" w:type="dxa"/>
            <w:noWrap/>
          </w:tcPr>
          <w:p>
            <w:pPr>
              <w:ind w:firstLine="0" w:firstLineChars="0"/>
              <w:jc w:val="center"/>
              <w:rPr>
                <w:rFonts w:ascii="宋体" w:hAnsi="宋体" w:cs="宋体"/>
                <w:color w:val="auto"/>
                <w:szCs w:val="21"/>
                <w:highlight w:val="none"/>
              </w:rPr>
            </w:pPr>
            <w:r>
              <w:rPr>
                <w:rFonts w:hint="eastAsia" w:ascii="宋体" w:hAnsi="宋体" w:cs="宋体"/>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noWrap/>
          </w:tcPr>
          <w:p>
            <w:pPr>
              <w:ind w:firstLine="0" w:firstLineChars="0"/>
              <w:rPr>
                <w:rFonts w:ascii="宋体" w:hAnsi="宋体" w:cs="宋体"/>
                <w:color w:val="auto"/>
                <w:szCs w:val="21"/>
                <w:highlight w:val="none"/>
              </w:rPr>
            </w:pPr>
          </w:p>
        </w:tc>
        <w:tc>
          <w:tcPr>
            <w:tcW w:w="949" w:type="dxa"/>
            <w:vMerge w:val="continue"/>
          </w:tcPr>
          <w:p>
            <w:pPr>
              <w:ind w:firstLine="0" w:firstLineChars="0"/>
              <w:rPr>
                <w:rFonts w:ascii="宋体" w:hAnsi="宋体" w:cs="宋体"/>
                <w:color w:val="auto"/>
                <w:szCs w:val="21"/>
                <w:highlight w:val="none"/>
              </w:rPr>
            </w:pPr>
          </w:p>
        </w:tc>
        <w:tc>
          <w:tcPr>
            <w:tcW w:w="1266" w:type="dxa"/>
          </w:tcPr>
          <w:p>
            <w:pPr>
              <w:ind w:firstLine="0" w:firstLineChars="0"/>
              <w:rPr>
                <w:rFonts w:ascii="宋体" w:hAnsi="宋体" w:cs="宋体"/>
                <w:bCs/>
                <w:color w:val="auto"/>
                <w:szCs w:val="21"/>
                <w:highlight w:val="none"/>
              </w:rPr>
            </w:pPr>
            <w:r>
              <w:rPr>
                <w:rFonts w:hint="eastAsia" w:ascii="宋体" w:hAnsi="宋体" w:cs="宋体"/>
                <w:bCs/>
                <w:color w:val="auto"/>
                <w:szCs w:val="21"/>
                <w:highlight w:val="none"/>
              </w:rPr>
              <w:t>IP广播互联接口</w:t>
            </w:r>
          </w:p>
        </w:tc>
        <w:tc>
          <w:tcPr>
            <w:tcW w:w="4522" w:type="dxa"/>
          </w:tcPr>
          <w:p>
            <w:pPr>
              <w:ind w:firstLine="0" w:firstLineChars="0"/>
              <w:rPr>
                <w:rFonts w:ascii="宋体" w:hAnsi="宋体" w:cs="宋体"/>
                <w:color w:val="auto"/>
                <w:highlight w:val="none"/>
              </w:rPr>
            </w:pPr>
            <w:r>
              <w:rPr>
                <w:rFonts w:hint="eastAsia" w:ascii="宋体" w:hAnsi="宋体" w:cs="宋体"/>
                <w:color w:val="auto"/>
                <w:highlight w:val="none"/>
              </w:rPr>
              <w:t>▲</w:t>
            </w:r>
            <w:r>
              <w:rPr>
                <w:rFonts w:hint="eastAsia" w:ascii="宋体" w:hAnsi="宋体" w:cs="宋体"/>
                <w:color w:val="auto"/>
                <w:kern w:val="0"/>
                <w:sz w:val="22"/>
                <w:szCs w:val="22"/>
                <w:highlight w:val="none"/>
                <w:lang w:bidi="ar"/>
              </w:rPr>
              <w:t>实现与值班中心现有企业应急广播系统无缝互联互通。投标文件需提供集成方案。</w:t>
            </w:r>
          </w:p>
        </w:tc>
        <w:tc>
          <w:tcPr>
            <w:tcW w:w="667" w:type="dxa"/>
            <w:noWrap/>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套</w:t>
            </w:r>
          </w:p>
        </w:tc>
        <w:tc>
          <w:tcPr>
            <w:tcW w:w="666" w:type="dxa"/>
            <w:noWrap/>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noWrap/>
          </w:tcPr>
          <w:p>
            <w:pPr>
              <w:ind w:firstLine="0" w:firstLineChars="0"/>
              <w:rPr>
                <w:rFonts w:ascii="宋体" w:hAnsi="宋体" w:cs="宋体"/>
                <w:color w:val="auto"/>
                <w:szCs w:val="21"/>
                <w:highlight w:val="none"/>
              </w:rPr>
            </w:pPr>
          </w:p>
        </w:tc>
        <w:tc>
          <w:tcPr>
            <w:tcW w:w="949" w:type="dxa"/>
            <w:vMerge w:val="continue"/>
          </w:tcPr>
          <w:p>
            <w:pPr>
              <w:ind w:firstLine="0" w:firstLineChars="0"/>
              <w:rPr>
                <w:rFonts w:ascii="宋体" w:hAnsi="宋体" w:cs="宋体"/>
                <w:color w:val="auto"/>
                <w:szCs w:val="21"/>
                <w:highlight w:val="none"/>
              </w:rPr>
            </w:pPr>
          </w:p>
        </w:tc>
        <w:tc>
          <w:tcPr>
            <w:tcW w:w="1266" w:type="dxa"/>
          </w:tcPr>
          <w:p>
            <w:pPr>
              <w:ind w:firstLine="0" w:firstLineChars="0"/>
              <w:rPr>
                <w:rFonts w:ascii="宋体" w:hAnsi="宋体" w:cs="宋体"/>
                <w:color w:val="auto"/>
                <w:szCs w:val="21"/>
                <w:highlight w:val="none"/>
              </w:rPr>
            </w:pPr>
            <w:r>
              <w:rPr>
                <w:rFonts w:hint="eastAsia" w:ascii="宋体" w:hAnsi="宋体" w:cs="宋体"/>
                <w:bCs/>
                <w:color w:val="auto"/>
                <w:highlight w:val="none"/>
              </w:rPr>
              <w:t>视频监控对接授权</w:t>
            </w:r>
          </w:p>
        </w:tc>
        <w:tc>
          <w:tcPr>
            <w:tcW w:w="4522" w:type="dxa"/>
          </w:tcPr>
          <w:p>
            <w:pPr>
              <w:ind w:firstLine="0" w:firstLineChars="0"/>
              <w:rPr>
                <w:rFonts w:ascii="宋体" w:hAnsi="宋体" w:cs="宋体"/>
                <w:color w:val="auto"/>
                <w:szCs w:val="21"/>
                <w:highlight w:val="none"/>
              </w:rPr>
            </w:pPr>
            <w:r>
              <w:rPr>
                <w:rFonts w:hint="eastAsia" w:ascii="宋体" w:hAnsi="宋体" w:cs="宋体"/>
                <w:color w:val="auto"/>
                <w:highlight w:val="none"/>
              </w:rPr>
              <w:t>1、授权视频监控接入网关1个视频监控平台对接接入许可；</w:t>
            </w:r>
            <w:r>
              <w:rPr>
                <w:rFonts w:hint="eastAsia" w:ascii="宋体" w:hAnsi="宋体" w:cs="宋体"/>
                <w:color w:val="auto"/>
                <w:highlight w:val="none"/>
              </w:rPr>
              <w:br w:type="textWrapping"/>
            </w:r>
            <w:r>
              <w:rPr>
                <w:rFonts w:hint="eastAsia" w:ascii="宋体" w:hAnsi="宋体" w:cs="宋体"/>
                <w:color w:val="auto"/>
                <w:highlight w:val="none"/>
              </w:rPr>
              <w:t>2、支持通过GB/T28181或Onvif协议接入视频监控平台；</w:t>
            </w:r>
            <w:r>
              <w:rPr>
                <w:rFonts w:hint="eastAsia" w:ascii="宋体" w:hAnsi="宋体" w:cs="宋体"/>
                <w:color w:val="auto"/>
                <w:highlight w:val="none"/>
              </w:rPr>
              <w:br w:type="textWrapping"/>
            </w:r>
            <w:r>
              <w:rPr>
                <w:rFonts w:hint="eastAsia" w:ascii="宋体" w:hAnsi="宋体" w:cs="宋体"/>
                <w:color w:val="auto"/>
                <w:highlight w:val="none"/>
              </w:rPr>
              <w:t>3、兼容目前主流厂商的DVR、HDVR、NVR、IPC及DVS产品，可通过SDK或相关协议，可接入其他市场第三方厂商的安防监控平台。</w:t>
            </w:r>
          </w:p>
        </w:tc>
        <w:tc>
          <w:tcPr>
            <w:tcW w:w="667" w:type="dxa"/>
            <w:noWrap/>
          </w:tcPr>
          <w:p>
            <w:pPr>
              <w:ind w:firstLine="0" w:firstLineChars="0"/>
              <w:jc w:val="center"/>
              <w:rPr>
                <w:rFonts w:ascii="宋体" w:hAnsi="宋体" w:cs="宋体"/>
                <w:color w:val="auto"/>
                <w:szCs w:val="21"/>
                <w:highlight w:val="none"/>
              </w:rPr>
            </w:pPr>
            <w:r>
              <w:rPr>
                <w:rFonts w:hint="eastAsia" w:ascii="宋体" w:hAnsi="宋体" w:cs="宋体"/>
                <w:color w:val="auto"/>
                <w:highlight w:val="none"/>
              </w:rPr>
              <w:t>套</w:t>
            </w:r>
          </w:p>
        </w:tc>
        <w:tc>
          <w:tcPr>
            <w:tcW w:w="666" w:type="dxa"/>
            <w:noWrap/>
          </w:tcPr>
          <w:p>
            <w:pPr>
              <w:ind w:firstLine="0" w:firstLineChars="0"/>
              <w:jc w:val="center"/>
              <w:rPr>
                <w:rFonts w:ascii="宋体" w:hAnsi="宋体" w:cs="宋体"/>
                <w:color w:val="auto"/>
                <w:szCs w:val="21"/>
                <w:highlight w:val="none"/>
              </w:rPr>
            </w:pPr>
            <w:r>
              <w:rPr>
                <w:rFonts w:hint="eastAsia" w:ascii="宋体" w:hAnsi="宋体" w:cs="宋体"/>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noWrap/>
          </w:tcPr>
          <w:p>
            <w:pPr>
              <w:ind w:firstLine="0" w:firstLineChars="0"/>
              <w:rPr>
                <w:rFonts w:ascii="宋体" w:hAnsi="宋体" w:cs="宋体"/>
                <w:color w:val="auto"/>
                <w:szCs w:val="21"/>
                <w:highlight w:val="none"/>
              </w:rPr>
            </w:pPr>
          </w:p>
        </w:tc>
        <w:tc>
          <w:tcPr>
            <w:tcW w:w="949" w:type="dxa"/>
            <w:vMerge w:val="continue"/>
          </w:tcPr>
          <w:p>
            <w:pPr>
              <w:ind w:firstLine="0" w:firstLineChars="0"/>
              <w:rPr>
                <w:rFonts w:ascii="宋体" w:hAnsi="宋体" w:cs="宋体"/>
                <w:color w:val="auto"/>
                <w:szCs w:val="21"/>
                <w:highlight w:val="none"/>
              </w:rPr>
            </w:pPr>
          </w:p>
        </w:tc>
        <w:tc>
          <w:tcPr>
            <w:tcW w:w="1266" w:type="dxa"/>
          </w:tcPr>
          <w:p>
            <w:pPr>
              <w:ind w:firstLine="0" w:firstLineChars="0"/>
              <w:rPr>
                <w:rFonts w:ascii="宋体" w:hAnsi="宋体" w:cs="宋体"/>
                <w:color w:val="auto"/>
                <w:szCs w:val="21"/>
                <w:highlight w:val="none"/>
              </w:rPr>
            </w:pPr>
            <w:r>
              <w:rPr>
                <w:rFonts w:hint="eastAsia" w:ascii="宋体" w:hAnsi="宋体" w:cs="宋体"/>
                <w:bCs/>
                <w:color w:val="auto"/>
                <w:highlight w:val="none"/>
              </w:rPr>
              <w:t>视频会议互联接口</w:t>
            </w:r>
          </w:p>
        </w:tc>
        <w:tc>
          <w:tcPr>
            <w:tcW w:w="4522" w:type="dxa"/>
          </w:tcPr>
          <w:p>
            <w:pPr>
              <w:ind w:firstLine="0" w:firstLineChars="0"/>
              <w:rPr>
                <w:rFonts w:ascii="宋体" w:hAnsi="宋体" w:cs="宋体"/>
                <w:color w:val="auto"/>
                <w:szCs w:val="21"/>
                <w:highlight w:val="none"/>
              </w:rPr>
            </w:pPr>
            <w:r>
              <w:rPr>
                <w:rFonts w:hint="eastAsia" w:ascii="宋体" w:hAnsi="宋体" w:cs="宋体"/>
                <w:color w:val="auto"/>
                <w:highlight w:val="none"/>
              </w:rPr>
              <w:t>实现基于SIP接口或H.323协议或采用背靠背方式，与视频会议系统互联，实现音频会场互通，应能推送视频至视频会议系统。</w:t>
            </w:r>
          </w:p>
        </w:tc>
        <w:tc>
          <w:tcPr>
            <w:tcW w:w="667"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套</w:t>
            </w:r>
          </w:p>
        </w:tc>
        <w:tc>
          <w:tcPr>
            <w:tcW w:w="666"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noWrap/>
          </w:tcPr>
          <w:p>
            <w:pPr>
              <w:ind w:firstLine="0" w:firstLineChars="0"/>
              <w:rPr>
                <w:rFonts w:ascii="宋体" w:hAnsi="宋体" w:cs="宋体"/>
                <w:color w:val="auto"/>
                <w:szCs w:val="21"/>
                <w:highlight w:val="none"/>
              </w:rPr>
            </w:pPr>
          </w:p>
        </w:tc>
        <w:tc>
          <w:tcPr>
            <w:tcW w:w="949" w:type="dxa"/>
            <w:vMerge w:val="continue"/>
          </w:tcPr>
          <w:p>
            <w:pPr>
              <w:ind w:firstLine="0" w:firstLineChars="0"/>
              <w:rPr>
                <w:rFonts w:ascii="宋体" w:hAnsi="宋体" w:cs="宋体"/>
                <w:color w:val="auto"/>
                <w:szCs w:val="21"/>
                <w:highlight w:val="none"/>
              </w:rPr>
            </w:pPr>
          </w:p>
        </w:tc>
        <w:tc>
          <w:tcPr>
            <w:tcW w:w="1266" w:type="dxa"/>
          </w:tcPr>
          <w:p>
            <w:pPr>
              <w:ind w:firstLine="0" w:firstLineChars="0"/>
              <w:rPr>
                <w:rFonts w:ascii="宋体" w:hAnsi="宋体" w:cs="宋体"/>
                <w:color w:val="auto"/>
                <w:szCs w:val="21"/>
                <w:highlight w:val="none"/>
              </w:rPr>
            </w:pPr>
            <w:r>
              <w:rPr>
                <w:rFonts w:hint="eastAsia" w:ascii="宋体" w:hAnsi="宋体" w:cs="宋体"/>
                <w:bCs/>
                <w:color w:val="auto"/>
                <w:highlight w:val="none"/>
              </w:rPr>
              <w:t>智能单兵模块</w:t>
            </w:r>
          </w:p>
        </w:tc>
        <w:tc>
          <w:tcPr>
            <w:tcW w:w="4522" w:type="dxa"/>
          </w:tcPr>
          <w:p>
            <w:pPr>
              <w:ind w:firstLine="0" w:firstLineChars="0"/>
              <w:rPr>
                <w:rFonts w:ascii="宋体" w:hAnsi="宋体" w:cs="宋体"/>
                <w:color w:val="auto"/>
                <w:szCs w:val="21"/>
                <w:highlight w:val="none"/>
              </w:rPr>
            </w:pPr>
            <w:r>
              <w:rPr>
                <w:rFonts w:hint="eastAsia" w:ascii="宋体" w:hAnsi="宋体" w:cs="宋体"/>
                <w:color w:val="auto"/>
                <w:highlight w:val="none"/>
              </w:rPr>
              <w:t>授权APP应用接入许可，含300路授权。</w:t>
            </w:r>
            <w:r>
              <w:rPr>
                <w:rFonts w:hint="eastAsia" w:ascii="宋体" w:hAnsi="宋体" w:cs="宋体"/>
                <w:color w:val="auto"/>
                <w:highlight w:val="none"/>
              </w:rPr>
              <w:br w:type="textWrapping"/>
            </w:r>
            <w:r>
              <w:rPr>
                <w:rFonts w:hint="eastAsia" w:ascii="宋体" w:hAnsi="宋体" w:cs="宋体"/>
                <w:color w:val="auto"/>
                <w:highlight w:val="none"/>
              </w:rPr>
              <w:t>1、支持VOIP语音通话；</w:t>
            </w:r>
            <w:r>
              <w:rPr>
                <w:rFonts w:hint="eastAsia" w:ascii="宋体" w:hAnsi="宋体" w:cs="宋体"/>
                <w:color w:val="auto"/>
                <w:highlight w:val="none"/>
              </w:rPr>
              <w:br w:type="textWrapping"/>
            </w:r>
            <w:r>
              <w:rPr>
                <w:rFonts w:hint="eastAsia" w:ascii="宋体" w:hAnsi="宋体" w:cs="宋体"/>
                <w:color w:val="auto"/>
                <w:highlight w:val="none"/>
              </w:rPr>
              <w:t>2、支持点对点音视频通信；</w:t>
            </w:r>
            <w:r>
              <w:rPr>
                <w:rFonts w:hint="eastAsia" w:ascii="宋体" w:hAnsi="宋体" w:cs="宋体"/>
                <w:color w:val="auto"/>
                <w:highlight w:val="none"/>
              </w:rPr>
              <w:br w:type="textWrapping"/>
            </w:r>
            <w:r>
              <w:rPr>
                <w:rFonts w:hint="eastAsia" w:ascii="宋体" w:hAnsi="宋体" w:cs="宋体"/>
                <w:color w:val="auto"/>
                <w:highlight w:val="none"/>
              </w:rPr>
              <w:t>3、支持通讯录列表管理；</w:t>
            </w:r>
            <w:r>
              <w:rPr>
                <w:rFonts w:hint="eastAsia" w:ascii="宋体" w:hAnsi="宋体" w:cs="宋体"/>
                <w:color w:val="auto"/>
                <w:highlight w:val="none"/>
              </w:rPr>
              <w:br w:type="textWrapping"/>
            </w:r>
            <w:r>
              <w:rPr>
                <w:rFonts w:hint="eastAsia" w:ascii="宋体" w:hAnsi="宋体" w:cs="宋体"/>
                <w:color w:val="auto"/>
                <w:highlight w:val="none"/>
              </w:rPr>
              <w:t>4、支持集群对讲通信业务，支持多对讲组切换；</w:t>
            </w:r>
            <w:r>
              <w:rPr>
                <w:rFonts w:hint="eastAsia" w:ascii="宋体" w:hAnsi="宋体" w:cs="宋体"/>
                <w:color w:val="auto"/>
                <w:highlight w:val="none"/>
              </w:rPr>
              <w:br w:type="textWrapping"/>
            </w:r>
            <w:r>
              <w:rPr>
                <w:rFonts w:hint="eastAsia" w:ascii="宋体" w:hAnsi="宋体" w:cs="宋体"/>
                <w:color w:val="auto"/>
                <w:highlight w:val="none"/>
              </w:rPr>
              <w:t>5、支持文本消息、图片消息、语音消息、视频消息等类微信功能；</w:t>
            </w:r>
            <w:r>
              <w:rPr>
                <w:rFonts w:hint="eastAsia" w:ascii="宋体" w:hAnsi="宋体" w:cs="宋体"/>
                <w:color w:val="auto"/>
                <w:highlight w:val="none"/>
              </w:rPr>
              <w:br w:type="textWrapping"/>
            </w:r>
            <w:r>
              <w:rPr>
                <w:rFonts w:hint="eastAsia" w:ascii="宋体" w:hAnsi="宋体" w:cs="宋体"/>
                <w:color w:val="auto"/>
                <w:highlight w:val="none"/>
              </w:rPr>
              <w:t>6、可实现和调度台、短波/超短波等现有有线/无线终端混合编组对讲；</w:t>
            </w:r>
            <w:r>
              <w:rPr>
                <w:rFonts w:hint="eastAsia" w:ascii="宋体" w:hAnsi="宋体" w:cs="宋体"/>
                <w:color w:val="auto"/>
                <w:highlight w:val="none"/>
              </w:rPr>
              <w:br w:type="textWrapping"/>
            </w:r>
            <w:r>
              <w:rPr>
                <w:rFonts w:hint="eastAsia" w:ascii="宋体" w:hAnsi="宋体" w:cs="宋体"/>
                <w:color w:val="auto"/>
                <w:highlight w:val="none"/>
              </w:rPr>
              <w:t>7、支持工作台功能，可实现与现有的OA办公系统以及其他系统的融合接入；</w:t>
            </w:r>
            <w:r>
              <w:rPr>
                <w:rFonts w:hint="eastAsia" w:ascii="宋体" w:hAnsi="宋体" w:cs="宋体"/>
                <w:color w:val="auto"/>
                <w:highlight w:val="none"/>
              </w:rPr>
              <w:br w:type="textWrapping"/>
            </w:r>
            <w:r>
              <w:rPr>
                <w:rFonts w:hint="eastAsia" w:ascii="宋体" w:hAnsi="宋体" w:cs="宋体"/>
                <w:color w:val="auto"/>
                <w:highlight w:val="none"/>
              </w:rPr>
              <w:t>8、支持图片拍传给调度台、支持视频回传给调度台用户的功能。</w:t>
            </w:r>
          </w:p>
        </w:tc>
        <w:tc>
          <w:tcPr>
            <w:tcW w:w="667"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套</w:t>
            </w:r>
          </w:p>
        </w:tc>
        <w:tc>
          <w:tcPr>
            <w:tcW w:w="666"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noWrap/>
          </w:tcPr>
          <w:p>
            <w:pPr>
              <w:ind w:firstLine="0" w:firstLineChars="0"/>
              <w:rPr>
                <w:rFonts w:ascii="宋体" w:hAnsi="宋体" w:cs="宋体"/>
                <w:color w:val="auto"/>
                <w:szCs w:val="21"/>
                <w:highlight w:val="none"/>
              </w:rPr>
            </w:pPr>
          </w:p>
        </w:tc>
        <w:tc>
          <w:tcPr>
            <w:tcW w:w="949" w:type="dxa"/>
            <w:vMerge w:val="continue"/>
          </w:tcPr>
          <w:p>
            <w:pPr>
              <w:ind w:firstLine="0" w:firstLineChars="0"/>
              <w:rPr>
                <w:rFonts w:ascii="宋体" w:hAnsi="宋体" w:cs="宋体"/>
                <w:color w:val="auto"/>
                <w:szCs w:val="21"/>
                <w:highlight w:val="none"/>
              </w:rPr>
            </w:pPr>
          </w:p>
        </w:tc>
        <w:tc>
          <w:tcPr>
            <w:tcW w:w="1266" w:type="dxa"/>
          </w:tcPr>
          <w:p>
            <w:pPr>
              <w:ind w:firstLine="0" w:firstLineChars="0"/>
              <w:rPr>
                <w:rFonts w:ascii="宋体" w:hAnsi="宋体" w:cs="宋体"/>
                <w:color w:val="auto"/>
                <w:szCs w:val="21"/>
                <w:highlight w:val="none"/>
              </w:rPr>
            </w:pPr>
            <w:r>
              <w:rPr>
                <w:rFonts w:hint="eastAsia" w:ascii="宋体" w:hAnsi="宋体" w:cs="宋体"/>
                <w:bCs/>
                <w:color w:val="auto"/>
                <w:highlight w:val="none"/>
              </w:rPr>
              <w:t>GIS调度模块</w:t>
            </w:r>
          </w:p>
        </w:tc>
        <w:tc>
          <w:tcPr>
            <w:tcW w:w="4522" w:type="dxa"/>
          </w:tcPr>
          <w:p>
            <w:pPr>
              <w:ind w:firstLine="0" w:firstLineChars="0"/>
              <w:rPr>
                <w:rFonts w:ascii="宋体" w:hAnsi="宋体" w:cs="宋体"/>
                <w:color w:val="auto"/>
                <w:szCs w:val="21"/>
                <w:highlight w:val="none"/>
              </w:rPr>
            </w:pPr>
            <w:r>
              <w:rPr>
                <w:rFonts w:hint="eastAsia" w:ascii="宋体" w:hAnsi="宋体" w:cs="宋体"/>
                <w:color w:val="auto"/>
                <w:highlight w:val="none"/>
              </w:rPr>
              <w:t>调度系统中已经包含GIS功能模块。</w:t>
            </w:r>
          </w:p>
        </w:tc>
        <w:tc>
          <w:tcPr>
            <w:tcW w:w="667"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套</w:t>
            </w:r>
          </w:p>
        </w:tc>
        <w:tc>
          <w:tcPr>
            <w:tcW w:w="666"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657" w:type="dxa"/>
            <w:vMerge w:val="continue"/>
            <w:noWrap/>
          </w:tcPr>
          <w:p>
            <w:pPr>
              <w:ind w:firstLine="0" w:firstLineChars="0"/>
              <w:rPr>
                <w:rFonts w:ascii="宋体" w:hAnsi="宋体" w:cs="宋体"/>
                <w:color w:val="auto"/>
                <w:szCs w:val="21"/>
                <w:highlight w:val="none"/>
              </w:rPr>
            </w:pPr>
          </w:p>
        </w:tc>
        <w:tc>
          <w:tcPr>
            <w:tcW w:w="949" w:type="dxa"/>
            <w:vMerge w:val="continue"/>
          </w:tcPr>
          <w:p>
            <w:pPr>
              <w:ind w:firstLine="0" w:firstLineChars="0"/>
              <w:rPr>
                <w:rFonts w:ascii="宋体" w:hAnsi="宋体" w:cs="宋体"/>
                <w:color w:val="auto"/>
                <w:szCs w:val="21"/>
                <w:highlight w:val="none"/>
              </w:rPr>
            </w:pPr>
          </w:p>
        </w:tc>
        <w:tc>
          <w:tcPr>
            <w:tcW w:w="1266" w:type="dxa"/>
          </w:tcPr>
          <w:p>
            <w:pPr>
              <w:ind w:firstLine="0" w:firstLineChars="0"/>
              <w:rPr>
                <w:rFonts w:ascii="宋体" w:hAnsi="宋体" w:cs="宋体"/>
                <w:color w:val="auto"/>
                <w:szCs w:val="21"/>
                <w:highlight w:val="none"/>
              </w:rPr>
            </w:pPr>
            <w:r>
              <w:rPr>
                <w:rFonts w:hint="eastAsia" w:ascii="宋体" w:hAnsi="宋体" w:cs="宋体"/>
                <w:bCs/>
                <w:color w:val="auto"/>
                <w:highlight w:val="none"/>
              </w:rPr>
              <w:t>音视频管理授权接口</w:t>
            </w:r>
          </w:p>
        </w:tc>
        <w:tc>
          <w:tcPr>
            <w:tcW w:w="4522" w:type="dxa"/>
          </w:tcPr>
          <w:p>
            <w:pPr>
              <w:ind w:firstLine="0" w:firstLineChars="0"/>
              <w:rPr>
                <w:rFonts w:ascii="宋体" w:hAnsi="宋体" w:cs="宋体"/>
                <w:color w:val="auto"/>
                <w:szCs w:val="21"/>
                <w:highlight w:val="none"/>
              </w:rPr>
            </w:pPr>
            <w:r>
              <w:rPr>
                <w:rFonts w:hint="eastAsia" w:ascii="宋体" w:hAnsi="宋体" w:cs="宋体"/>
                <w:color w:val="auto"/>
                <w:highlight w:val="none"/>
              </w:rPr>
              <w:t>包含64路并发路录音及8路并发录像授权。</w:t>
            </w:r>
          </w:p>
        </w:tc>
        <w:tc>
          <w:tcPr>
            <w:tcW w:w="667"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套</w:t>
            </w:r>
          </w:p>
        </w:tc>
        <w:tc>
          <w:tcPr>
            <w:tcW w:w="666"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noWrap/>
          </w:tcPr>
          <w:p>
            <w:pPr>
              <w:ind w:firstLine="0" w:firstLineChars="0"/>
              <w:rPr>
                <w:rFonts w:ascii="宋体" w:hAnsi="宋体" w:cs="宋体"/>
                <w:color w:val="auto"/>
                <w:szCs w:val="21"/>
                <w:highlight w:val="none"/>
              </w:rPr>
            </w:pPr>
          </w:p>
        </w:tc>
        <w:tc>
          <w:tcPr>
            <w:tcW w:w="949" w:type="dxa"/>
            <w:vMerge w:val="continue"/>
          </w:tcPr>
          <w:p>
            <w:pPr>
              <w:ind w:firstLine="0" w:firstLineChars="0"/>
              <w:rPr>
                <w:rFonts w:ascii="宋体" w:hAnsi="宋体" w:cs="宋体"/>
                <w:color w:val="auto"/>
                <w:szCs w:val="21"/>
                <w:highlight w:val="none"/>
              </w:rPr>
            </w:pPr>
          </w:p>
        </w:tc>
        <w:tc>
          <w:tcPr>
            <w:tcW w:w="1266" w:type="dxa"/>
          </w:tcPr>
          <w:p>
            <w:pPr>
              <w:ind w:firstLine="0" w:firstLineChars="0"/>
              <w:rPr>
                <w:rFonts w:ascii="宋体" w:hAnsi="宋体" w:cs="宋体"/>
                <w:color w:val="auto"/>
                <w:szCs w:val="21"/>
                <w:highlight w:val="none"/>
              </w:rPr>
            </w:pPr>
            <w:r>
              <w:rPr>
                <w:rFonts w:hint="eastAsia" w:ascii="宋体" w:hAnsi="宋体" w:cs="宋体"/>
                <w:bCs/>
                <w:color w:val="auto"/>
                <w:highlight w:val="none"/>
              </w:rPr>
              <w:t>第三方业务开发接口</w:t>
            </w:r>
          </w:p>
        </w:tc>
        <w:tc>
          <w:tcPr>
            <w:tcW w:w="4522" w:type="dxa"/>
          </w:tcPr>
          <w:p>
            <w:pPr>
              <w:ind w:firstLine="0" w:firstLineChars="0"/>
              <w:rPr>
                <w:rFonts w:ascii="宋体" w:hAnsi="宋体" w:cs="宋体"/>
                <w:color w:val="auto"/>
                <w:szCs w:val="21"/>
                <w:highlight w:val="none"/>
              </w:rPr>
            </w:pPr>
            <w:r>
              <w:rPr>
                <w:rFonts w:hint="eastAsia" w:ascii="宋体" w:hAnsi="宋体" w:cs="宋体"/>
                <w:color w:val="auto"/>
                <w:highlight w:val="none"/>
              </w:rPr>
              <w:t>提供呼叫、会议、短信、传真、录音录像、视频调度等接口，供第三方可视化平台通过该接口软件调用系统功能。</w:t>
            </w:r>
          </w:p>
        </w:tc>
        <w:tc>
          <w:tcPr>
            <w:tcW w:w="667"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套</w:t>
            </w:r>
          </w:p>
        </w:tc>
        <w:tc>
          <w:tcPr>
            <w:tcW w:w="666"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restart"/>
            <w:noWrap/>
          </w:tcPr>
          <w:p>
            <w:pPr>
              <w:ind w:firstLine="0" w:firstLineChars="0"/>
              <w:rPr>
                <w:rFonts w:ascii="宋体" w:hAnsi="宋体" w:cs="宋体"/>
                <w:color w:val="auto"/>
                <w:szCs w:val="21"/>
                <w:highlight w:val="none"/>
              </w:rPr>
            </w:pPr>
            <w:r>
              <w:rPr>
                <w:rFonts w:hint="eastAsia" w:ascii="宋体" w:hAnsi="宋体" w:cs="宋体"/>
                <w:color w:val="auto"/>
                <w:szCs w:val="21"/>
                <w:highlight w:val="none"/>
              </w:rPr>
              <w:t>2</w:t>
            </w:r>
          </w:p>
          <w:p>
            <w:pPr>
              <w:ind w:firstLine="0" w:firstLineChars="0"/>
              <w:rPr>
                <w:rFonts w:ascii="宋体" w:hAnsi="宋体" w:cs="宋体"/>
                <w:color w:val="auto"/>
                <w:szCs w:val="21"/>
                <w:highlight w:val="none"/>
              </w:rPr>
            </w:pPr>
          </w:p>
          <w:p>
            <w:pPr>
              <w:ind w:firstLine="0" w:firstLineChars="0"/>
              <w:rPr>
                <w:rFonts w:ascii="宋体" w:hAnsi="宋体" w:cs="宋体"/>
                <w:color w:val="auto"/>
                <w:szCs w:val="21"/>
                <w:highlight w:val="none"/>
              </w:rPr>
            </w:pPr>
          </w:p>
          <w:p>
            <w:pPr>
              <w:ind w:firstLine="0" w:firstLineChars="0"/>
              <w:rPr>
                <w:rFonts w:ascii="宋体" w:hAnsi="宋体" w:cs="宋体"/>
                <w:color w:val="auto"/>
                <w:szCs w:val="21"/>
                <w:highlight w:val="none"/>
              </w:rPr>
            </w:pPr>
          </w:p>
          <w:p>
            <w:pPr>
              <w:ind w:firstLine="0" w:firstLineChars="0"/>
              <w:rPr>
                <w:rFonts w:ascii="宋体" w:hAnsi="宋体" w:cs="宋体"/>
                <w:color w:val="auto"/>
                <w:szCs w:val="21"/>
                <w:highlight w:val="none"/>
              </w:rPr>
            </w:pPr>
          </w:p>
        </w:tc>
        <w:tc>
          <w:tcPr>
            <w:tcW w:w="949" w:type="dxa"/>
            <w:vMerge w:val="restart"/>
          </w:tcPr>
          <w:p>
            <w:pPr>
              <w:ind w:firstLine="0" w:firstLineChars="0"/>
              <w:rPr>
                <w:rFonts w:ascii="宋体" w:hAnsi="宋体" w:cs="宋体"/>
                <w:color w:val="auto"/>
                <w:szCs w:val="21"/>
                <w:highlight w:val="none"/>
              </w:rPr>
            </w:pPr>
            <w:r>
              <w:rPr>
                <w:rFonts w:hint="eastAsia" w:ascii="宋体" w:hAnsi="宋体" w:cs="宋体"/>
                <w:color w:val="auto"/>
                <w:szCs w:val="21"/>
                <w:highlight w:val="none"/>
              </w:rPr>
              <w:t>网关模块</w:t>
            </w:r>
          </w:p>
        </w:tc>
        <w:tc>
          <w:tcPr>
            <w:tcW w:w="1266" w:type="dxa"/>
          </w:tcPr>
          <w:p>
            <w:pPr>
              <w:ind w:firstLine="0" w:firstLineChars="0"/>
              <w:rPr>
                <w:rFonts w:ascii="宋体" w:hAnsi="宋体" w:cs="宋体"/>
                <w:color w:val="auto"/>
                <w:szCs w:val="21"/>
                <w:highlight w:val="none"/>
              </w:rPr>
            </w:pPr>
            <w:r>
              <w:rPr>
                <w:rFonts w:hint="eastAsia" w:ascii="宋体" w:hAnsi="宋体" w:cs="宋体"/>
                <w:bCs/>
                <w:color w:val="auto"/>
                <w:szCs w:val="21"/>
                <w:highlight w:val="none"/>
              </w:rPr>
              <w:t>语音网关</w:t>
            </w:r>
          </w:p>
        </w:tc>
        <w:tc>
          <w:tcPr>
            <w:tcW w:w="4522" w:type="dxa"/>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1、支持SIP/MGCP协议；</w:t>
            </w:r>
            <w:r>
              <w:rPr>
                <w:rFonts w:hint="eastAsia" w:ascii="宋体" w:hAnsi="宋体" w:cs="宋体"/>
                <w:color w:val="auto"/>
                <w:szCs w:val="21"/>
                <w:highlight w:val="none"/>
              </w:rPr>
              <w:br w:type="textWrapping"/>
            </w:r>
            <w:r>
              <w:rPr>
                <w:rFonts w:hint="eastAsia" w:ascii="宋体" w:hAnsi="宋体" w:cs="宋体"/>
                <w:color w:val="auto"/>
                <w:szCs w:val="21"/>
                <w:highlight w:val="none"/>
              </w:rPr>
              <w:t>2、支持TLS/SRTP/HTTPS/SSH/VPN协议的语音/数据加密；</w:t>
            </w:r>
            <w:r>
              <w:rPr>
                <w:rFonts w:hint="eastAsia" w:ascii="宋体" w:hAnsi="宋体" w:cs="宋体"/>
                <w:color w:val="auto"/>
                <w:szCs w:val="21"/>
                <w:highlight w:val="none"/>
              </w:rPr>
              <w:br w:type="textWrapping"/>
            </w:r>
            <w:r>
              <w:rPr>
                <w:rFonts w:hint="eastAsia" w:ascii="宋体" w:hAnsi="宋体" w:cs="宋体"/>
                <w:color w:val="auto"/>
                <w:szCs w:val="21"/>
                <w:highlight w:val="none"/>
              </w:rPr>
              <w:t>3、支持TR069/SNMP/APS集中部署协议；</w:t>
            </w:r>
            <w:r>
              <w:rPr>
                <w:rFonts w:hint="eastAsia" w:ascii="宋体" w:hAnsi="宋体" w:cs="宋体"/>
                <w:color w:val="auto"/>
                <w:szCs w:val="21"/>
                <w:highlight w:val="none"/>
              </w:rPr>
              <w:br w:type="textWrapping"/>
            </w:r>
            <w:r>
              <w:rPr>
                <w:rFonts w:hint="eastAsia" w:ascii="宋体" w:hAnsi="宋体" w:cs="宋体"/>
                <w:color w:val="auto"/>
                <w:szCs w:val="21"/>
                <w:highlight w:val="none"/>
              </w:rPr>
              <w:t>4、支持T.30/T.38传真；</w:t>
            </w:r>
            <w:r>
              <w:rPr>
                <w:rFonts w:hint="eastAsia" w:ascii="宋体" w:hAnsi="宋体" w:cs="宋体"/>
                <w:color w:val="auto"/>
                <w:szCs w:val="21"/>
                <w:highlight w:val="none"/>
              </w:rPr>
              <w:br w:type="textWrapping"/>
            </w:r>
            <w:r>
              <w:rPr>
                <w:rFonts w:hint="eastAsia" w:ascii="宋体" w:hAnsi="宋体" w:cs="宋体"/>
                <w:color w:val="auto"/>
                <w:szCs w:val="21"/>
                <w:highlight w:val="none"/>
              </w:rPr>
              <w:t>5、支持断电/断网逃生；</w:t>
            </w:r>
            <w:r>
              <w:rPr>
                <w:rFonts w:hint="eastAsia" w:ascii="宋体" w:hAnsi="宋体" w:cs="宋体"/>
                <w:color w:val="auto"/>
                <w:szCs w:val="21"/>
                <w:highlight w:val="none"/>
              </w:rPr>
              <w:br w:type="textWrapping"/>
            </w:r>
            <w:r>
              <w:rPr>
                <w:rFonts w:hint="eastAsia" w:ascii="宋体" w:hAnsi="宋体" w:cs="宋体"/>
                <w:color w:val="auto"/>
                <w:szCs w:val="21"/>
                <w:highlight w:val="none"/>
              </w:rPr>
              <w:t>6、100-220V交流电源；</w:t>
            </w:r>
            <w:r>
              <w:rPr>
                <w:rFonts w:hint="eastAsia" w:ascii="宋体" w:hAnsi="宋体" w:cs="宋体"/>
                <w:color w:val="auto"/>
                <w:szCs w:val="21"/>
                <w:highlight w:val="none"/>
              </w:rPr>
              <w:br w:type="textWrapping"/>
            </w:r>
            <w:r>
              <w:rPr>
                <w:rFonts w:hint="eastAsia" w:ascii="宋体" w:hAnsi="宋体" w:cs="宋体"/>
                <w:color w:val="auto"/>
                <w:szCs w:val="21"/>
                <w:highlight w:val="none"/>
              </w:rPr>
              <w:t>7、支持不少于48个内外线混合模拟接口，48全并发通话能力；</w:t>
            </w:r>
            <w:r>
              <w:rPr>
                <w:rFonts w:hint="eastAsia" w:ascii="宋体" w:hAnsi="宋体" w:cs="宋体"/>
                <w:color w:val="auto"/>
                <w:szCs w:val="21"/>
                <w:highlight w:val="none"/>
              </w:rPr>
              <w:br w:type="textWrapping"/>
            </w:r>
            <w:r>
              <w:rPr>
                <w:rFonts w:hint="eastAsia" w:ascii="宋体" w:hAnsi="宋体" w:cs="宋体"/>
                <w:color w:val="auto"/>
                <w:szCs w:val="21"/>
                <w:highlight w:val="none"/>
              </w:rPr>
              <w:t>8、本次配置：8个模拟中继接口，8个模拟用户接口。</w:t>
            </w:r>
          </w:p>
        </w:tc>
        <w:tc>
          <w:tcPr>
            <w:tcW w:w="667"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台</w:t>
            </w:r>
          </w:p>
        </w:tc>
        <w:tc>
          <w:tcPr>
            <w:tcW w:w="666"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noWrap/>
          </w:tcPr>
          <w:p>
            <w:pPr>
              <w:ind w:firstLine="0" w:firstLineChars="0"/>
              <w:rPr>
                <w:rFonts w:ascii="宋体" w:hAnsi="宋体" w:cs="宋体"/>
                <w:color w:val="auto"/>
                <w:szCs w:val="21"/>
                <w:highlight w:val="none"/>
              </w:rPr>
            </w:pPr>
          </w:p>
        </w:tc>
        <w:tc>
          <w:tcPr>
            <w:tcW w:w="949" w:type="dxa"/>
            <w:vMerge w:val="continue"/>
          </w:tcPr>
          <w:p>
            <w:pPr>
              <w:ind w:firstLine="0" w:firstLineChars="0"/>
              <w:rPr>
                <w:rFonts w:ascii="宋体" w:hAnsi="宋体" w:cs="宋体"/>
                <w:color w:val="auto"/>
                <w:szCs w:val="21"/>
                <w:highlight w:val="none"/>
              </w:rPr>
            </w:pPr>
          </w:p>
        </w:tc>
        <w:tc>
          <w:tcPr>
            <w:tcW w:w="1266" w:type="dxa"/>
          </w:tcPr>
          <w:p>
            <w:pPr>
              <w:ind w:firstLine="0" w:firstLineChars="0"/>
              <w:rPr>
                <w:rFonts w:ascii="宋体" w:hAnsi="宋体" w:cs="宋体"/>
                <w:color w:val="auto"/>
                <w:szCs w:val="21"/>
                <w:highlight w:val="none"/>
              </w:rPr>
            </w:pPr>
            <w:r>
              <w:rPr>
                <w:rFonts w:hint="eastAsia" w:ascii="宋体" w:hAnsi="宋体" w:cs="宋体"/>
                <w:bCs/>
                <w:color w:val="auto"/>
                <w:szCs w:val="21"/>
                <w:highlight w:val="none"/>
              </w:rPr>
              <w:t>数字中继网关</w:t>
            </w:r>
          </w:p>
        </w:tc>
        <w:tc>
          <w:tcPr>
            <w:tcW w:w="4522" w:type="dxa"/>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1、标准SIP/ SIP-T /PRI/SS7协议、NAT穿透协议、超文本传输协议（HTTP）、 ITU-T G.711A-Law/U-Law、G.723.1、G.729AB、iLBC13k/15k、AMR/AMR-GSM 、 域名系统（DNS）等协议；</w:t>
            </w:r>
            <w:r>
              <w:rPr>
                <w:rFonts w:hint="eastAsia" w:ascii="宋体" w:hAnsi="宋体" w:cs="宋体"/>
                <w:color w:val="auto"/>
                <w:szCs w:val="21"/>
                <w:highlight w:val="none"/>
              </w:rPr>
              <w:br w:type="textWrapping"/>
            </w:r>
            <w:r>
              <w:rPr>
                <w:rFonts w:hint="eastAsia" w:ascii="宋体" w:hAnsi="宋体" w:cs="宋体"/>
                <w:color w:val="auto"/>
                <w:szCs w:val="21"/>
                <w:highlight w:val="none"/>
              </w:rPr>
              <w:t>2、19寸机架式服务器；</w:t>
            </w:r>
            <w:r>
              <w:rPr>
                <w:rFonts w:hint="eastAsia" w:ascii="宋体" w:hAnsi="宋体" w:cs="宋体"/>
                <w:color w:val="auto"/>
                <w:szCs w:val="21"/>
                <w:highlight w:val="none"/>
              </w:rPr>
              <w:br w:type="textWrapping"/>
            </w:r>
            <w:r>
              <w:rPr>
                <w:rFonts w:hint="eastAsia" w:ascii="宋体" w:hAnsi="宋体" w:cs="宋体"/>
                <w:color w:val="auto"/>
                <w:szCs w:val="21"/>
                <w:highlight w:val="none"/>
              </w:rPr>
              <w:t>3、系统功能： 信息包丢失隐藏（PLC）、 静音检测（VAD）、舒适噪声生成（CNG）、 DTMF模式：RFC2833，SIP INFO和INBAND、T.38/Pass-Through FAX over IP、 HTTP/Telnet配置、通过TFTP/Web进行固件升级、语音识别；</w:t>
            </w:r>
            <w:r>
              <w:rPr>
                <w:rFonts w:hint="eastAsia" w:ascii="宋体" w:hAnsi="宋体" w:cs="宋体"/>
                <w:color w:val="auto"/>
                <w:szCs w:val="21"/>
                <w:highlight w:val="none"/>
              </w:rPr>
              <w:br w:type="textWrapping"/>
            </w:r>
            <w:r>
              <w:rPr>
                <w:rFonts w:hint="eastAsia" w:ascii="宋体" w:hAnsi="宋体" w:cs="宋体"/>
                <w:color w:val="auto"/>
                <w:szCs w:val="21"/>
                <w:highlight w:val="none"/>
              </w:rPr>
              <w:t>4、最大支持20路E1板卡接入；</w:t>
            </w:r>
            <w:r>
              <w:rPr>
                <w:rFonts w:hint="eastAsia" w:ascii="宋体" w:hAnsi="宋体" w:cs="宋体"/>
                <w:color w:val="auto"/>
                <w:szCs w:val="21"/>
                <w:highlight w:val="none"/>
              </w:rPr>
              <w:br w:type="textWrapping"/>
            </w:r>
            <w:r>
              <w:rPr>
                <w:rFonts w:hint="eastAsia" w:ascii="宋体" w:hAnsi="宋体" w:cs="宋体"/>
                <w:color w:val="auto"/>
                <w:szCs w:val="21"/>
                <w:highlight w:val="none"/>
              </w:rPr>
              <w:t>5、本次提供4路E1接口。</w:t>
            </w:r>
          </w:p>
        </w:tc>
        <w:tc>
          <w:tcPr>
            <w:tcW w:w="667"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台</w:t>
            </w:r>
          </w:p>
        </w:tc>
        <w:tc>
          <w:tcPr>
            <w:tcW w:w="666"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noWrap/>
          </w:tcPr>
          <w:p>
            <w:pPr>
              <w:ind w:firstLine="0" w:firstLineChars="0"/>
              <w:rPr>
                <w:rFonts w:ascii="宋体" w:hAnsi="宋体" w:cs="宋体"/>
                <w:color w:val="auto"/>
                <w:szCs w:val="21"/>
                <w:highlight w:val="none"/>
              </w:rPr>
            </w:pPr>
          </w:p>
        </w:tc>
        <w:tc>
          <w:tcPr>
            <w:tcW w:w="949" w:type="dxa"/>
            <w:vMerge w:val="continue"/>
          </w:tcPr>
          <w:p>
            <w:pPr>
              <w:ind w:firstLine="0" w:firstLineChars="0"/>
              <w:rPr>
                <w:rFonts w:ascii="宋体" w:hAnsi="宋体" w:cs="宋体"/>
                <w:color w:val="auto"/>
                <w:szCs w:val="21"/>
                <w:highlight w:val="none"/>
              </w:rPr>
            </w:pPr>
          </w:p>
        </w:tc>
        <w:tc>
          <w:tcPr>
            <w:tcW w:w="1266" w:type="dxa"/>
          </w:tcPr>
          <w:p>
            <w:pPr>
              <w:ind w:firstLine="0" w:firstLineChars="0"/>
              <w:rPr>
                <w:rFonts w:ascii="宋体" w:hAnsi="宋体" w:cs="宋体"/>
                <w:color w:val="auto"/>
                <w:szCs w:val="21"/>
                <w:highlight w:val="none"/>
              </w:rPr>
            </w:pPr>
            <w:r>
              <w:rPr>
                <w:rFonts w:hint="eastAsia" w:ascii="宋体" w:hAnsi="宋体" w:cs="宋体"/>
                <w:bCs/>
                <w:color w:val="auto"/>
                <w:szCs w:val="21"/>
                <w:highlight w:val="none"/>
              </w:rPr>
              <w:t>无线语音网关</w:t>
            </w:r>
          </w:p>
        </w:tc>
        <w:tc>
          <w:tcPr>
            <w:tcW w:w="4522" w:type="dxa"/>
          </w:tcPr>
          <w:p>
            <w:pPr>
              <w:wordWrap w:val="0"/>
              <w:ind w:firstLine="0" w:firstLineChars="0"/>
              <w:rPr>
                <w:rFonts w:ascii="宋体" w:hAnsi="宋体" w:cs="宋体"/>
                <w:color w:val="auto"/>
                <w:szCs w:val="21"/>
                <w:highlight w:val="none"/>
              </w:rPr>
            </w:pPr>
            <w:r>
              <w:rPr>
                <w:rFonts w:hint="eastAsia" w:ascii="宋体" w:hAnsi="宋体" w:cs="宋体"/>
                <w:color w:val="auto"/>
                <w:szCs w:val="21"/>
                <w:highlight w:val="none"/>
              </w:rPr>
              <w:t>1、4G全网通：2个；</w:t>
            </w:r>
            <w:r>
              <w:rPr>
                <w:rFonts w:hint="eastAsia" w:ascii="宋体" w:hAnsi="宋体" w:cs="宋体"/>
                <w:color w:val="auto"/>
                <w:szCs w:val="21"/>
                <w:highlight w:val="none"/>
              </w:rPr>
              <w:br w:type="textWrapping"/>
            </w:r>
            <w:r>
              <w:rPr>
                <w:rFonts w:hint="eastAsia" w:ascii="宋体" w:hAnsi="宋体" w:cs="宋体"/>
                <w:color w:val="auto"/>
                <w:szCs w:val="21"/>
                <w:highlight w:val="none"/>
              </w:rPr>
              <w:t>2、协议：SIP、IAX；</w:t>
            </w:r>
            <w:r>
              <w:rPr>
                <w:rFonts w:hint="eastAsia" w:ascii="宋体" w:hAnsi="宋体" w:cs="宋体"/>
                <w:color w:val="auto"/>
                <w:szCs w:val="21"/>
                <w:highlight w:val="none"/>
              </w:rPr>
              <w:br w:type="textWrapping"/>
            </w:r>
            <w:r>
              <w:rPr>
                <w:rFonts w:hint="eastAsia" w:ascii="宋体" w:hAnsi="宋体" w:cs="宋体"/>
                <w:color w:val="auto"/>
                <w:szCs w:val="21"/>
                <w:highlight w:val="none"/>
              </w:rPr>
              <w:t>3、频段：FDD-LTE：B1/B3/B8；TDD-LTE：B38/B39/B40/B41；WCDMA：B1/B8；UMTS：850/1900MHz , 850/2100MHz , 900/2100MHz；GSM：8450/900/1800/1900MHz；</w:t>
            </w:r>
            <w:r>
              <w:rPr>
                <w:rFonts w:hint="eastAsia" w:ascii="宋体" w:hAnsi="宋体" w:cs="宋体"/>
                <w:color w:val="auto"/>
                <w:szCs w:val="21"/>
                <w:highlight w:val="none"/>
              </w:rPr>
              <w:br w:type="textWrapping"/>
            </w:r>
            <w:r>
              <w:rPr>
                <w:rFonts w:hint="eastAsia" w:ascii="宋体" w:hAnsi="宋体" w:cs="宋体"/>
                <w:color w:val="auto"/>
                <w:szCs w:val="21"/>
                <w:highlight w:val="none"/>
              </w:rPr>
              <w:t>4、语音编码：G.711 G.722 G.726 G.729A。</w:t>
            </w:r>
          </w:p>
        </w:tc>
        <w:tc>
          <w:tcPr>
            <w:tcW w:w="667"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台</w:t>
            </w:r>
          </w:p>
        </w:tc>
        <w:tc>
          <w:tcPr>
            <w:tcW w:w="666"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noWrap/>
          </w:tcPr>
          <w:p>
            <w:pPr>
              <w:ind w:firstLine="0" w:firstLineChars="0"/>
              <w:rPr>
                <w:rFonts w:ascii="宋体" w:hAnsi="宋体" w:cs="宋体"/>
                <w:color w:val="auto"/>
                <w:szCs w:val="21"/>
                <w:highlight w:val="none"/>
              </w:rPr>
            </w:pPr>
          </w:p>
        </w:tc>
        <w:tc>
          <w:tcPr>
            <w:tcW w:w="949" w:type="dxa"/>
            <w:vMerge w:val="continue"/>
          </w:tcPr>
          <w:p>
            <w:pPr>
              <w:ind w:firstLine="0" w:firstLineChars="0"/>
              <w:rPr>
                <w:rFonts w:ascii="宋体" w:hAnsi="宋体" w:cs="宋体"/>
                <w:color w:val="auto"/>
                <w:szCs w:val="21"/>
                <w:highlight w:val="none"/>
              </w:rPr>
            </w:pPr>
          </w:p>
        </w:tc>
        <w:tc>
          <w:tcPr>
            <w:tcW w:w="1266" w:type="dxa"/>
          </w:tcPr>
          <w:p>
            <w:pPr>
              <w:ind w:firstLine="0" w:firstLineChars="0"/>
              <w:rPr>
                <w:rFonts w:ascii="宋体" w:hAnsi="宋体" w:cs="宋体"/>
                <w:color w:val="auto"/>
                <w:szCs w:val="21"/>
                <w:highlight w:val="none"/>
              </w:rPr>
            </w:pPr>
            <w:r>
              <w:rPr>
                <w:rFonts w:hint="eastAsia" w:ascii="宋体" w:hAnsi="宋体" w:cs="宋体"/>
                <w:bCs/>
                <w:color w:val="auto"/>
                <w:szCs w:val="21"/>
                <w:highlight w:val="none"/>
              </w:rPr>
              <w:t>窄带语音接入网关</w:t>
            </w:r>
          </w:p>
        </w:tc>
        <w:tc>
          <w:tcPr>
            <w:tcW w:w="4522" w:type="dxa"/>
          </w:tcPr>
          <w:p>
            <w:pPr>
              <w:numPr>
                <w:ilvl w:val="0"/>
                <w:numId w:val="24"/>
              </w:numPr>
              <w:ind w:firstLine="0" w:firstLineChars="0"/>
              <w:rPr>
                <w:rFonts w:ascii="宋体" w:hAnsi="宋体" w:cs="宋体"/>
                <w:color w:val="auto"/>
                <w:szCs w:val="21"/>
                <w:highlight w:val="none"/>
              </w:rPr>
            </w:pPr>
            <w:r>
              <w:rPr>
                <w:rFonts w:hint="eastAsia" w:ascii="宋体" w:hAnsi="宋体" w:cs="宋体"/>
                <w:color w:val="auto"/>
                <w:szCs w:val="21"/>
                <w:highlight w:val="none"/>
              </w:rPr>
              <w:t>集群网关，2路；</w:t>
            </w:r>
            <w:r>
              <w:rPr>
                <w:rFonts w:hint="eastAsia" w:ascii="宋体" w:hAnsi="宋体" w:cs="宋体"/>
                <w:color w:val="auto"/>
                <w:szCs w:val="21"/>
                <w:highlight w:val="none"/>
              </w:rPr>
              <w:br w:type="textWrapping"/>
            </w:r>
            <w:r>
              <w:rPr>
                <w:rFonts w:hint="eastAsia" w:ascii="宋体" w:hAnsi="宋体" w:cs="宋体"/>
                <w:color w:val="auto"/>
                <w:szCs w:val="21"/>
                <w:highlight w:val="none"/>
              </w:rPr>
              <w:t>2、集群对讲系统包括模拟集群、TETRA数字集群、GOTA数字集群等多种制式；</w:t>
            </w:r>
            <w:r>
              <w:rPr>
                <w:rFonts w:hint="eastAsia" w:ascii="宋体" w:hAnsi="宋体" w:cs="宋体"/>
                <w:color w:val="auto"/>
                <w:szCs w:val="21"/>
                <w:highlight w:val="none"/>
              </w:rPr>
              <w:br w:type="textWrapping"/>
            </w:r>
            <w:r>
              <w:rPr>
                <w:rFonts w:hint="eastAsia" w:ascii="宋体" w:hAnsi="宋体" w:cs="宋体"/>
                <w:color w:val="auto"/>
                <w:szCs w:val="21"/>
                <w:highlight w:val="none"/>
              </w:rPr>
              <w:t>3、不同制式集群之间形成信息孤岛，无法实现互联互通；</w:t>
            </w:r>
            <w:r>
              <w:rPr>
                <w:rFonts w:hint="eastAsia" w:ascii="宋体" w:hAnsi="宋体" w:cs="宋体"/>
                <w:color w:val="auto"/>
                <w:szCs w:val="21"/>
                <w:highlight w:val="none"/>
              </w:rPr>
              <w:br w:type="textWrapping"/>
            </w:r>
            <w:r>
              <w:rPr>
                <w:rFonts w:hint="eastAsia" w:ascii="宋体" w:hAnsi="宋体" w:cs="宋体"/>
                <w:color w:val="auto"/>
                <w:szCs w:val="21"/>
                <w:highlight w:val="none"/>
              </w:rPr>
              <w:t>4、各种集群与PSTN、IP电话、GSM/CDMA等常用通信网络也无法实现互联互通；</w:t>
            </w:r>
            <w:r>
              <w:rPr>
                <w:rFonts w:hint="eastAsia" w:ascii="宋体" w:hAnsi="宋体" w:cs="宋体"/>
                <w:color w:val="auto"/>
                <w:szCs w:val="21"/>
                <w:highlight w:val="none"/>
              </w:rPr>
              <w:br w:type="textWrapping"/>
            </w:r>
            <w:r>
              <w:rPr>
                <w:rFonts w:hint="eastAsia" w:ascii="宋体" w:hAnsi="宋体" w:cs="宋体"/>
                <w:color w:val="auto"/>
                <w:szCs w:val="21"/>
                <w:highlight w:val="none"/>
              </w:rPr>
              <w:t>5、19英寸1U机架式设备；</w:t>
            </w:r>
            <w:r>
              <w:rPr>
                <w:rFonts w:hint="eastAsia" w:ascii="宋体" w:hAnsi="宋体" w:cs="宋体"/>
                <w:color w:val="auto"/>
                <w:szCs w:val="21"/>
                <w:highlight w:val="none"/>
              </w:rPr>
              <w:br w:type="textWrapping"/>
            </w:r>
            <w:r>
              <w:rPr>
                <w:rFonts w:hint="eastAsia" w:ascii="宋体" w:hAnsi="宋体" w:cs="宋体"/>
                <w:color w:val="auto"/>
                <w:szCs w:val="21"/>
                <w:highlight w:val="none"/>
              </w:rPr>
              <w:t>6、单机最大可支持4路PTT接口；</w:t>
            </w:r>
            <w:r>
              <w:rPr>
                <w:rFonts w:hint="eastAsia" w:ascii="宋体" w:hAnsi="宋体" w:cs="宋体"/>
                <w:color w:val="auto"/>
                <w:szCs w:val="21"/>
                <w:highlight w:val="none"/>
              </w:rPr>
              <w:br w:type="textWrapping"/>
            </w:r>
            <w:r>
              <w:rPr>
                <w:rFonts w:hint="eastAsia" w:ascii="宋体" w:hAnsi="宋体" w:cs="宋体"/>
                <w:color w:val="auto"/>
                <w:szCs w:val="21"/>
                <w:highlight w:val="none"/>
              </w:rPr>
              <w:t>7、支持主流短波、超短波电台终端的接入；</w:t>
            </w:r>
            <w:r>
              <w:rPr>
                <w:rFonts w:hint="eastAsia" w:ascii="宋体" w:hAnsi="宋体" w:cs="宋体"/>
                <w:color w:val="auto"/>
                <w:szCs w:val="21"/>
                <w:highlight w:val="none"/>
              </w:rPr>
              <w:br w:type="textWrapping"/>
            </w:r>
            <w:r>
              <w:rPr>
                <w:rFonts w:hint="eastAsia" w:ascii="宋体" w:hAnsi="宋体" w:cs="宋体"/>
                <w:color w:val="auto"/>
                <w:szCs w:val="21"/>
                <w:highlight w:val="none"/>
              </w:rPr>
              <w:t>8、本次提供2路无线集群接口许可；</w:t>
            </w:r>
          </w:p>
          <w:p>
            <w:pPr>
              <w:pStyle w:val="2"/>
              <w:ind w:firstLine="0" w:firstLineChars="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9、提供符合国家标准GB28440-2012的检验报告。</w:t>
            </w:r>
          </w:p>
        </w:tc>
        <w:tc>
          <w:tcPr>
            <w:tcW w:w="667"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套</w:t>
            </w:r>
          </w:p>
        </w:tc>
        <w:tc>
          <w:tcPr>
            <w:tcW w:w="666"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noWrap/>
          </w:tcPr>
          <w:p>
            <w:pPr>
              <w:ind w:firstLine="0" w:firstLineChars="0"/>
              <w:rPr>
                <w:rFonts w:ascii="宋体" w:hAnsi="宋体" w:cs="宋体"/>
                <w:color w:val="auto"/>
                <w:szCs w:val="21"/>
                <w:highlight w:val="none"/>
              </w:rPr>
            </w:pPr>
          </w:p>
        </w:tc>
        <w:tc>
          <w:tcPr>
            <w:tcW w:w="949" w:type="dxa"/>
            <w:vMerge w:val="continue"/>
          </w:tcPr>
          <w:p>
            <w:pPr>
              <w:ind w:firstLine="0" w:firstLineChars="0"/>
              <w:rPr>
                <w:rFonts w:ascii="宋体" w:hAnsi="宋体" w:cs="宋体"/>
                <w:color w:val="auto"/>
                <w:szCs w:val="21"/>
                <w:highlight w:val="none"/>
              </w:rPr>
            </w:pPr>
          </w:p>
        </w:tc>
        <w:tc>
          <w:tcPr>
            <w:tcW w:w="1266" w:type="dxa"/>
          </w:tcPr>
          <w:p>
            <w:pPr>
              <w:ind w:firstLine="0" w:firstLineChars="0"/>
              <w:rPr>
                <w:rFonts w:ascii="宋体" w:hAnsi="宋体" w:cs="宋体"/>
                <w:color w:val="auto"/>
                <w:szCs w:val="21"/>
                <w:highlight w:val="none"/>
              </w:rPr>
            </w:pPr>
            <w:r>
              <w:rPr>
                <w:rFonts w:hint="eastAsia" w:ascii="宋体" w:hAnsi="宋体" w:cs="宋体"/>
                <w:bCs/>
                <w:color w:val="auto"/>
                <w:szCs w:val="21"/>
                <w:highlight w:val="none"/>
              </w:rPr>
              <w:t>广播音频接入网关</w:t>
            </w:r>
          </w:p>
        </w:tc>
        <w:tc>
          <w:tcPr>
            <w:tcW w:w="4522" w:type="dxa"/>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1、19英寸1U机架式设备；</w:t>
            </w:r>
            <w:r>
              <w:rPr>
                <w:rFonts w:hint="eastAsia" w:ascii="宋体" w:hAnsi="宋体" w:cs="宋体"/>
                <w:color w:val="auto"/>
                <w:szCs w:val="21"/>
                <w:highlight w:val="none"/>
              </w:rPr>
              <w:br w:type="textWrapping"/>
            </w:r>
            <w:r>
              <w:rPr>
                <w:rFonts w:hint="eastAsia" w:ascii="宋体" w:hAnsi="宋体" w:cs="宋体"/>
                <w:color w:val="auto"/>
                <w:szCs w:val="21"/>
                <w:highlight w:val="none"/>
              </w:rPr>
              <w:t>2、单机可支持2路音频接口；</w:t>
            </w:r>
            <w:r>
              <w:rPr>
                <w:rFonts w:hint="eastAsia" w:ascii="宋体" w:hAnsi="宋体" w:cs="宋体"/>
                <w:color w:val="auto"/>
                <w:szCs w:val="21"/>
                <w:highlight w:val="none"/>
              </w:rPr>
              <w:br w:type="textWrapping"/>
            </w:r>
            <w:r>
              <w:rPr>
                <w:rFonts w:hint="eastAsia" w:ascii="宋体" w:hAnsi="宋体" w:cs="宋体"/>
                <w:color w:val="auto"/>
                <w:szCs w:val="21"/>
                <w:highlight w:val="none"/>
              </w:rPr>
              <w:t>3、支持主流音频矩阵、扩音设备的接入。</w:t>
            </w:r>
          </w:p>
        </w:tc>
        <w:tc>
          <w:tcPr>
            <w:tcW w:w="667"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台</w:t>
            </w:r>
          </w:p>
        </w:tc>
        <w:tc>
          <w:tcPr>
            <w:tcW w:w="666"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noWrap/>
          </w:tcPr>
          <w:p>
            <w:pPr>
              <w:ind w:firstLine="0" w:firstLineChars="0"/>
              <w:rPr>
                <w:rFonts w:ascii="宋体" w:hAnsi="宋体" w:cs="宋体"/>
                <w:color w:val="auto"/>
                <w:szCs w:val="21"/>
                <w:highlight w:val="none"/>
              </w:rPr>
            </w:pPr>
            <w:r>
              <w:rPr>
                <w:rFonts w:hint="eastAsia" w:ascii="宋体" w:hAnsi="宋体" w:cs="宋体"/>
                <w:color w:val="auto"/>
                <w:szCs w:val="21"/>
                <w:highlight w:val="none"/>
              </w:rPr>
              <w:t>3</w:t>
            </w:r>
          </w:p>
        </w:tc>
        <w:tc>
          <w:tcPr>
            <w:tcW w:w="949" w:type="dxa"/>
          </w:tcPr>
          <w:p>
            <w:pPr>
              <w:ind w:firstLine="0" w:firstLineChars="0"/>
              <w:rPr>
                <w:rFonts w:ascii="宋体" w:hAnsi="宋体" w:cs="宋体"/>
                <w:color w:val="auto"/>
                <w:szCs w:val="21"/>
                <w:highlight w:val="none"/>
              </w:rPr>
            </w:pPr>
            <w:r>
              <w:rPr>
                <w:rFonts w:hint="eastAsia" w:ascii="宋体" w:hAnsi="宋体" w:cs="宋体"/>
                <w:color w:val="auto"/>
                <w:szCs w:val="21"/>
                <w:highlight w:val="none"/>
              </w:rPr>
              <w:t>监控对接模块</w:t>
            </w:r>
          </w:p>
        </w:tc>
        <w:tc>
          <w:tcPr>
            <w:tcW w:w="1266" w:type="dxa"/>
          </w:tcPr>
          <w:p>
            <w:pPr>
              <w:ind w:firstLine="0" w:firstLineChars="0"/>
              <w:rPr>
                <w:rFonts w:ascii="宋体" w:hAnsi="宋体" w:cs="宋体"/>
                <w:color w:val="auto"/>
                <w:szCs w:val="21"/>
                <w:highlight w:val="none"/>
              </w:rPr>
            </w:pPr>
          </w:p>
        </w:tc>
        <w:tc>
          <w:tcPr>
            <w:tcW w:w="4522" w:type="dxa"/>
          </w:tcPr>
          <w:p>
            <w:pPr>
              <w:wordWrap w:val="0"/>
              <w:ind w:firstLine="0" w:firstLineChars="0"/>
              <w:rPr>
                <w:rFonts w:ascii="宋体" w:hAnsi="宋体" w:cs="宋体"/>
                <w:color w:val="auto"/>
                <w:szCs w:val="21"/>
                <w:highlight w:val="none"/>
              </w:rPr>
            </w:pPr>
            <w:r>
              <w:rPr>
                <w:rFonts w:hint="eastAsia" w:ascii="宋体" w:hAnsi="宋体" w:cs="宋体"/>
                <w:color w:val="auto"/>
                <w:szCs w:val="21"/>
                <w:highlight w:val="none"/>
              </w:rPr>
              <w:t>1、视频接入类型：支持国标视频监控管理平台、IP摄像头等视频流的接入；</w:t>
            </w:r>
            <w:r>
              <w:rPr>
                <w:rFonts w:hint="eastAsia" w:ascii="宋体" w:hAnsi="宋体" w:cs="宋体"/>
                <w:color w:val="auto"/>
                <w:szCs w:val="21"/>
                <w:highlight w:val="none"/>
              </w:rPr>
              <w:br w:type="textWrapping"/>
            </w:r>
            <w:r>
              <w:rPr>
                <w:rFonts w:hint="eastAsia" w:ascii="宋体" w:hAnsi="宋体" w:cs="宋体"/>
                <w:color w:val="auto"/>
                <w:szCs w:val="21"/>
                <w:highlight w:val="none"/>
              </w:rPr>
              <w:t>2、视频接入协议：GB/T 28181、RTSP；</w:t>
            </w:r>
            <w:r>
              <w:rPr>
                <w:rFonts w:hint="eastAsia" w:ascii="宋体" w:hAnsi="宋体" w:cs="宋体"/>
                <w:color w:val="auto"/>
                <w:szCs w:val="21"/>
                <w:highlight w:val="none"/>
              </w:rPr>
              <w:br w:type="textWrapping"/>
            </w:r>
            <w:r>
              <w:rPr>
                <w:rFonts w:hint="eastAsia" w:ascii="宋体" w:hAnsi="宋体" w:cs="宋体"/>
                <w:color w:val="auto"/>
                <w:szCs w:val="21"/>
                <w:highlight w:val="none"/>
              </w:rPr>
              <w:t>3、视频拉流协议：RTMP/WEBRTC/HTTP+FLV/HTTP+HLS；</w:t>
            </w:r>
            <w:r>
              <w:rPr>
                <w:rFonts w:hint="eastAsia" w:ascii="宋体" w:hAnsi="宋体" w:cs="宋体"/>
                <w:color w:val="auto"/>
                <w:szCs w:val="21"/>
                <w:highlight w:val="none"/>
              </w:rPr>
              <w:br w:type="textWrapping"/>
            </w:r>
            <w:r>
              <w:rPr>
                <w:rFonts w:hint="eastAsia" w:ascii="宋体" w:hAnsi="宋体" w:cs="宋体"/>
                <w:color w:val="auto"/>
                <w:szCs w:val="21"/>
                <w:highlight w:val="none"/>
              </w:rPr>
              <w:t>4、视频并发调度：不少于16路并发视频调度；</w:t>
            </w:r>
            <w:r>
              <w:rPr>
                <w:rFonts w:hint="eastAsia" w:ascii="宋体" w:hAnsi="宋体" w:cs="宋体"/>
                <w:color w:val="auto"/>
                <w:szCs w:val="21"/>
                <w:highlight w:val="none"/>
              </w:rPr>
              <w:br w:type="textWrapping"/>
            </w:r>
            <w:r>
              <w:rPr>
                <w:rFonts w:hint="eastAsia" w:ascii="宋体" w:hAnsi="宋体" w:cs="宋体"/>
                <w:color w:val="auto"/>
                <w:szCs w:val="21"/>
                <w:highlight w:val="none"/>
              </w:rPr>
              <w:t>5、视频接入数量：不少于2000路监控接入；</w:t>
            </w:r>
            <w:r>
              <w:rPr>
                <w:rFonts w:hint="eastAsia" w:ascii="宋体" w:hAnsi="宋体" w:cs="宋体"/>
                <w:color w:val="auto"/>
                <w:szCs w:val="21"/>
                <w:highlight w:val="none"/>
              </w:rPr>
              <w:br w:type="textWrapping"/>
            </w:r>
            <w:r>
              <w:rPr>
                <w:rFonts w:hint="eastAsia" w:ascii="宋体" w:hAnsi="宋体" w:cs="宋体"/>
                <w:color w:val="auto"/>
                <w:szCs w:val="21"/>
                <w:highlight w:val="none"/>
              </w:rPr>
              <w:t>6、视频拉流：将直播视频流转换成RTMP/WEBRTC/HTTP+FLV/HTTP+HLS流，从而将直播视频流融入视频会商、移动调度等应用场景；</w:t>
            </w:r>
            <w:r>
              <w:rPr>
                <w:rFonts w:hint="eastAsia" w:ascii="宋体" w:hAnsi="宋体" w:cs="宋体"/>
                <w:color w:val="auto"/>
                <w:szCs w:val="21"/>
                <w:highlight w:val="none"/>
              </w:rPr>
              <w:br w:type="textWrapping"/>
            </w:r>
            <w:r>
              <w:rPr>
                <w:rFonts w:hint="eastAsia" w:ascii="宋体" w:hAnsi="宋体" w:cs="宋体"/>
                <w:color w:val="auto"/>
                <w:szCs w:val="21"/>
                <w:highlight w:val="none"/>
              </w:rPr>
              <w:t>7、视频推流：可将视频会商视频流、移动终端回传视频流生成链接，通过微信等工具推送给需要加入调度的人员，对方通过链接即可拉取调度视频，协同参与调度；</w:t>
            </w:r>
            <w:r>
              <w:rPr>
                <w:rFonts w:hint="eastAsia" w:ascii="宋体" w:hAnsi="宋体" w:cs="宋体"/>
                <w:color w:val="auto"/>
                <w:szCs w:val="21"/>
                <w:highlight w:val="none"/>
              </w:rPr>
              <w:br w:type="textWrapping"/>
            </w:r>
            <w:r>
              <w:rPr>
                <w:rFonts w:hint="eastAsia" w:ascii="宋体" w:hAnsi="宋体" w:cs="宋体"/>
                <w:color w:val="auto"/>
                <w:szCs w:val="21"/>
                <w:highlight w:val="none"/>
              </w:rPr>
              <w:t>8、和调度系统同一品牌，并且支持对接硬盘录像机，可支持查看硬盘录像机中的历史视频；</w:t>
            </w:r>
            <w:r>
              <w:rPr>
                <w:rFonts w:hint="eastAsia" w:ascii="宋体" w:hAnsi="宋体" w:cs="宋体"/>
                <w:color w:val="auto"/>
                <w:szCs w:val="21"/>
                <w:highlight w:val="none"/>
              </w:rPr>
              <w:br w:type="textWrapping"/>
            </w:r>
            <w:r>
              <w:rPr>
                <w:rFonts w:hint="eastAsia" w:ascii="宋体" w:hAnsi="宋体" w:cs="宋体"/>
                <w:color w:val="auto"/>
                <w:szCs w:val="21"/>
                <w:highlight w:val="none"/>
              </w:rPr>
              <w:t>9、默认提供1路视频监控平台接入许可。</w:t>
            </w:r>
          </w:p>
        </w:tc>
        <w:tc>
          <w:tcPr>
            <w:tcW w:w="667"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套</w:t>
            </w:r>
          </w:p>
        </w:tc>
        <w:tc>
          <w:tcPr>
            <w:tcW w:w="666"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noWrap/>
          </w:tcPr>
          <w:p>
            <w:pPr>
              <w:ind w:firstLine="0" w:firstLineChars="0"/>
              <w:rPr>
                <w:rFonts w:ascii="宋体" w:hAnsi="宋体" w:cs="宋体"/>
                <w:color w:val="auto"/>
                <w:szCs w:val="21"/>
                <w:highlight w:val="none"/>
              </w:rPr>
            </w:pPr>
            <w:r>
              <w:rPr>
                <w:rFonts w:hint="eastAsia" w:ascii="宋体" w:hAnsi="宋体" w:cs="宋体"/>
                <w:color w:val="auto"/>
                <w:szCs w:val="21"/>
                <w:highlight w:val="none"/>
              </w:rPr>
              <w:t>4</w:t>
            </w:r>
          </w:p>
        </w:tc>
        <w:tc>
          <w:tcPr>
            <w:tcW w:w="949" w:type="dxa"/>
          </w:tcPr>
          <w:p>
            <w:pPr>
              <w:ind w:firstLine="0" w:firstLineChars="0"/>
              <w:rPr>
                <w:rFonts w:ascii="宋体" w:hAnsi="宋体" w:cs="宋体"/>
                <w:color w:val="auto"/>
                <w:szCs w:val="21"/>
                <w:highlight w:val="none"/>
              </w:rPr>
            </w:pPr>
            <w:r>
              <w:rPr>
                <w:rFonts w:hint="eastAsia" w:ascii="宋体" w:hAnsi="宋体" w:cs="宋体"/>
                <w:color w:val="auto"/>
                <w:szCs w:val="21"/>
                <w:highlight w:val="none"/>
              </w:rPr>
              <w:t>音视频管理模块</w:t>
            </w:r>
          </w:p>
        </w:tc>
        <w:tc>
          <w:tcPr>
            <w:tcW w:w="1266" w:type="dxa"/>
          </w:tcPr>
          <w:p>
            <w:pPr>
              <w:ind w:firstLine="0" w:firstLineChars="0"/>
              <w:rPr>
                <w:rFonts w:ascii="宋体" w:hAnsi="宋体" w:cs="宋体"/>
                <w:color w:val="auto"/>
                <w:szCs w:val="21"/>
                <w:highlight w:val="none"/>
              </w:rPr>
            </w:pPr>
          </w:p>
        </w:tc>
        <w:tc>
          <w:tcPr>
            <w:tcW w:w="4522" w:type="dxa"/>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1、2U标准机箱，I5处理器，8G内存；</w:t>
            </w:r>
            <w:r>
              <w:rPr>
                <w:rFonts w:hint="eastAsia" w:ascii="宋体" w:hAnsi="宋体" w:cs="宋体"/>
                <w:color w:val="auto"/>
                <w:szCs w:val="21"/>
                <w:highlight w:val="none"/>
              </w:rPr>
              <w:br w:type="textWrapping"/>
            </w:r>
            <w:r>
              <w:rPr>
                <w:rFonts w:hint="eastAsia" w:ascii="宋体" w:hAnsi="宋体" w:cs="宋体"/>
                <w:color w:val="auto"/>
                <w:szCs w:val="21"/>
                <w:highlight w:val="none"/>
              </w:rPr>
              <w:t>2、支持最大64路并发音频通话录制、8路并发视频录制；</w:t>
            </w:r>
            <w:r>
              <w:rPr>
                <w:rFonts w:hint="eastAsia" w:ascii="宋体" w:hAnsi="宋体" w:cs="宋体"/>
                <w:color w:val="auto"/>
                <w:szCs w:val="21"/>
                <w:highlight w:val="none"/>
              </w:rPr>
              <w:br w:type="textWrapping"/>
            </w:r>
            <w:r>
              <w:rPr>
                <w:rFonts w:hint="eastAsia" w:ascii="宋体" w:hAnsi="宋体" w:cs="宋体"/>
                <w:color w:val="auto"/>
                <w:szCs w:val="21"/>
                <w:highlight w:val="none"/>
              </w:rPr>
              <w:t>3、对调度通信过程中语音通话、会议通话、对讲通话等进行录制和存储；</w:t>
            </w:r>
            <w:r>
              <w:rPr>
                <w:rFonts w:hint="eastAsia" w:ascii="宋体" w:hAnsi="宋体" w:cs="宋体"/>
                <w:color w:val="auto"/>
                <w:szCs w:val="21"/>
                <w:highlight w:val="none"/>
              </w:rPr>
              <w:br w:type="textWrapping"/>
            </w:r>
            <w:r>
              <w:rPr>
                <w:rFonts w:hint="eastAsia" w:ascii="宋体" w:hAnsi="宋体" w:cs="宋体"/>
                <w:color w:val="auto"/>
                <w:szCs w:val="21"/>
                <w:highlight w:val="none"/>
              </w:rPr>
              <w:t>4、支持对监控调看、视频会商、视频通话等过程进行实时录制和存储管理；</w:t>
            </w:r>
            <w:r>
              <w:rPr>
                <w:rFonts w:hint="eastAsia" w:ascii="宋体" w:hAnsi="宋体" w:cs="宋体"/>
                <w:color w:val="auto"/>
                <w:szCs w:val="21"/>
                <w:highlight w:val="none"/>
              </w:rPr>
              <w:br w:type="textWrapping"/>
            </w:r>
            <w:r>
              <w:rPr>
                <w:rFonts w:hint="eastAsia" w:ascii="宋体" w:hAnsi="宋体" w:cs="宋体"/>
                <w:color w:val="auto"/>
                <w:szCs w:val="21"/>
                <w:highlight w:val="none"/>
              </w:rPr>
              <w:t>5、和调度系统同一品牌。</w:t>
            </w:r>
          </w:p>
        </w:tc>
        <w:tc>
          <w:tcPr>
            <w:tcW w:w="667"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套</w:t>
            </w:r>
          </w:p>
        </w:tc>
        <w:tc>
          <w:tcPr>
            <w:tcW w:w="666"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noWrap/>
          </w:tcPr>
          <w:p>
            <w:pPr>
              <w:ind w:firstLine="0" w:firstLineChars="0"/>
              <w:rPr>
                <w:rFonts w:ascii="宋体" w:hAnsi="宋体" w:cs="宋体"/>
                <w:color w:val="auto"/>
                <w:szCs w:val="21"/>
                <w:highlight w:val="none"/>
              </w:rPr>
            </w:pPr>
            <w:r>
              <w:rPr>
                <w:rFonts w:hint="eastAsia" w:ascii="宋体" w:hAnsi="宋体" w:cs="宋体"/>
                <w:color w:val="auto"/>
                <w:szCs w:val="21"/>
                <w:highlight w:val="none"/>
              </w:rPr>
              <w:t>5</w:t>
            </w:r>
          </w:p>
        </w:tc>
        <w:tc>
          <w:tcPr>
            <w:tcW w:w="949" w:type="dxa"/>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多媒体调度台</w:t>
            </w:r>
          </w:p>
        </w:tc>
        <w:tc>
          <w:tcPr>
            <w:tcW w:w="1266" w:type="dxa"/>
          </w:tcPr>
          <w:p>
            <w:pPr>
              <w:ind w:firstLine="0" w:firstLineChars="0"/>
              <w:rPr>
                <w:rFonts w:ascii="宋体" w:hAnsi="宋体" w:cs="宋体"/>
                <w:color w:val="auto"/>
                <w:szCs w:val="21"/>
                <w:highlight w:val="none"/>
              </w:rPr>
            </w:pPr>
          </w:p>
        </w:tc>
        <w:tc>
          <w:tcPr>
            <w:tcW w:w="4522" w:type="dxa"/>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1、触摸屏调度机屏幕不少于23寸，200万像素摄像头、带双手柄话机；</w:t>
            </w:r>
            <w:r>
              <w:rPr>
                <w:rFonts w:hint="eastAsia" w:ascii="宋体" w:hAnsi="宋体" w:cs="宋体"/>
                <w:color w:val="auto"/>
                <w:szCs w:val="21"/>
                <w:highlight w:val="none"/>
              </w:rPr>
              <w:br w:type="textWrapping"/>
            </w:r>
            <w:r>
              <w:rPr>
                <w:rFonts w:hint="eastAsia" w:ascii="宋体" w:hAnsi="宋体" w:cs="宋体"/>
                <w:color w:val="auto"/>
                <w:szCs w:val="21"/>
                <w:highlight w:val="none"/>
              </w:rPr>
              <w:t>2、内置5个网口交换机</w:t>
            </w:r>
            <w:r>
              <w:rPr>
                <w:rFonts w:hint="eastAsia" w:ascii="宋体" w:hAnsi="宋体" w:cs="宋体"/>
                <w:bCs/>
                <w:color w:val="auto"/>
                <w:szCs w:val="21"/>
                <w:highlight w:val="none"/>
              </w:rPr>
              <w:t>，6个USB接口；</w:t>
            </w:r>
            <w:r>
              <w:rPr>
                <w:rFonts w:hint="eastAsia" w:ascii="宋体" w:hAnsi="宋体" w:cs="宋体"/>
                <w:color w:val="auto"/>
                <w:szCs w:val="21"/>
                <w:highlight w:val="none"/>
              </w:rPr>
              <w:br w:type="textWrapping"/>
            </w:r>
            <w:r>
              <w:rPr>
                <w:rFonts w:hint="eastAsia" w:ascii="宋体" w:hAnsi="宋体" w:cs="宋体"/>
                <w:color w:val="auto"/>
                <w:szCs w:val="21"/>
                <w:highlight w:val="none"/>
              </w:rPr>
              <w:t>3、硬件配置：4G内存，500G硬盘，内置双喇叭；</w:t>
            </w:r>
            <w:r>
              <w:rPr>
                <w:rFonts w:hint="eastAsia" w:ascii="宋体" w:hAnsi="宋体" w:cs="宋体"/>
                <w:color w:val="auto"/>
                <w:szCs w:val="21"/>
                <w:highlight w:val="none"/>
              </w:rPr>
              <w:br w:type="textWrapping"/>
            </w:r>
            <w:r>
              <w:rPr>
                <w:rFonts w:hint="eastAsia" w:ascii="宋体" w:hAnsi="宋体" w:cs="宋体"/>
                <w:color w:val="auto"/>
                <w:szCs w:val="21"/>
                <w:highlight w:val="none"/>
              </w:rPr>
              <w:t>4、调度台软件支持语音调度功能、集群调度、视频调度功能、视频会商功能、即时通讯功能、GIS调度功能；</w:t>
            </w:r>
            <w:r>
              <w:rPr>
                <w:rFonts w:hint="eastAsia" w:ascii="宋体" w:hAnsi="宋体" w:cs="宋体"/>
                <w:color w:val="auto"/>
                <w:szCs w:val="21"/>
                <w:highlight w:val="none"/>
              </w:rPr>
              <w:br w:type="textWrapping"/>
            </w:r>
            <w:r>
              <w:rPr>
                <w:rFonts w:hint="eastAsia" w:ascii="宋体" w:hAnsi="宋体" w:cs="宋体"/>
                <w:color w:val="auto"/>
                <w:szCs w:val="21"/>
                <w:highlight w:val="none"/>
              </w:rPr>
              <w:t>5、语音调度功能：音视频单呼、热线、电话会议、群组广播、多路来电排队等；</w:t>
            </w:r>
            <w:r>
              <w:rPr>
                <w:rFonts w:hint="eastAsia" w:ascii="宋体" w:hAnsi="宋体" w:cs="宋体"/>
                <w:color w:val="auto"/>
                <w:szCs w:val="21"/>
                <w:highlight w:val="none"/>
              </w:rPr>
              <w:br w:type="textWrapping"/>
            </w:r>
            <w:r>
              <w:rPr>
                <w:rFonts w:hint="eastAsia" w:ascii="宋体" w:hAnsi="宋体" w:cs="宋体"/>
                <w:color w:val="auto"/>
                <w:szCs w:val="21"/>
                <w:highlight w:val="none"/>
              </w:rPr>
              <w:t>6、视频调度功能：可集中调度监控终端、可视话机、手机终端、</w:t>
            </w:r>
            <w:r>
              <w:rPr>
                <w:rFonts w:hint="eastAsia" w:ascii="宋体" w:hAnsi="宋体" w:cs="宋体"/>
                <w:bCs/>
                <w:color w:val="auto"/>
                <w:highlight w:val="none"/>
              </w:rPr>
              <w:t>4G单兵终端、</w:t>
            </w:r>
            <w:r>
              <w:rPr>
                <w:rFonts w:hint="eastAsia" w:ascii="宋体" w:hAnsi="宋体" w:cs="宋体"/>
                <w:color w:val="auto"/>
                <w:szCs w:val="21"/>
                <w:highlight w:val="none"/>
              </w:rPr>
              <w:t>智能车载终端、网络视频等各种视频设备回传的图像在一个界面显示；可实现视频图像的分发功能；</w:t>
            </w:r>
            <w:r>
              <w:rPr>
                <w:rFonts w:hint="eastAsia" w:ascii="宋体" w:hAnsi="宋体" w:cs="宋体"/>
                <w:color w:val="auto"/>
                <w:szCs w:val="21"/>
                <w:highlight w:val="none"/>
              </w:rPr>
              <w:br w:type="textWrapping"/>
            </w:r>
            <w:r>
              <w:rPr>
                <w:rFonts w:hint="eastAsia" w:ascii="宋体" w:hAnsi="宋体" w:cs="宋体"/>
                <w:color w:val="auto"/>
                <w:szCs w:val="21"/>
                <w:highlight w:val="none"/>
              </w:rPr>
              <w:t>7、视频会商功能：可召集调度台用户、移动终端用户、可视话机用户、监控终端、网络视频资源、IP电话等各种音视频设备参加视频会议，并支持会商控制功能；</w:t>
            </w:r>
            <w:r>
              <w:rPr>
                <w:rFonts w:hint="eastAsia" w:ascii="宋体" w:hAnsi="宋体" w:cs="宋体"/>
                <w:color w:val="auto"/>
                <w:szCs w:val="21"/>
                <w:highlight w:val="none"/>
              </w:rPr>
              <w:br w:type="textWrapping"/>
            </w:r>
            <w:r>
              <w:rPr>
                <w:rFonts w:hint="eastAsia" w:ascii="宋体" w:hAnsi="宋体" w:cs="宋体"/>
                <w:color w:val="auto"/>
                <w:szCs w:val="21"/>
                <w:highlight w:val="none"/>
              </w:rPr>
              <w:t>8、集群对讲调度功能：调度台应支持对讲组管理功能，可实现和常规对讲系统/IP话机的半双工对讲通信，支持不同类型终端的混合编组对讲；</w:t>
            </w:r>
            <w:r>
              <w:rPr>
                <w:rFonts w:hint="eastAsia" w:ascii="宋体" w:hAnsi="宋体" w:cs="宋体"/>
                <w:color w:val="auto"/>
                <w:szCs w:val="21"/>
                <w:highlight w:val="none"/>
              </w:rPr>
              <w:br w:type="textWrapping"/>
            </w:r>
            <w:r>
              <w:rPr>
                <w:rFonts w:hint="eastAsia" w:ascii="宋体" w:hAnsi="宋体" w:cs="宋体"/>
                <w:color w:val="auto"/>
                <w:szCs w:val="21"/>
                <w:highlight w:val="none"/>
              </w:rPr>
              <w:t>9、会议调度功能：一键发起会议、会议邀请、禁言、踢人、会议室状态监控等；</w:t>
            </w:r>
            <w:r>
              <w:rPr>
                <w:rFonts w:hint="eastAsia" w:ascii="宋体" w:hAnsi="宋体" w:cs="宋体"/>
                <w:color w:val="auto"/>
                <w:szCs w:val="21"/>
                <w:highlight w:val="none"/>
              </w:rPr>
              <w:br w:type="textWrapping"/>
            </w:r>
            <w:r>
              <w:rPr>
                <w:rFonts w:hint="eastAsia" w:ascii="宋体" w:hAnsi="宋体" w:cs="宋体"/>
                <w:color w:val="auto"/>
                <w:szCs w:val="21"/>
                <w:highlight w:val="none"/>
              </w:rPr>
              <w:t>10、调度控制台软件同时支持B/S和C/S架构，投标文件中提供产品配置截图；</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11、调度控制台软件支持视频会商功能，支持会控，视频会商支持直播流入会；支持会议直播流推送到微信。</w:t>
            </w:r>
          </w:p>
        </w:tc>
        <w:tc>
          <w:tcPr>
            <w:tcW w:w="667"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套</w:t>
            </w:r>
          </w:p>
        </w:tc>
        <w:tc>
          <w:tcPr>
            <w:tcW w:w="666"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noWrap/>
          </w:tcPr>
          <w:p>
            <w:pPr>
              <w:ind w:firstLine="0" w:firstLineChars="0"/>
              <w:rPr>
                <w:rFonts w:ascii="宋体" w:hAnsi="宋体" w:cs="宋体"/>
                <w:color w:val="auto"/>
                <w:szCs w:val="21"/>
                <w:highlight w:val="none"/>
              </w:rPr>
            </w:pPr>
            <w:r>
              <w:rPr>
                <w:rFonts w:hint="eastAsia" w:ascii="宋体" w:hAnsi="宋体" w:cs="宋体"/>
                <w:color w:val="auto"/>
                <w:szCs w:val="21"/>
                <w:highlight w:val="none"/>
              </w:rPr>
              <w:t>6</w:t>
            </w:r>
          </w:p>
        </w:tc>
        <w:tc>
          <w:tcPr>
            <w:tcW w:w="949" w:type="dxa"/>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桌面调度会议终端</w:t>
            </w:r>
          </w:p>
        </w:tc>
        <w:tc>
          <w:tcPr>
            <w:tcW w:w="1266" w:type="dxa"/>
          </w:tcPr>
          <w:p>
            <w:pPr>
              <w:ind w:firstLine="0" w:firstLineChars="0"/>
              <w:rPr>
                <w:rFonts w:ascii="宋体" w:hAnsi="宋体" w:cs="宋体"/>
                <w:color w:val="auto"/>
                <w:szCs w:val="21"/>
                <w:highlight w:val="none"/>
              </w:rPr>
            </w:pPr>
          </w:p>
        </w:tc>
        <w:tc>
          <w:tcPr>
            <w:tcW w:w="4522" w:type="dxa"/>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1、10.1英寸1920x1080像素电容式触摸屏；</w:t>
            </w:r>
            <w:r>
              <w:rPr>
                <w:rFonts w:hint="eastAsia" w:ascii="宋体" w:hAnsi="宋体" w:cs="宋体"/>
                <w:color w:val="auto"/>
                <w:szCs w:val="21"/>
                <w:highlight w:val="none"/>
              </w:rPr>
              <w:br w:type="textWrapping"/>
            </w:r>
            <w:r>
              <w:rPr>
                <w:rFonts w:hint="eastAsia" w:ascii="宋体" w:hAnsi="宋体" w:cs="宋体"/>
                <w:color w:val="auto"/>
                <w:szCs w:val="21"/>
                <w:highlight w:val="none"/>
              </w:rPr>
              <w:t>2、1080p@30全高清视频；基于安卓7.1系统；</w:t>
            </w:r>
            <w:r>
              <w:rPr>
                <w:rFonts w:hint="eastAsia" w:ascii="宋体" w:hAnsi="宋体" w:cs="宋体"/>
                <w:color w:val="auto"/>
                <w:szCs w:val="21"/>
                <w:highlight w:val="none"/>
              </w:rPr>
              <w:br w:type="textWrapping"/>
            </w:r>
            <w:r>
              <w:rPr>
                <w:rFonts w:hint="eastAsia" w:ascii="宋体" w:hAnsi="宋体" w:cs="宋体"/>
                <w:color w:val="auto"/>
                <w:szCs w:val="21"/>
                <w:highlight w:val="none"/>
              </w:rPr>
              <w:t>3、内置蓝牙4.2模块；</w:t>
            </w:r>
            <w:r>
              <w:rPr>
                <w:rFonts w:hint="eastAsia" w:ascii="宋体" w:hAnsi="宋体" w:cs="宋体"/>
                <w:color w:val="auto"/>
                <w:szCs w:val="21"/>
                <w:highlight w:val="none"/>
              </w:rPr>
              <w:br w:type="textWrapping"/>
            </w:r>
            <w:r>
              <w:rPr>
                <w:rFonts w:hint="eastAsia" w:ascii="宋体" w:hAnsi="宋体" w:cs="宋体"/>
                <w:color w:val="auto"/>
                <w:szCs w:val="21"/>
                <w:highlight w:val="none"/>
              </w:rPr>
              <w:t>4、内置双频2.4G/5G Wi-Fi模块；(802.11a/b/g/n/ac)；</w:t>
            </w:r>
            <w:r>
              <w:rPr>
                <w:rFonts w:hint="eastAsia" w:ascii="宋体" w:hAnsi="宋体" w:cs="宋体"/>
                <w:color w:val="auto"/>
                <w:szCs w:val="21"/>
                <w:highlight w:val="none"/>
              </w:rPr>
              <w:br w:type="textWrapping"/>
            </w:r>
            <w:r>
              <w:rPr>
                <w:rFonts w:hint="eastAsia" w:ascii="宋体" w:hAnsi="宋体" w:cs="宋体"/>
                <w:color w:val="auto"/>
                <w:szCs w:val="21"/>
                <w:highlight w:val="none"/>
              </w:rPr>
              <w:t>5、USB2.0 接口；支持HDMI双屏显示；</w:t>
            </w:r>
            <w:r>
              <w:rPr>
                <w:rFonts w:hint="eastAsia" w:ascii="宋体" w:hAnsi="宋体" w:cs="宋体"/>
                <w:color w:val="auto"/>
                <w:szCs w:val="21"/>
                <w:highlight w:val="none"/>
              </w:rPr>
              <w:br w:type="textWrapping"/>
            </w:r>
            <w:r>
              <w:rPr>
                <w:rFonts w:hint="eastAsia" w:ascii="宋体" w:hAnsi="宋体" w:cs="宋体"/>
                <w:color w:val="auto"/>
                <w:szCs w:val="21"/>
                <w:highlight w:val="none"/>
              </w:rPr>
              <w:t>6、16个VoIP账号；支持三方视频会议；</w:t>
            </w:r>
            <w:r>
              <w:rPr>
                <w:rFonts w:hint="eastAsia" w:ascii="宋体" w:hAnsi="宋体" w:cs="宋体"/>
                <w:color w:val="auto"/>
                <w:szCs w:val="21"/>
                <w:highlight w:val="none"/>
              </w:rPr>
              <w:br w:type="textWrapping"/>
            </w:r>
            <w:r>
              <w:rPr>
                <w:rFonts w:hint="eastAsia" w:ascii="宋体" w:hAnsi="宋体" w:cs="宋体"/>
                <w:color w:val="auto"/>
                <w:szCs w:val="21"/>
                <w:highlight w:val="none"/>
              </w:rPr>
              <w:t>7、支持五方音视频混合会议；支持Po。</w:t>
            </w:r>
          </w:p>
        </w:tc>
        <w:tc>
          <w:tcPr>
            <w:tcW w:w="667" w:type="dxa"/>
          </w:tcPr>
          <w:p>
            <w:pPr>
              <w:ind w:firstLine="0" w:firstLineChars="0"/>
              <w:jc w:val="center"/>
              <w:rPr>
                <w:rFonts w:ascii="宋体" w:hAnsi="宋体" w:cs="宋体"/>
                <w:color w:val="auto"/>
                <w:highlight w:val="none"/>
              </w:rPr>
            </w:pPr>
            <w:r>
              <w:rPr>
                <w:rFonts w:hint="eastAsia" w:ascii="宋体" w:hAnsi="宋体" w:cs="宋体"/>
                <w:color w:val="auto"/>
                <w:highlight w:val="none"/>
              </w:rPr>
              <w:t>部</w:t>
            </w:r>
          </w:p>
        </w:tc>
        <w:tc>
          <w:tcPr>
            <w:tcW w:w="666" w:type="dxa"/>
          </w:tcPr>
          <w:p>
            <w:pPr>
              <w:ind w:firstLine="0" w:firstLineChars="0"/>
              <w:jc w:val="center"/>
              <w:rPr>
                <w:rFonts w:ascii="宋体" w:hAnsi="宋体" w:cs="宋体"/>
                <w:color w:val="auto"/>
                <w:highlight w:val="none"/>
              </w:rPr>
            </w:pPr>
            <w:r>
              <w:rPr>
                <w:rFonts w:hint="eastAsia" w:ascii="宋体" w:hAnsi="宋体" w:cs="宋体"/>
                <w:color w:val="auto"/>
                <w:highlight w:val="none"/>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noWrap/>
          </w:tcPr>
          <w:p>
            <w:pPr>
              <w:ind w:firstLine="0" w:firstLineChars="0"/>
              <w:rPr>
                <w:rFonts w:ascii="宋体" w:hAnsi="宋体" w:cs="宋体"/>
                <w:color w:val="auto"/>
                <w:szCs w:val="21"/>
                <w:highlight w:val="none"/>
              </w:rPr>
            </w:pPr>
            <w:r>
              <w:rPr>
                <w:rFonts w:hint="eastAsia" w:ascii="宋体" w:hAnsi="宋体" w:cs="宋体"/>
                <w:color w:val="auto"/>
                <w:szCs w:val="21"/>
                <w:highlight w:val="none"/>
              </w:rPr>
              <w:t>7</w:t>
            </w:r>
          </w:p>
        </w:tc>
        <w:tc>
          <w:tcPr>
            <w:tcW w:w="949" w:type="dxa"/>
          </w:tcPr>
          <w:p>
            <w:pPr>
              <w:ind w:firstLine="0" w:firstLineChars="0"/>
              <w:rPr>
                <w:rFonts w:ascii="宋体" w:hAnsi="宋体" w:cs="宋体"/>
                <w:color w:val="auto"/>
                <w:szCs w:val="21"/>
                <w:highlight w:val="none"/>
              </w:rPr>
            </w:pPr>
            <w:r>
              <w:rPr>
                <w:rFonts w:hint="eastAsia" w:ascii="宋体" w:hAnsi="宋体" w:cs="宋体"/>
                <w:color w:val="auto"/>
                <w:szCs w:val="21"/>
                <w:highlight w:val="none"/>
              </w:rPr>
              <w:t>视频会议管理系统</w:t>
            </w:r>
          </w:p>
        </w:tc>
        <w:tc>
          <w:tcPr>
            <w:tcW w:w="1266" w:type="dxa"/>
          </w:tcPr>
          <w:p>
            <w:pPr>
              <w:ind w:firstLine="0" w:firstLineChars="0"/>
              <w:rPr>
                <w:rFonts w:ascii="宋体" w:hAnsi="宋体" w:cs="宋体"/>
                <w:color w:val="auto"/>
                <w:szCs w:val="21"/>
                <w:highlight w:val="none"/>
              </w:rPr>
            </w:pPr>
          </w:p>
        </w:tc>
        <w:tc>
          <w:tcPr>
            <w:tcW w:w="4522" w:type="dxa"/>
          </w:tcPr>
          <w:p>
            <w:pPr>
              <w:wordWrap w:val="0"/>
              <w:ind w:firstLine="0" w:firstLineChars="0"/>
              <w:rPr>
                <w:rFonts w:ascii="宋体" w:hAnsi="宋体" w:cs="宋体"/>
                <w:color w:val="auto"/>
                <w:szCs w:val="21"/>
                <w:highlight w:val="none"/>
              </w:rPr>
            </w:pPr>
            <w:r>
              <w:rPr>
                <w:rFonts w:hint="eastAsia" w:ascii="宋体" w:hAnsi="宋体" w:cs="宋体"/>
                <w:color w:val="auto"/>
                <w:szCs w:val="21"/>
                <w:highlight w:val="none"/>
              </w:rPr>
              <w:t>1、视频会议管理系统基础软件包,含50设备注册License，</w:t>
            </w:r>
            <w:r>
              <w:rPr>
                <w:rFonts w:hint="eastAsia" w:ascii="宋体" w:hAnsi="宋体" w:cs="宋体"/>
                <w:bCs/>
                <w:color w:val="auto"/>
                <w:szCs w:val="21"/>
                <w:highlight w:val="none"/>
              </w:rPr>
              <w:t>50设备管理License；</w:t>
            </w:r>
            <w:r>
              <w:rPr>
                <w:rFonts w:hint="eastAsia" w:ascii="宋体" w:hAnsi="宋体" w:cs="宋体"/>
                <w:color w:val="auto"/>
                <w:szCs w:val="21"/>
                <w:highlight w:val="none"/>
              </w:rPr>
              <w:br w:type="textWrapping"/>
            </w:r>
            <w:r>
              <w:rPr>
                <w:rFonts w:hint="eastAsia" w:ascii="宋体" w:hAnsi="宋体" w:cs="宋体"/>
                <w:color w:val="auto"/>
                <w:szCs w:val="21"/>
                <w:highlight w:val="none"/>
              </w:rPr>
              <w:t>2、电话系统接入多媒体指挥调度系统，用于实现在保护用户原有投资的情况下，扩展办公电话系统的通信手段和范围；既有办公分机在调度台上进行集中分组管理；方便指挥中心对既有办公分机进行一键式语音呼叫、会议呼叫、广播呼叫；方便办公分机和其他有线、无线终端的互联互通。包含公私网穿越流量（10M）；</w:t>
            </w:r>
            <w:r>
              <w:rPr>
                <w:rFonts w:hint="eastAsia" w:ascii="宋体" w:hAnsi="宋体" w:cs="宋体"/>
                <w:color w:val="auto"/>
                <w:szCs w:val="21"/>
                <w:highlight w:val="none"/>
              </w:rPr>
              <w:br w:type="textWrapping"/>
            </w:r>
            <w:r>
              <w:rPr>
                <w:rFonts w:hint="eastAsia" w:ascii="宋体" w:hAnsi="宋体" w:cs="宋体"/>
                <w:color w:val="auto"/>
                <w:szCs w:val="21"/>
                <w:highlight w:val="none"/>
              </w:rPr>
              <w:t>3、支持对所有视频资产如MCU、GK/SIP Server、终端、录播资源进行集中管理；图形化拓扑管理；针对分会场进行MCU的分布式部署和集中管理，支持多MCU云资源池，可实现资源池内和资源池间的负载均衡和备份；</w:t>
            </w:r>
            <w:r>
              <w:rPr>
                <w:rFonts w:hint="eastAsia" w:ascii="宋体" w:hAnsi="宋体" w:cs="宋体"/>
                <w:color w:val="auto"/>
                <w:szCs w:val="21"/>
                <w:highlight w:val="none"/>
              </w:rPr>
              <w:br w:type="textWrapping"/>
            </w:r>
            <w:r>
              <w:rPr>
                <w:rFonts w:hint="eastAsia" w:ascii="宋体" w:hAnsi="宋体" w:cs="宋体"/>
                <w:color w:val="auto"/>
                <w:szCs w:val="21"/>
                <w:highlight w:val="none"/>
              </w:rPr>
              <w:t>4、服务器配置：8盘位机型(2*Xeon Bronze 3104-6Core,2*16GB 内存,2*600GB SAS硬盘,DVD-RW,板载2*GE+2*10GE光口(不含光模块)),4*GE电口(I350),SR150,2*550W AC电源)-Gql_Hi-Care基础服务标准_36月。</w:t>
            </w:r>
          </w:p>
        </w:tc>
        <w:tc>
          <w:tcPr>
            <w:tcW w:w="667"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套</w:t>
            </w:r>
          </w:p>
        </w:tc>
        <w:tc>
          <w:tcPr>
            <w:tcW w:w="666" w:type="dxa"/>
          </w:tcPr>
          <w:p>
            <w:pPr>
              <w:ind w:firstLine="0" w:firstLineChars="0"/>
              <w:jc w:val="center"/>
              <w:rPr>
                <w:rFonts w:ascii="宋体" w:hAnsi="宋体" w:cs="宋体"/>
                <w:color w:val="auto"/>
                <w:highlight w:val="none"/>
              </w:rPr>
            </w:pPr>
            <w:r>
              <w:rPr>
                <w:rFonts w:hint="eastAsia" w:ascii="宋体" w:hAnsi="宋体" w:cs="宋体"/>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8" w:hRule="atLeast"/>
        </w:trPr>
        <w:tc>
          <w:tcPr>
            <w:tcW w:w="657" w:type="dxa"/>
            <w:noWrap/>
          </w:tcPr>
          <w:p>
            <w:pPr>
              <w:ind w:firstLine="0" w:firstLineChars="0"/>
              <w:rPr>
                <w:rFonts w:ascii="宋体" w:hAnsi="宋体" w:cs="宋体"/>
                <w:color w:val="auto"/>
                <w:szCs w:val="21"/>
                <w:highlight w:val="none"/>
              </w:rPr>
            </w:pPr>
            <w:r>
              <w:rPr>
                <w:rFonts w:hint="eastAsia" w:ascii="宋体" w:hAnsi="宋体" w:cs="宋体"/>
                <w:color w:val="auto"/>
                <w:szCs w:val="21"/>
                <w:highlight w:val="none"/>
              </w:rPr>
              <w:t>8</w:t>
            </w:r>
          </w:p>
        </w:tc>
        <w:tc>
          <w:tcPr>
            <w:tcW w:w="949" w:type="dxa"/>
            <w:noWrap/>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多点控制单元</w:t>
            </w:r>
          </w:p>
        </w:tc>
        <w:tc>
          <w:tcPr>
            <w:tcW w:w="1266" w:type="dxa"/>
          </w:tcPr>
          <w:p>
            <w:pPr>
              <w:ind w:firstLine="0" w:firstLineChars="0"/>
              <w:rPr>
                <w:rFonts w:ascii="宋体" w:hAnsi="宋体" w:cs="宋体"/>
                <w:color w:val="auto"/>
                <w:szCs w:val="21"/>
                <w:highlight w:val="none"/>
              </w:rPr>
            </w:pPr>
          </w:p>
        </w:tc>
        <w:tc>
          <w:tcPr>
            <w:tcW w:w="4522" w:type="dxa"/>
          </w:tcPr>
          <w:p>
            <w:pPr>
              <w:wordWrap w:val="0"/>
              <w:ind w:firstLine="0" w:firstLineChars="0"/>
              <w:rPr>
                <w:rFonts w:ascii="宋体" w:hAnsi="宋体" w:cs="宋体"/>
                <w:color w:val="auto"/>
                <w:szCs w:val="21"/>
                <w:highlight w:val="none"/>
              </w:rPr>
            </w:pPr>
            <w:r>
              <w:rPr>
                <w:rFonts w:hint="eastAsia" w:ascii="宋体" w:hAnsi="宋体" w:cs="宋体"/>
                <w:color w:val="auto"/>
                <w:szCs w:val="21"/>
                <w:highlight w:val="none"/>
              </w:rPr>
              <w:t>1、融合视频、音频、数据等多媒体内容，接入从会议室到个人PC、手机等设备，实现统一无缝的沟通协作。支持虚拟化、云化部署，集中管理会议资源。支持H.323和SIP混合组网；支持设备间漫游，业务随行；支持资源池部署，支持负载均衡、备份和异地容灾。丰富快捷的业务体验，提供VMR、主叫呼集、一键入会、URI呼叫等多种会议召集和入会方式；支持多画面，超强抗丢包技术，支持大容量直播会议，支持4K、1080P60、1080P30、720P等；支持最大6级级联会议，支持SVC多流模式级联；</w:t>
            </w:r>
            <w:r>
              <w:rPr>
                <w:rFonts w:hint="eastAsia" w:ascii="宋体" w:hAnsi="宋体" w:cs="宋体"/>
                <w:color w:val="auto"/>
                <w:szCs w:val="21"/>
                <w:highlight w:val="none"/>
              </w:rPr>
              <w:br w:type="textWrapping"/>
            </w:r>
            <w:r>
              <w:rPr>
                <w:rFonts w:hint="eastAsia" w:ascii="宋体" w:hAnsi="宋体" w:cs="宋体"/>
                <w:color w:val="auto"/>
                <w:szCs w:val="21"/>
                <w:highlight w:val="none"/>
              </w:rPr>
              <w:t>2、服务器配置：8盘位机型(2*Xeon Silver 4210-10Core,8*8GB 内存,2*600GB SAS硬盘,DVD-RW,板载2*GE+2*10GE光口(不含光模块)+4*GE电口(I350),SR150,AC 电源)_Hi-Care应用软件升级支持服务_36月；</w:t>
            </w:r>
            <w:r>
              <w:rPr>
                <w:rFonts w:hint="eastAsia" w:ascii="宋体" w:hAnsi="宋体" w:cs="宋体"/>
                <w:color w:val="auto"/>
                <w:szCs w:val="21"/>
                <w:highlight w:val="none"/>
              </w:rPr>
              <w:br w:type="textWrapping"/>
            </w:r>
            <w:r>
              <w:rPr>
                <w:rFonts w:hint="eastAsia" w:ascii="宋体" w:hAnsi="宋体" w:cs="宋体"/>
                <w:color w:val="auto"/>
                <w:szCs w:val="21"/>
                <w:highlight w:val="none"/>
              </w:rPr>
              <w:t>3、此次配置如下：1080p30端口接入，_Hi-Care应用软件升级支持服务_36月；</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4、支持1路1080P30/路、端口并发数根据隶属关视频会议终端接入数量确定。1路1080P=2路720P，_Hi-Care应用软件升级支持服务_36月。</w:t>
            </w:r>
          </w:p>
        </w:tc>
        <w:tc>
          <w:tcPr>
            <w:tcW w:w="667" w:type="dxa"/>
          </w:tcPr>
          <w:p>
            <w:pPr>
              <w:ind w:firstLine="0" w:firstLineChars="0"/>
              <w:jc w:val="center"/>
              <w:rPr>
                <w:rFonts w:ascii="宋体" w:hAnsi="宋体" w:cs="宋体"/>
                <w:color w:val="auto"/>
                <w:highlight w:val="none"/>
              </w:rPr>
            </w:pPr>
            <w:r>
              <w:rPr>
                <w:rFonts w:hint="eastAsia" w:ascii="宋体" w:hAnsi="宋体" w:cs="宋体"/>
                <w:color w:val="auto"/>
                <w:highlight w:val="none"/>
              </w:rPr>
              <w:t>套</w:t>
            </w:r>
          </w:p>
        </w:tc>
        <w:tc>
          <w:tcPr>
            <w:tcW w:w="666" w:type="dxa"/>
          </w:tcPr>
          <w:p>
            <w:pPr>
              <w:ind w:firstLine="0" w:firstLineChars="0"/>
              <w:jc w:val="center"/>
              <w:rPr>
                <w:rFonts w:ascii="宋体" w:hAnsi="宋体" w:cs="宋体"/>
                <w:color w:val="auto"/>
                <w:highlight w:val="none"/>
              </w:rPr>
            </w:pPr>
            <w:r>
              <w:rPr>
                <w:rFonts w:hint="eastAsia" w:ascii="宋体" w:hAnsi="宋体" w:cs="宋体"/>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noWrap/>
          </w:tcPr>
          <w:p>
            <w:pPr>
              <w:ind w:firstLine="0" w:firstLineChars="0"/>
              <w:rPr>
                <w:rFonts w:ascii="宋体" w:hAnsi="宋体" w:cs="宋体"/>
                <w:color w:val="auto"/>
                <w:szCs w:val="21"/>
                <w:highlight w:val="none"/>
              </w:rPr>
            </w:pPr>
            <w:r>
              <w:rPr>
                <w:rFonts w:hint="eastAsia" w:ascii="宋体" w:hAnsi="宋体" w:cs="宋体"/>
                <w:color w:val="auto"/>
                <w:szCs w:val="21"/>
                <w:highlight w:val="none"/>
              </w:rPr>
              <w:t>9</w:t>
            </w:r>
          </w:p>
        </w:tc>
        <w:tc>
          <w:tcPr>
            <w:tcW w:w="949" w:type="dxa"/>
            <w:noWrap/>
          </w:tcPr>
          <w:p>
            <w:pPr>
              <w:ind w:firstLine="0" w:firstLineChars="0"/>
              <w:rPr>
                <w:rFonts w:ascii="宋体" w:hAnsi="宋体" w:cs="宋体"/>
                <w:color w:val="auto"/>
                <w:szCs w:val="21"/>
                <w:highlight w:val="none"/>
              </w:rPr>
            </w:pPr>
            <w:r>
              <w:rPr>
                <w:rFonts w:hint="eastAsia" w:ascii="宋体" w:hAnsi="宋体" w:cs="宋体"/>
                <w:color w:val="auto"/>
                <w:szCs w:val="21"/>
                <w:highlight w:val="none"/>
              </w:rPr>
              <w:t>视频会议终端</w:t>
            </w:r>
          </w:p>
        </w:tc>
        <w:tc>
          <w:tcPr>
            <w:tcW w:w="1266" w:type="dxa"/>
          </w:tcPr>
          <w:p>
            <w:pPr>
              <w:ind w:firstLine="0" w:firstLineChars="0"/>
              <w:rPr>
                <w:rFonts w:ascii="宋体" w:hAnsi="宋体" w:cs="宋体"/>
                <w:color w:val="auto"/>
                <w:szCs w:val="21"/>
                <w:highlight w:val="none"/>
              </w:rPr>
            </w:pPr>
          </w:p>
        </w:tc>
        <w:tc>
          <w:tcPr>
            <w:tcW w:w="4522" w:type="dxa"/>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1、支持ITU-T H.323、IETF SIP协议，具有良好的兼容性和开放性；</w:t>
            </w:r>
            <w:r>
              <w:rPr>
                <w:rFonts w:hint="eastAsia" w:ascii="宋体" w:hAnsi="宋体" w:cs="宋体"/>
                <w:color w:val="auto"/>
                <w:szCs w:val="21"/>
                <w:highlight w:val="none"/>
              </w:rPr>
              <w:br w:type="textWrapping"/>
            </w:r>
            <w:r>
              <w:rPr>
                <w:rFonts w:hint="eastAsia" w:ascii="宋体" w:hAnsi="宋体" w:cs="宋体"/>
                <w:color w:val="auto"/>
                <w:szCs w:val="21"/>
                <w:highlight w:val="none"/>
              </w:rPr>
              <w:t>2、采用国产自主编解码芯片，嵌入式操作系统，非PC架构、非工控机架构，所投产品必须与MCU同一品牌。终端从视频输入、视频编解码、视频输出，支持BT.2020色域、HDR10高动态画面处理技术。支持会议速率64Kbps~8Mbps；</w:t>
            </w:r>
            <w:r>
              <w:rPr>
                <w:rFonts w:hint="eastAsia" w:ascii="宋体" w:hAnsi="宋体" w:cs="宋体"/>
                <w:color w:val="auto"/>
                <w:szCs w:val="21"/>
                <w:highlight w:val="none"/>
              </w:rPr>
              <w:br w:type="textWrapping"/>
            </w:r>
            <w:r>
              <w:rPr>
                <w:rFonts w:hint="eastAsia" w:ascii="宋体" w:hAnsi="宋体" w:cs="宋体"/>
                <w:color w:val="auto"/>
                <w:szCs w:val="21"/>
                <w:highlight w:val="none"/>
              </w:rPr>
              <w:t>3、支持H.265、H.264 HP、H.264 BP、H.264 SVC、H.263等图像编码协议，须提供第三方机构检测报告证明；</w:t>
            </w:r>
            <w:r>
              <w:rPr>
                <w:rFonts w:hint="eastAsia" w:ascii="宋体" w:hAnsi="宋体" w:cs="宋体"/>
                <w:color w:val="auto"/>
                <w:szCs w:val="21"/>
                <w:highlight w:val="none"/>
              </w:rPr>
              <w:br w:type="textWrapping"/>
            </w:r>
            <w:r>
              <w:rPr>
                <w:rFonts w:hint="eastAsia" w:ascii="宋体" w:hAnsi="宋体" w:cs="宋体"/>
                <w:color w:val="auto"/>
                <w:szCs w:val="21"/>
                <w:highlight w:val="none"/>
              </w:rPr>
              <w:t>4、支持4K30fps、1080P 60 fps、1080P 30 fps、720P 60 fps、720P 30 fps、4CIF、 CIF等分辨率。本次项目所投终端要求配置1080P30fps对称编解码能力，支持软件许可平滑升级到4K30fps编解码能力；</w:t>
            </w:r>
            <w:r>
              <w:rPr>
                <w:rFonts w:hint="eastAsia" w:ascii="宋体" w:hAnsi="宋体" w:cs="宋体"/>
                <w:color w:val="auto"/>
                <w:szCs w:val="21"/>
                <w:highlight w:val="none"/>
              </w:rPr>
              <w:br w:type="textWrapping"/>
            </w:r>
            <w:r>
              <w:rPr>
                <w:rFonts w:hint="eastAsia" w:ascii="宋体" w:hAnsi="宋体" w:cs="宋体"/>
                <w:color w:val="auto"/>
                <w:szCs w:val="21"/>
                <w:highlight w:val="none"/>
              </w:rPr>
              <w:t>5、支持G.711、G.722、G.722.1C、G.729A、ACC-LD、Opus等音频协议，支持双声道立体声功能。支持H.239和BFCP双流协议；</w:t>
            </w:r>
            <w:r>
              <w:rPr>
                <w:rFonts w:hint="eastAsia" w:ascii="宋体" w:hAnsi="宋体" w:cs="宋体"/>
                <w:color w:val="auto"/>
                <w:szCs w:val="21"/>
                <w:highlight w:val="none"/>
              </w:rPr>
              <w:br w:type="textWrapping"/>
            </w:r>
            <w:r>
              <w:rPr>
                <w:rFonts w:hint="eastAsia" w:ascii="宋体" w:hAnsi="宋体" w:cs="宋体"/>
                <w:color w:val="auto"/>
                <w:szCs w:val="21"/>
                <w:highlight w:val="none"/>
              </w:rPr>
              <w:t>6、支持主流达到4K30fps情况下，辅流同时达到4K30fps；</w:t>
            </w:r>
            <w:r>
              <w:rPr>
                <w:rFonts w:hint="eastAsia" w:ascii="宋体" w:hAnsi="宋体" w:cs="宋体"/>
                <w:color w:val="auto"/>
                <w:szCs w:val="21"/>
                <w:highlight w:val="none"/>
              </w:rPr>
              <w:br w:type="textWrapping"/>
            </w:r>
            <w:r>
              <w:rPr>
                <w:rFonts w:hint="eastAsia" w:ascii="宋体" w:hAnsi="宋体" w:cs="宋体"/>
                <w:color w:val="auto"/>
                <w:szCs w:val="21"/>
                <w:highlight w:val="none"/>
              </w:rPr>
              <w:t>7、提供至少3路高清视频输入接口、至少2路高清视频输出接口。提供终端设备背板图。提供至少5路音频输入接口、至少6路音频输出接口，至少具备卡侬头、RCA等音频接口；</w:t>
            </w:r>
            <w:r>
              <w:rPr>
                <w:rFonts w:hint="eastAsia" w:ascii="宋体" w:hAnsi="宋体" w:cs="宋体"/>
                <w:color w:val="auto"/>
                <w:szCs w:val="21"/>
                <w:highlight w:val="none"/>
              </w:rPr>
              <w:br w:type="textWrapping"/>
            </w:r>
            <w:r>
              <w:rPr>
                <w:rFonts w:hint="eastAsia" w:ascii="宋体" w:hAnsi="宋体" w:cs="宋体"/>
                <w:color w:val="auto"/>
                <w:szCs w:val="21"/>
                <w:highlight w:val="none"/>
              </w:rPr>
              <w:t>8、支持30%网络丢包时，语音清晰连续，视频清晰流畅，无卡顿，支持80%的网络丢包时，声音清晰，不影响会议继续进行。</w:t>
            </w:r>
          </w:p>
        </w:tc>
        <w:tc>
          <w:tcPr>
            <w:tcW w:w="667"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台</w:t>
            </w:r>
          </w:p>
        </w:tc>
        <w:tc>
          <w:tcPr>
            <w:tcW w:w="666" w:type="dxa"/>
          </w:tcPr>
          <w:p>
            <w:pPr>
              <w:ind w:firstLine="0" w:firstLineChars="0"/>
              <w:jc w:val="center"/>
              <w:rPr>
                <w:rFonts w:ascii="宋体" w:hAnsi="宋体" w:cs="宋体"/>
                <w:color w:val="auto"/>
                <w:highlight w:val="none"/>
              </w:rPr>
            </w:pPr>
            <w:r>
              <w:rPr>
                <w:rFonts w:hint="eastAsia" w:ascii="宋体" w:hAnsi="宋体" w:cs="宋体"/>
                <w:color w:val="auto"/>
                <w:highlight w:val="none"/>
              </w:rPr>
              <w:t>1</w:t>
            </w:r>
          </w:p>
        </w:tc>
      </w:tr>
      <w:bookmarkEnd w:id="1651"/>
    </w:tbl>
    <w:p>
      <w:pPr>
        <w:pStyle w:val="2"/>
        <w:ind w:firstLine="422"/>
        <w:rPr>
          <w:rFonts w:ascii="宋体" w:hAnsi="宋体" w:eastAsia="宋体" w:cs="宋体"/>
          <w:b/>
          <w:bCs/>
          <w:color w:val="auto"/>
          <w:sz w:val="21"/>
          <w:highlight w:val="none"/>
        </w:rPr>
      </w:pPr>
      <w:bookmarkStart w:id="1665" w:name="_Toc26936"/>
      <w:bookmarkStart w:id="1666" w:name="_Toc14298"/>
      <w:bookmarkStart w:id="1667" w:name="_Toc502"/>
      <w:bookmarkStart w:id="1668" w:name="_Toc26648"/>
      <w:bookmarkStart w:id="1669" w:name="_Toc13266"/>
      <w:bookmarkStart w:id="1670" w:name="_Toc8844"/>
      <w:bookmarkStart w:id="1671" w:name="_Toc6705"/>
      <w:r>
        <w:rPr>
          <w:rFonts w:hint="eastAsia" w:ascii="宋体" w:hAnsi="宋体" w:eastAsia="宋体" w:cs="宋体"/>
          <w:b/>
          <w:bCs/>
          <w:color w:val="auto"/>
          <w:sz w:val="21"/>
          <w:highlight w:val="none"/>
        </w:rPr>
        <w:t>备注：以上设备均需提供安装调试服务。</w:t>
      </w:r>
    </w:p>
    <w:bookmarkEnd w:id="1663"/>
    <w:p>
      <w:pPr>
        <w:pStyle w:val="4"/>
        <w:ind w:firstLine="422"/>
        <w:rPr>
          <w:rFonts w:ascii="宋体" w:hAnsi="宋体" w:eastAsia="宋体" w:cs="宋体"/>
          <w:bCs w:val="0"/>
          <w:color w:val="auto"/>
          <w:szCs w:val="21"/>
          <w:highlight w:val="none"/>
        </w:rPr>
      </w:pPr>
      <w:r>
        <w:rPr>
          <w:rFonts w:hint="eastAsia" w:ascii="宋体" w:hAnsi="宋体" w:eastAsia="宋体" w:cs="宋体"/>
          <w:bCs w:val="0"/>
          <w:color w:val="auto"/>
          <w:szCs w:val="21"/>
          <w:highlight w:val="none"/>
        </w:rPr>
        <w:t>运维要求</w:t>
      </w:r>
      <w:bookmarkEnd w:id="1665"/>
    </w:p>
    <w:p>
      <w:pPr>
        <w:pStyle w:val="5"/>
        <w:ind w:firstLine="422"/>
        <w:rPr>
          <w:rFonts w:ascii="宋体" w:hAnsi="宋体" w:cs="宋体"/>
          <w:color w:val="auto"/>
          <w:highlight w:val="none"/>
        </w:rPr>
      </w:pPr>
      <w:bookmarkStart w:id="1672" w:name="_Toc13995"/>
      <w:r>
        <w:rPr>
          <w:rFonts w:hint="eastAsia" w:ascii="宋体" w:hAnsi="宋体" w:cs="宋体"/>
          <w:color w:val="auto"/>
          <w:highlight w:val="none"/>
        </w:rPr>
        <w:t>运维时间和人员</w:t>
      </w:r>
      <w:bookmarkEnd w:id="1666"/>
      <w:bookmarkEnd w:id="1667"/>
      <w:bookmarkEnd w:id="1668"/>
      <w:bookmarkEnd w:id="1669"/>
      <w:bookmarkEnd w:id="1670"/>
      <w:bookmarkEnd w:id="1671"/>
      <w:r>
        <w:rPr>
          <w:rFonts w:hint="eastAsia" w:ascii="宋体" w:hAnsi="宋体" w:cs="宋体"/>
          <w:color w:val="auto"/>
          <w:highlight w:val="none"/>
        </w:rPr>
        <w:t>要求</w:t>
      </w:r>
      <w:bookmarkEnd w:id="1672"/>
    </w:p>
    <w:p>
      <w:pPr>
        <w:ind w:firstLine="420"/>
        <w:rPr>
          <w:rFonts w:ascii="宋体" w:hAnsi="宋体" w:cs="宋体"/>
          <w:color w:val="auto"/>
          <w:highlight w:val="none"/>
        </w:rPr>
      </w:pPr>
      <w:r>
        <w:rPr>
          <w:rFonts w:hint="eastAsia" w:ascii="宋体" w:hAnsi="宋体" w:cs="宋体"/>
          <w:color w:val="auto"/>
          <w:highlight w:val="none"/>
        </w:rPr>
        <w:t>五年运维，常驻运维人员3人。运维开始时间从</w:t>
      </w:r>
      <w:r>
        <w:rPr>
          <w:rFonts w:hint="eastAsia" w:ascii="宋体" w:hAnsi="宋体" w:cs="宋体"/>
          <w:color w:val="auto"/>
          <w:szCs w:val="21"/>
          <w:highlight w:val="none"/>
        </w:rPr>
        <w:t>项目建设完成验收合格</w:t>
      </w:r>
      <w:r>
        <w:rPr>
          <w:rFonts w:hint="eastAsia" w:ascii="宋体" w:hAnsi="宋体" w:cs="宋体"/>
          <w:color w:val="auto"/>
          <w:highlight w:val="none"/>
        </w:rPr>
        <w:t>之日起算。</w:t>
      </w:r>
    </w:p>
    <w:p>
      <w:pPr>
        <w:ind w:firstLine="420"/>
        <w:rPr>
          <w:rFonts w:ascii="宋体" w:hAnsi="宋体" w:cs="宋体"/>
          <w:color w:val="auto"/>
          <w:highlight w:val="none"/>
        </w:rPr>
      </w:pPr>
      <w:r>
        <w:rPr>
          <w:rFonts w:hint="eastAsia" w:ascii="宋体" w:hAnsi="宋体" w:cs="宋体"/>
          <w:color w:val="auto"/>
          <w:highlight w:val="none"/>
        </w:rPr>
        <w:t>人员资质要求：</w:t>
      </w:r>
    </w:p>
    <w:p>
      <w:pPr>
        <w:numPr>
          <w:ilvl w:val="0"/>
          <w:numId w:val="25"/>
        </w:numPr>
        <w:ind w:firstLineChars="0"/>
        <w:rPr>
          <w:rFonts w:ascii="宋体" w:hAnsi="宋体" w:cs="宋体"/>
          <w:color w:val="auto"/>
          <w:highlight w:val="none"/>
        </w:rPr>
      </w:pPr>
      <w:r>
        <w:rPr>
          <w:rFonts w:hint="eastAsia" w:ascii="宋体" w:hAnsi="宋体" w:cs="宋体"/>
          <w:color w:val="auto"/>
          <w:highlight w:val="none"/>
        </w:rPr>
        <w:t>学历：大学专科及以上学历，男女不限，计算机网络及信息技术、环境保护、安全生产等专业。其中要求一名运维人员具备信息安全工程师职称，投标文件中提供人员相关职称证书复印件。</w:t>
      </w:r>
    </w:p>
    <w:p>
      <w:pPr>
        <w:numPr>
          <w:ilvl w:val="0"/>
          <w:numId w:val="25"/>
        </w:numPr>
        <w:ind w:firstLineChars="0"/>
        <w:rPr>
          <w:rFonts w:ascii="宋体" w:hAnsi="宋体" w:cs="宋体"/>
          <w:color w:val="auto"/>
          <w:highlight w:val="none"/>
        </w:rPr>
      </w:pPr>
      <w:r>
        <w:rPr>
          <w:rFonts w:hint="eastAsia" w:ascii="宋体" w:hAnsi="宋体" w:cs="宋体"/>
          <w:color w:val="auto"/>
          <w:highlight w:val="none"/>
        </w:rPr>
        <w:t>年龄：18-38 岁；</w:t>
      </w:r>
    </w:p>
    <w:p>
      <w:pPr>
        <w:numPr>
          <w:ilvl w:val="0"/>
          <w:numId w:val="25"/>
        </w:numPr>
        <w:ind w:firstLineChars="0"/>
        <w:rPr>
          <w:rFonts w:ascii="宋体" w:hAnsi="宋体" w:cs="宋体"/>
          <w:color w:val="auto"/>
          <w:highlight w:val="none"/>
        </w:rPr>
      </w:pPr>
      <w:r>
        <w:rPr>
          <w:rFonts w:hint="eastAsia" w:ascii="宋体" w:hAnsi="宋体" w:cs="宋体"/>
          <w:color w:val="auto"/>
          <w:highlight w:val="none"/>
        </w:rPr>
        <w:t>普通话标准，口齿清晰，具有良好的沟通能力、吃苦耐劳的精神、较强的责任心、优良的客户服务意识、团队合作精神和快速学习的能力。</w:t>
      </w:r>
    </w:p>
    <w:p>
      <w:pPr>
        <w:pStyle w:val="5"/>
        <w:ind w:firstLine="422"/>
        <w:rPr>
          <w:rFonts w:ascii="宋体" w:hAnsi="宋体" w:cs="宋体"/>
          <w:color w:val="auto"/>
          <w:highlight w:val="none"/>
        </w:rPr>
      </w:pPr>
      <w:bookmarkStart w:id="1673" w:name="_Toc32499"/>
      <w:bookmarkStart w:id="1674" w:name="_Toc21674"/>
      <w:bookmarkStart w:id="1675" w:name="_Toc15015"/>
      <w:bookmarkStart w:id="1676" w:name="_Toc15335"/>
      <w:bookmarkStart w:id="1677" w:name="_Toc17760"/>
      <w:bookmarkStart w:id="1678" w:name="_Toc20241"/>
      <w:bookmarkStart w:id="1679" w:name="_Toc26252"/>
      <w:r>
        <w:rPr>
          <w:rFonts w:hint="eastAsia" w:ascii="宋体" w:hAnsi="宋体" w:cs="宋体"/>
          <w:color w:val="auto"/>
          <w:highlight w:val="none"/>
        </w:rPr>
        <w:t>运维</w:t>
      </w:r>
      <w:bookmarkEnd w:id="1673"/>
      <w:bookmarkEnd w:id="1674"/>
      <w:bookmarkEnd w:id="1675"/>
      <w:bookmarkEnd w:id="1676"/>
      <w:bookmarkEnd w:id="1677"/>
      <w:bookmarkEnd w:id="1678"/>
      <w:r>
        <w:rPr>
          <w:rFonts w:hint="eastAsia" w:ascii="宋体" w:hAnsi="宋体" w:cs="宋体"/>
          <w:color w:val="auto"/>
          <w:highlight w:val="none"/>
        </w:rPr>
        <w:t>内容</w:t>
      </w:r>
      <w:bookmarkEnd w:id="1679"/>
    </w:p>
    <w:p>
      <w:pPr>
        <w:pStyle w:val="7"/>
        <w:ind w:firstLine="422"/>
        <w:rPr>
          <w:rFonts w:ascii="宋体" w:hAnsi="宋体" w:cs="宋体"/>
          <w:color w:val="auto"/>
          <w:highlight w:val="none"/>
        </w:rPr>
      </w:pPr>
      <w:r>
        <w:rPr>
          <w:rFonts w:hint="eastAsia" w:ascii="宋体" w:hAnsi="宋体" w:cs="宋体"/>
          <w:color w:val="auto"/>
          <w:highlight w:val="none"/>
        </w:rPr>
        <w:t>常规运维</w:t>
      </w:r>
    </w:p>
    <w:p>
      <w:pPr>
        <w:ind w:firstLine="420"/>
        <w:rPr>
          <w:rFonts w:ascii="宋体" w:hAnsi="宋体" w:cs="宋体"/>
          <w:color w:val="auto"/>
          <w:highlight w:val="none"/>
        </w:rPr>
      </w:pPr>
      <w:r>
        <w:rPr>
          <w:rFonts w:hint="eastAsia" w:ascii="宋体" w:hAnsi="宋体" w:cs="宋体"/>
          <w:color w:val="auto"/>
          <w:highlight w:val="none"/>
        </w:rPr>
        <w:t>主要围绕园区企业两重点一重大（重点监管工艺、重点监管危险化学品、重大危险源管理）展开。以在线监测预警信息为核心，通过与企业的对接，接入企业在线监测监控设备，将涵盖有毒有害与可燃气体在线监测、重大危险源罐区在线监测、重点监管工艺在线监测，对企业的安全状况进行 24 小时监控预警，及时发现问题并进行反馈。</w:t>
      </w:r>
    </w:p>
    <w:p>
      <w:pPr>
        <w:pStyle w:val="6"/>
        <w:ind w:firstLine="420"/>
        <w:rPr>
          <w:rFonts w:ascii="宋体" w:hAnsi="宋体"/>
          <w:color w:val="auto"/>
          <w:highlight w:val="none"/>
        </w:rPr>
      </w:pPr>
      <w:r>
        <w:rPr>
          <w:rFonts w:hint="eastAsia" w:ascii="宋体" w:hAnsi="宋体"/>
          <w:color w:val="auto"/>
          <w:highlight w:val="none"/>
        </w:rPr>
        <w:t>对企业详细情况及重点监管对象信息进行全面的把控，做到园区底数清、情况明。内容将包括企业的基本情况、安全责任和管理制度、安全管理机构情况、安全教育培训开展情况、企业法人、安全管理员、特种作业人员的持证情况、危险部位、应急救援预案等安全生产基本信息。基于园区异常监测数据、日常业务数据、企业基础数据等，从实时监测、预测预警、区域风险评估三个方面进行初步的安监预警分析充分利用视频监控平台做到，异常问题早发现、早反馈、早处理，将事故遏制在萌芽状态。</w:t>
      </w:r>
    </w:p>
    <w:p>
      <w:pPr>
        <w:pStyle w:val="7"/>
        <w:ind w:firstLine="422"/>
        <w:rPr>
          <w:rFonts w:ascii="宋体" w:hAnsi="宋体" w:cs="宋体"/>
          <w:color w:val="auto"/>
          <w:highlight w:val="none"/>
        </w:rPr>
      </w:pPr>
      <w:r>
        <w:rPr>
          <w:rFonts w:hint="eastAsia" w:ascii="宋体" w:hAnsi="宋体" w:cs="宋体"/>
          <w:color w:val="auto"/>
          <w:highlight w:val="none"/>
        </w:rPr>
        <w:t>软硬件运维</w:t>
      </w:r>
    </w:p>
    <w:p>
      <w:pPr>
        <w:ind w:firstLine="420"/>
        <w:rPr>
          <w:rFonts w:ascii="宋体" w:hAnsi="宋体" w:cs="宋体"/>
          <w:color w:val="auto"/>
          <w:highlight w:val="none"/>
        </w:rPr>
      </w:pPr>
      <w:r>
        <w:rPr>
          <w:rFonts w:hint="eastAsia" w:ascii="宋体" w:hAnsi="宋体" w:cs="宋体"/>
          <w:color w:val="auto"/>
          <w:highlight w:val="none"/>
        </w:rPr>
        <w:t>对软硬件进行日常巡查等，包括网络运维、安全管理、机房管理、密码管理、机房硬件运维、运维工作总体报告等。</w:t>
      </w:r>
    </w:p>
    <w:p>
      <w:pPr>
        <w:numPr>
          <w:ilvl w:val="0"/>
          <w:numId w:val="25"/>
        </w:numPr>
        <w:ind w:firstLineChars="0"/>
        <w:rPr>
          <w:rFonts w:ascii="宋体" w:hAnsi="宋体" w:cs="宋体"/>
          <w:color w:val="auto"/>
          <w:highlight w:val="none"/>
        </w:rPr>
      </w:pPr>
      <w:r>
        <w:rPr>
          <w:rFonts w:hint="eastAsia" w:ascii="宋体" w:hAnsi="宋体" w:cs="宋体"/>
          <w:color w:val="auto"/>
          <w:highlight w:val="none"/>
        </w:rPr>
        <w:t>网络运维</w:t>
      </w:r>
    </w:p>
    <w:p>
      <w:pPr>
        <w:ind w:firstLine="420"/>
        <w:rPr>
          <w:rFonts w:ascii="宋体" w:hAnsi="宋体" w:cs="宋体"/>
          <w:color w:val="auto"/>
          <w:highlight w:val="none"/>
        </w:rPr>
      </w:pPr>
      <w:r>
        <w:rPr>
          <w:rFonts w:hint="eastAsia" w:ascii="宋体" w:hAnsi="宋体" w:cs="宋体"/>
          <w:color w:val="auto"/>
          <w:highlight w:val="none"/>
        </w:rPr>
        <w:t>1、每周至少对已上线系统进行日常检査一次，并做好检查记录 。</w:t>
      </w:r>
    </w:p>
    <w:p>
      <w:pPr>
        <w:ind w:firstLine="420"/>
        <w:rPr>
          <w:rFonts w:ascii="宋体" w:hAnsi="宋体" w:cs="宋体"/>
          <w:color w:val="auto"/>
          <w:highlight w:val="none"/>
        </w:rPr>
      </w:pPr>
      <w:r>
        <w:rPr>
          <w:rFonts w:hint="eastAsia" w:ascii="宋体" w:hAnsi="宋体" w:cs="宋体"/>
          <w:color w:val="auto"/>
          <w:highlight w:val="none"/>
        </w:rPr>
        <w:t>2、每周至少对系统数据进行备份一次。</w:t>
      </w:r>
    </w:p>
    <w:p>
      <w:pPr>
        <w:ind w:firstLine="420"/>
        <w:rPr>
          <w:rFonts w:ascii="宋体" w:hAnsi="宋体" w:cs="宋体"/>
          <w:color w:val="auto"/>
          <w:highlight w:val="none"/>
        </w:rPr>
      </w:pPr>
      <w:r>
        <w:rPr>
          <w:rFonts w:hint="eastAsia" w:ascii="宋体" w:hAnsi="宋体" w:cs="宋体"/>
          <w:color w:val="auto"/>
          <w:highlight w:val="none"/>
        </w:rPr>
        <w:t>3、应及时处理系统故障和用户反馈的问题。如果系统故障时间超过30分钟，应上报园区相关负责人。</w:t>
      </w:r>
    </w:p>
    <w:p>
      <w:pPr>
        <w:ind w:firstLine="420"/>
        <w:rPr>
          <w:rFonts w:ascii="宋体" w:hAnsi="宋体" w:cs="宋体"/>
          <w:color w:val="auto"/>
          <w:highlight w:val="none"/>
        </w:rPr>
      </w:pPr>
      <w:r>
        <w:rPr>
          <w:rFonts w:hint="eastAsia" w:ascii="宋体" w:hAnsi="宋体" w:cs="宋体"/>
          <w:color w:val="auto"/>
          <w:highlight w:val="none"/>
        </w:rPr>
        <w:t>4、对系统进行升级、更新补丁。升级、更新时间选择在13:00-13:30或者18:00后进行。升级、更新时间超过 30 分钟的应提前一天发布信息公告。</w:t>
      </w:r>
    </w:p>
    <w:p>
      <w:pPr>
        <w:ind w:firstLine="420"/>
        <w:rPr>
          <w:rFonts w:ascii="宋体" w:hAnsi="宋体" w:cs="宋体"/>
          <w:color w:val="auto"/>
          <w:highlight w:val="none"/>
        </w:rPr>
      </w:pPr>
      <w:r>
        <w:rPr>
          <w:rFonts w:hint="eastAsia" w:ascii="宋体" w:hAnsi="宋体" w:cs="宋体"/>
          <w:color w:val="auto"/>
          <w:highlight w:val="none"/>
        </w:rPr>
        <w:t>5、对系统运行日志进行备份保存，要求保留半年以内的系统运行日志。</w:t>
      </w:r>
    </w:p>
    <w:p>
      <w:pPr>
        <w:ind w:firstLine="420"/>
        <w:rPr>
          <w:rFonts w:ascii="宋体" w:hAnsi="宋体" w:cs="宋体"/>
          <w:color w:val="auto"/>
          <w:highlight w:val="none"/>
        </w:rPr>
      </w:pPr>
      <w:r>
        <w:rPr>
          <w:rFonts w:hint="eastAsia" w:ascii="宋体" w:hAnsi="宋体" w:cs="宋体"/>
          <w:color w:val="auto"/>
          <w:highlight w:val="none"/>
        </w:rPr>
        <w:t>6、运维人员应严格遵守《保密管理办法》，对系统内的数据、资料进行保密。</w:t>
      </w:r>
    </w:p>
    <w:p>
      <w:pPr>
        <w:ind w:firstLine="420"/>
        <w:rPr>
          <w:rFonts w:ascii="宋体" w:hAnsi="宋体" w:cs="宋体"/>
          <w:color w:val="auto"/>
          <w:highlight w:val="none"/>
        </w:rPr>
      </w:pPr>
      <w:r>
        <w:rPr>
          <w:rFonts w:hint="eastAsia" w:ascii="宋体" w:hAnsi="宋体" w:cs="宋体"/>
          <w:color w:val="auto"/>
          <w:highlight w:val="none"/>
        </w:rPr>
        <w:t>7、运维人员应充分考虑系统数据存储问题，系统应保留 5 年以上历史数据，重要数据要求保留10年以上。</w:t>
      </w:r>
    </w:p>
    <w:p>
      <w:pPr>
        <w:ind w:firstLine="420"/>
        <w:rPr>
          <w:rFonts w:ascii="宋体" w:hAnsi="宋体" w:cs="宋体"/>
          <w:color w:val="auto"/>
          <w:highlight w:val="none"/>
        </w:rPr>
      </w:pPr>
      <w:r>
        <w:rPr>
          <w:rFonts w:hint="eastAsia" w:ascii="宋体" w:hAnsi="宋体" w:cs="宋体"/>
          <w:color w:val="auto"/>
          <w:highlight w:val="none"/>
        </w:rPr>
        <w:t>8、做好防火墙、交机、网、VPN 等网络相关设备、软件的日常检查和维护对异常、故障进行处理。</w:t>
      </w:r>
    </w:p>
    <w:p>
      <w:pPr>
        <w:ind w:firstLine="420"/>
        <w:rPr>
          <w:rFonts w:ascii="宋体" w:hAnsi="宋体" w:cs="宋体"/>
          <w:color w:val="auto"/>
          <w:highlight w:val="none"/>
        </w:rPr>
      </w:pPr>
      <w:r>
        <w:rPr>
          <w:rFonts w:hint="eastAsia" w:ascii="宋体" w:hAnsi="宋体" w:cs="宋体"/>
          <w:color w:val="auto"/>
          <w:highlight w:val="none"/>
        </w:rPr>
        <w:t>9、根据厂家提供的重要升级版本进行更新。</w:t>
      </w:r>
    </w:p>
    <w:p>
      <w:pPr>
        <w:ind w:firstLine="420"/>
        <w:rPr>
          <w:rFonts w:ascii="宋体" w:hAnsi="宋体" w:cs="宋体"/>
          <w:color w:val="auto"/>
          <w:highlight w:val="none"/>
        </w:rPr>
      </w:pPr>
      <w:r>
        <w:rPr>
          <w:rFonts w:hint="eastAsia" w:ascii="宋体" w:hAnsi="宋体" w:cs="宋体"/>
          <w:color w:val="auto"/>
          <w:highlight w:val="none"/>
        </w:rPr>
        <w:t>10、网络设备配置变更后进行配置文件的备份。</w:t>
      </w:r>
    </w:p>
    <w:p>
      <w:pPr>
        <w:ind w:firstLine="420"/>
        <w:rPr>
          <w:rFonts w:ascii="宋体" w:hAnsi="宋体" w:cs="宋体"/>
          <w:color w:val="auto"/>
          <w:highlight w:val="none"/>
        </w:rPr>
      </w:pPr>
      <w:r>
        <w:rPr>
          <w:rFonts w:hint="eastAsia" w:ascii="宋体" w:hAnsi="宋体" w:cs="宋体"/>
          <w:color w:val="auto"/>
          <w:highlight w:val="none"/>
        </w:rPr>
        <w:t>11、建立网络对外连接台账，未经批准的系统不允许接入网络，未经批准不允许开放外网接口。</w:t>
      </w:r>
    </w:p>
    <w:p>
      <w:pPr>
        <w:ind w:firstLine="420"/>
        <w:rPr>
          <w:rFonts w:ascii="宋体" w:hAnsi="宋体" w:cs="宋体"/>
          <w:color w:val="auto"/>
          <w:highlight w:val="none"/>
        </w:rPr>
      </w:pPr>
      <w:r>
        <w:rPr>
          <w:rFonts w:hint="eastAsia" w:ascii="宋体" w:hAnsi="宋体" w:cs="宋体"/>
          <w:color w:val="auto"/>
          <w:highlight w:val="none"/>
        </w:rPr>
        <w:t>12、需停止网络的维护工作应安排在系统非工作时段进行，并提前1小时通知相关人员。</w:t>
      </w:r>
    </w:p>
    <w:p>
      <w:pPr>
        <w:ind w:firstLine="420"/>
        <w:rPr>
          <w:rFonts w:ascii="宋体" w:hAnsi="宋体" w:cs="宋体"/>
          <w:color w:val="auto"/>
          <w:highlight w:val="none"/>
        </w:rPr>
      </w:pPr>
      <w:r>
        <w:rPr>
          <w:rFonts w:hint="eastAsia" w:ascii="宋体" w:hAnsi="宋体" w:cs="宋体"/>
          <w:color w:val="auto"/>
          <w:highlight w:val="none"/>
        </w:rPr>
        <w:t>13、对网络异常进行处理应尽量缩小影响范围。如处理时间超过30分钟，应进行上报。</w:t>
      </w:r>
    </w:p>
    <w:p>
      <w:pPr>
        <w:numPr>
          <w:ilvl w:val="0"/>
          <w:numId w:val="25"/>
        </w:numPr>
        <w:ind w:firstLineChars="0"/>
        <w:rPr>
          <w:rFonts w:ascii="宋体" w:hAnsi="宋体" w:cs="宋体"/>
          <w:color w:val="auto"/>
          <w:highlight w:val="none"/>
        </w:rPr>
      </w:pPr>
      <w:r>
        <w:rPr>
          <w:rFonts w:hint="eastAsia" w:ascii="宋体" w:hAnsi="宋体" w:cs="宋体"/>
          <w:color w:val="auto"/>
          <w:highlight w:val="none"/>
        </w:rPr>
        <w:t>安全管理</w:t>
      </w:r>
    </w:p>
    <w:p>
      <w:pPr>
        <w:ind w:firstLine="420"/>
        <w:rPr>
          <w:rFonts w:ascii="宋体" w:hAnsi="宋体" w:cs="宋体"/>
          <w:color w:val="auto"/>
          <w:highlight w:val="none"/>
        </w:rPr>
      </w:pPr>
      <w:r>
        <w:rPr>
          <w:rFonts w:hint="eastAsia" w:ascii="宋体" w:hAnsi="宋体" w:cs="宋体"/>
          <w:color w:val="auto"/>
          <w:highlight w:val="none"/>
        </w:rPr>
        <w:t>1、网络管理员应根据系统安全需求及时调整网络安全策略，做好防火墙、VPN 交换机的相关安全配置。</w:t>
      </w:r>
    </w:p>
    <w:p>
      <w:pPr>
        <w:ind w:firstLine="420"/>
        <w:rPr>
          <w:rFonts w:ascii="宋体" w:hAnsi="宋体" w:cs="宋体"/>
          <w:color w:val="auto"/>
          <w:highlight w:val="none"/>
        </w:rPr>
      </w:pPr>
      <w:r>
        <w:rPr>
          <w:rFonts w:hint="eastAsia" w:ascii="宋体" w:hAnsi="宋体" w:cs="宋体"/>
          <w:color w:val="auto"/>
          <w:highlight w:val="none"/>
        </w:rPr>
        <w:t>2、对隔离网、防火墙、杀毒软件、VPN 的异常情况及时进行处理。</w:t>
      </w:r>
    </w:p>
    <w:p>
      <w:pPr>
        <w:ind w:firstLine="420"/>
        <w:rPr>
          <w:rFonts w:ascii="宋体" w:hAnsi="宋体" w:cs="宋体"/>
          <w:color w:val="auto"/>
          <w:highlight w:val="none"/>
        </w:rPr>
      </w:pPr>
      <w:r>
        <w:rPr>
          <w:rFonts w:hint="eastAsia" w:ascii="宋体" w:hAnsi="宋体" w:cs="宋体"/>
          <w:color w:val="auto"/>
          <w:highlight w:val="none"/>
        </w:rPr>
        <w:t>3、严格遵守《保密管理办法》，对网络安全信息进行保密，任何人不得将网络系统相关信息，如 IP 地址、网络拓扑等透露给外部人员。</w:t>
      </w:r>
    </w:p>
    <w:p>
      <w:pPr>
        <w:ind w:firstLine="420"/>
        <w:rPr>
          <w:rFonts w:ascii="宋体" w:hAnsi="宋体" w:cs="宋体"/>
          <w:color w:val="auto"/>
          <w:highlight w:val="none"/>
        </w:rPr>
      </w:pPr>
      <w:r>
        <w:rPr>
          <w:rFonts w:hint="eastAsia" w:ascii="宋体" w:hAnsi="宋体" w:cs="宋体"/>
          <w:color w:val="auto"/>
          <w:highlight w:val="none"/>
        </w:rPr>
        <w:t>4、对外部设备的网络接入进行严格控制，重点接入网络的计算机必须经过审批并进行安全配置后方可使用。</w:t>
      </w:r>
    </w:p>
    <w:p>
      <w:pPr>
        <w:ind w:firstLine="420"/>
        <w:rPr>
          <w:rFonts w:ascii="宋体" w:hAnsi="宋体" w:cs="宋体"/>
          <w:color w:val="auto"/>
          <w:highlight w:val="none"/>
        </w:rPr>
      </w:pPr>
      <w:r>
        <w:rPr>
          <w:rFonts w:hint="eastAsia" w:ascii="宋体" w:hAnsi="宋体" w:cs="宋体"/>
          <w:color w:val="auto"/>
          <w:highlight w:val="none"/>
        </w:rPr>
        <w:t>5、网络管理员应严格执行密码管理规定，防止重要密码泄露。</w:t>
      </w:r>
    </w:p>
    <w:p>
      <w:pPr>
        <w:numPr>
          <w:ilvl w:val="0"/>
          <w:numId w:val="25"/>
        </w:numPr>
        <w:ind w:firstLineChars="0"/>
        <w:rPr>
          <w:rFonts w:ascii="宋体" w:hAnsi="宋体" w:cs="宋体"/>
          <w:color w:val="auto"/>
          <w:highlight w:val="none"/>
        </w:rPr>
      </w:pPr>
      <w:r>
        <w:rPr>
          <w:rFonts w:hint="eastAsia" w:ascii="宋体" w:hAnsi="宋体" w:cs="宋体"/>
          <w:color w:val="auto"/>
          <w:highlight w:val="none"/>
        </w:rPr>
        <w:t>机房管理</w:t>
      </w:r>
    </w:p>
    <w:p>
      <w:pPr>
        <w:ind w:firstLine="420"/>
        <w:rPr>
          <w:rFonts w:ascii="宋体" w:hAnsi="宋体" w:cs="宋体"/>
          <w:color w:val="auto"/>
          <w:highlight w:val="none"/>
        </w:rPr>
      </w:pPr>
      <w:r>
        <w:rPr>
          <w:rFonts w:hint="eastAsia" w:ascii="宋体" w:hAnsi="宋体" w:cs="宋体"/>
          <w:color w:val="auto"/>
          <w:highlight w:val="none"/>
        </w:rPr>
        <w:t>1、运维运营团队对机房进行日常管理。</w:t>
      </w:r>
    </w:p>
    <w:p>
      <w:pPr>
        <w:ind w:firstLine="420"/>
        <w:rPr>
          <w:rFonts w:ascii="宋体" w:hAnsi="宋体" w:cs="宋体"/>
          <w:color w:val="auto"/>
          <w:highlight w:val="none"/>
        </w:rPr>
      </w:pPr>
      <w:r>
        <w:rPr>
          <w:rFonts w:hint="eastAsia" w:ascii="宋体" w:hAnsi="宋体" w:cs="宋体"/>
          <w:color w:val="auto"/>
          <w:highlight w:val="none"/>
        </w:rPr>
        <w:t>2、进入机房作业的，应该填写作业票并经运维运营团队经理批准后方可进入机房开展相关工作。</w:t>
      </w:r>
    </w:p>
    <w:p>
      <w:pPr>
        <w:ind w:firstLine="420"/>
        <w:rPr>
          <w:rFonts w:ascii="宋体" w:hAnsi="宋体" w:cs="宋体"/>
          <w:color w:val="auto"/>
          <w:highlight w:val="none"/>
        </w:rPr>
      </w:pPr>
      <w:r>
        <w:rPr>
          <w:rFonts w:hint="eastAsia" w:ascii="宋体" w:hAnsi="宋体" w:cs="宋体"/>
          <w:color w:val="auto"/>
          <w:highlight w:val="none"/>
        </w:rPr>
        <w:t>3、非运维运营团队人员进入机房的，应由运维运营团队人员陪同并做好监护作。</w:t>
      </w:r>
    </w:p>
    <w:p>
      <w:pPr>
        <w:ind w:firstLine="420"/>
        <w:rPr>
          <w:rFonts w:ascii="宋体" w:hAnsi="宋体" w:cs="宋体"/>
          <w:color w:val="auto"/>
          <w:highlight w:val="none"/>
        </w:rPr>
      </w:pPr>
      <w:r>
        <w:rPr>
          <w:rFonts w:hint="eastAsia" w:ascii="宋体" w:hAnsi="宋体" w:cs="宋体"/>
          <w:color w:val="auto"/>
          <w:highlight w:val="none"/>
        </w:rPr>
        <w:t>4、工作人员离开工作区域前，应保证工作区域内保存的重要文件、资料、设备数据处于安全保护状态。</w:t>
      </w:r>
    </w:p>
    <w:p>
      <w:pPr>
        <w:ind w:firstLine="420"/>
        <w:rPr>
          <w:rFonts w:ascii="宋体" w:hAnsi="宋体" w:cs="宋体"/>
          <w:color w:val="auto"/>
          <w:highlight w:val="none"/>
        </w:rPr>
      </w:pPr>
      <w:r>
        <w:rPr>
          <w:rFonts w:hint="eastAsia" w:ascii="宋体" w:hAnsi="宋体" w:cs="宋体"/>
          <w:color w:val="auto"/>
          <w:highlight w:val="none"/>
        </w:rPr>
        <w:t>5、离开机房时必须检査和关闭重点机房门窗、锁定防盗企业。</w:t>
      </w:r>
    </w:p>
    <w:p>
      <w:pPr>
        <w:ind w:firstLine="420"/>
        <w:rPr>
          <w:rFonts w:ascii="宋体" w:hAnsi="宋体" w:cs="宋体"/>
          <w:color w:val="auto"/>
          <w:highlight w:val="none"/>
        </w:rPr>
      </w:pPr>
      <w:r>
        <w:rPr>
          <w:rFonts w:hint="eastAsia" w:ascii="宋体" w:hAnsi="宋体" w:cs="宋体"/>
          <w:color w:val="auto"/>
          <w:highlight w:val="none"/>
        </w:rPr>
        <w:t>6、严禁携带易燃、易爆、腐蚀性、强电磁、辐射性、流体物质等对设备正常运行构成威胁的物品进入机房。</w:t>
      </w:r>
    </w:p>
    <w:p>
      <w:pPr>
        <w:ind w:firstLine="420"/>
        <w:rPr>
          <w:rFonts w:ascii="宋体" w:hAnsi="宋体" w:cs="宋体"/>
          <w:color w:val="auto"/>
          <w:highlight w:val="none"/>
        </w:rPr>
      </w:pPr>
      <w:r>
        <w:rPr>
          <w:rFonts w:hint="eastAsia" w:ascii="宋体" w:hAnsi="宋体" w:cs="宋体"/>
          <w:color w:val="auto"/>
          <w:highlight w:val="none"/>
        </w:rPr>
        <w:t>7、禁止将机房钥匙外借给其他人员。对于遗失钥匙的情况要即时上报。</w:t>
      </w:r>
    </w:p>
    <w:p>
      <w:pPr>
        <w:ind w:firstLine="420"/>
        <w:rPr>
          <w:rFonts w:ascii="宋体" w:hAnsi="宋体" w:cs="宋体"/>
          <w:color w:val="auto"/>
          <w:highlight w:val="none"/>
        </w:rPr>
      </w:pPr>
      <w:r>
        <w:rPr>
          <w:rFonts w:hint="eastAsia" w:ascii="宋体" w:hAnsi="宋体" w:cs="宋体"/>
          <w:color w:val="auto"/>
          <w:highlight w:val="none"/>
        </w:rPr>
        <w:t>8、出现机房盗窃、破门、火警、水浸等严重事件时，机房工作人员应及时到达现场，协助处理相关的事件。</w:t>
      </w:r>
    </w:p>
    <w:p>
      <w:pPr>
        <w:ind w:firstLine="420"/>
        <w:rPr>
          <w:rFonts w:ascii="宋体" w:hAnsi="宋体" w:cs="宋体"/>
          <w:color w:val="auto"/>
          <w:highlight w:val="none"/>
        </w:rPr>
      </w:pPr>
      <w:r>
        <w:rPr>
          <w:rFonts w:hint="eastAsia" w:ascii="宋体" w:hAnsi="宋体" w:cs="宋体"/>
          <w:color w:val="auto"/>
          <w:highlight w:val="none"/>
        </w:rPr>
        <w:t>9、机房管理员应完整保存计算机及其相关设备的驱动程序、配置文件及重要随机文件。</w:t>
      </w:r>
    </w:p>
    <w:p>
      <w:pPr>
        <w:ind w:firstLine="420"/>
        <w:rPr>
          <w:rFonts w:ascii="宋体" w:hAnsi="宋体" w:cs="宋体"/>
          <w:color w:val="auto"/>
          <w:highlight w:val="none"/>
        </w:rPr>
      </w:pPr>
      <w:r>
        <w:rPr>
          <w:rFonts w:hint="eastAsia" w:ascii="宋体" w:hAnsi="宋体" w:cs="宋体"/>
          <w:color w:val="auto"/>
          <w:highlight w:val="none"/>
        </w:rPr>
        <w:t>10、防火墙、交换机和服务器以及通信设备是网络的关键设备，未经批准不得自行配置或更换，更不能挪作它用。</w:t>
      </w:r>
    </w:p>
    <w:p>
      <w:pPr>
        <w:ind w:firstLine="420"/>
        <w:rPr>
          <w:rFonts w:ascii="宋体" w:hAnsi="宋体" w:cs="宋体"/>
          <w:color w:val="auto"/>
          <w:highlight w:val="none"/>
        </w:rPr>
      </w:pPr>
      <w:r>
        <w:rPr>
          <w:rFonts w:hint="eastAsia" w:ascii="宋体" w:hAnsi="宋体" w:cs="宋体"/>
          <w:color w:val="auto"/>
          <w:highlight w:val="none"/>
        </w:rPr>
        <w:t>11、机房管理员应保持机房清洁卫生。</w:t>
      </w:r>
    </w:p>
    <w:p>
      <w:pPr>
        <w:ind w:firstLine="420"/>
        <w:rPr>
          <w:rFonts w:ascii="宋体" w:hAnsi="宋体" w:cs="宋体"/>
          <w:color w:val="auto"/>
          <w:highlight w:val="none"/>
        </w:rPr>
      </w:pPr>
      <w:r>
        <w:rPr>
          <w:rFonts w:hint="eastAsia" w:ascii="宋体" w:hAnsi="宋体" w:cs="宋体"/>
          <w:color w:val="auto"/>
          <w:highlight w:val="none"/>
        </w:rPr>
        <w:t>12、机房内部信息数据保密，任何人员未经批准严禁泄露、外借和转移信息数据。</w:t>
      </w:r>
    </w:p>
    <w:p>
      <w:pPr>
        <w:ind w:firstLine="420"/>
        <w:rPr>
          <w:rFonts w:ascii="宋体" w:hAnsi="宋体" w:cs="宋体"/>
          <w:color w:val="auto"/>
          <w:highlight w:val="none"/>
        </w:rPr>
      </w:pPr>
      <w:r>
        <w:rPr>
          <w:rFonts w:hint="eastAsia" w:ascii="宋体" w:hAnsi="宋体" w:cs="宋体"/>
          <w:color w:val="auto"/>
          <w:highlight w:val="none"/>
        </w:rPr>
        <w:t>13、机房管理员应具备病毒防范意识，应不定期进行病毒检测，发现病毒立即处理并通知管理部门或专职人员。</w:t>
      </w:r>
    </w:p>
    <w:p>
      <w:pPr>
        <w:ind w:firstLine="420"/>
        <w:rPr>
          <w:rFonts w:ascii="宋体" w:hAnsi="宋体" w:cs="宋体"/>
          <w:color w:val="auto"/>
          <w:highlight w:val="none"/>
        </w:rPr>
      </w:pPr>
      <w:r>
        <w:rPr>
          <w:rFonts w:hint="eastAsia" w:ascii="宋体" w:hAnsi="宋体" w:cs="宋体"/>
          <w:color w:val="auto"/>
          <w:highlight w:val="none"/>
        </w:rPr>
        <w:t>14、不得在机房服务器上安装新软件。如果因工作需要安装相关软件，安装前应进行病毒检测，并办理工作票。</w:t>
      </w:r>
    </w:p>
    <w:p>
      <w:pPr>
        <w:ind w:firstLine="420"/>
        <w:rPr>
          <w:rFonts w:ascii="宋体" w:hAnsi="宋体" w:cs="宋体"/>
          <w:color w:val="auto"/>
          <w:highlight w:val="none"/>
        </w:rPr>
      </w:pPr>
      <w:r>
        <w:rPr>
          <w:rFonts w:hint="eastAsia" w:ascii="宋体" w:hAnsi="宋体" w:cs="宋体"/>
          <w:color w:val="auto"/>
          <w:highlight w:val="none"/>
        </w:rPr>
        <w:t>15、机房管理员做好机房空调的日常检工作，对空调出现的故障问题及时报修。</w:t>
      </w:r>
    </w:p>
    <w:p>
      <w:pPr>
        <w:numPr>
          <w:ilvl w:val="0"/>
          <w:numId w:val="25"/>
        </w:numPr>
        <w:ind w:firstLineChars="0"/>
        <w:rPr>
          <w:rFonts w:ascii="宋体" w:hAnsi="宋体" w:cs="宋体"/>
          <w:color w:val="auto"/>
          <w:highlight w:val="none"/>
        </w:rPr>
      </w:pPr>
      <w:r>
        <w:rPr>
          <w:rFonts w:hint="eastAsia" w:ascii="宋体" w:hAnsi="宋体" w:cs="宋体"/>
          <w:color w:val="auto"/>
          <w:highlight w:val="none"/>
        </w:rPr>
        <w:t>密码管理</w:t>
      </w:r>
    </w:p>
    <w:p>
      <w:pPr>
        <w:ind w:firstLine="420"/>
        <w:rPr>
          <w:rFonts w:ascii="宋体" w:hAnsi="宋体" w:cs="宋体"/>
          <w:color w:val="auto"/>
          <w:highlight w:val="none"/>
        </w:rPr>
      </w:pPr>
      <w:r>
        <w:rPr>
          <w:rFonts w:hint="eastAsia" w:ascii="宋体" w:hAnsi="宋体" w:cs="宋体"/>
          <w:color w:val="auto"/>
          <w:highlight w:val="none"/>
        </w:rPr>
        <w:t>1、数据库、及服务器的密码统一管理，做好保密工作，如因密码泄露造成数据被恶意删除、系统被意破坏，对当事人进行追责。</w:t>
      </w:r>
    </w:p>
    <w:p>
      <w:pPr>
        <w:ind w:firstLine="420"/>
        <w:rPr>
          <w:rFonts w:ascii="宋体" w:hAnsi="宋体" w:cs="宋体"/>
          <w:color w:val="auto"/>
          <w:szCs w:val="21"/>
          <w:highlight w:val="none"/>
        </w:rPr>
      </w:pPr>
      <w:r>
        <w:rPr>
          <w:rFonts w:hint="eastAsia" w:ascii="宋体" w:hAnsi="宋体" w:cs="宋体"/>
          <w:color w:val="auto"/>
          <w:highlight w:val="none"/>
        </w:rPr>
        <w:t>2、各企业如需建立平台用户权限，办理审批流程后方可开通。各用户只允许按照要求对本单位台帐信息进行查询、录入、更新，凡意删除平台系统数据信息造成系统无法运行的，对当事人进行追责。</w:t>
      </w:r>
    </w:p>
    <w:p>
      <w:pPr>
        <w:numPr>
          <w:ilvl w:val="0"/>
          <w:numId w:val="25"/>
        </w:numPr>
        <w:ind w:firstLineChars="0"/>
        <w:rPr>
          <w:rFonts w:ascii="宋体" w:hAnsi="宋体" w:cs="宋体"/>
          <w:color w:val="auto"/>
          <w:highlight w:val="none"/>
        </w:rPr>
      </w:pPr>
      <w:bookmarkStart w:id="1680" w:name="_Toc21786"/>
      <w:bookmarkStart w:id="1681" w:name="_Toc22216"/>
      <w:bookmarkStart w:id="1682" w:name="_Toc16034"/>
      <w:bookmarkStart w:id="1683" w:name="_Toc9105"/>
      <w:bookmarkStart w:id="1684" w:name="_Toc15930"/>
      <w:bookmarkStart w:id="1685" w:name="_Toc26990"/>
      <w:r>
        <w:rPr>
          <w:rFonts w:hint="eastAsia" w:ascii="宋体" w:hAnsi="宋体" w:cs="宋体"/>
          <w:color w:val="auto"/>
          <w:highlight w:val="none"/>
        </w:rPr>
        <w:t>机房硬件运维</w:t>
      </w:r>
      <w:bookmarkEnd w:id="1680"/>
      <w:bookmarkEnd w:id="1681"/>
      <w:bookmarkEnd w:id="1682"/>
      <w:bookmarkEnd w:id="1683"/>
      <w:bookmarkEnd w:id="1684"/>
      <w:bookmarkEnd w:id="1685"/>
    </w:p>
    <w:p>
      <w:pPr>
        <w:ind w:firstLine="420"/>
        <w:rPr>
          <w:rFonts w:ascii="宋体" w:hAnsi="宋体" w:cs="宋体"/>
          <w:color w:val="auto"/>
          <w:highlight w:val="none"/>
        </w:rPr>
      </w:pPr>
      <w:r>
        <w:rPr>
          <w:rFonts w:hint="eastAsia" w:ascii="宋体" w:hAnsi="宋体" w:cs="宋体"/>
          <w:color w:val="auto"/>
          <w:highlight w:val="none"/>
        </w:rPr>
        <w:t>运维运营团队每日两次对机房硬件设备进行巡检，并做好相关记录工作；未经运维运营团队经理允许，禁止任何人擅动机房硬件设备</w:t>
      </w:r>
    </w:p>
    <w:p>
      <w:pPr>
        <w:numPr>
          <w:ilvl w:val="0"/>
          <w:numId w:val="26"/>
        </w:numPr>
        <w:ind w:firstLine="420"/>
        <w:rPr>
          <w:rFonts w:ascii="宋体" w:hAnsi="宋体" w:cs="宋体"/>
          <w:color w:val="auto"/>
          <w:highlight w:val="none"/>
        </w:rPr>
      </w:pPr>
      <w:r>
        <w:rPr>
          <w:rFonts w:hint="eastAsia" w:ascii="宋体" w:hAnsi="宋体" w:cs="宋体"/>
          <w:color w:val="auto"/>
          <w:highlight w:val="none"/>
        </w:rPr>
        <w:t>机房主机设备维护管理</w:t>
      </w:r>
    </w:p>
    <w:p>
      <w:pPr>
        <w:ind w:firstLine="420"/>
        <w:rPr>
          <w:rFonts w:ascii="宋体" w:hAnsi="宋体" w:cs="宋体"/>
          <w:color w:val="auto"/>
          <w:highlight w:val="none"/>
        </w:rPr>
      </w:pPr>
      <w:r>
        <w:rPr>
          <w:rFonts w:hint="eastAsia" w:ascii="宋体" w:hAnsi="宋体" w:cs="宋体"/>
          <w:color w:val="auto"/>
          <w:highlight w:val="none"/>
        </w:rPr>
        <w:t>计算机服务器（包括 PC 服务器及存储服务器）、网络设备（交换设备等）；</w:t>
      </w:r>
    </w:p>
    <w:p>
      <w:pPr>
        <w:ind w:firstLine="420"/>
        <w:rPr>
          <w:rFonts w:ascii="宋体" w:hAnsi="宋体" w:cs="宋体"/>
          <w:color w:val="auto"/>
          <w:highlight w:val="none"/>
        </w:rPr>
      </w:pPr>
      <w:r>
        <w:rPr>
          <w:rFonts w:hint="eastAsia" w:ascii="宋体" w:hAnsi="宋体" w:cs="宋体"/>
          <w:color w:val="auto"/>
          <w:highlight w:val="none"/>
        </w:rPr>
        <w:t>1、单板状态检查；2、电源模块状态检查；3、风扇状态检查；4、整机指示灯状态检査；5、机框防尘网检查；6、设备地线检查。</w:t>
      </w:r>
    </w:p>
    <w:p>
      <w:pPr>
        <w:numPr>
          <w:ilvl w:val="0"/>
          <w:numId w:val="26"/>
        </w:numPr>
        <w:ind w:firstLine="420"/>
        <w:rPr>
          <w:rFonts w:ascii="宋体" w:hAnsi="宋体" w:cs="宋体"/>
          <w:color w:val="auto"/>
          <w:highlight w:val="none"/>
        </w:rPr>
      </w:pPr>
      <w:r>
        <w:rPr>
          <w:rFonts w:hint="eastAsia" w:ascii="宋体" w:hAnsi="宋体" w:cs="宋体"/>
          <w:color w:val="auto"/>
          <w:highlight w:val="none"/>
        </w:rPr>
        <w:t>机房监控设备维护管理</w:t>
      </w:r>
    </w:p>
    <w:p>
      <w:pPr>
        <w:ind w:firstLine="420"/>
        <w:rPr>
          <w:rFonts w:ascii="宋体" w:hAnsi="宋体" w:cs="宋体"/>
          <w:color w:val="auto"/>
          <w:highlight w:val="none"/>
        </w:rPr>
      </w:pPr>
      <w:r>
        <w:rPr>
          <w:rFonts w:hint="eastAsia" w:ascii="宋体" w:hAnsi="宋体" w:cs="宋体"/>
          <w:color w:val="auto"/>
          <w:highlight w:val="none"/>
        </w:rPr>
        <w:t>供配电监测系统、温度烟感等环境检测系统、监控监测设备。</w:t>
      </w:r>
    </w:p>
    <w:p>
      <w:pPr>
        <w:ind w:firstLine="420"/>
        <w:rPr>
          <w:rFonts w:ascii="宋体" w:hAnsi="宋体" w:cs="宋体"/>
          <w:color w:val="auto"/>
          <w:highlight w:val="none"/>
        </w:rPr>
      </w:pPr>
      <w:r>
        <w:rPr>
          <w:rFonts w:hint="eastAsia" w:ascii="宋体" w:hAnsi="宋体" w:cs="宋体"/>
          <w:color w:val="auto"/>
          <w:highlight w:val="none"/>
        </w:rPr>
        <w:t>1、机房供电设备检查；2、机房温度、烟感、湿度检查； 3、机房监控摄像头检查。</w:t>
      </w:r>
    </w:p>
    <w:p>
      <w:pPr>
        <w:numPr>
          <w:ilvl w:val="0"/>
          <w:numId w:val="26"/>
        </w:numPr>
        <w:ind w:firstLine="420"/>
        <w:rPr>
          <w:rFonts w:ascii="宋体" w:hAnsi="宋体" w:cs="宋体"/>
          <w:color w:val="auto"/>
          <w:highlight w:val="none"/>
        </w:rPr>
      </w:pPr>
      <w:r>
        <w:rPr>
          <w:rFonts w:hint="eastAsia" w:ascii="宋体" w:hAnsi="宋体" w:cs="宋体"/>
          <w:color w:val="auto"/>
          <w:highlight w:val="none"/>
        </w:rPr>
        <w:t>机房空调消防与配电设备维护管理</w:t>
      </w:r>
    </w:p>
    <w:p>
      <w:pPr>
        <w:ind w:firstLine="420"/>
        <w:rPr>
          <w:rFonts w:ascii="宋体" w:hAnsi="宋体" w:cs="宋体"/>
          <w:color w:val="auto"/>
          <w:highlight w:val="none"/>
        </w:rPr>
      </w:pPr>
      <w:r>
        <w:rPr>
          <w:rFonts w:hint="eastAsia" w:ascii="宋体" w:hAnsi="宋体" w:cs="宋体"/>
          <w:color w:val="auto"/>
          <w:highlight w:val="none"/>
        </w:rPr>
        <w:t>1、空调设备；2、新风设备；3、消防设备；4、UPS 电池、主配电箱。</w:t>
      </w:r>
    </w:p>
    <w:p>
      <w:pPr>
        <w:numPr>
          <w:ilvl w:val="0"/>
          <w:numId w:val="26"/>
        </w:numPr>
        <w:ind w:firstLine="420"/>
        <w:rPr>
          <w:rFonts w:ascii="宋体" w:hAnsi="宋体" w:cs="宋体"/>
          <w:color w:val="auto"/>
          <w:highlight w:val="none"/>
        </w:rPr>
      </w:pPr>
      <w:r>
        <w:rPr>
          <w:rFonts w:hint="eastAsia" w:ascii="宋体" w:hAnsi="宋体" w:cs="宋体"/>
          <w:color w:val="auto"/>
          <w:highlight w:val="none"/>
        </w:rPr>
        <w:t>机房电路及照明维护管理</w:t>
      </w:r>
    </w:p>
    <w:p>
      <w:pPr>
        <w:ind w:firstLine="420"/>
        <w:rPr>
          <w:rFonts w:ascii="宋体" w:hAnsi="宋体" w:cs="宋体"/>
          <w:color w:val="auto"/>
          <w:highlight w:val="none"/>
        </w:rPr>
      </w:pPr>
      <w:r>
        <w:rPr>
          <w:rFonts w:hint="eastAsia" w:ascii="宋体" w:hAnsi="宋体" w:cs="宋体"/>
          <w:color w:val="auto"/>
          <w:highlight w:val="none"/>
        </w:rPr>
        <w:t>电路管线及接口的检查维护。</w:t>
      </w:r>
    </w:p>
    <w:p>
      <w:pPr>
        <w:numPr>
          <w:ilvl w:val="0"/>
          <w:numId w:val="26"/>
        </w:numPr>
        <w:ind w:firstLine="420"/>
        <w:rPr>
          <w:rFonts w:ascii="宋体" w:hAnsi="宋体" w:cs="宋体"/>
          <w:color w:val="auto"/>
          <w:highlight w:val="none"/>
        </w:rPr>
      </w:pPr>
      <w:r>
        <w:rPr>
          <w:rFonts w:hint="eastAsia" w:ascii="宋体" w:hAnsi="宋体" w:cs="宋体"/>
          <w:color w:val="auto"/>
          <w:highlight w:val="none"/>
        </w:rPr>
        <w:t>机房基础维护管理</w:t>
      </w:r>
    </w:p>
    <w:p>
      <w:pPr>
        <w:ind w:firstLine="420"/>
        <w:rPr>
          <w:rFonts w:ascii="宋体" w:hAnsi="宋体" w:cs="宋体"/>
          <w:color w:val="auto"/>
          <w:highlight w:val="none"/>
        </w:rPr>
      </w:pPr>
      <w:r>
        <w:rPr>
          <w:rFonts w:hint="eastAsia" w:ascii="宋体" w:hAnsi="宋体" w:cs="宋体"/>
          <w:color w:val="auto"/>
          <w:highlight w:val="none"/>
        </w:rPr>
        <w:t>1、机柜线路的整理；2、标签检更换 3、机房除尘清洁；4、防火地板、墙面、吊顶、门窗及相关配套的维护管理。</w:t>
      </w:r>
    </w:p>
    <w:p>
      <w:pPr>
        <w:pStyle w:val="5"/>
        <w:ind w:firstLine="422"/>
        <w:rPr>
          <w:rFonts w:ascii="宋体" w:hAnsi="宋体" w:cs="宋体"/>
          <w:color w:val="auto"/>
          <w:highlight w:val="none"/>
        </w:rPr>
      </w:pPr>
      <w:r>
        <w:rPr>
          <w:rFonts w:hint="eastAsia" w:ascii="宋体" w:hAnsi="宋体" w:cs="宋体"/>
          <w:color w:val="auto"/>
          <w:highlight w:val="none"/>
        </w:rPr>
        <w:t>参观接待</w:t>
      </w:r>
    </w:p>
    <w:p>
      <w:pPr>
        <w:pStyle w:val="6"/>
        <w:ind w:firstLine="420"/>
        <w:rPr>
          <w:rFonts w:ascii="宋体" w:hAnsi="宋体"/>
          <w:color w:val="auto"/>
          <w:highlight w:val="none"/>
        </w:rPr>
      </w:pPr>
      <w:r>
        <w:rPr>
          <w:rFonts w:hint="eastAsia" w:ascii="宋体" w:hAnsi="宋体"/>
          <w:color w:val="auto"/>
          <w:highlight w:val="none"/>
        </w:rPr>
        <w:t>智慧园区平台作为一个对外展示的门户，外来客户的参观活动较为频繁，运维运营团队需认真对待，做好客户参观的讲解与接待工作，记录参观信息并做好善后工作。</w:t>
      </w:r>
    </w:p>
    <w:p>
      <w:pPr>
        <w:ind w:firstLine="420"/>
        <w:jc w:val="left"/>
        <w:rPr>
          <w:rFonts w:ascii="宋体" w:hAnsi="宋体" w:cs="宋体"/>
          <w:color w:val="auto"/>
          <w:szCs w:val="21"/>
          <w:highlight w:val="none"/>
        </w:rPr>
      </w:pPr>
    </w:p>
    <w:p>
      <w:pPr>
        <w:pStyle w:val="3"/>
        <w:ind w:firstLine="602"/>
        <w:rPr>
          <w:rFonts w:ascii="宋体" w:hAnsi="宋体" w:cs="宋体"/>
          <w:color w:val="auto"/>
          <w:highlight w:val="none"/>
        </w:rPr>
      </w:pPr>
      <w:r>
        <w:rPr>
          <w:rFonts w:hint="eastAsia" w:ascii="宋体" w:hAnsi="宋体" w:cs="宋体"/>
          <w:color w:val="auto"/>
          <w:highlight w:val="none"/>
        </w:rPr>
        <w:br w:type="page"/>
      </w:r>
      <w:bookmarkStart w:id="1686" w:name="_Toc27299"/>
      <w:bookmarkStart w:id="1687" w:name="_Toc18925"/>
      <w:bookmarkStart w:id="1688" w:name="_Toc9207"/>
      <w:bookmarkStart w:id="1689" w:name="_Toc11061"/>
      <w:bookmarkStart w:id="1690" w:name="_Toc21184"/>
      <w:bookmarkStart w:id="1691" w:name="_Toc476216619"/>
      <w:bookmarkStart w:id="1692" w:name="_Toc23667"/>
      <w:bookmarkStart w:id="1693" w:name="_Toc5496"/>
      <w:bookmarkStart w:id="1694" w:name="_Toc22453"/>
      <w:bookmarkStart w:id="1695" w:name="_Toc9270"/>
      <w:bookmarkStart w:id="1696" w:name="_Toc476216658"/>
      <w:bookmarkStart w:id="1697" w:name="_Toc30451"/>
      <w:bookmarkStart w:id="1698" w:name="_Toc28268"/>
      <w:bookmarkStart w:id="1699" w:name="_Toc530"/>
      <w:r>
        <w:rPr>
          <w:rFonts w:hint="eastAsia" w:ascii="宋体" w:hAnsi="宋体" w:cs="宋体"/>
          <w:color w:val="auto"/>
          <w:highlight w:val="none"/>
        </w:rPr>
        <w:t>第三章  投标人须知</w:t>
      </w:r>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p>
    <w:p>
      <w:pPr>
        <w:ind w:firstLine="420"/>
        <w:jc w:val="center"/>
        <w:rPr>
          <w:rFonts w:ascii="宋体" w:hAnsi="宋体" w:cs="宋体"/>
          <w:color w:val="auto"/>
          <w:highlight w:val="none"/>
        </w:rPr>
      </w:pPr>
      <w:r>
        <w:rPr>
          <w:rFonts w:hint="eastAsia" w:ascii="宋体" w:hAnsi="宋体" w:cs="宋体"/>
          <w:color w:val="auto"/>
          <w:highlight w:val="none"/>
        </w:rPr>
        <w:t>前附表</w:t>
      </w:r>
    </w:p>
    <w:tbl>
      <w:tblPr>
        <w:tblStyle w:val="37"/>
        <w:tblW w:w="907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67"/>
        <w:gridCol w:w="830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9" w:hRule="atLeast"/>
          <w:jc w:val="center"/>
        </w:trPr>
        <w:tc>
          <w:tcPr>
            <w:tcW w:w="76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8309" w:type="dxa"/>
            <w:tcBorders>
              <w:top w:val="single" w:color="auto" w:sz="4" w:space="0"/>
              <w:left w:val="single" w:color="auto" w:sz="4" w:space="0"/>
              <w:bottom w:val="single" w:color="auto" w:sz="4" w:space="0"/>
              <w:right w:val="single" w:color="auto" w:sz="4" w:space="0"/>
            </w:tcBorders>
            <w:vAlign w:val="center"/>
          </w:tcPr>
          <w:p>
            <w:pPr>
              <w:ind w:firstLine="56" w:firstLineChars="27"/>
              <w:jc w:val="center"/>
              <w:rPr>
                <w:rFonts w:ascii="宋体" w:hAnsi="宋体" w:cs="宋体"/>
                <w:color w:val="auto"/>
                <w:szCs w:val="21"/>
                <w:highlight w:val="none"/>
              </w:rPr>
            </w:pPr>
            <w:r>
              <w:rPr>
                <w:rFonts w:hint="eastAsia" w:ascii="宋体" w:hAnsi="宋体" w:cs="宋体"/>
                <w:color w:val="auto"/>
                <w:szCs w:val="21"/>
                <w:highlight w:val="none"/>
              </w:rPr>
              <w:t>内容、要求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0" w:hRule="atLeast"/>
          <w:jc w:val="center"/>
        </w:trPr>
        <w:tc>
          <w:tcPr>
            <w:tcW w:w="76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1</w:t>
            </w:r>
          </w:p>
        </w:tc>
        <w:tc>
          <w:tcPr>
            <w:tcW w:w="8309"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项目名称：</w:t>
            </w:r>
            <w:r>
              <w:rPr>
                <w:rFonts w:hint="eastAsia" w:ascii="宋体" w:hAnsi="宋体" w:cs="宋体"/>
                <w:color w:val="auto"/>
                <w:highlight w:val="none"/>
              </w:rPr>
              <w:t>宁波石化经济技术开发区智慧园区一期项目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6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*2</w:t>
            </w:r>
          </w:p>
        </w:tc>
        <w:tc>
          <w:tcPr>
            <w:tcW w:w="8309"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投标报价及费用：</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报价要求：详见第二章招标需求。</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不论投标结果如何，投标人均应自行承担所有与投标有关的全部费用。</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中标服务费的收取标准：由代理机构根据国家发改委发改办价格[2003]857号通知和国家计委计价格[2002]1980号文件中服务招标费率，按照中标通知书确定的中标金额，向中标人收取中标服务费。</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有关本项目的中标服务费汇入以下账户：</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开户银行：宁波银行科技支行</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账   号：31010122000005488</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户    名：宁波中基国际招标有限公司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8" w:hRule="atLeast"/>
          <w:jc w:val="center"/>
        </w:trPr>
        <w:tc>
          <w:tcPr>
            <w:tcW w:w="76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3</w:t>
            </w:r>
          </w:p>
        </w:tc>
        <w:tc>
          <w:tcPr>
            <w:tcW w:w="8309"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现场踏勘：本项目不统一组织现场勘踏，各投标人可自行前往勘察现场和周围环境，所产生的费用由投标人自理。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8" w:hRule="atLeast"/>
          <w:jc w:val="center"/>
        </w:trPr>
        <w:tc>
          <w:tcPr>
            <w:tcW w:w="76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4</w:t>
            </w:r>
          </w:p>
        </w:tc>
        <w:tc>
          <w:tcPr>
            <w:tcW w:w="8309"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cs="宋体"/>
                <w:color w:val="auto"/>
                <w:highlight w:val="none"/>
              </w:rPr>
            </w:pPr>
            <w:r>
              <w:rPr>
                <w:rFonts w:hint="eastAsia" w:ascii="宋体" w:hAnsi="宋体" w:cs="宋体"/>
                <w:color w:val="auto"/>
                <w:highlight w:val="none"/>
              </w:rPr>
              <w:t>投标文件组成：本项目实行网上投标，供应商应准备以下投标文件：</w:t>
            </w:r>
          </w:p>
          <w:p>
            <w:pPr>
              <w:ind w:firstLine="0" w:firstLineChars="0"/>
              <w:rPr>
                <w:rFonts w:ascii="宋体" w:hAnsi="宋体" w:cs="宋体"/>
                <w:color w:val="auto"/>
                <w:highlight w:val="none"/>
              </w:rPr>
            </w:pPr>
            <w:r>
              <w:rPr>
                <w:rFonts w:hint="eastAsia" w:ascii="宋体" w:hAnsi="宋体" w:cs="宋体"/>
                <w:color w:val="auto"/>
                <w:highlight w:val="none"/>
              </w:rPr>
              <w:t>（1）供应商于“政采云”上提供电子投标文件。</w:t>
            </w:r>
          </w:p>
          <w:p>
            <w:pPr>
              <w:ind w:firstLine="0" w:firstLineChars="0"/>
              <w:rPr>
                <w:rFonts w:ascii="宋体" w:hAnsi="宋体" w:cs="宋体"/>
                <w:color w:val="auto"/>
                <w:highlight w:val="none"/>
              </w:rPr>
            </w:pPr>
            <w:r>
              <w:rPr>
                <w:rFonts w:hint="eastAsia" w:ascii="宋体" w:hAnsi="宋体" w:cs="宋体"/>
                <w:color w:val="auto"/>
                <w:highlight w:val="none"/>
              </w:rPr>
              <w:t>（2）以U盘形式提供的备份电子投标文件数量1份。</w:t>
            </w:r>
          </w:p>
          <w:p>
            <w:pPr>
              <w:pStyle w:val="2"/>
              <w:ind w:firstLine="0" w:firstLineChars="0"/>
              <w:rPr>
                <w:rFonts w:ascii="宋体" w:hAnsi="宋体" w:eastAsia="宋体" w:cs="宋体"/>
                <w:color w:val="auto"/>
                <w:highlight w:val="none"/>
              </w:rPr>
            </w:pPr>
            <w:r>
              <w:rPr>
                <w:rFonts w:hint="eastAsia" w:ascii="宋体" w:hAnsi="宋体" w:eastAsia="宋体" w:cs="宋体"/>
                <w:color w:val="auto"/>
                <w:sz w:val="21"/>
                <w:szCs w:val="21"/>
                <w:highlight w:val="none"/>
              </w:rPr>
              <w:t>（3）备份纸质投标文件：正本 1份、副本4份。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76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5</w:t>
            </w:r>
          </w:p>
        </w:tc>
        <w:tc>
          <w:tcPr>
            <w:tcW w:w="8309"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投标截止时间及地点：详见第一章公开招标采购公告。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6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6</w:t>
            </w:r>
          </w:p>
        </w:tc>
        <w:tc>
          <w:tcPr>
            <w:tcW w:w="8309"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开标时间及地点：详见第一章公开招标采购公告。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6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7</w:t>
            </w:r>
          </w:p>
        </w:tc>
        <w:tc>
          <w:tcPr>
            <w:tcW w:w="8309"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评标办法及评分标准：详见第四章。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6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8</w:t>
            </w:r>
          </w:p>
        </w:tc>
        <w:tc>
          <w:tcPr>
            <w:tcW w:w="8309"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评标结果公示：评标结束后，评标结果公示于浙江政府采购网、镇海区公共资源交易中心网站、宁波中基国际招标有限公司网站。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6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9</w:t>
            </w:r>
          </w:p>
        </w:tc>
        <w:tc>
          <w:tcPr>
            <w:tcW w:w="8309"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签订合同：中标通知书发出后30日内。</w:t>
            </w:r>
          </w:p>
          <w:p>
            <w:pPr>
              <w:ind w:firstLine="0" w:firstLineChars="0"/>
              <w:rPr>
                <w:rFonts w:ascii="宋体" w:hAnsi="宋体" w:cs="宋体"/>
                <w:color w:val="auto"/>
                <w:szCs w:val="21"/>
                <w:highlight w:val="none"/>
              </w:rPr>
            </w:pPr>
            <w:r>
              <w:rPr>
                <w:rFonts w:hint="eastAsia" w:ascii="宋体" w:hAnsi="宋体" w:cs="宋体"/>
                <w:color w:val="auto"/>
                <w:szCs w:val="21"/>
                <w:highlight w:val="none"/>
              </w:rPr>
              <w:t>合同货款由宁波石化经济技术开发区管理委员会直接财政支付。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5" w:hRule="atLeast"/>
          <w:jc w:val="center"/>
        </w:trPr>
        <w:tc>
          <w:tcPr>
            <w:tcW w:w="76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10</w:t>
            </w:r>
          </w:p>
        </w:tc>
        <w:tc>
          <w:tcPr>
            <w:tcW w:w="8309"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履约保证金的收取及退还；</w:t>
            </w:r>
          </w:p>
          <w:p>
            <w:pPr>
              <w:ind w:firstLine="0" w:firstLineChars="0"/>
              <w:rPr>
                <w:rFonts w:ascii="宋体" w:hAnsi="宋体" w:cs="宋体"/>
                <w:bCs/>
                <w:color w:val="auto"/>
                <w:szCs w:val="21"/>
                <w:highlight w:val="none"/>
              </w:rPr>
            </w:pPr>
            <w:r>
              <w:rPr>
                <w:rFonts w:hint="eastAsia" w:ascii="宋体" w:hAnsi="宋体" w:cs="宋体"/>
                <w:bCs/>
                <w:color w:val="auto"/>
                <w:szCs w:val="21"/>
                <w:highlight w:val="none"/>
              </w:rPr>
              <w:t>履约保证金金额：</w:t>
            </w:r>
            <w:r>
              <w:rPr>
                <w:rFonts w:hint="eastAsia" w:ascii="宋体" w:hAnsi="宋体" w:cs="宋体"/>
                <w:color w:val="auto"/>
                <w:highlight w:val="none"/>
              </w:rPr>
              <w:t>合同金额</w:t>
            </w:r>
            <w:r>
              <w:rPr>
                <w:rFonts w:hint="eastAsia" w:ascii="宋体" w:hAnsi="宋体" w:cs="宋体"/>
                <w:bCs/>
                <w:color w:val="auto"/>
                <w:szCs w:val="21"/>
                <w:highlight w:val="none"/>
              </w:rPr>
              <w:t>的5%；</w:t>
            </w:r>
          </w:p>
          <w:p>
            <w:pPr>
              <w:ind w:firstLine="0" w:firstLineChars="0"/>
              <w:rPr>
                <w:rFonts w:ascii="宋体" w:hAnsi="宋体" w:cs="宋体"/>
                <w:color w:val="auto"/>
                <w:szCs w:val="21"/>
                <w:highlight w:val="none"/>
              </w:rPr>
            </w:pPr>
            <w:r>
              <w:rPr>
                <w:rFonts w:hint="eastAsia" w:ascii="宋体" w:hAnsi="宋体" w:cs="宋体"/>
                <w:bCs/>
                <w:color w:val="auto"/>
                <w:szCs w:val="21"/>
                <w:highlight w:val="none"/>
              </w:rPr>
              <w:t>履约保证金形式：</w:t>
            </w:r>
            <w:r>
              <w:rPr>
                <w:rFonts w:ascii="宋体" w:hAnsi="宋体" w:cs="宋体"/>
                <w:color w:val="auto"/>
                <w:highlight w:val="none"/>
              </w:rPr>
              <w:t>以</w:t>
            </w:r>
            <w:r>
              <w:rPr>
                <w:rFonts w:hint="eastAsia"/>
                <w:color w:val="auto"/>
                <w:highlight w:val="none"/>
              </w:rPr>
              <w:t>支票、汇票、本票或者金融机构、担保机构出具的保函</w:t>
            </w:r>
            <w:r>
              <w:rPr>
                <w:rFonts w:hint="eastAsia"/>
                <w:b/>
                <w:bCs/>
                <w:color w:val="auto"/>
                <w:highlight w:val="none"/>
              </w:rPr>
              <w:t>等非现金形式</w:t>
            </w:r>
            <w:r>
              <w:rPr>
                <w:rFonts w:hint="eastAsia" w:ascii="宋体" w:hAnsi="宋体" w:cs="宋体"/>
                <w:color w:val="auto"/>
                <w:highlight w:val="none"/>
              </w:rPr>
              <w:t>；</w:t>
            </w:r>
          </w:p>
          <w:p>
            <w:pPr>
              <w:ind w:firstLine="0" w:firstLineChars="0"/>
              <w:rPr>
                <w:rFonts w:ascii="宋体" w:hAnsi="宋体" w:cs="宋体"/>
                <w:color w:val="auto"/>
                <w:szCs w:val="21"/>
                <w:highlight w:val="none"/>
              </w:rPr>
            </w:pPr>
            <w:r>
              <w:rPr>
                <w:rFonts w:hint="eastAsia" w:ascii="宋体" w:hAnsi="宋体" w:cs="宋体"/>
                <w:color w:val="auto"/>
                <w:highlight w:val="none"/>
              </w:rPr>
              <w:t>在与</w:t>
            </w:r>
            <w:r>
              <w:rPr>
                <w:rFonts w:hint="eastAsia" w:ascii="宋体" w:hAnsi="宋体" w:cs="宋体"/>
                <w:color w:val="auto"/>
                <w:highlight w:val="none"/>
              </w:rPr>
              <w:t>采购人</w:t>
            </w:r>
            <w:r>
              <w:rPr>
                <w:rFonts w:hint="eastAsia" w:ascii="宋体" w:hAnsi="宋体" w:cs="宋体"/>
                <w:color w:val="auto"/>
                <w:highlight w:val="none"/>
              </w:rPr>
              <w:t>签订合同之日起7天内支付履约保证金，在项目五年运维期结束后30天内无息退还。如中标人拒绝履行合同规定的义务，履约保证金将作为违约金被没收，履约保证金不足以赔偿损失的，按实际损失赔偿。</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76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11</w:t>
            </w:r>
          </w:p>
        </w:tc>
        <w:tc>
          <w:tcPr>
            <w:tcW w:w="8309"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采购资金来源：预算资金。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5" w:hRule="atLeast"/>
          <w:jc w:val="center"/>
        </w:trPr>
        <w:tc>
          <w:tcPr>
            <w:tcW w:w="76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*12</w:t>
            </w:r>
          </w:p>
        </w:tc>
        <w:tc>
          <w:tcPr>
            <w:tcW w:w="8309"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投标文件有效期：自投标截止日起60天。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5" w:hRule="atLeast"/>
          <w:jc w:val="center"/>
        </w:trPr>
        <w:tc>
          <w:tcPr>
            <w:tcW w:w="76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*13</w:t>
            </w:r>
          </w:p>
        </w:tc>
        <w:tc>
          <w:tcPr>
            <w:tcW w:w="8309"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中标人如不遵守招标文件或投标文件各项条款的邀约与要约，或在接到中标通知书后借故拖延，拒签合同的，采购人将按《浙江省政府采购供应商注册及诚信管理暂行办法》的规定上报诚信状况。给采购人造成的损失的还应当予以赔偿。</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2" w:hRule="atLeast"/>
          <w:jc w:val="center"/>
        </w:trPr>
        <w:tc>
          <w:tcPr>
            <w:tcW w:w="76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14</w:t>
            </w:r>
          </w:p>
        </w:tc>
        <w:tc>
          <w:tcPr>
            <w:tcW w:w="8309"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解释：本招标文件的解释权属于招标采购单位。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2" w:hRule="atLeast"/>
          <w:jc w:val="center"/>
        </w:trPr>
        <w:tc>
          <w:tcPr>
            <w:tcW w:w="76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b/>
                <w:color w:val="auto"/>
                <w:szCs w:val="21"/>
                <w:highlight w:val="none"/>
              </w:rPr>
            </w:pPr>
            <w:r>
              <w:rPr>
                <w:rFonts w:hint="eastAsia" w:ascii="宋体" w:hAnsi="宋体" w:cs="宋体"/>
                <w:b/>
                <w:color w:val="auto"/>
                <w:szCs w:val="21"/>
                <w:highlight w:val="none"/>
              </w:rPr>
              <w:t>*15</w:t>
            </w:r>
          </w:p>
        </w:tc>
        <w:tc>
          <w:tcPr>
            <w:tcW w:w="8309"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cs="宋体"/>
                <w:b/>
                <w:color w:val="auto"/>
                <w:szCs w:val="21"/>
                <w:highlight w:val="none"/>
              </w:rPr>
            </w:pPr>
            <w:r>
              <w:rPr>
                <w:rFonts w:hint="eastAsia" w:ascii="宋体" w:hAnsi="宋体" w:cs="宋体"/>
                <w:b/>
                <w:color w:val="auto"/>
                <w:szCs w:val="21"/>
                <w:highlight w:val="none"/>
              </w:rPr>
              <w:t>不同投标人的投标文件出自同一终端设备或在相同Internet主机分配地址（相同IP地址）网上报名投标的作无效标处理。</w:t>
            </w:r>
          </w:p>
        </w:tc>
      </w:tr>
    </w:tbl>
    <w:p>
      <w:pPr>
        <w:ind w:firstLine="420"/>
        <w:rPr>
          <w:rFonts w:ascii="宋体" w:hAnsi="宋体" w:cs="宋体"/>
          <w:color w:val="auto"/>
          <w:highlight w:val="none"/>
        </w:rPr>
      </w:pPr>
    </w:p>
    <w:p>
      <w:pPr>
        <w:pStyle w:val="13"/>
        <w:widowControl w:val="0"/>
        <w:tabs>
          <w:tab w:val="clear" w:pos="454"/>
        </w:tabs>
        <w:snapToGrid w:val="0"/>
        <w:spacing w:before="120" w:beforeLines="50" w:after="0" w:afterLines="0"/>
        <w:ind w:left="0" w:firstLine="470" w:firstLineChars="196"/>
        <w:rPr>
          <w:rFonts w:ascii="宋体" w:hAnsi="宋体" w:cs="宋体"/>
          <w:color w:val="auto"/>
          <w:sz w:val="21"/>
          <w:szCs w:val="21"/>
          <w:highlight w:val="none"/>
        </w:rPr>
      </w:pPr>
      <w:r>
        <w:rPr>
          <w:rFonts w:hint="eastAsia" w:ascii="宋体" w:hAnsi="宋体" w:cs="宋体"/>
          <w:color w:val="auto"/>
          <w:highlight w:val="none"/>
        </w:rPr>
        <w:br w:type="page"/>
      </w:r>
      <w:r>
        <w:rPr>
          <w:rFonts w:hint="eastAsia" w:ascii="宋体" w:hAnsi="宋体" w:cs="宋体"/>
          <w:b/>
          <w:color w:val="auto"/>
          <w:sz w:val="21"/>
          <w:szCs w:val="21"/>
          <w:highlight w:val="none"/>
        </w:rPr>
        <w:t>一   总  则</w:t>
      </w:r>
    </w:p>
    <w:p>
      <w:pPr>
        <w:pStyle w:val="13"/>
        <w:widowControl w:val="0"/>
        <w:tabs>
          <w:tab w:val="clear" w:pos="454"/>
        </w:tabs>
        <w:snapToGrid w:val="0"/>
        <w:spacing w:before="120" w:beforeLines="50" w:after="0" w:afterLines="0"/>
        <w:ind w:left="0"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（一） 适用范围</w:t>
      </w:r>
    </w:p>
    <w:p>
      <w:pPr>
        <w:pStyle w:val="22"/>
        <w:snapToGrid w:val="0"/>
        <w:spacing w:before="0" w:beforeLines="0" w:after="0" w:afterLines="0" w:line="360" w:lineRule="auto"/>
        <w:ind w:firstLine="420"/>
        <w:rPr>
          <w:rFonts w:hAnsi="宋体" w:cs="宋体"/>
          <w:color w:val="auto"/>
          <w:sz w:val="21"/>
          <w:szCs w:val="21"/>
          <w:highlight w:val="none"/>
        </w:rPr>
      </w:pPr>
      <w:r>
        <w:rPr>
          <w:rFonts w:hint="eastAsia" w:hAnsi="宋体" w:cs="宋体"/>
          <w:color w:val="auto"/>
          <w:sz w:val="21"/>
          <w:szCs w:val="21"/>
          <w:highlight w:val="none"/>
        </w:rPr>
        <w:t>本招标文件适用于宁波石化经济技术开发区智慧园区一期项目的招标、投标、评标、定标、验收、合同履约、付款等行为（法律、法规另有规定的，从其规定）。</w:t>
      </w:r>
    </w:p>
    <w:p>
      <w:pPr>
        <w:pStyle w:val="13"/>
        <w:widowControl w:val="0"/>
        <w:tabs>
          <w:tab w:val="clear" w:pos="454"/>
        </w:tabs>
        <w:snapToGrid w:val="0"/>
        <w:spacing w:before="120" w:beforeLines="50" w:after="0" w:afterLines="0"/>
        <w:ind w:left="0"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（二）定义</w:t>
      </w:r>
    </w:p>
    <w:p>
      <w:pPr>
        <w:pStyle w:val="22"/>
        <w:snapToGrid w:val="0"/>
        <w:spacing w:before="0" w:beforeLines="0" w:after="0" w:afterLines="0" w:line="360" w:lineRule="auto"/>
        <w:ind w:firstLine="420"/>
        <w:rPr>
          <w:rFonts w:hAnsi="宋体" w:cs="宋体"/>
          <w:color w:val="auto"/>
          <w:sz w:val="21"/>
          <w:szCs w:val="21"/>
          <w:highlight w:val="none"/>
        </w:rPr>
      </w:pPr>
      <w:r>
        <w:rPr>
          <w:rFonts w:hint="eastAsia" w:hAnsi="宋体" w:cs="宋体"/>
          <w:color w:val="auto"/>
          <w:sz w:val="21"/>
          <w:szCs w:val="21"/>
          <w:highlight w:val="none"/>
        </w:rPr>
        <w:t>1. 招标采购单位系指组织本次招标的代理机构和采购单位。</w:t>
      </w:r>
    </w:p>
    <w:p>
      <w:pPr>
        <w:pStyle w:val="22"/>
        <w:snapToGrid w:val="0"/>
        <w:spacing w:before="0" w:beforeLines="0" w:after="0" w:afterLines="0" w:line="360" w:lineRule="auto"/>
        <w:ind w:firstLine="420"/>
        <w:rPr>
          <w:rFonts w:hAnsi="宋体" w:cs="宋体"/>
          <w:color w:val="auto"/>
          <w:sz w:val="21"/>
          <w:szCs w:val="21"/>
          <w:highlight w:val="none"/>
        </w:rPr>
      </w:pPr>
      <w:r>
        <w:rPr>
          <w:rFonts w:hint="eastAsia" w:hAnsi="宋体" w:cs="宋体"/>
          <w:color w:val="auto"/>
          <w:sz w:val="21"/>
          <w:szCs w:val="21"/>
          <w:highlight w:val="none"/>
        </w:rPr>
        <w:t>2.“投标人”系指向招标方提交投标文件的单位。</w:t>
      </w:r>
    </w:p>
    <w:p>
      <w:pPr>
        <w:pStyle w:val="22"/>
        <w:snapToGrid w:val="0"/>
        <w:spacing w:before="0" w:beforeLines="0" w:after="0" w:afterLines="0" w:line="360" w:lineRule="auto"/>
        <w:ind w:firstLine="420"/>
        <w:rPr>
          <w:rFonts w:hAnsi="宋体" w:cs="宋体"/>
          <w:color w:val="auto"/>
          <w:sz w:val="21"/>
          <w:szCs w:val="21"/>
          <w:highlight w:val="none"/>
        </w:rPr>
      </w:pPr>
      <w:r>
        <w:rPr>
          <w:rFonts w:hint="eastAsia" w:hAnsi="宋体" w:cs="宋体"/>
          <w:color w:val="auto"/>
          <w:sz w:val="21"/>
          <w:szCs w:val="21"/>
          <w:highlight w:val="none"/>
        </w:rPr>
        <w:t>3.“产品”系指供方按招标文件规定，须向采购人提供的规划编制成果及其它有关技术资料和材料。</w:t>
      </w:r>
    </w:p>
    <w:p>
      <w:pPr>
        <w:pStyle w:val="22"/>
        <w:snapToGrid w:val="0"/>
        <w:spacing w:before="0" w:beforeLines="0" w:after="0" w:afterLines="0" w:line="360" w:lineRule="auto"/>
        <w:ind w:firstLine="420"/>
        <w:rPr>
          <w:rFonts w:hAnsi="宋体" w:cs="宋体"/>
          <w:color w:val="auto"/>
          <w:sz w:val="21"/>
          <w:szCs w:val="21"/>
          <w:highlight w:val="none"/>
        </w:rPr>
      </w:pPr>
      <w:r>
        <w:rPr>
          <w:rFonts w:hint="eastAsia" w:hAnsi="宋体" w:cs="宋体"/>
          <w:color w:val="auto"/>
          <w:sz w:val="21"/>
          <w:szCs w:val="21"/>
          <w:highlight w:val="none"/>
        </w:rPr>
        <w:t>4.“服务”系指招标文件规定投标人须提供的智慧园区一期服务。</w:t>
      </w:r>
    </w:p>
    <w:p>
      <w:pPr>
        <w:pStyle w:val="22"/>
        <w:snapToGrid w:val="0"/>
        <w:spacing w:before="0" w:beforeLines="0" w:after="0" w:afterLines="0" w:line="360" w:lineRule="auto"/>
        <w:ind w:firstLine="420"/>
        <w:rPr>
          <w:rFonts w:hAnsi="宋体" w:cs="宋体"/>
          <w:color w:val="auto"/>
          <w:sz w:val="21"/>
          <w:szCs w:val="21"/>
          <w:highlight w:val="none"/>
        </w:rPr>
      </w:pPr>
      <w:r>
        <w:rPr>
          <w:rFonts w:hint="eastAsia" w:hAnsi="宋体" w:cs="宋体"/>
          <w:color w:val="auto"/>
          <w:sz w:val="21"/>
          <w:szCs w:val="21"/>
          <w:highlight w:val="none"/>
        </w:rPr>
        <w:t>5.“项目”系指投标人按招标文件规定向采购人提供的服务和成果。</w:t>
      </w:r>
    </w:p>
    <w:p>
      <w:pPr>
        <w:pStyle w:val="22"/>
        <w:snapToGrid w:val="0"/>
        <w:spacing w:before="0" w:beforeLines="0" w:after="0" w:afterLines="0" w:line="360" w:lineRule="auto"/>
        <w:ind w:firstLine="420"/>
        <w:rPr>
          <w:rFonts w:hAnsi="宋体" w:cs="宋体"/>
          <w:color w:val="auto"/>
          <w:sz w:val="21"/>
          <w:szCs w:val="21"/>
          <w:highlight w:val="none"/>
        </w:rPr>
      </w:pPr>
      <w:r>
        <w:rPr>
          <w:rFonts w:hint="eastAsia" w:hAnsi="宋体" w:cs="宋体"/>
          <w:color w:val="auto"/>
          <w:sz w:val="21"/>
          <w:szCs w:val="21"/>
          <w:highlight w:val="none"/>
        </w:rPr>
        <w:t>6.“书面形式”包括信函、传真、电报等。</w:t>
      </w:r>
    </w:p>
    <w:p>
      <w:pPr>
        <w:pStyle w:val="22"/>
        <w:snapToGrid w:val="0"/>
        <w:spacing w:before="0" w:beforeLines="0" w:after="0" w:afterLines="0" w:line="360" w:lineRule="auto"/>
        <w:ind w:firstLine="420"/>
        <w:rPr>
          <w:rFonts w:hAnsi="宋体" w:cs="宋体"/>
          <w:color w:val="auto"/>
          <w:sz w:val="21"/>
          <w:szCs w:val="21"/>
          <w:highlight w:val="none"/>
        </w:rPr>
      </w:pPr>
      <w:r>
        <w:rPr>
          <w:rFonts w:hint="eastAsia" w:hAnsi="宋体" w:cs="宋体"/>
          <w:color w:val="auto"/>
          <w:sz w:val="21"/>
          <w:szCs w:val="21"/>
          <w:highlight w:val="none"/>
        </w:rPr>
        <w:t>7.“*”系指实质性要求条款。</w:t>
      </w:r>
    </w:p>
    <w:p>
      <w:pPr>
        <w:pStyle w:val="13"/>
        <w:widowControl w:val="0"/>
        <w:tabs>
          <w:tab w:val="clear" w:pos="454"/>
        </w:tabs>
        <w:snapToGrid w:val="0"/>
        <w:spacing w:before="120" w:beforeLines="50" w:after="0" w:afterLines="0"/>
        <w:ind w:left="0"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（三）招标方式</w:t>
      </w:r>
    </w:p>
    <w:p>
      <w:pPr>
        <w:pStyle w:val="22"/>
        <w:snapToGrid w:val="0"/>
        <w:spacing w:before="0" w:beforeLines="0" w:after="0" w:afterLines="0" w:line="360" w:lineRule="auto"/>
        <w:ind w:firstLine="420"/>
        <w:rPr>
          <w:rFonts w:hAnsi="宋体" w:cs="宋体"/>
          <w:color w:val="auto"/>
          <w:sz w:val="21"/>
          <w:szCs w:val="21"/>
          <w:highlight w:val="none"/>
        </w:rPr>
      </w:pPr>
      <w:r>
        <w:rPr>
          <w:rFonts w:hint="eastAsia" w:hAnsi="宋体" w:cs="宋体"/>
          <w:color w:val="auto"/>
          <w:sz w:val="21"/>
          <w:szCs w:val="21"/>
          <w:highlight w:val="none"/>
        </w:rPr>
        <w:t>本次招标采用公开招标方式进行。</w:t>
      </w:r>
    </w:p>
    <w:p>
      <w:pPr>
        <w:pStyle w:val="13"/>
        <w:widowControl w:val="0"/>
        <w:tabs>
          <w:tab w:val="clear" w:pos="454"/>
        </w:tabs>
        <w:snapToGrid w:val="0"/>
        <w:spacing w:before="120" w:beforeLines="50" w:after="0" w:afterLines="0"/>
        <w:ind w:left="0"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（四）投标委托</w:t>
      </w:r>
    </w:p>
    <w:p>
      <w:pPr>
        <w:pStyle w:val="22"/>
        <w:snapToGrid w:val="0"/>
        <w:spacing w:before="0" w:beforeLines="0" w:after="0" w:afterLines="0" w:line="360" w:lineRule="auto"/>
        <w:ind w:firstLine="420"/>
        <w:rPr>
          <w:rFonts w:hAnsi="宋体" w:cs="宋体"/>
          <w:color w:val="auto"/>
          <w:sz w:val="21"/>
          <w:szCs w:val="21"/>
          <w:highlight w:val="none"/>
        </w:rPr>
      </w:pPr>
      <w:r>
        <w:rPr>
          <w:rFonts w:hint="eastAsia" w:hAnsi="宋体" w:cs="宋体"/>
          <w:color w:val="auto"/>
          <w:sz w:val="21"/>
          <w:szCs w:val="21"/>
          <w:highlight w:val="none"/>
        </w:rPr>
        <w:t>递交投标文件时，投标人代表须携带身份证原件供查验；如投标人代表不是法定代表人，投标文件中必须有法定代表人出具的授权委托书（正本用原件，副本可用复印件，格式见第六章）及授权代表身份证复印件加盖公章。</w:t>
      </w:r>
    </w:p>
    <w:p>
      <w:pPr>
        <w:pStyle w:val="22"/>
        <w:snapToGrid w:val="0"/>
        <w:spacing w:before="120" w:after="120" w:line="360" w:lineRule="auto"/>
        <w:ind w:firstLine="422"/>
        <w:rPr>
          <w:rFonts w:hAnsi="宋体" w:cs="宋体"/>
          <w:b/>
          <w:color w:val="auto"/>
          <w:kern w:val="0"/>
          <w:sz w:val="21"/>
          <w:szCs w:val="21"/>
          <w:highlight w:val="none"/>
        </w:rPr>
      </w:pPr>
      <w:r>
        <w:rPr>
          <w:rFonts w:hint="eastAsia" w:hAnsi="宋体" w:cs="宋体"/>
          <w:b/>
          <w:color w:val="auto"/>
          <w:kern w:val="0"/>
          <w:sz w:val="21"/>
          <w:szCs w:val="21"/>
          <w:highlight w:val="none"/>
        </w:rPr>
        <w:t>（五）踏勘现场和投标费用</w:t>
      </w:r>
    </w:p>
    <w:p>
      <w:pPr>
        <w:pStyle w:val="22"/>
        <w:snapToGrid w:val="0"/>
        <w:spacing w:before="120" w:after="120" w:line="360" w:lineRule="auto"/>
        <w:ind w:firstLine="420"/>
        <w:rPr>
          <w:rFonts w:hAnsi="宋体" w:cs="宋体"/>
          <w:color w:val="auto"/>
          <w:kern w:val="0"/>
          <w:sz w:val="21"/>
          <w:szCs w:val="21"/>
          <w:highlight w:val="none"/>
        </w:rPr>
      </w:pPr>
      <w:r>
        <w:rPr>
          <w:rFonts w:hint="eastAsia" w:hAnsi="宋体" w:cs="宋体"/>
          <w:color w:val="auto"/>
          <w:kern w:val="0"/>
          <w:sz w:val="21"/>
          <w:szCs w:val="21"/>
          <w:highlight w:val="none"/>
        </w:rPr>
        <w:t>1．本项目不统一组织现场勘踏，投标人可以对项目实施现场及周围环境进行自行踏勘，以便获取有关编制投标文件和签署合同所涉及现场的资料。投标人应承担自身踏勘现场所发生的费用。</w:t>
      </w:r>
    </w:p>
    <w:p>
      <w:pPr>
        <w:pStyle w:val="22"/>
        <w:snapToGrid w:val="0"/>
        <w:spacing w:before="120" w:after="120" w:line="360" w:lineRule="auto"/>
        <w:ind w:firstLine="420"/>
        <w:rPr>
          <w:rFonts w:hAnsi="宋体" w:cs="宋体"/>
          <w:color w:val="auto"/>
          <w:kern w:val="0"/>
          <w:sz w:val="21"/>
          <w:szCs w:val="21"/>
          <w:highlight w:val="none"/>
        </w:rPr>
      </w:pPr>
      <w:r>
        <w:rPr>
          <w:rFonts w:hint="eastAsia" w:hAnsi="宋体" w:cs="宋体"/>
          <w:color w:val="auto"/>
          <w:kern w:val="0"/>
          <w:sz w:val="21"/>
          <w:szCs w:val="21"/>
          <w:highlight w:val="none"/>
        </w:rPr>
        <w:t>2．如有需要，采购单位统一向投标人提供的有关现场的数据和资料，是采购单位现有的能被投标人利用的资料，采购单位对投标人做出的任何推论、理解和结论不负责任。</w:t>
      </w:r>
    </w:p>
    <w:p>
      <w:pPr>
        <w:pStyle w:val="22"/>
        <w:snapToGrid w:val="0"/>
        <w:spacing w:before="120" w:after="120" w:line="360" w:lineRule="auto"/>
        <w:ind w:firstLine="420"/>
        <w:rPr>
          <w:rFonts w:hAnsi="宋体" w:cs="宋体"/>
          <w:color w:val="auto"/>
          <w:kern w:val="0"/>
          <w:sz w:val="21"/>
          <w:szCs w:val="21"/>
          <w:highlight w:val="none"/>
        </w:rPr>
      </w:pPr>
      <w:r>
        <w:rPr>
          <w:rFonts w:hint="eastAsia" w:hAnsi="宋体" w:cs="宋体"/>
          <w:color w:val="auto"/>
          <w:kern w:val="0"/>
          <w:sz w:val="21"/>
          <w:szCs w:val="21"/>
          <w:highlight w:val="none"/>
        </w:rPr>
        <w:t>3．经采购单位允许，投标人可为踏勘目的进入采购单位的项目现场，但投标人不得因此使采购单位承担有关的责任和蒙受损失。投标人应承担踏勘现场的责任和风险。</w:t>
      </w:r>
    </w:p>
    <w:p>
      <w:pPr>
        <w:pStyle w:val="22"/>
        <w:snapToGrid w:val="0"/>
        <w:spacing w:before="0" w:beforeLines="0" w:after="0" w:afterLines="0" w:line="360" w:lineRule="auto"/>
        <w:ind w:firstLine="420"/>
        <w:rPr>
          <w:rFonts w:hAnsi="宋体" w:cs="宋体"/>
          <w:color w:val="auto"/>
          <w:sz w:val="21"/>
          <w:szCs w:val="21"/>
          <w:highlight w:val="none"/>
        </w:rPr>
      </w:pPr>
      <w:r>
        <w:rPr>
          <w:rFonts w:hint="eastAsia" w:hAnsi="宋体" w:cs="宋体"/>
          <w:color w:val="auto"/>
          <w:kern w:val="0"/>
          <w:sz w:val="21"/>
          <w:szCs w:val="21"/>
          <w:highlight w:val="none"/>
        </w:rPr>
        <w:t>4．无论投标结果如何，投标人自行承担其所有与参加投标有关的全部费用。投标文件一律不退还。</w:t>
      </w:r>
    </w:p>
    <w:p>
      <w:pPr>
        <w:pStyle w:val="13"/>
        <w:widowControl w:val="0"/>
        <w:tabs>
          <w:tab w:val="clear" w:pos="454"/>
        </w:tabs>
        <w:snapToGrid w:val="0"/>
        <w:spacing w:before="120" w:beforeLines="50" w:after="0" w:afterLines="0"/>
        <w:ind w:left="0"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（六）联合体投标</w:t>
      </w:r>
    </w:p>
    <w:p>
      <w:pPr>
        <w:pStyle w:val="22"/>
        <w:snapToGrid w:val="0"/>
        <w:spacing w:before="0" w:beforeLines="0" w:after="0" w:afterLines="0" w:line="360" w:lineRule="auto"/>
        <w:ind w:firstLine="420"/>
        <w:rPr>
          <w:rFonts w:hAnsi="宋体" w:cs="宋体"/>
          <w:color w:val="auto"/>
          <w:sz w:val="21"/>
          <w:szCs w:val="21"/>
          <w:highlight w:val="none"/>
        </w:rPr>
      </w:pPr>
      <w:r>
        <w:rPr>
          <w:rFonts w:hint="eastAsia" w:hAnsi="宋体" w:cs="宋体"/>
          <w:color w:val="auto"/>
          <w:sz w:val="21"/>
          <w:szCs w:val="21"/>
          <w:highlight w:val="none"/>
        </w:rPr>
        <w:t>本项目不接受联合体投标。</w:t>
      </w:r>
    </w:p>
    <w:p>
      <w:pPr>
        <w:pStyle w:val="13"/>
        <w:widowControl w:val="0"/>
        <w:tabs>
          <w:tab w:val="clear" w:pos="454"/>
        </w:tabs>
        <w:snapToGrid w:val="0"/>
        <w:spacing w:before="120" w:beforeLines="50" w:after="0" w:afterLines="0"/>
        <w:ind w:left="0"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（七）转包与分包</w:t>
      </w:r>
    </w:p>
    <w:p>
      <w:pPr>
        <w:pStyle w:val="22"/>
        <w:snapToGrid w:val="0"/>
        <w:spacing w:before="0" w:beforeLines="0" w:after="0" w:afterLines="0" w:line="360" w:lineRule="auto"/>
        <w:ind w:firstLine="420"/>
        <w:rPr>
          <w:rFonts w:hAnsi="宋体" w:cs="宋体"/>
          <w:color w:val="auto"/>
          <w:sz w:val="21"/>
          <w:szCs w:val="21"/>
          <w:highlight w:val="none"/>
        </w:rPr>
      </w:pPr>
      <w:r>
        <w:rPr>
          <w:rFonts w:hint="eastAsia" w:hAnsi="宋体" w:cs="宋体"/>
          <w:color w:val="auto"/>
          <w:sz w:val="21"/>
          <w:szCs w:val="21"/>
          <w:highlight w:val="none"/>
        </w:rPr>
        <w:t>本项目不允许转包，允许分包。</w:t>
      </w:r>
    </w:p>
    <w:p>
      <w:pPr>
        <w:ind w:firstLine="422"/>
        <w:jc w:val="left"/>
        <w:rPr>
          <w:rFonts w:ascii="宋体" w:hAnsi="宋体" w:cs="宋体"/>
          <w:b/>
          <w:color w:val="auto"/>
          <w:szCs w:val="21"/>
          <w:highlight w:val="none"/>
        </w:rPr>
      </w:pPr>
      <w:r>
        <w:rPr>
          <w:rFonts w:hint="eastAsia" w:ascii="宋体" w:hAnsi="宋体" w:cs="宋体"/>
          <w:b/>
          <w:color w:val="auto"/>
          <w:szCs w:val="21"/>
          <w:highlight w:val="none"/>
        </w:rPr>
        <w:t>（八）特别说明：</w:t>
      </w:r>
    </w:p>
    <w:p>
      <w:pPr>
        <w:widowControl/>
        <w:ind w:firstLine="420"/>
        <w:jc w:val="left"/>
        <w:rPr>
          <w:rFonts w:ascii="宋体" w:hAnsi="宋体" w:cs="宋体"/>
          <w:bCs/>
          <w:color w:val="auto"/>
          <w:szCs w:val="21"/>
          <w:highlight w:val="none"/>
        </w:rPr>
      </w:pPr>
      <w:r>
        <w:rPr>
          <w:rFonts w:hint="eastAsia" w:ascii="宋体" w:hAnsi="宋体" w:cs="宋体"/>
          <w:bCs/>
          <w:color w:val="auto"/>
          <w:szCs w:val="21"/>
          <w:highlight w:val="none"/>
        </w:rPr>
        <w:t>1.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pPr>
        <w:widowControl/>
        <w:ind w:firstLine="420"/>
        <w:jc w:val="left"/>
        <w:rPr>
          <w:rFonts w:ascii="宋体" w:hAnsi="宋体" w:cs="宋体"/>
          <w:bCs/>
          <w:color w:val="auto"/>
          <w:szCs w:val="21"/>
          <w:highlight w:val="none"/>
        </w:rPr>
      </w:pPr>
      <w:r>
        <w:rPr>
          <w:rFonts w:hint="eastAsia" w:ascii="宋体" w:hAnsi="宋体" w:cs="宋体"/>
          <w:bCs/>
          <w:color w:val="auto"/>
          <w:szCs w:val="21"/>
          <w:highlight w:val="none"/>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widowControl/>
        <w:ind w:firstLine="420"/>
        <w:jc w:val="left"/>
        <w:rPr>
          <w:rFonts w:ascii="宋体" w:hAnsi="宋体" w:cs="宋体"/>
          <w:bCs/>
          <w:color w:val="auto"/>
          <w:szCs w:val="21"/>
          <w:highlight w:val="none"/>
        </w:rPr>
      </w:pPr>
      <w:r>
        <w:rPr>
          <w:rFonts w:hint="eastAsia" w:ascii="宋体" w:hAnsi="宋体" w:cs="宋体"/>
          <w:color w:val="auto"/>
          <w:kern w:val="0"/>
          <w:szCs w:val="21"/>
          <w:highlight w:val="none"/>
        </w:rPr>
        <w:t>非单一产品采购项目，多家投标人提供的核心产品品牌相同的，按前款处理。</w:t>
      </w:r>
    </w:p>
    <w:p>
      <w:pPr>
        <w:widowControl/>
        <w:ind w:firstLine="420"/>
        <w:jc w:val="left"/>
        <w:rPr>
          <w:rFonts w:ascii="宋体" w:hAnsi="宋体" w:cs="宋体"/>
          <w:bCs/>
          <w:color w:val="auto"/>
          <w:szCs w:val="21"/>
          <w:highlight w:val="none"/>
        </w:rPr>
      </w:pPr>
      <w:r>
        <w:rPr>
          <w:rFonts w:hint="eastAsia" w:ascii="宋体" w:hAnsi="宋体" w:cs="宋体"/>
          <w:bCs/>
          <w:color w:val="auto"/>
          <w:szCs w:val="21"/>
          <w:highlight w:val="none"/>
        </w:rPr>
        <w:t>*2.投标人应仔细阅读招标文件的所有内容，按照招标文件的要求提交投标文件，并对所提供的全部资料的真实性承担法律责任。</w:t>
      </w:r>
    </w:p>
    <w:p>
      <w:pPr>
        <w:pStyle w:val="22"/>
        <w:spacing w:before="0" w:beforeLines="0" w:after="0" w:afterLines="0" w:line="360" w:lineRule="auto"/>
        <w:ind w:firstLine="420"/>
        <w:rPr>
          <w:rFonts w:hAnsi="宋体" w:cs="宋体"/>
          <w:b/>
          <w:color w:val="auto"/>
          <w:sz w:val="21"/>
          <w:szCs w:val="21"/>
          <w:highlight w:val="none"/>
        </w:rPr>
      </w:pPr>
      <w:r>
        <w:rPr>
          <w:rFonts w:hint="eastAsia" w:hAnsi="宋体" w:cs="宋体"/>
          <w:bCs/>
          <w:color w:val="auto"/>
          <w:sz w:val="21"/>
          <w:szCs w:val="21"/>
          <w:highlight w:val="none"/>
        </w:rPr>
        <w:t>*3.投标人在投标活动中提供任何虚假材料，其投标无效，并报监管部门查处。</w:t>
      </w:r>
    </w:p>
    <w:p>
      <w:pPr>
        <w:widowControl/>
        <w:ind w:firstLine="422"/>
        <w:jc w:val="left"/>
        <w:rPr>
          <w:rFonts w:ascii="宋体" w:hAnsi="宋体" w:cs="宋体"/>
          <w:bCs/>
          <w:color w:val="auto"/>
          <w:szCs w:val="21"/>
          <w:highlight w:val="none"/>
        </w:rPr>
      </w:pPr>
      <w:r>
        <w:rPr>
          <w:rFonts w:hint="eastAsia" w:ascii="宋体" w:hAnsi="宋体" w:cs="宋体"/>
          <w:b/>
          <w:color w:val="auto"/>
          <w:szCs w:val="21"/>
          <w:highlight w:val="none"/>
        </w:rPr>
        <w:t>（九）、关于分公司投标</w:t>
      </w:r>
    </w:p>
    <w:p>
      <w:pPr>
        <w:pStyle w:val="22"/>
        <w:spacing w:before="0" w:beforeLines="0" w:after="0" w:afterLines="0" w:line="360" w:lineRule="auto"/>
        <w:ind w:firstLine="420"/>
        <w:rPr>
          <w:rFonts w:hAnsi="宋体" w:cs="宋体"/>
          <w:bCs/>
          <w:color w:val="auto"/>
          <w:sz w:val="21"/>
          <w:szCs w:val="21"/>
          <w:highlight w:val="none"/>
        </w:rPr>
      </w:pPr>
      <w:r>
        <w:rPr>
          <w:rFonts w:hint="eastAsia" w:hAnsi="宋体" w:cs="宋体"/>
          <w:bCs/>
          <w:color w:val="auto"/>
          <w:sz w:val="21"/>
          <w:szCs w:val="21"/>
          <w:highlight w:val="none"/>
        </w:rPr>
        <w:t>除银行、保险、石油石化、电力、电信、移动、联通等行业外，不允许分公司（分支机构）参加投标。</w:t>
      </w:r>
    </w:p>
    <w:p>
      <w:pPr>
        <w:widowControl/>
        <w:ind w:firstLine="422"/>
        <w:jc w:val="left"/>
        <w:rPr>
          <w:rFonts w:ascii="宋体" w:hAnsi="宋体" w:cs="宋体"/>
          <w:b/>
          <w:color w:val="auto"/>
          <w:szCs w:val="21"/>
          <w:highlight w:val="none"/>
        </w:rPr>
      </w:pPr>
      <w:r>
        <w:rPr>
          <w:rFonts w:hint="eastAsia" w:ascii="宋体" w:hAnsi="宋体" w:cs="宋体"/>
          <w:b/>
          <w:color w:val="auto"/>
          <w:szCs w:val="21"/>
          <w:highlight w:val="none"/>
        </w:rPr>
        <w:t>（十）、关于知识产权</w:t>
      </w:r>
    </w:p>
    <w:p>
      <w:pPr>
        <w:widowControl/>
        <w:ind w:firstLine="420"/>
        <w:jc w:val="left"/>
        <w:rPr>
          <w:rFonts w:ascii="宋体" w:hAnsi="宋体" w:cs="宋体"/>
          <w:bCs/>
          <w:color w:val="auto"/>
          <w:szCs w:val="21"/>
          <w:highlight w:val="none"/>
        </w:rPr>
      </w:pPr>
      <w:r>
        <w:rPr>
          <w:rFonts w:hint="eastAsia" w:ascii="宋体" w:hAnsi="宋体" w:cs="宋体"/>
          <w:bCs/>
          <w:color w:val="auto"/>
          <w:szCs w:val="21"/>
          <w:highlight w:val="none"/>
        </w:rPr>
        <w:t>1.投标人必须保证，采购人在中华人民共和国境内使用投标货物、资料、技术、服务或其任何一部分时，享有不受限制的无偿使用权，如有第三方向采购人提出侵犯其专利权、商标权或其它知识产权的主张，该责任应由投标人承担。</w:t>
      </w:r>
    </w:p>
    <w:p>
      <w:pPr>
        <w:widowControl/>
        <w:ind w:firstLine="420"/>
        <w:jc w:val="left"/>
        <w:rPr>
          <w:rFonts w:ascii="宋体" w:hAnsi="宋体" w:cs="宋体"/>
          <w:bCs/>
          <w:color w:val="auto"/>
          <w:szCs w:val="21"/>
          <w:highlight w:val="none"/>
        </w:rPr>
      </w:pPr>
      <w:r>
        <w:rPr>
          <w:rFonts w:hint="eastAsia" w:ascii="宋体" w:hAnsi="宋体" w:cs="宋体"/>
          <w:bCs/>
          <w:color w:val="auto"/>
          <w:szCs w:val="21"/>
          <w:highlight w:val="none"/>
        </w:rPr>
        <w:t>2.投标报价应包含所有应向所有权人支付的专利权、商标权或其它知识产权的一切相关费用。</w:t>
      </w:r>
    </w:p>
    <w:p>
      <w:pPr>
        <w:pStyle w:val="22"/>
        <w:spacing w:before="0" w:beforeLines="0" w:after="0" w:afterLines="0" w:line="360" w:lineRule="auto"/>
        <w:ind w:firstLine="420"/>
        <w:rPr>
          <w:rFonts w:hAnsi="宋体" w:cs="宋体"/>
          <w:bCs/>
          <w:color w:val="auto"/>
          <w:sz w:val="21"/>
          <w:szCs w:val="21"/>
          <w:highlight w:val="none"/>
        </w:rPr>
      </w:pPr>
      <w:r>
        <w:rPr>
          <w:rFonts w:hint="eastAsia" w:hAnsi="宋体" w:cs="宋体"/>
          <w:bCs/>
          <w:color w:val="auto"/>
          <w:sz w:val="21"/>
          <w:szCs w:val="21"/>
          <w:highlight w:val="none"/>
        </w:rPr>
        <w:t>3.系统软件、通用软件必须是具有在中国境内的合法使用权或版权的正版软件，涉及到第三方提出侵权或知识产权的起诉及支付版税等费用由投标人承担所有责任及费用。</w:t>
      </w:r>
    </w:p>
    <w:p>
      <w:pPr>
        <w:pStyle w:val="22"/>
        <w:widowControl/>
        <w:spacing w:before="0" w:beforeLines="0" w:after="0" w:afterLines="0" w:line="360" w:lineRule="auto"/>
        <w:ind w:firstLine="422"/>
        <w:jc w:val="left"/>
        <w:rPr>
          <w:rFonts w:hAnsi="宋体" w:cs="宋体"/>
          <w:b/>
          <w:color w:val="auto"/>
          <w:sz w:val="21"/>
          <w:szCs w:val="21"/>
          <w:highlight w:val="none"/>
        </w:rPr>
      </w:pPr>
      <w:r>
        <w:rPr>
          <w:rFonts w:hint="eastAsia" w:hAnsi="宋体" w:cs="宋体"/>
          <w:b/>
          <w:color w:val="auto"/>
          <w:sz w:val="21"/>
          <w:szCs w:val="21"/>
          <w:highlight w:val="none"/>
        </w:rPr>
        <w:t>（十一）、质疑和投诉</w:t>
      </w:r>
    </w:p>
    <w:p>
      <w:pPr>
        <w:pStyle w:val="22"/>
        <w:spacing w:before="120" w:after="120" w:line="360" w:lineRule="auto"/>
        <w:ind w:firstLine="420"/>
        <w:rPr>
          <w:rFonts w:hAnsi="宋体" w:cs="宋体"/>
          <w:bCs/>
          <w:color w:val="auto"/>
          <w:sz w:val="21"/>
          <w:szCs w:val="21"/>
          <w:highlight w:val="none"/>
        </w:rPr>
      </w:pPr>
      <w:r>
        <w:rPr>
          <w:rFonts w:hint="eastAsia" w:hAnsi="宋体" w:cs="宋体"/>
          <w:bCs/>
          <w:color w:val="auto"/>
          <w:sz w:val="21"/>
          <w:szCs w:val="21"/>
          <w:highlight w:val="none"/>
        </w:rPr>
        <w:t>1.供应商认为采购文件、采购过程、中标或者成交结果使自己的权益受到损害的，须在应知其利益受损之日起七个工作日内以书面形式向采购人、采购代理机构提出质疑。供应商应当在法定质疑期内一次性提出针对同一采购程序环节的质疑。</w:t>
      </w:r>
    </w:p>
    <w:p>
      <w:pPr>
        <w:pStyle w:val="22"/>
        <w:spacing w:before="120" w:after="120" w:line="360" w:lineRule="auto"/>
        <w:ind w:firstLine="420"/>
        <w:rPr>
          <w:rFonts w:hAnsi="宋体" w:cs="宋体"/>
          <w:bCs/>
          <w:color w:val="auto"/>
          <w:sz w:val="21"/>
          <w:szCs w:val="21"/>
          <w:highlight w:val="none"/>
        </w:rPr>
      </w:pPr>
      <w:r>
        <w:rPr>
          <w:rFonts w:hint="eastAsia" w:hAnsi="宋体" w:cs="宋体"/>
          <w:bCs/>
          <w:color w:val="auto"/>
          <w:sz w:val="21"/>
          <w:szCs w:val="21"/>
          <w:highlight w:val="none"/>
        </w:rPr>
        <w:t>2.提出质疑的供应商应当是参与所质疑项目采购活动的供应商。未依法获取采购文件的，不得就采购文件提出质疑；未提交投标文件的供应商，视为与采购结果没有利害关系，不得就采购响应截止时间后的采购过程、采购结果提出质疑。</w:t>
      </w:r>
    </w:p>
    <w:p>
      <w:pPr>
        <w:pStyle w:val="22"/>
        <w:spacing w:before="120" w:after="120" w:line="360" w:lineRule="auto"/>
        <w:ind w:firstLine="420"/>
        <w:rPr>
          <w:rFonts w:hAnsi="宋体" w:cs="宋体"/>
          <w:bCs/>
          <w:color w:val="auto"/>
          <w:sz w:val="21"/>
          <w:szCs w:val="21"/>
          <w:highlight w:val="none"/>
        </w:rPr>
      </w:pPr>
      <w:r>
        <w:rPr>
          <w:rFonts w:hint="eastAsia" w:hAnsi="宋体" w:cs="宋体"/>
          <w:bCs/>
          <w:color w:val="auto"/>
          <w:sz w:val="21"/>
          <w:szCs w:val="21"/>
          <w:highlight w:val="none"/>
        </w:rPr>
        <w:t>3.供应商提出质疑应当提交质疑函和必要的证明材料，质疑函应当面以书面形式提出，质疑函格式和内容须符合财政部《质疑函范本》要求，供应商可到中国政府采购网自行下载财政部《质疑函范本》。</w:t>
      </w:r>
    </w:p>
    <w:p>
      <w:pPr>
        <w:pStyle w:val="22"/>
        <w:spacing w:before="120" w:after="120" w:line="360" w:lineRule="auto"/>
        <w:ind w:firstLine="420"/>
        <w:rPr>
          <w:rFonts w:hAnsi="宋体" w:cs="宋体"/>
          <w:bCs/>
          <w:color w:val="auto"/>
          <w:sz w:val="21"/>
          <w:szCs w:val="21"/>
          <w:highlight w:val="none"/>
        </w:rPr>
      </w:pPr>
      <w:r>
        <w:rPr>
          <w:rFonts w:hint="eastAsia" w:hAnsi="宋体" w:cs="宋体"/>
          <w:bCs/>
          <w:color w:val="auto"/>
          <w:sz w:val="21"/>
          <w:szCs w:val="21"/>
          <w:highlight w:val="none"/>
        </w:rPr>
        <w:t>4.接收书面质疑函的方式：质疑人可通过送达、邮寄、传真的形式提交书面质疑函，通过邮寄方式提交的书面质疑函以被质疑人签收邮件之日为收到书面质疑文件之日，通过传真方式提交的书面质疑函以被质疑人收到书面质疑文件原件之日为收到书面质疑文件之日。采购人和采购代理机构接收质疑函的联系方式：见本采购文件第一章有关联系方式。</w:t>
      </w:r>
    </w:p>
    <w:p>
      <w:pPr>
        <w:pStyle w:val="22"/>
        <w:spacing w:before="0" w:beforeLines="0" w:after="0" w:afterLines="0" w:line="360" w:lineRule="auto"/>
        <w:ind w:firstLine="420"/>
        <w:rPr>
          <w:rFonts w:hAnsi="宋体" w:cs="宋体"/>
          <w:bCs/>
          <w:color w:val="auto"/>
          <w:sz w:val="21"/>
          <w:szCs w:val="21"/>
          <w:highlight w:val="none"/>
        </w:rPr>
      </w:pPr>
      <w:r>
        <w:rPr>
          <w:rFonts w:hint="eastAsia" w:hAnsi="宋体" w:cs="宋体"/>
          <w:bCs/>
          <w:color w:val="auto"/>
          <w:sz w:val="21"/>
          <w:szCs w:val="21"/>
          <w:highlight w:val="none"/>
        </w:rPr>
        <w:t>5.供应商对采购人或采购代理机构的质疑答复不满意或者采购人或采购代理机构未在规定时间内作出答复的，可以在答复期满后十五个工作日内向同级采购监管部门投诉。</w:t>
      </w:r>
    </w:p>
    <w:p>
      <w:pPr>
        <w:pStyle w:val="13"/>
        <w:widowControl w:val="0"/>
        <w:tabs>
          <w:tab w:val="clear" w:pos="454"/>
        </w:tabs>
        <w:snapToGrid w:val="0"/>
        <w:spacing w:before="120" w:beforeLines="50" w:after="0" w:afterLines="0"/>
        <w:ind w:left="0"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二  招标文件</w:t>
      </w:r>
    </w:p>
    <w:p>
      <w:pPr>
        <w:pStyle w:val="13"/>
        <w:widowControl w:val="0"/>
        <w:tabs>
          <w:tab w:val="clear" w:pos="454"/>
        </w:tabs>
        <w:snapToGrid w:val="0"/>
        <w:spacing w:before="120" w:beforeLines="50" w:after="120" w:afterLines="0"/>
        <w:ind w:left="0"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（一）招标文件的构成。本招标文件由以下部份组成：</w:t>
      </w:r>
    </w:p>
    <w:p>
      <w:pPr>
        <w:pStyle w:val="22"/>
        <w:snapToGrid w:val="0"/>
        <w:spacing w:before="0" w:beforeLines="0" w:after="0" w:afterLines="0" w:line="360" w:lineRule="auto"/>
        <w:ind w:firstLine="420"/>
        <w:rPr>
          <w:rFonts w:hAnsi="宋体" w:cs="宋体"/>
          <w:color w:val="auto"/>
          <w:sz w:val="21"/>
          <w:szCs w:val="21"/>
          <w:highlight w:val="none"/>
        </w:rPr>
      </w:pPr>
      <w:r>
        <w:rPr>
          <w:rFonts w:hint="eastAsia" w:hAnsi="宋体" w:cs="宋体"/>
          <w:color w:val="auto"/>
          <w:sz w:val="21"/>
          <w:szCs w:val="21"/>
          <w:highlight w:val="none"/>
        </w:rPr>
        <w:t>1.招标公告</w:t>
      </w:r>
    </w:p>
    <w:p>
      <w:pPr>
        <w:pStyle w:val="22"/>
        <w:snapToGrid w:val="0"/>
        <w:spacing w:before="0" w:beforeLines="0" w:after="0" w:afterLines="0" w:line="360" w:lineRule="auto"/>
        <w:ind w:firstLine="420"/>
        <w:rPr>
          <w:rFonts w:hAnsi="宋体" w:cs="宋体"/>
          <w:color w:val="auto"/>
          <w:sz w:val="21"/>
          <w:szCs w:val="21"/>
          <w:highlight w:val="none"/>
        </w:rPr>
      </w:pPr>
      <w:r>
        <w:rPr>
          <w:rFonts w:hint="eastAsia" w:hAnsi="宋体" w:cs="宋体"/>
          <w:color w:val="auto"/>
          <w:sz w:val="21"/>
          <w:szCs w:val="21"/>
          <w:highlight w:val="none"/>
        </w:rPr>
        <w:t>2.招标需求</w:t>
      </w:r>
    </w:p>
    <w:p>
      <w:pPr>
        <w:pStyle w:val="22"/>
        <w:snapToGrid w:val="0"/>
        <w:spacing w:before="0" w:beforeLines="0" w:after="0" w:afterLines="0" w:line="360" w:lineRule="auto"/>
        <w:ind w:firstLine="420"/>
        <w:rPr>
          <w:rFonts w:hAnsi="宋体" w:cs="宋体"/>
          <w:color w:val="auto"/>
          <w:sz w:val="21"/>
          <w:szCs w:val="21"/>
          <w:highlight w:val="none"/>
        </w:rPr>
      </w:pPr>
      <w:r>
        <w:rPr>
          <w:rFonts w:hint="eastAsia" w:hAnsi="宋体" w:cs="宋体"/>
          <w:color w:val="auto"/>
          <w:sz w:val="21"/>
          <w:szCs w:val="21"/>
          <w:highlight w:val="none"/>
        </w:rPr>
        <w:t>3.投标人须知</w:t>
      </w:r>
    </w:p>
    <w:p>
      <w:pPr>
        <w:pStyle w:val="22"/>
        <w:snapToGrid w:val="0"/>
        <w:spacing w:before="0" w:beforeLines="0" w:after="0" w:afterLines="0" w:line="360" w:lineRule="auto"/>
        <w:ind w:firstLine="420"/>
        <w:rPr>
          <w:rFonts w:hAnsi="宋体" w:cs="宋体"/>
          <w:color w:val="auto"/>
          <w:sz w:val="21"/>
          <w:szCs w:val="21"/>
          <w:highlight w:val="none"/>
        </w:rPr>
      </w:pPr>
      <w:r>
        <w:rPr>
          <w:rFonts w:hint="eastAsia" w:hAnsi="宋体" w:cs="宋体"/>
          <w:color w:val="auto"/>
          <w:sz w:val="21"/>
          <w:szCs w:val="21"/>
          <w:highlight w:val="none"/>
        </w:rPr>
        <w:t>4.评标办法及标准</w:t>
      </w:r>
    </w:p>
    <w:p>
      <w:pPr>
        <w:pStyle w:val="22"/>
        <w:snapToGrid w:val="0"/>
        <w:spacing w:before="0" w:beforeLines="0" w:after="0" w:afterLines="0" w:line="360" w:lineRule="auto"/>
        <w:ind w:firstLine="420"/>
        <w:rPr>
          <w:rFonts w:hAnsi="宋体" w:cs="宋体"/>
          <w:color w:val="auto"/>
          <w:sz w:val="21"/>
          <w:szCs w:val="21"/>
          <w:highlight w:val="none"/>
        </w:rPr>
      </w:pPr>
      <w:r>
        <w:rPr>
          <w:rFonts w:hint="eastAsia" w:hAnsi="宋体" w:cs="宋体"/>
          <w:color w:val="auto"/>
          <w:sz w:val="21"/>
          <w:szCs w:val="21"/>
          <w:highlight w:val="none"/>
        </w:rPr>
        <w:t>5.政府采购合同主要条款</w:t>
      </w:r>
    </w:p>
    <w:p>
      <w:pPr>
        <w:pStyle w:val="22"/>
        <w:snapToGrid w:val="0"/>
        <w:spacing w:before="0" w:beforeLines="0" w:after="0" w:afterLines="0" w:line="360" w:lineRule="auto"/>
        <w:ind w:firstLine="420"/>
        <w:rPr>
          <w:rFonts w:hAnsi="宋体" w:cs="宋体"/>
          <w:color w:val="auto"/>
          <w:sz w:val="21"/>
          <w:szCs w:val="21"/>
          <w:highlight w:val="none"/>
        </w:rPr>
      </w:pPr>
      <w:r>
        <w:rPr>
          <w:rFonts w:hint="eastAsia" w:hAnsi="宋体" w:cs="宋体"/>
          <w:color w:val="auto"/>
          <w:sz w:val="21"/>
          <w:szCs w:val="21"/>
          <w:highlight w:val="none"/>
        </w:rPr>
        <w:t>6.投标文件格式</w:t>
      </w:r>
    </w:p>
    <w:p>
      <w:pPr>
        <w:pStyle w:val="22"/>
        <w:snapToGrid w:val="0"/>
        <w:spacing w:before="0" w:beforeLines="0" w:after="0" w:afterLines="0" w:line="360" w:lineRule="auto"/>
        <w:ind w:firstLine="420"/>
        <w:rPr>
          <w:rFonts w:hAnsi="宋体" w:cs="宋体"/>
          <w:color w:val="auto"/>
          <w:sz w:val="21"/>
          <w:szCs w:val="21"/>
          <w:highlight w:val="none"/>
        </w:rPr>
      </w:pPr>
      <w:r>
        <w:rPr>
          <w:rFonts w:hint="eastAsia" w:hAnsi="宋体" w:cs="宋体"/>
          <w:color w:val="auto"/>
          <w:sz w:val="21"/>
          <w:szCs w:val="21"/>
          <w:highlight w:val="none"/>
        </w:rPr>
        <w:t>7.本项目招标文件的澄清、答复、修改、补充的内容</w:t>
      </w:r>
    </w:p>
    <w:p>
      <w:pPr>
        <w:pStyle w:val="13"/>
        <w:widowControl w:val="0"/>
        <w:tabs>
          <w:tab w:val="clear" w:pos="454"/>
        </w:tabs>
        <w:snapToGrid w:val="0"/>
        <w:spacing w:before="120" w:beforeLines="50" w:after="0" w:afterLines="0"/>
        <w:ind w:left="0"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（二）投标人的风险</w:t>
      </w:r>
    </w:p>
    <w:p>
      <w:pPr>
        <w:pStyle w:val="22"/>
        <w:snapToGrid w:val="0"/>
        <w:spacing w:before="0" w:beforeLines="0" w:after="0" w:afterLines="0" w:line="360" w:lineRule="auto"/>
        <w:ind w:firstLine="420"/>
        <w:rPr>
          <w:rFonts w:hAnsi="宋体" w:cs="宋体"/>
          <w:color w:val="auto"/>
          <w:sz w:val="21"/>
          <w:szCs w:val="21"/>
          <w:highlight w:val="none"/>
        </w:rPr>
      </w:pPr>
      <w:r>
        <w:rPr>
          <w:rFonts w:hint="eastAsia" w:hAnsi="宋体" w:cs="宋体"/>
          <w:color w:val="auto"/>
          <w:sz w:val="21"/>
          <w:szCs w:val="21"/>
          <w:highlight w:val="none"/>
        </w:rPr>
        <w:t>投标人没有按照招标文件要求提供全部资料，或者投标人没有对招标文件在各方面作出实质性响应是投标人的风险，并可能导致其投标被拒绝。</w:t>
      </w:r>
    </w:p>
    <w:p>
      <w:pPr>
        <w:pStyle w:val="13"/>
        <w:widowControl w:val="0"/>
        <w:tabs>
          <w:tab w:val="clear" w:pos="454"/>
        </w:tabs>
        <w:snapToGrid w:val="0"/>
        <w:spacing w:before="120" w:beforeLines="50" w:after="0" w:afterLines="0"/>
        <w:ind w:left="0"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 xml:space="preserve">（三）招标文件的澄清与修改 </w:t>
      </w:r>
    </w:p>
    <w:p>
      <w:pPr>
        <w:ind w:firstLine="420"/>
        <w:rPr>
          <w:rFonts w:ascii="宋体" w:hAnsi="宋体" w:cs="宋体"/>
          <w:color w:val="auto"/>
          <w:highlight w:val="none"/>
        </w:rPr>
      </w:pPr>
      <w:r>
        <w:rPr>
          <w:rFonts w:hint="eastAsia" w:ascii="宋体" w:hAnsi="宋体" w:cs="宋体"/>
          <w:color w:val="auto"/>
          <w:highlight w:val="none"/>
        </w:rPr>
        <w:t>1</w:t>
      </w:r>
      <w:r>
        <w:rPr>
          <w:rFonts w:hint="eastAsia" w:ascii="宋体" w:hAnsi="宋体" w:cs="宋体"/>
          <w:color w:val="auto"/>
          <w:szCs w:val="21"/>
          <w:highlight w:val="none"/>
        </w:rPr>
        <w:t>招标采购单位对已发出的招标文件进行必要的澄清和修改时，将在招标公告规定的投标截止时间前十五日内，以书面形式或在规定信息发布网站上通知所有招标文件受收人，并要求受收人进行传真或书面确认澄清和修改已收悉，澄清和修改的内容作为招标文件的组成部分。</w:t>
      </w:r>
    </w:p>
    <w:p>
      <w:pPr>
        <w:pStyle w:val="22"/>
        <w:snapToGrid w:val="0"/>
        <w:spacing w:before="0" w:beforeLines="0" w:after="0" w:afterLines="0" w:line="360" w:lineRule="auto"/>
        <w:ind w:firstLine="420"/>
        <w:rPr>
          <w:rFonts w:hAnsi="宋体" w:cs="宋体"/>
          <w:color w:val="auto"/>
          <w:sz w:val="21"/>
          <w:szCs w:val="21"/>
          <w:highlight w:val="none"/>
        </w:rPr>
      </w:pPr>
      <w:r>
        <w:rPr>
          <w:rFonts w:hint="eastAsia" w:hAnsi="宋体" w:cs="宋体"/>
          <w:color w:val="auto"/>
          <w:sz w:val="21"/>
          <w:szCs w:val="21"/>
          <w:highlight w:val="none"/>
        </w:rPr>
        <w:t>2.购买招标文件的潜在投标人对招标文件有质疑，应知其权益受到损害之日起七个工作日内书面提出。逾期提出的将不予受理。对招标文件的质疑应有法定代表人或其委托代理人签字，并盖投标人公章和注明日期。</w:t>
      </w:r>
    </w:p>
    <w:p>
      <w:pPr>
        <w:ind w:firstLine="420"/>
        <w:rPr>
          <w:rFonts w:ascii="宋体" w:hAnsi="宋体" w:cs="宋体"/>
          <w:color w:val="auto"/>
          <w:highlight w:val="none"/>
        </w:rPr>
      </w:pPr>
      <w:r>
        <w:rPr>
          <w:rFonts w:hint="eastAsia" w:ascii="宋体" w:hAnsi="宋体" w:cs="宋体"/>
          <w:color w:val="auto"/>
          <w:highlight w:val="none"/>
        </w:rPr>
        <w:t>3.投标人在规定的时间内未对招标文件提出疑问、质疑或要求澄清的，将视其为无异议。对采购文件中描述有歧义或前后不一致的地方，评标委员会有权进行评判，但对同一条款的评判应适用于每个投标人。</w:t>
      </w:r>
    </w:p>
    <w:p>
      <w:pPr>
        <w:pStyle w:val="13"/>
        <w:widowControl w:val="0"/>
        <w:tabs>
          <w:tab w:val="clear" w:pos="454"/>
        </w:tabs>
        <w:snapToGrid w:val="0"/>
        <w:spacing w:before="120" w:beforeLines="50" w:after="120" w:afterLines="0"/>
        <w:ind w:left="0"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三、投标文件的编制</w:t>
      </w:r>
    </w:p>
    <w:p>
      <w:pPr>
        <w:pStyle w:val="13"/>
        <w:widowControl w:val="0"/>
        <w:tabs>
          <w:tab w:val="clear" w:pos="454"/>
        </w:tabs>
        <w:snapToGrid w:val="0"/>
        <w:spacing w:before="120" w:beforeLines="50" w:after="120" w:afterLines="0"/>
        <w:ind w:left="0"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（一）投标文件的组成</w:t>
      </w:r>
    </w:p>
    <w:p>
      <w:pPr>
        <w:snapToGrid w:val="0"/>
        <w:ind w:firstLine="420"/>
        <w:jc w:val="left"/>
        <w:rPr>
          <w:rFonts w:ascii="宋体" w:hAnsi="宋体" w:cs="宋体"/>
          <w:color w:val="auto"/>
          <w:szCs w:val="21"/>
          <w:highlight w:val="none"/>
        </w:rPr>
      </w:pPr>
      <w:r>
        <w:rPr>
          <w:rFonts w:hint="eastAsia" w:ascii="宋体" w:hAnsi="宋体" w:cs="宋体"/>
          <w:color w:val="auto"/>
          <w:szCs w:val="21"/>
          <w:highlight w:val="none"/>
        </w:rPr>
        <w:t>投标文件由报价文件、资格审查文件和商务技术文件三部分组成</w:t>
      </w:r>
      <w:r>
        <w:rPr>
          <w:rFonts w:hint="eastAsia" w:ascii="宋体" w:hAnsi="宋体" w:cs="宋体"/>
          <w:b/>
          <w:bCs/>
          <w:color w:val="auto"/>
          <w:highlight w:val="none"/>
        </w:rPr>
        <w:t>（电子投标文件中所须加盖公章部分均采用CA签章）</w:t>
      </w:r>
      <w:r>
        <w:rPr>
          <w:rFonts w:hint="eastAsia" w:ascii="宋体" w:hAnsi="宋体" w:cs="宋体"/>
          <w:color w:val="auto"/>
          <w:szCs w:val="21"/>
          <w:highlight w:val="none"/>
        </w:rPr>
        <w:t>。</w:t>
      </w:r>
    </w:p>
    <w:p>
      <w:pPr>
        <w:snapToGrid w:val="0"/>
        <w:ind w:firstLine="413" w:firstLineChars="196"/>
        <w:jc w:val="left"/>
        <w:rPr>
          <w:rFonts w:ascii="宋体" w:hAnsi="宋体" w:cs="宋体"/>
          <w:b/>
          <w:color w:val="auto"/>
          <w:szCs w:val="21"/>
          <w:highlight w:val="none"/>
        </w:rPr>
      </w:pPr>
      <w:bookmarkStart w:id="1700" w:name="_Hlk71365082"/>
      <w:r>
        <w:rPr>
          <w:rFonts w:hint="eastAsia" w:ascii="宋体" w:hAnsi="宋体" w:cs="宋体"/>
          <w:b/>
          <w:color w:val="auto"/>
          <w:szCs w:val="21"/>
          <w:highlight w:val="none"/>
        </w:rPr>
        <w:t>1.报价文件：</w:t>
      </w:r>
    </w:p>
    <w:p>
      <w:pPr>
        <w:snapToGrid w:val="0"/>
        <w:ind w:left="412" w:firstLine="420"/>
        <w:jc w:val="left"/>
        <w:rPr>
          <w:rFonts w:ascii="宋体" w:hAnsi="宋体" w:cs="宋体"/>
          <w:color w:val="auto"/>
          <w:szCs w:val="21"/>
          <w:highlight w:val="none"/>
        </w:rPr>
      </w:pPr>
      <w:r>
        <w:rPr>
          <w:rFonts w:hint="eastAsia" w:ascii="宋体" w:hAnsi="宋体" w:cs="宋体"/>
          <w:color w:val="auto"/>
          <w:szCs w:val="21"/>
          <w:highlight w:val="none"/>
        </w:rPr>
        <w:t xml:space="preserve">（1）投标函（格式见附件）； </w:t>
      </w:r>
    </w:p>
    <w:p>
      <w:pPr>
        <w:snapToGrid w:val="0"/>
        <w:ind w:left="412" w:firstLine="420"/>
        <w:jc w:val="left"/>
        <w:rPr>
          <w:rFonts w:ascii="宋体" w:hAnsi="宋体" w:cs="宋体"/>
          <w:color w:val="auto"/>
          <w:szCs w:val="21"/>
          <w:highlight w:val="none"/>
        </w:rPr>
      </w:pPr>
      <w:r>
        <w:rPr>
          <w:rFonts w:hint="eastAsia" w:ascii="宋体" w:hAnsi="宋体" w:cs="宋体"/>
          <w:color w:val="auto"/>
          <w:szCs w:val="21"/>
          <w:highlight w:val="none"/>
        </w:rPr>
        <w:t>（2）开价一览表（格式见附件）；</w:t>
      </w:r>
    </w:p>
    <w:p>
      <w:pPr>
        <w:snapToGrid w:val="0"/>
        <w:ind w:left="412" w:firstLine="420"/>
        <w:jc w:val="left"/>
        <w:rPr>
          <w:rFonts w:ascii="宋体" w:hAnsi="宋体" w:cs="宋体"/>
          <w:color w:val="auto"/>
          <w:szCs w:val="21"/>
          <w:highlight w:val="none"/>
        </w:rPr>
      </w:pPr>
      <w:r>
        <w:rPr>
          <w:rFonts w:hint="eastAsia" w:ascii="宋体" w:hAnsi="宋体" w:cs="宋体"/>
          <w:color w:val="auto"/>
          <w:szCs w:val="21"/>
          <w:highlight w:val="none"/>
        </w:rPr>
        <w:t>（3）分项报价表（格式见附件）；</w:t>
      </w:r>
    </w:p>
    <w:p>
      <w:pPr>
        <w:snapToGrid w:val="0"/>
        <w:ind w:left="412" w:firstLine="420"/>
        <w:jc w:val="left"/>
        <w:rPr>
          <w:rFonts w:ascii="宋体" w:hAnsi="宋体" w:cs="宋体"/>
          <w:color w:val="auto"/>
          <w:szCs w:val="21"/>
          <w:highlight w:val="none"/>
        </w:rPr>
      </w:pPr>
      <w:r>
        <w:rPr>
          <w:rFonts w:hint="eastAsia" w:ascii="宋体" w:hAnsi="宋体" w:cs="宋体"/>
          <w:color w:val="auto"/>
          <w:szCs w:val="21"/>
          <w:highlight w:val="none"/>
        </w:rPr>
        <w:t>（4）报价明细表（格式见附件）；</w:t>
      </w:r>
    </w:p>
    <w:p>
      <w:pPr>
        <w:snapToGrid w:val="0"/>
        <w:ind w:left="412" w:firstLine="420"/>
        <w:jc w:val="left"/>
        <w:rPr>
          <w:rFonts w:ascii="宋体" w:hAnsi="宋体" w:cs="宋体"/>
          <w:color w:val="auto"/>
          <w:szCs w:val="21"/>
          <w:highlight w:val="none"/>
        </w:rPr>
      </w:pPr>
      <w:r>
        <w:rPr>
          <w:rFonts w:hint="eastAsia" w:ascii="宋体" w:hAnsi="宋体" w:cs="宋体"/>
          <w:color w:val="auto"/>
          <w:szCs w:val="21"/>
          <w:highlight w:val="none"/>
        </w:rPr>
        <w:t>（5）中小企业声明函（适用小微企业政策的请提供，格式见附件，未提供的不享受小微企业政策）；</w:t>
      </w:r>
    </w:p>
    <w:p>
      <w:pPr>
        <w:snapToGrid w:val="0"/>
        <w:ind w:left="412" w:firstLine="420"/>
        <w:jc w:val="left"/>
        <w:rPr>
          <w:rFonts w:ascii="宋体" w:hAnsi="宋体" w:cs="宋体"/>
          <w:color w:val="auto"/>
          <w:szCs w:val="21"/>
          <w:highlight w:val="none"/>
        </w:rPr>
      </w:pPr>
      <w:r>
        <w:rPr>
          <w:rFonts w:hint="eastAsia" w:ascii="宋体" w:hAnsi="宋体" w:cs="宋体"/>
          <w:color w:val="auto"/>
          <w:szCs w:val="21"/>
          <w:highlight w:val="none"/>
        </w:rPr>
        <w:t>（6）残疾人福利性单位声明函（如有，填写要求详见后款九、特别说明第9条的条件，请对照相关政策要求如实填写，填写格式见附件）；</w:t>
      </w:r>
    </w:p>
    <w:p>
      <w:pPr>
        <w:snapToGrid w:val="0"/>
        <w:ind w:left="412" w:firstLine="420"/>
        <w:jc w:val="left"/>
        <w:rPr>
          <w:rFonts w:ascii="宋体" w:hAnsi="宋体" w:cs="宋体"/>
          <w:color w:val="auto"/>
          <w:szCs w:val="21"/>
          <w:highlight w:val="none"/>
        </w:rPr>
      </w:pPr>
      <w:r>
        <w:rPr>
          <w:rFonts w:hint="eastAsia" w:ascii="宋体" w:hAnsi="宋体" w:cs="宋体"/>
          <w:color w:val="auto"/>
          <w:szCs w:val="21"/>
          <w:highlight w:val="none"/>
        </w:rPr>
        <w:t>（7）中标服务费支付承诺函（格式见附件）；</w:t>
      </w:r>
    </w:p>
    <w:p>
      <w:pPr>
        <w:snapToGrid w:val="0"/>
        <w:ind w:left="412" w:firstLine="420"/>
        <w:jc w:val="left"/>
        <w:rPr>
          <w:rFonts w:ascii="宋体" w:hAnsi="宋体" w:cs="宋体"/>
          <w:color w:val="auto"/>
          <w:szCs w:val="21"/>
          <w:highlight w:val="none"/>
        </w:rPr>
      </w:pPr>
      <w:r>
        <w:rPr>
          <w:rFonts w:hint="eastAsia" w:ascii="宋体" w:hAnsi="宋体" w:cs="宋体"/>
          <w:color w:val="auto"/>
          <w:szCs w:val="21"/>
          <w:highlight w:val="none"/>
        </w:rPr>
        <w:t>（8）投标人针对报价需要说明的其他文件和说明。</w:t>
      </w:r>
    </w:p>
    <w:p>
      <w:pPr>
        <w:snapToGrid w:val="0"/>
        <w:ind w:firstLine="413" w:firstLineChars="196"/>
        <w:jc w:val="left"/>
        <w:rPr>
          <w:rFonts w:ascii="宋体" w:hAnsi="宋体" w:cs="宋体"/>
          <w:b/>
          <w:bCs/>
          <w:color w:val="auto"/>
          <w:szCs w:val="21"/>
          <w:highlight w:val="none"/>
        </w:rPr>
      </w:pPr>
      <w:r>
        <w:rPr>
          <w:rFonts w:hint="eastAsia" w:ascii="宋体" w:hAnsi="宋体" w:cs="宋体"/>
          <w:b/>
          <w:bCs/>
          <w:color w:val="auto"/>
          <w:szCs w:val="21"/>
          <w:highlight w:val="none"/>
        </w:rPr>
        <w:t>2.资格审查文件：</w:t>
      </w:r>
    </w:p>
    <w:p>
      <w:pPr>
        <w:ind w:firstLine="420"/>
        <w:jc w:val="left"/>
        <w:outlineLvl w:val="1"/>
        <w:rPr>
          <w:rFonts w:ascii="宋体" w:hAnsi="宋体" w:cs="宋体"/>
          <w:color w:val="auto"/>
          <w:highlight w:val="none"/>
        </w:rPr>
      </w:pPr>
      <w:bookmarkStart w:id="1701" w:name="_Toc71364403"/>
      <w:bookmarkStart w:id="1702" w:name="_Toc12216"/>
      <w:r>
        <w:rPr>
          <w:rFonts w:hint="eastAsia" w:ascii="宋体" w:hAnsi="宋体" w:cs="宋体"/>
          <w:color w:val="auto"/>
          <w:szCs w:val="21"/>
          <w:highlight w:val="none"/>
        </w:rPr>
        <w:t>（1）资格条件自查表（格式见附件）；</w:t>
      </w:r>
      <w:bookmarkEnd w:id="1701"/>
      <w:bookmarkEnd w:id="1702"/>
    </w:p>
    <w:p>
      <w:pPr>
        <w:ind w:firstLine="420"/>
        <w:jc w:val="left"/>
        <w:outlineLvl w:val="1"/>
        <w:rPr>
          <w:rFonts w:ascii="宋体" w:hAnsi="宋体" w:cs="宋体"/>
          <w:color w:val="auto"/>
          <w:highlight w:val="none"/>
        </w:rPr>
      </w:pPr>
      <w:bookmarkStart w:id="1703" w:name="_Toc17085"/>
      <w:bookmarkStart w:id="1704" w:name="_Toc71364404"/>
      <w:r>
        <w:rPr>
          <w:rFonts w:hint="eastAsia" w:ascii="宋体" w:hAnsi="宋体" w:cs="宋体"/>
          <w:bCs/>
          <w:color w:val="auto"/>
          <w:szCs w:val="28"/>
          <w:highlight w:val="none"/>
        </w:rPr>
        <w:t>（2）</w:t>
      </w:r>
      <w:r>
        <w:rPr>
          <w:rFonts w:hint="eastAsia" w:ascii="宋体" w:hAnsi="宋体" w:cs="宋体"/>
          <w:color w:val="auto"/>
          <w:szCs w:val="21"/>
          <w:highlight w:val="none"/>
        </w:rPr>
        <w:t>有效的企业法人营业执照（或事业法人登记证）、其他组织（个体工商户）的营业执照或者民办非企业单位登记证书复印件（加盖公章）</w:t>
      </w:r>
      <w:r>
        <w:rPr>
          <w:rFonts w:hint="eastAsia" w:ascii="宋体" w:hAnsi="宋体" w:cs="宋体"/>
          <w:color w:val="auto"/>
          <w:highlight w:val="none"/>
        </w:rPr>
        <w:t>；</w:t>
      </w:r>
      <w:bookmarkEnd w:id="1703"/>
      <w:bookmarkEnd w:id="1704"/>
    </w:p>
    <w:p>
      <w:pPr>
        <w:ind w:firstLine="420"/>
        <w:jc w:val="left"/>
        <w:outlineLvl w:val="1"/>
        <w:rPr>
          <w:rFonts w:ascii="宋体" w:hAnsi="宋体" w:cs="宋体"/>
          <w:color w:val="auto"/>
          <w:szCs w:val="21"/>
          <w:highlight w:val="none"/>
        </w:rPr>
      </w:pPr>
      <w:bookmarkStart w:id="1705" w:name="_Toc8160"/>
      <w:bookmarkStart w:id="1706" w:name="_Toc71364405"/>
      <w:r>
        <w:rPr>
          <w:rFonts w:hint="eastAsia" w:ascii="宋体" w:hAnsi="宋体" w:cs="宋体"/>
          <w:bCs/>
          <w:color w:val="auto"/>
          <w:szCs w:val="28"/>
          <w:highlight w:val="none"/>
        </w:rPr>
        <w:t>（3）</w:t>
      </w:r>
      <w:r>
        <w:rPr>
          <w:rFonts w:hint="eastAsia" w:ascii="宋体" w:hAnsi="宋体" w:cs="宋体"/>
          <w:color w:val="auto"/>
          <w:szCs w:val="21"/>
          <w:highlight w:val="none"/>
        </w:rPr>
        <w:t>书面声明</w:t>
      </w:r>
      <w:r>
        <w:rPr>
          <w:rFonts w:hint="eastAsia" w:ascii="宋体" w:hAnsi="宋体" w:cs="宋体"/>
          <w:color w:val="auto"/>
          <w:highlight w:val="none"/>
        </w:rPr>
        <w:t>（格式见附件）。</w:t>
      </w:r>
      <w:bookmarkEnd w:id="1705"/>
      <w:bookmarkEnd w:id="1706"/>
    </w:p>
    <w:bookmarkEnd w:id="1700"/>
    <w:p>
      <w:pPr>
        <w:snapToGrid w:val="0"/>
        <w:ind w:firstLine="413" w:firstLineChars="196"/>
        <w:jc w:val="left"/>
        <w:rPr>
          <w:rFonts w:ascii="宋体" w:hAnsi="宋体" w:cs="宋体"/>
          <w:b/>
          <w:color w:val="auto"/>
          <w:szCs w:val="21"/>
          <w:highlight w:val="none"/>
        </w:rPr>
      </w:pPr>
      <w:bookmarkStart w:id="1707" w:name="_Hlk71365329"/>
      <w:r>
        <w:rPr>
          <w:rFonts w:hint="eastAsia" w:ascii="宋体" w:hAnsi="宋体" w:cs="宋体"/>
          <w:b/>
          <w:color w:val="auto"/>
          <w:szCs w:val="21"/>
          <w:highlight w:val="none"/>
        </w:rPr>
        <w:t>3.商务技术文件：</w:t>
      </w:r>
    </w:p>
    <w:p>
      <w:pPr>
        <w:snapToGrid w:val="0"/>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（1）投标响应表（格式见附件）；</w:t>
      </w:r>
    </w:p>
    <w:p>
      <w:pPr>
        <w:snapToGrid w:val="0"/>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（2）法定代表人身份证明（格式见附件）；</w:t>
      </w:r>
    </w:p>
    <w:p>
      <w:pPr>
        <w:snapToGrid w:val="0"/>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（3）法定代表人授权书（投标人的代表若为非法定代表人的，必须提交法定代表人授权书原件，另请提供投标人代表的社保部门出具的开标前近三个月任意一个月的社保证明，格式见附件）；</w:t>
      </w:r>
    </w:p>
    <w:p>
      <w:pPr>
        <w:snapToGrid w:val="0"/>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（4）投标人基本情况表（格式见附件）；</w:t>
      </w:r>
    </w:p>
    <w:p>
      <w:pPr>
        <w:tabs>
          <w:tab w:val="left" w:pos="518"/>
        </w:tabs>
        <w:snapToGrid w:val="0"/>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 xml:space="preserve">（5）第四章评标办法“投标人实力”要求提供的相关资料（如有，请提供）； </w:t>
      </w:r>
    </w:p>
    <w:p>
      <w:pPr>
        <w:tabs>
          <w:tab w:val="left" w:pos="518"/>
        </w:tabs>
        <w:snapToGrid w:val="0"/>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（6）第四章评标办法“荣誉奖项”要求提供的相关资料（如有，请提供）；</w:t>
      </w:r>
    </w:p>
    <w:p>
      <w:pPr>
        <w:tabs>
          <w:tab w:val="left" w:pos="518"/>
        </w:tabs>
        <w:snapToGrid w:val="0"/>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（7）</w:t>
      </w:r>
      <w:r>
        <w:rPr>
          <w:rFonts w:hint="eastAsia" w:ascii="宋体" w:hAnsi="宋体" w:cs="宋体"/>
          <w:color w:val="auto"/>
          <w:highlight w:val="none"/>
        </w:rPr>
        <w:t>软件</w:t>
      </w:r>
      <w:r>
        <w:rPr>
          <w:rFonts w:hint="eastAsia" w:ascii="宋体" w:hAnsi="宋体" w:cs="宋体"/>
          <w:color w:val="auto"/>
          <w:highlight w:val="none"/>
          <w:lang w:bidi="ar"/>
        </w:rPr>
        <w:t>著作权证书</w:t>
      </w:r>
      <w:r>
        <w:rPr>
          <w:rFonts w:hint="eastAsia" w:ascii="宋体" w:hAnsi="宋体" w:cs="宋体"/>
          <w:b/>
          <w:bCs/>
          <w:color w:val="auto"/>
          <w:szCs w:val="21"/>
          <w:highlight w:val="none"/>
          <w:lang w:bidi="ar"/>
        </w:rPr>
        <w:t>复印件并加盖投标人公章</w:t>
      </w:r>
      <w:r>
        <w:rPr>
          <w:rFonts w:hint="eastAsia" w:ascii="宋体" w:hAnsi="宋体" w:cs="宋体"/>
          <w:color w:val="auto"/>
          <w:szCs w:val="21"/>
          <w:highlight w:val="none"/>
        </w:rPr>
        <w:t>（如有，请提供）；</w:t>
      </w:r>
    </w:p>
    <w:p>
      <w:pPr>
        <w:tabs>
          <w:tab w:val="left" w:pos="518"/>
        </w:tabs>
        <w:snapToGrid w:val="0"/>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（8）同类项目业绩清单（格式见附件）；</w:t>
      </w:r>
    </w:p>
    <w:p>
      <w:pPr>
        <w:tabs>
          <w:tab w:val="left" w:pos="518"/>
          <w:tab w:val="left" w:pos="993"/>
        </w:tabs>
        <w:snapToGrid w:val="0"/>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（9）商务需求响应表（格式见附件）；</w:t>
      </w:r>
    </w:p>
    <w:p>
      <w:pPr>
        <w:tabs>
          <w:tab w:val="left" w:pos="518"/>
          <w:tab w:val="left" w:pos="993"/>
        </w:tabs>
        <w:snapToGrid w:val="0"/>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（10）技术需求响应表（格式见附件）；</w:t>
      </w:r>
    </w:p>
    <w:p>
      <w:pPr>
        <w:tabs>
          <w:tab w:val="left" w:pos="518"/>
          <w:tab w:val="left" w:pos="993"/>
        </w:tabs>
        <w:snapToGrid w:val="0"/>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（11）项目需求理解程度（格式自拟）；</w:t>
      </w:r>
    </w:p>
    <w:p>
      <w:pPr>
        <w:tabs>
          <w:tab w:val="left" w:pos="518"/>
          <w:tab w:val="left" w:pos="993"/>
        </w:tabs>
        <w:snapToGrid w:val="0"/>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（12）</w:t>
      </w:r>
      <w:r>
        <w:rPr>
          <w:rFonts w:hint="eastAsia" w:ascii="宋体" w:hAnsi="宋体" w:cs="宋体"/>
          <w:color w:val="auto"/>
          <w:highlight w:val="none"/>
        </w:rPr>
        <w:t>项目实施方案（包括但不限于项目建设方案、项目执行方案以及化工产业大脑接入方案等内容）</w:t>
      </w:r>
      <w:r>
        <w:rPr>
          <w:rFonts w:hint="eastAsia" w:ascii="宋体" w:hAnsi="宋体" w:cs="宋体"/>
          <w:color w:val="auto"/>
          <w:szCs w:val="21"/>
          <w:highlight w:val="none"/>
        </w:rPr>
        <w:t>（格式自拟）；</w:t>
      </w:r>
    </w:p>
    <w:p>
      <w:pPr>
        <w:tabs>
          <w:tab w:val="left" w:pos="518"/>
          <w:tab w:val="left" w:pos="993"/>
        </w:tabs>
        <w:snapToGrid w:val="0"/>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（13）第四章评标办法“</w:t>
      </w:r>
      <w:r>
        <w:rPr>
          <w:rFonts w:hint="eastAsia" w:ascii="宋体" w:hAnsi="宋体" w:cs="宋体"/>
          <w:color w:val="auto"/>
          <w:highlight w:val="none"/>
        </w:rPr>
        <w:t>所投产品、生产厂商实力</w:t>
      </w:r>
      <w:r>
        <w:rPr>
          <w:rFonts w:hint="eastAsia" w:ascii="宋体" w:hAnsi="宋体" w:cs="宋体"/>
          <w:color w:val="auto"/>
          <w:szCs w:val="21"/>
          <w:highlight w:val="none"/>
        </w:rPr>
        <w:t>” 要求提供的相关资料（如有，请提供）；</w:t>
      </w:r>
    </w:p>
    <w:p>
      <w:pPr>
        <w:tabs>
          <w:tab w:val="left" w:pos="518"/>
          <w:tab w:val="left" w:pos="993"/>
        </w:tabs>
        <w:snapToGrid w:val="0"/>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（14）拟投入服务团队（格式见附件）；</w:t>
      </w:r>
    </w:p>
    <w:p>
      <w:pPr>
        <w:tabs>
          <w:tab w:val="left" w:pos="518"/>
          <w:tab w:val="left" w:pos="993"/>
        </w:tabs>
        <w:snapToGrid w:val="0"/>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（15）</w:t>
      </w:r>
      <w:r>
        <w:rPr>
          <w:rFonts w:hint="eastAsia" w:ascii="宋体" w:hAnsi="宋体" w:cs="宋体"/>
          <w:color w:val="auto"/>
          <w:highlight w:val="none"/>
        </w:rPr>
        <w:t>售后及运维服务方案</w:t>
      </w:r>
      <w:r>
        <w:rPr>
          <w:rFonts w:hint="eastAsia" w:ascii="宋体" w:hAnsi="宋体" w:cs="宋体"/>
          <w:color w:val="auto"/>
          <w:szCs w:val="21"/>
          <w:highlight w:val="none"/>
        </w:rPr>
        <w:t>（格式自拟）；</w:t>
      </w:r>
    </w:p>
    <w:p>
      <w:pPr>
        <w:tabs>
          <w:tab w:val="left" w:pos="518"/>
          <w:tab w:val="left" w:pos="993"/>
        </w:tabs>
        <w:snapToGrid w:val="0"/>
        <w:ind w:firstLine="411" w:firstLineChars="196"/>
        <w:jc w:val="left"/>
        <w:rPr>
          <w:rFonts w:ascii="宋体" w:hAnsi="宋体" w:cs="宋体"/>
          <w:color w:val="auto"/>
          <w:highlight w:val="none"/>
        </w:rPr>
      </w:pPr>
      <w:r>
        <w:rPr>
          <w:rFonts w:hint="eastAsia" w:ascii="宋体" w:hAnsi="宋体" w:cs="宋体"/>
          <w:color w:val="auto"/>
          <w:szCs w:val="21"/>
          <w:highlight w:val="none"/>
        </w:rPr>
        <w:t>（16）</w:t>
      </w:r>
      <w:r>
        <w:rPr>
          <w:rFonts w:hint="eastAsia" w:ascii="宋体" w:hAnsi="宋体" w:cs="宋体"/>
          <w:bCs/>
          <w:color w:val="auto"/>
          <w:szCs w:val="21"/>
          <w:highlight w:val="none"/>
          <w:lang w:bidi="ar"/>
        </w:rPr>
        <w:t>节能环保产品证明材料（如有，请按评分标准要求提供）；</w:t>
      </w:r>
    </w:p>
    <w:p>
      <w:pPr>
        <w:tabs>
          <w:tab w:val="left" w:pos="518"/>
          <w:tab w:val="left" w:pos="993"/>
        </w:tabs>
        <w:snapToGrid w:val="0"/>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（17）其他投标人认为需要提交的商务技术资料。</w:t>
      </w:r>
    </w:p>
    <w:bookmarkEnd w:id="1707"/>
    <w:p>
      <w:pPr>
        <w:tabs>
          <w:tab w:val="left" w:pos="426"/>
          <w:tab w:val="left" w:pos="993"/>
        </w:tabs>
        <w:ind w:firstLine="420"/>
        <w:rPr>
          <w:rFonts w:ascii="宋体" w:hAnsi="宋体" w:cs="宋体"/>
          <w:color w:val="auto"/>
          <w:highlight w:val="none"/>
        </w:rPr>
      </w:pPr>
      <w:r>
        <w:rPr>
          <w:rFonts w:hint="eastAsia" w:ascii="宋体" w:hAnsi="宋体" w:cs="宋体"/>
          <w:color w:val="auto"/>
          <w:highlight w:val="none"/>
        </w:rPr>
        <w:t>注：</w:t>
      </w:r>
      <w:r>
        <w:rPr>
          <w:rFonts w:hint="eastAsia" w:ascii="宋体" w:hAnsi="宋体" w:cs="宋体"/>
          <w:bCs/>
          <w:color w:val="auto"/>
          <w:szCs w:val="21"/>
          <w:highlight w:val="none"/>
        </w:rPr>
        <w:t>投标文件在提供对投标产品技术条款响应表的应答时，对招标文件有技术数值要求的参数，必须以投标货物的具体技术数值据实应答；对于招标文件无数值要求的参数的应答，必须作出明确、直接、无导致两种理解可能的应答</w:t>
      </w:r>
      <w:r>
        <w:rPr>
          <w:rStyle w:val="44"/>
          <w:rFonts w:hint="eastAsia" w:ascii="宋体" w:hAnsi="宋体" w:cs="宋体"/>
          <w:color w:val="auto"/>
          <w:highlight w:val="none"/>
        </w:rPr>
        <w:t>。</w:t>
      </w:r>
    </w:p>
    <w:p>
      <w:pPr>
        <w:pStyle w:val="13"/>
        <w:widowControl w:val="0"/>
        <w:tabs>
          <w:tab w:val="clear" w:pos="454"/>
        </w:tabs>
        <w:snapToGrid w:val="0"/>
        <w:spacing w:before="120" w:beforeLines="50" w:after="0" w:afterLines="0"/>
        <w:ind w:left="0"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（二）投标文件的语言及计量</w:t>
      </w:r>
    </w:p>
    <w:p>
      <w:pPr>
        <w:snapToGrid w:val="0"/>
        <w:ind w:firstLine="422"/>
        <w:jc w:val="left"/>
        <w:rPr>
          <w:rFonts w:ascii="宋体" w:hAnsi="宋体" w:cs="宋体"/>
          <w:b/>
          <w:color w:val="auto"/>
          <w:szCs w:val="21"/>
          <w:highlight w:val="none"/>
        </w:rPr>
      </w:pPr>
      <w:r>
        <w:rPr>
          <w:rFonts w:hint="eastAsia" w:ascii="宋体" w:hAnsi="宋体" w:cs="宋体"/>
          <w:b/>
          <w:color w:val="auto"/>
          <w:szCs w:val="21"/>
          <w:highlight w:val="none"/>
        </w:rPr>
        <w:t>*1投标文件以及投标方与招标方就有关投标事宜的所有来往函电，均应以中文汉语书写。除签名、盖章、专用名称等特殊情形外，以中文汉语以外的文字表述的投标文件视同未提供。</w:t>
      </w:r>
    </w:p>
    <w:p>
      <w:pPr>
        <w:snapToGrid w:val="0"/>
        <w:ind w:firstLine="422"/>
        <w:jc w:val="left"/>
        <w:rPr>
          <w:rFonts w:ascii="宋体" w:hAnsi="宋体" w:cs="宋体"/>
          <w:b/>
          <w:color w:val="auto"/>
          <w:szCs w:val="21"/>
          <w:highlight w:val="none"/>
        </w:rPr>
      </w:pPr>
      <w:r>
        <w:rPr>
          <w:rFonts w:hint="eastAsia" w:ascii="宋体" w:hAnsi="宋体" w:cs="宋体"/>
          <w:b/>
          <w:color w:val="auto"/>
          <w:szCs w:val="21"/>
          <w:highlight w:val="none"/>
        </w:rPr>
        <w:t>*2投标计量单位，招标文件已有明确规定的，使用招标文件规定的计量单位；招标文件没有规定的，应采用中华人民共和国法定计量单位（货币单位：人民币元），否则视同未响应。</w:t>
      </w:r>
    </w:p>
    <w:p>
      <w:pPr>
        <w:pStyle w:val="13"/>
        <w:widowControl w:val="0"/>
        <w:tabs>
          <w:tab w:val="clear" w:pos="454"/>
        </w:tabs>
        <w:snapToGrid w:val="0"/>
        <w:spacing w:before="120" w:beforeLines="50" w:after="0" w:afterLines="0"/>
        <w:ind w:left="0"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（三）投标报价</w:t>
      </w:r>
    </w:p>
    <w:p>
      <w:pPr>
        <w:pStyle w:val="13"/>
        <w:widowControl w:val="0"/>
        <w:tabs>
          <w:tab w:val="clear" w:pos="454"/>
        </w:tabs>
        <w:snapToGrid w:val="0"/>
        <w:spacing w:before="120" w:beforeLines="50" w:after="0" w:afterLines="0"/>
        <w:ind w:left="0" w:firstLine="411" w:firstLineChars="196"/>
        <w:rPr>
          <w:rFonts w:ascii="宋体" w:hAnsi="宋体" w:cs="宋体"/>
          <w:color w:val="auto"/>
          <w:sz w:val="21"/>
          <w:szCs w:val="21"/>
          <w:highlight w:val="none"/>
        </w:rPr>
      </w:pPr>
      <w:r>
        <w:rPr>
          <w:rFonts w:hint="eastAsia" w:ascii="宋体" w:hAnsi="宋体" w:cs="宋体"/>
          <w:color w:val="auto"/>
          <w:sz w:val="21"/>
          <w:szCs w:val="21"/>
          <w:highlight w:val="none"/>
        </w:rPr>
        <w:t>1.投标报价应按招标文件中相关附表格式填写。</w:t>
      </w:r>
    </w:p>
    <w:p>
      <w:pPr>
        <w:pStyle w:val="13"/>
        <w:widowControl w:val="0"/>
        <w:tabs>
          <w:tab w:val="clear" w:pos="454"/>
        </w:tabs>
        <w:snapToGrid w:val="0"/>
        <w:spacing w:before="120" w:beforeLines="50" w:after="120" w:afterLines="0"/>
        <w:ind w:left="0" w:firstLine="411" w:firstLineChars="196"/>
        <w:rPr>
          <w:rFonts w:ascii="宋体" w:hAnsi="宋体" w:cs="宋体"/>
          <w:color w:val="auto"/>
          <w:sz w:val="21"/>
          <w:szCs w:val="21"/>
          <w:highlight w:val="none"/>
        </w:rPr>
      </w:pPr>
      <w:r>
        <w:rPr>
          <w:rFonts w:hint="eastAsia" w:ascii="宋体" w:hAnsi="宋体" w:cs="宋体"/>
          <w:color w:val="auto"/>
          <w:sz w:val="21"/>
          <w:szCs w:val="21"/>
          <w:highlight w:val="none"/>
        </w:rPr>
        <w:t>*2.投标文件针对同一内容只允许有一个报价，有选择的或有条件的报价将不予接受。</w:t>
      </w:r>
    </w:p>
    <w:p>
      <w:pPr>
        <w:pStyle w:val="13"/>
        <w:widowControl w:val="0"/>
        <w:tabs>
          <w:tab w:val="clear" w:pos="454"/>
        </w:tabs>
        <w:snapToGrid w:val="0"/>
        <w:spacing w:before="120" w:beforeLines="50" w:after="120" w:afterLines="0"/>
        <w:ind w:left="0"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（四）投标文件的有效期</w:t>
      </w:r>
    </w:p>
    <w:p>
      <w:pPr>
        <w:pStyle w:val="13"/>
        <w:widowControl w:val="0"/>
        <w:tabs>
          <w:tab w:val="clear" w:pos="454"/>
        </w:tabs>
        <w:snapToGrid w:val="0"/>
        <w:spacing w:before="120" w:beforeLines="50" w:after="120" w:afterLines="0"/>
        <w:ind w:left="0" w:firstLine="411" w:firstLineChars="196"/>
        <w:rPr>
          <w:rFonts w:ascii="宋体" w:hAnsi="宋体" w:cs="宋体"/>
          <w:color w:val="auto"/>
          <w:sz w:val="21"/>
          <w:szCs w:val="21"/>
          <w:highlight w:val="none"/>
        </w:rPr>
      </w:pPr>
      <w:r>
        <w:rPr>
          <w:rFonts w:hint="eastAsia" w:ascii="宋体" w:hAnsi="宋体" w:cs="宋体"/>
          <w:color w:val="auto"/>
          <w:sz w:val="21"/>
          <w:szCs w:val="21"/>
          <w:highlight w:val="none"/>
        </w:rPr>
        <w:t>*1.自投标截止日起 60天投标文件应保持有效。有效期不足的投标文件将被拒绝。</w:t>
      </w:r>
    </w:p>
    <w:p>
      <w:pPr>
        <w:pStyle w:val="13"/>
        <w:widowControl w:val="0"/>
        <w:tabs>
          <w:tab w:val="clear" w:pos="454"/>
        </w:tabs>
        <w:snapToGrid w:val="0"/>
        <w:spacing w:before="120" w:beforeLines="50" w:after="120" w:afterLines="0"/>
        <w:ind w:left="0" w:firstLine="411" w:firstLineChars="196"/>
        <w:rPr>
          <w:rFonts w:ascii="宋体" w:hAnsi="宋体" w:cs="宋体"/>
          <w:color w:val="auto"/>
          <w:sz w:val="21"/>
          <w:szCs w:val="21"/>
          <w:highlight w:val="none"/>
        </w:rPr>
      </w:pPr>
      <w:r>
        <w:rPr>
          <w:rFonts w:hint="eastAsia" w:ascii="宋体" w:hAnsi="宋体" w:cs="宋体"/>
          <w:color w:val="auto"/>
          <w:sz w:val="21"/>
          <w:szCs w:val="21"/>
          <w:highlight w:val="none"/>
        </w:rPr>
        <w:t>2.在特殊情况下，</w:t>
      </w:r>
      <w:r>
        <w:rPr>
          <w:rFonts w:hint="eastAsia" w:ascii="宋体" w:hAnsi="宋体" w:cs="宋体"/>
          <w:color w:val="auto"/>
          <w:sz w:val="21"/>
          <w:szCs w:val="21"/>
          <w:highlight w:val="none"/>
        </w:rPr>
        <w:t>采购人</w:t>
      </w:r>
      <w:r>
        <w:rPr>
          <w:rFonts w:hint="eastAsia" w:ascii="宋体" w:hAnsi="宋体" w:cs="宋体"/>
          <w:color w:val="auto"/>
          <w:sz w:val="21"/>
          <w:szCs w:val="21"/>
          <w:highlight w:val="none"/>
        </w:rPr>
        <w:t>可与投标人协商延长投标书的有效期，这种要求和答复均以书面形式进行。</w:t>
      </w:r>
    </w:p>
    <w:p>
      <w:pPr>
        <w:pStyle w:val="13"/>
        <w:widowControl w:val="0"/>
        <w:tabs>
          <w:tab w:val="clear" w:pos="454"/>
        </w:tabs>
        <w:snapToGrid w:val="0"/>
        <w:spacing w:before="120" w:beforeLines="50" w:after="120" w:afterLines="0"/>
        <w:ind w:left="0" w:firstLine="411" w:firstLineChars="196"/>
        <w:rPr>
          <w:rFonts w:ascii="宋体" w:hAnsi="宋体" w:cs="宋体"/>
          <w:color w:val="auto"/>
          <w:sz w:val="21"/>
          <w:szCs w:val="21"/>
          <w:highlight w:val="none"/>
        </w:rPr>
      </w:pPr>
      <w:r>
        <w:rPr>
          <w:rFonts w:hint="eastAsia" w:ascii="宋体" w:hAnsi="宋体" w:cs="宋体"/>
          <w:color w:val="auto"/>
          <w:sz w:val="21"/>
          <w:szCs w:val="21"/>
          <w:highlight w:val="none"/>
        </w:rPr>
        <w:t xml:space="preserve">3.投标人可拒绝接受延期要求而不会导致投标保证金被没收。同意延长有效期的投标人需要相应延长投标保证金的有效期，但不能修改投标文件。 </w:t>
      </w:r>
    </w:p>
    <w:p>
      <w:pPr>
        <w:pStyle w:val="13"/>
        <w:widowControl w:val="0"/>
        <w:tabs>
          <w:tab w:val="clear" w:pos="454"/>
        </w:tabs>
        <w:snapToGrid w:val="0"/>
        <w:spacing w:before="120" w:beforeLines="50" w:after="120" w:afterLines="0"/>
        <w:ind w:left="0" w:firstLine="411" w:firstLineChars="196"/>
        <w:rPr>
          <w:rFonts w:ascii="宋体" w:hAnsi="宋体" w:cs="宋体"/>
          <w:color w:val="auto"/>
          <w:sz w:val="21"/>
          <w:szCs w:val="21"/>
          <w:highlight w:val="none"/>
        </w:rPr>
      </w:pPr>
      <w:r>
        <w:rPr>
          <w:rFonts w:hint="eastAsia" w:ascii="宋体" w:hAnsi="宋体" w:cs="宋体"/>
          <w:color w:val="auto"/>
          <w:sz w:val="21"/>
          <w:szCs w:val="21"/>
          <w:highlight w:val="none"/>
        </w:rPr>
        <w:t>4.中标人的投标文件自开标之日起至合同履行完毕止均应保持有效。</w:t>
      </w:r>
    </w:p>
    <w:p>
      <w:pPr>
        <w:pStyle w:val="13"/>
        <w:widowControl w:val="0"/>
        <w:tabs>
          <w:tab w:val="clear" w:pos="454"/>
        </w:tabs>
        <w:snapToGrid w:val="0"/>
        <w:spacing w:before="120" w:beforeLines="50" w:after="0" w:afterLines="0"/>
        <w:ind w:left="0"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（五）投标文件的签署和份数</w:t>
      </w:r>
    </w:p>
    <w:p>
      <w:pPr>
        <w:ind w:firstLine="420"/>
        <w:rPr>
          <w:rFonts w:ascii="宋体" w:hAnsi="宋体" w:cs="宋体"/>
          <w:color w:val="auto"/>
          <w:highlight w:val="none"/>
        </w:rPr>
      </w:pPr>
      <w:r>
        <w:rPr>
          <w:rFonts w:hint="eastAsia" w:ascii="宋体" w:hAnsi="宋体" w:cs="宋体"/>
          <w:color w:val="auto"/>
          <w:highlight w:val="none"/>
        </w:rPr>
        <w:t>1、投标人应按本采购文件规定的格式和顺序编制、装订投标文件并标注页码，投标文件内容不完整、编排混乱导致投标文件被误读、漏读或者查找不到相关内容的，是投标人的责任。</w:t>
      </w:r>
    </w:p>
    <w:p>
      <w:pPr>
        <w:ind w:firstLine="422"/>
        <w:rPr>
          <w:rFonts w:ascii="宋体" w:hAnsi="宋体" w:cs="宋体"/>
          <w:b/>
          <w:color w:val="auto"/>
          <w:highlight w:val="none"/>
        </w:rPr>
      </w:pPr>
      <w:r>
        <w:rPr>
          <w:rFonts w:hint="eastAsia" w:ascii="宋体" w:hAnsi="宋体" w:cs="宋体"/>
          <w:b/>
          <w:color w:val="auto"/>
          <w:highlight w:val="none"/>
        </w:rPr>
        <w:t>2、以U盘形式提供的备份电子投标文件1份</w:t>
      </w:r>
      <w:r>
        <w:rPr>
          <w:rFonts w:hint="eastAsia" w:ascii="宋体" w:hAnsi="宋体" w:cs="宋体"/>
          <w:b/>
          <w:bCs/>
          <w:color w:val="auto"/>
          <w:highlight w:val="none"/>
        </w:rPr>
        <w:t>（包含资格审查文件、商务技术文件和报价文件）</w:t>
      </w:r>
      <w:r>
        <w:rPr>
          <w:rFonts w:hint="eastAsia" w:ascii="宋体" w:hAnsi="宋体" w:cs="宋体"/>
          <w:b/>
          <w:color w:val="auto"/>
          <w:highlight w:val="none"/>
        </w:rPr>
        <w:t>。</w:t>
      </w:r>
      <w:r>
        <w:rPr>
          <w:rFonts w:hint="eastAsia" w:ascii="宋体" w:hAnsi="宋体" w:cs="宋体"/>
          <w:b/>
          <w:color w:val="auto"/>
          <w:szCs w:val="21"/>
          <w:highlight w:val="none"/>
        </w:rPr>
        <w:t>备份纸质投标文件</w:t>
      </w:r>
      <w:r>
        <w:rPr>
          <w:rFonts w:hint="eastAsia" w:ascii="宋体" w:hAnsi="宋体" w:cs="宋体"/>
          <w:b/>
          <w:bCs/>
          <w:color w:val="auto"/>
          <w:highlight w:val="none"/>
        </w:rPr>
        <w:t>（包含资格审查文件、商务技术文件和报价文件）</w:t>
      </w:r>
      <w:r>
        <w:rPr>
          <w:rFonts w:hint="eastAsia" w:ascii="宋体" w:hAnsi="宋体" w:cs="宋体"/>
          <w:b/>
          <w:color w:val="auto"/>
          <w:szCs w:val="21"/>
          <w:highlight w:val="none"/>
        </w:rPr>
        <w:t>正本 1份、副本4份。投标文件的封面应注明“正本”、“副本”字样。</w:t>
      </w:r>
    </w:p>
    <w:p>
      <w:pPr>
        <w:ind w:firstLine="420"/>
        <w:jc w:val="left"/>
        <w:rPr>
          <w:rFonts w:ascii="宋体" w:hAnsi="宋体" w:cs="宋体"/>
          <w:bCs/>
          <w:color w:val="auto"/>
          <w:szCs w:val="21"/>
          <w:highlight w:val="none"/>
        </w:rPr>
      </w:pPr>
      <w:r>
        <w:rPr>
          <w:rFonts w:hint="eastAsia" w:ascii="宋体" w:hAnsi="宋体" w:cs="宋体"/>
          <w:bCs/>
          <w:color w:val="auto"/>
          <w:szCs w:val="21"/>
          <w:highlight w:val="none"/>
        </w:rPr>
        <w:t>3、投标文件须由投标人在规定位置盖章并由法定代表人或法定代表人的授权委托人签署，投标人应写全称。法定代表人授权委托书必须由法定代表人签名并加盖单位公章。</w:t>
      </w:r>
    </w:p>
    <w:p>
      <w:pPr>
        <w:ind w:firstLine="420"/>
        <w:jc w:val="left"/>
        <w:rPr>
          <w:rFonts w:ascii="宋体" w:hAnsi="宋体" w:cs="宋体"/>
          <w:color w:val="auto"/>
          <w:szCs w:val="21"/>
          <w:highlight w:val="none"/>
        </w:rPr>
      </w:pPr>
      <w:r>
        <w:rPr>
          <w:rFonts w:hint="eastAsia" w:ascii="宋体" w:hAnsi="宋体" w:cs="宋体"/>
          <w:bCs/>
          <w:color w:val="auto"/>
          <w:szCs w:val="21"/>
          <w:highlight w:val="none"/>
        </w:rPr>
        <w:t>4、投标人应根据“政采云供应商项目采购-电子招投标操作指南”及本招标文件规定的格式和顺序编制电子投标文件并进行关联定位，</w:t>
      </w:r>
      <w:r>
        <w:rPr>
          <w:rFonts w:hint="eastAsia" w:ascii="宋体" w:hAnsi="宋体" w:cs="宋体"/>
          <w:b/>
          <w:color w:val="auto"/>
          <w:szCs w:val="21"/>
          <w:highlight w:val="none"/>
        </w:rPr>
        <w:t>未传输递交电子投标文件的，投标无效。</w:t>
      </w:r>
    </w:p>
    <w:p>
      <w:pPr>
        <w:pStyle w:val="13"/>
        <w:widowControl w:val="0"/>
        <w:tabs>
          <w:tab w:val="clear" w:pos="454"/>
        </w:tabs>
        <w:snapToGrid w:val="0"/>
        <w:spacing w:before="120" w:beforeLines="50" w:after="0" w:afterLines="0"/>
        <w:ind w:left="0"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（七）投标文件的包装、递交、修改和撤回</w:t>
      </w:r>
    </w:p>
    <w:p>
      <w:pPr>
        <w:snapToGrid w:val="0"/>
        <w:ind w:firstLine="420"/>
        <w:jc w:val="left"/>
        <w:rPr>
          <w:rFonts w:ascii="宋体" w:hAnsi="宋体" w:cs="宋体"/>
          <w:bCs/>
          <w:color w:val="auto"/>
          <w:szCs w:val="21"/>
          <w:highlight w:val="none"/>
        </w:rPr>
      </w:pPr>
      <w:r>
        <w:rPr>
          <w:rFonts w:hint="eastAsia" w:ascii="宋体" w:hAnsi="宋体" w:cs="宋体"/>
          <w:bCs/>
          <w:color w:val="auto"/>
          <w:szCs w:val="21"/>
          <w:highlight w:val="none"/>
        </w:rPr>
        <w:t>1、电子投标文件和纸质投标文件的备份文件单独包封，外包装封面上应注明投标人名称、投标人地址、投标文件名称（电子投标文件的备份文件/纸质投标文件）、投标项目名称、项目编号及“在  年  月  日  时  分之前不得启封”字样，并加盖投标人公章。</w:t>
      </w:r>
    </w:p>
    <w:p>
      <w:pPr>
        <w:pStyle w:val="19"/>
        <w:snapToGrid w:val="0"/>
        <w:spacing w:line="360" w:lineRule="auto"/>
        <w:ind w:firstLine="404"/>
        <w:rPr>
          <w:rFonts w:hAnsi="宋体" w:eastAsia="宋体" w:cs="宋体"/>
          <w:color w:val="auto"/>
          <w:highlight w:val="none"/>
        </w:rPr>
      </w:pPr>
      <w:r>
        <w:rPr>
          <w:rFonts w:hint="eastAsia" w:hAnsi="宋体" w:eastAsia="宋体" w:cs="宋体"/>
          <w:color w:val="auto"/>
          <w:sz w:val="21"/>
          <w:szCs w:val="21"/>
          <w:highlight w:val="none"/>
        </w:rPr>
        <w:t>2、未按规定密封或标记的投标文件，采购人有权拒绝接受其投标。</w:t>
      </w:r>
    </w:p>
    <w:p>
      <w:pPr>
        <w:widowControl/>
        <w:snapToGrid w:val="0"/>
        <w:ind w:firstLine="420"/>
        <w:rPr>
          <w:rFonts w:ascii="宋体" w:hAnsi="宋体" w:cs="宋体"/>
          <w:b/>
          <w:color w:val="auto"/>
          <w:szCs w:val="21"/>
          <w:highlight w:val="none"/>
        </w:rPr>
      </w:pPr>
      <w:r>
        <w:rPr>
          <w:rFonts w:hint="eastAsia" w:ascii="宋体" w:hAnsi="宋体" w:cs="宋体"/>
          <w:bCs/>
          <w:color w:val="auto"/>
          <w:szCs w:val="21"/>
          <w:highlight w:val="none"/>
          <w:lang w:bidi="ar"/>
        </w:rPr>
        <w:t>3、投标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响应截止时间后传输递交的投标、响应文件，将被拒收。</w:t>
      </w:r>
    </w:p>
    <w:p>
      <w:pPr>
        <w:pStyle w:val="19"/>
        <w:snapToGrid w:val="0"/>
        <w:spacing w:line="360" w:lineRule="auto"/>
        <w:ind w:firstLine="398" w:firstLineChars="196"/>
        <w:rPr>
          <w:rFonts w:hAnsi="宋体" w:eastAsia="宋体" w:cs="宋体"/>
          <w:b/>
          <w:color w:val="auto"/>
          <w:sz w:val="21"/>
          <w:szCs w:val="21"/>
          <w:highlight w:val="none"/>
        </w:rPr>
      </w:pPr>
      <w:r>
        <w:rPr>
          <w:rFonts w:hint="eastAsia" w:hAnsi="宋体" w:eastAsia="宋体" w:cs="宋体"/>
          <w:b/>
          <w:color w:val="auto"/>
          <w:sz w:val="21"/>
          <w:szCs w:val="21"/>
          <w:highlight w:val="none"/>
        </w:rPr>
        <w:t>（八）投标无效的情形</w:t>
      </w:r>
    </w:p>
    <w:p>
      <w:pPr>
        <w:pStyle w:val="19"/>
        <w:snapToGrid w:val="0"/>
        <w:spacing w:line="360" w:lineRule="auto"/>
        <w:ind w:firstLine="395" w:firstLineChars="196"/>
        <w:rPr>
          <w:rFonts w:hAnsi="宋体" w:eastAsia="宋体" w:cs="宋体"/>
          <w:color w:val="auto"/>
          <w:sz w:val="21"/>
          <w:szCs w:val="21"/>
          <w:highlight w:val="none"/>
        </w:rPr>
      </w:pPr>
      <w:r>
        <w:rPr>
          <w:rFonts w:hint="eastAsia" w:hAnsi="宋体" w:eastAsia="宋体" w:cs="宋体"/>
          <w:color w:val="auto"/>
          <w:sz w:val="21"/>
          <w:szCs w:val="21"/>
          <w:highlight w:val="none"/>
        </w:rPr>
        <w:t>实质上没有响应招标文件要求的投标将被视为无效投标。</w:t>
      </w:r>
    </w:p>
    <w:p>
      <w:pPr>
        <w:widowControl/>
        <w:ind w:firstLine="413" w:firstLineChars="196"/>
        <w:jc w:val="left"/>
        <w:rPr>
          <w:rFonts w:ascii="宋体" w:hAnsi="宋体" w:cs="宋体"/>
          <w:b/>
          <w:bCs/>
          <w:color w:val="auto"/>
          <w:szCs w:val="21"/>
          <w:highlight w:val="none"/>
        </w:rPr>
      </w:pPr>
      <w:r>
        <w:rPr>
          <w:rFonts w:hint="eastAsia" w:ascii="宋体" w:hAnsi="宋体" w:cs="宋体"/>
          <w:b/>
          <w:bCs/>
          <w:color w:val="auto"/>
          <w:szCs w:val="21"/>
          <w:highlight w:val="none"/>
        </w:rPr>
        <w:t>1.在资格审查时，不具备招标文件中规定的资格要求的，或者资格证明文件不全的，投标文件将被视为无效。</w:t>
      </w:r>
    </w:p>
    <w:p>
      <w:pPr>
        <w:widowControl/>
        <w:ind w:firstLine="413" w:firstLineChars="196"/>
        <w:jc w:val="left"/>
        <w:rPr>
          <w:rFonts w:ascii="宋体" w:hAnsi="宋体" w:cs="宋体"/>
          <w:b/>
          <w:bCs/>
          <w:color w:val="auto"/>
          <w:szCs w:val="21"/>
          <w:highlight w:val="none"/>
        </w:rPr>
      </w:pPr>
      <w:r>
        <w:rPr>
          <w:rFonts w:hint="eastAsia" w:ascii="宋体" w:hAnsi="宋体" w:cs="宋体"/>
          <w:b/>
          <w:bCs/>
          <w:color w:val="auto"/>
          <w:szCs w:val="21"/>
          <w:highlight w:val="none"/>
        </w:rPr>
        <w:t>2.在符合性审查时，如发现下列情形之一的，投标文件将被视为无效：</w:t>
      </w:r>
    </w:p>
    <w:p>
      <w:pPr>
        <w:widowControl/>
        <w:numPr>
          <w:ilvl w:val="0"/>
          <w:numId w:val="27"/>
        </w:numPr>
        <w:ind w:firstLine="420"/>
        <w:jc w:val="left"/>
        <w:rPr>
          <w:rFonts w:ascii="宋体" w:hAnsi="宋体" w:cs="宋体"/>
          <w:color w:val="auto"/>
          <w:szCs w:val="21"/>
          <w:highlight w:val="none"/>
        </w:rPr>
      </w:pPr>
      <w:r>
        <w:rPr>
          <w:rFonts w:hint="eastAsia" w:ascii="宋体" w:hAnsi="宋体" w:cs="宋体"/>
          <w:color w:val="auto"/>
          <w:szCs w:val="21"/>
          <w:highlight w:val="none"/>
        </w:rPr>
        <w:t>投标文件未按招标文件要求签署、签章的；</w:t>
      </w:r>
    </w:p>
    <w:p>
      <w:pPr>
        <w:widowControl/>
        <w:numPr>
          <w:ilvl w:val="0"/>
          <w:numId w:val="27"/>
        </w:numPr>
        <w:ind w:firstLine="420"/>
        <w:jc w:val="left"/>
        <w:rPr>
          <w:rFonts w:ascii="宋体" w:hAnsi="宋体" w:cs="宋体"/>
          <w:color w:val="auto"/>
          <w:szCs w:val="21"/>
          <w:highlight w:val="none"/>
        </w:rPr>
      </w:pPr>
      <w:r>
        <w:rPr>
          <w:rFonts w:hint="eastAsia" w:ascii="宋体" w:hAnsi="宋体" w:cs="宋体"/>
          <w:color w:val="auto"/>
          <w:szCs w:val="21"/>
          <w:highlight w:val="none"/>
        </w:rPr>
        <w:t>投标有效期不满足招标文件要求的；</w:t>
      </w:r>
    </w:p>
    <w:p>
      <w:pPr>
        <w:widowControl/>
        <w:numPr>
          <w:ilvl w:val="0"/>
          <w:numId w:val="27"/>
        </w:numPr>
        <w:ind w:firstLine="420"/>
        <w:jc w:val="left"/>
        <w:rPr>
          <w:rFonts w:ascii="宋体" w:hAnsi="宋体" w:cs="宋体"/>
          <w:color w:val="auto"/>
          <w:szCs w:val="21"/>
          <w:highlight w:val="none"/>
        </w:rPr>
      </w:pPr>
      <w:r>
        <w:rPr>
          <w:rFonts w:hint="eastAsia" w:ascii="宋体" w:hAnsi="宋体" w:cs="宋体"/>
          <w:snapToGrid w:val="0"/>
          <w:color w:val="auto"/>
          <w:szCs w:val="21"/>
          <w:highlight w:val="none"/>
        </w:rPr>
        <w:t>明显不符合招标文件要求的，或者与</w:t>
      </w:r>
      <w:r>
        <w:rPr>
          <w:rFonts w:hint="eastAsia" w:ascii="宋体" w:hAnsi="宋体" w:cs="宋体"/>
          <w:color w:val="auto"/>
          <w:szCs w:val="21"/>
          <w:highlight w:val="none"/>
        </w:rPr>
        <w:t>招标文件中标注“*”的条款发生负偏离的；</w:t>
      </w:r>
    </w:p>
    <w:p>
      <w:pPr>
        <w:widowControl/>
        <w:numPr>
          <w:ilvl w:val="0"/>
          <w:numId w:val="27"/>
        </w:numPr>
        <w:ind w:firstLine="420"/>
        <w:jc w:val="left"/>
        <w:rPr>
          <w:rFonts w:ascii="宋体" w:hAnsi="宋体" w:cs="宋体"/>
          <w:color w:val="auto"/>
          <w:szCs w:val="21"/>
          <w:highlight w:val="none"/>
        </w:rPr>
      </w:pPr>
      <w:r>
        <w:rPr>
          <w:rFonts w:hint="eastAsia" w:ascii="宋体" w:hAnsi="宋体" w:cs="宋体"/>
          <w:color w:val="auto"/>
          <w:szCs w:val="21"/>
          <w:highlight w:val="none"/>
        </w:rPr>
        <w:t>投标文件中含有采购人不能接受的附加条件的；</w:t>
      </w:r>
    </w:p>
    <w:p>
      <w:pPr>
        <w:widowControl/>
        <w:numPr>
          <w:ilvl w:val="0"/>
          <w:numId w:val="27"/>
        </w:numPr>
        <w:ind w:firstLine="420"/>
        <w:jc w:val="left"/>
        <w:rPr>
          <w:rFonts w:ascii="宋体" w:hAnsi="宋体" w:cs="宋体"/>
          <w:color w:val="auto"/>
          <w:szCs w:val="21"/>
          <w:highlight w:val="none"/>
        </w:rPr>
      </w:pPr>
      <w:r>
        <w:rPr>
          <w:rFonts w:hint="eastAsia" w:ascii="宋体" w:hAnsi="宋体" w:cs="宋体"/>
          <w:color w:val="auto"/>
          <w:szCs w:val="21"/>
          <w:highlight w:val="none"/>
        </w:rPr>
        <w:t>投标文件的实质性内容未使用中文表述、表述不明确、前后矛盾或者使用计量单位不符合招标文件要求的（经评标委员会认定并允许其当场更正的笔误除外）；</w:t>
      </w:r>
    </w:p>
    <w:p>
      <w:pPr>
        <w:widowControl/>
        <w:numPr>
          <w:ilvl w:val="0"/>
          <w:numId w:val="27"/>
        </w:numPr>
        <w:ind w:firstLine="420"/>
        <w:jc w:val="left"/>
        <w:rPr>
          <w:rFonts w:ascii="宋体" w:hAnsi="宋体" w:cs="宋体"/>
          <w:color w:val="auto"/>
          <w:szCs w:val="21"/>
          <w:highlight w:val="none"/>
        </w:rPr>
      </w:pPr>
      <w:r>
        <w:rPr>
          <w:rFonts w:hint="eastAsia" w:ascii="宋体" w:hAnsi="宋体" w:cs="宋体"/>
          <w:color w:val="auto"/>
          <w:szCs w:val="21"/>
          <w:highlight w:val="none"/>
        </w:rPr>
        <w:t xml:space="preserve">投标文件的关键内容字迹模糊、无法辨认的，或者投标文件中经修正的内容字迹模糊难以辩认或者修改处未按规定签署、盖章的； </w:t>
      </w:r>
    </w:p>
    <w:p>
      <w:pPr>
        <w:widowControl/>
        <w:numPr>
          <w:ilvl w:val="0"/>
          <w:numId w:val="27"/>
        </w:numPr>
        <w:ind w:firstLine="420"/>
        <w:jc w:val="left"/>
        <w:rPr>
          <w:rFonts w:ascii="宋体" w:hAnsi="宋体" w:cs="宋体"/>
          <w:color w:val="auto"/>
          <w:szCs w:val="21"/>
          <w:highlight w:val="none"/>
        </w:rPr>
      </w:pPr>
      <w:r>
        <w:rPr>
          <w:rFonts w:hint="eastAsia" w:ascii="宋体" w:hAnsi="宋体" w:cs="宋体"/>
          <w:color w:val="auto"/>
          <w:szCs w:val="21"/>
          <w:highlight w:val="none"/>
        </w:rPr>
        <w:t>法律、法规和招标文件规定的其他无效情形。</w:t>
      </w:r>
    </w:p>
    <w:p>
      <w:pPr>
        <w:widowControl/>
        <w:ind w:firstLine="413" w:firstLineChars="196"/>
        <w:jc w:val="left"/>
        <w:rPr>
          <w:rFonts w:ascii="宋体" w:hAnsi="宋体" w:cs="宋体"/>
          <w:b/>
          <w:bCs/>
          <w:color w:val="auto"/>
          <w:szCs w:val="21"/>
          <w:highlight w:val="none"/>
        </w:rPr>
      </w:pPr>
      <w:r>
        <w:rPr>
          <w:rFonts w:hint="eastAsia" w:ascii="宋体" w:hAnsi="宋体" w:cs="宋体"/>
          <w:b/>
          <w:bCs/>
          <w:color w:val="auto"/>
          <w:szCs w:val="21"/>
          <w:highlight w:val="none"/>
        </w:rPr>
        <w:t>3.在商务技术评审时，如发现下列情形之一的，投标文件将被视为无效：</w:t>
      </w:r>
    </w:p>
    <w:p>
      <w:pPr>
        <w:widowControl/>
        <w:numPr>
          <w:ilvl w:val="0"/>
          <w:numId w:val="28"/>
        </w:numPr>
        <w:ind w:firstLine="420"/>
        <w:jc w:val="left"/>
        <w:rPr>
          <w:rFonts w:ascii="宋体" w:hAnsi="宋体" w:cs="宋体"/>
          <w:color w:val="auto"/>
          <w:szCs w:val="21"/>
          <w:highlight w:val="none"/>
        </w:rPr>
      </w:pPr>
      <w:r>
        <w:rPr>
          <w:rFonts w:hint="eastAsia" w:ascii="宋体" w:hAnsi="宋体" w:cs="宋体"/>
          <w:color w:val="auto"/>
          <w:szCs w:val="21"/>
          <w:highlight w:val="none"/>
        </w:rPr>
        <w:t>未提供或未如实提供投标货物的技术参数，或者投标文件标明的响应或偏离与事实不符或虚假投标的；</w:t>
      </w:r>
    </w:p>
    <w:p>
      <w:pPr>
        <w:widowControl/>
        <w:numPr>
          <w:ilvl w:val="0"/>
          <w:numId w:val="28"/>
        </w:numPr>
        <w:ind w:firstLine="420"/>
        <w:jc w:val="left"/>
        <w:rPr>
          <w:rFonts w:ascii="宋体" w:hAnsi="宋体" w:cs="宋体"/>
          <w:color w:val="auto"/>
          <w:szCs w:val="21"/>
          <w:highlight w:val="none"/>
        </w:rPr>
      </w:pPr>
      <w:r>
        <w:rPr>
          <w:rFonts w:hint="eastAsia" w:ascii="宋体" w:hAnsi="宋体" w:cs="宋体"/>
          <w:color w:val="auto"/>
          <w:szCs w:val="21"/>
          <w:highlight w:val="none"/>
        </w:rPr>
        <w:t>投标技术方案不明确，存在一个或一个以上备选（替代）投标方案的；</w:t>
      </w:r>
    </w:p>
    <w:p>
      <w:pPr>
        <w:widowControl/>
        <w:numPr>
          <w:ilvl w:val="0"/>
          <w:numId w:val="28"/>
        </w:numPr>
        <w:ind w:firstLine="420"/>
        <w:jc w:val="left"/>
        <w:rPr>
          <w:rFonts w:ascii="宋体" w:hAnsi="宋体" w:cs="宋体"/>
          <w:color w:val="auto"/>
          <w:szCs w:val="21"/>
          <w:highlight w:val="none"/>
        </w:rPr>
      </w:pPr>
      <w:r>
        <w:rPr>
          <w:rFonts w:hint="eastAsia" w:ascii="宋体" w:hAnsi="宋体" w:cs="宋体"/>
          <w:snapToGrid w:val="0"/>
          <w:color w:val="auto"/>
          <w:szCs w:val="21"/>
          <w:highlight w:val="none"/>
        </w:rPr>
        <w:t>明显不符合招标文件要求的，或者与</w:t>
      </w:r>
      <w:r>
        <w:rPr>
          <w:rFonts w:hint="eastAsia" w:ascii="宋体" w:hAnsi="宋体" w:cs="宋体"/>
          <w:color w:val="auto"/>
          <w:szCs w:val="21"/>
          <w:highlight w:val="none"/>
        </w:rPr>
        <w:t>招标文件中标注“*”的条款发生实质性偏离的。</w:t>
      </w:r>
    </w:p>
    <w:p>
      <w:pPr>
        <w:widowControl/>
        <w:ind w:firstLine="413" w:firstLineChars="196"/>
        <w:jc w:val="left"/>
        <w:rPr>
          <w:rFonts w:ascii="宋体" w:hAnsi="宋体" w:cs="宋体"/>
          <w:b/>
          <w:bCs/>
          <w:color w:val="auto"/>
          <w:szCs w:val="21"/>
          <w:highlight w:val="none"/>
        </w:rPr>
      </w:pPr>
      <w:r>
        <w:rPr>
          <w:rFonts w:hint="eastAsia" w:ascii="宋体" w:hAnsi="宋体" w:cs="宋体"/>
          <w:b/>
          <w:bCs/>
          <w:color w:val="auto"/>
          <w:szCs w:val="21"/>
          <w:highlight w:val="none"/>
        </w:rPr>
        <w:t>4.在报价评审时，如发现下列情形之一的，投标文件将被视为无效：</w:t>
      </w:r>
    </w:p>
    <w:p>
      <w:pPr>
        <w:widowControl/>
        <w:numPr>
          <w:ilvl w:val="0"/>
          <w:numId w:val="29"/>
        </w:numPr>
        <w:ind w:firstLine="420"/>
        <w:jc w:val="left"/>
        <w:rPr>
          <w:rFonts w:ascii="宋体" w:hAnsi="宋体" w:cs="宋体"/>
          <w:color w:val="auto"/>
          <w:szCs w:val="21"/>
          <w:highlight w:val="none"/>
        </w:rPr>
      </w:pPr>
      <w:r>
        <w:rPr>
          <w:rFonts w:hint="eastAsia" w:ascii="宋体" w:hAnsi="宋体" w:cs="宋体"/>
          <w:color w:val="auto"/>
          <w:szCs w:val="21"/>
          <w:highlight w:val="none"/>
        </w:rPr>
        <w:t>报价超过招标文件中规定的预算金额或者最高限价的；</w:t>
      </w:r>
    </w:p>
    <w:p>
      <w:pPr>
        <w:widowControl/>
        <w:numPr>
          <w:ilvl w:val="0"/>
          <w:numId w:val="29"/>
        </w:numPr>
        <w:ind w:firstLine="420"/>
        <w:jc w:val="left"/>
        <w:rPr>
          <w:rFonts w:ascii="宋体" w:hAnsi="宋体" w:cs="宋体"/>
          <w:color w:val="auto"/>
          <w:szCs w:val="21"/>
          <w:highlight w:val="none"/>
        </w:rPr>
      </w:pPr>
      <w:r>
        <w:rPr>
          <w:rFonts w:hint="eastAsia" w:ascii="宋体" w:hAnsi="宋体" w:cs="宋体"/>
          <w:color w:val="auto"/>
          <w:szCs w:val="21"/>
          <w:highlight w:val="none"/>
        </w:rPr>
        <w:t>未采用投标文件要求的报价形式报价的；</w:t>
      </w:r>
    </w:p>
    <w:p>
      <w:pPr>
        <w:widowControl/>
        <w:numPr>
          <w:ilvl w:val="0"/>
          <w:numId w:val="29"/>
        </w:numPr>
        <w:ind w:firstLine="420"/>
        <w:jc w:val="left"/>
        <w:rPr>
          <w:rFonts w:ascii="宋体" w:hAnsi="宋体" w:cs="宋体"/>
          <w:color w:val="auto"/>
          <w:szCs w:val="21"/>
          <w:highlight w:val="none"/>
        </w:rPr>
      </w:pPr>
      <w:r>
        <w:rPr>
          <w:rFonts w:hint="eastAsia" w:ascii="宋体" w:hAnsi="宋体" w:cs="宋体"/>
          <w:color w:val="auto"/>
          <w:szCs w:val="21"/>
          <w:highlight w:val="none"/>
        </w:rPr>
        <w:t>投标报价具有选择性；</w:t>
      </w:r>
    </w:p>
    <w:p>
      <w:pPr>
        <w:widowControl/>
        <w:numPr>
          <w:ilvl w:val="0"/>
          <w:numId w:val="29"/>
        </w:numPr>
        <w:ind w:firstLine="420"/>
        <w:jc w:val="left"/>
        <w:rPr>
          <w:rFonts w:ascii="宋体" w:hAnsi="宋体" w:cs="宋体"/>
          <w:color w:val="auto"/>
          <w:szCs w:val="21"/>
          <w:highlight w:val="none"/>
        </w:rPr>
      </w:pPr>
      <w:r>
        <w:rPr>
          <w:rFonts w:hint="eastAsia" w:ascii="宋体" w:hAnsi="宋体" w:cs="宋体"/>
          <w:color w:val="auto"/>
          <w:szCs w:val="21"/>
          <w:highlight w:val="none"/>
        </w:rPr>
        <w:t>评标委员会一致认为报价不合理的；</w:t>
      </w:r>
    </w:p>
    <w:p>
      <w:pPr>
        <w:widowControl/>
        <w:numPr>
          <w:ilvl w:val="0"/>
          <w:numId w:val="29"/>
        </w:numPr>
        <w:ind w:firstLineChars="0"/>
        <w:jc w:val="left"/>
        <w:rPr>
          <w:rFonts w:ascii="宋体" w:hAnsi="宋体" w:cs="宋体"/>
          <w:color w:val="auto"/>
          <w:szCs w:val="21"/>
          <w:highlight w:val="none"/>
        </w:rPr>
      </w:pPr>
      <w:r>
        <w:rPr>
          <w:rFonts w:hint="eastAsia" w:ascii="宋体" w:hAnsi="宋体" w:cs="宋体"/>
          <w:color w:val="auto"/>
          <w:szCs w:val="21"/>
          <w:highlight w:val="none"/>
        </w:rPr>
        <w:t>评标委员会认为投标人的报价明显低于其他通过符合性审查投标人的报价，有可能影响产品质量或者不能诚信履约的，要求其在评标现场合理的时间内提供书面说明，必要时提供相关证明材料；投标人不能证明其报价合理性的；</w:t>
      </w:r>
    </w:p>
    <w:p>
      <w:pPr>
        <w:widowControl/>
        <w:numPr>
          <w:ilvl w:val="0"/>
          <w:numId w:val="29"/>
        </w:numPr>
        <w:ind w:firstLineChars="0"/>
        <w:jc w:val="left"/>
        <w:rPr>
          <w:rFonts w:ascii="宋体" w:hAnsi="宋体" w:cs="宋体"/>
          <w:color w:val="auto"/>
          <w:szCs w:val="21"/>
          <w:highlight w:val="none"/>
        </w:rPr>
      </w:pPr>
      <w:r>
        <w:rPr>
          <w:rFonts w:hint="eastAsia" w:ascii="宋体" w:hAnsi="宋体" w:cs="宋体"/>
          <w:color w:val="auto"/>
          <w:szCs w:val="21"/>
          <w:highlight w:val="none"/>
        </w:rPr>
        <w:t>招标文件规定的其他无效情形。</w:t>
      </w:r>
    </w:p>
    <w:p>
      <w:pPr>
        <w:widowControl/>
        <w:ind w:firstLine="413" w:firstLineChars="196"/>
        <w:jc w:val="left"/>
        <w:rPr>
          <w:rFonts w:ascii="宋体" w:hAnsi="宋体" w:cs="宋体"/>
          <w:b/>
          <w:color w:val="auto"/>
          <w:szCs w:val="21"/>
          <w:highlight w:val="none"/>
        </w:rPr>
      </w:pPr>
      <w:r>
        <w:rPr>
          <w:rFonts w:hint="eastAsia" w:ascii="宋体" w:hAnsi="宋体" w:cs="宋体"/>
          <w:b/>
          <w:color w:val="auto"/>
          <w:szCs w:val="21"/>
          <w:highlight w:val="none"/>
        </w:rPr>
        <w:t>5.被拒绝的投标文件为无效。</w:t>
      </w:r>
    </w:p>
    <w:p>
      <w:pPr>
        <w:pStyle w:val="19"/>
        <w:snapToGrid w:val="0"/>
        <w:spacing w:line="360" w:lineRule="auto"/>
        <w:ind w:firstLine="398" w:firstLineChars="196"/>
        <w:rPr>
          <w:rFonts w:hAnsi="宋体" w:eastAsia="宋体" w:cs="宋体"/>
          <w:b/>
          <w:snapToGrid w:val="0"/>
          <w:color w:val="auto"/>
          <w:sz w:val="21"/>
          <w:szCs w:val="21"/>
          <w:highlight w:val="none"/>
        </w:rPr>
      </w:pPr>
    </w:p>
    <w:p>
      <w:pPr>
        <w:pStyle w:val="13"/>
        <w:widowControl w:val="0"/>
        <w:tabs>
          <w:tab w:val="clear" w:pos="454"/>
        </w:tabs>
        <w:snapToGrid w:val="0"/>
        <w:spacing w:before="120" w:beforeLines="50" w:after="0" w:afterLines="0"/>
        <w:ind w:left="0"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四、开标</w:t>
      </w:r>
    </w:p>
    <w:p>
      <w:pPr>
        <w:pStyle w:val="22"/>
        <w:snapToGrid w:val="0"/>
        <w:spacing w:before="120" w:beforeLines="0" w:after="0" w:afterLines="0" w:line="360" w:lineRule="auto"/>
        <w:ind w:firstLine="413" w:firstLineChars="196"/>
        <w:rPr>
          <w:rFonts w:hAnsi="宋体" w:cs="宋体"/>
          <w:b/>
          <w:color w:val="auto"/>
          <w:sz w:val="21"/>
          <w:szCs w:val="21"/>
          <w:highlight w:val="none"/>
        </w:rPr>
      </w:pPr>
      <w:r>
        <w:rPr>
          <w:rFonts w:hint="eastAsia" w:hAnsi="宋体" w:cs="宋体"/>
          <w:b/>
          <w:color w:val="auto"/>
          <w:sz w:val="21"/>
          <w:szCs w:val="21"/>
          <w:highlight w:val="none"/>
        </w:rPr>
        <w:t>（一）开标准备</w:t>
      </w:r>
    </w:p>
    <w:p>
      <w:pPr>
        <w:pStyle w:val="22"/>
        <w:snapToGrid w:val="0"/>
        <w:spacing w:before="0" w:beforeLines="0" w:after="0" w:afterLines="0" w:line="360" w:lineRule="auto"/>
        <w:ind w:firstLine="420"/>
        <w:rPr>
          <w:rFonts w:hAnsi="宋体" w:cs="宋体"/>
          <w:bCs/>
          <w:color w:val="auto"/>
          <w:sz w:val="21"/>
          <w:szCs w:val="21"/>
          <w:highlight w:val="none"/>
        </w:rPr>
      </w:pPr>
      <w:r>
        <w:rPr>
          <w:rFonts w:hint="eastAsia" w:hAnsi="宋体" w:cs="宋体"/>
          <w:bCs/>
          <w:color w:val="auto"/>
          <w:sz w:val="21"/>
          <w:szCs w:val="21"/>
          <w:highlight w:val="none"/>
        </w:rPr>
        <w:t>采购人</w:t>
      </w:r>
      <w:r>
        <w:rPr>
          <w:rFonts w:hint="eastAsia" w:hAnsi="宋体" w:cs="宋体"/>
          <w:bCs/>
          <w:color w:val="auto"/>
          <w:sz w:val="21"/>
          <w:szCs w:val="21"/>
          <w:highlight w:val="none"/>
        </w:rPr>
        <w:t>在招标文件规定的时间和地点公开开标，供应商的法定代表人或其授权代表应参加开标会议并签到。供应商的法定代表人或其授权代表未按时签到的，视同放弃开标监督权利、认可开标结果。疫情防控期间，不要求投标人员必须到场参加现场开标，若投标人员需参加现场开标，应全程佩戴口罩等防护用具，自觉接受体温检测、接受疫情询问，并如实报告相关情况。请各投标人员遵守镇海区公共资源交易中心各项防疫措施规定。</w:t>
      </w:r>
    </w:p>
    <w:p>
      <w:pPr>
        <w:pStyle w:val="22"/>
        <w:snapToGrid w:val="0"/>
        <w:spacing w:before="120" w:after="120" w:line="360" w:lineRule="auto"/>
        <w:ind w:left="2" w:firstLine="426" w:firstLineChars="202"/>
        <w:outlineLvl w:val="1"/>
        <w:rPr>
          <w:rFonts w:hAnsi="宋体" w:cs="宋体"/>
          <w:b/>
          <w:color w:val="auto"/>
          <w:sz w:val="21"/>
          <w:szCs w:val="21"/>
          <w:highlight w:val="none"/>
        </w:rPr>
      </w:pPr>
      <w:bookmarkStart w:id="1708" w:name="_Toc71364406"/>
      <w:bookmarkStart w:id="1709" w:name="_Toc13584"/>
      <w:bookmarkStart w:id="1710" w:name="_Toc396115160"/>
      <w:r>
        <w:rPr>
          <w:rFonts w:hint="eastAsia" w:hAnsi="宋体" w:cs="宋体"/>
          <w:b/>
          <w:color w:val="auto"/>
          <w:sz w:val="21"/>
          <w:szCs w:val="21"/>
          <w:highlight w:val="none"/>
        </w:rPr>
        <w:t>（二）电子招投标开标及评审程序</w:t>
      </w:r>
      <w:bookmarkEnd w:id="1708"/>
      <w:bookmarkEnd w:id="1709"/>
    </w:p>
    <w:p>
      <w:pPr>
        <w:pStyle w:val="22"/>
        <w:snapToGrid w:val="0"/>
        <w:spacing w:before="120" w:after="120" w:line="360" w:lineRule="auto"/>
        <w:ind w:left="2" w:firstLine="426" w:firstLineChars="202"/>
        <w:outlineLvl w:val="1"/>
        <w:rPr>
          <w:rFonts w:hAnsi="宋体" w:cs="宋体"/>
          <w:b/>
          <w:color w:val="auto"/>
          <w:sz w:val="21"/>
          <w:szCs w:val="21"/>
          <w:highlight w:val="none"/>
        </w:rPr>
      </w:pPr>
      <w:bookmarkStart w:id="1711" w:name="_Toc71364407"/>
      <w:bookmarkStart w:id="1712" w:name="_Toc25123"/>
      <w:r>
        <w:rPr>
          <w:rFonts w:hint="eastAsia" w:hAnsi="宋体" w:cs="宋体"/>
          <w:b/>
          <w:color w:val="auto"/>
          <w:sz w:val="21"/>
          <w:szCs w:val="21"/>
          <w:highlight w:val="none"/>
        </w:rPr>
        <w:t>1、投标截止时间后，投标人登录政采云平台，用“项目采购-开标评标”功能对电子投标文件进行在线解密。在线解密电子投标文件时间为开标时间起30分钟内。本次公开招标投标文件的资格证明文件、商务技术文件及报价文件同时开启；</w:t>
      </w:r>
      <w:bookmarkEnd w:id="1711"/>
      <w:bookmarkEnd w:id="1712"/>
    </w:p>
    <w:p>
      <w:pPr>
        <w:pStyle w:val="22"/>
        <w:snapToGrid w:val="0"/>
        <w:spacing w:before="120" w:after="120" w:line="360" w:lineRule="auto"/>
        <w:ind w:left="2" w:firstLine="426" w:firstLineChars="202"/>
        <w:outlineLvl w:val="1"/>
        <w:rPr>
          <w:rFonts w:hAnsi="宋体" w:cs="宋体"/>
          <w:b/>
          <w:color w:val="auto"/>
          <w:sz w:val="21"/>
          <w:szCs w:val="21"/>
          <w:highlight w:val="none"/>
        </w:rPr>
      </w:pPr>
      <w:bookmarkStart w:id="1713" w:name="_Toc32181"/>
      <w:bookmarkStart w:id="1714" w:name="_Toc71364408"/>
      <w:r>
        <w:rPr>
          <w:rFonts w:hint="eastAsia" w:hAnsi="宋体" w:cs="宋体"/>
          <w:b/>
          <w:color w:val="auto"/>
          <w:sz w:val="21"/>
          <w:szCs w:val="21"/>
          <w:highlight w:val="none"/>
        </w:rPr>
        <w:t>2、采购人或采购代理机构对投标人的资格进行审查；</w:t>
      </w:r>
      <w:bookmarkEnd w:id="1713"/>
      <w:bookmarkEnd w:id="1714"/>
    </w:p>
    <w:p>
      <w:pPr>
        <w:pStyle w:val="22"/>
        <w:snapToGrid w:val="0"/>
        <w:spacing w:before="120" w:after="120" w:line="360" w:lineRule="auto"/>
        <w:ind w:left="2" w:firstLine="426" w:firstLineChars="202"/>
        <w:outlineLvl w:val="1"/>
        <w:rPr>
          <w:rFonts w:hAnsi="宋体" w:cs="宋体"/>
          <w:b/>
          <w:color w:val="auto"/>
          <w:sz w:val="21"/>
          <w:szCs w:val="21"/>
          <w:highlight w:val="none"/>
        </w:rPr>
      </w:pPr>
      <w:bookmarkStart w:id="1715" w:name="_Toc18581"/>
      <w:bookmarkStart w:id="1716" w:name="_Toc71364409"/>
      <w:r>
        <w:rPr>
          <w:rFonts w:hint="eastAsia" w:hAnsi="宋体" w:cs="宋体"/>
          <w:b/>
          <w:color w:val="auto"/>
          <w:sz w:val="21"/>
          <w:szCs w:val="21"/>
          <w:highlight w:val="none"/>
        </w:rPr>
        <w:t>3、评标委员会对商务技术响应文件进行评审；</w:t>
      </w:r>
      <w:bookmarkEnd w:id="1715"/>
      <w:bookmarkEnd w:id="1716"/>
    </w:p>
    <w:p>
      <w:pPr>
        <w:pStyle w:val="22"/>
        <w:snapToGrid w:val="0"/>
        <w:spacing w:before="120" w:after="120" w:line="360" w:lineRule="auto"/>
        <w:ind w:left="2" w:firstLine="426" w:firstLineChars="202"/>
        <w:outlineLvl w:val="1"/>
        <w:rPr>
          <w:rFonts w:hAnsi="宋体" w:cs="宋体"/>
          <w:b/>
          <w:color w:val="auto"/>
          <w:sz w:val="21"/>
          <w:szCs w:val="21"/>
          <w:highlight w:val="none"/>
        </w:rPr>
      </w:pPr>
      <w:bookmarkStart w:id="1717" w:name="_Toc15715"/>
      <w:bookmarkStart w:id="1718" w:name="_Toc71364410"/>
      <w:r>
        <w:rPr>
          <w:rFonts w:hint="eastAsia" w:hAnsi="宋体" w:cs="宋体"/>
          <w:b/>
          <w:color w:val="auto"/>
          <w:sz w:val="21"/>
          <w:szCs w:val="21"/>
          <w:highlight w:val="none"/>
        </w:rPr>
        <w:t>4、评标委员会对报价情况进行评审；</w:t>
      </w:r>
      <w:bookmarkEnd w:id="1717"/>
      <w:bookmarkEnd w:id="1718"/>
    </w:p>
    <w:p>
      <w:pPr>
        <w:pStyle w:val="22"/>
        <w:snapToGrid w:val="0"/>
        <w:spacing w:before="120" w:after="120" w:line="360" w:lineRule="auto"/>
        <w:ind w:left="2" w:firstLine="426" w:firstLineChars="202"/>
        <w:outlineLvl w:val="1"/>
        <w:rPr>
          <w:rFonts w:hAnsi="宋体" w:cs="宋体"/>
          <w:b/>
          <w:color w:val="auto"/>
          <w:sz w:val="21"/>
          <w:szCs w:val="21"/>
          <w:highlight w:val="none"/>
        </w:rPr>
      </w:pPr>
      <w:bookmarkStart w:id="1719" w:name="_Toc5147"/>
      <w:bookmarkStart w:id="1720" w:name="_Toc71364411"/>
      <w:r>
        <w:rPr>
          <w:rFonts w:hint="eastAsia" w:hAnsi="宋体" w:cs="宋体"/>
          <w:b/>
          <w:color w:val="auto"/>
          <w:sz w:val="21"/>
          <w:szCs w:val="21"/>
          <w:highlight w:val="none"/>
        </w:rPr>
        <w:t>5、在系统上公布评审结果。</w:t>
      </w:r>
      <w:bookmarkEnd w:id="1719"/>
      <w:bookmarkEnd w:id="1720"/>
    </w:p>
    <w:bookmarkEnd w:id="1710"/>
    <w:p>
      <w:pPr>
        <w:tabs>
          <w:tab w:val="left" w:pos="518"/>
        </w:tabs>
        <w:ind w:firstLine="422"/>
        <w:rPr>
          <w:rFonts w:ascii="宋体" w:hAnsi="宋体" w:cs="宋体"/>
          <w:b/>
          <w:color w:val="auto"/>
          <w:szCs w:val="21"/>
          <w:highlight w:val="none"/>
        </w:rPr>
      </w:pPr>
      <w:r>
        <w:rPr>
          <w:rFonts w:hint="eastAsia" w:ascii="宋体" w:hAnsi="宋体" w:cs="宋体"/>
          <w:b/>
          <w:color w:val="auto"/>
          <w:szCs w:val="21"/>
          <w:highlight w:val="none"/>
        </w:rPr>
        <w:t>（三）特别说明</w:t>
      </w:r>
    </w:p>
    <w:p>
      <w:pPr>
        <w:tabs>
          <w:tab w:val="left" w:pos="518"/>
        </w:tabs>
        <w:ind w:firstLine="420"/>
        <w:rPr>
          <w:rFonts w:ascii="宋体" w:hAnsi="宋体" w:cs="宋体"/>
          <w:color w:val="auto"/>
          <w:szCs w:val="21"/>
          <w:highlight w:val="none"/>
        </w:rPr>
      </w:pPr>
      <w:r>
        <w:rPr>
          <w:rFonts w:hint="eastAsia" w:ascii="宋体" w:hAnsi="宋体" w:cs="宋体"/>
          <w:color w:val="auto"/>
          <w:szCs w:val="21"/>
          <w:highlight w:val="none"/>
        </w:rPr>
        <w:t>政府采购云平台如对电子化开标及评审程序有调整的，按调整后的程序操作。</w:t>
      </w:r>
    </w:p>
    <w:p>
      <w:pPr>
        <w:tabs>
          <w:tab w:val="left" w:pos="518"/>
        </w:tabs>
        <w:ind w:firstLine="420"/>
        <w:rPr>
          <w:rFonts w:ascii="宋体" w:hAnsi="宋体" w:cs="宋体"/>
          <w:color w:val="auto"/>
          <w:szCs w:val="21"/>
          <w:highlight w:val="none"/>
        </w:rPr>
      </w:pPr>
      <w:r>
        <w:rPr>
          <w:rFonts w:hint="eastAsia" w:ascii="宋体" w:hAnsi="宋体" w:cs="宋体"/>
          <w:color w:val="auto"/>
          <w:szCs w:val="21"/>
          <w:highlight w:val="none"/>
        </w:rPr>
        <w:t>本项目原则上采用政采云</w:t>
      </w:r>
      <w:r>
        <w:rPr>
          <w:rFonts w:hint="eastAsia" w:ascii="宋体" w:hAnsi="宋体" w:cs="宋体"/>
          <w:bCs/>
          <w:color w:val="auto"/>
          <w:szCs w:val="21"/>
          <w:highlight w:val="none"/>
        </w:rPr>
        <w:t>电子招投标开标程序</w:t>
      </w:r>
      <w:r>
        <w:rPr>
          <w:rFonts w:hint="eastAsia" w:ascii="宋体" w:hAnsi="宋体" w:cs="宋体"/>
          <w:color w:val="auto"/>
          <w:szCs w:val="21"/>
          <w:highlight w:val="none"/>
        </w:rPr>
        <w:t>，但有以下情形之一的，按以下情况处理：</w:t>
      </w:r>
    </w:p>
    <w:p>
      <w:pPr>
        <w:tabs>
          <w:tab w:val="left" w:pos="518"/>
        </w:tabs>
        <w:ind w:firstLine="420"/>
        <w:rPr>
          <w:rFonts w:ascii="宋体" w:hAnsi="宋体" w:cs="宋体"/>
          <w:color w:val="auto"/>
          <w:szCs w:val="21"/>
          <w:highlight w:val="none"/>
        </w:rPr>
      </w:pPr>
      <w:r>
        <w:rPr>
          <w:rFonts w:hint="eastAsia" w:ascii="宋体" w:hAnsi="宋体" w:cs="宋体"/>
          <w:color w:val="auto"/>
          <w:szCs w:val="21"/>
          <w:highlight w:val="none"/>
        </w:rPr>
        <w:t>（1）若有供应商在规定时间内无法解密或解密失败，代理机构将开启该供应商递交的以U盘存储的电子备份投标文件，上传至政采云平台项目采购模块，以完成开标，电子投标文件自动失效。</w:t>
      </w:r>
    </w:p>
    <w:p>
      <w:pPr>
        <w:tabs>
          <w:tab w:val="left" w:pos="518"/>
        </w:tabs>
        <w:ind w:firstLine="420"/>
        <w:rPr>
          <w:rFonts w:ascii="宋体" w:hAnsi="宋体" w:cs="宋体"/>
          <w:color w:val="auto"/>
          <w:szCs w:val="21"/>
          <w:highlight w:val="none"/>
        </w:rPr>
      </w:pPr>
      <w:r>
        <w:rPr>
          <w:rFonts w:hint="eastAsia" w:ascii="宋体" w:hAnsi="宋体" w:cs="宋体"/>
          <w:color w:val="auto"/>
          <w:szCs w:val="21"/>
          <w:highlight w:val="none"/>
        </w:rPr>
        <w:t>（2）采购过程中出现以下情形，导致电子交易平台无法正常运行，或者无法保证电子交易的公平、公正和安全时，采购人（或代理机构）可中止电子交易活动：</w:t>
      </w:r>
    </w:p>
    <w:p>
      <w:pPr>
        <w:tabs>
          <w:tab w:val="left" w:pos="518"/>
        </w:tabs>
        <w:ind w:firstLine="420"/>
        <w:rPr>
          <w:rFonts w:ascii="宋体" w:hAnsi="宋体" w:cs="宋体"/>
          <w:color w:val="auto"/>
          <w:szCs w:val="21"/>
          <w:highlight w:val="none"/>
        </w:rPr>
      </w:pPr>
      <w:r>
        <w:rPr>
          <w:rFonts w:hint="eastAsia" w:ascii="宋体" w:hAnsi="宋体" w:cs="宋体"/>
          <w:color w:val="auto"/>
          <w:szCs w:val="21"/>
          <w:highlight w:val="none"/>
        </w:rPr>
        <w:t xml:space="preserve">1.电子交易平台发生故障而无法登录访问的； </w:t>
      </w:r>
    </w:p>
    <w:p>
      <w:pPr>
        <w:tabs>
          <w:tab w:val="left" w:pos="518"/>
        </w:tabs>
        <w:ind w:firstLine="420"/>
        <w:rPr>
          <w:rFonts w:ascii="宋体" w:hAnsi="宋体" w:cs="宋体"/>
          <w:color w:val="auto"/>
          <w:szCs w:val="21"/>
          <w:highlight w:val="none"/>
        </w:rPr>
      </w:pPr>
      <w:r>
        <w:rPr>
          <w:rFonts w:hint="eastAsia" w:ascii="宋体" w:hAnsi="宋体" w:cs="宋体"/>
          <w:color w:val="auto"/>
          <w:szCs w:val="21"/>
          <w:highlight w:val="none"/>
        </w:rPr>
        <w:t>2.电子交易平台应用或数据库出现错误，不能进行正常操作的；</w:t>
      </w:r>
    </w:p>
    <w:p>
      <w:pPr>
        <w:tabs>
          <w:tab w:val="left" w:pos="518"/>
        </w:tabs>
        <w:ind w:firstLine="420"/>
        <w:rPr>
          <w:rFonts w:ascii="宋体" w:hAnsi="宋体" w:cs="宋体"/>
          <w:color w:val="auto"/>
          <w:szCs w:val="21"/>
          <w:highlight w:val="none"/>
        </w:rPr>
      </w:pPr>
      <w:r>
        <w:rPr>
          <w:rFonts w:hint="eastAsia" w:ascii="宋体" w:hAnsi="宋体" w:cs="宋体"/>
          <w:color w:val="auto"/>
          <w:szCs w:val="21"/>
          <w:highlight w:val="none"/>
        </w:rPr>
        <w:t>3.电子交易平台发现严重安全漏洞，有潜在泄密危险的；</w:t>
      </w:r>
    </w:p>
    <w:p>
      <w:pPr>
        <w:tabs>
          <w:tab w:val="left" w:pos="518"/>
        </w:tabs>
        <w:ind w:firstLine="420"/>
        <w:rPr>
          <w:rFonts w:ascii="宋体" w:hAnsi="宋体" w:cs="宋体"/>
          <w:color w:val="auto"/>
          <w:szCs w:val="21"/>
          <w:highlight w:val="none"/>
        </w:rPr>
      </w:pPr>
      <w:r>
        <w:rPr>
          <w:rFonts w:hint="eastAsia" w:ascii="宋体" w:hAnsi="宋体" w:cs="宋体"/>
          <w:color w:val="auto"/>
          <w:szCs w:val="21"/>
          <w:highlight w:val="none"/>
        </w:rPr>
        <w:t xml:space="preserve">4.病毒发作导致不能进行正常操作的； </w:t>
      </w:r>
    </w:p>
    <w:p>
      <w:pPr>
        <w:tabs>
          <w:tab w:val="left" w:pos="518"/>
        </w:tabs>
        <w:ind w:firstLine="420"/>
        <w:rPr>
          <w:rFonts w:ascii="宋体" w:hAnsi="宋体" w:cs="宋体"/>
          <w:color w:val="auto"/>
          <w:szCs w:val="21"/>
          <w:highlight w:val="none"/>
        </w:rPr>
      </w:pPr>
      <w:r>
        <w:rPr>
          <w:rFonts w:hint="eastAsia" w:ascii="宋体" w:hAnsi="宋体" w:cs="宋体"/>
          <w:color w:val="auto"/>
          <w:szCs w:val="21"/>
          <w:highlight w:val="none"/>
        </w:rPr>
        <w:t>5.其他无法保证电子交易的公平、公正和安全的情况。</w:t>
      </w:r>
    </w:p>
    <w:p>
      <w:pPr>
        <w:tabs>
          <w:tab w:val="left" w:pos="518"/>
        </w:tabs>
        <w:ind w:firstLine="420"/>
        <w:rPr>
          <w:rFonts w:ascii="宋体" w:hAnsi="宋体" w:cs="宋体"/>
          <w:color w:val="auto"/>
          <w:szCs w:val="21"/>
          <w:highlight w:val="none"/>
        </w:rPr>
      </w:pPr>
      <w:r>
        <w:rPr>
          <w:rFonts w:hint="eastAsia" w:ascii="宋体" w:hAnsi="宋体" w:cs="宋体"/>
          <w:color w:val="auto"/>
          <w:szCs w:val="21"/>
          <w:highlight w:val="none"/>
        </w:rPr>
        <w:t>出现前款规定情形，不影响采购公平、公正性的，采购人（或代理机构）可以待上述情形消除后继续组织电子交易活动，也可以决定某些环节以纸质形式进行。</w:t>
      </w:r>
    </w:p>
    <w:p>
      <w:pPr>
        <w:pStyle w:val="13"/>
        <w:widowControl w:val="0"/>
        <w:tabs>
          <w:tab w:val="clear" w:pos="454"/>
        </w:tabs>
        <w:snapToGrid w:val="0"/>
        <w:spacing w:before="120" w:beforeLines="50" w:after="0" w:afterLines="0"/>
        <w:ind w:left="0"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五、评标</w:t>
      </w:r>
    </w:p>
    <w:p>
      <w:pPr>
        <w:pStyle w:val="22"/>
        <w:snapToGrid w:val="0"/>
        <w:spacing w:before="120" w:beforeLines="0" w:after="120" w:afterLines="0" w:line="360" w:lineRule="auto"/>
        <w:ind w:left="690" w:leftChars="228" w:hanging="211" w:hangingChars="100"/>
        <w:rPr>
          <w:rFonts w:hAnsi="宋体" w:cs="宋体"/>
          <w:b/>
          <w:color w:val="auto"/>
          <w:sz w:val="21"/>
          <w:szCs w:val="21"/>
          <w:highlight w:val="none"/>
        </w:rPr>
      </w:pPr>
      <w:r>
        <w:rPr>
          <w:rFonts w:hint="eastAsia" w:hAnsi="宋体" w:cs="宋体"/>
          <w:b/>
          <w:color w:val="auto"/>
          <w:sz w:val="21"/>
          <w:szCs w:val="21"/>
          <w:highlight w:val="none"/>
        </w:rPr>
        <w:t>（一）组建评标委员会</w:t>
      </w:r>
    </w:p>
    <w:p>
      <w:pPr>
        <w:pStyle w:val="22"/>
        <w:snapToGrid w:val="0"/>
        <w:spacing w:before="120" w:beforeLines="0" w:after="120" w:afterLines="0" w:line="360" w:lineRule="auto"/>
        <w:ind w:firstLine="420"/>
        <w:rPr>
          <w:rFonts w:hAnsi="宋体" w:cs="宋体"/>
          <w:color w:val="auto"/>
          <w:sz w:val="21"/>
          <w:szCs w:val="21"/>
          <w:highlight w:val="none"/>
        </w:rPr>
      </w:pPr>
      <w:r>
        <w:rPr>
          <w:rFonts w:hint="eastAsia" w:hAnsi="宋体" w:cs="宋体"/>
          <w:color w:val="auto"/>
          <w:sz w:val="21"/>
          <w:szCs w:val="21"/>
          <w:highlight w:val="none"/>
        </w:rPr>
        <w:t>本项目评标委员会由政府采购评审专家和采购人代组成。</w:t>
      </w:r>
    </w:p>
    <w:p>
      <w:pPr>
        <w:pStyle w:val="22"/>
        <w:snapToGrid w:val="0"/>
        <w:spacing w:before="120" w:beforeLines="0" w:after="120" w:afterLines="0" w:line="360" w:lineRule="auto"/>
        <w:ind w:left="690" w:leftChars="228" w:hanging="211" w:hangingChars="100"/>
        <w:rPr>
          <w:rFonts w:hAnsi="宋体" w:cs="宋体"/>
          <w:b/>
          <w:color w:val="auto"/>
          <w:sz w:val="21"/>
          <w:szCs w:val="21"/>
          <w:highlight w:val="none"/>
        </w:rPr>
      </w:pPr>
      <w:r>
        <w:rPr>
          <w:rFonts w:hint="eastAsia" w:hAnsi="宋体" w:cs="宋体"/>
          <w:b/>
          <w:color w:val="auto"/>
          <w:sz w:val="21"/>
          <w:szCs w:val="21"/>
          <w:highlight w:val="none"/>
        </w:rPr>
        <w:t>（二）评标的方式</w:t>
      </w:r>
    </w:p>
    <w:p>
      <w:pPr>
        <w:pStyle w:val="22"/>
        <w:snapToGrid w:val="0"/>
        <w:spacing w:before="120" w:beforeLines="0" w:after="120" w:afterLines="0" w:line="360" w:lineRule="auto"/>
        <w:ind w:left="689" w:leftChars="228" w:hanging="210" w:hangingChars="100"/>
        <w:rPr>
          <w:rFonts w:hAnsi="宋体" w:cs="宋体"/>
          <w:color w:val="auto"/>
          <w:sz w:val="21"/>
          <w:szCs w:val="21"/>
          <w:highlight w:val="none"/>
        </w:rPr>
      </w:pPr>
      <w:r>
        <w:rPr>
          <w:rFonts w:hint="eastAsia" w:hAnsi="宋体" w:cs="宋体"/>
          <w:color w:val="auto"/>
          <w:sz w:val="21"/>
          <w:szCs w:val="21"/>
          <w:highlight w:val="none"/>
        </w:rPr>
        <w:t>本项目采用不公开方式评标，评标的依据为招标文件和投标文件。</w:t>
      </w:r>
    </w:p>
    <w:p>
      <w:pPr>
        <w:pStyle w:val="22"/>
        <w:snapToGrid w:val="0"/>
        <w:spacing w:before="120" w:beforeLines="0" w:after="120" w:afterLines="0" w:line="360" w:lineRule="auto"/>
        <w:ind w:left="690" w:leftChars="228" w:hanging="211" w:hangingChars="100"/>
        <w:rPr>
          <w:rFonts w:hAnsi="宋体" w:cs="宋体"/>
          <w:b/>
          <w:color w:val="auto"/>
          <w:sz w:val="21"/>
          <w:szCs w:val="21"/>
          <w:highlight w:val="none"/>
        </w:rPr>
      </w:pPr>
      <w:r>
        <w:rPr>
          <w:rFonts w:hint="eastAsia" w:hAnsi="宋体" w:cs="宋体"/>
          <w:b/>
          <w:color w:val="auto"/>
          <w:sz w:val="21"/>
          <w:szCs w:val="21"/>
          <w:highlight w:val="none"/>
        </w:rPr>
        <w:t>（三）</w:t>
      </w:r>
      <w:r>
        <w:rPr>
          <w:rFonts w:hint="eastAsia" w:hAnsi="宋体" w:cs="宋体"/>
          <w:b/>
          <w:bCs/>
          <w:color w:val="auto"/>
          <w:sz w:val="21"/>
          <w:szCs w:val="21"/>
          <w:highlight w:val="none"/>
        </w:rPr>
        <w:t>评标程序</w:t>
      </w:r>
    </w:p>
    <w:p>
      <w:pPr>
        <w:widowControl/>
        <w:ind w:firstLine="422"/>
        <w:jc w:val="left"/>
        <w:outlineLvl w:val="1"/>
        <w:rPr>
          <w:rFonts w:ascii="宋体" w:hAnsi="宋体" w:cs="宋体"/>
          <w:b/>
          <w:bCs/>
          <w:color w:val="auto"/>
          <w:szCs w:val="21"/>
          <w:highlight w:val="none"/>
        </w:rPr>
      </w:pPr>
      <w:bookmarkStart w:id="1721" w:name="_Toc71364412"/>
      <w:bookmarkStart w:id="1722" w:name="_Toc4151"/>
      <w:r>
        <w:rPr>
          <w:rFonts w:hint="eastAsia" w:ascii="宋体" w:hAnsi="宋体" w:cs="宋体"/>
          <w:b/>
          <w:bCs/>
          <w:color w:val="auto"/>
          <w:szCs w:val="21"/>
          <w:highlight w:val="none"/>
        </w:rPr>
        <w:t>1.资格审查</w:t>
      </w:r>
      <w:bookmarkEnd w:id="1721"/>
      <w:bookmarkEnd w:id="1722"/>
    </w:p>
    <w:p>
      <w:pPr>
        <w:ind w:firstLine="420"/>
        <w:rPr>
          <w:rFonts w:ascii="宋体" w:hAnsi="宋体" w:cs="宋体"/>
          <w:b/>
          <w:bCs/>
          <w:color w:val="auto"/>
          <w:szCs w:val="21"/>
          <w:highlight w:val="none"/>
        </w:rPr>
      </w:pPr>
      <w:r>
        <w:rPr>
          <w:rFonts w:hint="eastAsia" w:ascii="宋体" w:hAnsi="宋体" w:cs="宋体"/>
          <w:color w:val="auto"/>
          <w:szCs w:val="21"/>
          <w:highlight w:val="none"/>
        </w:rPr>
        <w:t>采购人或者采购代理机构对投标人的资格进行审查。</w:t>
      </w:r>
    </w:p>
    <w:p>
      <w:pPr>
        <w:ind w:firstLine="422"/>
        <w:rPr>
          <w:rFonts w:ascii="宋体" w:hAnsi="宋体" w:cs="宋体"/>
          <w:b/>
          <w:color w:val="auto"/>
          <w:szCs w:val="21"/>
          <w:highlight w:val="none"/>
        </w:rPr>
      </w:pPr>
      <w:r>
        <w:rPr>
          <w:rFonts w:hint="eastAsia" w:ascii="宋体" w:hAnsi="宋体" w:cs="宋体"/>
          <w:b/>
          <w:color w:val="auto"/>
          <w:szCs w:val="21"/>
          <w:highlight w:val="none"/>
        </w:rPr>
        <w:t>2.符合性检查</w:t>
      </w:r>
    </w:p>
    <w:p>
      <w:pPr>
        <w:ind w:firstLine="420"/>
        <w:rPr>
          <w:rFonts w:ascii="宋体" w:hAnsi="宋体" w:cs="宋体"/>
          <w:b/>
          <w:color w:val="auto"/>
          <w:szCs w:val="21"/>
          <w:highlight w:val="none"/>
        </w:rPr>
      </w:pPr>
      <w:r>
        <w:rPr>
          <w:rFonts w:hint="eastAsia" w:ascii="宋体" w:hAnsi="宋体" w:cs="宋体"/>
          <w:color w:val="auto"/>
          <w:szCs w:val="21"/>
          <w:highlight w:val="none"/>
        </w:rPr>
        <w:t>评审小组对通过资格审查的投标人的投标文件的完整性、合法性进行符合性检查。</w:t>
      </w:r>
    </w:p>
    <w:p>
      <w:pPr>
        <w:snapToGrid w:val="0"/>
        <w:ind w:firstLine="413" w:firstLineChars="196"/>
        <w:rPr>
          <w:rFonts w:ascii="宋体" w:hAnsi="宋体" w:cs="宋体"/>
          <w:b/>
          <w:bCs/>
          <w:color w:val="auto"/>
          <w:szCs w:val="21"/>
          <w:highlight w:val="none"/>
        </w:rPr>
      </w:pPr>
      <w:r>
        <w:rPr>
          <w:rFonts w:hint="eastAsia" w:ascii="宋体" w:hAnsi="宋体" w:cs="宋体"/>
          <w:b/>
          <w:bCs/>
          <w:color w:val="auto"/>
          <w:szCs w:val="21"/>
          <w:highlight w:val="none"/>
        </w:rPr>
        <w:t>3.实质审查与比较</w:t>
      </w:r>
    </w:p>
    <w:p>
      <w:pPr>
        <w:snapToGrid w:val="0"/>
        <w:ind w:firstLine="420"/>
        <w:rPr>
          <w:rFonts w:ascii="宋体" w:hAnsi="宋体" w:cs="宋体"/>
          <w:color w:val="auto"/>
          <w:szCs w:val="21"/>
          <w:highlight w:val="none"/>
        </w:rPr>
      </w:pPr>
      <w:r>
        <w:rPr>
          <w:rFonts w:hint="eastAsia" w:ascii="宋体" w:hAnsi="宋体" w:cs="宋体"/>
          <w:color w:val="auto"/>
          <w:szCs w:val="21"/>
          <w:highlight w:val="none"/>
        </w:rPr>
        <w:t>（1）评标委员会审查投标文件的实质性内容是否符合招标文件的实质性要求。</w:t>
      </w:r>
    </w:p>
    <w:p>
      <w:pPr>
        <w:snapToGrid w:val="0"/>
        <w:ind w:firstLine="420"/>
        <w:rPr>
          <w:rFonts w:ascii="宋体" w:hAnsi="宋体" w:cs="宋体"/>
          <w:color w:val="auto"/>
          <w:szCs w:val="21"/>
          <w:highlight w:val="none"/>
        </w:rPr>
      </w:pPr>
      <w:r>
        <w:rPr>
          <w:rFonts w:hint="eastAsia" w:ascii="宋体" w:hAnsi="宋体" w:cs="宋体"/>
          <w:color w:val="auto"/>
          <w:szCs w:val="21"/>
          <w:highlight w:val="none"/>
        </w:rPr>
        <w:t>（2）评标委员会将根据投标人的投标文件进行审查、核对,如有疑问,将对投标人进行询标,投标人要向评标委员会澄清有关问题,并最终以书面形式进行答复。</w:t>
      </w:r>
    </w:p>
    <w:p>
      <w:pPr>
        <w:snapToGrid w:val="0"/>
        <w:ind w:firstLine="420"/>
        <w:rPr>
          <w:rFonts w:ascii="宋体" w:hAnsi="宋体" w:cs="宋体"/>
          <w:color w:val="auto"/>
          <w:szCs w:val="21"/>
          <w:highlight w:val="none"/>
        </w:rPr>
      </w:pPr>
      <w:r>
        <w:rPr>
          <w:rFonts w:hint="eastAsia" w:ascii="宋体" w:hAnsi="宋体" w:cs="宋体"/>
          <w:color w:val="auto"/>
          <w:szCs w:val="21"/>
          <w:highlight w:val="none"/>
        </w:rPr>
        <w:t>投标人代表未到场或者拒绝澄清或者澄清的内容改变了投标文件的实质性内容的，评标委员会有权对该投标文件作出不利于投标人的评判。</w:t>
      </w:r>
    </w:p>
    <w:p>
      <w:pPr>
        <w:snapToGrid w:val="0"/>
        <w:ind w:firstLine="420"/>
        <w:rPr>
          <w:rFonts w:ascii="宋体" w:hAnsi="宋体" w:cs="宋体"/>
          <w:color w:val="auto"/>
          <w:szCs w:val="21"/>
          <w:highlight w:val="none"/>
        </w:rPr>
      </w:pPr>
      <w:r>
        <w:rPr>
          <w:rFonts w:hint="eastAsia" w:ascii="宋体" w:hAnsi="宋体" w:cs="宋体"/>
          <w:color w:val="auto"/>
          <w:szCs w:val="21"/>
          <w:highlight w:val="none"/>
        </w:rPr>
        <w:t>（3）各投标人的得分为所有评委的有效评分的算术平均数，由指定专人进行计算复核。</w:t>
      </w:r>
    </w:p>
    <w:p>
      <w:pPr>
        <w:snapToGrid w:val="0"/>
        <w:ind w:firstLine="420"/>
        <w:rPr>
          <w:rFonts w:ascii="宋体" w:hAnsi="宋体" w:cs="宋体"/>
          <w:color w:val="auto"/>
          <w:szCs w:val="21"/>
          <w:highlight w:val="none"/>
        </w:rPr>
      </w:pPr>
      <w:r>
        <w:rPr>
          <w:rFonts w:hint="eastAsia" w:ascii="宋体" w:hAnsi="宋体" w:cs="宋体"/>
          <w:color w:val="auto"/>
          <w:szCs w:val="21"/>
          <w:highlight w:val="none"/>
        </w:rPr>
        <w:t>（4）评标委员会完成评标后,评委对各部分得分汇总,计算出本项目最终得分。评标委员会按评标原则推荐中标候选人同时起草评标报告。</w:t>
      </w:r>
    </w:p>
    <w:p>
      <w:pPr>
        <w:snapToGrid w:val="0"/>
        <w:ind w:firstLine="422"/>
        <w:rPr>
          <w:rFonts w:ascii="宋体" w:hAnsi="宋体" w:cs="宋体"/>
          <w:b/>
          <w:color w:val="auto"/>
          <w:szCs w:val="21"/>
          <w:highlight w:val="none"/>
        </w:rPr>
      </w:pPr>
      <w:r>
        <w:rPr>
          <w:rFonts w:hint="eastAsia" w:ascii="宋体" w:hAnsi="宋体" w:cs="宋体"/>
          <w:b/>
          <w:color w:val="auto"/>
          <w:szCs w:val="21"/>
          <w:highlight w:val="none"/>
        </w:rPr>
        <w:t>（四）澄清问题的形式</w:t>
      </w:r>
    </w:p>
    <w:p>
      <w:pPr>
        <w:snapToGrid w:val="0"/>
        <w:ind w:firstLine="420"/>
        <w:rPr>
          <w:rFonts w:ascii="宋体" w:hAnsi="宋体" w:cs="宋体"/>
          <w:color w:val="auto"/>
          <w:szCs w:val="21"/>
          <w:highlight w:val="none"/>
        </w:rPr>
      </w:pPr>
      <w:r>
        <w:rPr>
          <w:rFonts w:hint="eastAsia" w:ascii="宋体" w:hAnsi="宋体" w:cs="宋体"/>
          <w:color w:val="auto"/>
          <w:szCs w:val="21"/>
          <w:highlight w:val="none"/>
        </w:rPr>
        <w:t>对投标文件中含义不明确、同类问题表述不一致或者有明显文字和计算错误的内容，评标委员会可要求投标人作出必要的澄清、说明或者纠正。投标人的澄清、说明或者补正应当采用书面形式，由其授权代表签字或盖章确认，并不得超出投标文件的范围或者改变投标文件的实质性内容。</w:t>
      </w:r>
    </w:p>
    <w:p>
      <w:pPr>
        <w:snapToGrid w:val="0"/>
        <w:ind w:firstLine="422"/>
        <w:rPr>
          <w:rFonts w:ascii="宋体" w:hAnsi="宋体" w:cs="宋体"/>
          <w:b/>
          <w:color w:val="auto"/>
          <w:szCs w:val="21"/>
          <w:highlight w:val="none"/>
        </w:rPr>
      </w:pPr>
      <w:r>
        <w:rPr>
          <w:rFonts w:hint="eastAsia" w:ascii="宋体" w:hAnsi="宋体" w:cs="宋体"/>
          <w:b/>
          <w:color w:val="auto"/>
          <w:szCs w:val="21"/>
          <w:highlight w:val="none"/>
        </w:rPr>
        <w:t>（五） 错误修正</w:t>
      </w:r>
    </w:p>
    <w:p>
      <w:pPr>
        <w:snapToGrid w:val="0"/>
        <w:ind w:firstLine="420"/>
        <w:rPr>
          <w:rFonts w:ascii="宋体" w:hAnsi="宋体" w:cs="宋体"/>
          <w:color w:val="auto"/>
          <w:szCs w:val="21"/>
          <w:highlight w:val="none"/>
        </w:rPr>
      </w:pPr>
      <w:r>
        <w:rPr>
          <w:rFonts w:hint="eastAsia" w:ascii="宋体" w:hAnsi="宋体" w:cs="宋体"/>
          <w:color w:val="auto"/>
          <w:szCs w:val="21"/>
          <w:highlight w:val="none"/>
        </w:rPr>
        <w:t>投标文件如果出现计算或表达上的错误，修正错误的原则如下：</w:t>
      </w:r>
    </w:p>
    <w:p>
      <w:pPr>
        <w:snapToGrid w:val="0"/>
        <w:spacing w:line="276" w:lineRule="auto"/>
        <w:ind w:firstLine="420"/>
        <w:rPr>
          <w:rFonts w:ascii="宋体" w:hAnsi="宋体" w:cs="宋体"/>
          <w:color w:val="auto"/>
          <w:szCs w:val="21"/>
          <w:highlight w:val="none"/>
        </w:rPr>
      </w:pPr>
      <w:r>
        <w:rPr>
          <w:rFonts w:hint="eastAsia" w:ascii="宋体" w:hAnsi="宋体" w:cs="宋体"/>
          <w:color w:val="auto"/>
          <w:szCs w:val="21"/>
          <w:highlight w:val="none"/>
        </w:rPr>
        <w:t>1.开标一览表（报价表）内容与投标报价中相应内容不一致的，</w:t>
      </w:r>
      <w:r>
        <w:rPr>
          <w:rFonts w:hint="eastAsia" w:ascii="宋体" w:hAnsi="宋体" w:cs="宋体"/>
          <w:color w:val="auto"/>
          <w:kern w:val="0"/>
          <w:szCs w:val="21"/>
          <w:highlight w:val="none"/>
        </w:rPr>
        <w:t>以开标一览表</w:t>
      </w:r>
      <w:r>
        <w:rPr>
          <w:rFonts w:hint="eastAsia" w:ascii="宋体" w:hAnsi="宋体" w:cs="宋体"/>
          <w:color w:val="auto"/>
          <w:szCs w:val="21"/>
          <w:highlight w:val="none"/>
        </w:rPr>
        <w:t>（报价表）</w:t>
      </w:r>
      <w:r>
        <w:rPr>
          <w:rFonts w:hint="eastAsia" w:ascii="宋体" w:hAnsi="宋体" w:cs="宋体"/>
          <w:color w:val="auto"/>
          <w:kern w:val="0"/>
          <w:szCs w:val="21"/>
          <w:highlight w:val="none"/>
        </w:rPr>
        <w:t>为准；</w:t>
      </w:r>
    </w:p>
    <w:p>
      <w:pPr>
        <w:pStyle w:val="22"/>
        <w:snapToGrid w:val="0"/>
        <w:spacing w:before="120" w:after="120" w:line="276" w:lineRule="auto"/>
        <w:ind w:firstLine="420"/>
        <w:rPr>
          <w:rFonts w:hAnsi="宋体" w:cs="宋体"/>
          <w:color w:val="auto"/>
          <w:sz w:val="21"/>
          <w:szCs w:val="21"/>
          <w:highlight w:val="none"/>
        </w:rPr>
      </w:pPr>
      <w:r>
        <w:rPr>
          <w:rFonts w:hint="eastAsia" w:hAnsi="宋体" w:cs="宋体"/>
          <w:color w:val="auto"/>
          <w:sz w:val="21"/>
          <w:szCs w:val="21"/>
          <w:highlight w:val="none"/>
        </w:rPr>
        <w:t>2.大写金额和小写金额不一致的，以大写金额为准；</w:t>
      </w:r>
    </w:p>
    <w:p>
      <w:pPr>
        <w:pStyle w:val="22"/>
        <w:snapToGrid w:val="0"/>
        <w:spacing w:before="120" w:after="120" w:line="276" w:lineRule="auto"/>
        <w:ind w:firstLine="420"/>
        <w:rPr>
          <w:rFonts w:hAnsi="宋体" w:cs="宋体"/>
          <w:color w:val="auto"/>
          <w:sz w:val="21"/>
          <w:szCs w:val="21"/>
          <w:highlight w:val="none"/>
        </w:rPr>
      </w:pPr>
      <w:r>
        <w:rPr>
          <w:rFonts w:hint="eastAsia" w:hAnsi="宋体" w:cs="宋体"/>
          <w:color w:val="auto"/>
          <w:sz w:val="21"/>
          <w:szCs w:val="21"/>
          <w:highlight w:val="none"/>
        </w:rPr>
        <w:t>3.单价金额小数点或者百分比有明显错位的，以开标一览表的总价为准，并修改单价；</w:t>
      </w:r>
    </w:p>
    <w:p>
      <w:pPr>
        <w:pStyle w:val="22"/>
        <w:snapToGrid w:val="0"/>
        <w:spacing w:before="120" w:after="120" w:line="276" w:lineRule="auto"/>
        <w:ind w:firstLine="420"/>
        <w:rPr>
          <w:rFonts w:hAnsi="宋体" w:cs="宋体"/>
          <w:color w:val="auto"/>
          <w:sz w:val="21"/>
          <w:szCs w:val="21"/>
          <w:highlight w:val="none"/>
        </w:rPr>
      </w:pPr>
      <w:r>
        <w:rPr>
          <w:rFonts w:hint="eastAsia" w:hAnsi="宋体" w:cs="宋体"/>
          <w:color w:val="auto"/>
          <w:sz w:val="21"/>
          <w:szCs w:val="21"/>
          <w:highlight w:val="none"/>
        </w:rPr>
        <w:t>4.总价金额与按单价汇总金额不一致的，以单价金额计算结果为准；</w:t>
      </w:r>
    </w:p>
    <w:p>
      <w:pPr>
        <w:pStyle w:val="22"/>
        <w:spacing w:before="0" w:beforeLines="0" w:after="0" w:afterLines="0" w:line="360" w:lineRule="auto"/>
        <w:ind w:firstLine="422"/>
        <w:rPr>
          <w:rFonts w:hAnsi="宋体" w:cs="宋体"/>
          <w:b/>
          <w:color w:val="auto"/>
          <w:sz w:val="21"/>
          <w:szCs w:val="21"/>
          <w:highlight w:val="none"/>
        </w:rPr>
      </w:pPr>
      <w:r>
        <w:rPr>
          <w:rFonts w:hint="eastAsia" w:hAnsi="宋体" w:cs="宋体"/>
          <w:b/>
          <w:color w:val="auto"/>
          <w:sz w:val="21"/>
          <w:szCs w:val="21"/>
          <w:highlight w:val="none"/>
        </w:rPr>
        <w:t>5、投标人在政采云系统中就本项目填写的报价与以pdf格式上传文件中的报价不一致的，应以pdf格式上传文件中的报价为准。</w:t>
      </w:r>
    </w:p>
    <w:p>
      <w:pPr>
        <w:pStyle w:val="22"/>
        <w:snapToGrid w:val="0"/>
        <w:spacing w:before="120" w:after="120" w:line="276" w:lineRule="auto"/>
        <w:ind w:firstLine="420"/>
        <w:rPr>
          <w:rFonts w:hAnsi="宋体" w:cs="宋体"/>
          <w:color w:val="auto"/>
          <w:sz w:val="21"/>
          <w:szCs w:val="21"/>
          <w:highlight w:val="none"/>
        </w:rPr>
      </w:pPr>
      <w:r>
        <w:rPr>
          <w:rFonts w:hint="eastAsia" w:hAnsi="宋体" w:cs="宋体"/>
          <w:color w:val="auto"/>
          <w:sz w:val="21"/>
          <w:szCs w:val="21"/>
          <w:highlight w:val="none"/>
        </w:rPr>
        <w:t>同时出现两种以上不一致的，按照上述规定的顺序修正。</w:t>
      </w:r>
      <w:r>
        <w:rPr>
          <w:rFonts w:hint="eastAsia" w:hAnsi="宋体" w:cs="宋体"/>
          <w:b/>
          <w:color w:val="auto"/>
          <w:sz w:val="21"/>
          <w:szCs w:val="21"/>
          <w:highlight w:val="none"/>
        </w:rPr>
        <w:t>修正后的报价经投标人确认后产生约束力，投标人不确认的，其投标无效。</w:t>
      </w:r>
    </w:p>
    <w:p>
      <w:pPr>
        <w:pStyle w:val="22"/>
        <w:tabs>
          <w:tab w:val="left" w:pos="630"/>
        </w:tabs>
        <w:snapToGrid w:val="0"/>
        <w:spacing w:before="120" w:beforeLines="0" w:after="120" w:afterLines="0" w:line="360" w:lineRule="auto"/>
        <w:ind w:firstLine="413" w:firstLineChars="196"/>
        <w:rPr>
          <w:rFonts w:hAnsi="宋体" w:cs="宋体"/>
          <w:b/>
          <w:color w:val="auto"/>
          <w:sz w:val="21"/>
          <w:szCs w:val="21"/>
          <w:highlight w:val="none"/>
        </w:rPr>
      </w:pPr>
      <w:r>
        <w:rPr>
          <w:rFonts w:hint="eastAsia" w:hAnsi="宋体" w:cs="宋体"/>
          <w:b/>
          <w:color w:val="auto"/>
          <w:sz w:val="21"/>
          <w:szCs w:val="21"/>
          <w:highlight w:val="none"/>
        </w:rPr>
        <w:t>（六）评标原则和评标办法</w:t>
      </w:r>
    </w:p>
    <w:p>
      <w:pPr>
        <w:pStyle w:val="22"/>
        <w:snapToGrid w:val="0"/>
        <w:spacing w:before="120" w:beforeLines="0" w:after="120" w:afterLines="0" w:line="360" w:lineRule="auto"/>
        <w:ind w:firstLine="420"/>
        <w:rPr>
          <w:rFonts w:hAnsi="宋体" w:cs="宋体"/>
          <w:color w:val="auto"/>
          <w:sz w:val="21"/>
          <w:szCs w:val="21"/>
          <w:highlight w:val="none"/>
        </w:rPr>
      </w:pPr>
      <w:r>
        <w:rPr>
          <w:rFonts w:hint="eastAsia" w:hAnsi="宋体" w:cs="宋体"/>
          <w:color w:val="auto"/>
          <w:sz w:val="21"/>
          <w:szCs w:val="21"/>
          <w:highlight w:val="none"/>
        </w:rPr>
        <w:t>1.评标原则。评标委员会必须公平、公正、客观，不带任何倾向性和启发性；不得向外界透露任何与评标有关的内容；任何单位和个人不得干扰、影响评标的正常进行；评标委员会及有关工作人员不得私下与投标人接触。</w:t>
      </w:r>
    </w:p>
    <w:p>
      <w:pPr>
        <w:pStyle w:val="22"/>
        <w:snapToGrid w:val="0"/>
        <w:spacing w:before="120" w:beforeLines="0" w:after="120" w:afterLines="0" w:line="360" w:lineRule="auto"/>
        <w:ind w:firstLine="420"/>
        <w:rPr>
          <w:rFonts w:hAnsi="宋体" w:cs="宋体"/>
          <w:color w:val="auto"/>
          <w:sz w:val="21"/>
          <w:szCs w:val="21"/>
          <w:highlight w:val="none"/>
        </w:rPr>
      </w:pPr>
      <w:r>
        <w:rPr>
          <w:rFonts w:hint="eastAsia" w:hAnsi="宋体" w:cs="宋体"/>
          <w:color w:val="auto"/>
          <w:sz w:val="21"/>
          <w:szCs w:val="21"/>
          <w:highlight w:val="none"/>
        </w:rPr>
        <w:t>2.评标办法。本项目评标办法是</w:t>
      </w:r>
      <w:r>
        <w:rPr>
          <w:rFonts w:hint="eastAsia" w:hAnsi="宋体" w:cs="宋体"/>
          <w:b/>
          <w:color w:val="auto"/>
          <w:sz w:val="21"/>
          <w:szCs w:val="21"/>
          <w:highlight w:val="none"/>
          <w:u w:val="single"/>
        </w:rPr>
        <w:t xml:space="preserve"> 综合评分法</w:t>
      </w:r>
      <w:r>
        <w:rPr>
          <w:rFonts w:hint="eastAsia" w:hAnsi="宋体" w:cs="宋体"/>
          <w:color w:val="auto"/>
          <w:sz w:val="21"/>
          <w:szCs w:val="21"/>
          <w:highlight w:val="none"/>
          <w:u w:val="single"/>
        </w:rPr>
        <w:t xml:space="preserve"> </w:t>
      </w:r>
      <w:r>
        <w:rPr>
          <w:rFonts w:hint="eastAsia" w:hAnsi="宋体" w:cs="宋体"/>
          <w:color w:val="auto"/>
          <w:sz w:val="21"/>
          <w:szCs w:val="21"/>
          <w:highlight w:val="none"/>
        </w:rPr>
        <w:t>，具体评标内容及评分标准等详见《第四章：评标办法及评分标准》。</w:t>
      </w:r>
    </w:p>
    <w:p>
      <w:pPr>
        <w:pStyle w:val="22"/>
        <w:snapToGrid w:val="0"/>
        <w:spacing w:before="120" w:beforeLines="0" w:after="120" w:afterLines="0" w:line="360" w:lineRule="auto"/>
        <w:ind w:firstLine="422"/>
        <w:rPr>
          <w:rFonts w:hAnsi="宋体" w:cs="宋体"/>
          <w:b/>
          <w:color w:val="auto"/>
          <w:sz w:val="21"/>
          <w:szCs w:val="21"/>
          <w:highlight w:val="none"/>
        </w:rPr>
      </w:pPr>
      <w:r>
        <w:rPr>
          <w:rFonts w:hint="eastAsia" w:hAnsi="宋体" w:cs="宋体"/>
          <w:b/>
          <w:color w:val="auto"/>
          <w:sz w:val="21"/>
          <w:szCs w:val="21"/>
          <w:highlight w:val="none"/>
        </w:rPr>
        <w:t>六、定标</w:t>
      </w:r>
    </w:p>
    <w:p>
      <w:pPr>
        <w:pStyle w:val="22"/>
        <w:widowControl/>
        <w:spacing w:before="0" w:beforeLines="0" w:after="0" w:afterLines="0" w:line="360" w:lineRule="auto"/>
        <w:ind w:firstLine="420"/>
        <w:jc w:val="left"/>
        <w:rPr>
          <w:rFonts w:hAnsi="宋体" w:cs="宋体"/>
          <w:color w:val="auto"/>
          <w:sz w:val="21"/>
          <w:szCs w:val="21"/>
          <w:highlight w:val="none"/>
        </w:rPr>
      </w:pPr>
      <w:r>
        <w:rPr>
          <w:rFonts w:hint="eastAsia" w:hAnsi="宋体" w:cs="宋体"/>
          <w:color w:val="auto"/>
          <w:sz w:val="21"/>
          <w:szCs w:val="21"/>
          <w:highlight w:val="none"/>
        </w:rPr>
        <w:t>1.确定中标人。本项目由评标委员会推荐中标候选人，采购人不得在评标委员会推荐的中标候选人以外确定中标候选人。</w:t>
      </w:r>
    </w:p>
    <w:p>
      <w:pPr>
        <w:pStyle w:val="22"/>
        <w:widowControl/>
        <w:spacing w:before="0" w:beforeLines="0" w:after="0" w:afterLines="0" w:line="360" w:lineRule="auto"/>
        <w:ind w:firstLine="420"/>
        <w:jc w:val="left"/>
        <w:rPr>
          <w:rFonts w:hAnsi="宋体" w:cs="宋体"/>
          <w:color w:val="auto"/>
          <w:sz w:val="21"/>
          <w:szCs w:val="21"/>
          <w:highlight w:val="none"/>
        </w:rPr>
      </w:pPr>
      <w:r>
        <w:rPr>
          <w:rFonts w:hint="eastAsia" w:hAnsi="宋体" w:cs="宋体"/>
          <w:color w:val="auto"/>
          <w:sz w:val="21"/>
          <w:szCs w:val="21"/>
          <w:highlight w:val="none"/>
        </w:rPr>
        <w:t>2.采购代理机构在评标结束后2个工作日内将评标报告交采购人确认，采购人在收到评标报告之日起5个工作日内在评标报告确定的中标候选人中按顺序确定中标人，采购人在收到评标报告之日起5个工作日内未按评标报告推荐的中标候选人排序确定中标人，又不能说明合法理由的，视同按评标报告推荐的顺序确定排名第一的中标候选人为中标人。</w:t>
      </w:r>
    </w:p>
    <w:p>
      <w:pPr>
        <w:pStyle w:val="22"/>
        <w:widowControl/>
        <w:spacing w:before="0" w:beforeLines="0" w:after="0" w:afterLines="0" w:line="360" w:lineRule="auto"/>
        <w:ind w:firstLine="420"/>
        <w:jc w:val="left"/>
        <w:rPr>
          <w:rFonts w:hAnsi="宋体" w:cs="宋体"/>
          <w:color w:val="auto"/>
          <w:sz w:val="21"/>
          <w:szCs w:val="21"/>
          <w:highlight w:val="none"/>
        </w:rPr>
      </w:pPr>
      <w:r>
        <w:rPr>
          <w:rFonts w:hint="eastAsia" w:hAnsi="宋体" w:cs="宋体"/>
          <w:color w:val="auto"/>
          <w:sz w:val="21"/>
          <w:szCs w:val="21"/>
          <w:highlight w:val="none"/>
        </w:rPr>
        <w:t>3.采购代理机构自中标人确定之日起2各工作日内，在发布招标公告的网站上对中标结果进行公示，中标结果公告期限为1个工作日。</w:t>
      </w:r>
    </w:p>
    <w:p>
      <w:pPr>
        <w:pStyle w:val="22"/>
        <w:widowControl/>
        <w:spacing w:before="0" w:beforeLines="0" w:after="0" w:afterLines="0" w:line="360" w:lineRule="auto"/>
        <w:ind w:firstLine="420"/>
        <w:jc w:val="left"/>
        <w:rPr>
          <w:rFonts w:hAnsi="宋体" w:cs="宋体"/>
          <w:color w:val="auto"/>
          <w:sz w:val="21"/>
          <w:szCs w:val="21"/>
          <w:highlight w:val="none"/>
        </w:rPr>
      </w:pPr>
      <w:r>
        <w:rPr>
          <w:rFonts w:hint="eastAsia" w:hAnsi="宋体" w:cs="宋体"/>
          <w:color w:val="auto"/>
          <w:sz w:val="21"/>
          <w:szCs w:val="21"/>
          <w:highlight w:val="none"/>
        </w:rPr>
        <w:t>4.凡发现中标人有下列行为之一的，将移交政府采购监督管理部门依法处理：</w:t>
      </w:r>
    </w:p>
    <w:p>
      <w:pPr>
        <w:numPr>
          <w:ilvl w:val="0"/>
          <w:numId w:val="30"/>
        </w:numPr>
        <w:ind w:firstLine="420"/>
        <w:rPr>
          <w:rFonts w:ascii="宋体" w:hAnsi="宋体" w:cs="宋体"/>
          <w:color w:val="auto"/>
          <w:szCs w:val="21"/>
          <w:highlight w:val="none"/>
        </w:rPr>
      </w:pPr>
      <w:r>
        <w:rPr>
          <w:rFonts w:hint="eastAsia" w:ascii="宋体" w:hAnsi="宋体" w:cs="宋体"/>
          <w:color w:val="auto"/>
          <w:szCs w:val="21"/>
          <w:highlight w:val="none"/>
        </w:rPr>
        <w:t>提供虚假材料谋取中标的；</w:t>
      </w:r>
    </w:p>
    <w:p>
      <w:pPr>
        <w:numPr>
          <w:ilvl w:val="0"/>
          <w:numId w:val="30"/>
        </w:numPr>
        <w:ind w:firstLine="420"/>
        <w:rPr>
          <w:rFonts w:ascii="宋体" w:hAnsi="宋体" w:cs="宋体"/>
          <w:color w:val="auto"/>
          <w:szCs w:val="21"/>
          <w:highlight w:val="none"/>
        </w:rPr>
      </w:pPr>
      <w:r>
        <w:rPr>
          <w:rFonts w:hint="eastAsia" w:ascii="宋体" w:hAnsi="宋体" w:cs="宋体"/>
          <w:color w:val="auto"/>
          <w:szCs w:val="21"/>
          <w:highlight w:val="none"/>
        </w:rPr>
        <w:t>采取不正当手段诋毁、排挤其他投标人的；</w:t>
      </w:r>
    </w:p>
    <w:p>
      <w:pPr>
        <w:numPr>
          <w:ilvl w:val="0"/>
          <w:numId w:val="30"/>
        </w:numPr>
        <w:ind w:firstLine="420"/>
        <w:rPr>
          <w:rFonts w:ascii="宋体" w:hAnsi="宋体" w:cs="宋体"/>
          <w:color w:val="auto"/>
          <w:szCs w:val="21"/>
          <w:highlight w:val="none"/>
        </w:rPr>
      </w:pPr>
      <w:r>
        <w:rPr>
          <w:rFonts w:hint="eastAsia" w:ascii="宋体" w:hAnsi="宋体" w:cs="宋体"/>
          <w:color w:val="auto"/>
          <w:szCs w:val="21"/>
          <w:highlight w:val="none"/>
        </w:rPr>
        <w:t>与采购人、其他投标人或者采购代理机构工作人员恶意串通的；</w:t>
      </w:r>
    </w:p>
    <w:p>
      <w:pPr>
        <w:numPr>
          <w:ilvl w:val="0"/>
          <w:numId w:val="30"/>
        </w:numPr>
        <w:ind w:firstLine="420"/>
        <w:rPr>
          <w:rFonts w:ascii="宋体" w:hAnsi="宋体" w:cs="宋体"/>
          <w:color w:val="auto"/>
          <w:szCs w:val="21"/>
          <w:highlight w:val="none"/>
        </w:rPr>
      </w:pPr>
      <w:r>
        <w:rPr>
          <w:rFonts w:hint="eastAsia" w:ascii="宋体" w:hAnsi="宋体" w:cs="宋体"/>
          <w:color w:val="auto"/>
          <w:szCs w:val="21"/>
          <w:highlight w:val="none"/>
        </w:rPr>
        <w:t>向采购人或采购代理机构人员行贿或者提供其他不正当利益的；</w:t>
      </w:r>
    </w:p>
    <w:p>
      <w:pPr>
        <w:numPr>
          <w:ilvl w:val="0"/>
          <w:numId w:val="30"/>
        </w:numPr>
        <w:ind w:firstLine="420"/>
        <w:rPr>
          <w:rFonts w:ascii="宋体" w:hAnsi="宋体" w:cs="宋体"/>
          <w:color w:val="auto"/>
          <w:szCs w:val="21"/>
          <w:highlight w:val="none"/>
        </w:rPr>
      </w:pPr>
      <w:r>
        <w:rPr>
          <w:rFonts w:hint="eastAsia" w:ascii="宋体" w:hAnsi="宋体" w:cs="宋体"/>
          <w:color w:val="auto"/>
          <w:szCs w:val="21"/>
          <w:highlight w:val="none"/>
        </w:rPr>
        <w:t>拒绝有关部门监督检查或者提供虚假情况的；</w:t>
      </w:r>
    </w:p>
    <w:p>
      <w:pPr>
        <w:numPr>
          <w:ilvl w:val="0"/>
          <w:numId w:val="30"/>
        </w:numPr>
        <w:ind w:firstLine="420"/>
        <w:rPr>
          <w:rFonts w:ascii="宋体" w:hAnsi="宋体" w:cs="宋体"/>
          <w:color w:val="auto"/>
          <w:szCs w:val="21"/>
          <w:highlight w:val="none"/>
        </w:rPr>
      </w:pPr>
      <w:r>
        <w:rPr>
          <w:rFonts w:hint="eastAsia" w:ascii="宋体" w:hAnsi="宋体" w:cs="宋体"/>
          <w:color w:val="auto"/>
          <w:szCs w:val="21"/>
          <w:highlight w:val="none"/>
        </w:rPr>
        <w:t>有法律、法规规定的其他损害采购人利益和社会公共利益情形的。</w:t>
      </w:r>
    </w:p>
    <w:p>
      <w:pPr>
        <w:widowControl/>
        <w:ind w:firstLine="422"/>
        <w:jc w:val="left"/>
        <w:outlineLvl w:val="1"/>
        <w:rPr>
          <w:rFonts w:ascii="宋体" w:hAnsi="宋体" w:cs="宋体"/>
          <w:b/>
          <w:color w:val="auto"/>
          <w:szCs w:val="28"/>
          <w:highlight w:val="none"/>
        </w:rPr>
      </w:pPr>
      <w:bookmarkStart w:id="1723" w:name="_Toc31753"/>
      <w:bookmarkStart w:id="1724" w:name="_Toc71364413"/>
      <w:r>
        <w:rPr>
          <w:rFonts w:hint="eastAsia" w:ascii="宋体" w:hAnsi="宋体" w:cs="宋体"/>
          <w:b/>
          <w:color w:val="auto"/>
          <w:szCs w:val="28"/>
          <w:highlight w:val="none"/>
        </w:rPr>
        <w:t>七、评标过程的监控</w:t>
      </w:r>
      <w:bookmarkEnd w:id="1723"/>
      <w:bookmarkEnd w:id="1724"/>
    </w:p>
    <w:p>
      <w:pPr>
        <w:widowControl/>
        <w:ind w:firstLine="399" w:firstLineChars="190"/>
        <w:jc w:val="left"/>
        <w:outlineLvl w:val="1"/>
        <w:rPr>
          <w:rFonts w:ascii="宋体" w:hAnsi="宋体" w:cs="宋体"/>
          <w:bCs/>
          <w:color w:val="auto"/>
          <w:szCs w:val="28"/>
          <w:highlight w:val="none"/>
        </w:rPr>
      </w:pPr>
      <w:bookmarkStart w:id="1725" w:name="_Toc13650"/>
      <w:bookmarkStart w:id="1726" w:name="_Toc71364414"/>
      <w:r>
        <w:rPr>
          <w:rFonts w:hint="eastAsia" w:ascii="宋体" w:hAnsi="宋体" w:cs="宋体"/>
          <w:bCs/>
          <w:color w:val="auto"/>
          <w:szCs w:val="28"/>
          <w:highlight w:val="none"/>
        </w:rPr>
        <w:t>本项目评标过程实行全程录音、录像监控，投标人在评标过程中所进行的试图影响评标结果的不公正活动，可能导致其投标被拒绝。</w:t>
      </w:r>
      <w:bookmarkEnd w:id="1725"/>
      <w:bookmarkEnd w:id="1726"/>
    </w:p>
    <w:p>
      <w:pPr>
        <w:pStyle w:val="22"/>
        <w:snapToGrid w:val="0"/>
        <w:spacing w:before="120" w:after="120" w:line="360" w:lineRule="auto"/>
        <w:ind w:firstLine="413" w:firstLineChars="196"/>
        <w:outlineLvl w:val="1"/>
        <w:rPr>
          <w:rFonts w:hAnsi="宋体" w:cs="宋体"/>
          <w:color w:val="auto"/>
          <w:szCs w:val="21"/>
          <w:highlight w:val="none"/>
        </w:rPr>
      </w:pPr>
      <w:bookmarkStart w:id="1727" w:name="_Toc71364415"/>
      <w:bookmarkStart w:id="1728" w:name="_Toc31657"/>
      <w:r>
        <w:rPr>
          <w:rFonts w:hint="eastAsia" w:hAnsi="宋体" w:cs="宋体"/>
          <w:b/>
          <w:color w:val="auto"/>
          <w:sz w:val="21"/>
          <w:szCs w:val="21"/>
          <w:highlight w:val="none"/>
        </w:rPr>
        <w:t>八、合同授予</w:t>
      </w:r>
      <w:bookmarkEnd w:id="1727"/>
      <w:bookmarkEnd w:id="1728"/>
    </w:p>
    <w:p>
      <w:pPr>
        <w:snapToGrid w:val="0"/>
        <w:ind w:firstLine="420"/>
        <w:rPr>
          <w:rFonts w:ascii="宋体" w:hAnsi="宋体" w:cs="宋体"/>
          <w:color w:val="auto"/>
          <w:szCs w:val="21"/>
          <w:highlight w:val="none"/>
        </w:rPr>
      </w:pPr>
      <w:r>
        <w:rPr>
          <w:rFonts w:hint="eastAsia" w:ascii="宋体" w:hAnsi="宋体" w:cs="宋体"/>
          <w:color w:val="auto"/>
          <w:szCs w:val="21"/>
          <w:highlight w:val="none"/>
        </w:rPr>
        <w:t>1.采购人与中标人应当在《中标通知书》发出之日起</w:t>
      </w:r>
      <w:r>
        <w:rPr>
          <w:rFonts w:hint="eastAsia" w:ascii="宋体" w:hAnsi="宋体" w:cs="宋体"/>
          <w:b/>
          <w:color w:val="auto"/>
          <w:szCs w:val="21"/>
          <w:highlight w:val="none"/>
          <w:u w:val="single"/>
        </w:rPr>
        <w:t>30</w:t>
      </w:r>
      <w:r>
        <w:rPr>
          <w:rFonts w:hint="eastAsia" w:ascii="宋体" w:hAnsi="宋体" w:cs="宋体"/>
          <w:color w:val="auto"/>
          <w:szCs w:val="21"/>
          <w:highlight w:val="none"/>
        </w:rPr>
        <w:t>日内签订政府采购合同。</w:t>
      </w:r>
    </w:p>
    <w:p>
      <w:pPr>
        <w:snapToGrid w:val="0"/>
        <w:ind w:firstLine="420"/>
        <w:rPr>
          <w:rFonts w:ascii="宋体" w:hAnsi="宋体" w:cs="宋体"/>
          <w:color w:val="auto"/>
          <w:szCs w:val="21"/>
          <w:highlight w:val="none"/>
        </w:rPr>
      </w:pPr>
      <w:r>
        <w:rPr>
          <w:rFonts w:hint="eastAsia" w:ascii="宋体" w:hAnsi="宋体" w:cs="宋体"/>
          <w:color w:val="auto"/>
          <w:szCs w:val="21"/>
          <w:highlight w:val="none"/>
        </w:rPr>
        <w:t>2.中标人拖延、拒签合同的,将被扣罚投标保证金并取消中标资格。</w:t>
      </w:r>
    </w:p>
    <w:p>
      <w:pPr>
        <w:pStyle w:val="22"/>
        <w:widowControl/>
        <w:spacing w:before="0" w:beforeLines="0" w:after="0" w:afterLines="0" w:line="360" w:lineRule="auto"/>
        <w:ind w:firstLine="422"/>
        <w:jc w:val="left"/>
        <w:outlineLvl w:val="1"/>
        <w:rPr>
          <w:rFonts w:hAnsi="宋体" w:cs="宋体"/>
          <w:b/>
          <w:color w:val="auto"/>
          <w:sz w:val="21"/>
          <w:szCs w:val="28"/>
          <w:highlight w:val="none"/>
        </w:rPr>
      </w:pPr>
      <w:bookmarkStart w:id="1729" w:name="_Toc71364416"/>
      <w:bookmarkStart w:id="1730" w:name="_Toc22720"/>
      <w:r>
        <w:rPr>
          <w:rFonts w:hint="eastAsia" w:hAnsi="宋体" w:cs="宋体"/>
          <w:b/>
          <w:color w:val="auto"/>
          <w:sz w:val="21"/>
          <w:szCs w:val="28"/>
          <w:highlight w:val="none"/>
        </w:rPr>
        <w:t>九、履约验收</w:t>
      </w:r>
      <w:bookmarkEnd w:id="1729"/>
      <w:bookmarkEnd w:id="1730"/>
    </w:p>
    <w:p>
      <w:pPr>
        <w:spacing w:before="120" w:after="120"/>
        <w:ind w:firstLine="399" w:firstLineChars="190"/>
        <w:rPr>
          <w:rFonts w:ascii="宋体" w:hAnsi="宋体" w:cs="宋体"/>
          <w:color w:val="auto"/>
          <w:szCs w:val="21"/>
          <w:highlight w:val="none"/>
        </w:rPr>
      </w:pPr>
      <w:r>
        <w:rPr>
          <w:rFonts w:hint="eastAsia" w:ascii="宋体" w:hAnsi="宋体" w:cs="宋体"/>
          <w:color w:val="auto"/>
          <w:szCs w:val="21"/>
          <w:highlight w:val="none"/>
        </w:rPr>
        <w:t>采购人</w:t>
      </w:r>
      <w:r>
        <w:rPr>
          <w:rFonts w:hint="eastAsia" w:ascii="宋体" w:hAnsi="宋体" w:cs="宋体"/>
          <w:bCs/>
          <w:color w:val="auto"/>
          <w:szCs w:val="28"/>
          <w:highlight w:val="none"/>
        </w:rPr>
        <w:t>负责</w:t>
      </w:r>
      <w:r>
        <w:rPr>
          <w:rFonts w:hint="eastAsia" w:ascii="宋体" w:hAnsi="宋体" w:cs="宋体"/>
          <w:color w:val="auto"/>
          <w:szCs w:val="21"/>
          <w:highlight w:val="none"/>
        </w:rPr>
        <w:t>对中标人的履约行为进行验收，验收符合相关政策法规和地方标准。</w:t>
      </w:r>
    </w:p>
    <w:p>
      <w:pPr>
        <w:pStyle w:val="19"/>
        <w:snapToGrid w:val="0"/>
        <w:spacing w:line="360" w:lineRule="auto"/>
        <w:ind w:firstLine="398" w:firstLineChars="196"/>
        <w:rPr>
          <w:rFonts w:hAnsi="宋体" w:eastAsia="宋体" w:cs="宋体"/>
          <w:b/>
          <w:color w:val="auto"/>
          <w:sz w:val="21"/>
          <w:szCs w:val="21"/>
          <w:highlight w:val="none"/>
        </w:rPr>
      </w:pPr>
      <w:r>
        <w:rPr>
          <w:rFonts w:hint="eastAsia" w:hAnsi="宋体" w:eastAsia="宋体" w:cs="宋体"/>
          <w:b/>
          <w:color w:val="auto"/>
          <w:sz w:val="21"/>
          <w:szCs w:val="21"/>
          <w:highlight w:val="none"/>
        </w:rPr>
        <w:t>十、</w:t>
      </w:r>
      <w:r>
        <w:rPr>
          <w:rFonts w:hint="eastAsia" w:hAnsi="宋体" w:eastAsia="宋体" w:cs="宋体"/>
          <w:b/>
          <w:bCs/>
          <w:color w:val="auto"/>
          <w:sz w:val="21"/>
          <w:szCs w:val="21"/>
          <w:highlight w:val="none"/>
        </w:rPr>
        <w:t>特别说明</w:t>
      </w:r>
    </w:p>
    <w:p>
      <w:pPr>
        <w:pStyle w:val="2"/>
        <w:spacing w:after="0"/>
        <w:ind w:firstLine="420"/>
        <w:rPr>
          <w:rFonts w:ascii="宋体" w:hAnsi="宋体" w:eastAsia="宋体" w:cs="宋体"/>
          <w:color w:val="auto"/>
          <w:sz w:val="21"/>
          <w:highlight w:val="none"/>
        </w:rPr>
      </w:pPr>
      <w:r>
        <w:rPr>
          <w:rFonts w:hint="eastAsia" w:ascii="宋体" w:hAnsi="宋体" w:eastAsia="宋体" w:cs="宋体"/>
          <w:color w:val="auto"/>
          <w:sz w:val="21"/>
          <w:highlight w:val="none"/>
        </w:rPr>
        <w:t>1、本项目</w:t>
      </w:r>
      <w:r>
        <w:rPr>
          <w:rFonts w:hint="eastAsia" w:ascii="宋体" w:hAnsi="宋体" w:eastAsia="宋体" w:cs="宋体"/>
          <w:b/>
          <w:bCs/>
          <w:color w:val="auto"/>
          <w:sz w:val="21"/>
          <w:highlight w:val="none"/>
          <w:u w:val="single"/>
        </w:rPr>
        <w:t>非</w:t>
      </w:r>
      <w:r>
        <w:rPr>
          <w:rFonts w:hint="eastAsia" w:ascii="宋体" w:hAnsi="宋体" w:eastAsia="宋体" w:cs="宋体"/>
          <w:color w:val="auto"/>
          <w:sz w:val="21"/>
          <w:highlight w:val="none"/>
        </w:rPr>
        <w:t>专门面向中小企业采购。</w:t>
      </w:r>
    </w:p>
    <w:p>
      <w:pPr>
        <w:pStyle w:val="2"/>
        <w:spacing w:after="0"/>
        <w:ind w:firstLine="420"/>
        <w:rPr>
          <w:rFonts w:ascii="宋体" w:hAnsi="宋体" w:eastAsia="宋体" w:cs="宋体"/>
          <w:color w:val="auto"/>
          <w:sz w:val="21"/>
          <w:highlight w:val="none"/>
        </w:rPr>
      </w:pPr>
      <w:r>
        <w:rPr>
          <w:rFonts w:hint="eastAsia" w:ascii="宋体" w:hAnsi="宋体" w:eastAsia="宋体" w:cs="宋体"/>
          <w:color w:val="auto"/>
          <w:sz w:val="21"/>
          <w:highlight w:val="none"/>
        </w:rPr>
        <w:t>2、本项目对应的中小企业划分标准所属行业：</w:t>
      </w:r>
      <w:r>
        <w:rPr>
          <w:rFonts w:hint="eastAsia" w:ascii="宋体" w:hAnsi="宋体" w:eastAsia="宋体" w:cs="宋体"/>
          <w:b/>
          <w:bCs/>
          <w:color w:val="auto"/>
          <w:sz w:val="21"/>
          <w:highlight w:val="none"/>
          <w:u w:val="single"/>
        </w:rPr>
        <w:t>软件和信息技术服务业</w:t>
      </w:r>
      <w:r>
        <w:rPr>
          <w:rFonts w:hint="eastAsia" w:ascii="宋体" w:hAnsi="宋体" w:eastAsia="宋体" w:cs="宋体"/>
          <w:color w:val="auto"/>
          <w:sz w:val="21"/>
          <w:highlight w:val="none"/>
        </w:rPr>
        <w:t xml:space="preserve">。 </w:t>
      </w:r>
    </w:p>
    <w:p>
      <w:pPr>
        <w:widowControl/>
        <w:ind w:firstLine="420"/>
        <w:jc w:val="left"/>
        <w:rPr>
          <w:rFonts w:ascii="宋体" w:hAnsi="宋体" w:cs="宋体"/>
          <w:color w:val="auto"/>
          <w:szCs w:val="21"/>
          <w:highlight w:val="none"/>
          <w:lang w:bidi="ar"/>
        </w:rPr>
      </w:pPr>
      <w:r>
        <w:rPr>
          <w:rFonts w:hint="eastAsia" w:ascii="宋体" w:hAnsi="宋体" w:cs="宋体"/>
          <w:color w:val="auto"/>
          <w:szCs w:val="21"/>
          <w:highlight w:val="none"/>
          <w:lang w:bidi="ar"/>
        </w:rPr>
        <w:t>3、小微企业是指中华人民共和国境内依法设立，依据国务院批准的中小企业划分标准确定的小型企业和微型企业，但与大企业的负责人为同一人，或者与大企业存在直接控股、管理关系的除外。</w:t>
      </w:r>
    </w:p>
    <w:p>
      <w:pPr>
        <w:widowControl/>
        <w:ind w:firstLine="420"/>
        <w:jc w:val="left"/>
        <w:rPr>
          <w:rFonts w:ascii="宋体" w:hAnsi="宋体" w:cs="宋体"/>
          <w:color w:val="auto"/>
          <w:szCs w:val="21"/>
          <w:highlight w:val="none"/>
          <w:lang w:bidi="ar"/>
        </w:rPr>
      </w:pPr>
      <w:r>
        <w:rPr>
          <w:rFonts w:hint="eastAsia" w:ascii="宋体" w:hAnsi="宋体" w:cs="宋体"/>
          <w:color w:val="auto"/>
          <w:szCs w:val="21"/>
          <w:highlight w:val="none"/>
          <w:lang w:bidi="ar"/>
        </w:rPr>
        <w:t>符合中小企业划分标准的个体工商户，在政府采购活动中视同中小企业。</w:t>
      </w:r>
    </w:p>
    <w:p>
      <w:pPr>
        <w:widowControl/>
        <w:ind w:firstLine="420"/>
        <w:jc w:val="left"/>
        <w:rPr>
          <w:rFonts w:ascii="宋体" w:hAnsi="宋体" w:cs="宋体"/>
          <w:color w:val="auto"/>
          <w:szCs w:val="21"/>
          <w:highlight w:val="none"/>
          <w:lang w:bidi="ar"/>
        </w:rPr>
      </w:pPr>
      <w:r>
        <w:rPr>
          <w:rFonts w:hint="eastAsia" w:ascii="宋体" w:hAnsi="宋体" w:cs="宋体"/>
          <w:color w:val="auto"/>
          <w:szCs w:val="21"/>
          <w:highlight w:val="none"/>
          <w:lang w:bidi="ar"/>
        </w:rPr>
        <w:t>国务院批准的中小企业划分标准：具体见工信部联企业[2011]300号。</w:t>
      </w:r>
    </w:p>
    <w:p>
      <w:pPr>
        <w:widowControl/>
        <w:ind w:firstLine="420"/>
        <w:jc w:val="left"/>
        <w:rPr>
          <w:rFonts w:ascii="宋体" w:hAnsi="宋体" w:cs="宋体"/>
          <w:color w:val="auto"/>
          <w:szCs w:val="21"/>
          <w:highlight w:val="none"/>
          <w:lang w:bidi="ar"/>
        </w:rPr>
      </w:pPr>
      <w:r>
        <w:rPr>
          <w:rFonts w:hint="eastAsia" w:ascii="宋体" w:hAnsi="宋体" w:cs="宋体"/>
          <w:color w:val="auto"/>
          <w:szCs w:val="21"/>
          <w:highlight w:val="none"/>
          <w:lang w:bidi="ar"/>
        </w:rPr>
        <w:t>4、在政府采购活动中，供应商提供的货物、工程或者服务符合下列情形的，可享受小型、微型企业（以下简称小微企业）的价格扣除：</w:t>
      </w:r>
    </w:p>
    <w:p>
      <w:pPr>
        <w:widowControl/>
        <w:ind w:firstLine="420"/>
        <w:jc w:val="left"/>
        <w:rPr>
          <w:rFonts w:ascii="宋体" w:hAnsi="宋体" w:cs="宋体"/>
          <w:color w:val="auto"/>
          <w:szCs w:val="21"/>
          <w:highlight w:val="none"/>
          <w:lang w:bidi="ar"/>
        </w:rPr>
      </w:pPr>
      <w:r>
        <w:rPr>
          <w:rFonts w:hint="eastAsia" w:ascii="宋体" w:hAnsi="宋体" w:cs="宋体"/>
          <w:color w:val="auto"/>
          <w:szCs w:val="21"/>
          <w:highlight w:val="none"/>
          <w:lang w:bidi="ar"/>
        </w:rPr>
        <w:t>（1）在货物采购项目中，货物由小微企业制造，即货物由小微企业生产且使用该小微企业商号或者注册商标；</w:t>
      </w:r>
    </w:p>
    <w:p>
      <w:pPr>
        <w:widowControl/>
        <w:ind w:firstLine="420"/>
        <w:jc w:val="left"/>
        <w:rPr>
          <w:rFonts w:ascii="宋体" w:hAnsi="宋体" w:cs="宋体"/>
          <w:color w:val="auto"/>
          <w:szCs w:val="21"/>
          <w:highlight w:val="none"/>
          <w:lang w:bidi="ar"/>
        </w:rPr>
      </w:pPr>
      <w:r>
        <w:rPr>
          <w:rFonts w:hint="eastAsia" w:ascii="宋体" w:hAnsi="宋体" w:cs="宋体"/>
          <w:color w:val="auto"/>
          <w:szCs w:val="21"/>
          <w:highlight w:val="none"/>
          <w:lang w:bidi="ar"/>
        </w:rPr>
        <w:t>（2）在工程采购项目中，工程由小微企业承建，即工程施工单位为小微企业；</w:t>
      </w:r>
    </w:p>
    <w:p>
      <w:pPr>
        <w:widowControl/>
        <w:ind w:firstLine="420"/>
        <w:jc w:val="left"/>
        <w:rPr>
          <w:rFonts w:ascii="宋体" w:hAnsi="宋体" w:cs="宋体"/>
          <w:color w:val="auto"/>
          <w:szCs w:val="21"/>
          <w:highlight w:val="none"/>
          <w:lang w:bidi="ar"/>
        </w:rPr>
      </w:pPr>
      <w:r>
        <w:rPr>
          <w:rFonts w:hint="eastAsia" w:ascii="宋体" w:hAnsi="宋体" w:cs="宋体"/>
          <w:color w:val="auto"/>
          <w:szCs w:val="21"/>
          <w:highlight w:val="none"/>
          <w:lang w:bidi="ar"/>
        </w:rPr>
        <w:t>（3）在服务采购项目中，服务由小微企业承接，即提供服务的人员为小微企业依照《中华人民共和国劳动合同法》订立劳动合同的从业人员。</w:t>
      </w:r>
    </w:p>
    <w:p>
      <w:pPr>
        <w:widowControl/>
        <w:ind w:firstLine="420"/>
        <w:jc w:val="left"/>
        <w:rPr>
          <w:rFonts w:ascii="宋体" w:hAnsi="宋体" w:cs="宋体"/>
          <w:color w:val="auto"/>
          <w:szCs w:val="21"/>
          <w:highlight w:val="none"/>
          <w:lang w:bidi="ar"/>
        </w:rPr>
      </w:pPr>
      <w:r>
        <w:rPr>
          <w:rFonts w:hint="eastAsia" w:ascii="宋体" w:hAnsi="宋体" w:cs="宋体"/>
          <w:color w:val="auto"/>
          <w:szCs w:val="21"/>
          <w:highlight w:val="none"/>
          <w:lang w:bidi="ar"/>
        </w:rPr>
        <w:t>以联合体形式参加政府采购活动，联合体各方均为小微企业的，联合体视同小微企业。</w:t>
      </w:r>
    </w:p>
    <w:p>
      <w:pPr>
        <w:widowControl/>
        <w:ind w:firstLine="420"/>
        <w:jc w:val="left"/>
        <w:rPr>
          <w:rFonts w:ascii="宋体" w:hAnsi="宋体" w:cs="宋体"/>
          <w:color w:val="auto"/>
          <w:szCs w:val="21"/>
          <w:highlight w:val="none"/>
          <w:lang w:bidi="ar"/>
        </w:rPr>
      </w:pPr>
      <w:r>
        <w:rPr>
          <w:rFonts w:hint="eastAsia" w:ascii="宋体" w:hAnsi="宋体" w:cs="宋体"/>
          <w:color w:val="auto"/>
          <w:szCs w:val="21"/>
          <w:highlight w:val="none"/>
          <w:lang w:bidi="ar"/>
        </w:rPr>
        <w:t>5、在货物采购项目中，供应商提供的货物既有中小企业制造货物，也有大型企业制造货物的，不享受的小微企业价格扣除。</w:t>
      </w:r>
    </w:p>
    <w:p>
      <w:pPr>
        <w:widowControl/>
        <w:ind w:firstLine="420"/>
        <w:jc w:val="left"/>
        <w:rPr>
          <w:rFonts w:ascii="宋体" w:hAnsi="宋体" w:cs="宋体"/>
          <w:color w:val="auto"/>
          <w:szCs w:val="21"/>
          <w:highlight w:val="none"/>
          <w:lang w:bidi="ar"/>
        </w:rPr>
      </w:pPr>
      <w:r>
        <w:rPr>
          <w:rFonts w:hint="eastAsia" w:ascii="宋体" w:hAnsi="宋体" w:cs="宋体"/>
          <w:color w:val="auto"/>
          <w:szCs w:val="21"/>
          <w:highlight w:val="none"/>
          <w:lang w:bidi="ar"/>
        </w:rPr>
        <w:t>6、本项目对符合《政府采购促进中小企业发展管理办法》（财库[2020</w:t>
      </w:r>
      <w:r>
        <w:rPr>
          <w:rFonts w:hint="eastAsia" w:ascii="宋体" w:hAnsi="宋体" w:cs="宋体"/>
          <w:color w:val="auto"/>
          <w:highlight w:val="none"/>
        </w:rPr>
        <w:t>]</w:t>
      </w:r>
      <w:r>
        <w:rPr>
          <w:rFonts w:hint="eastAsia" w:ascii="宋体" w:hAnsi="宋体" w:cs="宋体"/>
          <w:color w:val="auto"/>
          <w:szCs w:val="21"/>
          <w:highlight w:val="none"/>
          <w:lang w:bidi="ar"/>
        </w:rPr>
        <w:t>46号）规定的小微企业报价给予6%（工程项目为3%）的扣除，用扣除后的价格参加评审。</w:t>
      </w:r>
    </w:p>
    <w:p>
      <w:pPr>
        <w:widowControl/>
        <w:ind w:firstLine="420"/>
        <w:jc w:val="left"/>
        <w:rPr>
          <w:rFonts w:ascii="宋体" w:hAnsi="宋体" w:cs="宋体"/>
          <w:color w:val="auto"/>
          <w:szCs w:val="21"/>
          <w:highlight w:val="none"/>
          <w:lang w:bidi="ar"/>
        </w:rPr>
      </w:pPr>
      <w:r>
        <w:rPr>
          <w:rFonts w:hint="eastAsia" w:ascii="宋体" w:hAnsi="宋体" w:cs="宋体"/>
          <w:color w:val="auto"/>
          <w:szCs w:val="21"/>
          <w:highlight w:val="none"/>
          <w:lang w:bidi="ar"/>
        </w:rPr>
        <w:t>接受大中型企业与小微企业组成联合体或者允许大中型企业向一家或者多家小微企业分包的采购项目，对于联合协议或者分包意向协议约定小微企业的合同份额占到合同总金额 30%以上的，对联合体或者大中型企业的报价给予 2%（工程项目为 1%）的扣除，用扣除后的价格参加评审。组成联合体或者接受分包的小微企业与联合体内其他企业、分包企业之间存在直接控股、管理关系的，不享受价格扣除优惠政策。</w:t>
      </w:r>
    </w:p>
    <w:p>
      <w:pPr>
        <w:widowControl/>
        <w:ind w:firstLine="420"/>
        <w:jc w:val="left"/>
        <w:rPr>
          <w:rFonts w:ascii="宋体" w:hAnsi="宋体" w:cs="宋体"/>
          <w:color w:val="auto"/>
          <w:szCs w:val="21"/>
          <w:highlight w:val="none"/>
          <w:lang w:bidi="ar"/>
        </w:rPr>
      </w:pPr>
      <w:r>
        <w:rPr>
          <w:rFonts w:hint="eastAsia" w:ascii="宋体" w:hAnsi="宋体" w:cs="宋体"/>
          <w:color w:val="auto"/>
          <w:szCs w:val="21"/>
          <w:highlight w:val="none"/>
          <w:lang w:bidi="ar"/>
        </w:rPr>
        <w:t>7、小微企业应按照招标文件格式要求提供《中小企业声明函》。</w:t>
      </w:r>
    </w:p>
    <w:p>
      <w:pPr>
        <w:widowControl/>
        <w:ind w:firstLine="420"/>
        <w:jc w:val="left"/>
        <w:rPr>
          <w:rFonts w:ascii="宋体" w:hAnsi="宋体" w:cs="宋体"/>
          <w:color w:val="auto"/>
          <w:szCs w:val="21"/>
          <w:highlight w:val="none"/>
          <w:lang w:bidi="ar"/>
        </w:rPr>
      </w:pPr>
      <w:r>
        <w:rPr>
          <w:rFonts w:hint="eastAsia" w:ascii="宋体" w:hAnsi="宋体" w:cs="宋体"/>
          <w:color w:val="auto"/>
          <w:szCs w:val="21"/>
          <w:highlight w:val="none"/>
          <w:lang w:bidi="ar"/>
        </w:rPr>
        <w:t>8、根据《财政部司法部关于政府采购支持监狱企业发展有关问题的通知》（财库〔2014〕68号）规定，监狱企业视同小型、微型企业。监狱企业参加政府采购活动时，应当提供由省级以上监狱管理局、戒毒管理局（含新疆生产建设兵团）出具的属于监狱企业的证明文件。</w:t>
      </w:r>
    </w:p>
    <w:p>
      <w:pPr>
        <w:widowControl/>
        <w:ind w:firstLine="420"/>
        <w:jc w:val="left"/>
        <w:rPr>
          <w:rFonts w:ascii="宋体" w:hAnsi="宋体" w:cs="宋体"/>
          <w:color w:val="auto"/>
          <w:szCs w:val="21"/>
          <w:highlight w:val="none"/>
          <w:lang w:bidi="ar"/>
        </w:rPr>
      </w:pPr>
      <w:r>
        <w:rPr>
          <w:rFonts w:hint="eastAsia" w:ascii="宋体" w:hAnsi="宋体" w:cs="宋体"/>
          <w:color w:val="auto"/>
          <w:szCs w:val="21"/>
          <w:highlight w:val="none"/>
          <w:lang w:bidi="ar"/>
        </w:rPr>
        <w:t>9、根据《关于促进残疾人就业政府采购政策的通知》（财库[2017]141号）规定，在政府采购活动中，残疾人福利性单位视同小型、微型企业。残疾人福利性单位参加政府采购活动时，提供《残疾人福利性单位声明函》。</w:t>
      </w:r>
    </w:p>
    <w:p>
      <w:pPr>
        <w:widowControl/>
        <w:ind w:firstLine="420"/>
        <w:jc w:val="left"/>
        <w:rPr>
          <w:rFonts w:ascii="宋体" w:hAnsi="宋体" w:cs="宋体"/>
          <w:color w:val="auto"/>
          <w:szCs w:val="21"/>
          <w:highlight w:val="none"/>
          <w:lang w:bidi="ar"/>
        </w:rPr>
      </w:pPr>
      <w:r>
        <w:rPr>
          <w:rFonts w:hint="eastAsia" w:ascii="宋体" w:hAnsi="宋体" w:cs="宋体"/>
          <w:color w:val="auto"/>
          <w:szCs w:val="21"/>
          <w:highlight w:val="none"/>
          <w:lang w:bidi="ar"/>
        </w:rPr>
        <w:t>10、按规定享受扶持政策获得政府采购合同的，小微企业不得将合同分包给大中型企业，中型企业不得将合同分包给大型企业。</w:t>
      </w:r>
    </w:p>
    <w:p>
      <w:pPr>
        <w:widowControl/>
        <w:ind w:firstLine="420"/>
        <w:jc w:val="left"/>
        <w:rPr>
          <w:rFonts w:ascii="宋体" w:hAnsi="宋体" w:cs="宋体"/>
          <w:color w:val="auto"/>
          <w:szCs w:val="21"/>
          <w:highlight w:val="none"/>
          <w:lang w:bidi="ar"/>
        </w:rPr>
      </w:pPr>
      <w:r>
        <w:rPr>
          <w:rFonts w:hint="eastAsia" w:ascii="宋体" w:hAnsi="宋体" w:cs="宋体"/>
          <w:color w:val="auto"/>
          <w:szCs w:val="21"/>
          <w:highlight w:val="none"/>
          <w:lang w:bidi="ar"/>
        </w:rPr>
        <w:t>11、供应商按照《政府采购促进中小企业发展管理办法》（财库[2020]46号）规定提供声明函内容不实的，属于提供虚假材料谋取中标、成交，依照《中华人民共和国政府采购法》等国家有关规定追究相应责任。</w:t>
      </w:r>
    </w:p>
    <w:p>
      <w:pPr>
        <w:pStyle w:val="3"/>
        <w:ind w:firstLine="422"/>
        <w:rPr>
          <w:rFonts w:ascii="宋体" w:hAnsi="宋体" w:cs="宋体"/>
          <w:color w:val="auto"/>
          <w:highlight w:val="none"/>
        </w:rPr>
      </w:pPr>
      <w:r>
        <w:rPr>
          <w:rFonts w:hint="eastAsia" w:ascii="宋体" w:hAnsi="宋体" w:cs="宋体"/>
          <w:color w:val="auto"/>
          <w:sz w:val="21"/>
          <w:szCs w:val="21"/>
          <w:highlight w:val="none"/>
        </w:rPr>
        <w:br w:type="page"/>
      </w:r>
      <w:bookmarkStart w:id="1731" w:name="_Toc9509"/>
      <w:bookmarkStart w:id="1732" w:name="_Toc12509"/>
      <w:bookmarkStart w:id="1733" w:name="_Toc23836"/>
      <w:bookmarkStart w:id="1734" w:name="_Toc21381"/>
      <w:bookmarkStart w:id="1735" w:name="_Toc476216620"/>
      <w:bookmarkStart w:id="1736" w:name="_Toc17390"/>
      <w:bookmarkStart w:id="1737" w:name="_Toc25561"/>
      <w:bookmarkStart w:id="1738" w:name="_Toc17769"/>
      <w:bookmarkStart w:id="1739" w:name="_Toc22330"/>
      <w:bookmarkStart w:id="1740" w:name="_Toc373"/>
      <w:bookmarkStart w:id="1741" w:name="_Toc14540"/>
      <w:bookmarkStart w:id="1742" w:name="_Toc21181"/>
      <w:bookmarkStart w:id="1743" w:name="_Toc476216659"/>
      <w:bookmarkStart w:id="1744" w:name="_Toc30386"/>
      <w:r>
        <w:rPr>
          <w:rFonts w:hint="eastAsia" w:ascii="宋体" w:hAnsi="宋体" w:cs="宋体"/>
          <w:color w:val="auto"/>
          <w:highlight w:val="none"/>
        </w:rPr>
        <w:t>第四章  评标办法及评分标准</w:t>
      </w:r>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p>
    <w:p>
      <w:pPr>
        <w:pStyle w:val="24"/>
        <w:ind w:firstLine="422" w:firstLineChars="200"/>
        <w:rPr>
          <w:rFonts w:ascii="宋体" w:eastAsia="宋体" w:cs="宋体"/>
          <w:color w:val="auto"/>
          <w:sz w:val="21"/>
          <w:szCs w:val="21"/>
          <w:highlight w:val="none"/>
        </w:rPr>
      </w:pPr>
      <w:r>
        <w:rPr>
          <w:rFonts w:hint="eastAsia" w:ascii="宋体" w:eastAsia="宋体" w:cs="宋体"/>
          <w:color w:val="auto"/>
          <w:sz w:val="21"/>
          <w:szCs w:val="21"/>
          <w:highlight w:val="none"/>
        </w:rPr>
        <w:t>本办法严格遵照《中华人民共和国政府采购法》、《中华人民共和国政府采购法实施条例》、《政府采购货物和服务招标投标管理办法》，结合项目所在地政府有关政府采购规定和项目的实际情况制定。</w:t>
      </w:r>
    </w:p>
    <w:p>
      <w:pPr>
        <w:ind w:firstLine="422"/>
        <w:rPr>
          <w:rFonts w:ascii="宋体" w:hAnsi="宋体" w:cs="宋体"/>
          <w:b/>
          <w:bCs/>
          <w:color w:val="auto"/>
          <w:szCs w:val="21"/>
          <w:highlight w:val="none"/>
        </w:rPr>
      </w:pPr>
      <w:r>
        <w:rPr>
          <w:rFonts w:hint="eastAsia" w:ascii="宋体" w:hAnsi="宋体" w:cs="宋体"/>
          <w:b/>
          <w:bCs/>
          <w:color w:val="auto"/>
          <w:szCs w:val="21"/>
          <w:highlight w:val="none"/>
        </w:rPr>
        <w:t>一. 总则</w:t>
      </w:r>
    </w:p>
    <w:p>
      <w:pPr>
        <w:ind w:firstLine="420"/>
        <w:rPr>
          <w:rFonts w:ascii="宋体" w:hAnsi="宋体" w:cs="宋体"/>
          <w:color w:val="auto"/>
          <w:szCs w:val="21"/>
          <w:highlight w:val="none"/>
        </w:rPr>
      </w:pPr>
      <w:r>
        <w:rPr>
          <w:rFonts w:hint="eastAsia" w:ascii="宋体" w:hAnsi="宋体" w:cs="宋体"/>
          <w:color w:val="auto"/>
          <w:szCs w:val="21"/>
          <w:highlight w:val="none"/>
        </w:rPr>
        <w:t>招标活动遵循公平、公正、科学、择优的原则依法进行，招标活动及当事人接受依法实施的监督。本次招标采用综合评分法。</w:t>
      </w:r>
    </w:p>
    <w:p>
      <w:pPr>
        <w:ind w:firstLine="422"/>
        <w:rPr>
          <w:rFonts w:ascii="宋体" w:hAnsi="宋体" w:cs="宋体"/>
          <w:b/>
          <w:bCs/>
          <w:color w:val="auto"/>
          <w:szCs w:val="21"/>
          <w:highlight w:val="none"/>
        </w:rPr>
      </w:pPr>
      <w:r>
        <w:rPr>
          <w:rFonts w:hint="eastAsia" w:ascii="宋体" w:hAnsi="宋体" w:cs="宋体"/>
          <w:b/>
          <w:bCs/>
          <w:color w:val="auto"/>
          <w:szCs w:val="21"/>
          <w:highlight w:val="none"/>
        </w:rPr>
        <w:t>二. 评标组织</w:t>
      </w:r>
    </w:p>
    <w:p>
      <w:pPr>
        <w:ind w:firstLine="420"/>
        <w:rPr>
          <w:rFonts w:ascii="宋体" w:hAnsi="宋体" w:cs="宋体"/>
          <w:color w:val="auto"/>
          <w:szCs w:val="21"/>
          <w:highlight w:val="none"/>
        </w:rPr>
      </w:pPr>
      <w:r>
        <w:rPr>
          <w:rFonts w:hint="eastAsia" w:ascii="宋体" w:hAnsi="宋体" w:cs="宋体"/>
          <w:color w:val="auto"/>
          <w:szCs w:val="21"/>
          <w:highlight w:val="none"/>
        </w:rPr>
        <w:t>评标委员会：采购人和采购机构根据采购项目的内容特点按照规定组建评标委员会。评标委员会由采购人、技术、经济方面专家等有关人员组成。</w:t>
      </w:r>
    </w:p>
    <w:p>
      <w:pPr>
        <w:ind w:firstLine="422"/>
        <w:rPr>
          <w:rFonts w:ascii="宋体" w:hAnsi="宋体" w:cs="宋体"/>
          <w:b/>
          <w:bCs/>
          <w:color w:val="auto"/>
          <w:szCs w:val="21"/>
          <w:highlight w:val="none"/>
        </w:rPr>
      </w:pPr>
      <w:r>
        <w:rPr>
          <w:rFonts w:hint="eastAsia" w:ascii="宋体" w:hAnsi="宋体" w:cs="宋体"/>
          <w:b/>
          <w:bCs/>
          <w:color w:val="auto"/>
          <w:szCs w:val="21"/>
          <w:highlight w:val="none"/>
        </w:rPr>
        <w:t>三. 评标程序</w:t>
      </w:r>
    </w:p>
    <w:p>
      <w:pPr>
        <w:ind w:firstLine="420"/>
        <w:rPr>
          <w:rFonts w:ascii="宋体" w:hAnsi="宋体" w:cs="宋体"/>
          <w:color w:val="auto"/>
          <w:szCs w:val="21"/>
          <w:highlight w:val="none"/>
        </w:rPr>
      </w:pPr>
      <w:r>
        <w:rPr>
          <w:rFonts w:hint="eastAsia" w:ascii="宋体" w:hAnsi="宋体" w:cs="宋体"/>
          <w:color w:val="auto"/>
          <w:szCs w:val="21"/>
          <w:highlight w:val="none"/>
        </w:rPr>
        <w:t>1.采购机构按《招标文件》规定的时间、地点组织进行开标。投标人的法定代表人或全权授权代表应携带本人身份证出席开标会议，开标会议由采购机构组织，按《招标文件》的规定对投标人的基本情况进行审核。</w:t>
      </w:r>
    </w:p>
    <w:p>
      <w:pPr>
        <w:ind w:firstLine="420"/>
        <w:rPr>
          <w:rFonts w:ascii="宋体" w:hAnsi="宋体" w:cs="宋体"/>
          <w:color w:val="auto"/>
          <w:szCs w:val="21"/>
          <w:highlight w:val="none"/>
        </w:rPr>
      </w:pPr>
      <w:r>
        <w:rPr>
          <w:rFonts w:hint="eastAsia" w:ascii="宋体" w:hAnsi="宋体" w:cs="宋体"/>
          <w:color w:val="auto"/>
          <w:szCs w:val="21"/>
          <w:highlight w:val="none"/>
        </w:rPr>
        <w:t>2.本次公开招标报价文件、资格证明文件、商务技术文件同时开启，由唱标人公布投标人名称、投标内容、投标价格等以及采购机构认为合适的其他内容，并由记录人做开标记录。开标大会结束后，评标委员会根据《招标文件》规定对投标人的投标文件进行评审。对投标人表述不清的内容，评标委员会将向投标人进行询标，请其澄清其技术标内容。最终评标委员会对各投标人进行打分，并进行汇总。</w:t>
      </w:r>
    </w:p>
    <w:p>
      <w:pPr>
        <w:ind w:firstLine="420"/>
        <w:rPr>
          <w:rFonts w:ascii="宋体" w:hAnsi="宋体" w:cs="宋体"/>
          <w:color w:val="auto"/>
          <w:szCs w:val="21"/>
          <w:highlight w:val="none"/>
        </w:rPr>
      </w:pPr>
      <w:r>
        <w:rPr>
          <w:rFonts w:hint="eastAsia" w:ascii="宋体" w:hAnsi="宋体" w:cs="宋体"/>
          <w:color w:val="auto"/>
          <w:szCs w:val="21"/>
          <w:highlight w:val="none"/>
        </w:rPr>
        <w:t>3. 按照评标办法，评标委员会推荐中标候选人，最后在招标公告发布的网站上公布评标结果。</w:t>
      </w:r>
    </w:p>
    <w:p>
      <w:pPr>
        <w:ind w:firstLine="422"/>
        <w:rPr>
          <w:rFonts w:ascii="宋体" w:hAnsi="宋体" w:cs="宋体"/>
          <w:b/>
          <w:bCs/>
          <w:color w:val="auto"/>
          <w:szCs w:val="21"/>
          <w:highlight w:val="none"/>
        </w:rPr>
      </w:pPr>
      <w:r>
        <w:rPr>
          <w:rFonts w:hint="eastAsia" w:ascii="宋体" w:hAnsi="宋体" w:cs="宋体"/>
          <w:b/>
          <w:bCs/>
          <w:color w:val="auto"/>
          <w:szCs w:val="21"/>
          <w:highlight w:val="none"/>
        </w:rPr>
        <w:t>四. 评标过程</w:t>
      </w:r>
    </w:p>
    <w:p>
      <w:pPr>
        <w:pStyle w:val="24"/>
        <w:ind w:firstLine="420" w:firstLineChars="200"/>
        <w:rPr>
          <w:rFonts w:ascii="宋体" w:eastAsia="宋体" w:cs="宋体"/>
          <w:b w:val="0"/>
          <w:bCs w:val="0"/>
          <w:color w:val="auto"/>
          <w:sz w:val="21"/>
          <w:szCs w:val="21"/>
          <w:highlight w:val="none"/>
        </w:rPr>
      </w:pPr>
      <w:r>
        <w:rPr>
          <w:rFonts w:hint="eastAsia" w:ascii="宋体" w:eastAsia="宋体" w:cs="宋体"/>
          <w:b w:val="0"/>
          <w:bCs w:val="0"/>
          <w:color w:val="auto"/>
          <w:sz w:val="21"/>
          <w:szCs w:val="21"/>
          <w:highlight w:val="none"/>
        </w:rPr>
        <w:t>1.资格审查</w:t>
      </w:r>
    </w:p>
    <w:p>
      <w:pPr>
        <w:pStyle w:val="24"/>
        <w:ind w:firstLine="420" w:firstLineChars="200"/>
        <w:rPr>
          <w:rFonts w:ascii="宋体" w:eastAsia="宋体" w:cs="宋体"/>
          <w:b w:val="0"/>
          <w:bCs w:val="0"/>
          <w:color w:val="auto"/>
          <w:sz w:val="21"/>
          <w:szCs w:val="21"/>
          <w:highlight w:val="none"/>
        </w:rPr>
      </w:pPr>
      <w:r>
        <w:rPr>
          <w:rFonts w:hint="eastAsia" w:ascii="宋体" w:eastAsia="宋体" w:cs="宋体"/>
          <w:b w:val="0"/>
          <w:bCs w:val="0"/>
          <w:color w:val="auto"/>
          <w:sz w:val="21"/>
          <w:szCs w:val="21"/>
          <w:highlight w:val="none"/>
        </w:rPr>
        <w:t>采购人或者采购代理机构对投标人的资格进行审查。依据法律法规和招标文件的规定，对投标文件中的资格证明进行审查，以确定投标人是否具备投标资格。</w:t>
      </w:r>
    </w:p>
    <w:p>
      <w:pPr>
        <w:pStyle w:val="24"/>
        <w:spacing w:after="120"/>
        <w:ind w:firstLine="420" w:firstLineChars="200"/>
        <w:rPr>
          <w:rFonts w:ascii="宋体" w:eastAsia="宋体" w:cs="宋体"/>
          <w:b w:val="0"/>
          <w:bCs w:val="0"/>
          <w:color w:val="auto"/>
          <w:sz w:val="21"/>
          <w:szCs w:val="21"/>
          <w:highlight w:val="none"/>
        </w:rPr>
      </w:pPr>
      <w:r>
        <w:rPr>
          <w:rFonts w:hint="eastAsia" w:ascii="宋体" w:eastAsia="宋体" w:cs="宋体"/>
          <w:b w:val="0"/>
          <w:bCs w:val="0"/>
          <w:color w:val="auto"/>
          <w:sz w:val="21"/>
          <w:szCs w:val="21"/>
          <w:highlight w:val="none"/>
        </w:rPr>
        <w:t>2.符合性审查</w:t>
      </w:r>
    </w:p>
    <w:p>
      <w:pPr>
        <w:ind w:firstLine="420"/>
        <w:rPr>
          <w:rFonts w:ascii="宋体" w:hAnsi="宋体" w:cs="宋体"/>
          <w:color w:val="auto"/>
          <w:szCs w:val="21"/>
          <w:highlight w:val="none"/>
        </w:rPr>
      </w:pPr>
      <w:r>
        <w:rPr>
          <w:rFonts w:hint="eastAsia" w:ascii="宋体" w:hAnsi="宋体" w:cs="宋体"/>
          <w:color w:val="auto"/>
          <w:szCs w:val="21"/>
          <w:highlight w:val="none"/>
        </w:rPr>
        <w:t>依据招标文件的规定，从投标人的投标保证金、投标文件的有效性、完整性和对招标文件的响应程度进行审查，以确定是否对招标文件的实质性要求作出响应。</w:t>
      </w:r>
    </w:p>
    <w:p>
      <w:pPr>
        <w:pStyle w:val="24"/>
        <w:spacing w:after="120"/>
        <w:ind w:firstLine="473"/>
        <w:rPr>
          <w:rFonts w:ascii="宋体" w:eastAsia="宋体" w:cs="宋体"/>
          <w:color w:val="auto"/>
          <w:sz w:val="21"/>
          <w:szCs w:val="21"/>
          <w:highlight w:val="none"/>
        </w:rPr>
      </w:pPr>
      <w:r>
        <w:rPr>
          <w:rFonts w:hint="eastAsia" w:ascii="宋体" w:eastAsia="宋体" w:cs="宋体"/>
          <w:b w:val="0"/>
          <w:bCs w:val="0"/>
          <w:color w:val="auto"/>
          <w:sz w:val="21"/>
          <w:szCs w:val="21"/>
          <w:highlight w:val="none"/>
        </w:rPr>
        <w:t>3.澄清问题</w:t>
      </w:r>
    </w:p>
    <w:p>
      <w:pPr>
        <w:ind w:firstLine="420"/>
        <w:rPr>
          <w:rFonts w:ascii="宋体" w:hAnsi="宋体" w:cs="宋体"/>
          <w:color w:val="auto"/>
          <w:szCs w:val="21"/>
          <w:highlight w:val="none"/>
        </w:rPr>
      </w:pPr>
      <w:r>
        <w:rPr>
          <w:rFonts w:hint="eastAsia" w:ascii="宋体" w:hAnsi="宋体" w:cs="宋体"/>
          <w:color w:val="auto"/>
          <w:szCs w:val="21"/>
          <w:highlight w:val="none"/>
        </w:rPr>
        <w:t>对投标文件中含义不明确、同类问题表述不一致或者有明显文字和计算错误的内容，评标委员会要求投标人作出必要的澄清、说明或者纠正。投标人的澄清、说明或者补正应当采用书面形式，由其授权的代表签字，并不得超出投标文件的范围或者改变投标文件的实质性内容。</w:t>
      </w:r>
    </w:p>
    <w:p>
      <w:pPr>
        <w:pStyle w:val="24"/>
        <w:spacing w:after="120"/>
        <w:ind w:firstLine="473"/>
        <w:rPr>
          <w:rFonts w:ascii="宋体" w:eastAsia="宋体" w:cs="宋体"/>
          <w:b w:val="0"/>
          <w:bCs w:val="0"/>
          <w:color w:val="auto"/>
          <w:sz w:val="21"/>
          <w:szCs w:val="21"/>
          <w:highlight w:val="none"/>
        </w:rPr>
      </w:pPr>
      <w:r>
        <w:rPr>
          <w:rFonts w:hint="eastAsia" w:ascii="宋体" w:eastAsia="宋体" w:cs="宋体"/>
          <w:b w:val="0"/>
          <w:bCs w:val="0"/>
          <w:color w:val="auto"/>
          <w:sz w:val="21"/>
          <w:szCs w:val="21"/>
          <w:highlight w:val="none"/>
        </w:rPr>
        <w:t>4.详细评审</w:t>
      </w:r>
    </w:p>
    <w:p>
      <w:pPr>
        <w:ind w:firstLine="420"/>
        <w:rPr>
          <w:rFonts w:ascii="宋体" w:hAnsi="宋体" w:cs="宋体"/>
          <w:color w:val="auto"/>
          <w:szCs w:val="21"/>
          <w:highlight w:val="none"/>
        </w:rPr>
      </w:pPr>
      <w:r>
        <w:rPr>
          <w:rFonts w:hint="eastAsia" w:ascii="宋体" w:hAnsi="宋体" w:cs="宋体"/>
          <w:color w:val="auto"/>
          <w:szCs w:val="21"/>
          <w:highlight w:val="none"/>
        </w:rPr>
        <w:t>评标委员会对通过符合性审查的投标文件，依照本办法对技术、商务内容作进一步评审、比较。评标委员会成员经过阅标、审标和询标，对各投标人进行综合打分。</w:t>
      </w:r>
    </w:p>
    <w:p>
      <w:pPr>
        <w:ind w:firstLine="420"/>
        <w:rPr>
          <w:rFonts w:ascii="宋体" w:hAnsi="宋体" w:cs="宋体"/>
          <w:color w:val="auto"/>
          <w:szCs w:val="21"/>
          <w:highlight w:val="none"/>
        </w:rPr>
      </w:pPr>
      <w:r>
        <w:rPr>
          <w:rFonts w:hint="eastAsia" w:ascii="宋体" w:hAnsi="宋体" w:cs="宋体"/>
          <w:color w:val="auto"/>
          <w:szCs w:val="21"/>
          <w:highlight w:val="none"/>
        </w:rPr>
        <w:t>评委打分参照本部分附表：评分标准表。由各评标委员会成员打分，根据投标人的投标文件，进行独立打分。评委打分采用记名方式，取算术平均分（小数点后保留二位小数）。</w:t>
      </w:r>
    </w:p>
    <w:p>
      <w:pPr>
        <w:widowControl/>
        <w:ind w:firstLine="420"/>
        <w:jc w:val="left"/>
        <w:rPr>
          <w:rFonts w:ascii="宋体" w:hAnsi="宋体" w:cs="宋体"/>
          <w:color w:val="auto"/>
          <w:szCs w:val="21"/>
          <w:highlight w:val="none"/>
        </w:rPr>
      </w:pPr>
      <w:r>
        <w:rPr>
          <w:rFonts w:hint="eastAsia" w:ascii="宋体" w:hAnsi="宋体" w:cs="宋体"/>
          <w:color w:val="auto"/>
          <w:szCs w:val="21"/>
          <w:highlight w:val="none"/>
        </w:rPr>
        <w:t>注：评标委员会认为投标文件无效的，应组织相关投标人代表进行陈述、澄清或申辩。</w:t>
      </w:r>
    </w:p>
    <w:p>
      <w:pPr>
        <w:widowControl/>
        <w:ind w:firstLine="422"/>
        <w:rPr>
          <w:rFonts w:ascii="宋体" w:hAnsi="宋体" w:cs="宋体"/>
          <w:color w:val="auto"/>
          <w:szCs w:val="21"/>
          <w:highlight w:val="none"/>
        </w:rPr>
      </w:pPr>
      <w:r>
        <w:rPr>
          <w:rFonts w:hint="eastAsia" w:ascii="宋体" w:hAnsi="宋体" w:cs="宋体"/>
          <w:b/>
          <w:bCs/>
          <w:color w:val="auto"/>
          <w:szCs w:val="21"/>
          <w:highlight w:val="none"/>
        </w:rPr>
        <w:t>评标委员会认为投标人报价明显低于其它通过符合性审查投标人的报价，有可能影响产品质量或者不能诚信履约的，应当要求其在评标现场合理的时间内提供书面说明，必要时提供相关证明材料；投标人不能证明其报价合理性的，评标委员会应当将其作为无效标处理。</w:t>
      </w:r>
    </w:p>
    <w:p>
      <w:pPr>
        <w:widowControl/>
        <w:ind w:firstLine="420"/>
        <w:jc w:val="left"/>
        <w:rPr>
          <w:rFonts w:ascii="宋体" w:hAnsi="宋体" w:cs="宋体"/>
          <w:color w:val="auto"/>
          <w:szCs w:val="21"/>
          <w:highlight w:val="none"/>
        </w:rPr>
      </w:pPr>
      <w:r>
        <w:rPr>
          <w:rFonts w:hint="eastAsia" w:ascii="宋体" w:hAnsi="宋体" w:cs="宋体"/>
          <w:color w:val="auto"/>
          <w:szCs w:val="21"/>
          <w:highlight w:val="none"/>
        </w:rPr>
        <w:t>采购代理机构可协助评标委员会主任评委对打分结果进行校对、核对并汇总统计；对明显畸高、畸低的评分（其总评分偏离平均分30%以上的），评标委员会主任评委应提醒相关评标委员会成员进行复核或书面说明理由，评标委员会成员拒绝说明的，由现场监督员据实记录；评标委员会成员的评审、修改记录应保留原件，随项目其他资料一并存档。</w:t>
      </w:r>
    </w:p>
    <w:p>
      <w:pPr>
        <w:pStyle w:val="24"/>
        <w:ind w:firstLine="473"/>
        <w:rPr>
          <w:rFonts w:ascii="宋体" w:eastAsia="宋体" w:cs="宋体"/>
          <w:b w:val="0"/>
          <w:bCs w:val="0"/>
          <w:color w:val="auto"/>
          <w:sz w:val="21"/>
          <w:szCs w:val="21"/>
          <w:highlight w:val="none"/>
        </w:rPr>
      </w:pPr>
      <w:r>
        <w:rPr>
          <w:rFonts w:hint="eastAsia" w:ascii="宋体" w:eastAsia="宋体" w:cs="宋体"/>
          <w:b w:val="0"/>
          <w:bCs w:val="0"/>
          <w:color w:val="auto"/>
          <w:sz w:val="21"/>
          <w:szCs w:val="21"/>
          <w:highlight w:val="none"/>
        </w:rPr>
        <w:t>5.中标原则</w:t>
      </w:r>
    </w:p>
    <w:p>
      <w:pPr>
        <w:ind w:firstLine="422"/>
        <w:rPr>
          <w:rFonts w:ascii="宋体" w:hAnsi="宋体" w:cs="宋体"/>
          <w:b/>
          <w:color w:val="auto"/>
          <w:szCs w:val="21"/>
          <w:highlight w:val="none"/>
        </w:rPr>
      </w:pPr>
      <w:r>
        <w:rPr>
          <w:rFonts w:hint="eastAsia" w:ascii="宋体" w:hAnsi="宋体" w:cs="宋体"/>
          <w:b/>
          <w:color w:val="auto"/>
          <w:szCs w:val="21"/>
          <w:highlight w:val="none"/>
        </w:rPr>
        <w:t>评标委员会根据投标人的综合得分由高到低排定顺序，推荐综合得分最高的投标人为中标候选人。如出现综合得分相同的，价格分高者优先；价格分也相同的，由</w:t>
      </w:r>
      <w:r>
        <w:rPr>
          <w:rFonts w:hint="eastAsia" w:ascii="宋体" w:hAnsi="宋体" w:cs="宋体"/>
          <w:b/>
          <w:color w:val="auto"/>
          <w:szCs w:val="21"/>
          <w:highlight w:val="none"/>
        </w:rPr>
        <w:t>采购人</w:t>
      </w:r>
      <w:r>
        <w:rPr>
          <w:rFonts w:hint="eastAsia" w:ascii="宋体" w:hAnsi="宋体" w:cs="宋体"/>
          <w:b/>
          <w:color w:val="auto"/>
          <w:szCs w:val="21"/>
          <w:highlight w:val="none"/>
        </w:rPr>
        <w:t>代表抽签决定，先抽中者排名在前。</w:t>
      </w:r>
    </w:p>
    <w:p>
      <w:pPr>
        <w:pStyle w:val="24"/>
        <w:ind w:firstLine="473"/>
        <w:rPr>
          <w:rFonts w:ascii="宋体" w:eastAsia="宋体" w:cs="宋体"/>
          <w:b w:val="0"/>
          <w:bCs w:val="0"/>
          <w:color w:val="auto"/>
          <w:sz w:val="21"/>
          <w:szCs w:val="21"/>
          <w:highlight w:val="none"/>
        </w:rPr>
      </w:pPr>
      <w:r>
        <w:rPr>
          <w:rFonts w:hint="eastAsia" w:ascii="宋体" w:eastAsia="宋体" w:cs="宋体"/>
          <w:b w:val="0"/>
          <w:bCs w:val="0"/>
          <w:color w:val="auto"/>
          <w:sz w:val="21"/>
          <w:szCs w:val="21"/>
          <w:highlight w:val="none"/>
        </w:rPr>
        <w:t>6.中标结果</w:t>
      </w:r>
    </w:p>
    <w:p>
      <w:pPr>
        <w:ind w:firstLine="420"/>
        <w:rPr>
          <w:rFonts w:ascii="宋体" w:hAnsi="宋体" w:cs="宋体"/>
          <w:color w:val="auto"/>
          <w:szCs w:val="21"/>
          <w:highlight w:val="none"/>
        </w:rPr>
      </w:pPr>
      <w:r>
        <w:rPr>
          <w:rFonts w:hint="eastAsia" w:ascii="宋体" w:hAnsi="宋体" w:cs="宋体"/>
          <w:color w:val="auto"/>
          <w:szCs w:val="21"/>
          <w:highlight w:val="none"/>
        </w:rPr>
        <w:t>采购机构将中标结果在政府采购指定媒体上公示，根据公示和决标结果，向中标人发出中标通知书。</w:t>
      </w:r>
    </w:p>
    <w:p>
      <w:pPr>
        <w:ind w:firstLine="422" w:firstLineChars="0"/>
        <w:rPr>
          <w:rFonts w:ascii="宋体" w:hAnsi="宋体" w:cs="宋体"/>
          <w:b/>
          <w:bCs/>
          <w:color w:val="auto"/>
          <w:highlight w:val="none"/>
        </w:rPr>
      </w:pPr>
    </w:p>
    <w:p>
      <w:pPr>
        <w:ind w:firstLine="422" w:firstLineChars="0"/>
        <w:rPr>
          <w:rFonts w:ascii="宋体" w:hAnsi="宋体" w:cs="宋体"/>
          <w:b/>
          <w:bCs/>
          <w:color w:val="auto"/>
          <w:szCs w:val="21"/>
          <w:highlight w:val="none"/>
        </w:rPr>
      </w:pPr>
      <w:r>
        <w:rPr>
          <w:rFonts w:hint="eastAsia" w:ascii="宋体" w:hAnsi="宋体" w:cs="宋体"/>
          <w:b/>
          <w:bCs/>
          <w:color w:val="auto"/>
          <w:highlight w:val="none"/>
        </w:rPr>
        <w:t xml:space="preserve">五. </w:t>
      </w:r>
      <w:r>
        <w:rPr>
          <w:rFonts w:hint="eastAsia" w:ascii="宋体" w:hAnsi="宋体" w:cs="宋体"/>
          <w:b/>
          <w:bCs/>
          <w:color w:val="auto"/>
          <w:szCs w:val="21"/>
          <w:highlight w:val="none"/>
        </w:rPr>
        <w:t>评分标准表</w:t>
      </w:r>
    </w:p>
    <w:tbl>
      <w:tblPr>
        <w:tblStyle w:val="37"/>
        <w:tblW w:w="95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
        <w:gridCol w:w="1671"/>
        <w:gridCol w:w="6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924" w:type="dxa"/>
            <w:vAlign w:val="center"/>
          </w:tcPr>
          <w:p>
            <w:pPr>
              <w:ind w:firstLine="0" w:firstLineChars="0"/>
              <w:jc w:val="center"/>
              <w:rPr>
                <w:rFonts w:ascii="宋体" w:hAnsi="宋体" w:cs="宋体"/>
                <w:color w:val="auto"/>
                <w:szCs w:val="21"/>
                <w:highlight w:val="none"/>
              </w:rPr>
            </w:pPr>
            <w:bookmarkStart w:id="1745" w:name="_Hlk71364913"/>
            <w:r>
              <w:rPr>
                <w:rFonts w:hint="eastAsia" w:ascii="宋体" w:hAnsi="宋体" w:cs="宋体"/>
                <w:color w:val="auto"/>
                <w:szCs w:val="21"/>
                <w:highlight w:val="none"/>
              </w:rPr>
              <w:t>价</w:t>
            </w:r>
          </w:p>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格</w:t>
            </w:r>
          </w:p>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分</w:t>
            </w:r>
          </w:p>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12分</w:t>
            </w:r>
          </w:p>
        </w:tc>
        <w:tc>
          <w:tcPr>
            <w:tcW w:w="8609" w:type="dxa"/>
            <w:gridSpan w:val="2"/>
            <w:vAlign w:val="center"/>
          </w:tcPr>
          <w:p>
            <w:pPr>
              <w:ind w:firstLine="0" w:firstLineChars="0"/>
              <w:rPr>
                <w:rFonts w:ascii="宋体" w:hAnsi="宋体" w:cs="宋体"/>
                <w:color w:val="auto"/>
                <w:highlight w:val="none"/>
              </w:rPr>
            </w:pPr>
            <w:r>
              <w:rPr>
                <w:rFonts w:hint="eastAsia" w:ascii="宋体" w:hAnsi="宋体" w:cs="宋体"/>
                <w:color w:val="auto"/>
                <w:highlight w:val="none"/>
              </w:rPr>
              <w:t>参与评审的价格=投标报价-小微企业价格扣除优惠值6%（如有）</w:t>
            </w:r>
          </w:p>
          <w:p>
            <w:pPr>
              <w:ind w:firstLine="0" w:firstLineChars="0"/>
              <w:rPr>
                <w:rFonts w:ascii="宋体" w:hAnsi="宋体" w:cs="宋体"/>
                <w:color w:val="auto"/>
                <w:highlight w:val="none"/>
              </w:rPr>
            </w:pPr>
            <w:r>
              <w:rPr>
                <w:rFonts w:hint="eastAsia" w:ascii="宋体" w:hAnsi="宋体" w:cs="宋体"/>
                <w:color w:val="auto"/>
                <w:highlight w:val="none"/>
              </w:rPr>
              <w:t>满足招标文件要求且参与评审的价格最低的投标人的参与评审的价格为评标基准价，得满分12分，其他投标报价得分计算公式如下：</w:t>
            </w:r>
          </w:p>
          <w:p>
            <w:pPr>
              <w:ind w:firstLine="0" w:firstLineChars="0"/>
              <w:rPr>
                <w:rFonts w:ascii="宋体" w:hAnsi="宋体" w:cs="宋体"/>
                <w:color w:val="auto"/>
                <w:highlight w:val="none"/>
              </w:rPr>
            </w:pPr>
            <w:r>
              <w:rPr>
                <w:rFonts w:hint="eastAsia" w:ascii="宋体" w:hAnsi="宋体" w:cs="宋体"/>
                <w:color w:val="auto"/>
                <w:highlight w:val="none"/>
              </w:rPr>
              <w:t>投标报价得分=（评标基准价/参与评审的价格）×12%×100。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4" w:hRule="atLeast"/>
          <w:jc w:val="center"/>
        </w:trPr>
        <w:tc>
          <w:tcPr>
            <w:tcW w:w="924" w:type="dxa"/>
            <w:vMerge w:val="restart"/>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商务</w:t>
            </w:r>
          </w:p>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技术</w:t>
            </w:r>
          </w:p>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分</w:t>
            </w:r>
          </w:p>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87分</w:t>
            </w:r>
          </w:p>
        </w:tc>
        <w:tc>
          <w:tcPr>
            <w:tcW w:w="1671" w:type="dxa"/>
            <w:vAlign w:val="center"/>
          </w:tcPr>
          <w:p>
            <w:pPr>
              <w:ind w:firstLine="0" w:firstLineChars="0"/>
              <w:jc w:val="center"/>
              <w:rPr>
                <w:rFonts w:ascii="宋体" w:hAnsi="宋体" w:cs="宋体"/>
                <w:color w:val="auto"/>
                <w:highlight w:val="none"/>
              </w:rPr>
            </w:pPr>
            <w:r>
              <w:rPr>
                <w:rFonts w:hint="eastAsia" w:ascii="宋体" w:hAnsi="宋体" w:cs="宋体"/>
                <w:color w:val="auto"/>
                <w:highlight w:val="none"/>
              </w:rPr>
              <w:t>投标人实力</w:t>
            </w:r>
          </w:p>
          <w:p>
            <w:pPr>
              <w:ind w:firstLine="0" w:firstLineChars="0"/>
              <w:jc w:val="center"/>
              <w:rPr>
                <w:rFonts w:ascii="宋体" w:hAnsi="宋体" w:cs="宋体"/>
                <w:color w:val="auto"/>
                <w:highlight w:val="none"/>
              </w:rPr>
            </w:pPr>
            <w:r>
              <w:rPr>
                <w:rFonts w:hint="eastAsia" w:ascii="宋体" w:hAnsi="宋体" w:cs="宋体"/>
                <w:color w:val="auto"/>
                <w:highlight w:val="none"/>
              </w:rPr>
              <w:t>（4分）</w:t>
            </w:r>
          </w:p>
        </w:tc>
        <w:tc>
          <w:tcPr>
            <w:tcW w:w="6938" w:type="dxa"/>
            <w:vAlign w:val="center"/>
          </w:tcPr>
          <w:p>
            <w:pPr>
              <w:pStyle w:val="113"/>
              <w:spacing w:before="147"/>
              <w:ind w:firstLine="0" w:firstLineChars="0"/>
              <w:rPr>
                <w:bCs/>
                <w:color w:val="auto"/>
                <w:szCs w:val="21"/>
                <w:highlight w:val="none"/>
                <w:lang w:val="en-US" w:bidi="ar"/>
              </w:rPr>
            </w:pPr>
            <w:r>
              <w:rPr>
                <w:rFonts w:hint="eastAsia"/>
                <w:bCs/>
                <w:color w:val="auto"/>
                <w:szCs w:val="21"/>
                <w:highlight w:val="none"/>
                <w:lang w:val="en-US" w:bidi="ar"/>
              </w:rPr>
              <w:t>投标人具有信息安全服务资质（安全工程类）得2分；具有信息安全服务资质认证证书（信息系统安全集成）得1分；具有信息安全服务资质认证证书（信息系统安全运维）得1分。</w:t>
            </w:r>
          </w:p>
          <w:p>
            <w:pPr>
              <w:pStyle w:val="113"/>
              <w:spacing w:before="147"/>
              <w:ind w:firstLine="0" w:firstLineChars="0"/>
              <w:rPr>
                <w:color w:val="auto"/>
                <w:kern w:val="0"/>
                <w:szCs w:val="21"/>
                <w:highlight w:val="none"/>
              </w:rPr>
            </w:pPr>
            <w:r>
              <w:rPr>
                <w:rFonts w:hint="eastAsia"/>
                <w:b/>
                <w:color w:val="auto"/>
                <w:szCs w:val="21"/>
                <w:highlight w:val="none"/>
                <w:lang w:val="en-US" w:bidi="ar"/>
              </w:rPr>
              <w:t>投标文件中提供有效的第三方认证机构出具的资质认证证书复印件，并加盖投标人公章</w:t>
            </w:r>
            <w:r>
              <w:rPr>
                <w:rFonts w:hint="eastAsia"/>
                <w:b/>
                <w:bCs/>
                <w:color w:val="auto"/>
                <w:spacing w:val="-11"/>
                <w:highlight w:val="none"/>
              </w:rPr>
              <w:t>，</w:t>
            </w:r>
            <w:r>
              <w:rPr>
                <w:rFonts w:hint="eastAsia"/>
                <w:b/>
                <w:bCs/>
                <w:color w:val="auto"/>
                <w:spacing w:val="-11"/>
                <w:highlight w:val="none"/>
                <w:lang w:val="en-US"/>
              </w:rPr>
              <w:t>未提供不</w:t>
            </w:r>
            <w:r>
              <w:rPr>
                <w:rFonts w:hint="eastAsia"/>
                <w:b/>
                <w:bCs/>
                <w:color w:val="auto"/>
                <w:spacing w:val="-11"/>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924" w:type="dxa"/>
            <w:vMerge w:val="continue"/>
            <w:vAlign w:val="center"/>
          </w:tcPr>
          <w:p>
            <w:pPr>
              <w:ind w:firstLine="420" w:firstLineChars="0"/>
              <w:jc w:val="center"/>
              <w:rPr>
                <w:rFonts w:ascii="宋体" w:hAnsi="宋体" w:cs="宋体"/>
                <w:color w:val="auto"/>
                <w:szCs w:val="21"/>
                <w:highlight w:val="none"/>
              </w:rPr>
            </w:pPr>
          </w:p>
        </w:tc>
        <w:tc>
          <w:tcPr>
            <w:tcW w:w="1671" w:type="dxa"/>
            <w:vAlign w:val="center"/>
          </w:tcPr>
          <w:p>
            <w:pPr>
              <w:ind w:firstLine="0" w:firstLineChars="0"/>
              <w:jc w:val="center"/>
              <w:rPr>
                <w:rFonts w:ascii="宋体" w:hAnsi="宋体" w:cs="宋体"/>
                <w:color w:val="auto"/>
                <w:highlight w:val="none"/>
              </w:rPr>
            </w:pPr>
            <w:r>
              <w:rPr>
                <w:rFonts w:hint="eastAsia" w:ascii="宋体" w:hAnsi="宋体" w:cs="宋体"/>
                <w:color w:val="auto"/>
                <w:highlight w:val="none"/>
              </w:rPr>
              <w:t>荣誉奖项</w:t>
            </w:r>
          </w:p>
          <w:p>
            <w:pPr>
              <w:ind w:firstLine="0" w:firstLineChars="0"/>
              <w:jc w:val="center"/>
              <w:rPr>
                <w:rFonts w:ascii="宋体" w:hAnsi="宋体" w:cs="宋体"/>
                <w:color w:val="auto"/>
                <w:highlight w:val="none"/>
              </w:rPr>
            </w:pPr>
            <w:r>
              <w:rPr>
                <w:rFonts w:hint="eastAsia" w:ascii="宋体" w:hAnsi="宋体" w:cs="宋体"/>
                <w:color w:val="auto"/>
                <w:highlight w:val="none"/>
              </w:rPr>
              <w:t>（3分）</w:t>
            </w:r>
          </w:p>
        </w:tc>
        <w:tc>
          <w:tcPr>
            <w:tcW w:w="6938" w:type="dxa"/>
            <w:vAlign w:val="center"/>
          </w:tcPr>
          <w:p>
            <w:pPr>
              <w:widowControl/>
              <w:ind w:firstLine="0" w:firstLineChars="0"/>
              <w:rPr>
                <w:rFonts w:ascii="宋体" w:hAnsi="宋体" w:cs="宋体"/>
                <w:bCs/>
                <w:color w:val="auto"/>
                <w:szCs w:val="21"/>
                <w:highlight w:val="none"/>
                <w:lang w:bidi="ar"/>
              </w:rPr>
            </w:pPr>
            <w:r>
              <w:rPr>
                <w:rFonts w:hint="eastAsia" w:ascii="宋体" w:hAnsi="宋体" w:cs="宋体"/>
                <w:bCs/>
                <w:color w:val="auto"/>
                <w:szCs w:val="21"/>
                <w:highlight w:val="none"/>
                <w:lang w:bidi="ar"/>
              </w:rPr>
              <w:t>投标人在信息化、工业软件、信息安全等与本项目相关领域获得的国家或省部级奖项（需国家行政主管部门颁发），</w:t>
            </w:r>
            <w:r>
              <w:rPr>
                <w:rFonts w:hint="eastAsia" w:ascii="宋体" w:hAnsi="宋体" w:cs="宋体"/>
                <w:bCs/>
                <w:color w:val="auto"/>
                <w:szCs w:val="21"/>
                <w:highlight w:val="none"/>
                <w:lang w:bidi="ar"/>
              </w:rPr>
              <w:t>具有国家级荣誉2项（含）以上的得3分，具有国家级荣誉1项的得2分，具有省部级荣誉1项或以上的得1分，没有不得分。本项最高分为3分。</w:t>
            </w:r>
          </w:p>
          <w:p>
            <w:pPr>
              <w:widowControl/>
              <w:ind w:firstLine="0" w:firstLineChars="0"/>
              <w:rPr>
                <w:rFonts w:ascii="宋体" w:hAnsi="宋体" w:cs="宋体"/>
                <w:bCs/>
                <w:color w:val="auto"/>
                <w:szCs w:val="21"/>
                <w:highlight w:val="none"/>
                <w:lang w:bidi="ar"/>
              </w:rPr>
            </w:pPr>
            <w:r>
              <w:rPr>
                <w:rFonts w:hint="eastAsia" w:ascii="宋体" w:hAnsi="宋体" w:cs="宋体"/>
                <w:b/>
                <w:color w:val="auto"/>
                <w:szCs w:val="21"/>
                <w:highlight w:val="none"/>
                <w:lang w:bidi="ar"/>
              </w:rPr>
              <w:t>投标文件中提供荣誉证书或获奖证明材料复印件，并加盖投标人公章</w:t>
            </w:r>
            <w:r>
              <w:rPr>
                <w:rFonts w:hint="eastAsia" w:ascii="宋体" w:hAnsi="宋体" w:cs="宋体"/>
                <w:b/>
                <w:bCs/>
                <w:color w:val="auto"/>
                <w:spacing w:val="-11"/>
                <w:highlight w:val="none"/>
              </w:rPr>
              <w:t>，未提供不得分。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924" w:type="dxa"/>
            <w:vMerge w:val="continue"/>
            <w:vAlign w:val="center"/>
          </w:tcPr>
          <w:p>
            <w:pPr>
              <w:ind w:firstLine="420" w:firstLineChars="0"/>
              <w:jc w:val="center"/>
              <w:rPr>
                <w:rFonts w:ascii="宋体" w:hAnsi="宋体" w:cs="宋体"/>
                <w:color w:val="auto"/>
                <w:szCs w:val="21"/>
                <w:highlight w:val="none"/>
              </w:rPr>
            </w:pPr>
          </w:p>
        </w:tc>
        <w:tc>
          <w:tcPr>
            <w:tcW w:w="1671" w:type="dxa"/>
            <w:vAlign w:val="center"/>
          </w:tcPr>
          <w:p>
            <w:pPr>
              <w:ind w:firstLine="0" w:firstLineChars="0"/>
              <w:jc w:val="center"/>
              <w:rPr>
                <w:rFonts w:ascii="宋体" w:hAnsi="宋体" w:cs="宋体"/>
                <w:color w:val="auto"/>
                <w:highlight w:val="none"/>
              </w:rPr>
            </w:pPr>
            <w:r>
              <w:rPr>
                <w:rFonts w:hint="eastAsia" w:ascii="宋体" w:hAnsi="宋体" w:cs="宋体"/>
                <w:color w:val="auto"/>
                <w:highlight w:val="none"/>
              </w:rPr>
              <w:t>软件</w:t>
            </w:r>
            <w:r>
              <w:rPr>
                <w:rFonts w:hint="eastAsia" w:ascii="宋体" w:hAnsi="宋体" w:cs="宋体"/>
                <w:color w:val="auto"/>
                <w:highlight w:val="none"/>
                <w:lang w:bidi="ar"/>
              </w:rPr>
              <w:t>著作权证书</w:t>
            </w:r>
            <w:r>
              <w:rPr>
                <w:rFonts w:hint="eastAsia" w:ascii="宋体" w:hAnsi="宋体" w:cs="宋体"/>
                <w:color w:val="auto"/>
                <w:highlight w:val="none"/>
              </w:rPr>
              <w:t>（4分）</w:t>
            </w:r>
          </w:p>
        </w:tc>
        <w:tc>
          <w:tcPr>
            <w:tcW w:w="6938" w:type="dxa"/>
            <w:vAlign w:val="center"/>
          </w:tcPr>
          <w:p>
            <w:pPr>
              <w:widowControl/>
              <w:ind w:firstLine="0" w:firstLineChars="0"/>
              <w:rPr>
                <w:rFonts w:ascii="宋体" w:hAnsi="宋体" w:cs="宋体"/>
                <w:color w:val="auto"/>
                <w:kern w:val="0"/>
                <w:szCs w:val="21"/>
                <w:highlight w:val="none"/>
              </w:rPr>
            </w:pPr>
            <w:r>
              <w:rPr>
                <w:rFonts w:hint="eastAsia" w:ascii="宋体" w:hAnsi="宋体" w:cs="宋体"/>
                <w:color w:val="auto"/>
                <w:kern w:val="0"/>
                <w:szCs w:val="21"/>
                <w:highlight w:val="none"/>
              </w:rPr>
              <w:t>投标人具有安全、环保、能源、应急、隐患治理等</w:t>
            </w:r>
            <w:r>
              <w:rPr>
                <w:rFonts w:hint="eastAsia" w:ascii="宋体" w:hAnsi="宋体" w:cs="宋体"/>
                <w:color w:val="auto"/>
                <w:highlight w:val="none"/>
                <w:lang w:bidi="ar"/>
              </w:rPr>
              <w:t>相关软件著作权证书的</w:t>
            </w:r>
            <w:r>
              <w:rPr>
                <w:rFonts w:hint="eastAsia" w:ascii="宋体" w:hAnsi="宋体" w:cs="宋体"/>
                <w:color w:val="auto"/>
                <w:kern w:val="0"/>
                <w:szCs w:val="21"/>
                <w:highlight w:val="none"/>
              </w:rPr>
              <w:t>，1个得1分，本项最高4分。</w:t>
            </w:r>
          </w:p>
          <w:p>
            <w:pPr>
              <w:widowControl/>
              <w:ind w:firstLine="0" w:firstLineChars="0"/>
              <w:rPr>
                <w:rFonts w:ascii="宋体" w:hAnsi="宋体" w:cs="宋体"/>
                <w:color w:val="auto"/>
                <w:kern w:val="0"/>
                <w:szCs w:val="21"/>
                <w:highlight w:val="none"/>
              </w:rPr>
            </w:pPr>
            <w:r>
              <w:rPr>
                <w:rFonts w:hint="eastAsia" w:ascii="宋体" w:hAnsi="宋体" w:cs="宋体"/>
                <w:b/>
                <w:bCs/>
                <w:color w:val="auto"/>
                <w:kern w:val="0"/>
                <w:szCs w:val="21"/>
                <w:highlight w:val="none"/>
              </w:rPr>
              <w:t>投标文件中提供以上</w:t>
            </w:r>
            <w:r>
              <w:rPr>
                <w:rFonts w:hint="eastAsia" w:ascii="宋体" w:hAnsi="宋体" w:cs="宋体"/>
                <w:b/>
                <w:bCs/>
                <w:color w:val="auto"/>
                <w:highlight w:val="none"/>
                <w:lang w:bidi="ar"/>
              </w:rPr>
              <w:t>软件著作权证书</w:t>
            </w:r>
            <w:r>
              <w:rPr>
                <w:rFonts w:hint="eastAsia" w:ascii="宋体" w:hAnsi="宋体" w:cs="宋体"/>
                <w:b/>
                <w:bCs/>
                <w:color w:val="auto"/>
                <w:szCs w:val="21"/>
                <w:highlight w:val="none"/>
                <w:lang w:bidi="ar"/>
              </w:rPr>
              <w:t>复印件，并加盖投标人公章，未提供不得分。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924" w:type="dxa"/>
            <w:vMerge w:val="continue"/>
            <w:vAlign w:val="center"/>
          </w:tcPr>
          <w:p>
            <w:pPr>
              <w:ind w:firstLine="420" w:firstLineChars="0"/>
              <w:jc w:val="center"/>
              <w:rPr>
                <w:rFonts w:ascii="宋体" w:hAnsi="宋体" w:cs="宋体"/>
                <w:color w:val="auto"/>
                <w:szCs w:val="21"/>
                <w:highlight w:val="none"/>
              </w:rPr>
            </w:pPr>
          </w:p>
        </w:tc>
        <w:tc>
          <w:tcPr>
            <w:tcW w:w="1671" w:type="dxa"/>
            <w:vAlign w:val="center"/>
          </w:tcPr>
          <w:p>
            <w:pPr>
              <w:ind w:firstLine="0" w:firstLineChars="0"/>
              <w:jc w:val="center"/>
              <w:rPr>
                <w:rFonts w:ascii="宋体" w:hAnsi="宋体" w:cs="宋体"/>
                <w:color w:val="auto"/>
                <w:highlight w:val="none"/>
              </w:rPr>
            </w:pPr>
            <w:r>
              <w:rPr>
                <w:rFonts w:hint="eastAsia" w:ascii="宋体" w:hAnsi="宋体" w:cs="宋体"/>
                <w:color w:val="auto"/>
                <w:highlight w:val="none"/>
              </w:rPr>
              <w:t>业绩分</w:t>
            </w:r>
          </w:p>
          <w:p>
            <w:pPr>
              <w:ind w:firstLine="0" w:firstLineChars="0"/>
              <w:jc w:val="center"/>
              <w:rPr>
                <w:rFonts w:ascii="宋体" w:hAnsi="宋体" w:cs="宋体"/>
                <w:color w:val="auto"/>
                <w:highlight w:val="none"/>
              </w:rPr>
            </w:pPr>
            <w:r>
              <w:rPr>
                <w:rFonts w:hint="eastAsia" w:ascii="宋体" w:hAnsi="宋体" w:cs="宋体"/>
                <w:color w:val="auto"/>
                <w:highlight w:val="none"/>
              </w:rPr>
              <w:t>（3分）</w:t>
            </w:r>
          </w:p>
        </w:tc>
        <w:tc>
          <w:tcPr>
            <w:tcW w:w="6938" w:type="dxa"/>
            <w:vAlign w:val="center"/>
          </w:tcPr>
          <w:p>
            <w:pPr>
              <w:pStyle w:val="113"/>
              <w:tabs>
                <w:tab w:val="left" w:pos="268"/>
              </w:tabs>
              <w:spacing w:before="99"/>
              <w:ind w:right="91" w:firstLine="0" w:firstLineChars="0"/>
              <w:rPr>
                <w:color w:val="auto"/>
                <w:spacing w:val="-11"/>
                <w:highlight w:val="none"/>
              </w:rPr>
            </w:pPr>
            <w:r>
              <w:rPr>
                <w:rFonts w:hint="eastAsia"/>
                <w:color w:val="auto"/>
                <w:spacing w:val="-11"/>
                <w:highlight w:val="none"/>
              </w:rPr>
              <w:t>投标人自 2019 年 1 月 1 日以来（以合同签订日期为准，不接受转包业绩）从事过化工园区信息化平台建设项目，建设内容同时涵盖“环保、安全、应急”三方面。</w:t>
            </w:r>
            <w:r>
              <w:rPr>
                <w:rFonts w:hint="eastAsia"/>
                <w:color w:val="auto"/>
                <w:spacing w:val="-11"/>
                <w:highlight w:val="none"/>
                <w:lang w:val="en-US"/>
              </w:rPr>
              <w:t>具有</w:t>
            </w:r>
            <w:r>
              <w:rPr>
                <w:rFonts w:hint="eastAsia"/>
                <w:color w:val="auto"/>
                <w:spacing w:val="-11"/>
                <w:highlight w:val="none"/>
              </w:rPr>
              <w:t>3个以上</w:t>
            </w:r>
            <w:r>
              <w:rPr>
                <w:rFonts w:hint="eastAsia"/>
                <w:color w:val="auto"/>
                <w:spacing w:val="-11"/>
                <w:highlight w:val="none"/>
                <w:lang w:val="en-US"/>
              </w:rPr>
              <w:t>项目业绩</w:t>
            </w:r>
            <w:r>
              <w:rPr>
                <w:rFonts w:hint="eastAsia"/>
                <w:color w:val="auto"/>
                <w:spacing w:val="-11"/>
                <w:highlight w:val="none"/>
              </w:rPr>
              <w:t>得</w:t>
            </w:r>
            <w:r>
              <w:rPr>
                <w:rFonts w:hint="eastAsia"/>
                <w:color w:val="auto"/>
                <w:spacing w:val="-11"/>
                <w:highlight w:val="none"/>
                <w:lang w:val="en-US"/>
              </w:rPr>
              <w:t>3</w:t>
            </w:r>
            <w:r>
              <w:rPr>
                <w:rFonts w:hint="eastAsia"/>
                <w:color w:val="auto"/>
                <w:spacing w:val="-11"/>
                <w:highlight w:val="none"/>
              </w:rPr>
              <w:t>分，2个得</w:t>
            </w:r>
            <w:r>
              <w:rPr>
                <w:rFonts w:hint="eastAsia"/>
                <w:color w:val="auto"/>
                <w:spacing w:val="-11"/>
                <w:highlight w:val="none"/>
                <w:lang w:val="en-US"/>
              </w:rPr>
              <w:t>2</w:t>
            </w:r>
            <w:r>
              <w:rPr>
                <w:rFonts w:hint="eastAsia"/>
                <w:color w:val="auto"/>
                <w:spacing w:val="-11"/>
                <w:highlight w:val="none"/>
              </w:rPr>
              <w:t>分，1个得1分，没有不得分。</w:t>
            </w:r>
          </w:p>
          <w:p>
            <w:pPr>
              <w:pStyle w:val="113"/>
              <w:tabs>
                <w:tab w:val="left" w:pos="268"/>
              </w:tabs>
              <w:spacing w:before="99"/>
              <w:ind w:right="91" w:firstLine="0" w:firstLineChars="0"/>
              <w:rPr>
                <w:bCs/>
                <w:color w:val="auto"/>
                <w:szCs w:val="21"/>
                <w:highlight w:val="none"/>
                <w:lang w:bidi="ar"/>
              </w:rPr>
            </w:pPr>
            <w:r>
              <w:rPr>
                <w:rFonts w:hint="eastAsia"/>
                <w:b/>
                <w:bCs/>
                <w:color w:val="auto"/>
                <w:spacing w:val="-11"/>
                <w:highlight w:val="none"/>
                <w:lang w:val="en-US"/>
              </w:rPr>
              <w:t>投标文件中</w:t>
            </w:r>
            <w:r>
              <w:rPr>
                <w:rFonts w:hint="eastAsia"/>
                <w:b/>
                <w:bCs/>
                <w:color w:val="auto"/>
                <w:spacing w:val="-11"/>
                <w:highlight w:val="none"/>
              </w:rPr>
              <w:t>提供合同复印件，</w:t>
            </w:r>
            <w:r>
              <w:rPr>
                <w:rFonts w:hint="eastAsia"/>
                <w:b/>
                <w:bCs/>
                <w:color w:val="auto"/>
                <w:spacing w:val="-11"/>
                <w:highlight w:val="none"/>
                <w:lang w:val="en-US"/>
              </w:rPr>
              <w:t>并</w:t>
            </w:r>
            <w:r>
              <w:rPr>
                <w:rFonts w:hint="eastAsia"/>
                <w:b/>
                <w:bCs/>
                <w:color w:val="auto"/>
                <w:spacing w:val="-11"/>
                <w:highlight w:val="none"/>
              </w:rPr>
              <w:t>加盖投标人公章，合同中必须体现项目建设内容，未提供或未体现的</w:t>
            </w:r>
            <w:r>
              <w:rPr>
                <w:rFonts w:hint="eastAsia"/>
                <w:b/>
                <w:bCs/>
                <w:color w:val="auto"/>
                <w:spacing w:val="-11"/>
                <w:highlight w:val="none"/>
                <w:lang w:val="en-US"/>
              </w:rPr>
              <w:t>不</w:t>
            </w:r>
            <w:r>
              <w:rPr>
                <w:rFonts w:hint="eastAsia"/>
                <w:b/>
                <w:bCs/>
                <w:color w:val="auto"/>
                <w:spacing w:val="-11"/>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924" w:type="dxa"/>
            <w:vMerge w:val="continue"/>
            <w:vAlign w:val="center"/>
          </w:tcPr>
          <w:p>
            <w:pPr>
              <w:ind w:firstLine="420" w:firstLineChars="0"/>
              <w:jc w:val="center"/>
              <w:rPr>
                <w:rFonts w:ascii="宋体" w:hAnsi="宋体" w:cs="宋体"/>
                <w:color w:val="auto"/>
                <w:szCs w:val="21"/>
                <w:highlight w:val="none"/>
              </w:rPr>
            </w:pPr>
          </w:p>
        </w:tc>
        <w:tc>
          <w:tcPr>
            <w:tcW w:w="1671" w:type="dxa"/>
            <w:vAlign w:val="center"/>
          </w:tcPr>
          <w:p>
            <w:pPr>
              <w:ind w:firstLine="0" w:firstLineChars="0"/>
              <w:jc w:val="center"/>
              <w:rPr>
                <w:rFonts w:ascii="宋体" w:hAnsi="宋体" w:cs="宋体"/>
                <w:color w:val="auto"/>
                <w:highlight w:val="none"/>
              </w:rPr>
            </w:pPr>
            <w:r>
              <w:rPr>
                <w:rFonts w:hint="eastAsia" w:ascii="宋体" w:hAnsi="宋体" w:cs="宋体"/>
                <w:color w:val="auto"/>
                <w:szCs w:val="21"/>
                <w:highlight w:val="none"/>
              </w:rPr>
              <w:t>项目需求理解程度（5分）</w:t>
            </w:r>
          </w:p>
        </w:tc>
        <w:tc>
          <w:tcPr>
            <w:tcW w:w="6938" w:type="dxa"/>
            <w:vAlign w:val="center"/>
          </w:tcPr>
          <w:p>
            <w:pPr>
              <w:pStyle w:val="113"/>
              <w:tabs>
                <w:tab w:val="left" w:pos="268"/>
              </w:tabs>
              <w:spacing w:before="99"/>
              <w:ind w:right="91" w:firstLine="0" w:firstLineChars="0"/>
              <w:rPr>
                <w:b/>
                <w:bCs/>
                <w:color w:val="auto"/>
                <w:spacing w:val="-11"/>
                <w:highlight w:val="none"/>
                <w:lang w:val="en-US"/>
              </w:rPr>
            </w:pPr>
            <w:r>
              <w:rPr>
                <w:rFonts w:hint="eastAsia"/>
                <w:color w:val="auto"/>
                <w:szCs w:val="21"/>
                <w:highlight w:val="none"/>
                <w:lang w:val="en-US" w:bidi="ar"/>
              </w:rPr>
              <w:t>根据投标人对本项目的熟悉程度、对项目需求的理解程度、</w:t>
            </w:r>
            <w:r>
              <w:rPr>
                <w:rFonts w:hint="eastAsia"/>
                <w:color w:val="auto"/>
                <w:szCs w:val="21"/>
                <w:highlight w:val="none"/>
                <w:lang w:bidi="ar"/>
              </w:rPr>
              <w:t>总体思路、目标定位是否明确清晰</w:t>
            </w:r>
            <w:r>
              <w:rPr>
                <w:rFonts w:hint="eastAsia"/>
                <w:color w:val="auto"/>
                <w:szCs w:val="21"/>
                <w:highlight w:val="none"/>
                <w:lang w:val="en-US" w:bidi="ar"/>
              </w:rPr>
              <w:t>进行评议，</w:t>
            </w:r>
            <w:r>
              <w:rPr>
                <w:rFonts w:hint="eastAsia"/>
                <w:bCs/>
                <w:color w:val="auto"/>
                <w:szCs w:val="21"/>
                <w:highlight w:val="none"/>
                <w:lang w:bidi="ar"/>
              </w:rPr>
              <w:t>了解园区的现状情况，充分理解用户需求的得</w:t>
            </w:r>
            <w:r>
              <w:rPr>
                <w:rFonts w:hint="eastAsia"/>
                <w:bCs/>
                <w:color w:val="auto"/>
                <w:szCs w:val="21"/>
                <w:highlight w:val="none"/>
                <w:lang w:val="en-US" w:bidi="ar"/>
              </w:rPr>
              <w:t>4-5</w:t>
            </w:r>
            <w:r>
              <w:rPr>
                <w:rFonts w:hint="eastAsia"/>
                <w:bCs/>
                <w:color w:val="auto"/>
                <w:szCs w:val="21"/>
                <w:highlight w:val="none"/>
                <w:lang w:bidi="ar"/>
              </w:rPr>
              <w:t>分；理解项目建设背景和建设需求，并且对项目建设内容基本理解的得</w:t>
            </w:r>
            <w:r>
              <w:rPr>
                <w:rFonts w:hint="eastAsia"/>
                <w:bCs/>
                <w:color w:val="auto"/>
                <w:szCs w:val="21"/>
                <w:highlight w:val="none"/>
                <w:lang w:val="en-US" w:bidi="ar"/>
              </w:rPr>
              <w:t>2-3</w:t>
            </w:r>
            <w:r>
              <w:rPr>
                <w:rFonts w:hint="eastAsia"/>
                <w:bCs/>
                <w:color w:val="auto"/>
                <w:szCs w:val="21"/>
                <w:highlight w:val="none"/>
                <w:lang w:bidi="ar"/>
              </w:rPr>
              <w:t>分；对项目背景、现状和目标理解程度一般的得1分；对本项目情况不熟悉的不得分。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924" w:type="dxa"/>
            <w:vMerge w:val="continue"/>
            <w:vAlign w:val="center"/>
          </w:tcPr>
          <w:p>
            <w:pPr>
              <w:ind w:firstLine="420" w:firstLineChars="0"/>
              <w:jc w:val="center"/>
              <w:rPr>
                <w:rFonts w:ascii="宋体" w:hAnsi="宋体" w:cs="宋体"/>
                <w:color w:val="auto"/>
                <w:szCs w:val="21"/>
                <w:highlight w:val="none"/>
              </w:rPr>
            </w:pPr>
          </w:p>
        </w:tc>
        <w:tc>
          <w:tcPr>
            <w:tcW w:w="1671" w:type="dxa"/>
            <w:vAlign w:val="center"/>
          </w:tcPr>
          <w:p>
            <w:pPr>
              <w:ind w:firstLine="0" w:firstLineChars="0"/>
              <w:jc w:val="center"/>
              <w:rPr>
                <w:rFonts w:ascii="宋体" w:hAnsi="宋体" w:cs="宋体"/>
                <w:color w:val="auto"/>
                <w:highlight w:val="none"/>
              </w:rPr>
            </w:pPr>
            <w:r>
              <w:rPr>
                <w:rFonts w:hint="eastAsia" w:ascii="宋体" w:hAnsi="宋体" w:cs="宋体"/>
                <w:color w:val="auto"/>
                <w:highlight w:val="none"/>
              </w:rPr>
              <w:t>投标产品性能参数（30分）</w:t>
            </w:r>
          </w:p>
        </w:tc>
        <w:tc>
          <w:tcPr>
            <w:tcW w:w="6938" w:type="dxa"/>
            <w:vAlign w:val="center"/>
          </w:tcPr>
          <w:p>
            <w:pPr>
              <w:widowControl/>
              <w:adjustRightInd w:val="0"/>
              <w:snapToGrid w:val="0"/>
              <w:ind w:firstLine="0" w:firstLineChars="0"/>
              <w:rPr>
                <w:rFonts w:ascii="宋体" w:hAnsi="宋体" w:cs="宋体"/>
                <w:bCs/>
                <w:color w:val="auto"/>
                <w:szCs w:val="21"/>
                <w:highlight w:val="none"/>
                <w:lang w:val="zh-CN" w:bidi="ar"/>
              </w:rPr>
            </w:pPr>
            <w:r>
              <w:rPr>
                <w:rFonts w:hint="eastAsia" w:ascii="宋体" w:hAnsi="宋体" w:cs="宋体"/>
                <w:bCs/>
                <w:color w:val="auto"/>
                <w:szCs w:val="21"/>
                <w:highlight w:val="none"/>
                <w:lang w:val="zh-CN" w:bidi="ar"/>
              </w:rPr>
              <w:t>根据投标人所投软硬件产品的规格、配置、技术性能对招标文件要求的响应情况进行评分，</w:t>
            </w:r>
          </w:p>
          <w:p>
            <w:pPr>
              <w:widowControl/>
              <w:adjustRightInd w:val="0"/>
              <w:snapToGrid w:val="0"/>
              <w:ind w:firstLine="0" w:firstLineChars="0"/>
              <w:rPr>
                <w:rFonts w:ascii="宋体" w:hAnsi="宋体" w:cs="宋体"/>
                <w:bCs/>
                <w:color w:val="auto"/>
                <w:szCs w:val="21"/>
                <w:highlight w:val="none"/>
                <w:lang w:val="zh-CN" w:bidi="ar"/>
              </w:rPr>
            </w:pPr>
            <w:r>
              <w:rPr>
                <w:rFonts w:hint="eastAsia" w:ascii="宋体" w:hAnsi="宋体" w:cs="宋体"/>
                <w:bCs/>
                <w:color w:val="auto"/>
                <w:szCs w:val="21"/>
                <w:highlight w:val="none"/>
                <w:lang w:val="zh-CN" w:bidi="ar"/>
              </w:rPr>
              <w:t>对于标注“▲”条款的响应情况完全满足的得25分，若存在负偏离的每负偏离一条扣1分，25分扣完为止；</w:t>
            </w:r>
          </w:p>
          <w:p>
            <w:pPr>
              <w:widowControl/>
              <w:adjustRightInd w:val="0"/>
              <w:snapToGrid w:val="0"/>
              <w:ind w:firstLine="0" w:firstLineChars="0"/>
              <w:rPr>
                <w:rFonts w:ascii="宋体" w:hAnsi="宋体" w:cs="宋体"/>
                <w:bCs/>
                <w:color w:val="auto"/>
                <w:szCs w:val="21"/>
                <w:highlight w:val="none"/>
                <w:lang w:bidi="ar"/>
              </w:rPr>
            </w:pPr>
            <w:r>
              <w:rPr>
                <w:rFonts w:hint="eastAsia" w:ascii="宋体" w:hAnsi="宋体" w:cs="宋体"/>
                <w:bCs/>
                <w:color w:val="auto"/>
                <w:szCs w:val="21"/>
                <w:highlight w:val="none"/>
                <w:lang w:val="zh-CN" w:bidi="ar"/>
              </w:rPr>
              <w:t>未标注“▲”条款每负偏离一条扣0.5分，满分5分。未标注“▲”条款负偏离</w:t>
            </w:r>
            <w:r>
              <w:rPr>
                <w:rFonts w:hint="eastAsia" w:ascii="宋体" w:hAnsi="宋体" w:cs="宋体"/>
                <w:bCs/>
                <w:color w:val="auto"/>
                <w:szCs w:val="21"/>
                <w:highlight w:val="none"/>
                <w:lang w:bidi="ar"/>
              </w:rPr>
              <w:t>11</w:t>
            </w:r>
            <w:r>
              <w:rPr>
                <w:rFonts w:hint="eastAsia" w:ascii="宋体" w:hAnsi="宋体" w:cs="宋体"/>
                <w:bCs/>
                <w:color w:val="auto"/>
                <w:szCs w:val="21"/>
                <w:highlight w:val="none"/>
                <w:lang w:val="zh-CN" w:bidi="ar"/>
              </w:rPr>
              <w:t>条及以上的作无效标处理。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924" w:type="dxa"/>
            <w:vMerge w:val="continue"/>
            <w:vAlign w:val="center"/>
          </w:tcPr>
          <w:p>
            <w:pPr>
              <w:ind w:firstLine="420" w:firstLineChars="0"/>
              <w:jc w:val="center"/>
              <w:rPr>
                <w:rFonts w:ascii="宋体" w:hAnsi="宋体" w:cs="宋体"/>
                <w:color w:val="auto"/>
                <w:szCs w:val="21"/>
                <w:highlight w:val="none"/>
              </w:rPr>
            </w:pPr>
          </w:p>
        </w:tc>
        <w:tc>
          <w:tcPr>
            <w:tcW w:w="1671" w:type="dxa"/>
            <w:vMerge w:val="restart"/>
            <w:vAlign w:val="center"/>
          </w:tcPr>
          <w:p>
            <w:pPr>
              <w:ind w:firstLine="0" w:firstLineChars="0"/>
              <w:jc w:val="center"/>
              <w:rPr>
                <w:rFonts w:ascii="宋体" w:hAnsi="宋体" w:cs="宋体"/>
                <w:color w:val="auto"/>
                <w:highlight w:val="none"/>
              </w:rPr>
            </w:pPr>
            <w:r>
              <w:rPr>
                <w:rFonts w:hint="eastAsia" w:ascii="宋体" w:hAnsi="宋体" w:cs="宋体"/>
                <w:color w:val="auto"/>
                <w:highlight w:val="none"/>
              </w:rPr>
              <w:t>项目实施方案（22分）</w:t>
            </w:r>
          </w:p>
        </w:tc>
        <w:tc>
          <w:tcPr>
            <w:tcW w:w="6938" w:type="dxa"/>
            <w:vAlign w:val="center"/>
          </w:tcPr>
          <w:p>
            <w:pPr>
              <w:widowControl/>
              <w:ind w:firstLine="0" w:firstLineChars="0"/>
              <w:rPr>
                <w:rFonts w:ascii="宋体" w:hAnsi="宋体" w:cs="宋体"/>
                <w:bCs/>
                <w:color w:val="auto"/>
                <w:szCs w:val="21"/>
                <w:highlight w:val="none"/>
                <w:lang w:bidi="ar"/>
              </w:rPr>
            </w:pPr>
            <w:r>
              <w:rPr>
                <w:rFonts w:hint="eastAsia" w:ascii="宋体" w:hAnsi="宋体" w:cs="宋体"/>
                <w:bCs/>
                <w:color w:val="auto"/>
                <w:szCs w:val="21"/>
                <w:highlight w:val="none"/>
                <w:lang w:bidi="ar"/>
              </w:rPr>
              <w:t>1、根据投标人提供的项目建设方案进行评议，系统功能理解透彻，系统总体架构设计合理，功能优于采购需求中的技术要求，并充分考虑平台的先进性、开放性、兼容性和生态特性的得4.5-6分；对项目建设内容理解一般，方案齐全，总体建设方案内容完全响应用户需求的得2-3.5分；系统总体架构设计较合理，功能基本符合要求，应用户需求的得0-1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924" w:type="dxa"/>
            <w:vMerge w:val="continue"/>
            <w:vAlign w:val="center"/>
          </w:tcPr>
          <w:p>
            <w:pPr>
              <w:ind w:firstLine="420" w:firstLineChars="0"/>
              <w:jc w:val="center"/>
              <w:rPr>
                <w:rFonts w:ascii="宋体" w:hAnsi="宋体" w:cs="宋体"/>
                <w:color w:val="auto"/>
                <w:szCs w:val="21"/>
                <w:highlight w:val="none"/>
              </w:rPr>
            </w:pPr>
          </w:p>
        </w:tc>
        <w:tc>
          <w:tcPr>
            <w:tcW w:w="1671" w:type="dxa"/>
            <w:vMerge w:val="continue"/>
            <w:vAlign w:val="center"/>
          </w:tcPr>
          <w:p>
            <w:pPr>
              <w:ind w:firstLine="0" w:firstLineChars="0"/>
              <w:jc w:val="center"/>
              <w:rPr>
                <w:rFonts w:ascii="宋体" w:hAnsi="宋体" w:cs="宋体"/>
                <w:color w:val="auto"/>
                <w:highlight w:val="none"/>
              </w:rPr>
            </w:pPr>
          </w:p>
        </w:tc>
        <w:tc>
          <w:tcPr>
            <w:tcW w:w="6938" w:type="dxa"/>
            <w:vAlign w:val="center"/>
          </w:tcPr>
          <w:p>
            <w:pPr>
              <w:widowControl/>
              <w:ind w:firstLine="0" w:firstLineChars="0"/>
              <w:rPr>
                <w:rFonts w:ascii="宋体" w:hAnsi="宋体" w:cs="宋体"/>
                <w:bCs/>
                <w:color w:val="auto"/>
                <w:szCs w:val="21"/>
                <w:highlight w:val="none"/>
                <w:lang w:bidi="ar"/>
              </w:rPr>
            </w:pPr>
            <w:r>
              <w:rPr>
                <w:rFonts w:hint="eastAsia" w:ascii="宋体" w:hAnsi="宋体" w:cs="宋体"/>
                <w:bCs/>
                <w:color w:val="auto"/>
                <w:szCs w:val="21"/>
                <w:highlight w:val="none"/>
                <w:lang w:bidi="ar"/>
              </w:rPr>
              <w:t>2、根据投标人提供的项目建设方案进行评议，围绕两大核心业务诉求，园区驾驶舱和画像等核心场景业务功能理解透彻，产品设计方案合理，能够满足日常管理需要，数据资源展示丰富，业务流程设计合理，结合园区已有子平台场景联动先进性得4.5-6分；对项目核心业务内容理解一般，方案齐全，总体建设方案内容完全响应用户需求的得2-3.5分；系统总体架构设计较合理，功能基本符合要求，响应用户需求的得0-1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924" w:type="dxa"/>
            <w:vMerge w:val="continue"/>
            <w:vAlign w:val="center"/>
          </w:tcPr>
          <w:p>
            <w:pPr>
              <w:ind w:firstLine="420" w:firstLineChars="0"/>
              <w:jc w:val="center"/>
              <w:rPr>
                <w:rFonts w:ascii="宋体" w:hAnsi="宋体" w:cs="宋体"/>
                <w:color w:val="auto"/>
                <w:szCs w:val="21"/>
                <w:highlight w:val="none"/>
              </w:rPr>
            </w:pPr>
          </w:p>
        </w:tc>
        <w:tc>
          <w:tcPr>
            <w:tcW w:w="1671" w:type="dxa"/>
            <w:vMerge w:val="continue"/>
            <w:vAlign w:val="center"/>
          </w:tcPr>
          <w:p>
            <w:pPr>
              <w:ind w:firstLine="0" w:firstLineChars="0"/>
              <w:jc w:val="center"/>
              <w:rPr>
                <w:rFonts w:ascii="宋体" w:hAnsi="宋体" w:cs="宋体"/>
                <w:color w:val="auto"/>
                <w:highlight w:val="none"/>
              </w:rPr>
            </w:pPr>
          </w:p>
        </w:tc>
        <w:tc>
          <w:tcPr>
            <w:tcW w:w="6938" w:type="dxa"/>
            <w:vAlign w:val="center"/>
          </w:tcPr>
          <w:p>
            <w:pPr>
              <w:widowControl/>
              <w:ind w:firstLine="0" w:firstLineChars="0"/>
              <w:rPr>
                <w:rFonts w:ascii="宋体" w:hAnsi="宋体" w:cs="宋体"/>
                <w:color w:val="auto"/>
                <w:szCs w:val="21"/>
                <w:highlight w:val="none"/>
              </w:rPr>
            </w:pPr>
            <w:r>
              <w:rPr>
                <w:rFonts w:hint="eastAsia" w:ascii="宋体" w:hAnsi="宋体" w:cs="宋体"/>
                <w:bCs/>
                <w:color w:val="auto"/>
                <w:szCs w:val="21"/>
                <w:highlight w:val="none"/>
                <w:lang w:bidi="ar"/>
              </w:rPr>
              <w:t>3、根据投标人提供的项目执行方案：</w:t>
            </w:r>
          </w:p>
          <w:p>
            <w:pPr>
              <w:widowControl/>
              <w:ind w:firstLine="0" w:firstLineChars="0"/>
              <w:rPr>
                <w:rFonts w:ascii="宋体" w:hAnsi="宋体" w:cs="宋体"/>
                <w:color w:val="auto"/>
                <w:szCs w:val="21"/>
                <w:highlight w:val="none"/>
              </w:rPr>
            </w:pPr>
            <w:r>
              <w:rPr>
                <w:rFonts w:hint="eastAsia" w:ascii="宋体" w:hAnsi="宋体" w:cs="宋体"/>
                <w:bCs/>
                <w:color w:val="auto"/>
                <w:szCs w:val="21"/>
                <w:highlight w:val="none"/>
                <w:lang w:bidi="ar"/>
              </w:rPr>
              <w:t>（1）</w:t>
            </w:r>
            <w:r>
              <w:rPr>
                <w:rFonts w:hint="eastAsia" w:ascii="宋体" w:hAnsi="宋体" w:cs="宋体"/>
                <w:color w:val="auto"/>
                <w:szCs w:val="21"/>
                <w:highlight w:val="none"/>
              </w:rPr>
              <w:t>项目管理：组织机构、进度计划、质量管控、资源保证、沟通协调及风险管控等内容进行评议，满分2分；</w:t>
            </w:r>
          </w:p>
          <w:p>
            <w:pPr>
              <w:widowControl/>
              <w:ind w:firstLine="0" w:firstLineChars="0"/>
              <w:rPr>
                <w:rFonts w:ascii="宋体" w:hAnsi="宋体" w:cs="宋体"/>
                <w:bCs/>
                <w:color w:val="auto"/>
                <w:szCs w:val="21"/>
                <w:highlight w:val="none"/>
                <w:lang w:bidi="ar"/>
              </w:rPr>
            </w:pPr>
            <w:r>
              <w:rPr>
                <w:rFonts w:hint="eastAsia" w:ascii="宋体" w:hAnsi="宋体" w:cs="宋体"/>
                <w:color w:val="auto"/>
                <w:szCs w:val="21"/>
                <w:highlight w:val="none"/>
              </w:rPr>
              <w:t>（2）项目执行过程中的需求调研、软件开发、硬件集成、系统部署、试运行、调优等关键步骤的思路和要点等内容进行评议，满分2分。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924" w:type="dxa"/>
            <w:vMerge w:val="continue"/>
            <w:vAlign w:val="center"/>
          </w:tcPr>
          <w:p>
            <w:pPr>
              <w:ind w:firstLine="420" w:firstLineChars="0"/>
              <w:jc w:val="center"/>
              <w:rPr>
                <w:rFonts w:ascii="宋体" w:hAnsi="宋体" w:cs="宋体"/>
                <w:color w:val="auto"/>
                <w:szCs w:val="21"/>
                <w:highlight w:val="none"/>
              </w:rPr>
            </w:pPr>
          </w:p>
        </w:tc>
        <w:tc>
          <w:tcPr>
            <w:tcW w:w="1671" w:type="dxa"/>
            <w:vMerge w:val="continue"/>
            <w:vAlign w:val="center"/>
          </w:tcPr>
          <w:p>
            <w:pPr>
              <w:ind w:firstLine="0" w:firstLineChars="0"/>
              <w:jc w:val="center"/>
              <w:rPr>
                <w:rFonts w:ascii="宋体" w:hAnsi="宋体" w:cs="宋体"/>
                <w:color w:val="auto"/>
                <w:highlight w:val="none"/>
              </w:rPr>
            </w:pPr>
          </w:p>
        </w:tc>
        <w:tc>
          <w:tcPr>
            <w:tcW w:w="6938" w:type="dxa"/>
            <w:vAlign w:val="center"/>
          </w:tcPr>
          <w:p>
            <w:pPr>
              <w:widowControl/>
              <w:ind w:firstLine="0" w:firstLineChars="0"/>
              <w:rPr>
                <w:rFonts w:ascii="宋体" w:hAnsi="宋体" w:cs="宋体"/>
                <w:bCs/>
                <w:color w:val="auto"/>
                <w:szCs w:val="21"/>
                <w:highlight w:val="none"/>
                <w:lang w:bidi="ar"/>
              </w:rPr>
            </w:pPr>
            <w:r>
              <w:rPr>
                <w:rFonts w:hint="eastAsia" w:ascii="宋体" w:hAnsi="宋体" w:cs="宋体"/>
                <w:color w:val="auto"/>
                <w:highlight w:val="none"/>
              </w:rPr>
              <w:t>4、根据投标人提供的化工产业大脑接入方案中化工产业大脑理解深度，所提供平台的开放性，对需要接入数据的处理方式，以及类似工作经验等进行评议。方案中化工产业大脑理解深刻，所提供的平台具有很强的开放性，平台与产业大脑接入的技术条件分析合理，接入工作资源保障措施详尽可行，接入结果评估可靠，类似工作经验丰富的得</w:t>
            </w:r>
            <w:r>
              <w:rPr>
                <w:rFonts w:hint="eastAsia" w:ascii="宋体" w:hAnsi="宋体" w:cs="宋体"/>
                <w:bCs/>
                <w:color w:val="auto"/>
                <w:szCs w:val="21"/>
                <w:highlight w:val="none"/>
                <w:lang w:bidi="ar"/>
              </w:rPr>
              <w:t>4.5-6</w:t>
            </w:r>
            <w:r>
              <w:rPr>
                <w:rFonts w:hint="eastAsia" w:ascii="宋体" w:hAnsi="宋体" w:cs="宋体"/>
                <w:color w:val="auto"/>
                <w:highlight w:val="none"/>
              </w:rPr>
              <w:t>分；方案中化工产业大脑理解一般，所提供的平台开放性一般，平台与产业大脑接入的技术条件分析一般，接入工作资源保障措施一般，类似工作经验一般的得</w:t>
            </w:r>
            <w:r>
              <w:rPr>
                <w:rFonts w:hint="eastAsia" w:ascii="宋体" w:hAnsi="宋体" w:cs="宋体"/>
                <w:bCs/>
                <w:color w:val="auto"/>
                <w:szCs w:val="21"/>
                <w:highlight w:val="none"/>
                <w:lang w:bidi="ar"/>
              </w:rPr>
              <w:t>2-3.5</w:t>
            </w:r>
            <w:r>
              <w:rPr>
                <w:rFonts w:hint="eastAsia" w:ascii="宋体" w:hAnsi="宋体" w:cs="宋体"/>
                <w:color w:val="auto"/>
                <w:highlight w:val="none"/>
              </w:rPr>
              <w:t>分；方案仅响应用户需求的得</w:t>
            </w:r>
            <w:r>
              <w:rPr>
                <w:rFonts w:hint="eastAsia" w:ascii="宋体" w:hAnsi="宋体" w:cs="宋体"/>
                <w:bCs/>
                <w:color w:val="auto"/>
                <w:szCs w:val="21"/>
                <w:highlight w:val="none"/>
                <w:lang w:bidi="ar"/>
              </w:rPr>
              <w:t>0-1</w:t>
            </w:r>
            <w:r>
              <w:rPr>
                <w:rFonts w:hint="eastAsia" w:ascii="宋体" w:hAnsi="宋体" w:cs="宋体"/>
                <w:color w:val="auto"/>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924" w:type="dxa"/>
            <w:vMerge w:val="continue"/>
            <w:vAlign w:val="center"/>
          </w:tcPr>
          <w:p>
            <w:pPr>
              <w:ind w:firstLine="420" w:firstLineChars="0"/>
              <w:jc w:val="center"/>
              <w:rPr>
                <w:rFonts w:ascii="宋体" w:hAnsi="宋体" w:cs="宋体"/>
                <w:color w:val="auto"/>
                <w:szCs w:val="21"/>
                <w:highlight w:val="none"/>
              </w:rPr>
            </w:pPr>
          </w:p>
        </w:tc>
        <w:tc>
          <w:tcPr>
            <w:tcW w:w="1671" w:type="dxa"/>
            <w:vAlign w:val="center"/>
          </w:tcPr>
          <w:p>
            <w:pPr>
              <w:ind w:firstLine="0" w:firstLineChars="0"/>
              <w:jc w:val="center"/>
              <w:rPr>
                <w:rFonts w:ascii="宋体" w:hAnsi="宋体" w:cs="宋体"/>
                <w:color w:val="auto"/>
                <w:highlight w:val="none"/>
              </w:rPr>
            </w:pPr>
            <w:r>
              <w:rPr>
                <w:rFonts w:hint="eastAsia" w:ascii="宋体" w:hAnsi="宋体" w:cs="宋体"/>
                <w:bCs/>
                <w:color w:val="auto"/>
                <w:szCs w:val="21"/>
                <w:highlight w:val="none"/>
                <w:lang w:bidi="ar"/>
              </w:rPr>
              <w:t>数字平台</w:t>
            </w:r>
            <w:r>
              <w:rPr>
                <w:rFonts w:hint="eastAsia" w:ascii="宋体" w:hAnsi="宋体" w:cs="宋体"/>
                <w:color w:val="auto"/>
                <w:highlight w:val="none"/>
              </w:rPr>
              <w:t>（3分）</w:t>
            </w:r>
          </w:p>
        </w:tc>
        <w:tc>
          <w:tcPr>
            <w:tcW w:w="6938" w:type="dxa"/>
            <w:vAlign w:val="center"/>
          </w:tcPr>
          <w:p>
            <w:pPr>
              <w:widowControl/>
              <w:ind w:firstLine="0" w:firstLineChars="0"/>
              <w:rPr>
                <w:rFonts w:ascii="宋体" w:hAnsi="宋体" w:cs="宋体"/>
                <w:bCs/>
                <w:color w:val="auto"/>
                <w:szCs w:val="21"/>
                <w:highlight w:val="none"/>
                <w:lang w:bidi="ar"/>
              </w:rPr>
            </w:pPr>
            <w:r>
              <w:rPr>
                <w:rFonts w:hint="eastAsia" w:ascii="宋体" w:hAnsi="宋体" w:cs="宋体"/>
                <w:bCs/>
                <w:color w:val="auto"/>
                <w:szCs w:val="21"/>
                <w:highlight w:val="none"/>
                <w:lang w:bidi="ar"/>
              </w:rPr>
              <w:t>入选国家级工业互联网双跨平台得3分，其余不得分。</w:t>
            </w:r>
          </w:p>
          <w:p>
            <w:pPr>
              <w:widowControl/>
              <w:ind w:firstLine="0" w:firstLineChars="0"/>
              <w:rPr>
                <w:rFonts w:ascii="宋体" w:hAnsi="宋体" w:cs="宋体"/>
                <w:bCs/>
                <w:color w:val="auto"/>
                <w:szCs w:val="21"/>
                <w:highlight w:val="none"/>
                <w:lang w:bidi="ar"/>
              </w:rPr>
            </w:pPr>
            <w:r>
              <w:rPr>
                <w:rFonts w:hint="eastAsia" w:ascii="宋体" w:hAnsi="宋体" w:cs="宋体"/>
                <w:b/>
                <w:color w:val="auto"/>
                <w:kern w:val="0"/>
                <w:szCs w:val="21"/>
                <w:highlight w:val="none"/>
              </w:rPr>
              <w:t>投标文件中</w:t>
            </w:r>
            <w:r>
              <w:rPr>
                <w:rFonts w:hint="eastAsia" w:ascii="宋体" w:hAnsi="宋体" w:cs="宋体"/>
                <w:b/>
                <w:color w:val="auto"/>
                <w:szCs w:val="21"/>
                <w:highlight w:val="none"/>
                <w:lang w:bidi="ar"/>
              </w:rPr>
              <w:t xml:space="preserve">提供国家级公开主流媒体网页截图，并加盖投标人公章，未提供不得分。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924" w:type="dxa"/>
            <w:vMerge w:val="continue"/>
            <w:vAlign w:val="center"/>
          </w:tcPr>
          <w:p>
            <w:pPr>
              <w:ind w:firstLine="420" w:firstLineChars="0"/>
              <w:jc w:val="center"/>
              <w:rPr>
                <w:rFonts w:ascii="宋体" w:hAnsi="宋体" w:cs="宋体"/>
                <w:color w:val="auto"/>
                <w:szCs w:val="21"/>
                <w:highlight w:val="none"/>
              </w:rPr>
            </w:pPr>
          </w:p>
        </w:tc>
        <w:tc>
          <w:tcPr>
            <w:tcW w:w="1671" w:type="dxa"/>
            <w:vMerge w:val="restart"/>
            <w:vAlign w:val="center"/>
          </w:tcPr>
          <w:p>
            <w:pPr>
              <w:ind w:firstLine="0" w:firstLineChars="0"/>
              <w:jc w:val="center"/>
              <w:rPr>
                <w:rFonts w:ascii="宋体" w:hAnsi="宋体" w:cs="宋体"/>
                <w:color w:val="auto"/>
                <w:highlight w:val="none"/>
              </w:rPr>
            </w:pPr>
            <w:r>
              <w:rPr>
                <w:rFonts w:hint="eastAsia" w:ascii="宋体" w:hAnsi="宋体" w:cs="宋体"/>
                <w:color w:val="auto"/>
                <w:highlight w:val="none"/>
              </w:rPr>
              <w:t>服务团队</w:t>
            </w:r>
          </w:p>
          <w:p>
            <w:pPr>
              <w:ind w:firstLine="0" w:firstLineChars="0"/>
              <w:jc w:val="center"/>
              <w:rPr>
                <w:rFonts w:ascii="宋体" w:hAnsi="宋体" w:cs="宋体"/>
                <w:color w:val="auto"/>
                <w:highlight w:val="none"/>
              </w:rPr>
            </w:pPr>
            <w:r>
              <w:rPr>
                <w:rFonts w:hint="eastAsia" w:ascii="宋体" w:hAnsi="宋体" w:cs="宋体"/>
                <w:color w:val="auto"/>
                <w:highlight w:val="none"/>
              </w:rPr>
              <w:t>（5分）</w:t>
            </w:r>
          </w:p>
        </w:tc>
        <w:tc>
          <w:tcPr>
            <w:tcW w:w="6938" w:type="dxa"/>
            <w:vAlign w:val="center"/>
          </w:tcPr>
          <w:p>
            <w:pPr>
              <w:ind w:firstLine="0" w:firstLineChars="0"/>
              <w:rPr>
                <w:rFonts w:ascii="宋体" w:hAnsi="宋体" w:cs="宋体"/>
                <w:bCs/>
                <w:color w:val="auto"/>
                <w:kern w:val="0"/>
                <w:szCs w:val="21"/>
                <w:highlight w:val="none"/>
              </w:rPr>
            </w:pPr>
            <w:r>
              <w:rPr>
                <w:rFonts w:hint="eastAsia" w:ascii="宋体" w:hAnsi="宋体" w:cs="宋体"/>
                <w:bCs/>
                <w:color w:val="auto"/>
                <w:kern w:val="0"/>
                <w:szCs w:val="21"/>
                <w:highlight w:val="none"/>
              </w:rPr>
              <w:t>1、项目经理同时具备一级注册建造师（机电工程专业）、安全 B 证、项目管理师（或PMP认证）的得 3分，具备2项得1分，其他不得分。</w:t>
            </w:r>
          </w:p>
          <w:p>
            <w:pPr>
              <w:ind w:firstLine="0" w:firstLineChars="0"/>
              <w:rPr>
                <w:rFonts w:ascii="宋体" w:hAnsi="宋体" w:cs="宋体"/>
                <w:b/>
                <w:color w:val="auto"/>
                <w:kern w:val="0"/>
                <w:szCs w:val="21"/>
                <w:highlight w:val="none"/>
              </w:rPr>
            </w:pPr>
            <w:r>
              <w:rPr>
                <w:rFonts w:hint="eastAsia" w:ascii="宋体" w:hAnsi="宋体" w:cs="宋体"/>
                <w:b/>
                <w:color w:val="auto"/>
                <w:kern w:val="0"/>
                <w:szCs w:val="21"/>
                <w:highlight w:val="none"/>
              </w:rPr>
              <w:t>投标文件中提供项目经理资质证书复印件，并加盖</w:t>
            </w:r>
            <w:r>
              <w:rPr>
                <w:rFonts w:hint="eastAsia" w:ascii="宋体" w:hAnsi="宋体" w:cs="宋体"/>
                <w:b/>
                <w:color w:val="auto"/>
                <w:szCs w:val="21"/>
                <w:highlight w:val="none"/>
                <w:lang w:bidi="ar"/>
              </w:rPr>
              <w:t>投标人公章，</w:t>
            </w:r>
            <w:r>
              <w:rPr>
                <w:rFonts w:hint="eastAsia" w:ascii="宋体" w:hAnsi="宋体" w:cs="宋体"/>
                <w:b/>
                <w:bCs/>
                <w:color w:val="auto"/>
                <w:szCs w:val="21"/>
                <w:highlight w:val="none"/>
              </w:rPr>
              <w:t>同时提供开标日前三个月内出具的人员社保证明</w:t>
            </w:r>
            <w:r>
              <w:rPr>
                <w:rFonts w:hint="eastAsia" w:ascii="宋体" w:hAnsi="宋体" w:cs="宋体"/>
                <w:b/>
                <w:bCs/>
                <w:color w:val="auto"/>
                <w:szCs w:val="21"/>
                <w:highlight w:val="none"/>
                <w:lang w:bidi="ar"/>
              </w:rPr>
              <w:t>，</w:t>
            </w:r>
            <w:r>
              <w:rPr>
                <w:rFonts w:hint="eastAsia" w:ascii="宋体" w:hAnsi="宋体" w:cs="宋体"/>
                <w:b/>
                <w:color w:val="auto"/>
                <w:szCs w:val="21"/>
                <w:highlight w:val="none"/>
                <w:lang w:bidi="ar"/>
              </w:rPr>
              <w:t>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924" w:type="dxa"/>
            <w:vMerge w:val="continue"/>
            <w:vAlign w:val="center"/>
          </w:tcPr>
          <w:p>
            <w:pPr>
              <w:ind w:firstLine="420" w:firstLineChars="0"/>
              <w:jc w:val="center"/>
              <w:rPr>
                <w:rFonts w:ascii="宋体" w:hAnsi="宋体" w:cs="宋体"/>
                <w:color w:val="auto"/>
                <w:szCs w:val="21"/>
                <w:highlight w:val="none"/>
              </w:rPr>
            </w:pPr>
          </w:p>
        </w:tc>
        <w:tc>
          <w:tcPr>
            <w:tcW w:w="1671" w:type="dxa"/>
            <w:vMerge w:val="continue"/>
            <w:vAlign w:val="center"/>
          </w:tcPr>
          <w:p>
            <w:pPr>
              <w:ind w:firstLine="0" w:firstLineChars="0"/>
              <w:jc w:val="center"/>
              <w:rPr>
                <w:rFonts w:ascii="宋体" w:hAnsi="宋体" w:cs="宋体"/>
                <w:color w:val="auto"/>
                <w:highlight w:val="none"/>
              </w:rPr>
            </w:pPr>
          </w:p>
        </w:tc>
        <w:tc>
          <w:tcPr>
            <w:tcW w:w="6938" w:type="dxa"/>
            <w:vAlign w:val="center"/>
          </w:tcPr>
          <w:p>
            <w:pPr>
              <w:ind w:firstLine="0" w:firstLineChars="0"/>
              <w:rPr>
                <w:rFonts w:ascii="宋体" w:hAnsi="宋体" w:cs="宋体"/>
                <w:bCs/>
                <w:color w:val="auto"/>
                <w:kern w:val="0"/>
                <w:szCs w:val="21"/>
                <w:highlight w:val="none"/>
              </w:rPr>
            </w:pPr>
            <w:r>
              <w:rPr>
                <w:rFonts w:hint="eastAsia" w:ascii="宋体" w:hAnsi="宋体" w:cs="宋体"/>
                <w:bCs/>
                <w:color w:val="auto"/>
                <w:kern w:val="0"/>
                <w:szCs w:val="21"/>
                <w:highlight w:val="none"/>
              </w:rPr>
              <w:t>2、项目开发团队核心成员需具备信息系统项目管理师（高级）和系统集成项目管理工程师（中级）证书，高级每证得1分，中级每证得0.5分，最高2分。</w:t>
            </w:r>
          </w:p>
          <w:p>
            <w:pPr>
              <w:ind w:firstLine="0" w:firstLineChars="0"/>
              <w:rPr>
                <w:rFonts w:ascii="宋体" w:hAnsi="宋体" w:cs="宋体"/>
                <w:b/>
                <w:color w:val="auto"/>
                <w:kern w:val="0"/>
                <w:szCs w:val="21"/>
                <w:highlight w:val="none"/>
              </w:rPr>
            </w:pPr>
            <w:r>
              <w:rPr>
                <w:rFonts w:hint="eastAsia" w:ascii="宋体" w:hAnsi="宋体" w:cs="宋体"/>
                <w:b/>
                <w:color w:val="auto"/>
                <w:kern w:val="0"/>
                <w:szCs w:val="21"/>
                <w:highlight w:val="none"/>
              </w:rPr>
              <w:t>投标文件中提供项目开发团队核心成员的证书复印件，并加盖</w:t>
            </w:r>
            <w:r>
              <w:rPr>
                <w:rFonts w:hint="eastAsia" w:ascii="宋体" w:hAnsi="宋体" w:cs="宋体"/>
                <w:b/>
                <w:color w:val="auto"/>
                <w:szCs w:val="21"/>
                <w:highlight w:val="none"/>
                <w:lang w:bidi="ar"/>
              </w:rPr>
              <w:t>投标人公章，</w:t>
            </w:r>
            <w:r>
              <w:rPr>
                <w:rFonts w:hint="eastAsia" w:ascii="宋体" w:hAnsi="宋体" w:cs="宋体"/>
                <w:b/>
                <w:color w:val="auto"/>
                <w:szCs w:val="21"/>
                <w:highlight w:val="none"/>
              </w:rPr>
              <w:t>同时提</w:t>
            </w:r>
            <w:r>
              <w:rPr>
                <w:rFonts w:hint="eastAsia" w:ascii="宋体" w:hAnsi="宋体" w:cs="宋体"/>
                <w:b/>
                <w:bCs/>
                <w:color w:val="auto"/>
                <w:szCs w:val="21"/>
                <w:highlight w:val="none"/>
              </w:rPr>
              <w:t>供开标日前三个月内出具的人员社保证明</w:t>
            </w:r>
            <w:r>
              <w:rPr>
                <w:rFonts w:hint="eastAsia" w:ascii="宋体" w:hAnsi="宋体" w:cs="宋体"/>
                <w:b/>
                <w:bCs/>
                <w:color w:val="auto"/>
                <w:szCs w:val="21"/>
                <w:highlight w:val="none"/>
                <w:lang w:bidi="ar"/>
              </w:rPr>
              <w:t>，</w:t>
            </w:r>
            <w:r>
              <w:rPr>
                <w:rFonts w:hint="eastAsia" w:ascii="宋体" w:hAnsi="宋体" w:cs="宋体"/>
                <w:b/>
                <w:color w:val="auto"/>
                <w:szCs w:val="21"/>
                <w:highlight w:val="none"/>
                <w:lang w:bidi="ar"/>
              </w:rPr>
              <w:t>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924" w:type="dxa"/>
            <w:vMerge w:val="continue"/>
            <w:vAlign w:val="center"/>
          </w:tcPr>
          <w:p>
            <w:pPr>
              <w:pStyle w:val="2"/>
              <w:ind w:firstLine="0" w:firstLineChars="0"/>
              <w:rPr>
                <w:rFonts w:ascii="宋体" w:hAnsi="宋体" w:eastAsia="宋体" w:cs="宋体"/>
                <w:color w:val="auto"/>
                <w:highlight w:val="none"/>
              </w:rPr>
            </w:pPr>
          </w:p>
        </w:tc>
        <w:tc>
          <w:tcPr>
            <w:tcW w:w="1671" w:type="dxa"/>
            <w:vMerge w:val="restart"/>
            <w:vAlign w:val="center"/>
          </w:tcPr>
          <w:p>
            <w:pPr>
              <w:ind w:firstLine="0" w:firstLineChars="0"/>
              <w:jc w:val="center"/>
              <w:rPr>
                <w:rFonts w:ascii="宋体" w:hAnsi="宋体" w:cs="宋体"/>
                <w:color w:val="auto"/>
                <w:highlight w:val="none"/>
              </w:rPr>
            </w:pPr>
            <w:r>
              <w:rPr>
                <w:rFonts w:hint="eastAsia" w:ascii="宋体" w:hAnsi="宋体" w:cs="宋体"/>
                <w:color w:val="auto"/>
                <w:highlight w:val="none"/>
              </w:rPr>
              <w:t>售后及运维服务方案</w:t>
            </w:r>
          </w:p>
          <w:p>
            <w:pPr>
              <w:ind w:firstLine="0" w:firstLineChars="0"/>
              <w:jc w:val="center"/>
              <w:rPr>
                <w:rFonts w:ascii="宋体" w:hAnsi="宋体" w:cs="宋体"/>
                <w:color w:val="auto"/>
                <w:highlight w:val="none"/>
              </w:rPr>
            </w:pPr>
            <w:r>
              <w:rPr>
                <w:rFonts w:hint="eastAsia" w:ascii="宋体" w:hAnsi="宋体" w:cs="宋体"/>
                <w:color w:val="auto"/>
                <w:highlight w:val="none"/>
              </w:rPr>
              <w:t>（8分）</w:t>
            </w:r>
          </w:p>
        </w:tc>
        <w:tc>
          <w:tcPr>
            <w:tcW w:w="6938" w:type="dxa"/>
            <w:vAlign w:val="center"/>
          </w:tcPr>
          <w:p>
            <w:pPr>
              <w:ind w:firstLine="0" w:firstLineChars="0"/>
              <w:rPr>
                <w:rFonts w:ascii="宋体" w:hAnsi="宋体" w:cs="宋体"/>
                <w:color w:val="auto"/>
                <w:highlight w:val="none"/>
              </w:rPr>
            </w:pPr>
            <w:r>
              <w:rPr>
                <w:rFonts w:hint="eastAsia" w:ascii="宋体" w:hAnsi="宋体" w:cs="宋体"/>
                <w:color w:val="auto"/>
                <w:highlight w:val="none"/>
              </w:rPr>
              <w:t>1、根据投标人提供的售后及运维服务方案，售后及运维团队规模及能力、服务承诺的保障措施、服务机构或分支机构设立等情况进行评议，售后及运维服务方案优于招标文件要求，售后运维团队强，服务承诺保证措施充分合理可行的得4-5分；售后及运维服务方案满足招标文件要求，售后运维团队较强，服务承诺保证措施较充分的得2-3分；售后及运维服务方案较简单，售后运维团队一般，服务承诺保证措施一般的得0-1分。</w:t>
            </w:r>
          </w:p>
          <w:p>
            <w:pPr>
              <w:ind w:firstLine="0" w:firstLineChars="0"/>
              <w:rPr>
                <w:rFonts w:ascii="宋体" w:hAnsi="宋体" w:cs="宋体"/>
                <w:b/>
                <w:color w:val="auto"/>
                <w:kern w:val="0"/>
                <w:szCs w:val="21"/>
                <w:highlight w:val="none"/>
              </w:rPr>
            </w:pPr>
            <w:r>
              <w:rPr>
                <w:rFonts w:hint="eastAsia" w:ascii="宋体" w:hAnsi="宋体" w:cs="宋体"/>
                <w:color w:val="auto"/>
                <w:highlight w:val="none"/>
              </w:rPr>
              <w:t>注：投标文件中提供以下材料可作为辅证：</w:t>
            </w:r>
            <w:r>
              <w:rPr>
                <w:rFonts w:hint="eastAsia" w:ascii="宋体" w:hAnsi="宋体" w:cs="宋体"/>
                <w:color w:val="auto"/>
                <w:highlight w:val="none"/>
              </w:rPr>
              <w:t>1、投标单位售后服务网点的营业执照；</w:t>
            </w:r>
            <w:r>
              <w:rPr>
                <w:rFonts w:hint="eastAsia" w:ascii="宋体" w:hAnsi="宋体" w:cs="宋体"/>
                <w:color w:val="auto"/>
                <w:highlight w:val="none"/>
              </w:rPr>
              <w:t>2、主要设备厂家开具的售后服务网点授权书原件扫描件，并承诺所有售后服务的备品、配件必须是原厂配备。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924" w:type="dxa"/>
            <w:vMerge w:val="continue"/>
            <w:vAlign w:val="center"/>
          </w:tcPr>
          <w:p>
            <w:pPr>
              <w:ind w:firstLine="420" w:firstLineChars="0"/>
              <w:jc w:val="center"/>
              <w:rPr>
                <w:rFonts w:ascii="宋体" w:hAnsi="宋体" w:cs="宋体"/>
                <w:color w:val="auto"/>
                <w:szCs w:val="21"/>
                <w:highlight w:val="none"/>
              </w:rPr>
            </w:pPr>
          </w:p>
        </w:tc>
        <w:tc>
          <w:tcPr>
            <w:tcW w:w="1671" w:type="dxa"/>
            <w:vMerge w:val="continue"/>
            <w:vAlign w:val="center"/>
          </w:tcPr>
          <w:p>
            <w:pPr>
              <w:ind w:firstLine="0" w:firstLineChars="0"/>
              <w:jc w:val="center"/>
              <w:rPr>
                <w:rFonts w:ascii="宋体" w:hAnsi="宋体" w:cs="宋体"/>
                <w:color w:val="auto"/>
                <w:highlight w:val="none"/>
              </w:rPr>
            </w:pPr>
          </w:p>
        </w:tc>
        <w:tc>
          <w:tcPr>
            <w:tcW w:w="6938" w:type="dxa"/>
            <w:vAlign w:val="center"/>
          </w:tcPr>
          <w:p>
            <w:pPr>
              <w:ind w:firstLine="0" w:firstLineChars="0"/>
              <w:rPr>
                <w:rFonts w:ascii="宋体" w:hAnsi="宋体" w:cs="宋体"/>
                <w:b/>
                <w:color w:val="auto"/>
                <w:kern w:val="0"/>
                <w:szCs w:val="21"/>
                <w:highlight w:val="none"/>
              </w:rPr>
            </w:pPr>
            <w:r>
              <w:rPr>
                <w:rFonts w:hint="eastAsia" w:ascii="宋体" w:hAnsi="宋体" w:cs="宋体"/>
                <w:color w:val="auto"/>
                <w:highlight w:val="none"/>
              </w:rPr>
              <w:t>2、根据招标文件中主要硬件厂家提供原厂家针对本项目的主要产品（虚拟化及存储系统、网络设备、安全设备）不少于3年的质保证明（质保证明必须由原厂家出具且加盖原厂公章）。投标文件中提供质保证明扫描件，每提供一项质保证明加1分，最多加3分。（质保证明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924" w:type="dxa"/>
            <w:vAlign w:val="center"/>
          </w:tcPr>
          <w:p>
            <w:pPr>
              <w:ind w:firstLine="0" w:firstLineChars="0"/>
              <w:rPr>
                <w:rFonts w:ascii="宋体" w:hAnsi="宋体" w:cs="宋体"/>
                <w:color w:val="auto"/>
                <w:szCs w:val="21"/>
                <w:highlight w:val="none"/>
              </w:rPr>
            </w:pPr>
            <w:r>
              <w:rPr>
                <w:rFonts w:hint="eastAsia" w:ascii="宋体" w:hAnsi="宋体" w:cs="宋体"/>
                <w:bCs/>
                <w:color w:val="auto"/>
                <w:szCs w:val="21"/>
                <w:highlight w:val="none"/>
              </w:rPr>
              <w:t>政策性因素加分（1分）</w:t>
            </w:r>
          </w:p>
        </w:tc>
        <w:tc>
          <w:tcPr>
            <w:tcW w:w="8609" w:type="dxa"/>
            <w:gridSpan w:val="2"/>
            <w:vAlign w:val="center"/>
          </w:tcPr>
          <w:p>
            <w:pPr>
              <w:spacing w:line="400" w:lineRule="exact"/>
              <w:ind w:firstLine="0" w:firstLineChars="0"/>
              <w:rPr>
                <w:rFonts w:ascii="宋体" w:hAnsi="宋体" w:cs="宋体"/>
                <w:color w:val="auto"/>
                <w:szCs w:val="21"/>
                <w:highlight w:val="none"/>
              </w:rPr>
            </w:pPr>
            <w:r>
              <w:rPr>
                <w:rFonts w:hint="eastAsia" w:ascii="宋体" w:hAnsi="宋体" w:cs="宋体"/>
                <w:color w:val="auto"/>
                <w:szCs w:val="21"/>
                <w:highlight w:val="none"/>
              </w:rPr>
              <w:t>投标产品属于《节能产品政府采购标项清单》范围的且具有国家确定的认证机构出具的、处于有效期之内的节能产品认证证书的得0.5分；</w:t>
            </w:r>
          </w:p>
          <w:p>
            <w:pPr>
              <w:spacing w:line="400" w:lineRule="exact"/>
              <w:ind w:firstLine="0" w:firstLineChars="0"/>
              <w:rPr>
                <w:rFonts w:ascii="宋体" w:hAnsi="宋体" w:cs="宋体"/>
                <w:color w:val="auto"/>
                <w:szCs w:val="21"/>
                <w:highlight w:val="none"/>
              </w:rPr>
            </w:pPr>
            <w:r>
              <w:rPr>
                <w:rFonts w:hint="eastAsia" w:ascii="宋体" w:hAnsi="宋体" w:cs="宋体"/>
                <w:color w:val="auto"/>
                <w:szCs w:val="21"/>
                <w:highlight w:val="none"/>
              </w:rPr>
              <w:t>投标产品属于《环境标志产品政府采购标项清单》范围的且具有国家确定的认证机构出具的、处于有效期之内的环境标志产品认证证书的得0.5分。</w:t>
            </w:r>
          </w:p>
          <w:p>
            <w:pPr>
              <w:spacing w:line="400" w:lineRule="exact"/>
              <w:ind w:firstLine="0" w:firstLineChars="0"/>
              <w:rPr>
                <w:rFonts w:ascii="宋体" w:hAnsi="宋体" w:cs="宋体"/>
                <w:color w:val="auto"/>
                <w:szCs w:val="21"/>
                <w:highlight w:val="none"/>
              </w:rPr>
            </w:pPr>
            <w:r>
              <w:rPr>
                <w:rFonts w:hint="eastAsia" w:ascii="宋体" w:hAnsi="宋体" w:cs="宋体"/>
                <w:color w:val="auto"/>
                <w:szCs w:val="21"/>
                <w:highlight w:val="none"/>
              </w:rPr>
              <w:t>注：投标文件中必须同时提供以下资料：</w:t>
            </w:r>
          </w:p>
          <w:p>
            <w:pPr>
              <w:spacing w:line="400" w:lineRule="exact"/>
              <w:ind w:firstLine="0" w:firstLineChars="0"/>
              <w:rPr>
                <w:rFonts w:ascii="宋体" w:hAnsi="宋体" w:cs="宋体"/>
                <w:color w:val="auto"/>
                <w:szCs w:val="21"/>
                <w:highlight w:val="none"/>
              </w:rPr>
            </w:pPr>
            <w:r>
              <w:rPr>
                <w:rFonts w:hint="eastAsia" w:ascii="宋体" w:hAnsi="宋体" w:cs="宋体"/>
                <w:color w:val="auto"/>
                <w:szCs w:val="21"/>
                <w:highlight w:val="none"/>
              </w:rPr>
              <w:t>（1）提供政府采购标项清单相关内容页（并对相关内容作圈记），采购标项清单详见《关于印发环境标志产品政府采购标项清单的通知》（财库〔2019〕18号）和《关于印发节能产品政府采购标项清单的通知》（财库〔2019〕19号）。</w:t>
            </w:r>
          </w:p>
          <w:p>
            <w:pPr>
              <w:ind w:firstLine="0" w:firstLineChars="0"/>
              <w:rPr>
                <w:rFonts w:ascii="宋体" w:hAnsi="宋体" w:cs="宋体"/>
                <w:color w:val="auto"/>
                <w:highlight w:val="none"/>
              </w:rPr>
            </w:pPr>
            <w:r>
              <w:rPr>
                <w:rFonts w:hint="eastAsia" w:ascii="宋体" w:hAnsi="宋体" w:cs="宋体"/>
                <w:color w:val="auto"/>
                <w:szCs w:val="21"/>
                <w:highlight w:val="none"/>
              </w:rPr>
              <w:t>（2）《市场监管总局关于发布参与实施政府采购节能产品、环境标志产品认证机构名录的公告》中的认证机构出具的、处于有效期之内的节能产品/环境标志产品认证证书复印件并加盖公章。</w:t>
            </w:r>
          </w:p>
        </w:tc>
      </w:tr>
    </w:tbl>
    <w:p>
      <w:pPr>
        <w:ind w:firstLine="420"/>
        <w:rPr>
          <w:rFonts w:ascii="宋体" w:hAnsi="宋体" w:cs="宋体"/>
          <w:color w:val="auto"/>
          <w:highlight w:val="none"/>
        </w:rPr>
      </w:pPr>
    </w:p>
    <w:bookmarkEnd w:id="1745"/>
    <w:p>
      <w:pPr>
        <w:ind w:firstLine="422"/>
        <w:rPr>
          <w:rFonts w:ascii="宋体" w:hAnsi="宋体" w:cs="宋体"/>
          <w:b/>
          <w:color w:val="auto"/>
          <w:szCs w:val="21"/>
          <w:highlight w:val="none"/>
        </w:rPr>
      </w:pPr>
    </w:p>
    <w:p>
      <w:pPr>
        <w:ind w:firstLine="420"/>
        <w:rPr>
          <w:rFonts w:ascii="宋体" w:hAnsi="宋体" w:cs="宋体"/>
          <w:color w:val="auto"/>
          <w:szCs w:val="21"/>
          <w:highlight w:val="none"/>
        </w:rPr>
      </w:pPr>
    </w:p>
    <w:p>
      <w:pPr>
        <w:tabs>
          <w:tab w:val="left" w:pos="1080"/>
        </w:tabs>
        <w:ind w:firstLine="0" w:firstLineChars="0"/>
        <w:rPr>
          <w:rFonts w:ascii="宋体" w:hAnsi="宋体" w:cs="宋体"/>
          <w:i/>
          <w:color w:val="auto"/>
          <w:sz w:val="24"/>
          <w:highlight w:val="none"/>
          <w:u w:val="single"/>
        </w:rPr>
        <w:sectPr>
          <w:headerReference r:id="rId13" w:type="default"/>
          <w:footerReference r:id="rId14" w:type="default"/>
          <w:pgSz w:w="11907" w:h="16840"/>
          <w:pgMar w:top="1440" w:right="1797" w:bottom="1440" w:left="1797" w:header="284" w:footer="697" w:gutter="0"/>
          <w:cols w:space="720" w:num="1"/>
          <w:titlePg/>
          <w:docGrid w:linePitch="286" w:charSpace="0"/>
        </w:sectPr>
      </w:pPr>
    </w:p>
    <w:p>
      <w:pPr>
        <w:pStyle w:val="3"/>
        <w:ind w:firstLine="602"/>
        <w:rPr>
          <w:rFonts w:ascii="宋体" w:hAnsi="宋体" w:cs="宋体"/>
          <w:color w:val="auto"/>
          <w:highlight w:val="none"/>
        </w:rPr>
      </w:pPr>
      <w:bookmarkStart w:id="1746" w:name="_Toc476216621"/>
      <w:bookmarkStart w:id="1747" w:name="_Toc23721"/>
      <w:bookmarkStart w:id="1748" w:name="_Toc11974"/>
      <w:bookmarkStart w:id="1749" w:name="_Toc14675"/>
      <w:bookmarkStart w:id="1750" w:name="_Toc3821"/>
      <w:bookmarkStart w:id="1751" w:name="_Toc25540"/>
      <w:bookmarkStart w:id="1752" w:name="_Toc26958"/>
      <w:bookmarkStart w:id="1753" w:name="_Toc16349"/>
      <w:bookmarkStart w:id="1754" w:name="_Toc5703"/>
      <w:bookmarkStart w:id="1755" w:name="_Toc4015"/>
      <w:bookmarkStart w:id="1756" w:name="_Toc27624"/>
      <w:bookmarkStart w:id="1757" w:name="_Toc11854"/>
      <w:bookmarkStart w:id="1758" w:name="_Toc476216660"/>
      <w:bookmarkStart w:id="1759" w:name="_Toc11601"/>
      <w:r>
        <w:rPr>
          <w:rFonts w:hint="eastAsia" w:ascii="宋体" w:hAnsi="宋体" w:cs="宋体"/>
          <w:color w:val="auto"/>
          <w:highlight w:val="none"/>
        </w:rPr>
        <w:t>第五章  政府采购合同主要条款</w:t>
      </w:r>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p>
    <w:p>
      <w:pPr>
        <w:pStyle w:val="22"/>
        <w:snapToGrid w:val="0"/>
        <w:spacing w:before="120" w:beforeLines="0" w:after="120" w:afterLines="0" w:line="420" w:lineRule="exact"/>
        <w:ind w:firstLine="422"/>
        <w:jc w:val="center"/>
        <w:rPr>
          <w:rFonts w:hAnsi="宋体" w:cs="宋体"/>
          <w:color w:val="auto"/>
          <w:sz w:val="21"/>
          <w:szCs w:val="21"/>
          <w:highlight w:val="none"/>
        </w:rPr>
      </w:pPr>
      <w:r>
        <w:rPr>
          <w:rFonts w:hint="eastAsia" w:hAnsi="宋体" w:cs="宋体"/>
          <w:b/>
          <w:color w:val="auto"/>
          <w:sz w:val="21"/>
          <w:szCs w:val="21"/>
          <w:highlight w:val="none"/>
        </w:rPr>
        <w:t>项目合同</w:t>
      </w:r>
    </w:p>
    <w:p>
      <w:pPr>
        <w:pStyle w:val="22"/>
        <w:snapToGrid w:val="0"/>
        <w:spacing w:before="120" w:beforeLines="0" w:after="120" w:afterLines="0" w:line="420" w:lineRule="exact"/>
        <w:ind w:firstLine="420"/>
        <w:rPr>
          <w:rFonts w:hAnsi="宋体" w:cs="宋体"/>
          <w:color w:val="auto"/>
          <w:sz w:val="21"/>
          <w:szCs w:val="21"/>
          <w:highlight w:val="none"/>
        </w:rPr>
      </w:pPr>
      <w:r>
        <w:rPr>
          <w:rFonts w:hint="eastAsia" w:hAnsi="宋体" w:cs="宋体"/>
          <w:color w:val="auto"/>
          <w:sz w:val="21"/>
          <w:szCs w:val="21"/>
          <w:highlight w:val="none"/>
        </w:rPr>
        <w:t>项目名称：</w:t>
      </w:r>
      <w:r>
        <w:rPr>
          <w:rFonts w:hint="eastAsia" w:hAnsi="宋体" w:cs="宋体"/>
          <w:color w:val="auto"/>
          <w:sz w:val="21"/>
          <w:szCs w:val="21"/>
          <w:highlight w:val="none"/>
          <w:u w:val="single"/>
        </w:rPr>
        <w:t xml:space="preserve">                          </w:t>
      </w:r>
      <w:r>
        <w:rPr>
          <w:rFonts w:hint="eastAsia" w:hAnsi="宋体" w:cs="宋体"/>
          <w:color w:val="auto"/>
          <w:sz w:val="21"/>
          <w:szCs w:val="21"/>
          <w:highlight w:val="none"/>
        </w:rPr>
        <w:t xml:space="preserve">           项目编号：</w:t>
      </w:r>
      <w:r>
        <w:rPr>
          <w:rFonts w:hint="eastAsia" w:hAnsi="宋体" w:cs="宋体"/>
          <w:color w:val="auto"/>
          <w:sz w:val="21"/>
          <w:szCs w:val="21"/>
          <w:highlight w:val="none"/>
          <w:u w:val="single"/>
        </w:rPr>
        <w:t xml:space="preserve">                 </w:t>
      </w:r>
    </w:p>
    <w:p>
      <w:pPr>
        <w:pStyle w:val="22"/>
        <w:snapToGrid w:val="0"/>
        <w:spacing w:before="0" w:beforeLines="0" w:after="0" w:afterLines="0" w:line="420" w:lineRule="exact"/>
        <w:ind w:firstLine="420"/>
        <w:rPr>
          <w:rFonts w:hAnsi="宋体" w:cs="宋体"/>
          <w:color w:val="auto"/>
          <w:sz w:val="21"/>
          <w:szCs w:val="21"/>
          <w:highlight w:val="none"/>
        </w:rPr>
      </w:pPr>
    </w:p>
    <w:p>
      <w:pPr>
        <w:spacing w:line="420" w:lineRule="exact"/>
        <w:ind w:firstLine="420"/>
        <w:rPr>
          <w:rFonts w:ascii="宋体" w:hAnsi="宋体" w:cs="宋体"/>
          <w:color w:val="auto"/>
          <w:szCs w:val="21"/>
          <w:highlight w:val="none"/>
          <w:u w:val="single"/>
        </w:rPr>
      </w:pPr>
      <w:r>
        <w:rPr>
          <w:rFonts w:hint="eastAsia" w:ascii="宋体" w:hAnsi="宋体" w:cs="宋体"/>
          <w:color w:val="auto"/>
          <w:szCs w:val="21"/>
          <w:highlight w:val="none"/>
        </w:rPr>
        <w:t>甲方：</w:t>
      </w:r>
      <w:r>
        <w:rPr>
          <w:rFonts w:hint="eastAsia" w:ascii="宋体" w:hAnsi="宋体" w:cs="宋体"/>
          <w:color w:val="auto"/>
          <w:szCs w:val="21"/>
          <w:highlight w:val="none"/>
          <w:u w:val="single"/>
        </w:rPr>
        <w:t xml:space="preserve">                        </w:t>
      </w:r>
    </w:p>
    <w:p>
      <w:pPr>
        <w:spacing w:line="440" w:lineRule="exact"/>
        <w:ind w:firstLine="420"/>
        <w:rPr>
          <w:rFonts w:ascii="宋体" w:hAnsi="宋体" w:cs="宋体"/>
          <w:color w:val="auto"/>
          <w:szCs w:val="21"/>
          <w:highlight w:val="none"/>
        </w:rPr>
      </w:pPr>
      <w:r>
        <w:rPr>
          <w:rFonts w:hint="eastAsia" w:ascii="宋体" w:hAnsi="宋体" w:cs="宋体"/>
          <w:color w:val="auto"/>
          <w:szCs w:val="21"/>
          <w:highlight w:val="none"/>
        </w:rPr>
        <w:t>住所地：</w:t>
      </w:r>
      <w:r>
        <w:rPr>
          <w:rFonts w:hint="eastAsia" w:ascii="宋体" w:hAnsi="宋体" w:cs="宋体"/>
          <w:color w:val="auto"/>
          <w:szCs w:val="21"/>
          <w:highlight w:val="none"/>
          <w:u w:val="single"/>
        </w:rPr>
        <w:t xml:space="preserve">                      </w:t>
      </w:r>
    </w:p>
    <w:p>
      <w:pPr>
        <w:spacing w:line="440" w:lineRule="exact"/>
        <w:ind w:firstLine="420"/>
        <w:rPr>
          <w:rFonts w:ascii="宋体" w:hAnsi="宋体" w:cs="宋体"/>
          <w:color w:val="auto"/>
          <w:szCs w:val="21"/>
          <w:highlight w:val="none"/>
        </w:rPr>
      </w:pPr>
      <w:r>
        <w:rPr>
          <w:rFonts w:hint="eastAsia" w:ascii="宋体" w:hAnsi="宋体" w:cs="宋体"/>
          <w:color w:val="auto"/>
          <w:szCs w:val="21"/>
          <w:highlight w:val="none"/>
        </w:rPr>
        <w:t>联系方式：</w:t>
      </w:r>
      <w:r>
        <w:rPr>
          <w:rFonts w:hint="eastAsia" w:ascii="宋体" w:hAnsi="宋体" w:cs="宋体"/>
          <w:color w:val="auto"/>
          <w:szCs w:val="21"/>
          <w:highlight w:val="none"/>
          <w:u w:val="single"/>
        </w:rPr>
        <w:t xml:space="preserve">                    </w:t>
      </w:r>
    </w:p>
    <w:p>
      <w:pPr>
        <w:spacing w:line="420" w:lineRule="exact"/>
        <w:ind w:firstLine="420"/>
        <w:rPr>
          <w:rFonts w:ascii="宋体" w:hAnsi="宋体" w:cs="宋体"/>
          <w:color w:val="auto"/>
          <w:szCs w:val="21"/>
          <w:highlight w:val="none"/>
          <w:u w:val="single"/>
        </w:rPr>
      </w:pPr>
      <w:r>
        <w:rPr>
          <w:rFonts w:hint="eastAsia" w:ascii="宋体" w:hAnsi="宋体" w:cs="宋体"/>
          <w:color w:val="auto"/>
          <w:szCs w:val="21"/>
          <w:highlight w:val="none"/>
        </w:rPr>
        <w:t>乙方：</w:t>
      </w:r>
      <w:r>
        <w:rPr>
          <w:rFonts w:hint="eastAsia" w:ascii="宋体" w:hAnsi="宋体" w:cs="宋体"/>
          <w:color w:val="auto"/>
          <w:szCs w:val="21"/>
          <w:highlight w:val="none"/>
          <w:u w:val="single"/>
        </w:rPr>
        <w:t xml:space="preserve">                       </w:t>
      </w:r>
    </w:p>
    <w:p>
      <w:pPr>
        <w:spacing w:line="440" w:lineRule="exact"/>
        <w:ind w:firstLine="420"/>
        <w:rPr>
          <w:rFonts w:ascii="宋体" w:hAnsi="宋体" w:cs="宋体"/>
          <w:color w:val="auto"/>
          <w:szCs w:val="21"/>
          <w:highlight w:val="none"/>
        </w:rPr>
      </w:pPr>
      <w:r>
        <w:rPr>
          <w:rFonts w:hint="eastAsia" w:ascii="宋体" w:hAnsi="宋体" w:cs="宋体"/>
          <w:color w:val="auto"/>
          <w:szCs w:val="21"/>
          <w:highlight w:val="none"/>
        </w:rPr>
        <w:t>住所地：</w:t>
      </w:r>
      <w:r>
        <w:rPr>
          <w:rFonts w:hint="eastAsia" w:ascii="宋体" w:hAnsi="宋体" w:cs="宋体"/>
          <w:color w:val="auto"/>
          <w:szCs w:val="21"/>
          <w:highlight w:val="none"/>
          <w:u w:val="single"/>
        </w:rPr>
        <w:t xml:space="preserve">                     </w:t>
      </w:r>
    </w:p>
    <w:p>
      <w:pPr>
        <w:spacing w:line="440" w:lineRule="exact"/>
        <w:ind w:firstLine="420"/>
        <w:rPr>
          <w:rFonts w:ascii="宋体" w:hAnsi="宋体" w:cs="宋体"/>
          <w:color w:val="auto"/>
          <w:szCs w:val="21"/>
          <w:highlight w:val="none"/>
        </w:rPr>
      </w:pPr>
      <w:r>
        <w:rPr>
          <w:rFonts w:hint="eastAsia" w:ascii="宋体" w:hAnsi="宋体" w:cs="宋体"/>
          <w:color w:val="auto"/>
          <w:szCs w:val="21"/>
          <w:highlight w:val="none"/>
        </w:rPr>
        <w:t>联系方式：</w:t>
      </w:r>
      <w:r>
        <w:rPr>
          <w:rFonts w:hint="eastAsia" w:ascii="宋体" w:hAnsi="宋体" w:cs="宋体"/>
          <w:color w:val="auto"/>
          <w:szCs w:val="21"/>
          <w:highlight w:val="none"/>
          <w:u w:val="single"/>
        </w:rPr>
        <w:t xml:space="preserve">                   </w:t>
      </w:r>
    </w:p>
    <w:p>
      <w:pPr>
        <w:pStyle w:val="22"/>
        <w:snapToGrid w:val="0"/>
        <w:spacing w:before="0" w:beforeLines="0" w:after="0" w:afterLines="0" w:line="420" w:lineRule="exact"/>
        <w:ind w:firstLine="420"/>
        <w:rPr>
          <w:rFonts w:hAnsi="宋体" w:cs="宋体"/>
          <w:color w:val="auto"/>
          <w:sz w:val="21"/>
          <w:szCs w:val="21"/>
          <w:highlight w:val="none"/>
        </w:rPr>
      </w:pPr>
    </w:p>
    <w:p>
      <w:pPr>
        <w:spacing w:line="380" w:lineRule="exact"/>
        <w:ind w:firstLine="420"/>
        <w:rPr>
          <w:rFonts w:ascii="宋体" w:hAnsi="宋体" w:cs="宋体"/>
          <w:snapToGrid w:val="0"/>
          <w:color w:val="auto"/>
          <w:szCs w:val="21"/>
          <w:highlight w:val="none"/>
        </w:rPr>
      </w:pPr>
      <w:r>
        <w:rPr>
          <w:rFonts w:hint="eastAsia" w:ascii="宋体" w:hAnsi="宋体" w:cs="宋体"/>
          <w:snapToGrid w:val="0"/>
          <w:color w:val="auto"/>
          <w:szCs w:val="21"/>
          <w:highlight w:val="none"/>
        </w:rPr>
        <w:t>甲方经过</w:t>
      </w:r>
      <w:r>
        <w:rPr>
          <w:rFonts w:hint="eastAsia" w:ascii="宋体" w:hAnsi="宋体" w:cs="宋体"/>
          <w:snapToGrid w:val="0"/>
          <w:color w:val="auto"/>
          <w:szCs w:val="21"/>
          <w:highlight w:val="none"/>
          <w:u w:val="single"/>
        </w:rPr>
        <w:t xml:space="preserve"> 公开招标 </w:t>
      </w:r>
      <w:r>
        <w:rPr>
          <w:rFonts w:hint="eastAsia" w:ascii="宋体" w:hAnsi="宋体" w:cs="宋体"/>
          <w:snapToGrid w:val="0"/>
          <w:color w:val="auto"/>
          <w:szCs w:val="21"/>
          <w:highlight w:val="none"/>
        </w:rPr>
        <w:t>采购方式确定乙方为</w:t>
      </w:r>
      <w:r>
        <w:rPr>
          <w:rFonts w:hint="eastAsia" w:ascii="宋体" w:hAnsi="宋体" w:cs="宋体"/>
          <w:snapToGrid w:val="0"/>
          <w:color w:val="auto"/>
          <w:szCs w:val="21"/>
          <w:highlight w:val="none"/>
          <w:u w:val="single"/>
        </w:rPr>
        <w:t xml:space="preserve">                  </w:t>
      </w:r>
      <w:r>
        <w:rPr>
          <w:rFonts w:hint="eastAsia" w:ascii="宋体" w:hAnsi="宋体" w:cs="宋体"/>
          <w:color w:val="auto"/>
          <w:szCs w:val="21"/>
          <w:highlight w:val="none"/>
          <w:u w:val="single"/>
        </w:rPr>
        <w:t>项目</w:t>
      </w:r>
      <w:r>
        <w:rPr>
          <w:rFonts w:hint="eastAsia" w:ascii="宋体" w:hAnsi="宋体" w:cs="宋体"/>
          <w:snapToGrid w:val="0"/>
          <w:color w:val="auto"/>
          <w:szCs w:val="21"/>
          <w:highlight w:val="none"/>
        </w:rPr>
        <w:t>的提供单位，双方经协商达成以下条款：</w:t>
      </w:r>
    </w:p>
    <w:p>
      <w:pPr>
        <w:spacing w:line="380" w:lineRule="exact"/>
        <w:ind w:firstLine="420"/>
        <w:rPr>
          <w:rFonts w:ascii="宋体" w:hAnsi="宋体" w:cs="宋体"/>
          <w:snapToGrid w:val="0"/>
          <w:color w:val="auto"/>
          <w:szCs w:val="21"/>
          <w:highlight w:val="none"/>
        </w:rPr>
      </w:pPr>
    </w:p>
    <w:p>
      <w:pPr>
        <w:pStyle w:val="22"/>
        <w:numPr>
          <w:ilvl w:val="0"/>
          <w:numId w:val="31"/>
        </w:numPr>
        <w:snapToGrid w:val="0"/>
        <w:spacing w:before="0" w:beforeLines="0" w:after="0" w:afterLines="0" w:line="420" w:lineRule="exact"/>
        <w:ind w:firstLine="422"/>
        <w:rPr>
          <w:rFonts w:hAnsi="宋体" w:cs="宋体"/>
          <w:b/>
          <w:color w:val="auto"/>
          <w:sz w:val="21"/>
          <w:szCs w:val="21"/>
          <w:highlight w:val="none"/>
        </w:rPr>
      </w:pPr>
      <w:r>
        <w:rPr>
          <w:rFonts w:hint="eastAsia" w:hAnsi="宋体" w:cs="宋体"/>
          <w:b/>
          <w:color w:val="auto"/>
          <w:sz w:val="21"/>
          <w:szCs w:val="21"/>
          <w:highlight w:val="none"/>
        </w:rPr>
        <w:t>合同范围</w:t>
      </w:r>
    </w:p>
    <w:p>
      <w:pPr>
        <w:pStyle w:val="22"/>
        <w:snapToGrid w:val="0"/>
        <w:spacing w:before="0" w:beforeLines="0" w:after="0" w:afterLines="0" w:line="420" w:lineRule="exact"/>
        <w:ind w:firstLine="420"/>
        <w:rPr>
          <w:rFonts w:hAnsi="宋体" w:cs="宋体"/>
          <w:color w:val="auto"/>
          <w:sz w:val="21"/>
          <w:szCs w:val="21"/>
          <w:highlight w:val="none"/>
        </w:rPr>
      </w:pPr>
      <w:r>
        <w:rPr>
          <w:rFonts w:hint="eastAsia" w:hAnsi="宋体" w:cs="宋体"/>
          <w:color w:val="auto"/>
          <w:sz w:val="21"/>
          <w:szCs w:val="21"/>
          <w:highlight w:val="none"/>
        </w:rPr>
        <w:t>宁波石化经济技术开发区智慧园区建设一期项目，具体要求详见附件。</w:t>
      </w:r>
    </w:p>
    <w:p>
      <w:pPr>
        <w:pStyle w:val="22"/>
        <w:snapToGrid w:val="0"/>
        <w:spacing w:before="0" w:beforeLines="0" w:after="0" w:afterLines="0" w:line="420" w:lineRule="exact"/>
        <w:ind w:firstLine="422"/>
        <w:rPr>
          <w:rFonts w:hAnsi="宋体" w:cs="宋体"/>
          <w:b/>
          <w:color w:val="auto"/>
          <w:sz w:val="21"/>
          <w:szCs w:val="21"/>
          <w:highlight w:val="none"/>
        </w:rPr>
      </w:pPr>
    </w:p>
    <w:p>
      <w:pPr>
        <w:pStyle w:val="22"/>
        <w:snapToGrid w:val="0"/>
        <w:spacing w:before="0" w:beforeLines="0" w:after="0" w:afterLines="0" w:line="420" w:lineRule="exact"/>
        <w:ind w:firstLine="422"/>
        <w:rPr>
          <w:rFonts w:hAnsi="宋体" w:cs="宋体"/>
          <w:b/>
          <w:color w:val="auto"/>
          <w:sz w:val="21"/>
          <w:szCs w:val="21"/>
          <w:highlight w:val="none"/>
        </w:rPr>
      </w:pPr>
      <w:r>
        <w:rPr>
          <w:rFonts w:hint="eastAsia" w:hAnsi="宋体" w:cs="宋体"/>
          <w:b/>
          <w:color w:val="auto"/>
          <w:sz w:val="21"/>
          <w:szCs w:val="21"/>
          <w:highlight w:val="none"/>
        </w:rPr>
        <w:t>二、合同金额</w:t>
      </w:r>
    </w:p>
    <w:p>
      <w:pPr>
        <w:pStyle w:val="22"/>
        <w:snapToGrid w:val="0"/>
        <w:spacing w:before="0" w:beforeLines="0" w:after="0" w:afterLines="0" w:line="420" w:lineRule="exact"/>
        <w:ind w:firstLine="420"/>
        <w:rPr>
          <w:rFonts w:hAnsi="宋体" w:cs="宋体"/>
          <w:color w:val="auto"/>
          <w:sz w:val="21"/>
          <w:szCs w:val="21"/>
          <w:highlight w:val="none"/>
        </w:rPr>
      </w:pPr>
      <w:r>
        <w:rPr>
          <w:rFonts w:hint="eastAsia" w:hAnsi="宋体" w:cs="宋体"/>
          <w:color w:val="auto"/>
          <w:sz w:val="21"/>
          <w:szCs w:val="21"/>
          <w:highlight w:val="none"/>
        </w:rPr>
        <w:t>本合同金额为：</w:t>
      </w:r>
      <w:r>
        <w:rPr>
          <w:rFonts w:hint="eastAsia" w:hAnsi="宋体" w:cs="宋体"/>
          <w:color w:val="auto"/>
          <w:sz w:val="21"/>
          <w:szCs w:val="21"/>
          <w:highlight w:val="none"/>
          <w:u w:val="single"/>
        </w:rPr>
        <w:t xml:space="preserve">              </w:t>
      </w:r>
      <w:r>
        <w:rPr>
          <w:rFonts w:hint="eastAsia" w:hAnsi="宋体" w:cs="宋体"/>
          <w:color w:val="auto"/>
          <w:sz w:val="21"/>
          <w:szCs w:val="21"/>
          <w:highlight w:val="none"/>
        </w:rPr>
        <w:t>元（大写：</w:t>
      </w:r>
      <w:r>
        <w:rPr>
          <w:rFonts w:hint="eastAsia" w:hAnsi="宋体" w:cs="宋体"/>
          <w:color w:val="auto"/>
          <w:sz w:val="21"/>
          <w:szCs w:val="21"/>
          <w:highlight w:val="none"/>
          <w:u w:val="single"/>
        </w:rPr>
        <w:t xml:space="preserve">             </w:t>
      </w:r>
      <w:r>
        <w:rPr>
          <w:rFonts w:hint="eastAsia" w:hAnsi="宋体" w:cs="宋体"/>
          <w:color w:val="auto"/>
          <w:sz w:val="21"/>
          <w:szCs w:val="21"/>
          <w:highlight w:val="none"/>
        </w:rPr>
        <w:t>）人民币。</w:t>
      </w:r>
    </w:p>
    <w:p>
      <w:pPr>
        <w:pStyle w:val="22"/>
        <w:snapToGrid w:val="0"/>
        <w:spacing w:before="0" w:beforeLines="0" w:after="0" w:afterLines="0" w:line="420" w:lineRule="exact"/>
        <w:ind w:firstLine="420"/>
        <w:rPr>
          <w:rFonts w:hAnsi="宋体" w:cs="宋体"/>
          <w:color w:val="auto"/>
          <w:sz w:val="21"/>
          <w:szCs w:val="21"/>
          <w:highlight w:val="none"/>
        </w:rPr>
      </w:pPr>
    </w:p>
    <w:p>
      <w:pPr>
        <w:pStyle w:val="22"/>
        <w:snapToGrid w:val="0"/>
        <w:spacing w:before="0" w:beforeLines="0" w:after="0" w:afterLines="0" w:line="420" w:lineRule="exact"/>
        <w:ind w:firstLine="422"/>
        <w:rPr>
          <w:rFonts w:hAnsi="宋体" w:cs="宋体"/>
          <w:b/>
          <w:color w:val="auto"/>
          <w:sz w:val="21"/>
          <w:szCs w:val="21"/>
          <w:highlight w:val="none"/>
        </w:rPr>
      </w:pPr>
      <w:r>
        <w:rPr>
          <w:rFonts w:hint="eastAsia" w:hAnsi="宋体" w:cs="宋体"/>
          <w:b/>
          <w:color w:val="auto"/>
          <w:sz w:val="21"/>
          <w:szCs w:val="21"/>
          <w:highlight w:val="none"/>
        </w:rPr>
        <w:t>三、技术资料</w:t>
      </w:r>
    </w:p>
    <w:p>
      <w:pPr>
        <w:spacing w:line="440" w:lineRule="exact"/>
        <w:ind w:firstLine="420"/>
        <w:rPr>
          <w:rFonts w:ascii="宋体" w:hAnsi="宋体" w:cs="宋体"/>
          <w:color w:val="auto"/>
          <w:szCs w:val="21"/>
          <w:highlight w:val="none"/>
        </w:rPr>
      </w:pPr>
      <w:r>
        <w:rPr>
          <w:rFonts w:hint="eastAsia" w:ascii="宋体" w:hAnsi="宋体" w:cs="宋体"/>
          <w:color w:val="auto"/>
          <w:szCs w:val="21"/>
          <w:highlight w:val="none"/>
        </w:rPr>
        <w:t>1.乙方应按招标文件规定的时间向甲方提供本项目的有关技术资料。</w:t>
      </w:r>
    </w:p>
    <w:p>
      <w:pPr>
        <w:spacing w:line="440" w:lineRule="exact"/>
        <w:ind w:firstLine="420"/>
        <w:rPr>
          <w:rFonts w:ascii="宋体" w:hAnsi="宋体" w:cs="宋体"/>
          <w:color w:val="auto"/>
          <w:szCs w:val="21"/>
          <w:highlight w:val="none"/>
        </w:rPr>
      </w:pPr>
      <w:r>
        <w:rPr>
          <w:rFonts w:hint="eastAsia" w:ascii="宋体" w:hAnsi="宋体" w:cs="宋体"/>
          <w:color w:val="auto"/>
          <w:szCs w:val="21"/>
          <w:highlight w:val="none"/>
        </w:rPr>
        <w:t>2.在执行合同过程中发现任何漏项和短缺，在合同或附件清单并未列入，但该部分漏项或短缺是满足合同服务性能所必须的，则均应由乙方负责免费将所漏项或短缺的技术服务在最短的合理时间内补齐。</w:t>
      </w:r>
    </w:p>
    <w:p>
      <w:pPr>
        <w:pStyle w:val="22"/>
        <w:snapToGrid w:val="0"/>
        <w:spacing w:before="0" w:beforeLines="0" w:after="0" w:afterLines="0" w:line="420" w:lineRule="exact"/>
        <w:ind w:firstLine="420"/>
        <w:rPr>
          <w:rFonts w:hAnsi="宋体" w:cs="宋体"/>
          <w:color w:val="auto"/>
          <w:sz w:val="21"/>
          <w:szCs w:val="21"/>
          <w:highlight w:val="none"/>
        </w:rPr>
      </w:pPr>
      <w:r>
        <w:rPr>
          <w:rFonts w:hint="eastAsia" w:hAnsi="宋体" w:cs="宋体"/>
          <w:color w:val="auto"/>
          <w:sz w:val="21"/>
          <w:szCs w:val="21"/>
          <w:highlight w:val="none"/>
        </w:rPr>
        <w:t>3.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22"/>
        <w:snapToGrid w:val="0"/>
        <w:spacing w:before="0" w:beforeLines="0" w:after="0" w:afterLines="0" w:line="420" w:lineRule="exact"/>
        <w:ind w:left="359" w:hanging="359" w:hangingChars="171"/>
        <w:rPr>
          <w:rFonts w:hAnsi="宋体" w:cs="宋体"/>
          <w:color w:val="auto"/>
          <w:sz w:val="21"/>
          <w:szCs w:val="21"/>
          <w:highlight w:val="none"/>
        </w:rPr>
      </w:pPr>
    </w:p>
    <w:p>
      <w:pPr>
        <w:pStyle w:val="22"/>
        <w:snapToGrid w:val="0"/>
        <w:spacing w:before="0" w:beforeLines="0" w:after="0" w:afterLines="0" w:line="360" w:lineRule="auto"/>
        <w:ind w:firstLine="0" w:firstLineChars="0"/>
        <w:rPr>
          <w:rFonts w:hAnsi="宋体" w:cs="宋体"/>
          <w:b/>
          <w:color w:val="auto"/>
          <w:sz w:val="21"/>
          <w:szCs w:val="21"/>
          <w:highlight w:val="none"/>
        </w:rPr>
      </w:pPr>
      <w:r>
        <w:rPr>
          <w:rFonts w:hint="eastAsia" w:hAnsi="宋体" w:cs="宋体"/>
          <w:color w:val="auto"/>
          <w:sz w:val="21"/>
          <w:szCs w:val="21"/>
          <w:highlight w:val="none"/>
        </w:rPr>
        <w:t xml:space="preserve">    </w:t>
      </w:r>
      <w:r>
        <w:rPr>
          <w:rFonts w:hint="eastAsia" w:hAnsi="宋体" w:cs="宋体"/>
          <w:b/>
          <w:color w:val="auto"/>
          <w:sz w:val="21"/>
          <w:szCs w:val="21"/>
          <w:highlight w:val="none"/>
        </w:rPr>
        <w:t>四、知识产权</w:t>
      </w:r>
    </w:p>
    <w:p>
      <w:pPr>
        <w:ind w:firstLine="420"/>
        <w:rPr>
          <w:rFonts w:ascii="宋体" w:hAnsi="宋体" w:cs="宋体"/>
          <w:color w:val="auto"/>
          <w:highlight w:val="none"/>
        </w:rPr>
      </w:pPr>
      <w:r>
        <w:rPr>
          <w:rFonts w:hint="eastAsia" w:ascii="宋体" w:hAnsi="宋体" w:cs="宋体"/>
          <w:color w:val="auto"/>
          <w:highlight w:val="none"/>
        </w:rPr>
        <w:t>1、乙方应保证所提供的货物或其任何一部分、全部技术资料以及在提供服务过程中均不会侵犯任何第三方的知识产权；</w:t>
      </w:r>
    </w:p>
    <w:p>
      <w:pPr>
        <w:ind w:firstLine="420"/>
        <w:rPr>
          <w:rFonts w:ascii="宋体" w:hAnsi="宋体" w:cs="宋体"/>
          <w:color w:val="auto"/>
          <w:highlight w:val="none"/>
        </w:rPr>
      </w:pPr>
      <w:r>
        <w:rPr>
          <w:rFonts w:hint="eastAsia" w:ascii="宋体" w:hAnsi="宋体" w:cs="宋体"/>
          <w:color w:val="auto"/>
          <w:highlight w:val="none"/>
        </w:rPr>
        <w:t>2、系统收集和产生数据所有权归甲方，乙方只限于在本项目中使用数据；</w:t>
      </w:r>
    </w:p>
    <w:p>
      <w:pPr>
        <w:ind w:firstLine="420"/>
        <w:rPr>
          <w:rFonts w:ascii="宋体" w:hAnsi="宋体" w:cs="宋体"/>
          <w:color w:val="auto"/>
          <w:highlight w:val="none"/>
        </w:rPr>
      </w:pPr>
      <w:r>
        <w:rPr>
          <w:rFonts w:hint="eastAsia" w:ascii="宋体" w:hAnsi="宋体" w:cs="宋体"/>
          <w:color w:val="auto"/>
          <w:highlight w:val="none"/>
        </w:rPr>
        <w:t>3、系统应用软件源代码知识产权归甲方所有，项目具备验收条件后，乙方需将应用软件源代码全部交付给甲方，甲方经第三方机构验证并确认代码完整后，项目方可进行验收；</w:t>
      </w:r>
    </w:p>
    <w:p>
      <w:pPr>
        <w:ind w:firstLine="420"/>
        <w:rPr>
          <w:rFonts w:ascii="宋体" w:hAnsi="宋体" w:cs="宋体"/>
          <w:color w:val="auto"/>
          <w:szCs w:val="21"/>
          <w:highlight w:val="none"/>
        </w:rPr>
      </w:pPr>
      <w:r>
        <w:rPr>
          <w:rFonts w:hint="eastAsia" w:ascii="宋体" w:hAnsi="宋体" w:cs="宋体"/>
          <w:color w:val="auto"/>
          <w:highlight w:val="none"/>
        </w:rPr>
        <w:t>4、如因此发生任何针对甲方的争议、索赔、诉讼等，产生的一切法律责任与费用均由乙方承担。</w:t>
      </w:r>
    </w:p>
    <w:p>
      <w:pPr>
        <w:spacing w:line="420" w:lineRule="exact"/>
        <w:ind w:firstLine="422"/>
        <w:rPr>
          <w:rFonts w:ascii="宋体" w:hAnsi="宋体" w:cs="宋体"/>
          <w:b/>
          <w:color w:val="auto"/>
          <w:szCs w:val="21"/>
          <w:highlight w:val="none"/>
        </w:rPr>
      </w:pPr>
    </w:p>
    <w:p>
      <w:pPr>
        <w:spacing w:line="420" w:lineRule="exact"/>
        <w:ind w:firstLine="422" w:firstLineChars="0"/>
        <w:rPr>
          <w:rFonts w:ascii="宋体" w:hAnsi="宋体" w:cs="宋体"/>
          <w:b/>
          <w:color w:val="auto"/>
          <w:szCs w:val="21"/>
          <w:highlight w:val="none"/>
        </w:rPr>
      </w:pPr>
      <w:r>
        <w:rPr>
          <w:rFonts w:hint="eastAsia" w:ascii="宋体" w:hAnsi="宋体" w:cs="宋体"/>
          <w:b/>
          <w:color w:val="auto"/>
          <w:szCs w:val="21"/>
          <w:highlight w:val="none"/>
        </w:rPr>
        <w:t>五、转包</w:t>
      </w:r>
    </w:p>
    <w:p>
      <w:pPr>
        <w:spacing w:line="420" w:lineRule="exact"/>
        <w:ind w:firstLine="420"/>
        <w:rPr>
          <w:rFonts w:ascii="宋体" w:hAnsi="宋体" w:cs="宋体"/>
          <w:color w:val="auto"/>
          <w:szCs w:val="21"/>
          <w:highlight w:val="none"/>
        </w:rPr>
      </w:pPr>
      <w:r>
        <w:rPr>
          <w:rFonts w:hint="eastAsia" w:ascii="宋体" w:hAnsi="宋体" w:cs="宋体"/>
          <w:color w:val="auto"/>
          <w:szCs w:val="21"/>
          <w:highlight w:val="none"/>
        </w:rPr>
        <w:t>1. 本合同范围的服务，应由乙方直接供应，不得转让他人供应；</w:t>
      </w:r>
    </w:p>
    <w:p>
      <w:pPr>
        <w:spacing w:line="420" w:lineRule="exact"/>
        <w:ind w:firstLine="420"/>
        <w:rPr>
          <w:rFonts w:ascii="宋体" w:hAnsi="宋体" w:cs="宋体"/>
          <w:color w:val="auto"/>
          <w:szCs w:val="21"/>
          <w:highlight w:val="none"/>
        </w:rPr>
      </w:pPr>
      <w:r>
        <w:rPr>
          <w:rFonts w:hint="eastAsia" w:ascii="宋体" w:hAnsi="宋体" w:cs="宋体"/>
          <w:color w:val="auto"/>
          <w:szCs w:val="21"/>
          <w:highlight w:val="none"/>
        </w:rPr>
        <w:t>2. 如有转让行为，甲方有权解除合同，并追究乙方的违约责任。</w:t>
      </w:r>
    </w:p>
    <w:p>
      <w:pPr>
        <w:snapToGrid w:val="0"/>
        <w:spacing w:line="420" w:lineRule="exact"/>
        <w:ind w:firstLine="422"/>
        <w:rPr>
          <w:rFonts w:ascii="宋体" w:hAnsi="宋体" w:cs="宋体"/>
          <w:b/>
          <w:bCs/>
          <w:color w:val="auto"/>
          <w:szCs w:val="21"/>
          <w:highlight w:val="none"/>
        </w:rPr>
      </w:pPr>
    </w:p>
    <w:p>
      <w:pPr>
        <w:spacing w:line="420" w:lineRule="exact"/>
        <w:ind w:firstLine="422" w:firstLineChars="0"/>
        <w:rPr>
          <w:rFonts w:ascii="宋体" w:hAnsi="宋体" w:cs="宋体"/>
          <w:b/>
          <w:color w:val="auto"/>
          <w:szCs w:val="21"/>
          <w:highlight w:val="none"/>
        </w:rPr>
      </w:pPr>
      <w:r>
        <w:rPr>
          <w:rFonts w:hint="eastAsia" w:ascii="宋体" w:hAnsi="宋体" w:cs="宋体"/>
          <w:b/>
          <w:color w:val="auto"/>
          <w:szCs w:val="21"/>
          <w:highlight w:val="none"/>
        </w:rPr>
        <w:t>六、履约保证金</w:t>
      </w:r>
    </w:p>
    <w:p>
      <w:pPr>
        <w:pStyle w:val="22"/>
        <w:snapToGrid w:val="0"/>
        <w:spacing w:before="0" w:beforeLines="0" w:after="0" w:afterLines="0" w:line="420" w:lineRule="exact"/>
        <w:ind w:firstLine="420"/>
        <w:rPr>
          <w:rFonts w:hAnsi="宋体" w:cs="宋体"/>
          <w:color w:val="auto"/>
          <w:sz w:val="21"/>
          <w:szCs w:val="21"/>
          <w:highlight w:val="none"/>
        </w:rPr>
      </w:pPr>
      <w:r>
        <w:rPr>
          <w:rFonts w:hint="eastAsia" w:hAnsi="宋体" w:cs="宋体"/>
          <w:color w:val="auto"/>
          <w:sz w:val="21"/>
          <w:szCs w:val="21"/>
          <w:highlight w:val="none"/>
        </w:rPr>
        <w:t>1.履约保证金：合同金额的5%。</w:t>
      </w:r>
    </w:p>
    <w:p>
      <w:pPr>
        <w:pStyle w:val="22"/>
        <w:snapToGrid w:val="0"/>
        <w:spacing w:before="0" w:beforeLines="0" w:after="0" w:afterLines="0" w:line="420" w:lineRule="exact"/>
        <w:ind w:firstLine="420"/>
        <w:rPr>
          <w:rFonts w:hAnsi="宋体" w:cs="宋体"/>
          <w:color w:val="auto"/>
          <w:sz w:val="21"/>
          <w:szCs w:val="21"/>
          <w:highlight w:val="none"/>
        </w:rPr>
      </w:pPr>
      <w:r>
        <w:rPr>
          <w:rFonts w:hint="eastAsia" w:hAnsi="宋体" w:cs="宋体"/>
          <w:color w:val="auto"/>
          <w:sz w:val="21"/>
          <w:szCs w:val="21"/>
          <w:highlight w:val="none"/>
        </w:rPr>
        <w:t>2.签订合同之日起7天内支付履约保证金，在项目五年运维期结束后30天内无息退还。如乙方拒绝履行合同规定的义务，履约保证金将作为违约金被没收，履约保证金不足以赔偿损失的，按实际损失赔偿。</w:t>
      </w:r>
    </w:p>
    <w:p>
      <w:pPr>
        <w:spacing w:line="420" w:lineRule="exact"/>
        <w:ind w:firstLine="422" w:firstLineChars="0"/>
        <w:rPr>
          <w:rFonts w:ascii="宋体" w:hAnsi="宋体" w:cs="宋体"/>
          <w:b/>
          <w:color w:val="auto"/>
          <w:szCs w:val="21"/>
          <w:highlight w:val="none"/>
        </w:rPr>
      </w:pPr>
    </w:p>
    <w:p>
      <w:pPr>
        <w:spacing w:line="420" w:lineRule="exact"/>
        <w:ind w:firstLine="422" w:firstLineChars="0"/>
        <w:rPr>
          <w:rFonts w:ascii="宋体" w:hAnsi="宋体" w:cs="宋体"/>
          <w:b/>
          <w:color w:val="auto"/>
          <w:szCs w:val="21"/>
          <w:highlight w:val="none"/>
        </w:rPr>
      </w:pPr>
      <w:r>
        <w:rPr>
          <w:rFonts w:hint="eastAsia" w:ascii="宋体" w:hAnsi="宋体" w:cs="宋体"/>
          <w:b/>
          <w:color w:val="auto"/>
          <w:szCs w:val="21"/>
          <w:highlight w:val="none"/>
        </w:rPr>
        <w:t>七、合同履行时间、履行方式及履行地点</w:t>
      </w:r>
    </w:p>
    <w:p>
      <w:pPr>
        <w:spacing w:line="420" w:lineRule="exact"/>
        <w:ind w:firstLine="420"/>
        <w:rPr>
          <w:rFonts w:ascii="宋体" w:hAnsi="宋体" w:cs="宋体"/>
          <w:color w:val="auto"/>
          <w:szCs w:val="21"/>
          <w:highlight w:val="none"/>
        </w:rPr>
      </w:pPr>
      <w:r>
        <w:rPr>
          <w:rFonts w:hint="eastAsia" w:ascii="宋体" w:hAnsi="宋体" w:cs="宋体"/>
          <w:color w:val="auto"/>
          <w:szCs w:val="21"/>
          <w:highlight w:val="none"/>
        </w:rPr>
        <w:t xml:space="preserve">1. 履行时间： </w:t>
      </w:r>
    </w:p>
    <w:p>
      <w:pPr>
        <w:spacing w:line="420" w:lineRule="exact"/>
        <w:ind w:firstLine="420"/>
        <w:rPr>
          <w:rFonts w:ascii="宋体" w:hAnsi="宋体" w:cs="宋体"/>
          <w:color w:val="auto"/>
          <w:szCs w:val="21"/>
          <w:highlight w:val="none"/>
        </w:rPr>
      </w:pPr>
      <w:r>
        <w:rPr>
          <w:rFonts w:hint="eastAsia" w:ascii="宋体" w:hAnsi="宋体" w:cs="宋体"/>
          <w:color w:val="auto"/>
          <w:szCs w:val="21"/>
          <w:highlight w:val="none"/>
        </w:rPr>
        <w:t>2. 履行方式：</w:t>
      </w:r>
    </w:p>
    <w:p>
      <w:pPr>
        <w:spacing w:line="420" w:lineRule="exact"/>
        <w:ind w:firstLine="420"/>
        <w:rPr>
          <w:rFonts w:ascii="宋体" w:hAnsi="宋体" w:cs="宋体"/>
          <w:color w:val="auto"/>
          <w:szCs w:val="21"/>
          <w:highlight w:val="none"/>
        </w:rPr>
      </w:pPr>
      <w:r>
        <w:rPr>
          <w:rFonts w:hint="eastAsia" w:ascii="宋体" w:hAnsi="宋体" w:cs="宋体"/>
          <w:color w:val="auto"/>
          <w:szCs w:val="21"/>
          <w:highlight w:val="none"/>
        </w:rPr>
        <w:t>3. 履行地点：</w:t>
      </w:r>
    </w:p>
    <w:p>
      <w:pPr>
        <w:snapToGrid w:val="0"/>
        <w:spacing w:line="420" w:lineRule="exact"/>
        <w:ind w:firstLine="422"/>
        <w:rPr>
          <w:rFonts w:ascii="宋体" w:hAnsi="宋体" w:cs="宋体"/>
          <w:b/>
          <w:bCs/>
          <w:color w:val="auto"/>
          <w:szCs w:val="21"/>
          <w:highlight w:val="none"/>
        </w:rPr>
      </w:pPr>
    </w:p>
    <w:p>
      <w:pPr>
        <w:spacing w:line="420" w:lineRule="exact"/>
        <w:ind w:firstLine="422" w:firstLineChars="0"/>
        <w:rPr>
          <w:rFonts w:ascii="宋体" w:hAnsi="宋体" w:cs="宋体"/>
          <w:b/>
          <w:color w:val="auto"/>
          <w:szCs w:val="21"/>
          <w:highlight w:val="none"/>
        </w:rPr>
      </w:pPr>
      <w:r>
        <w:rPr>
          <w:rFonts w:hint="eastAsia" w:ascii="宋体" w:hAnsi="宋体" w:cs="宋体"/>
          <w:b/>
          <w:color w:val="auto"/>
          <w:szCs w:val="21"/>
          <w:highlight w:val="none"/>
        </w:rPr>
        <w:t>八、款项支付</w:t>
      </w:r>
    </w:p>
    <w:p>
      <w:pPr>
        <w:snapToGrid w:val="0"/>
        <w:spacing w:before="120" w:beforeLines="50"/>
        <w:ind w:firstLine="420"/>
        <w:rPr>
          <w:rFonts w:ascii="宋体" w:hAnsi="宋体" w:cs="宋体"/>
          <w:color w:val="auto"/>
          <w:szCs w:val="21"/>
          <w:highlight w:val="none"/>
          <w:lang w:val="zh-CN"/>
        </w:rPr>
      </w:pPr>
      <w:r>
        <w:rPr>
          <w:rFonts w:hint="eastAsia" w:ascii="宋体" w:hAnsi="宋体" w:cs="宋体"/>
          <w:color w:val="auto"/>
          <w:szCs w:val="21"/>
          <w:highlight w:val="none"/>
          <w:lang w:val="zh-CN"/>
        </w:rPr>
        <w:t>1.合同签订后支付</w:t>
      </w:r>
      <w:r>
        <w:rPr>
          <w:rFonts w:hint="eastAsia" w:ascii="宋体" w:hAnsi="宋体" w:cs="宋体"/>
          <w:color w:val="auto"/>
          <w:szCs w:val="21"/>
          <w:highlight w:val="none"/>
        </w:rPr>
        <w:t>应支付建设费用</w:t>
      </w:r>
      <w:r>
        <w:rPr>
          <w:rFonts w:hint="eastAsia" w:ascii="宋体" w:hAnsi="宋体" w:cs="宋体"/>
          <w:color w:val="auto"/>
          <w:szCs w:val="21"/>
          <w:highlight w:val="none"/>
          <w:lang w:val="zh-CN"/>
        </w:rPr>
        <w:t>（</w:t>
      </w:r>
      <w:r>
        <w:rPr>
          <w:rFonts w:hint="eastAsia" w:ascii="宋体" w:hAnsi="宋体" w:cs="宋体"/>
          <w:color w:val="auto"/>
          <w:szCs w:val="21"/>
          <w:highlight w:val="none"/>
        </w:rPr>
        <w:t>应支付建设费用=</w:t>
      </w:r>
      <w:r>
        <w:rPr>
          <w:rFonts w:hint="eastAsia" w:ascii="宋体" w:hAnsi="宋体" w:cs="宋体"/>
          <w:color w:val="auto"/>
          <w:szCs w:val="21"/>
          <w:highlight w:val="none"/>
          <w:lang w:val="zh-CN"/>
        </w:rPr>
        <w:t>合同总价</w:t>
      </w:r>
      <w:r>
        <w:rPr>
          <w:rFonts w:hint="eastAsia" w:ascii="宋体" w:hAnsi="宋体" w:cs="宋体"/>
          <w:color w:val="auto"/>
          <w:szCs w:val="21"/>
          <w:highlight w:val="none"/>
        </w:rPr>
        <w:t>-运维费用-硬件维修及折旧包干费）</w:t>
      </w:r>
      <w:r>
        <w:rPr>
          <w:rFonts w:hint="eastAsia" w:ascii="宋体" w:hAnsi="宋体" w:cs="宋体"/>
          <w:color w:val="auto"/>
          <w:szCs w:val="21"/>
          <w:highlight w:val="none"/>
          <w:lang w:val="zh-CN"/>
        </w:rPr>
        <w:t>的</w:t>
      </w:r>
      <w:r>
        <w:rPr>
          <w:rFonts w:hint="eastAsia" w:ascii="宋体" w:hAnsi="宋体" w:cs="宋体"/>
          <w:color w:val="auto"/>
          <w:szCs w:val="21"/>
          <w:highlight w:val="none"/>
        </w:rPr>
        <w:t>30</w:t>
      </w:r>
      <w:r>
        <w:rPr>
          <w:rFonts w:hint="eastAsia" w:ascii="宋体" w:hAnsi="宋体" w:cs="宋体"/>
          <w:color w:val="auto"/>
          <w:szCs w:val="21"/>
          <w:highlight w:val="none"/>
          <w:lang w:val="zh-CN"/>
        </w:rPr>
        <w:t>%，作为项目</w:t>
      </w:r>
      <w:r>
        <w:rPr>
          <w:rFonts w:hint="eastAsia" w:ascii="宋体" w:hAnsi="宋体" w:cs="宋体"/>
          <w:color w:val="auto"/>
          <w:szCs w:val="21"/>
          <w:highlight w:val="none"/>
        </w:rPr>
        <w:t>预付款。</w:t>
      </w:r>
    </w:p>
    <w:p>
      <w:pPr>
        <w:snapToGrid w:val="0"/>
        <w:spacing w:before="120" w:beforeLines="50"/>
        <w:ind w:firstLine="420"/>
        <w:rPr>
          <w:rFonts w:ascii="宋体" w:hAnsi="宋体" w:cs="宋体"/>
          <w:color w:val="auto"/>
          <w:szCs w:val="21"/>
          <w:highlight w:val="none"/>
          <w:lang w:val="zh-CN"/>
        </w:rPr>
      </w:pPr>
      <w:r>
        <w:rPr>
          <w:rFonts w:hint="eastAsia" w:ascii="宋体" w:hAnsi="宋体" w:cs="宋体"/>
          <w:color w:val="auto"/>
          <w:szCs w:val="21"/>
          <w:highlight w:val="none"/>
          <w:lang w:val="zh-CN"/>
        </w:rPr>
        <w:t>2.项目</w:t>
      </w:r>
      <w:r>
        <w:rPr>
          <w:rFonts w:hint="eastAsia" w:ascii="宋体" w:hAnsi="宋体" w:cs="宋体"/>
          <w:color w:val="auto"/>
          <w:szCs w:val="21"/>
          <w:highlight w:val="none"/>
        </w:rPr>
        <w:t>完成与产业大脑对接</w:t>
      </w:r>
      <w:r>
        <w:rPr>
          <w:rFonts w:hint="eastAsia" w:ascii="宋体" w:hAnsi="宋体" w:cs="宋体"/>
          <w:b/>
          <w:bCs/>
          <w:color w:val="auto"/>
          <w:szCs w:val="21"/>
          <w:highlight w:val="none"/>
        </w:rPr>
        <w:t>(平台数据上传产业大脑，接入率达30%以上)</w:t>
      </w:r>
      <w:r>
        <w:rPr>
          <w:rFonts w:hint="eastAsia" w:ascii="宋体" w:hAnsi="宋体" w:cs="宋体"/>
          <w:color w:val="auto"/>
          <w:szCs w:val="21"/>
          <w:highlight w:val="none"/>
          <w:lang w:val="zh-CN"/>
        </w:rPr>
        <w:t>后一个月内支付</w:t>
      </w:r>
      <w:r>
        <w:rPr>
          <w:rFonts w:hint="eastAsia" w:ascii="宋体" w:hAnsi="宋体" w:cs="宋体"/>
          <w:color w:val="auto"/>
          <w:szCs w:val="21"/>
          <w:highlight w:val="none"/>
        </w:rPr>
        <w:t>应支付建设费用</w:t>
      </w:r>
      <w:r>
        <w:rPr>
          <w:rFonts w:hint="eastAsia" w:ascii="宋体" w:hAnsi="宋体" w:cs="宋体"/>
          <w:color w:val="auto"/>
          <w:szCs w:val="21"/>
          <w:highlight w:val="none"/>
          <w:lang w:val="zh-CN"/>
        </w:rPr>
        <w:t>的</w:t>
      </w:r>
      <w:r>
        <w:rPr>
          <w:rFonts w:hint="eastAsia" w:ascii="宋体" w:hAnsi="宋体" w:cs="宋体"/>
          <w:color w:val="auto"/>
          <w:szCs w:val="21"/>
          <w:highlight w:val="none"/>
        </w:rPr>
        <w:t>2</w:t>
      </w:r>
      <w:r>
        <w:rPr>
          <w:rFonts w:hint="eastAsia" w:ascii="宋体" w:hAnsi="宋体" w:cs="宋体"/>
          <w:color w:val="auto"/>
          <w:szCs w:val="21"/>
          <w:highlight w:val="none"/>
          <w:lang w:val="zh-CN"/>
        </w:rPr>
        <w:t>0%。</w:t>
      </w:r>
    </w:p>
    <w:p>
      <w:pPr>
        <w:snapToGrid w:val="0"/>
        <w:spacing w:before="120" w:beforeLines="50"/>
        <w:ind w:firstLine="420"/>
        <w:rPr>
          <w:rFonts w:ascii="宋体" w:hAnsi="宋体" w:cs="宋体"/>
          <w:color w:val="auto"/>
          <w:szCs w:val="21"/>
          <w:highlight w:val="none"/>
          <w:lang w:val="zh-CN"/>
        </w:rPr>
      </w:pPr>
      <w:r>
        <w:rPr>
          <w:rFonts w:hint="eastAsia" w:ascii="宋体" w:hAnsi="宋体" w:cs="宋体"/>
          <w:color w:val="auto"/>
          <w:szCs w:val="21"/>
          <w:highlight w:val="none"/>
        </w:rPr>
        <w:t>3.项目完成验收后一个月内支付应支付建设费用</w:t>
      </w:r>
      <w:r>
        <w:rPr>
          <w:rFonts w:hint="eastAsia" w:ascii="宋体" w:hAnsi="宋体" w:cs="宋体"/>
          <w:color w:val="auto"/>
          <w:szCs w:val="21"/>
          <w:highlight w:val="none"/>
          <w:lang w:val="zh-CN"/>
        </w:rPr>
        <w:t>的</w:t>
      </w:r>
      <w:r>
        <w:rPr>
          <w:rFonts w:hint="eastAsia" w:ascii="宋体" w:hAnsi="宋体" w:cs="宋体"/>
          <w:color w:val="auto"/>
          <w:szCs w:val="21"/>
          <w:highlight w:val="none"/>
        </w:rPr>
        <w:t>50</w:t>
      </w:r>
      <w:r>
        <w:rPr>
          <w:rFonts w:hint="eastAsia" w:ascii="宋体" w:hAnsi="宋体" w:cs="宋体"/>
          <w:color w:val="auto"/>
          <w:szCs w:val="21"/>
          <w:highlight w:val="none"/>
          <w:lang w:val="zh-CN"/>
        </w:rPr>
        <w:t>%。</w:t>
      </w:r>
    </w:p>
    <w:p>
      <w:pPr>
        <w:snapToGrid w:val="0"/>
        <w:spacing w:before="120" w:beforeLines="50"/>
        <w:ind w:firstLine="420"/>
        <w:rPr>
          <w:rFonts w:ascii="宋体" w:hAnsi="宋体" w:cs="宋体"/>
          <w:color w:val="auto"/>
          <w:szCs w:val="21"/>
          <w:highlight w:val="none"/>
          <w:lang w:val="zh-CN"/>
        </w:rPr>
      </w:pPr>
      <w:r>
        <w:rPr>
          <w:rFonts w:hint="eastAsia" w:ascii="宋体" w:hAnsi="宋体" w:cs="宋体"/>
          <w:color w:val="auto"/>
          <w:szCs w:val="21"/>
          <w:highlight w:val="none"/>
        </w:rPr>
        <w:t>4.项目完成验收满一年后，一个月内支付第一年运维费用。</w:t>
      </w:r>
    </w:p>
    <w:p>
      <w:pPr>
        <w:snapToGrid w:val="0"/>
        <w:spacing w:before="120" w:beforeLines="50"/>
        <w:ind w:firstLine="420"/>
        <w:rPr>
          <w:rFonts w:ascii="宋体" w:hAnsi="宋体" w:cs="宋体"/>
          <w:color w:val="auto"/>
          <w:szCs w:val="21"/>
          <w:highlight w:val="none"/>
          <w:lang w:val="zh-CN"/>
        </w:rPr>
      </w:pPr>
      <w:r>
        <w:rPr>
          <w:rFonts w:hint="eastAsia" w:ascii="宋体" w:hAnsi="宋体" w:cs="宋体"/>
          <w:color w:val="auto"/>
          <w:szCs w:val="21"/>
          <w:highlight w:val="none"/>
        </w:rPr>
        <w:t>5.项目完成验收满二年后，一个月内支付第二年运维费用。</w:t>
      </w:r>
    </w:p>
    <w:p>
      <w:pPr>
        <w:snapToGrid w:val="0"/>
        <w:spacing w:before="120" w:beforeLines="50"/>
        <w:ind w:firstLine="420"/>
        <w:rPr>
          <w:rFonts w:ascii="宋体" w:hAnsi="宋体" w:cs="宋体"/>
          <w:color w:val="auto"/>
          <w:szCs w:val="21"/>
          <w:highlight w:val="none"/>
          <w:lang w:val="zh-CN"/>
        </w:rPr>
      </w:pPr>
      <w:r>
        <w:rPr>
          <w:rFonts w:hint="eastAsia" w:ascii="宋体" w:hAnsi="宋体" w:cs="宋体"/>
          <w:color w:val="auto"/>
          <w:szCs w:val="21"/>
          <w:highlight w:val="none"/>
        </w:rPr>
        <w:t>6.项目完成验收满三年后，一个月内支付第三年运维费用。</w:t>
      </w:r>
    </w:p>
    <w:p>
      <w:pPr>
        <w:snapToGrid w:val="0"/>
        <w:spacing w:before="120" w:beforeLines="50"/>
        <w:ind w:firstLine="420"/>
        <w:rPr>
          <w:rFonts w:ascii="宋体" w:hAnsi="宋体" w:cs="宋体"/>
          <w:color w:val="auto"/>
          <w:szCs w:val="21"/>
          <w:highlight w:val="none"/>
          <w:lang w:val="zh-CN"/>
        </w:rPr>
      </w:pPr>
      <w:r>
        <w:rPr>
          <w:rFonts w:hint="eastAsia" w:ascii="宋体" w:hAnsi="宋体" w:cs="宋体"/>
          <w:color w:val="auto"/>
          <w:szCs w:val="21"/>
          <w:highlight w:val="none"/>
        </w:rPr>
        <w:t>7.项目完成验收满四年后，一个月内支付第四年运维费用及硬件维修及折旧包干费。</w:t>
      </w:r>
    </w:p>
    <w:p>
      <w:pPr>
        <w:snapToGrid w:val="0"/>
        <w:spacing w:before="120" w:beforeLines="50"/>
        <w:ind w:firstLine="420"/>
        <w:rPr>
          <w:rFonts w:ascii="宋体" w:hAnsi="宋体" w:cs="宋体"/>
          <w:color w:val="auto"/>
          <w:szCs w:val="21"/>
          <w:highlight w:val="none"/>
        </w:rPr>
      </w:pPr>
      <w:r>
        <w:rPr>
          <w:rFonts w:hint="eastAsia" w:ascii="宋体" w:hAnsi="宋体" w:cs="宋体"/>
          <w:color w:val="auto"/>
          <w:szCs w:val="21"/>
          <w:highlight w:val="none"/>
        </w:rPr>
        <w:t>8.项目完成验收满五年后，一个月内支付第五年运维费用及硬件维修及折旧包干费。</w:t>
      </w:r>
    </w:p>
    <w:p>
      <w:pPr>
        <w:snapToGrid w:val="0"/>
        <w:spacing w:before="120" w:beforeLines="50"/>
        <w:ind w:firstLine="420"/>
        <w:rPr>
          <w:rFonts w:ascii="宋体" w:hAnsi="宋体" w:cs="宋体"/>
          <w:color w:val="auto"/>
          <w:szCs w:val="21"/>
          <w:highlight w:val="none"/>
          <w:lang w:val="zh-CN"/>
        </w:rPr>
      </w:pPr>
      <w:r>
        <w:rPr>
          <w:rFonts w:hint="eastAsia" w:ascii="宋体" w:hAnsi="宋体" w:cs="宋体"/>
          <w:color w:val="auto"/>
          <w:highlight w:val="none"/>
        </w:rPr>
        <w:t>9.在每次付款前，乙方应向甲方出具增值税发票（硬件设备部分提供13%增值税发票，软件及服务提供6%增值税发票），否则甲方有权拒绝付款。</w:t>
      </w:r>
    </w:p>
    <w:p>
      <w:pPr>
        <w:snapToGrid w:val="0"/>
        <w:spacing w:before="120" w:beforeLines="50"/>
        <w:ind w:firstLine="420"/>
        <w:rPr>
          <w:rFonts w:ascii="宋体" w:hAnsi="宋体" w:cs="宋体"/>
          <w:color w:val="auto"/>
          <w:highlight w:val="none"/>
        </w:rPr>
      </w:pPr>
      <w:r>
        <w:rPr>
          <w:rFonts w:hint="eastAsia" w:ascii="宋体" w:hAnsi="宋体" w:cs="宋体"/>
          <w:color w:val="auto"/>
          <w:highlight w:val="none"/>
        </w:rPr>
        <w:t>10. 本合同包含暂定开发项目，在项目实施过程中，由甲方根据实际工作需要再确定是否开发，如最终确定不开发的，双方另行签定补充协议。</w:t>
      </w:r>
    </w:p>
    <w:p>
      <w:pPr>
        <w:spacing w:line="420" w:lineRule="exact"/>
        <w:ind w:firstLine="422" w:firstLineChars="0"/>
        <w:rPr>
          <w:rFonts w:ascii="宋体" w:hAnsi="宋体" w:cs="宋体"/>
          <w:b/>
          <w:color w:val="auto"/>
          <w:szCs w:val="21"/>
          <w:highlight w:val="none"/>
        </w:rPr>
      </w:pPr>
      <w:r>
        <w:rPr>
          <w:rFonts w:hint="eastAsia" w:ascii="宋体" w:hAnsi="宋体" w:cs="宋体"/>
          <w:b/>
          <w:color w:val="auto"/>
          <w:szCs w:val="21"/>
          <w:highlight w:val="none"/>
        </w:rPr>
        <w:t>九、税费</w:t>
      </w:r>
    </w:p>
    <w:p>
      <w:pPr>
        <w:spacing w:line="420" w:lineRule="exact"/>
        <w:ind w:firstLine="420"/>
        <w:rPr>
          <w:rFonts w:ascii="宋体" w:hAnsi="宋体" w:cs="宋体"/>
          <w:color w:val="auto"/>
          <w:szCs w:val="21"/>
          <w:highlight w:val="none"/>
        </w:rPr>
      </w:pPr>
      <w:r>
        <w:rPr>
          <w:rFonts w:hint="eastAsia" w:ascii="宋体" w:hAnsi="宋体" w:cs="宋体"/>
          <w:color w:val="auto"/>
          <w:szCs w:val="21"/>
          <w:highlight w:val="none"/>
        </w:rPr>
        <w:t>本合同执行中相关的一切税费均由乙方负担。</w:t>
      </w:r>
    </w:p>
    <w:p>
      <w:pPr>
        <w:snapToGrid w:val="0"/>
        <w:spacing w:line="420" w:lineRule="exact"/>
        <w:ind w:firstLine="422"/>
        <w:rPr>
          <w:rFonts w:ascii="宋体" w:hAnsi="宋体" w:cs="宋体"/>
          <w:b/>
          <w:bCs/>
          <w:color w:val="auto"/>
          <w:szCs w:val="21"/>
          <w:highlight w:val="none"/>
        </w:rPr>
      </w:pPr>
    </w:p>
    <w:p>
      <w:pPr>
        <w:spacing w:line="420" w:lineRule="exact"/>
        <w:ind w:firstLine="422" w:firstLineChars="0"/>
        <w:rPr>
          <w:rFonts w:ascii="宋体" w:hAnsi="宋体" w:cs="宋体"/>
          <w:b/>
          <w:color w:val="auto"/>
          <w:szCs w:val="21"/>
          <w:highlight w:val="none"/>
        </w:rPr>
      </w:pPr>
      <w:r>
        <w:rPr>
          <w:rFonts w:hint="eastAsia" w:ascii="宋体" w:hAnsi="宋体" w:cs="宋体"/>
          <w:b/>
          <w:color w:val="auto"/>
          <w:szCs w:val="21"/>
          <w:highlight w:val="none"/>
        </w:rPr>
        <w:t>十、质量保证及后续服务</w:t>
      </w:r>
    </w:p>
    <w:p>
      <w:pPr>
        <w:spacing w:line="420" w:lineRule="exact"/>
        <w:ind w:firstLine="420"/>
        <w:rPr>
          <w:rFonts w:ascii="宋体" w:hAnsi="宋体" w:cs="宋体"/>
          <w:color w:val="auto"/>
          <w:szCs w:val="21"/>
          <w:highlight w:val="none"/>
        </w:rPr>
      </w:pPr>
      <w:r>
        <w:rPr>
          <w:rFonts w:hint="eastAsia" w:ascii="宋体" w:hAnsi="宋体" w:cs="宋体"/>
          <w:color w:val="auto"/>
          <w:szCs w:val="21"/>
          <w:highlight w:val="none"/>
        </w:rPr>
        <w:t>1．乙方应按采购文件规定向甲方提供服务。</w:t>
      </w:r>
    </w:p>
    <w:p>
      <w:pPr>
        <w:pStyle w:val="2"/>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highlight w:val="none"/>
        </w:rPr>
        <w:t>.</w:t>
      </w:r>
      <w:r>
        <w:rPr>
          <w:rFonts w:hint="eastAsia" w:ascii="宋体" w:hAnsi="宋体" w:eastAsia="宋体" w:cs="宋体"/>
          <w:color w:val="auto"/>
          <w:sz w:val="21"/>
          <w:szCs w:val="21"/>
          <w:highlight w:val="none"/>
        </w:rPr>
        <w:t>乙方应按招标文件规定的货物性能、技术要求、质量标准向甲方提供未经使用的全新产品。乙方应保证货物正常使用条件下，在使用寿命期内具有满意的性能。在货物最终交付验收后的质量保证期内，乙方应对由于施工工艺或材料等缺陷而产生的故障负责。</w:t>
      </w:r>
    </w:p>
    <w:p>
      <w:pPr>
        <w:spacing w:line="420" w:lineRule="exact"/>
        <w:ind w:firstLine="420"/>
        <w:rPr>
          <w:rFonts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highlight w:val="none"/>
        </w:rPr>
        <w:t>.</w:t>
      </w:r>
      <w:r>
        <w:rPr>
          <w:rFonts w:hint="eastAsia" w:ascii="宋体" w:hAnsi="宋体" w:cs="宋体"/>
          <w:color w:val="auto"/>
          <w:szCs w:val="21"/>
          <w:highlight w:val="none"/>
        </w:rPr>
        <w:t>货物质量应符合生产厂家的出厂标准和现行国家、行业各项标准、出厂标准与国家/行业标准要求不一致时，以要求较高者为准。</w:t>
      </w:r>
    </w:p>
    <w:p>
      <w:pPr>
        <w:spacing w:line="420" w:lineRule="exact"/>
        <w:ind w:firstLine="420"/>
        <w:rPr>
          <w:rFonts w:ascii="宋体" w:hAnsi="宋体" w:cs="宋体"/>
          <w:color w:val="auto"/>
          <w:szCs w:val="21"/>
          <w:highlight w:val="none"/>
        </w:rPr>
      </w:pPr>
      <w:r>
        <w:rPr>
          <w:rFonts w:hint="eastAsia" w:ascii="宋体" w:hAnsi="宋体" w:cs="宋体"/>
          <w:color w:val="auto"/>
          <w:szCs w:val="21"/>
          <w:highlight w:val="none"/>
        </w:rPr>
        <w:t>4．乙方提供的服务成果在服务质量保证期内发生故障，乙方应负责免费提供后续服务。对达不到要求者，根据实际情况，经双方协商，可按以下办法处理：</w:t>
      </w:r>
    </w:p>
    <w:p>
      <w:pPr>
        <w:spacing w:line="420" w:lineRule="exact"/>
        <w:ind w:firstLine="420"/>
        <w:rPr>
          <w:rFonts w:ascii="宋体" w:hAnsi="宋体" w:cs="宋体"/>
          <w:color w:val="auto"/>
          <w:szCs w:val="21"/>
          <w:highlight w:val="none"/>
        </w:rPr>
      </w:pPr>
      <w:r>
        <w:rPr>
          <w:rFonts w:hint="eastAsia" w:ascii="宋体" w:hAnsi="宋体" w:cs="宋体"/>
          <w:color w:val="auto"/>
          <w:szCs w:val="21"/>
          <w:highlight w:val="none"/>
        </w:rPr>
        <w:t>⑴重做：由乙方承担所发生的全部费用。</w:t>
      </w:r>
    </w:p>
    <w:p>
      <w:pPr>
        <w:spacing w:line="420" w:lineRule="exact"/>
        <w:ind w:firstLine="420"/>
        <w:rPr>
          <w:rFonts w:ascii="宋体" w:hAnsi="宋体" w:cs="宋体"/>
          <w:color w:val="auto"/>
          <w:szCs w:val="21"/>
          <w:highlight w:val="none"/>
        </w:rPr>
      </w:pPr>
      <w:r>
        <w:rPr>
          <w:rFonts w:hint="eastAsia" w:ascii="宋体" w:hAnsi="宋体" w:cs="宋体"/>
          <w:color w:val="auto"/>
          <w:szCs w:val="21"/>
          <w:highlight w:val="none"/>
        </w:rPr>
        <w:t>⑵贬值处理：由甲乙双方合议定价。</w:t>
      </w:r>
    </w:p>
    <w:p>
      <w:pPr>
        <w:spacing w:line="420" w:lineRule="exact"/>
        <w:ind w:firstLine="420"/>
        <w:rPr>
          <w:rFonts w:ascii="宋体" w:hAnsi="宋体" w:cs="宋体"/>
          <w:color w:val="auto"/>
          <w:szCs w:val="21"/>
          <w:highlight w:val="none"/>
        </w:rPr>
      </w:pPr>
      <w:r>
        <w:rPr>
          <w:rFonts w:hint="eastAsia" w:ascii="宋体" w:hAnsi="宋体" w:cs="宋体"/>
          <w:color w:val="auto"/>
          <w:szCs w:val="21"/>
          <w:highlight w:val="none"/>
        </w:rPr>
        <w:t>⑶解除合同。</w:t>
      </w:r>
    </w:p>
    <w:p>
      <w:pPr>
        <w:spacing w:line="420" w:lineRule="exact"/>
        <w:ind w:firstLine="420"/>
        <w:rPr>
          <w:rFonts w:ascii="宋体" w:hAnsi="宋体" w:cs="宋体"/>
          <w:color w:val="auto"/>
          <w:szCs w:val="21"/>
          <w:highlight w:val="none"/>
        </w:rPr>
      </w:pPr>
      <w:r>
        <w:rPr>
          <w:rFonts w:hint="eastAsia" w:ascii="宋体" w:hAnsi="宋体" w:cs="宋体"/>
          <w:color w:val="auto"/>
          <w:szCs w:val="21"/>
          <w:highlight w:val="none"/>
        </w:rPr>
        <w:t>5．如在使用过程中发生问题，乙方在接到甲方通知后在△小时内到达甲方现场。</w:t>
      </w:r>
    </w:p>
    <w:p>
      <w:pPr>
        <w:spacing w:line="420" w:lineRule="exact"/>
        <w:ind w:firstLine="420"/>
        <w:rPr>
          <w:rFonts w:ascii="宋体" w:hAnsi="宋体" w:cs="宋体"/>
          <w:color w:val="auto"/>
          <w:szCs w:val="21"/>
          <w:highlight w:val="none"/>
        </w:rPr>
      </w:pPr>
      <w:r>
        <w:rPr>
          <w:rFonts w:hint="eastAsia" w:ascii="宋体" w:hAnsi="宋体" w:cs="宋体"/>
          <w:color w:val="auto"/>
          <w:szCs w:val="21"/>
          <w:highlight w:val="none"/>
        </w:rPr>
        <w:t>6．在服务质量保证期内，乙方应对出现的质量及安全问题负责处理解决并承担一切费用。</w:t>
      </w:r>
    </w:p>
    <w:p>
      <w:pPr>
        <w:snapToGrid w:val="0"/>
        <w:spacing w:line="420" w:lineRule="exact"/>
        <w:ind w:firstLine="422"/>
        <w:rPr>
          <w:rFonts w:ascii="宋体" w:hAnsi="宋体" w:cs="宋体"/>
          <w:b/>
          <w:bCs/>
          <w:color w:val="auto"/>
          <w:szCs w:val="21"/>
          <w:highlight w:val="none"/>
        </w:rPr>
      </w:pPr>
    </w:p>
    <w:p>
      <w:pPr>
        <w:widowControl/>
        <w:autoSpaceDE w:val="0"/>
        <w:autoSpaceDN w:val="0"/>
        <w:adjustRightInd w:val="0"/>
        <w:ind w:firstLine="422" w:firstLineChars="0"/>
        <w:jc w:val="left"/>
        <w:rPr>
          <w:rFonts w:ascii="宋体" w:hAnsi="宋体" w:cs="宋体"/>
          <w:b/>
          <w:color w:val="auto"/>
          <w:kern w:val="0"/>
          <w:szCs w:val="21"/>
          <w:highlight w:val="none"/>
        </w:rPr>
      </w:pPr>
      <w:r>
        <w:rPr>
          <w:rFonts w:hint="eastAsia" w:ascii="宋体" w:hAnsi="宋体" w:cs="宋体"/>
          <w:b/>
          <w:color w:val="auto"/>
          <w:kern w:val="0"/>
          <w:szCs w:val="21"/>
          <w:highlight w:val="none"/>
        </w:rPr>
        <w:t xml:space="preserve">十一、保密条款 </w:t>
      </w:r>
    </w:p>
    <w:p>
      <w:pPr>
        <w:widowControl/>
        <w:autoSpaceDE w:val="0"/>
        <w:autoSpaceDN w:val="0"/>
        <w:adjustRightInd w:val="0"/>
        <w:ind w:firstLine="420"/>
        <w:jc w:val="left"/>
        <w:rPr>
          <w:rFonts w:ascii="宋体" w:hAnsi="宋体" w:cs="宋体"/>
          <w:color w:val="auto"/>
          <w:kern w:val="0"/>
          <w:szCs w:val="21"/>
          <w:highlight w:val="none"/>
        </w:rPr>
      </w:pPr>
      <w:r>
        <w:rPr>
          <w:rFonts w:hint="eastAsia" w:ascii="宋体" w:hAnsi="宋体" w:cs="宋体"/>
          <w:color w:val="auto"/>
          <w:kern w:val="0"/>
          <w:szCs w:val="21"/>
          <w:highlight w:val="none"/>
        </w:rPr>
        <w:t>乙方对合同内容及履行合同过程中所获悉的属于甲方的且无法自公开渠道获得的文件及资料,应负保密义务,非经甲方书面同意,不得擅自利用或对外发表或披露。违反前述约定的,乙方应向甲方支付违约金 万元;违约金不足以弥补甲方损失的,乙方还应负责赔偿。保密期限自乙方接收或知悉甲方信息资料之日起至该信息资料公开之日或甲方书面解除乙方保密义务之日止。</w:t>
      </w:r>
    </w:p>
    <w:p>
      <w:pPr>
        <w:snapToGrid w:val="0"/>
        <w:spacing w:line="420" w:lineRule="exact"/>
        <w:ind w:firstLine="422"/>
        <w:rPr>
          <w:rFonts w:ascii="宋体" w:hAnsi="宋体" w:cs="宋体"/>
          <w:b/>
          <w:bCs/>
          <w:color w:val="auto"/>
          <w:szCs w:val="21"/>
          <w:highlight w:val="none"/>
        </w:rPr>
      </w:pPr>
    </w:p>
    <w:p>
      <w:pPr>
        <w:spacing w:line="420" w:lineRule="exact"/>
        <w:ind w:firstLine="422" w:firstLineChars="0"/>
        <w:rPr>
          <w:rFonts w:ascii="宋体" w:hAnsi="宋体" w:cs="宋体"/>
          <w:b/>
          <w:color w:val="auto"/>
          <w:szCs w:val="21"/>
          <w:highlight w:val="none"/>
        </w:rPr>
      </w:pPr>
      <w:r>
        <w:rPr>
          <w:rFonts w:hint="eastAsia" w:ascii="宋体" w:hAnsi="宋体" w:cs="宋体"/>
          <w:b/>
          <w:color w:val="auto"/>
          <w:szCs w:val="21"/>
          <w:highlight w:val="none"/>
        </w:rPr>
        <w:t>十二、违约责任</w:t>
      </w:r>
    </w:p>
    <w:p>
      <w:pPr>
        <w:spacing w:line="420" w:lineRule="exact"/>
        <w:ind w:firstLine="420"/>
        <w:rPr>
          <w:rFonts w:ascii="宋体" w:hAnsi="宋体" w:cs="宋体"/>
          <w:color w:val="auto"/>
          <w:szCs w:val="21"/>
          <w:highlight w:val="none"/>
        </w:rPr>
      </w:pPr>
      <w:r>
        <w:rPr>
          <w:rFonts w:hint="eastAsia" w:ascii="宋体" w:hAnsi="宋体" w:cs="宋体"/>
          <w:color w:val="auto"/>
          <w:szCs w:val="21"/>
          <w:highlight w:val="none"/>
        </w:rPr>
        <w:t>1．甲方无正当理由拒收接受服务的，甲方向乙方偿付合同款项百分之五作为违约金。</w:t>
      </w:r>
    </w:p>
    <w:p>
      <w:pPr>
        <w:spacing w:line="420" w:lineRule="exact"/>
        <w:ind w:firstLine="420"/>
        <w:rPr>
          <w:rFonts w:ascii="宋体" w:hAnsi="宋体" w:cs="宋体"/>
          <w:color w:val="auto"/>
          <w:szCs w:val="21"/>
          <w:highlight w:val="none"/>
        </w:rPr>
      </w:pPr>
      <w:r>
        <w:rPr>
          <w:rFonts w:hint="eastAsia" w:ascii="宋体" w:hAnsi="宋体" w:cs="宋体"/>
          <w:color w:val="auto"/>
          <w:szCs w:val="21"/>
          <w:highlight w:val="none"/>
        </w:rPr>
        <w:t>2．甲方无故逾期验收和办理款项支付手续的,甲方应按逾期付款总额每日万分之五向乙方支付违约金。</w:t>
      </w:r>
    </w:p>
    <w:p>
      <w:pPr>
        <w:spacing w:line="420" w:lineRule="exact"/>
        <w:ind w:firstLine="420"/>
        <w:rPr>
          <w:rFonts w:ascii="宋体" w:hAnsi="宋体" w:cs="宋体"/>
          <w:color w:val="auto"/>
          <w:szCs w:val="21"/>
          <w:highlight w:val="none"/>
        </w:rPr>
      </w:pPr>
      <w:r>
        <w:rPr>
          <w:rFonts w:hint="eastAsia" w:ascii="宋体" w:hAnsi="宋体" w:cs="宋体"/>
          <w:color w:val="auto"/>
          <w:szCs w:val="21"/>
          <w:highlight w:val="none"/>
        </w:rPr>
        <w:t>3．乙方未能如期提供服务的，每日向甲方支付合同款项的千分之六作为违约金。乙方超过约定日期10个工作日仍不能提供服务的，甲方可解除本合同。</w:t>
      </w:r>
    </w:p>
    <w:p>
      <w:pPr>
        <w:spacing w:line="420" w:lineRule="exact"/>
        <w:ind w:firstLine="420"/>
        <w:rPr>
          <w:rFonts w:ascii="宋体" w:hAnsi="宋体" w:cs="宋体"/>
          <w:color w:val="auto"/>
          <w:szCs w:val="21"/>
          <w:highlight w:val="none"/>
        </w:rPr>
      </w:pPr>
      <w:r>
        <w:rPr>
          <w:rFonts w:hint="eastAsia" w:ascii="宋体" w:hAnsi="宋体" w:cs="宋体"/>
          <w:color w:val="auto"/>
          <w:szCs w:val="21"/>
          <w:highlight w:val="none"/>
        </w:rPr>
        <w:t>4.除本合同第十二条第2点约定的情形外，乙方未能根据合同约定和甲方要求提供服务的，乙方应按每次【】元支付违约金，同时甲方有权要求乙方进行整改。超过三次的或者没有按照甲方要求整改的，甲方有权解除合同。</w:t>
      </w:r>
    </w:p>
    <w:p>
      <w:pPr>
        <w:spacing w:line="420" w:lineRule="exact"/>
        <w:ind w:firstLine="420"/>
        <w:rPr>
          <w:rFonts w:ascii="宋体" w:hAnsi="宋体" w:cs="宋体"/>
          <w:color w:val="auto"/>
          <w:szCs w:val="21"/>
          <w:highlight w:val="none"/>
        </w:rPr>
      </w:pPr>
      <w:r>
        <w:rPr>
          <w:rFonts w:hint="eastAsia" w:ascii="宋体" w:hAnsi="宋体" w:cs="宋体"/>
          <w:color w:val="auto"/>
          <w:szCs w:val="21"/>
          <w:highlight w:val="none"/>
        </w:rPr>
        <w:t xml:space="preserve">5.乙方因未能如期提供服务或因其他违约行为导致甲方解除合同的，乙方应向甲方支付合同总值5%的违约金，如造成甲方损失超过违约金的，超出部分由乙方继续承担赔偿责任。 </w:t>
      </w:r>
    </w:p>
    <w:p>
      <w:pPr>
        <w:snapToGrid w:val="0"/>
        <w:spacing w:line="420" w:lineRule="exact"/>
        <w:ind w:firstLine="422"/>
        <w:rPr>
          <w:rFonts w:ascii="宋体" w:hAnsi="宋体" w:cs="宋体"/>
          <w:b/>
          <w:bCs/>
          <w:color w:val="auto"/>
          <w:szCs w:val="21"/>
          <w:highlight w:val="none"/>
        </w:rPr>
      </w:pPr>
    </w:p>
    <w:p>
      <w:pPr>
        <w:spacing w:line="420" w:lineRule="exact"/>
        <w:ind w:firstLine="422" w:firstLineChars="0"/>
        <w:rPr>
          <w:rFonts w:ascii="宋体" w:hAnsi="宋体" w:cs="宋体"/>
          <w:b/>
          <w:color w:val="auto"/>
          <w:szCs w:val="21"/>
          <w:highlight w:val="none"/>
        </w:rPr>
      </w:pPr>
      <w:r>
        <w:rPr>
          <w:rFonts w:hint="eastAsia" w:ascii="宋体" w:hAnsi="宋体" w:cs="宋体"/>
          <w:b/>
          <w:color w:val="auto"/>
          <w:szCs w:val="21"/>
          <w:highlight w:val="none"/>
        </w:rPr>
        <w:t>十三、不可抗力事件处理</w:t>
      </w:r>
    </w:p>
    <w:p>
      <w:pPr>
        <w:spacing w:line="420" w:lineRule="exact"/>
        <w:ind w:firstLine="420"/>
        <w:rPr>
          <w:rFonts w:ascii="宋体" w:hAnsi="宋体" w:cs="宋体"/>
          <w:color w:val="auto"/>
          <w:szCs w:val="21"/>
          <w:highlight w:val="none"/>
        </w:rPr>
      </w:pPr>
      <w:r>
        <w:rPr>
          <w:rFonts w:hint="eastAsia" w:ascii="宋体" w:hAnsi="宋体" w:cs="宋体"/>
          <w:color w:val="auto"/>
          <w:szCs w:val="21"/>
          <w:highlight w:val="none"/>
        </w:rPr>
        <w:t>1．同有效期内，任何一方因不可抗力事件导致不能履行合同，则合同履行期可延长，其延长期与不可抗力影响期相同。</w:t>
      </w:r>
    </w:p>
    <w:p>
      <w:pPr>
        <w:spacing w:line="420" w:lineRule="exact"/>
        <w:ind w:firstLine="420"/>
        <w:rPr>
          <w:rFonts w:ascii="宋体" w:hAnsi="宋体" w:cs="宋体"/>
          <w:color w:val="auto"/>
          <w:szCs w:val="21"/>
          <w:highlight w:val="none"/>
        </w:rPr>
      </w:pPr>
      <w:r>
        <w:rPr>
          <w:rFonts w:hint="eastAsia" w:ascii="宋体" w:hAnsi="宋体" w:cs="宋体"/>
          <w:color w:val="auto"/>
          <w:szCs w:val="21"/>
          <w:highlight w:val="none"/>
        </w:rPr>
        <w:t xml:space="preserve">2．所述的“不可抗力”系指那些双方不可预见、不可避免、不可克服的事件,但不包括双方的违约或 疏忽。这些事件包括但不限于:战争、严重火灭、洪水、台风、地震、国家政策的重大变化,以及双方商定的其他事件。 </w:t>
      </w:r>
    </w:p>
    <w:p>
      <w:pPr>
        <w:spacing w:line="420" w:lineRule="exact"/>
        <w:ind w:firstLine="420"/>
        <w:rPr>
          <w:rFonts w:ascii="宋体" w:hAnsi="宋体" w:cs="宋体"/>
          <w:color w:val="auto"/>
          <w:szCs w:val="21"/>
          <w:highlight w:val="none"/>
        </w:rPr>
      </w:pPr>
      <w:r>
        <w:rPr>
          <w:rFonts w:hint="eastAsia" w:ascii="宋体" w:hAnsi="宋体" w:cs="宋体"/>
          <w:color w:val="auto"/>
          <w:szCs w:val="21"/>
          <w:highlight w:val="none"/>
        </w:rPr>
        <w:t>3．不可抗力事件发生后，应立即通知对方，并寄送有关权威机构出具的证明。</w:t>
      </w:r>
    </w:p>
    <w:p>
      <w:pPr>
        <w:spacing w:line="420" w:lineRule="exact"/>
        <w:ind w:firstLine="420"/>
        <w:rPr>
          <w:rFonts w:ascii="宋体" w:hAnsi="宋体" w:cs="宋体"/>
          <w:color w:val="auto"/>
          <w:szCs w:val="21"/>
          <w:highlight w:val="none"/>
        </w:rPr>
      </w:pPr>
      <w:r>
        <w:rPr>
          <w:rFonts w:hint="eastAsia" w:ascii="宋体" w:hAnsi="宋体" w:cs="宋体"/>
          <w:color w:val="auto"/>
          <w:szCs w:val="21"/>
          <w:highlight w:val="none"/>
        </w:rPr>
        <w:t>4．不可抗力事件延续120天以上，双方应通过友好协商，确定是否继续履行合同。</w:t>
      </w:r>
    </w:p>
    <w:p>
      <w:pPr>
        <w:snapToGrid w:val="0"/>
        <w:spacing w:line="420" w:lineRule="exact"/>
        <w:ind w:firstLine="422"/>
        <w:rPr>
          <w:rFonts w:ascii="宋体" w:hAnsi="宋体" w:cs="宋体"/>
          <w:b/>
          <w:bCs/>
          <w:color w:val="auto"/>
          <w:szCs w:val="21"/>
          <w:highlight w:val="none"/>
        </w:rPr>
      </w:pPr>
    </w:p>
    <w:p>
      <w:pPr>
        <w:spacing w:line="420" w:lineRule="exact"/>
        <w:ind w:firstLine="422" w:firstLineChars="0"/>
        <w:rPr>
          <w:rFonts w:ascii="宋体" w:hAnsi="宋体" w:cs="宋体"/>
          <w:b/>
          <w:color w:val="auto"/>
          <w:szCs w:val="21"/>
          <w:highlight w:val="none"/>
        </w:rPr>
      </w:pPr>
      <w:r>
        <w:rPr>
          <w:rFonts w:hint="eastAsia" w:ascii="宋体" w:hAnsi="宋体" w:cs="宋体"/>
          <w:b/>
          <w:color w:val="auto"/>
          <w:szCs w:val="21"/>
          <w:highlight w:val="none"/>
        </w:rPr>
        <w:t>十四、法律适用及争议解决</w:t>
      </w:r>
    </w:p>
    <w:p>
      <w:pPr>
        <w:spacing w:line="440" w:lineRule="exact"/>
        <w:ind w:firstLine="420"/>
        <w:rPr>
          <w:rFonts w:ascii="宋体" w:hAnsi="宋体" w:cs="宋体"/>
          <w:color w:val="auto"/>
          <w:szCs w:val="21"/>
          <w:highlight w:val="none"/>
        </w:rPr>
      </w:pPr>
      <w:r>
        <w:rPr>
          <w:rFonts w:hint="eastAsia" w:ascii="宋体" w:hAnsi="宋体" w:cs="宋体"/>
          <w:color w:val="auto"/>
          <w:szCs w:val="21"/>
          <w:highlight w:val="none"/>
        </w:rPr>
        <w:t>1.本合同订立、解释、履行及争议解决，均适用中华人民共和国法律。</w:t>
      </w:r>
    </w:p>
    <w:p>
      <w:pPr>
        <w:spacing w:line="420" w:lineRule="exact"/>
        <w:ind w:firstLine="420"/>
        <w:rPr>
          <w:rFonts w:ascii="宋体" w:hAnsi="宋体" w:cs="宋体"/>
          <w:color w:val="auto"/>
          <w:szCs w:val="21"/>
          <w:highlight w:val="none"/>
        </w:rPr>
      </w:pPr>
      <w:r>
        <w:rPr>
          <w:rFonts w:hint="eastAsia" w:ascii="宋体" w:hAnsi="宋体" w:cs="宋体"/>
          <w:color w:val="auto"/>
          <w:szCs w:val="21"/>
          <w:highlight w:val="none"/>
        </w:rPr>
        <w:t>2.双方在执行合同中所发生的一切争议，应通过协商解决。如协商不成，可向甲方所在地法院起诉。</w:t>
      </w:r>
    </w:p>
    <w:p>
      <w:pPr>
        <w:snapToGrid w:val="0"/>
        <w:spacing w:line="420" w:lineRule="exact"/>
        <w:ind w:firstLine="422"/>
        <w:rPr>
          <w:rFonts w:ascii="宋体" w:hAnsi="宋体" w:cs="宋体"/>
          <w:b/>
          <w:bCs/>
          <w:color w:val="auto"/>
          <w:szCs w:val="21"/>
          <w:highlight w:val="none"/>
        </w:rPr>
      </w:pPr>
    </w:p>
    <w:p>
      <w:pPr>
        <w:spacing w:line="420" w:lineRule="exact"/>
        <w:ind w:firstLine="422" w:firstLineChars="0"/>
        <w:rPr>
          <w:rFonts w:ascii="宋体" w:hAnsi="宋体" w:cs="宋体"/>
          <w:b/>
          <w:color w:val="auto"/>
          <w:szCs w:val="21"/>
          <w:highlight w:val="none"/>
        </w:rPr>
      </w:pPr>
      <w:r>
        <w:rPr>
          <w:rFonts w:hint="eastAsia" w:ascii="宋体" w:hAnsi="宋体" w:cs="宋体"/>
          <w:b/>
          <w:color w:val="auto"/>
          <w:szCs w:val="21"/>
          <w:highlight w:val="none"/>
        </w:rPr>
        <w:t>十五、合同生效及其它</w:t>
      </w:r>
    </w:p>
    <w:p>
      <w:pPr>
        <w:spacing w:line="420" w:lineRule="exact"/>
        <w:ind w:firstLine="420"/>
        <w:rPr>
          <w:rFonts w:ascii="宋体" w:hAnsi="宋体" w:cs="宋体"/>
          <w:color w:val="auto"/>
          <w:szCs w:val="21"/>
          <w:highlight w:val="none"/>
        </w:rPr>
      </w:pPr>
      <w:r>
        <w:rPr>
          <w:rFonts w:hint="eastAsia" w:ascii="宋体" w:hAnsi="宋体" w:cs="宋体"/>
          <w:color w:val="auto"/>
          <w:szCs w:val="21"/>
          <w:highlight w:val="none"/>
        </w:rPr>
        <w:t>1．合同经双方法定代表人或授权代表签字并加盖单位公章后生效。</w:t>
      </w:r>
    </w:p>
    <w:p>
      <w:pPr>
        <w:spacing w:line="420" w:lineRule="exact"/>
        <w:ind w:firstLine="420"/>
        <w:rPr>
          <w:rFonts w:ascii="宋体" w:hAnsi="宋体" w:cs="宋体"/>
          <w:color w:val="auto"/>
          <w:szCs w:val="21"/>
          <w:highlight w:val="none"/>
        </w:rPr>
      </w:pPr>
      <w:r>
        <w:rPr>
          <w:rFonts w:hint="eastAsia" w:ascii="宋体" w:hAnsi="宋体" w:cs="宋体"/>
          <w:color w:val="auto"/>
          <w:szCs w:val="21"/>
          <w:highlight w:val="none"/>
        </w:rPr>
        <w:t>2．合同执行中涉及采购资金和采购内容修改或补充的，须经财政部门审批，并签书面补充协议报政府采购监督管理部门备案，方可作为主合同不可分割的一部分。</w:t>
      </w:r>
    </w:p>
    <w:p>
      <w:pPr>
        <w:spacing w:line="420" w:lineRule="exact"/>
        <w:ind w:firstLine="420"/>
        <w:rPr>
          <w:rFonts w:ascii="宋体" w:hAnsi="宋体" w:cs="宋体"/>
          <w:color w:val="auto"/>
          <w:szCs w:val="21"/>
          <w:highlight w:val="none"/>
        </w:rPr>
      </w:pPr>
      <w:r>
        <w:rPr>
          <w:rFonts w:hint="eastAsia" w:ascii="宋体" w:hAnsi="宋体" w:cs="宋体"/>
          <w:color w:val="auto"/>
          <w:szCs w:val="21"/>
          <w:highlight w:val="none"/>
        </w:rPr>
        <w:t>3．本合同未尽事宜，遵照《政府采购法》、《民法典》有关条文执行。</w:t>
      </w:r>
    </w:p>
    <w:p>
      <w:pPr>
        <w:spacing w:line="420" w:lineRule="exact"/>
        <w:ind w:firstLine="420"/>
        <w:rPr>
          <w:rFonts w:ascii="宋体" w:hAnsi="宋体" w:cs="宋体"/>
          <w:color w:val="auto"/>
          <w:szCs w:val="21"/>
          <w:highlight w:val="none"/>
        </w:rPr>
      </w:pPr>
      <w:r>
        <w:rPr>
          <w:rFonts w:hint="eastAsia" w:ascii="宋体" w:hAnsi="宋体" w:cs="宋体"/>
          <w:color w:val="auto"/>
          <w:szCs w:val="21"/>
          <w:highlight w:val="none"/>
        </w:rPr>
        <w:t>4．本合同正本一式</w:t>
      </w:r>
      <w:r>
        <w:rPr>
          <w:rFonts w:hint="eastAsia" w:ascii="宋体" w:hAnsi="宋体" w:cs="宋体"/>
          <w:color w:val="auto"/>
          <w:szCs w:val="21"/>
          <w:highlight w:val="none"/>
          <w:u w:val="single"/>
        </w:rPr>
        <w:t>△</w:t>
      </w:r>
      <w:r>
        <w:rPr>
          <w:rFonts w:hint="eastAsia" w:ascii="宋体" w:hAnsi="宋体" w:cs="宋体"/>
          <w:color w:val="auto"/>
          <w:szCs w:val="21"/>
          <w:highlight w:val="none"/>
        </w:rPr>
        <w:t>份，具有同等法律效力，甲乙双方各执</w:t>
      </w:r>
      <w:r>
        <w:rPr>
          <w:rFonts w:hint="eastAsia" w:ascii="宋体" w:hAnsi="宋体" w:cs="宋体"/>
          <w:color w:val="auto"/>
          <w:szCs w:val="21"/>
          <w:highlight w:val="none"/>
          <w:u w:val="single"/>
        </w:rPr>
        <w:t>△</w:t>
      </w:r>
      <w:r>
        <w:rPr>
          <w:rFonts w:hint="eastAsia" w:ascii="宋体" w:hAnsi="宋体" w:cs="宋体"/>
          <w:color w:val="auto"/>
          <w:szCs w:val="21"/>
          <w:highlight w:val="none"/>
        </w:rPr>
        <w:t>份；备案</w:t>
      </w:r>
      <w:r>
        <w:rPr>
          <w:rFonts w:hint="eastAsia" w:ascii="宋体" w:hAnsi="宋体" w:cs="宋体"/>
          <w:color w:val="auto"/>
          <w:szCs w:val="21"/>
          <w:highlight w:val="none"/>
          <w:u w:val="single"/>
        </w:rPr>
        <w:t>△</w:t>
      </w:r>
      <w:r>
        <w:rPr>
          <w:rFonts w:hint="eastAsia" w:ascii="宋体" w:hAnsi="宋体" w:cs="宋体"/>
          <w:color w:val="auto"/>
          <w:szCs w:val="21"/>
          <w:highlight w:val="none"/>
        </w:rPr>
        <w:t>份，(用途)。</w:t>
      </w:r>
    </w:p>
    <w:p>
      <w:pPr>
        <w:spacing w:line="440" w:lineRule="exact"/>
        <w:ind w:firstLine="420"/>
        <w:rPr>
          <w:rFonts w:ascii="宋体" w:hAnsi="宋体" w:cs="宋体"/>
          <w:color w:val="auto"/>
          <w:szCs w:val="21"/>
          <w:highlight w:val="none"/>
        </w:rPr>
      </w:pPr>
      <w:r>
        <w:rPr>
          <w:rFonts w:hint="eastAsia" w:ascii="宋体" w:hAnsi="宋体" w:cs="宋体"/>
          <w:color w:val="auto"/>
          <w:szCs w:val="21"/>
          <w:highlight w:val="none"/>
        </w:rPr>
        <w:t>5. 本合同附件：报价明细表、采购人的授权委托书、招标文件。</w:t>
      </w:r>
    </w:p>
    <w:p>
      <w:pPr>
        <w:snapToGrid w:val="0"/>
        <w:spacing w:line="420" w:lineRule="exact"/>
        <w:ind w:firstLine="422"/>
        <w:rPr>
          <w:rFonts w:ascii="宋体" w:hAnsi="宋体" w:cs="宋体"/>
          <w:b/>
          <w:bCs/>
          <w:color w:val="auto"/>
          <w:szCs w:val="21"/>
          <w:highlight w:val="none"/>
        </w:rPr>
      </w:pPr>
    </w:p>
    <w:p>
      <w:pPr>
        <w:ind w:firstLine="315" w:firstLineChars="150"/>
        <w:rPr>
          <w:rFonts w:ascii="宋体" w:hAnsi="宋体" w:cs="宋体"/>
          <w:color w:val="auto"/>
          <w:szCs w:val="21"/>
          <w:highlight w:val="none"/>
        </w:rPr>
      </w:pPr>
    </w:p>
    <w:p>
      <w:pPr>
        <w:pStyle w:val="2"/>
        <w:ind w:firstLine="560"/>
        <w:rPr>
          <w:rFonts w:ascii="宋体" w:hAnsi="宋体" w:eastAsia="宋体" w:cs="宋体"/>
          <w:color w:val="auto"/>
          <w:szCs w:val="21"/>
          <w:highlight w:val="none"/>
        </w:rPr>
      </w:pPr>
    </w:p>
    <w:p>
      <w:pPr>
        <w:pStyle w:val="2"/>
        <w:ind w:firstLine="560"/>
        <w:rPr>
          <w:rFonts w:ascii="宋体" w:hAnsi="宋体" w:eastAsia="宋体" w:cs="宋体"/>
          <w:color w:val="auto"/>
          <w:szCs w:val="21"/>
          <w:highlight w:val="none"/>
        </w:rPr>
      </w:pPr>
    </w:p>
    <w:p>
      <w:pPr>
        <w:pStyle w:val="19"/>
        <w:spacing w:line="420" w:lineRule="exact"/>
        <w:ind w:firstLine="404"/>
        <w:rPr>
          <w:rFonts w:hAnsi="宋体" w:eastAsia="宋体" w:cs="宋体"/>
          <w:color w:val="auto"/>
          <w:sz w:val="21"/>
          <w:szCs w:val="21"/>
          <w:highlight w:val="none"/>
        </w:rPr>
      </w:pPr>
      <w:r>
        <w:rPr>
          <w:rFonts w:hint="eastAsia" w:hAnsi="宋体" w:eastAsia="宋体" w:cs="宋体"/>
          <w:color w:val="auto"/>
          <w:sz w:val="21"/>
          <w:szCs w:val="21"/>
          <w:highlight w:val="none"/>
        </w:rPr>
        <w:t xml:space="preserve">甲方：                                   乙方： </w:t>
      </w:r>
    </w:p>
    <w:p>
      <w:pPr>
        <w:pStyle w:val="19"/>
        <w:spacing w:line="420" w:lineRule="exact"/>
        <w:ind w:firstLine="404"/>
        <w:rPr>
          <w:rFonts w:hAnsi="宋体" w:eastAsia="宋体" w:cs="宋体"/>
          <w:color w:val="auto"/>
          <w:sz w:val="21"/>
          <w:szCs w:val="21"/>
          <w:highlight w:val="none"/>
        </w:rPr>
      </w:pPr>
      <w:r>
        <w:rPr>
          <w:rFonts w:hint="eastAsia" w:hAnsi="宋体" w:eastAsia="宋体" w:cs="宋体"/>
          <w:color w:val="auto"/>
          <w:sz w:val="21"/>
          <w:szCs w:val="21"/>
          <w:highlight w:val="none"/>
        </w:rPr>
        <w:t xml:space="preserve">地址：                                   地址： </w:t>
      </w:r>
    </w:p>
    <w:p>
      <w:pPr>
        <w:pStyle w:val="19"/>
        <w:spacing w:line="420" w:lineRule="exact"/>
        <w:ind w:firstLine="404"/>
        <w:rPr>
          <w:rFonts w:hAnsi="宋体" w:eastAsia="宋体" w:cs="宋体"/>
          <w:color w:val="auto"/>
          <w:sz w:val="21"/>
          <w:szCs w:val="21"/>
          <w:highlight w:val="none"/>
        </w:rPr>
      </w:pPr>
      <w:r>
        <w:rPr>
          <w:rFonts w:hint="eastAsia" w:hAnsi="宋体" w:eastAsia="宋体" w:cs="宋体"/>
          <w:color w:val="auto"/>
          <w:sz w:val="21"/>
          <w:szCs w:val="21"/>
          <w:highlight w:val="none"/>
        </w:rPr>
        <w:t>法定（授权）代表人：                     法定（授权）代表人：</w:t>
      </w:r>
    </w:p>
    <w:p>
      <w:pPr>
        <w:pStyle w:val="19"/>
        <w:spacing w:line="420" w:lineRule="exact"/>
        <w:ind w:firstLine="404"/>
        <w:rPr>
          <w:rFonts w:hAnsi="宋体" w:eastAsia="宋体" w:cs="宋体"/>
          <w:color w:val="auto"/>
          <w:sz w:val="21"/>
          <w:szCs w:val="21"/>
          <w:highlight w:val="none"/>
        </w:rPr>
      </w:pPr>
      <w:r>
        <w:rPr>
          <w:rFonts w:hint="eastAsia" w:hAnsi="宋体" w:eastAsia="宋体" w:cs="宋体"/>
          <w:color w:val="auto"/>
          <w:sz w:val="21"/>
          <w:szCs w:val="21"/>
          <w:highlight w:val="none"/>
        </w:rPr>
        <w:t>签字日期：      年  月  日               签字日期：      年  月  日</w:t>
      </w:r>
    </w:p>
    <w:p>
      <w:pPr>
        <w:pStyle w:val="19"/>
        <w:spacing w:line="420" w:lineRule="exact"/>
        <w:ind w:firstLine="404"/>
        <w:rPr>
          <w:rFonts w:hAnsi="宋体" w:eastAsia="宋体" w:cs="宋体"/>
          <w:color w:val="auto"/>
          <w:sz w:val="21"/>
          <w:szCs w:val="21"/>
          <w:highlight w:val="none"/>
        </w:rPr>
      </w:pPr>
      <w:r>
        <w:rPr>
          <w:rFonts w:hint="eastAsia" w:hAnsi="宋体" w:eastAsia="宋体" w:cs="宋体"/>
          <w:color w:val="auto"/>
          <w:sz w:val="21"/>
          <w:szCs w:val="21"/>
          <w:highlight w:val="none"/>
        </w:rPr>
        <w:t xml:space="preserve">电    话：                               电    话： </w:t>
      </w:r>
    </w:p>
    <w:p>
      <w:pPr>
        <w:pStyle w:val="19"/>
        <w:spacing w:line="420" w:lineRule="exact"/>
        <w:ind w:firstLine="404"/>
        <w:rPr>
          <w:rFonts w:hAnsi="宋体" w:eastAsia="宋体" w:cs="宋体"/>
          <w:color w:val="auto"/>
          <w:sz w:val="21"/>
          <w:szCs w:val="21"/>
          <w:highlight w:val="none"/>
        </w:rPr>
      </w:pPr>
      <w:r>
        <w:rPr>
          <w:rFonts w:hint="eastAsia" w:hAnsi="宋体" w:eastAsia="宋体" w:cs="宋体"/>
          <w:color w:val="auto"/>
          <w:sz w:val="21"/>
          <w:szCs w:val="21"/>
          <w:highlight w:val="none"/>
        </w:rPr>
        <w:t>传    真：                               传    真：</w:t>
      </w:r>
    </w:p>
    <w:p>
      <w:pPr>
        <w:pStyle w:val="19"/>
        <w:spacing w:line="420" w:lineRule="exact"/>
        <w:ind w:firstLine="404"/>
        <w:rPr>
          <w:rFonts w:hAnsi="宋体" w:eastAsia="宋体" w:cs="宋体"/>
          <w:color w:val="auto"/>
          <w:sz w:val="21"/>
          <w:szCs w:val="21"/>
          <w:highlight w:val="none"/>
        </w:rPr>
      </w:pPr>
      <w:r>
        <w:rPr>
          <w:rFonts w:hint="eastAsia" w:hAnsi="宋体" w:eastAsia="宋体" w:cs="宋体"/>
          <w:color w:val="auto"/>
          <w:sz w:val="21"/>
          <w:szCs w:val="21"/>
          <w:highlight w:val="none"/>
        </w:rPr>
        <w:t xml:space="preserve">开户银行：                               开户银行：       </w:t>
      </w:r>
    </w:p>
    <w:p>
      <w:pPr>
        <w:pStyle w:val="19"/>
        <w:spacing w:line="420" w:lineRule="exact"/>
        <w:ind w:firstLine="404"/>
        <w:rPr>
          <w:rFonts w:hAnsi="宋体" w:eastAsia="宋体" w:cs="宋体"/>
          <w:color w:val="auto"/>
          <w:sz w:val="21"/>
          <w:szCs w:val="21"/>
          <w:highlight w:val="none"/>
        </w:rPr>
      </w:pPr>
      <w:r>
        <w:rPr>
          <w:rFonts w:hint="eastAsia" w:hAnsi="宋体" w:eastAsia="宋体" w:cs="宋体"/>
          <w:color w:val="auto"/>
          <w:sz w:val="21"/>
          <w:szCs w:val="21"/>
          <w:highlight w:val="none"/>
        </w:rPr>
        <w:t>账    号：                               账    号：</w:t>
      </w:r>
    </w:p>
    <w:p>
      <w:pPr>
        <w:pStyle w:val="22"/>
        <w:snapToGrid w:val="0"/>
        <w:spacing w:before="120" w:beforeLines="0" w:after="120" w:afterLines="0" w:line="360" w:lineRule="exact"/>
        <w:ind w:left="420" w:hanging="420" w:hangingChars="200"/>
        <w:rPr>
          <w:rFonts w:hAnsi="宋体" w:cs="宋体"/>
          <w:color w:val="auto"/>
          <w:sz w:val="21"/>
          <w:szCs w:val="21"/>
          <w:highlight w:val="none"/>
        </w:rPr>
      </w:pPr>
    </w:p>
    <w:p>
      <w:pPr>
        <w:pStyle w:val="3"/>
        <w:ind w:firstLine="602"/>
        <w:rPr>
          <w:rFonts w:ascii="宋体" w:hAnsi="宋体" w:cs="宋体"/>
          <w:color w:val="auto"/>
          <w:highlight w:val="none"/>
        </w:rPr>
      </w:pPr>
      <w:r>
        <w:rPr>
          <w:rFonts w:hint="eastAsia" w:ascii="宋体" w:hAnsi="宋体" w:cs="宋体"/>
          <w:color w:val="auto"/>
          <w:highlight w:val="none"/>
        </w:rPr>
        <w:br w:type="page"/>
      </w:r>
      <w:bookmarkStart w:id="1760" w:name="_Toc25444"/>
      <w:bookmarkStart w:id="1761" w:name="_Toc25477"/>
      <w:bookmarkStart w:id="1762" w:name="_Toc29753"/>
      <w:bookmarkStart w:id="1763" w:name="_Toc24869"/>
      <w:bookmarkStart w:id="1764" w:name="_Toc476216661"/>
      <w:bookmarkStart w:id="1765" w:name="_Toc4376"/>
      <w:bookmarkStart w:id="1766" w:name="_Toc27539"/>
      <w:bookmarkStart w:id="1767" w:name="_Toc8747"/>
      <w:bookmarkStart w:id="1768" w:name="_Toc26151"/>
      <w:bookmarkStart w:id="1769" w:name="_Toc22392"/>
      <w:bookmarkStart w:id="1770" w:name="_Toc5015"/>
      <w:bookmarkStart w:id="1771" w:name="_Toc476216622"/>
      <w:bookmarkStart w:id="1772" w:name="_Toc17007"/>
      <w:bookmarkStart w:id="1773" w:name="_Toc7054"/>
      <w:r>
        <w:rPr>
          <w:rFonts w:hint="eastAsia" w:ascii="宋体" w:hAnsi="宋体" w:cs="宋体"/>
          <w:color w:val="auto"/>
          <w:highlight w:val="none"/>
        </w:rPr>
        <w:t>第六章  投标文件格式</w:t>
      </w:r>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p>
    <w:p>
      <w:pPr>
        <w:snapToGrid w:val="0"/>
        <w:spacing w:before="120" w:beforeLines="50" w:after="50"/>
        <w:ind w:firstLine="422"/>
        <w:jc w:val="left"/>
        <w:outlineLvl w:val="1"/>
        <w:rPr>
          <w:rFonts w:ascii="宋体" w:hAnsi="宋体" w:cs="宋体"/>
          <w:b/>
          <w:bCs/>
          <w:color w:val="auto"/>
          <w:szCs w:val="21"/>
          <w:highlight w:val="none"/>
        </w:rPr>
      </w:pPr>
      <w:bookmarkStart w:id="1774" w:name="_Toc491759115"/>
      <w:bookmarkStart w:id="1775" w:name="_Toc491758155"/>
      <w:bookmarkStart w:id="1776" w:name="_Toc71364420"/>
      <w:bookmarkStart w:id="1777" w:name="_Toc29332"/>
      <w:r>
        <w:rPr>
          <w:rFonts w:hint="eastAsia" w:ascii="宋体" w:hAnsi="宋体" w:cs="宋体"/>
          <w:b/>
          <w:bCs/>
          <w:color w:val="auto"/>
          <w:szCs w:val="21"/>
          <w:highlight w:val="none"/>
        </w:rPr>
        <w:t>一、投标文件外层包装封面及投标文件封面格式</w:t>
      </w:r>
      <w:bookmarkEnd w:id="1774"/>
      <w:bookmarkEnd w:id="1775"/>
      <w:r>
        <w:rPr>
          <w:rFonts w:hint="eastAsia" w:ascii="宋体" w:hAnsi="宋体" w:cs="宋体"/>
          <w:color w:val="auto"/>
          <w:szCs w:val="21"/>
          <w:highlight w:val="none"/>
        </w:rPr>
        <w:t>(可选用)</w:t>
      </w:r>
      <w:bookmarkEnd w:id="1776"/>
      <w:bookmarkEnd w:id="1777"/>
    </w:p>
    <w:p>
      <w:pPr>
        <w:snapToGrid w:val="0"/>
        <w:spacing w:before="120" w:beforeLines="50" w:after="50"/>
        <w:ind w:firstLine="420"/>
        <w:rPr>
          <w:rFonts w:ascii="宋体" w:hAnsi="宋体" w:cs="宋体"/>
          <w:color w:val="auto"/>
          <w:szCs w:val="21"/>
          <w:highlight w:val="none"/>
        </w:rPr>
      </w:pPr>
      <w:r>
        <w:rPr>
          <w:rFonts w:hint="eastAsia" w:ascii="宋体" w:hAnsi="宋体" w:cs="宋体"/>
          <w:color w:val="auto"/>
          <w:szCs w:val="21"/>
          <w:highlight w:val="none"/>
        </w:rPr>
        <w:t xml:space="preserve">1、外包装封面格式： </w:t>
      </w:r>
    </w:p>
    <w:p>
      <w:pPr>
        <w:snapToGrid w:val="0"/>
        <w:spacing w:before="120" w:beforeLines="50" w:after="50"/>
        <w:ind w:firstLine="420"/>
        <w:jc w:val="center"/>
        <w:rPr>
          <w:rFonts w:ascii="宋体" w:hAnsi="宋体" w:cs="宋体"/>
          <w:bCs/>
          <w:color w:val="auto"/>
          <w:szCs w:val="21"/>
          <w:highlight w:val="none"/>
        </w:rPr>
      </w:pPr>
    </w:p>
    <w:p>
      <w:pPr>
        <w:pStyle w:val="14"/>
        <w:snapToGrid w:val="0"/>
        <w:spacing w:before="50" w:after="50"/>
        <w:ind w:firstLine="932" w:firstLineChars="444"/>
        <w:jc w:val="center"/>
        <w:rPr>
          <w:rFonts w:ascii="宋体" w:hAnsi="宋体" w:cs="宋体"/>
          <w:bCs/>
          <w:color w:val="auto"/>
          <w:szCs w:val="21"/>
          <w:highlight w:val="none"/>
        </w:rPr>
      </w:pPr>
      <w:r>
        <w:rPr>
          <w:rFonts w:hint="eastAsia" w:ascii="宋体" w:hAnsi="宋体" w:cs="宋体"/>
          <w:bCs/>
          <w:color w:val="auto"/>
          <w:szCs w:val="21"/>
          <w:highlight w:val="none"/>
        </w:rPr>
        <w:t>投标文件名称：</w:t>
      </w:r>
      <w:r>
        <w:rPr>
          <w:rFonts w:hint="eastAsia" w:ascii="宋体" w:hAnsi="宋体" w:cs="宋体"/>
          <w:color w:val="auto"/>
          <w:szCs w:val="21"/>
          <w:highlight w:val="none"/>
        </w:rPr>
        <w:t>（报价文件/资格审查文件/商务技术文件）</w:t>
      </w:r>
    </w:p>
    <w:p>
      <w:pPr>
        <w:snapToGrid w:val="0"/>
        <w:spacing w:before="120" w:beforeLines="50" w:after="50"/>
        <w:ind w:firstLine="420"/>
        <w:rPr>
          <w:rFonts w:ascii="宋体" w:hAnsi="宋体" w:cs="宋体"/>
          <w:color w:val="auto"/>
          <w:szCs w:val="21"/>
          <w:highlight w:val="none"/>
        </w:rPr>
      </w:pPr>
    </w:p>
    <w:p>
      <w:pPr>
        <w:snapToGrid w:val="0"/>
        <w:spacing w:before="120" w:beforeLines="50" w:after="50"/>
        <w:ind w:firstLine="932" w:firstLineChars="444"/>
        <w:rPr>
          <w:rFonts w:ascii="宋体" w:hAnsi="宋体" w:cs="宋体"/>
          <w:bCs/>
          <w:color w:val="auto"/>
          <w:szCs w:val="21"/>
          <w:highlight w:val="none"/>
        </w:rPr>
      </w:pPr>
      <w:r>
        <w:rPr>
          <w:rFonts w:hint="eastAsia" w:ascii="宋体" w:hAnsi="宋体" w:cs="宋体"/>
          <w:bCs/>
          <w:color w:val="auto"/>
          <w:szCs w:val="21"/>
          <w:highlight w:val="none"/>
        </w:rPr>
        <w:t xml:space="preserve">项目名称：            </w:t>
      </w:r>
    </w:p>
    <w:p>
      <w:pPr>
        <w:snapToGrid w:val="0"/>
        <w:spacing w:before="120" w:beforeLines="50" w:after="50"/>
        <w:ind w:firstLine="932" w:firstLineChars="444"/>
        <w:rPr>
          <w:rFonts w:ascii="宋体" w:hAnsi="宋体" w:cs="宋体"/>
          <w:bCs/>
          <w:color w:val="auto"/>
          <w:szCs w:val="21"/>
          <w:highlight w:val="none"/>
        </w:rPr>
      </w:pPr>
      <w:r>
        <w:rPr>
          <w:rFonts w:hint="eastAsia" w:ascii="宋体" w:hAnsi="宋体" w:cs="宋体"/>
          <w:bCs/>
          <w:color w:val="auto"/>
          <w:szCs w:val="21"/>
          <w:highlight w:val="none"/>
        </w:rPr>
        <w:t xml:space="preserve">项目编号： </w:t>
      </w:r>
    </w:p>
    <w:p>
      <w:pPr>
        <w:pStyle w:val="14"/>
        <w:snapToGrid w:val="0"/>
        <w:spacing w:before="50" w:after="50"/>
        <w:ind w:firstLine="932" w:firstLineChars="444"/>
        <w:rPr>
          <w:rFonts w:ascii="宋体" w:hAnsi="宋体" w:cs="宋体"/>
          <w:bCs/>
          <w:color w:val="auto"/>
          <w:szCs w:val="21"/>
          <w:highlight w:val="none"/>
        </w:rPr>
      </w:pPr>
      <w:r>
        <w:rPr>
          <w:rFonts w:hint="eastAsia" w:ascii="宋体" w:hAnsi="宋体" w:cs="宋体"/>
          <w:bCs/>
          <w:color w:val="auto"/>
          <w:szCs w:val="21"/>
          <w:highlight w:val="none"/>
        </w:rPr>
        <w:t>投标人名称：</w:t>
      </w:r>
    </w:p>
    <w:p>
      <w:pPr>
        <w:pStyle w:val="14"/>
        <w:snapToGrid w:val="0"/>
        <w:spacing w:before="50" w:after="50"/>
        <w:ind w:firstLine="932" w:firstLineChars="444"/>
        <w:rPr>
          <w:rFonts w:ascii="宋体" w:hAnsi="宋体" w:cs="宋体"/>
          <w:bCs/>
          <w:color w:val="auto"/>
          <w:szCs w:val="21"/>
          <w:highlight w:val="none"/>
        </w:rPr>
      </w:pPr>
      <w:r>
        <w:rPr>
          <w:rFonts w:hint="eastAsia" w:ascii="宋体" w:hAnsi="宋体" w:cs="宋体"/>
          <w:bCs/>
          <w:color w:val="auto"/>
          <w:szCs w:val="21"/>
          <w:highlight w:val="none"/>
        </w:rPr>
        <w:t>投标人地址：</w:t>
      </w:r>
    </w:p>
    <w:p>
      <w:pPr>
        <w:ind w:firstLine="5040" w:firstLineChars="2400"/>
        <w:rPr>
          <w:rFonts w:ascii="宋体" w:hAnsi="宋体" w:cs="宋体"/>
          <w:color w:val="auto"/>
          <w:highlight w:val="none"/>
        </w:rPr>
      </w:pPr>
      <w:r>
        <w:rPr>
          <w:rFonts w:hint="eastAsia" w:ascii="宋体" w:hAnsi="宋体" w:cs="宋体"/>
          <w:bCs/>
          <w:color w:val="auto"/>
          <w:szCs w:val="21"/>
          <w:highlight w:val="none"/>
        </w:rPr>
        <w:t xml:space="preserve">   </w:t>
      </w:r>
      <w:r>
        <w:rPr>
          <w:rFonts w:hint="eastAsia" w:ascii="宋体" w:hAnsi="宋体" w:cs="宋体"/>
          <w:color w:val="auto"/>
          <w:highlight w:val="none"/>
        </w:rPr>
        <w:t xml:space="preserve"> （投标人公章）</w:t>
      </w:r>
    </w:p>
    <w:p>
      <w:pPr>
        <w:ind w:firstLine="420"/>
        <w:rPr>
          <w:rFonts w:ascii="宋体" w:hAnsi="宋体" w:cs="宋体"/>
          <w:color w:val="auto"/>
          <w:highlight w:val="none"/>
        </w:rPr>
      </w:pPr>
      <w:r>
        <w:rPr>
          <w:rFonts w:hint="eastAsia" w:ascii="宋体" w:hAnsi="宋体" w:cs="宋体"/>
          <w:color w:val="auto"/>
          <w:highlight w:val="none"/>
        </w:rPr>
        <w:t xml:space="preserve">                                                      年  月  日</w:t>
      </w:r>
    </w:p>
    <w:p>
      <w:pPr>
        <w:snapToGrid w:val="0"/>
        <w:spacing w:before="120" w:beforeLines="50" w:after="50"/>
        <w:ind w:firstLine="420"/>
        <w:jc w:val="center"/>
        <w:rPr>
          <w:rFonts w:ascii="宋体" w:hAnsi="宋体" w:cs="宋体"/>
          <w:bCs/>
          <w:color w:val="auto"/>
          <w:szCs w:val="21"/>
          <w:highlight w:val="none"/>
        </w:rPr>
      </w:pPr>
    </w:p>
    <w:p>
      <w:pPr>
        <w:snapToGrid w:val="0"/>
        <w:spacing w:before="120" w:beforeLines="50" w:after="50"/>
        <w:ind w:firstLine="420"/>
        <w:rPr>
          <w:rFonts w:ascii="宋体" w:hAnsi="宋体" w:cs="宋体"/>
          <w:color w:val="auto"/>
          <w:szCs w:val="21"/>
          <w:highlight w:val="none"/>
        </w:rPr>
      </w:pPr>
      <w:r>
        <w:rPr>
          <w:rFonts w:hint="eastAsia" w:ascii="宋体" w:hAnsi="宋体" w:cs="宋体"/>
          <w:color w:val="auto"/>
          <w:szCs w:val="21"/>
          <w:highlight w:val="none"/>
        </w:rPr>
        <w:t xml:space="preserve">2、封面格式： </w:t>
      </w:r>
    </w:p>
    <w:p>
      <w:pPr>
        <w:snapToGrid w:val="0"/>
        <w:spacing w:before="120" w:beforeLines="50" w:after="50"/>
        <w:ind w:firstLine="422"/>
        <w:jc w:val="center"/>
        <w:rPr>
          <w:rFonts w:ascii="宋体" w:hAnsi="宋体" w:cs="宋体"/>
          <w:b/>
          <w:bCs/>
          <w:color w:val="auto"/>
          <w:szCs w:val="21"/>
          <w:highlight w:val="none"/>
        </w:rPr>
      </w:pPr>
      <w:r>
        <w:rPr>
          <w:rFonts w:hint="eastAsia" w:ascii="宋体" w:hAnsi="宋体" w:cs="宋体"/>
          <w:b/>
          <w:bCs/>
          <w:color w:val="auto"/>
          <w:szCs w:val="21"/>
          <w:highlight w:val="none"/>
        </w:rPr>
        <w:t xml:space="preserve">                                            正本/或副本</w:t>
      </w:r>
    </w:p>
    <w:p>
      <w:pPr>
        <w:snapToGrid w:val="0"/>
        <w:spacing w:before="120" w:beforeLines="50" w:after="50"/>
        <w:ind w:firstLine="420"/>
        <w:rPr>
          <w:rFonts w:ascii="宋体" w:hAnsi="宋体" w:cs="宋体"/>
          <w:bCs/>
          <w:color w:val="auto"/>
          <w:szCs w:val="21"/>
          <w:highlight w:val="none"/>
        </w:rPr>
      </w:pPr>
    </w:p>
    <w:p>
      <w:pPr>
        <w:pStyle w:val="14"/>
        <w:snapToGrid w:val="0"/>
        <w:spacing w:before="50" w:after="50"/>
        <w:ind w:firstLine="932" w:firstLineChars="444"/>
        <w:jc w:val="center"/>
        <w:rPr>
          <w:rFonts w:ascii="宋体" w:hAnsi="宋体" w:cs="宋体"/>
          <w:bCs/>
          <w:color w:val="auto"/>
          <w:szCs w:val="21"/>
          <w:highlight w:val="none"/>
        </w:rPr>
      </w:pPr>
      <w:r>
        <w:rPr>
          <w:rFonts w:hint="eastAsia" w:ascii="宋体" w:hAnsi="宋体" w:cs="宋体"/>
          <w:bCs/>
          <w:color w:val="auto"/>
          <w:szCs w:val="21"/>
          <w:highlight w:val="none"/>
        </w:rPr>
        <w:t>投标文件名称：</w:t>
      </w:r>
      <w:r>
        <w:rPr>
          <w:rFonts w:hint="eastAsia" w:ascii="宋体" w:hAnsi="宋体" w:cs="宋体"/>
          <w:color w:val="auto"/>
          <w:szCs w:val="21"/>
          <w:highlight w:val="none"/>
        </w:rPr>
        <w:t>（报价文件/资格审查文件/商务技术文件）</w:t>
      </w:r>
    </w:p>
    <w:p>
      <w:pPr>
        <w:snapToGrid w:val="0"/>
        <w:spacing w:before="120" w:beforeLines="50" w:after="50"/>
        <w:ind w:firstLine="932" w:firstLineChars="444"/>
        <w:rPr>
          <w:rFonts w:ascii="宋体" w:hAnsi="宋体" w:cs="宋体"/>
          <w:bCs/>
          <w:color w:val="auto"/>
          <w:szCs w:val="21"/>
          <w:highlight w:val="none"/>
        </w:rPr>
      </w:pPr>
      <w:r>
        <w:rPr>
          <w:rFonts w:hint="eastAsia" w:ascii="宋体" w:hAnsi="宋体" w:cs="宋体"/>
          <w:bCs/>
          <w:color w:val="auto"/>
          <w:szCs w:val="21"/>
          <w:highlight w:val="none"/>
        </w:rPr>
        <w:t xml:space="preserve">项目名称：                  </w:t>
      </w:r>
    </w:p>
    <w:p>
      <w:pPr>
        <w:snapToGrid w:val="0"/>
        <w:spacing w:before="120" w:beforeLines="50" w:after="50"/>
        <w:ind w:firstLine="932" w:firstLineChars="444"/>
        <w:rPr>
          <w:rFonts w:ascii="宋体" w:hAnsi="宋体" w:cs="宋体"/>
          <w:bCs/>
          <w:color w:val="auto"/>
          <w:szCs w:val="21"/>
          <w:highlight w:val="none"/>
        </w:rPr>
      </w:pPr>
      <w:r>
        <w:rPr>
          <w:rFonts w:hint="eastAsia" w:ascii="宋体" w:hAnsi="宋体" w:cs="宋体"/>
          <w:bCs/>
          <w:color w:val="auto"/>
          <w:szCs w:val="21"/>
          <w:highlight w:val="none"/>
        </w:rPr>
        <w:t xml:space="preserve">项目编号： </w:t>
      </w:r>
    </w:p>
    <w:p>
      <w:pPr>
        <w:pStyle w:val="14"/>
        <w:snapToGrid w:val="0"/>
        <w:spacing w:before="50" w:after="50"/>
        <w:ind w:firstLine="932" w:firstLineChars="444"/>
        <w:rPr>
          <w:rFonts w:ascii="宋体" w:hAnsi="宋体" w:cs="宋体"/>
          <w:bCs/>
          <w:color w:val="auto"/>
          <w:szCs w:val="21"/>
          <w:highlight w:val="none"/>
        </w:rPr>
      </w:pPr>
      <w:r>
        <w:rPr>
          <w:rFonts w:hint="eastAsia" w:ascii="宋体" w:hAnsi="宋体" w:cs="宋体"/>
          <w:bCs/>
          <w:color w:val="auto"/>
          <w:szCs w:val="21"/>
          <w:highlight w:val="none"/>
        </w:rPr>
        <w:t>投标人名称：</w:t>
      </w:r>
    </w:p>
    <w:p>
      <w:pPr>
        <w:pStyle w:val="14"/>
        <w:snapToGrid w:val="0"/>
        <w:spacing w:before="50" w:after="50"/>
        <w:ind w:firstLine="932" w:firstLineChars="444"/>
        <w:rPr>
          <w:rFonts w:ascii="宋体" w:hAnsi="宋体" w:cs="宋体"/>
          <w:bCs/>
          <w:color w:val="auto"/>
          <w:szCs w:val="21"/>
          <w:highlight w:val="none"/>
        </w:rPr>
      </w:pPr>
      <w:r>
        <w:rPr>
          <w:rFonts w:hint="eastAsia" w:ascii="宋体" w:hAnsi="宋体" w:cs="宋体"/>
          <w:bCs/>
          <w:color w:val="auto"/>
          <w:szCs w:val="21"/>
          <w:highlight w:val="none"/>
        </w:rPr>
        <w:t>投标人地址：</w:t>
      </w:r>
    </w:p>
    <w:p>
      <w:pPr>
        <w:pStyle w:val="14"/>
        <w:snapToGrid w:val="0"/>
        <w:spacing w:before="50" w:after="50"/>
        <w:ind w:firstLine="873" w:firstLineChars="416"/>
        <w:rPr>
          <w:rFonts w:ascii="宋体" w:hAnsi="宋体" w:cs="宋体"/>
          <w:color w:val="auto"/>
          <w:szCs w:val="21"/>
          <w:highlight w:val="none"/>
        </w:rPr>
      </w:pPr>
    </w:p>
    <w:p>
      <w:pPr>
        <w:snapToGrid w:val="0"/>
        <w:spacing w:before="120" w:beforeLines="50" w:after="50"/>
        <w:ind w:firstLine="3570" w:firstLineChars="1700"/>
        <w:jc w:val="center"/>
        <w:rPr>
          <w:rFonts w:ascii="宋体" w:hAnsi="宋体" w:cs="宋体"/>
          <w:color w:val="auto"/>
          <w:szCs w:val="21"/>
          <w:highlight w:val="none"/>
        </w:rPr>
      </w:pPr>
      <w:r>
        <w:rPr>
          <w:rFonts w:hint="eastAsia" w:ascii="宋体" w:hAnsi="宋体" w:cs="宋体"/>
          <w:color w:val="auto"/>
          <w:highlight w:val="none"/>
        </w:rPr>
        <w:t>（投标人公章）</w:t>
      </w:r>
    </w:p>
    <w:p>
      <w:pPr>
        <w:snapToGrid w:val="0"/>
        <w:spacing w:before="120" w:beforeLines="50" w:after="50"/>
        <w:ind w:firstLine="420"/>
        <w:jc w:val="center"/>
        <w:rPr>
          <w:rFonts w:ascii="宋体" w:hAnsi="宋体" w:cs="宋体"/>
          <w:color w:val="auto"/>
          <w:szCs w:val="21"/>
          <w:highlight w:val="none"/>
        </w:rPr>
      </w:pPr>
      <w:r>
        <w:rPr>
          <w:rFonts w:hint="eastAsia" w:ascii="宋体" w:hAnsi="宋体" w:cs="宋体"/>
          <w:color w:val="auto"/>
          <w:szCs w:val="21"/>
          <w:highlight w:val="none"/>
        </w:rPr>
        <w:t xml:space="preserve">                        年  月  日</w:t>
      </w:r>
    </w:p>
    <w:p>
      <w:pPr>
        <w:snapToGrid w:val="0"/>
        <w:spacing w:before="120" w:beforeLines="50" w:after="50"/>
        <w:ind w:firstLine="420"/>
        <w:rPr>
          <w:rFonts w:ascii="宋体" w:hAnsi="宋体" w:cs="宋体"/>
          <w:color w:val="auto"/>
          <w:szCs w:val="21"/>
          <w:highlight w:val="none"/>
        </w:rPr>
      </w:pPr>
    </w:p>
    <w:p>
      <w:pPr>
        <w:ind w:firstLine="420"/>
        <w:rPr>
          <w:rFonts w:ascii="宋体" w:hAnsi="宋体" w:cs="宋体"/>
          <w:color w:val="auto"/>
          <w:highlight w:val="none"/>
        </w:rPr>
      </w:pPr>
    </w:p>
    <w:p>
      <w:pPr>
        <w:snapToGrid w:val="0"/>
        <w:spacing w:before="120" w:beforeLines="50"/>
        <w:ind w:firstLine="422"/>
        <w:jc w:val="left"/>
        <w:rPr>
          <w:rFonts w:ascii="宋体" w:hAnsi="宋体" w:cs="宋体"/>
          <w:color w:val="auto"/>
          <w:szCs w:val="21"/>
          <w:highlight w:val="none"/>
        </w:rPr>
      </w:pPr>
      <w:r>
        <w:rPr>
          <w:rFonts w:hint="eastAsia" w:ascii="宋体" w:hAnsi="宋体" w:cs="宋体"/>
          <w:b/>
          <w:color w:val="auto"/>
          <w:szCs w:val="21"/>
          <w:highlight w:val="none"/>
        </w:rPr>
        <w:br w:type="page"/>
      </w:r>
      <w:r>
        <w:rPr>
          <w:rFonts w:hint="eastAsia" w:ascii="宋体" w:hAnsi="宋体" w:cs="宋体"/>
          <w:b/>
          <w:bCs/>
          <w:color w:val="auto"/>
          <w:szCs w:val="21"/>
          <w:highlight w:val="none"/>
        </w:rPr>
        <w:t>二、投标文件格式</w:t>
      </w:r>
    </w:p>
    <w:p>
      <w:pPr>
        <w:snapToGrid w:val="0"/>
        <w:spacing w:before="120" w:beforeLines="50" w:after="50"/>
        <w:ind w:firstLine="422"/>
        <w:rPr>
          <w:rFonts w:ascii="宋体" w:hAnsi="宋体" w:cs="宋体"/>
          <w:b/>
          <w:bCs/>
          <w:color w:val="auto"/>
          <w:szCs w:val="21"/>
          <w:highlight w:val="none"/>
        </w:rPr>
      </w:pPr>
      <w:r>
        <w:rPr>
          <w:rFonts w:hint="eastAsia" w:ascii="宋体" w:hAnsi="宋体" w:cs="宋体"/>
          <w:b/>
          <w:bCs/>
          <w:color w:val="auto"/>
          <w:szCs w:val="21"/>
          <w:highlight w:val="none"/>
        </w:rPr>
        <w:t>1.投标函格式：</w:t>
      </w:r>
    </w:p>
    <w:p>
      <w:pPr>
        <w:snapToGrid w:val="0"/>
        <w:spacing w:before="120" w:beforeLines="50" w:after="50"/>
        <w:ind w:firstLine="422"/>
        <w:jc w:val="center"/>
        <w:rPr>
          <w:rFonts w:ascii="宋体" w:hAnsi="宋体" w:cs="宋体"/>
          <w:b/>
          <w:color w:val="auto"/>
          <w:szCs w:val="21"/>
          <w:highlight w:val="none"/>
        </w:rPr>
      </w:pPr>
      <w:r>
        <w:rPr>
          <w:rFonts w:hint="eastAsia" w:ascii="宋体" w:hAnsi="宋体" w:cs="宋体"/>
          <w:b/>
          <w:color w:val="auto"/>
          <w:szCs w:val="21"/>
          <w:highlight w:val="none"/>
        </w:rPr>
        <w:t>投 标 函</w:t>
      </w:r>
    </w:p>
    <w:p>
      <w:pPr>
        <w:snapToGrid w:val="0"/>
        <w:ind w:firstLine="420"/>
        <w:rPr>
          <w:rFonts w:ascii="宋体" w:hAnsi="宋体" w:cs="宋体"/>
          <w:color w:val="auto"/>
          <w:szCs w:val="21"/>
          <w:highlight w:val="none"/>
        </w:rPr>
      </w:pPr>
      <w:r>
        <w:rPr>
          <w:rFonts w:hint="eastAsia" w:ascii="宋体" w:hAnsi="宋体" w:cs="宋体"/>
          <w:color w:val="auto"/>
          <w:szCs w:val="21"/>
          <w:highlight w:val="none"/>
        </w:rPr>
        <w:t>致：</w:t>
      </w:r>
      <w:r>
        <w:rPr>
          <w:rFonts w:hint="eastAsia" w:ascii="宋体" w:hAnsi="宋体" w:cs="宋体"/>
          <w:color w:val="auto"/>
          <w:szCs w:val="21"/>
          <w:highlight w:val="none"/>
          <w:u w:val="single"/>
        </w:rPr>
        <w:t>（招标采购单位名称）</w:t>
      </w:r>
      <w:r>
        <w:rPr>
          <w:rFonts w:hint="eastAsia" w:ascii="宋体" w:hAnsi="宋体" w:cs="宋体"/>
          <w:color w:val="auto"/>
          <w:szCs w:val="21"/>
          <w:highlight w:val="none"/>
        </w:rPr>
        <w:t>：</w:t>
      </w:r>
    </w:p>
    <w:p>
      <w:pPr>
        <w:snapToGrid w:val="0"/>
        <w:ind w:firstLine="420"/>
        <w:rPr>
          <w:rFonts w:ascii="宋体" w:hAnsi="宋体" w:cs="宋体"/>
          <w:color w:val="auto"/>
          <w:szCs w:val="21"/>
          <w:highlight w:val="none"/>
        </w:rPr>
      </w:pPr>
      <w:r>
        <w:rPr>
          <w:rFonts w:hint="eastAsia" w:ascii="宋体" w:hAnsi="宋体" w:cs="宋体"/>
          <w:color w:val="auto"/>
          <w:szCs w:val="21"/>
          <w:highlight w:val="none"/>
        </w:rPr>
        <w:t>根据贵方为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项目的招标公告/投标邀请书（项目编号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），签字代表</w:t>
      </w:r>
      <w:r>
        <w:rPr>
          <w:rFonts w:hint="eastAsia" w:ascii="宋体" w:hAnsi="宋体" w:cs="宋体"/>
          <w:color w:val="auto"/>
          <w:szCs w:val="21"/>
          <w:highlight w:val="none"/>
          <w:u w:val="single"/>
        </w:rPr>
        <w:t xml:space="preserve"> （全名）</w:t>
      </w:r>
      <w:r>
        <w:rPr>
          <w:rFonts w:hint="eastAsia" w:ascii="宋体" w:hAnsi="宋体" w:cs="宋体"/>
          <w:color w:val="auto"/>
          <w:szCs w:val="21"/>
          <w:highlight w:val="none"/>
        </w:rPr>
        <w:t>经正式授权并代表投标人____________________（投标人名称）提交投标文件。</w:t>
      </w:r>
    </w:p>
    <w:p>
      <w:pPr>
        <w:snapToGrid w:val="0"/>
        <w:ind w:firstLine="420"/>
        <w:rPr>
          <w:rFonts w:ascii="宋体" w:hAnsi="宋体" w:cs="宋体"/>
          <w:color w:val="auto"/>
          <w:szCs w:val="21"/>
          <w:highlight w:val="none"/>
        </w:rPr>
      </w:pPr>
      <w:r>
        <w:rPr>
          <w:rFonts w:hint="eastAsia" w:ascii="宋体" w:hAnsi="宋体" w:cs="宋体"/>
          <w:color w:val="auto"/>
          <w:szCs w:val="21"/>
          <w:highlight w:val="none"/>
        </w:rPr>
        <w:t>据此函，签字代表宣布同意如下：</w:t>
      </w:r>
    </w:p>
    <w:p>
      <w:pPr>
        <w:snapToGrid w:val="0"/>
        <w:ind w:firstLine="420"/>
        <w:rPr>
          <w:rFonts w:ascii="宋体" w:hAnsi="宋体" w:cs="宋体"/>
          <w:color w:val="auto"/>
          <w:szCs w:val="21"/>
          <w:highlight w:val="none"/>
        </w:rPr>
      </w:pPr>
      <w:r>
        <w:rPr>
          <w:rFonts w:hint="eastAsia" w:ascii="宋体" w:hAnsi="宋体" w:cs="宋体"/>
          <w:color w:val="auto"/>
          <w:szCs w:val="21"/>
          <w:highlight w:val="none"/>
        </w:rPr>
        <w:t>1.投标人已详细审查全部“招标文件”，包括修改文件（如有的话）以及全部参考资料和有关附件，已经了解我方对于招标文件、采购过程、采购结果有依法进行询问、质疑、投诉的权利及相关渠道和要求。</w:t>
      </w:r>
    </w:p>
    <w:p>
      <w:pPr>
        <w:snapToGrid w:val="0"/>
        <w:ind w:firstLine="420"/>
        <w:rPr>
          <w:rFonts w:ascii="宋体" w:hAnsi="宋体" w:cs="宋体"/>
          <w:color w:val="auto"/>
          <w:szCs w:val="21"/>
          <w:highlight w:val="none"/>
        </w:rPr>
      </w:pPr>
      <w:r>
        <w:rPr>
          <w:rFonts w:hint="eastAsia" w:ascii="宋体" w:hAnsi="宋体" w:cs="宋体"/>
          <w:color w:val="auto"/>
          <w:szCs w:val="21"/>
          <w:highlight w:val="none"/>
        </w:rPr>
        <w:t>2.投标人在投标之前已经与贵方进行了充分的沟通，完全理解并接受招标文件的各项规定和要求，对招标文件的合理性、合法性不再有异议。</w:t>
      </w:r>
    </w:p>
    <w:p>
      <w:pPr>
        <w:snapToGrid w:val="0"/>
        <w:ind w:firstLine="420"/>
        <w:rPr>
          <w:rFonts w:ascii="宋体" w:hAnsi="宋体" w:cs="宋体"/>
          <w:color w:val="auto"/>
          <w:szCs w:val="21"/>
          <w:highlight w:val="none"/>
        </w:rPr>
      </w:pPr>
      <w:r>
        <w:rPr>
          <w:rFonts w:hint="eastAsia" w:ascii="宋体" w:hAnsi="宋体" w:cs="宋体"/>
          <w:color w:val="auto"/>
          <w:szCs w:val="21"/>
          <w:highlight w:val="none"/>
        </w:rPr>
        <w:t>3.本投标有效期自开标日起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天。</w:t>
      </w:r>
    </w:p>
    <w:p>
      <w:pPr>
        <w:snapToGrid w:val="0"/>
        <w:ind w:firstLine="420"/>
        <w:rPr>
          <w:rFonts w:ascii="宋体" w:hAnsi="宋体" w:cs="宋体"/>
          <w:color w:val="auto"/>
          <w:szCs w:val="21"/>
          <w:highlight w:val="none"/>
        </w:rPr>
      </w:pPr>
      <w:r>
        <w:rPr>
          <w:rFonts w:hint="eastAsia" w:ascii="宋体" w:hAnsi="宋体" w:cs="宋体"/>
          <w:color w:val="auto"/>
          <w:szCs w:val="21"/>
          <w:highlight w:val="none"/>
        </w:rPr>
        <w:t>4.如中标，本投标文件至本项目合同履行完毕止均保持有效，本投标人将按“招标文件”及政府采购法律、法规的规定履行合同责任和义务。</w:t>
      </w:r>
    </w:p>
    <w:p>
      <w:pPr>
        <w:snapToGrid w:val="0"/>
        <w:ind w:firstLine="420"/>
        <w:rPr>
          <w:rFonts w:ascii="宋体" w:hAnsi="宋体" w:cs="宋体"/>
          <w:color w:val="auto"/>
          <w:szCs w:val="21"/>
          <w:highlight w:val="none"/>
        </w:rPr>
      </w:pPr>
      <w:r>
        <w:rPr>
          <w:rFonts w:hint="eastAsia" w:ascii="宋体" w:hAnsi="宋体" w:cs="宋体"/>
          <w:color w:val="auto"/>
          <w:szCs w:val="21"/>
          <w:highlight w:val="none"/>
        </w:rPr>
        <w:t>5.投标人同意按照贵方要求提供与投标有关的一切数据或资料。</w:t>
      </w:r>
    </w:p>
    <w:p>
      <w:pPr>
        <w:snapToGrid w:val="0"/>
        <w:ind w:firstLine="420"/>
        <w:rPr>
          <w:rFonts w:ascii="宋体" w:hAnsi="宋体" w:cs="宋体"/>
          <w:color w:val="auto"/>
          <w:szCs w:val="21"/>
          <w:highlight w:val="none"/>
        </w:rPr>
      </w:pPr>
      <w:r>
        <w:rPr>
          <w:rFonts w:hint="eastAsia" w:ascii="宋体" w:hAnsi="宋体" w:cs="宋体"/>
          <w:color w:val="auto"/>
          <w:szCs w:val="21"/>
          <w:highlight w:val="none"/>
        </w:rPr>
        <w:t>6.与本投标有关的一切正式往来信函请寄：</w:t>
      </w:r>
    </w:p>
    <w:p>
      <w:pPr>
        <w:snapToGrid w:val="0"/>
        <w:ind w:firstLine="420"/>
        <w:rPr>
          <w:rFonts w:ascii="宋体" w:hAnsi="宋体" w:cs="宋体"/>
          <w:color w:val="auto"/>
          <w:szCs w:val="21"/>
          <w:highlight w:val="none"/>
        </w:rPr>
      </w:pPr>
      <w:r>
        <w:rPr>
          <w:rFonts w:hint="eastAsia" w:ascii="宋体" w:hAnsi="宋体" w:cs="宋体"/>
          <w:color w:val="auto"/>
          <w:szCs w:val="21"/>
          <w:highlight w:val="none"/>
        </w:rPr>
        <w:t>地址：_______________邮编：__________   电话：______________</w:t>
      </w:r>
    </w:p>
    <w:p>
      <w:pPr>
        <w:snapToGrid w:val="0"/>
        <w:ind w:firstLine="420"/>
        <w:rPr>
          <w:rFonts w:ascii="宋体" w:hAnsi="宋体" w:cs="宋体"/>
          <w:color w:val="auto"/>
          <w:szCs w:val="21"/>
          <w:highlight w:val="none"/>
        </w:rPr>
      </w:pPr>
      <w:r>
        <w:rPr>
          <w:rFonts w:hint="eastAsia" w:ascii="宋体" w:hAnsi="宋体" w:cs="宋体"/>
          <w:color w:val="auto"/>
          <w:szCs w:val="21"/>
          <w:highlight w:val="none"/>
        </w:rPr>
        <w:t>传真：______________投标人代表姓名 ___________  职务：___________</w:t>
      </w:r>
    </w:p>
    <w:p>
      <w:pPr>
        <w:snapToGrid w:val="0"/>
        <w:ind w:firstLine="420"/>
        <w:rPr>
          <w:rFonts w:ascii="宋体" w:hAnsi="宋体" w:cs="宋体"/>
          <w:color w:val="auto"/>
          <w:szCs w:val="21"/>
          <w:highlight w:val="none"/>
        </w:rPr>
      </w:pPr>
      <w:r>
        <w:rPr>
          <w:rFonts w:hint="eastAsia" w:ascii="宋体" w:hAnsi="宋体" w:cs="宋体"/>
          <w:color w:val="auto"/>
          <w:szCs w:val="21"/>
          <w:highlight w:val="none"/>
        </w:rPr>
        <w:t>开户银行：</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银行帐号：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pPr>
        <w:snapToGrid w:val="0"/>
        <w:ind w:firstLine="420"/>
        <w:rPr>
          <w:rFonts w:ascii="宋体" w:hAnsi="宋体" w:cs="宋体"/>
          <w:color w:val="auto"/>
          <w:szCs w:val="21"/>
          <w:highlight w:val="none"/>
        </w:rPr>
      </w:pPr>
    </w:p>
    <w:p>
      <w:pPr>
        <w:snapToGrid w:val="0"/>
        <w:ind w:firstLine="420"/>
        <w:rPr>
          <w:rFonts w:ascii="宋体" w:hAnsi="宋体" w:cs="宋体"/>
          <w:color w:val="auto"/>
          <w:szCs w:val="21"/>
          <w:highlight w:val="none"/>
        </w:rPr>
      </w:pPr>
    </w:p>
    <w:p>
      <w:pPr>
        <w:snapToGrid w:val="0"/>
        <w:spacing w:before="50" w:after="50"/>
        <w:ind w:left="-23" w:leftChars="-22" w:right="-817" w:rightChars="-389" w:hanging="23" w:hangingChars="11"/>
        <w:rPr>
          <w:rFonts w:ascii="宋体" w:hAnsi="宋体" w:cs="宋体"/>
          <w:color w:val="auto"/>
          <w:szCs w:val="21"/>
          <w:highlight w:val="none"/>
        </w:rPr>
      </w:pPr>
      <w:r>
        <w:rPr>
          <w:rFonts w:hint="eastAsia" w:ascii="宋体" w:hAnsi="宋体" w:cs="宋体"/>
          <w:color w:val="auto"/>
          <w:szCs w:val="21"/>
          <w:highlight w:val="none"/>
        </w:rPr>
        <w:t xml:space="preserve">投标人全称（盖章）：                                     </w:t>
      </w:r>
    </w:p>
    <w:p>
      <w:pPr>
        <w:snapToGrid w:val="0"/>
        <w:spacing w:before="50" w:after="50"/>
        <w:ind w:left="-23" w:leftChars="-22" w:right="-817" w:rightChars="-389" w:hanging="23" w:hangingChars="11"/>
        <w:rPr>
          <w:rFonts w:ascii="宋体" w:hAnsi="宋体" w:cs="宋体"/>
          <w:color w:val="auto"/>
          <w:szCs w:val="21"/>
          <w:highlight w:val="none"/>
        </w:rPr>
      </w:pPr>
      <w:r>
        <w:rPr>
          <w:rFonts w:hint="eastAsia" w:ascii="宋体" w:hAnsi="宋体" w:cs="宋体"/>
          <w:color w:val="auto"/>
          <w:szCs w:val="21"/>
          <w:highlight w:val="none"/>
        </w:rPr>
        <w:t>日期：    年   月   日</w:t>
      </w:r>
    </w:p>
    <w:p>
      <w:pPr>
        <w:snapToGrid w:val="0"/>
        <w:spacing w:before="50" w:after="50"/>
        <w:ind w:firstLine="420"/>
        <w:rPr>
          <w:rFonts w:ascii="宋体" w:hAnsi="宋体" w:cs="宋体"/>
          <w:color w:val="auto"/>
          <w:szCs w:val="21"/>
          <w:highlight w:val="none"/>
        </w:rPr>
      </w:pPr>
      <w:r>
        <w:rPr>
          <w:rFonts w:hint="eastAsia" w:ascii="宋体" w:hAnsi="宋体" w:cs="宋体"/>
          <w:color w:val="auto"/>
          <w:szCs w:val="21"/>
          <w:highlight w:val="none"/>
        </w:rPr>
        <w:br w:type="page"/>
      </w:r>
      <w:r>
        <w:rPr>
          <w:rFonts w:hint="eastAsia" w:ascii="宋体" w:hAnsi="宋体" w:cs="宋体"/>
          <w:b/>
          <w:bCs/>
          <w:color w:val="auto"/>
          <w:szCs w:val="21"/>
          <w:highlight w:val="none"/>
        </w:rPr>
        <w:t>2.开标一览表</w:t>
      </w:r>
    </w:p>
    <w:p>
      <w:pPr>
        <w:snapToGrid w:val="0"/>
        <w:spacing w:before="50" w:after="50"/>
        <w:ind w:firstLine="422"/>
        <w:rPr>
          <w:rFonts w:ascii="宋体" w:hAnsi="宋体" w:cs="宋体"/>
          <w:b/>
          <w:color w:val="auto"/>
          <w:szCs w:val="21"/>
          <w:highlight w:val="none"/>
        </w:rPr>
      </w:pPr>
    </w:p>
    <w:p>
      <w:pPr>
        <w:snapToGrid w:val="0"/>
        <w:spacing w:before="50" w:after="50"/>
        <w:ind w:firstLine="422"/>
        <w:rPr>
          <w:rFonts w:ascii="宋体" w:hAnsi="宋体" w:cs="宋体"/>
          <w:b/>
          <w:color w:val="auto"/>
          <w:szCs w:val="21"/>
          <w:highlight w:val="none"/>
        </w:rPr>
      </w:pPr>
    </w:p>
    <w:p>
      <w:pPr>
        <w:snapToGrid w:val="0"/>
        <w:spacing w:before="50" w:after="50"/>
        <w:ind w:firstLine="422"/>
        <w:jc w:val="center"/>
        <w:rPr>
          <w:rFonts w:ascii="宋体" w:hAnsi="宋体" w:cs="宋体"/>
          <w:b/>
          <w:color w:val="auto"/>
          <w:szCs w:val="21"/>
          <w:highlight w:val="none"/>
        </w:rPr>
      </w:pPr>
      <w:r>
        <w:rPr>
          <w:rFonts w:hint="eastAsia" w:ascii="宋体" w:hAnsi="宋体" w:cs="宋体"/>
          <w:b/>
          <w:color w:val="auto"/>
          <w:szCs w:val="21"/>
          <w:highlight w:val="none"/>
        </w:rPr>
        <w:t>开标一览表</w:t>
      </w:r>
    </w:p>
    <w:p>
      <w:pPr>
        <w:snapToGrid w:val="0"/>
        <w:spacing w:before="50" w:after="50"/>
        <w:ind w:firstLine="210" w:firstLineChars="100"/>
        <w:rPr>
          <w:rFonts w:ascii="宋体" w:hAnsi="宋体" w:cs="宋体"/>
          <w:color w:val="auto"/>
          <w:szCs w:val="21"/>
          <w:highlight w:val="none"/>
        </w:rPr>
      </w:pPr>
      <w:r>
        <w:rPr>
          <w:rFonts w:hint="eastAsia" w:ascii="宋体" w:hAnsi="宋体" w:cs="宋体"/>
          <w:color w:val="auto"/>
          <w:szCs w:val="21"/>
          <w:highlight w:val="none"/>
        </w:rPr>
        <w:t>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项目名称：</w:t>
      </w:r>
      <w:r>
        <w:rPr>
          <w:rFonts w:hint="eastAsia" w:ascii="宋体" w:hAnsi="宋体" w:cs="宋体"/>
          <w:color w:val="auto"/>
          <w:szCs w:val="21"/>
          <w:highlight w:val="none"/>
          <w:u w:val="single"/>
        </w:rPr>
        <w:t xml:space="preserve">                    </w:t>
      </w:r>
    </w:p>
    <w:tbl>
      <w:tblPr>
        <w:tblStyle w:val="37"/>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1"/>
        <w:gridCol w:w="3132"/>
        <w:gridCol w:w="2694"/>
        <w:gridCol w:w="165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3" w:hRule="atLeast"/>
          <w:jc w:val="center"/>
        </w:trPr>
        <w:tc>
          <w:tcPr>
            <w:tcW w:w="841" w:type="dxa"/>
            <w:tcBorders>
              <w:top w:val="single" w:color="auto" w:sz="4" w:space="0"/>
              <w:left w:val="single" w:color="auto" w:sz="4" w:space="0"/>
              <w:bottom w:val="single" w:color="auto" w:sz="4" w:space="0"/>
              <w:right w:val="single" w:color="auto" w:sz="4" w:space="0"/>
            </w:tcBorders>
            <w:vAlign w:val="center"/>
          </w:tcPr>
          <w:p>
            <w:pPr>
              <w:snapToGrid w:val="0"/>
              <w:spacing w:before="50" w:after="50"/>
              <w:ind w:firstLine="0" w:firstLineChars="0"/>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3132" w:type="dxa"/>
            <w:tcBorders>
              <w:top w:val="single" w:color="auto" w:sz="4" w:space="0"/>
              <w:left w:val="single" w:color="auto" w:sz="4" w:space="0"/>
              <w:bottom w:val="single" w:color="auto" w:sz="4" w:space="0"/>
              <w:right w:val="single" w:color="auto" w:sz="4" w:space="0"/>
            </w:tcBorders>
            <w:vAlign w:val="center"/>
          </w:tcPr>
          <w:p>
            <w:pPr>
              <w:snapToGrid w:val="0"/>
              <w:spacing w:before="50" w:after="50"/>
              <w:ind w:firstLine="0" w:firstLineChars="0"/>
              <w:jc w:val="center"/>
              <w:rPr>
                <w:rFonts w:ascii="宋体" w:hAnsi="宋体" w:cs="宋体"/>
                <w:b/>
                <w:color w:val="auto"/>
                <w:szCs w:val="21"/>
                <w:highlight w:val="none"/>
              </w:rPr>
            </w:pPr>
            <w:r>
              <w:rPr>
                <w:rFonts w:hint="eastAsia" w:ascii="宋体" w:hAnsi="宋体" w:cs="宋体"/>
                <w:b/>
                <w:color w:val="auto"/>
                <w:szCs w:val="21"/>
                <w:highlight w:val="none"/>
              </w:rPr>
              <w:t>采购内容</w:t>
            </w:r>
          </w:p>
        </w:tc>
        <w:tc>
          <w:tcPr>
            <w:tcW w:w="2694" w:type="dxa"/>
            <w:tcBorders>
              <w:top w:val="single" w:color="auto" w:sz="4" w:space="0"/>
              <w:left w:val="single" w:color="auto" w:sz="4" w:space="0"/>
              <w:bottom w:val="single" w:color="auto" w:sz="4" w:space="0"/>
              <w:right w:val="single" w:color="auto" w:sz="4" w:space="0"/>
            </w:tcBorders>
            <w:vAlign w:val="center"/>
          </w:tcPr>
          <w:p>
            <w:pPr>
              <w:snapToGrid w:val="0"/>
              <w:spacing w:before="50" w:after="50"/>
              <w:ind w:firstLine="0" w:firstLineChars="0"/>
              <w:jc w:val="center"/>
              <w:rPr>
                <w:rFonts w:ascii="宋体" w:hAnsi="宋体" w:cs="宋体"/>
                <w:b/>
                <w:color w:val="auto"/>
                <w:szCs w:val="21"/>
                <w:highlight w:val="none"/>
              </w:rPr>
            </w:pPr>
            <w:r>
              <w:rPr>
                <w:rFonts w:hint="eastAsia" w:ascii="宋体" w:hAnsi="宋体" w:cs="宋体"/>
                <w:b/>
                <w:color w:val="auto"/>
                <w:szCs w:val="21"/>
                <w:highlight w:val="none"/>
              </w:rPr>
              <w:t>投标报价（元）</w:t>
            </w:r>
          </w:p>
        </w:tc>
        <w:tc>
          <w:tcPr>
            <w:tcW w:w="1653" w:type="dxa"/>
            <w:tcBorders>
              <w:top w:val="single" w:color="auto" w:sz="4" w:space="0"/>
              <w:left w:val="single" w:color="auto" w:sz="4" w:space="0"/>
              <w:bottom w:val="single" w:color="auto" w:sz="4" w:space="0"/>
              <w:right w:val="single" w:color="auto" w:sz="4" w:space="0"/>
            </w:tcBorders>
            <w:vAlign w:val="center"/>
          </w:tcPr>
          <w:p>
            <w:pPr>
              <w:snapToGrid w:val="0"/>
              <w:spacing w:before="50" w:after="50"/>
              <w:ind w:firstLine="0" w:firstLineChars="0"/>
              <w:jc w:val="center"/>
              <w:rPr>
                <w:rFonts w:ascii="宋体" w:hAnsi="宋体" w:cs="宋体"/>
                <w:b/>
                <w:color w:val="auto"/>
                <w:szCs w:val="21"/>
                <w:highlight w:val="none"/>
              </w:rPr>
            </w:pPr>
            <w:r>
              <w:rPr>
                <w:rFonts w:hint="eastAsia" w:ascii="宋体" w:hAnsi="宋体" w:cs="宋体"/>
                <w:b/>
                <w:bCs/>
                <w:color w:val="auto"/>
                <w:kern w:val="0"/>
                <w:szCs w:val="21"/>
                <w:highlight w:val="none"/>
              </w:rPr>
              <w:t>完成项目期限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6" w:hRule="atLeast"/>
          <w:jc w:val="center"/>
        </w:trPr>
        <w:tc>
          <w:tcPr>
            <w:tcW w:w="841" w:type="dxa"/>
            <w:tcBorders>
              <w:top w:val="single" w:color="auto" w:sz="4" w:space="0"/>
              <w:left w:val="single" w:color="auto" w:sz="4" w:space="0"/>
              <w:right w:val="single" w:color="auto" w:sz="4" w:space="0"/>
            </w:tcBorders>
            <w:vAlign w:val="center"/>
          </w:tcPr>
          <w:p>
            <w:pPr>
              <w:snapToGrid w:val="0"/>
              <w:spacing w:before="50" w:after="50"/>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1</w:t>
            </w:r>
          </w:p>
        </w:tc>
        <w:tc>
          <w:tcPr>
            <w:tcW w:w="3132"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rPr>
                <w:rFonts w:ascii="宋体" w:hAnsi="宋体" w:cs="宋体"/>
                <w:color w:val="auto"/>
                <w:highlight w:val="none"/>
              </w:rPr>
            </w:pPr>
            <w:r>
              <w:rPr>
                <w:rFonts w:hint="eastAsia" w:ascii="宋体" w:hAnsi="宋体" w:cs="宋体"/>
                <w:color w:val="auto"/>
                <w:highlight w:val="none"/>
              </w:rPr>
              <w:t>宁波石化经济技术开发区智慧园区一期项目</w:t>
            </w:r>
          </w:p>
        </w:tc>
        <w:tc>
          <w:tcPr>
            <w:tcW w:w="2694" w:type="dxa"/>
            <w:tcBorders>
              <w:top w:val="single" w:color="auto" w:sz="4" w:space="0"/>
              <w:left w:val="single" w:color="auto" w:sz="4" w:space="0"/>
              <w:bottom w:val="single" w:color="auto" w:sz="4" w:space="0"/>
              <w:right w:val="single" w:color="auto" w:sz="4" w:space="0"/>
            </w:tcBorders>
            <w:vAlign w:val="center"/>
          </w:tcPr>
          <w:p>
            <w:pPr>
              <w:snapToGrid w:val="0"/>
              <w:spacing w:before="50" w:after="50"/>
              <w:ind w:firstLine="0" w:firstLineChars="0"/>
              <w:jc w:val="left"/>
              <w:rPr>
                <w:rFonts w:ascii="宋体" w:hAnsi="宋体" w:cs="宋体"/>
                <w:color w:val="auto"/>
                <w:szCs w:val="21"/>
                <w:highlight w:val="none"/>
              </w:rPr>
            </w:pPr>
            <w:r>
              <w:rPr>
                <w:rFonts w:hint="eastAsia" w:ascii="宋体" w:hAnsi="宋体" w:cs="宋体"/>
                <w:color w:val="auto"/>
                <w:szCs w:val="21"/>
                <w:highlight w:val="none"/>
              </w:rPr>
              <w:t>大写：</w:t>
            </w:r>
          </w:p>
          <w:p>
            <w:pPr>
              <w:snapToGrid w:val="0"/>
              <w:spacing w:before="50" w:after="50"/>
              <w:ind w:firstLine="0" w:firstLineChars="0"/>
              <w:jc w:val="left"/>
              <w:rPr>
                <w:rFonts w:ascii="宋体" w:hAnsi="宋体" w:cs="宋体"/>
                <w:color w:val="auto"/>
                <w:szCs w:val="21"/>
                <w:highlight w:val="none"/>
              </w:rPr>
            </w:pPr>
            <w:r>
              <w:rPr>
                <w:rFonts w:hint="eastAsia" w:ascii="宋体" w:hAnsi="宋体" w:cs="宋体"/>
                <w:color w:val="auto"/>
                <w:szCs w:val="21"/>
                <w:highlight w:val="none"/>
              </w:rPr>
              <w:t>小写：</w:t>
            </w:r>
          </w:p>
        </w:tc>
        <w:tc>
          <w:tcPr>
            <w:tcW w:w="1653" w:type="dxa"/>
            <w:tcBorders>
              <w:top w:val="single" w:color="auto" w:sz="4" w:space="0"/>
              <w:left w:val="single" w:color="auto" w:sz="4" w:space="0"/>
              <w:right w:val="single" w:color="auto" w:sz="4" w:space="0"/>
            </w:tcBorders>
            <w:vAlign w:val="center"/>
          </w:tcPr>
          <w:p>
            <w:pPr>
              <w:snapToGrid w:val="0"/>
              <w:spacing w:before="50" w:after="50"/>
              <w:ind w:firstLine="420"/>
              <w:jc w:val="center"/>
              <w:rPr>
                <w:rFonts w:ascii="宋体" w:hAnsi="宋体" w:cs="宋体"/>
                <w:color w:val="auto"/>
                <w:szCs w:val="21"/>
                <w:highlight w:val="none"/>
              </w:rPr>
            </w:pPr>
          </w:p>
        </w:tc>
      </w:tr>
    </w:tbl>
    <w:p>
      <w:pPr>
        <w:snapToGrid w:val="0"/>
        <w:spacing w:before="50" w:after="50"/>
        <w:ind w:firstLine="420"/>
        <w:jc w:val="left"/>
        <w:rPr>
          <w:rFonts w:ascii="宋体" w:hAnsi="宋体" w:cs="宋体"/>
          <w:color w:val="auto"/>
          <w:szCs w:val="21"/>
          <w:highlight w:val="none"/>
        </w:rPr>
      </w:pPr>
      <w:r>
        <w:rPr>
          <w:rFonts w:hint="eastAsia" w:ascii="宋体" w:hAnsi="宋体" w:cs="宋体"/>
          <w:color w:val="auto"/>
          <w:szCs w:val="21"/>
          <w:highlight w:val="none"/>
        </w:rPr>
        <w:t>注: 报价一经涂改，应在涂改处加盖单位公章或者由法定代表人或授权委托人签字或盖章，否则其报作无效处理。</w:t>
      </w:r>
    </w:p>
    <w:p>
      <w:pPr>
        <w:snapToGrid w:val="0"/>
        <w:spacing w:before="50" w:after="50"/>
        <w:ind w:left="-21" w:leftChars="-72" w:right="-817" w:rightChars="-389" w:hanging="130" w:hangingChars="62"/>
        <w:rPr>
          <w:rFonts w:ascii="宋体" w:hAnsi="宋体" w:cs="宋体"/>
          <w:color w:val="auto"/>
          <w:szCs w:val="21"/>
          <w:highlight w:val="none"/>
        </w:rPr>
      </w:pPr>
    </w:p>
    <w:p>
      <w:pPr>
        <w:snapToGrid w:val="0"/>
        <w:spacing w:before="50" w:after="50"/>
        <w:ind w:left="-23" w:leftChars="-22" w:right="-817" w:rightChars="-389" w:hanging="23" w:hangingChars="11"/>
        <w:rPr>
          <w:rFonts w:ascii="宋体" w:hAnsi="宋体" w:cs="宋体"/>
          <w:color w:val="auto"/>
          <w:szCs w:val="21"/>
          <w:highlight w:val="none"/>
        </w:rPr>
      </w:pPr>
    </w:p>
    <w:p>
      <w:pPr>
        <w:snapToGrid w:val="0"/>
        <w:spacing w:before="50" w:after="50"/>
        <w:ind w:left="-23" w:leftChars="-22" w:right="-817" w:rightChars="-389" w:hanging="23" w:hangingChars="11"/>
        <w:rPr>
          <w:rFonts w:ascii="宋体" w:hAnsi="宋体" w:cs="宋体"/>
          <w:color w:val="auto"/>
          <w:szCs w:val="21"/>
          <w:highlight w:val="none"/>
        </w:rPr>
      </w:pPr>
      <w:r>
        <w:rPr>
          <w:rFonts w:hint="eastAsia" w:ascii="宋体" w:hAnsi="宋体" w:cs="宋体"/>
          <w:color w:val="auto"/>
          <w:szCs w:val="21"/>
          <w:highlight w:val="none"/>
        </w:rPr>
        <w:t xml:space="preserve">投标人全称（盖章）：                                     </w:t>
      </w:r>
    </w:p>
    <w:p>
      <w:pPr>
        <w:snapToGrid w:val="0"/>
        <w:spacing w:before="50" w:after="50"/>
        <w:ind w:left="-23" w:leftChars="-22" w:right="-817" w:rightChars="-389" w:hanging="23" w:hangingChars="11"/>
        <w:rPr>
          <w:rFonts w:ascii="宋体" w:hAnsi="宋体" w:cs="宋体"/>
          <w:color w:val="auto"/>
          <w:szCs w:val="21"/>
          <w:highlight w:val="none"/>
        </w:rPr>
        <w:sectPr>
          <w:headerReference r:id="rId15" w:type="default"/>
          <w:footerReference r:id="rId16" w:type="default"/>
          <w:footerReference r:id="rId17" w:type="even"/>
          <w:pgSz w:w="11907" w:h="16840"/>
          <w:pgMar w:top="1474" w:right="1797" w:bottom="1247" w:left="1797" w:header="851" w:footer="851" w:gutter="0"/>
          <w:cols w:space="720" w:num="1"/>
          <w:titlePg/>
          <w:docGrid w:linePitch="312" w:charSpace="0"/>
        </w:sectPr>
      </w:pPr>
      <w:r>
        <w:rPr>
          <w:rFonts w:hint="eastAsia" w:ascii="宋体" w:hAnsi="宋体" w:cs="宋体"/>
          <w:color w:val="auto"/>
          <w:szCs w:val="21"/>
          <w:highlight w:val="none"/>
        </w:rPr>
        <w:t>日期：    年   月   日</w:t>
      </w:r>
    </w:p>
    <w:p>
      <w:pPr>
        <w:ind w:firstLine="422"/>
        <w:outlineLvl w:val="1"/>
        <w:rPr>
          <w:rFonts w:ascii="宋体" w:hAnsi="宋体" w:cs="宋体"/>
          <w:b/>
          <w:bCs/>
          <w:color w:val="auto"/>
          <w:szCs w:val="21"/>
          <w:highlight w:val="none"/>
        </w:rPr>
      </w:pPr>
      <w:bookmarkStart w:id="1778" w:name="_Toc71364421"/>
      <w:bookmarkStart w:id="1779" w:name="_Toc20812"/>
      <w:r>
        <w:rPr>
          <w:rFonts w:hint="eastAsia" w:ascii="宋体" w:hAnsi="宋体" w:cs="宋体"/>
          <w:b/>
          <w:bCs/>
          <w:color w:val="auto"/>
          <w:szCs w:val="21"/>
          <w:highlight w:val="none"/>
        </w:rPr>
        <w:t>3.分项报价表</w:t>
      </w:r>
    </w:p>
    <w:p>
      <w:pPr>
        <w:pStyle w:val="19"/>
        <w:tabs>
          <w:tab w:val="left" w:pos="4841"/>
        </w:tabs>
        <w:spacing w:before="120" w:after="120" w:line="360" w:lineRule="auto"/>
        <w:ind w:firstLine="466"/>
        <w:jc w:val="center"/>
        <w:rPr>
          <w:rFonts w:hAnsi="宋体" w:eastAsia="宋体" w:cs="宋体"/>
          <w:b/>
          <w:color w:val="auto"/>
          <w:sz w:val="24"/>
          <w:highlight w:val="none"/>
        </w:rPr>
      </w:pPr>
      <w:r>
        <w:rPr>
          <w:rFonts w:hint="eastAsia" w:hAnsi="宋体" w:eastAsia="宋体" w:cs="宋体"/>
          <w:b/>
          <w:color w:val="auto"/>
          <w:sz w:val="24"/>
          <w:highlight w:val="none"/>
        </w:rPr>
        <w:t>分项报价表</w:t>
      </w:r>
    </w:p>
    <w:p>
      <w:pPr>
        <w:pStyle w:val="19"/>
        <w:spacing w:before="120" w:after="120" w:line="360" w:lineRule="auto"/>
        <w:ind w:firstLine="404"/>
        <w:rPr>
          <w:rFonts w:hAnsi="宋体" w:eastAsia="宋体" w:cs="宋体"/>
          <w:color w:val="auto"/>
          <w:sz w:val="21"/>
          <w:szCs w:val="21"/>
          <w:highlight w:val="none"/>
        </w:rPr>
      </w:pPr>
    </w:p>
    <w:p>
      <w:pPr>
        <w:pStyle w:val="19"/>
        <w:spacing w:before="120" w:after="120" w:line="360" w:lineRule="auto"/>
        <w:ind w:firstLine="404"/>
        <w:rPr>
          <w:rFonts w:hAnsi="宋体" w:eastAsia="宋体" w:cs="宋体"/>
          <w:color w:val="auto"/>
          <w:sz w:val="21"/>
          <w:szCs w:val="21"/>
          <w:highlight w:val="none"/>
        </w:rPr>
      </w:pPr>
      <w:r>
        <w:rPr>
          <w:rFonts w:hint="eastAsia" w:hAnsi="宋体" w:eastAsia="宋体" w:cs="宋体"/>
          <w:color w:val="auto"/>
          <w:sz w:val="21"/>
          <w:szCs w:val="21"/>
          <w:highlight w:val="none"/>
        </w:rPr>
        <w:t>项目名称：</w:t>
      </w:r>
      <w:r>
        <w:rPr>
          <w:rFonts w:hint="eastAsia" w:hAnsi="宋体" w:eastAsia="宋体" w:cs="宋体"/>
          <w:color w:val="auto"/>
          <w:sz w:val="21"/>
          <w:szCs w:val="21"/>
          <w:highlight w:val="none"/>
          <w:u w:val="single"/>
        </w:rPr>
        <w:t xml:space="preserve">                       </w:t>
      </w:r>
      <w:r>
        <w:rPr>
          <w:rFonts w:hint="eastAsia" w:hAnsi="宋体" w:eastAsia="宋体" w:cs="宋体"/>
          <w:color w:val="auto"/>
          <w:sz w:val="21"/>
          <w:szCs w:val="21"/>
          <w:highlight w:val="none"/>
        </w:rPr>
        <w:t xml:space="preserve"> 项目编号：</w:t>
      </w:r>
      <w:r>
        <w:rPr>
          <w:rFonts w:hint="eastAsia" w:hAnsi="宋体" w:eastAsia="宋体" w:cs="宋体"/>
          <w:color w:val="auto"/>
          <w:sz w:val="21"/>
          <w:szCs w:val="21"/>
          <w:highlight w:val="none"/>
          <w:u w:val="single"/>
        </w:rPr>
        <w:t xml:space="preserve">                      </w:t>
      </w:r>
    </w:p>
    <w:tbl>
      <w:tblPr>
        <w:tblStyle w:val="37"/>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1953"/>
        <w:gridCol w:w="977"/>
        <w:gridCol w:w="1789"/>
        <w:gridCol w:w="1736"/>
        <w:gridCol w:w="1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806" w:type="dxa"/>
            <w:vAlign w:val="center"/>
          </w:tcPr>
          <w:p>
            <w:pPr>
              <w:spacing w:line="300" w:lineRule="exact"/>
              <w:ind w:firstLine="0" w:firstLineChars="0"/>
              <w:jc w:val="center"/>
              <w:rPr>
                <w:rFonts w:ascii="宋体" w:hAnsi="宋体" w:cs="宋体"/>
                <w:b/>
                <w:color w:val="auto"/>
                <w:szCs w:val="21"/>
                <w:highlight w:val="none"/>
              </w:rPr>
            </w:pPr>
            <w:bookmarkStart w:id="1780" w:name="_Hlk77364899"/>
            <w:r>
              <w:rPr>
                <w:rFonts w:hint="eastAsia" w:ascii="宋体" w:hAnsi="宋体" w:cs="宋体"/>
                <w:b/>
                <w:color w:val="auto"/>
                <w:szCs w:val="21"/>
                <w:highlight w:val="none"/>
              </w:rPr>
              <w:t>序号</w:t>
            </w:r>
          </w:p>
        </w:tc>
        <w:tc>
          <w:tcPr>
            <w:tcW w:w="1953" w:type="dxa"/>
            <w:vAlign w:val="center"/>
          </w:tcPr>
          <w:p>
            <w:pPr>
              <w:spacing w:line="300" w:lineRule="exact"/>
              <w:ind w:firstLine="0" w:firstLineChars="0"/>
              <w:jc w:val="center"/>
              <w:rPr>
                <w:rFonts w:ascii="宋体" w:hAnsi="宋体" w:cs="宋体"/>
                <w:b/>
                <w:color w:val="auto"/>
                <w:szCs w:val="21"/>
                <w:highlight w:val="none"/>
              </w:rPr>
            </w:pPr>
            <w:r>
              <w:rPr>
                <w:rFonts w:hint="eastAsia" w:ascii="宋体" w:hAnsi="宋体" w:cs="宋体"/>
                <w:b/>
                <w:color w:val="auto"/>
                <w:szCs w:val="21"/>
                <w:highlight w:val="none"/>
              </w:rPr>
              <w:t>项目</w:t>
            </w:r>
          </w:p>
        </w:tc>
        <w:tc>
          <w:tcPr>
            <w:tcW w:w="977" w:type="dxa"/>
            <w:vAlign w:val="center"/>
          </w:tcPr>
          <w:p>
            <w:pPr>
              <w:spacing w:line="300" w:lineRule="exact"/>
              <w:ind w:firstLine="0" w:firstLineChars="0"/>
              <w:jc w:val="center"/>
              <w:rPr>
                <w:rFonts w:ascii="宋体" w:hAnsi="宋体" w:cs="宋体"/>
                <w:b/>
                <w:color w:val="auto"/>
                <w:szCs w:val="21"/>
                <w:highlight w:val="none"/>
              </w:rPr>
            </w:pPr>
            <w:r>
              <w:rPr>
                <w:rFonts w:hint="eastAsia" w:ascii="宋体" w:hAnsi="宋体" w:cs="宋体"/>
                <w:b/>
                <w:color w:val="auto"/>
                <w:szCs w:val="21"/>
                <w:highlight w:val="none"/>
              </w:rPr>
              <w:t>数量</w:t>
            </w:r>
          </w:p>
        </w:tc>
        <w:tc>
          <w:tcPr>
            <w:tcW w:w="1789" w:type="dxa"/>
            <w:vAlign w:val="center"/>
          </w:tcPr>
          <w:p>
            <w:pPr>
              <w:spacing w:line="300" w:lineRule="exact"/>
              <w:ind w:firstLine="0" w:firstLineChars="0"/>
              <w:jc w:val="center"/>
              <w:rPr>
                <w:rFonts w:ascii="宋体" w:hAnsi="宋体" w:cs="宋体"/>
                <w:b/>
                <w:color w:val="auto"/>
                <w:szCs w:val="21"/>
                <w:highlight w:val="none"/>
              </w:rPr>
            </w:pPr>
            <w:r>
              <w:rPr>
                <w:rFonts w:hint="eastAsia" w:ascii="宋体" w:hAnsi="宋体" w:cs="宋体"/>
                <w:b/>
                <w:color w:val="auto"/>
                <w:szCs w:val="21"/>
                <w:highlight w:val="none"/>
              </w:rPr>
              <w:t>单价（人民币/元）</w:t>
            </w:r>
          </w:p>
        </w:tc>
        <w:tc>
          <w:tcPr>
            <w:tcW w:w="1736" w:type="dxa"/>
            <w:vAlign w:val="center"/>
          </w:tcPr>
          <w:p>
            <w:pPr>
              <w:spacing w:line="300" w:lineRule="exact"/>
              <w:ind w:firstLine="0" w:firstLineChars="0"/>
              <w:jc w:val="center"/>
              <w:rPr>
                <w:rFonts w:ascii="宋体" w:hAnsi="宋体" w:cs="宋体"/>
                <w:b/>
                <w:color w:val="auto"/>
                <w:szCs w:val="21"/>
                <w:highlight w:val="none"/>
              </w:rPr>
            </w:pPr>
            <w:r>
              <w:rPr>
                <w:rFonts w:hint="eastAsia" w:ascii="宋体" w:hAnsi="宋体" w:cs="宋体"/>
                <w:b/>
                <w:color w:val="auto"/>
                <w:szCs w:val="21"/>
                <w:highlight w:val="none"/>
              </w:rPr>
              <w:t>合价（人民币/元）</w:t>
            </w:r>
          </w:p>
        </w:tc>
        <w:tc>
          <w:tcPr>
            <w:tcW w:w="1948" w:type="dxa"/>
            <w:vAlign w:val="center"/>
          </w:tcPr>
          <w:p>
            <w:pPr>
              <w:spacing w:line="300" w:lineRule="exact"/>
              <w:ind w:firstLine="0" w:firstLineChars="0"/>
              <w:jc w:val="center"/>
              <w:rPr>
                <w:rFonts w:ascii="宋体" w:hAnsi="宋体" w:cs="宋体"/>
                <w:b/>
                <w:color w:val="auto"/>
                <w:szCs w:val="21"/>
                <w:highlight w:val="none"/>
              </w:rPr>
            </w:pPr>
            <w:r>
              <w:rPr>
                <w:rFonts w:hint="eastAsia" w:ascii="宋体" w:hAnsi="宋体" w:cs="宋体"/>
                <w:b/>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806" w:type="dxa"/>
            <w:vAlign w:val="center"/>
          </w:tcPr>
          <w:p>
            <w:pPr>
              <w:spacing w:line="300" w:lineRule="exact"/>
              <w:ind w:firstLine="21" w:firstLineChars="10"/>
              <w:jc w:val="center"/>
              <w:rPr>
                <w:rFonts w:ascii="宋体" w:hAnsi="宋体" w:cs="宋体"/>
                <w:color w:val="auto"/>
                <w:szCs w:val="21"/>
                <w:highlight w:val="none"/>
              </w:rPr>
            </w:pPr>
            <w:r>
              <w:rPr>
                <w:rFonts w:hint="eastAsia" w:ascii="宋体" w:hAnsi="宋体" w:cs="宋体"/>
                <w:color w:val="auto"/>
                <w:szCs w:val="21"/>
                <w:highlight w:val="none"/>
              </w:rPr>
              <w:t>1</w:t>
            </w:r>
          </w:p>
        </w:tc>
        <w:tc>
          <w:tcPr>
            <w:tcW w:w="1953" w:type="dxa"/>
            <w:vAlign w:val="center"/>
          </w:tcPr>
          <w:p>
            <w:pPr>
              <w:spacing w:line="300" w:lineRule="exact"/>
              <w:ind w:left="-25" w:leftChars="-12" w:firstLine="114" w:firstLineChars="54"/>
              <w:jc w:val="center"/>
              <w:rPr>
                <w:rFonts w:ascii="宋体" w:hAnsi="宋体" w:cs="宋体"/>
                <w:b/>
                <w:color w:val="auto"/>
                <w:szCs w:val="21"/>
                <w:highlight w:val="none"/>
              </w:rPr>
            </w:pPr>
            <w:r>
              <w:rPr>
                <w:rFonts w:hint="eastAsia" w:ascii="宋体" w:hAnsi="宋体" w:cs="宋体"/>
                <w:b/>
                <w:color w:val="auto"/>
                <w:szCs w:val="21"/>
                <w:highlight w:val="none"/>
              </w:rPr>
              <w:t>数字平台</w:t>
            </w:r>
          </w:p>
        </w:tc>
        <w:tc>
          <w:tcPr>
            <w:tcW w:w="977" w:type="dxa"/>
            <w:vAlign w:val="center"/>
          </w:tcPr>
          <w:p>
            <w:pPr>
              <w:spacing w:line="300" w:lineRule="exact"/>
              <w:ind w:firstLine="420"/>
              <w:jc w:val="center"/>
              <w:rPr>
                <w:rFonts w:ascii="宋体" w:hAnsi="宋体" w:cs="宋体"/>
                <w:color w:val="auto"/>
                <w:szCs w:val="21"/>
                <w:highlight w:val="none"/>
              </w:rPr>
            </w:pPr>
          </w:p>
        </w:tc>
        <w:tc>
          <w:tcPr>
            <w:tcW w:w="1789" w:type="dxa"/>
            <w:vAlign w:val="center"/>
          </w:tcPr>
          <w:p>
            <w:pPr>
              <w:spacing w:line="300" w:lineRule="exact"/>
              <w:ind w:firstLine="420"/>
              <w:rPr>
                <w:rFonts w:ascii="宋体" w:hAnsi="宋体" w:cs="宋体"/>
                <w:color w:val="auto"/>
                <w:szCs w:val="21"/>
                <w:highlight w:val="none"/>
              </w:rPr>
            </w:pPr>
          </w:p>
        </w:tc>
        <w:tc>
          <w:tcPr>
            <w:tcW w:w="1736" w:type="dxa"/>
            <w:vAlign w:val="center"/>
          </w:tcPr>
          <w:p>
            <w:pPr>
              <w:spacing w:line="300" w:lineRule="exact"/>
              <w:ind w:firstLine="420"/>
              <w:rPr>
                <w:rFonts w:ascii="宋体" w:hAnsi="宋体" w:cs="宋体"/>
                <w:color w:val="auto"/>
                <w:szCs w:val="21"/>
                <w:highlight w:val="none"/>
              </w:rPr>
            </w:pPr>
          </w:p>
        </w:tc>
        <w:tc>
          <w:tcPr>
            <w:tcW w:w="1948" w:type="dxa"/>
            <w:vAlign w:val="center"/>
          </w:tcPr>
          <w:p>
            <w:pPr>
              <w:spacing w:line="300" w:lineRule="exact"/>
              <w:ind w:firstLine="0" w:firstLineChars="0"/>
              <w:rPr>
                <w:rFonts w:ascii="宋体" w:hAnsi="宋体" w:cs="宋体"/>
                <w:color w:val="auto"/>
                <w:szCs w:val="21"/>
                <w:highlight w:val="none"/>
              </w:rPr>
            </w:pPr>
            <w:r>
              <w:rPr>
                <w:rFonts w:hint="eastAsia" w:ascii="宋体" w:hAnsi="宋体" w:cs="宋体"/>
                <w:color w:val="auto"/>
                <w:szCs w:val="21"/>
                <w:highlight w:val="none"/>
              </w:rPr>
              <w:t>报价明细详见4-1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806" w:type="dxa"/>
            <w:vAlign w:val="center"/>
          </w:tcPr>
          <w:p>
            <w:pPr>
              <w:spacing w:line="300" w:lineRule="exact"/>
              <w:ind w:firstLine="21" w:firstLineChars="10"/>
              <w:jc w:val="center"/>
              <w:rPr>
                <w:rFonts w:ascii="宋体" w:hAnsi="宋体" w:cs="宋体"/>
                <w:color w:val="auto"/>
                <w:szCs w:val="21"/>
                <w:highlight w:val="none"/>
              </w:rPr>
            </w:pPr>
            <w:r>
              <w:rPr>
                <w:rFonts w:hint="eastAsia" w:ascii="宋体" w:hAnsi="宋体" w:cs="宋体"/>
                <w:color w:val="auto"/>
                <w:szCs w:val="21"/>
                <w:highlight w:val="none"/>
              </w:rPr>
              <w:t>2</w:t>
            </w:r>
          </w:p>
        </w:tc>
        <w:tc>
          <w:tcPr>
            <w:tcW w:w="1953" w:type="dxa"/>
            <w:vAlign w:val="center"/>
          </w:tcPr>
          <w:p>
            <w:pPr>
              <w:spacing w:line="300" w:lineRule="exact"/>
              <w:ind w:left="-25" w:leftChars="-12" w:firstLine="114" w:firstLineChars="54"/>
              <w:jc w:val="center"/>
              <w:rPr>
                <w:rFonts w:ascii="宋体" w:hAnsi="宋体" w:cs="宋体"/>
                <w:b/>
                <w:color w:val="auto"/>
                <w:szCs w:val="21"/>
                <w:highlight w:val="none"/>
              </w:rPr>
            </w:pPr>
            <w:r>
              <w:rPr>
                <w:rFonts w:hint="eastAsia" w:ascii="宋体" w:hAnsi="宋体" w:cs="宋体"/>
                <w:b/>
                <w:color w:val="auto"/>
                <w:szCs w:val="21"/>
                <w:highlight w:val="none"/>
              </w:rPr>
              <w:t>园区大脑</w:t>
            </w:r>
          </w:p>
        </w:tc>
        <w:tc>
          <w:tcPr>
            <w:tcW w:w="977" w:type="dxa"/>
            <w:vAlign w:val="center"/>
          </w:tcPr>
          <w:p>
            <w:pPr>
              <w:spacing w:line="300" w:lineRule="exact"/>
              <w:ind w:firstLine="420"/>
              <w:jc w:val="center"/>
              <w:rPr>
                <w:rFonts w:ascii="宋体" w:hAnsi="宋体" w:cs="宋体"/>
                <w:color w:val="auto"/>
                <w:szCs w:val="21"/>
                <w:highlight w:val="none"/>
              </w:rPr>
            </w:pPr>
          </w:p>
        </w:tc>
        <w:tc>
          <w:tcPr>
            <w:tcW w:w="1789" w:type="dxa"/>
            <w:vAlign w:val="center"/>
          </w:tcPr>
          <w:p>
            <w:pPr>
              <w:spacing w:line="300" w:lineRule="exact"/>
              <w:ind w:firstLine="420"/>
              <w:rPr>
                <w:rFonts w:ascii="宋体" w:hAnsi="宋体" w:cs="宋体"/>
                <w:color w:val="auto"/>
                <w:szCs w:val="21"/>
                <w:highlight w:val="none"/>
              </w:rPr>
            </w:pPr>
          </w:p>
        </w:tc>
        <w:tc>
          <w:tcPr>
            <w:tcW w:w="1736" w:type="dxa"/>
            <w:vAlign w:val="center"/>
          </w:tcPr>
          <w:p>
            <w:pPr>
              <w:spacing w:line="300" w:lineRule="exact"/>
              <w:ind w:firstLine="420"/>
              <w:rPr>
                <w:rFonts w:ascii="宋体" w:hAnsi="宋体" w:cs="宋体"/>
                <w:color w:val="auto"/>
                <w:szCs w:val="21"/>
                <w:highlight w:val="none"/>
              </w:rPr>
            </w:pPr>
          </w:p>
        </w:tc>
        <w:tc>
          <w:tcPr>
            <w:tcW w:w="1948" w:type="dxa"/>
            <w:vAlign w:val="center"/>
          </w:tcPr>
          <w:p>
            <w:pPr>
              <w:spacing w:line="300" w:lineRule="exact"/>
              <w:ind w:firstLine="0" w:firstLineChars="0"/>
              <w:rPr>
                <w:rFonts w:ascii="宋体" w:hAnsi="宋体" w:cs="宋体"/>
                <w:color w:val="auto"/>
                <w:szCs w:val="21"/>
                <w:highlight w:val="none"/>
              </w:rPr>
            </w:pPr>
            <w:r>
              <w:rPr>
                <w:rFonts w:hint="eastAsia" w:ascii="宋体" w:hAnsi="宋体" w:cs="宋体"/>
                <w:color w:val="auto"/>
                <w:szCs w:val="21"/>
                <w:highlight w:val="none"/>
              </w:rPr>
              <w:t>报价明细详见4-2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806" w:type="dxa"/>
            <w:vAlign w:val="center"/>
          </w:tcPr>
          <w:p>
            <w:pPr>
              <w:spacing w:line="300" w:lineRule="exact"/>
              <w:ind w:firstLine="21" w:firstLineChars="10"/>
              <w:jc w:val="center"/>
              <w:rPr>
                <w:rFonts w:ascii="宋体" w:hAnsi="宋体" w:cs="宋体"/>
                <w:color w:val="auto"/>
                <w:szCs w:val="21"/>
                <w:highlight w:val="none"/>
              </w:rPr>
            </w:pPr>
            <w:r>
              <w:rPr>
                <w:rFonts w:hint="eastAsia" w:ascii="宋体" w:hAnsi="宋体" w:cs="宋体"/>
                <w:color w:val="auto"/>
                <w:szCs w:val="21"/>
                <w:highlight w:val="none"/>
              </w:rPr>
              <w:t>3</w:t>
            </w:r>
          </w:p>
        </w:tc>
        <w:tc>
          <w:tcPr>
            <w:tcW w:w="1953" w:type="dxa"/>
            <w:vAlign w:val="center"/>
          </w:tcPr>
          <w:p>
            <w:pPr>
              <w:spacing w:line="300" w:lineRule="exact"/>
              <w:ind w:left="-25" w:leftChars="-12" w:firstLine="114" w:firstLineChars="54"/>
              <w:jc w:val="center"/>
              <w:rPr>
                <w:rFonts w:ascii="宋体" w:hAnsi="宋体" w:cs="宋体"/>
                <w:b/>
                <w:color w:val="auto"/>
                <w:szCs w:val="21"/>
                <w:highlight w:val="none"/>
              </w:rPr>
            </w:pPr>
            <w:r>
              <w:rPr>
                <w:rFonts w:hint="eastAsia" w:ascii="宋体" w:hAnsi="宋体" w:cs="宋体"/>
                <w:b/>
                <w:color w:val="auto"/>
                <w:szCs w:val="21"/>
                <w:highlight w:val="none"/>
              </w:rPr>
              <w:t>园区应急指挥系统</w:t>
            </w:r>
          </w:p>
        </w:tc>
        <w:tc>
          <w:tcPr>
            <w:tcW w:w="977" w:type="dxa"/>
            <w:vAlign w:val="center"/>
          </w:tcPr>
          <w:p>
            <w:pPr>
              <w:spacing w:line="300" w:lineRule="exact"/>
              <w:ind w:firstLine="420"/>
              <w:jc w:val="center"/>
              <w:rPr>
                <w:rFonts w:ascii="宋体" w:hAnsi="宋体" w:cs="宋体"/>
                <w:color w:val="auto"/>
                <w:szCs w:val="21"/>
                <w:highlight w:val="none"/>
              </w:rPr>
            </w:pPr>
          </w:p>
        </w:tc>
        <w:tc>
          <w:tcPr>
            <w:tcW w:w="1789" w:type="dxa"/>
            <w:vAlign w:val="center"/>
          </w:tcPr>
          <w:p>
            <w:pPr>
              <w:spacing w:line="300" w:lineRule="exact"/>
              <w:ind w:firstLine="420"/>
              <w:rPr>
                <w:rFonts w:ascii="宋体" w:hAnsi="宋体" w:cs="宋体"/>
                <w:color w:val="auto"/>
                <w:szCs w:val="21"/>
                <w:highlight w:val="none"/>
              </w:rPr>
            </w:pPr>
          </w:p>
        </w:tc>
        <w:tc>
          <w:tcPr>
            <w:tcW w:w="1736" w:type="dxa"/>
            <w:vAlign w:val="center"/>
          </w:tcPr>
          <w:p>
            <w:pPr>
              <w:spacing w:line="300" w:lineRule="exact"/>
              <w:ind w:firstLine="420"/>
              <w:rPr>
                <w:rFonts w:ascii="宋体" w:hAnsi="宋体" w:cs="宋体"/>
                <w:color w:val="auto"/>
                <w:szCs w:val="21"/>
                <w:highlight w:val="none"/>
              </w:rPr>
            </w:pPr>
          </w:p>
        </w:tc>
        <w:tc>
          <w:tcPr>
            <w:tcW w:w="1948" w:type="dxa"/>
            <w:vAlign w:val="center"/>
          </w:tcPr>
          <w:p>
            <w:pPr>
              <w:spacing w:line="300" w:lineRule="exact"/>
              <w:ind w:firstLine="0" w:firstLineChars="0"/>
              <w:rPr>
                <w:rFonts w:ascii="宋体" w:hAnsi="宋体" w:cs="宋体"/>
                <w:color w:val="auto"/>
                <w:szCs w:val="21"/>
                <w:highlight w:val="none"/>
              </w:rPr>
            </w:pPr>
            <w:r>
              <w:rPr>
                <w:rFonts w:hint="eastAsia" w:ascii="宋体" w:hAnsi="宋体" w:cs="宋体"/>
                <w:color w:val="auto"/>
                <w:szCs w:val="21"/>
                <w:highlight w:val="none"/>
              </w:rPr>
              <w:t>报价明细详见4-3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806" w:type="dxa"/>
            <w:vAlign w:val="center"/>
          </w:tcPr>
          <w:p>
            <w:pPr>
              <w:spacing w:line="300" w:lineRule="exact"/>
              <w:ind w:firstLine="21" w:firstLineChars="10"/>
              <w:jc w:val="center"/>
              <w:rPr>
                <w:rFonts w:ascii="宋体" w:hAnsi="宋体" w:cs="宋体"/>
                <w:color w:val="auto"/>
                <w:szCs w:val="21"/>
                <w:highlight w:val="none"/>
              </w:rPr>
            </w:pPr>
            <w:r>
              <w:rPr>
                <w:rFonts w:hint="eastAsia" w:ascii="宋体" w:hAnsi="宋体" w:cs="宋体"/>
                <w:color w:val="auto"/>
                <w:szCs w:val="21"/>
                <w:highlight w:val="none"/>
              </w:rPr>
              <w:t>4</w:t>
            </w:r>
          </w:p>
        </w:tc>
        <w:tc>
          <w:tcPr>
            <w:tcW w:w="1953" w:type="dxa"/>
            <w:vAlign w:val="center"/>
          </w:tcPr>
          <w:p>
            <w:pPr>
              <w:spacing w:line="300" w:lineRule="exact"/>
              <w:ind w:left="-25" w:leftChars="-12" w:firstLine="114" w:firstLineChars="54"/>
              <w:jc w:val="center"/>
              <w:rPr>
                <w:rFonts w:ascii="宋体" w:hAnsi="宋体" w:cs="宋体"/>
                <w:b/>
                <w:color w:val="auto"/>
                <w:szCs w:val="21"/>
                <w:highlight w:val="none"/>
              </w:rPr>
            </w:pPr>
            <w:r>
              <w:rPr>
                <w:rFonts w:hint="eastAsia" w:ascii="宋体" w:hAnsi="宋体" w:cs="宋体"/>
                <w:b/>
                <w:color w:val="auto"/>
                <w:szCs w:val="21"/>
                <w:highlight w:val="none"/>
              </w:rPr>
              <w:t>标准规范</w:t>
            </w:r>
          </w:p>
        </w:tc>
        <w:tc>
          <w:tcPr>
            <w:tcW w:w="977" w:type="dxa"/>
            <w:vAlign w:val="center"/>
          </w:tcPr>
          <w:p>
            <w:pPr>
              <w:spacing w:line="300" w:lineRule="exact"/>
              <w:ind w:firstLine="420"/>
              <w:jc w:val="center"/>
              <w:rPr>
                <w:rFonts w:ascii="宋体" w:hAnsi="宋体" w:cs="宋体"/>
                <w:color w:val="auto"/>
                <w:szCs w:val="21"/>
                <w:highlight w:val="none"/>
              </w:rPr>
            </w:pPr>
          </w:p>
        </w:tc>
        <w:tc>
          <w:tcPr>
            <w:tcW w:w="1789" w:type="dxa"/>
            <w:vAlign w:val="center"/>
          </w:tcPr>
          <w:p>
            <w:pPr>
              <w:spacing w:line="300" w:lineRule="exact"/>
              <w:ind w:firstLine="420"/>
              <w:rPr>
                <w:rFonts w:ascii="宋体" w:hAnsi="宋体" w:cs="宋体"/>
                <w:color w:val="auto"/>
                <w:szCs w:val="21"/>
                <w:highlight w:val="none"/>
              </w:rPr>
            </w:pPr>
          </w:p>
        </w:tc>
        <w:tc>
          <w:tcPr>
            <w:tcW w:w="1736" w:type="dxa"/>
            <w:vAlign w:val="center"/>
          </w:tcPr>
          <w:p>
            <w:pPr>
              <w:spacing w:line="300" w:lineRule="exact"/>
              <w:ind w:firstLine="420"/>
              <w:rPr>
                <w:rFonts w:ascii="宋体" w:hAnsi="宋体" w:cs="宋体"/>
                <w:color w:val="auto"/>
                <w:szCs w:val="21"/>
                <w:highlight w:val="none"/>
              </w:rPr>
            </w:pPr>
          </w:p>
        </w:tc>
        <w:tc>
          <w:tcPr>
            <w:tcW w:w="1948" w:type="dxa"/>
            <w:vAlign w:val="center"/>
          </w:tcPr>
          <w:p>
            <w:pPr>
              <w:spacing w:line="300" w:lineRule="exact"/>
              <w:ind w:firstLine="0" w:firstLineChars="0"/>
              <w:rPr>
                <w:rFonts w:ascii="宋体" w:hAnsi="宋体" w:cs="宋体"/>
                <w:color w:val="auto"/>
                <w:szCs w:val="21"/>
                <w:highlight w:val="none"/>
              </w:rPr>
            </w:pPr>
            <w:r>
              <w:rPr>
                <w:rFonts w:hint="eastAsia" w:ascii="宋体" w:hAnsi="宋体" w:cs="宋体"/>
                <w:color w:val="auto"/>
                <w:szCs w:val="21"/>
                <w:highlight w:val="none"/>
              </w:rPr>
              <w:t>报价明细详见4-4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806" w:type="dxa"/>
            <w:vAlign w:val="center"/>
          </w:tcPr>
          <w:p>
            <w:pPr>
              <w:spacing w:line="300" w:lineRule="exact"/>
              <w:ind w:firstLine="21" w:firstLineChars="10"/>
              <w:jc w:val="center"/>
              <w:rPr>
                <w:rFonts w:ascii="宋体" w:hAnsi="宋体" w:cs="宋体"/>
                <w:color w:val="auto"/>
                <w:szCs w:val="21"/>
                <w:highlight w:val="none"/>
              </w:rPr>
            </w:pPr>
            <w:r>
              <w:rPr>
                <w:rFonts w:hint="eastAsia" w:ascii="宋体" w:hAnsi="宋体" w:cs="宋体"/>
                <w:color w:val="auto"/>
                <w:szCs w:val="21"/>
                <w:highlight w:val="none"/>
              </w:rPr>
              <w:t>5</w:t>
            </w:r>
          </w:p>
        </w:tc>
        <w:tc>
          <w:tcPr>
            <w:tcW w:w="1953" w:type="dxa"/>
            <w:vAlign w:val="center"/>
          </w:tcPr>
          <w:p>
            <w:pPr>
              <w:spacing w:line="300" w:lineRule="exact"/>
              <w:ind w:left="-25" w:leftChars="-12" w:firstLine="114" w:firstLineChars="54"/>
              <w:jc w:val="center"/>
              <w:rPr>
                <w:rFonts w:ascii="宋体" w:hAnsi="宋体" w:cs="宋体"/>
                <w:b/>
                <w:color w:val="auto"/>
                <w:szCs w:val="21"/>
                <w:highlight w:val="none"/>
              </w:rPr>
            </w:pPr>
            <w:r>
              <w:rPr>
                <w:rFonts w:hint="eastAsia" w:ascii="宋体" w:hAnsi="宋体" w:cs="宋体"/>
                <w:b/>
                <w:color w:val="auto"/>
                <w:szCs w:val="21"/>
                <w:highlight w:val="none"/>
              </w:rPr>
              <w:t>系统集成</w:t>
            </w:r>
          </w:p>
        </w:tc>
        <w:tc>
          <w:tcPr>
            <w:tcW w:w="977" w:type="dxa"/>
            <w:vAlign w:val="center"/>
          </w:tcPr>
          <w:p>
            <w:pPr>
              <w:spacing w:line="300" w:lineRule="exact"/>
              <w:ind w:firstLine="420"/>
              <w:jc w:val="center"/>
              <w:rPr>
                <w:rFonts w:ascii="宋体" w:hAnsi="宋体" w:cs="宋体"/>
                <w:color w:val="auto"/>
                <w:szCs w:val="21"/>
                <w:highlight w:val="none"/>
              </w:rPr>
            </w:pPr>
          </w:p>
        </w:tc>
        <w:tc>
          <w:tcPr>
            <w:tcW w:w="1789" w:type="dxa"/>
            <w:vAlign w:val="center"/>
          </w:tcPr>
          <w:p>
            <w:pPr>
              <w:spacing w:line="300" w:lineRule="exact"/>
              <w:ind w:firstLine="420"/>
              <w:rPr>
                <w:rFonts w:ascii="宋体" w:hAnsi="宋体" w:cs="宋体"/>
                <w:color w:val="auto"/>
                <w:szCs w:val="21"/>
                <w:highlight w:val="none"/>
              </w:rPr>
            </w:pPr>
          </w:p>
        </w:tc>
        <w:tc>
          <w:tcPr>
            <w:tcW w:w="1736" w:type="dxa"/>
            <w:vAlign w:val="center"/>
          </w:tcPr>
          <w:p>
            <w:pPr>
              <w:spacing w:line="300" w:lineRule="exact"/>
              <w:ind w:firstLine="420"/>
              <w:rPr>
                <w:rFonts w:ascii="宋体" w:hAnsi="宋体" w:cs="宋体"/>
                <w:color w:val="auto"/>
                <w:szCs w:val="21"/>
                <w:highlight w:val="none"/>
              </w:rPr>
            </w:pPr>
          </w:p>
        </w:tc>
        <w:tc>
          <w:tcPr>
            <w:tcW w:w="1948" w:type="dxa"/>
            <w:vAlign w:val="center"/>
          </w:tcPr>
          <w:p>
            <w:pPr>
              <w:spacing w:line="300" w:lineRule="exact"/>
              <w:ind w:firstLine="0" w:firstLineChars="0"/>
              <w:rPr>
                <w:rFonts w:ascii="宋体" w:hAnsi="宋体" w:cs="宋体"/>
                <w:color w:val="auto"/>
                <w:szCs w:val="21"/>
                <w:highlight w:val="none"/>
              </w:rPr>
            </w:pPr>
            <w:r>
              <w:rPr>
                <w:rFonts w:hint="eastAsia" w:ascii="宋体" w:hAnsi="宋体" w:cs="宋体"/>
                <w:color w:val="auto"/>
                <w:szCs w:val="21"/>
                <w:highlight w:val="none"/>
              </w:rPr>
              <w:t>报价明细详见4-5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806" w:type="dxa"/>
            <w:vAlign w:val="center"/>
          </w:tcPr>
          <w:p>
            <w:pPr>
              <w:spacing w:line="300" w:lineRule="exact"/>
              <w:ind w:firstLine="21" w:firstLineChars="10"/>
              <w:jc w:val="center"/>
              <w:rPr>
                <w:rFonts w:ascii="宋体" w:hAnsi="宋体" w:cs="宋体"/>
                <w:color w:val="auto"/>
                <w:szCs w:val="21"/>
                <w:highlight w:val="none"/>
              </w:rPr>
            </w:pPr>
            <w:r>
              <w:rPr>
                <w:rFonts w:hint="eastAsia" w:ascii="宋体" w:hAnsi="宋体" w:cs="宋体"/>
                <w:color w:val="auto"/>
                <w:szCs w:val="21"/>
                <w:highlight w:val="none"/>
              </w:rPr>
              <w:t>6</w:t>
            </w:r>
          </w:p>
        </w:tc>
        <w:tc>
          <w:tcPr>
            <w:tcW w:w="1953" w:type="dxa"/>
            <w:vAlign w:val="center"/>
          </w:tcPr>
          <w:p>
            <w:pPr>
              <w:spacing w:line="300" w:lineRule="exact"/>
              <w:ind w:left="-25" w:leftChars="-12" w:firstLine="114" w:firstLineChars="54"/>
              <w:jc w:val="center"/>
              <w:rPr>
                <w:rFonts w:ascii="宋体" w:hAnsi="宋体" w:cs="宋体"/>
                <w:b/>
                <w:color w:val="auto"/>
                <w:szCs w:val="21"/>
                <w:highlight w:val="none"/>
              </w:rPr>
            </w:pPr>
            <w:r>
              <w:rPr>
                <w:rFonts w:hint="eastAsia" w:ascii="宋体" w:hAnsi="宋体" w:cs="宋体"/>
                <w:b/>
                <w:color w:val="auto"/>
                <w:szCs w:val="21"/>
                <w:highlight w:val="none"/>
              </w:rPr>
              <w:t>网络、安全及5家试点企业接入设备</w:t>
            </w:r>
          </w:p>
        </w:tc>
        <w:tc>
          <w:tcPr>
            <w:tcW w:w="977" w:type="dxa"/>
            <w:vAlign w:val="center"/>
          </w:tcPr>
          <w:p>
            <w:pPr>
              <w:spacing w:line="300" w:lineRule="exact"/>
              <w:ind w:firstLine="420"/>
              <w:jc w:val="center"/>
              <w:rPr>
                <w:rFonts w:ascii="宋体" w:hAnsi="宋体" w:cs="宋体"/>
                <w:color w:val="auto"/>
                <w:szCs w:val="21"/>
                <w:highlight w:val="none"/>
              </w:rPr>
            </w:pPr>
          </w:p>
        </w:tc>
        <w:tc>
          <w:tcPr>
            <w:tcW w:w="1789" w:type="dxa"/>
            <w:vAlign w:val="center"/>
          </w:tcPr>
          <w:p>
            <w:pPr>
              <w:spacing w:line="300" w:lineRule="exact"/>
              <w:ind w:firstLine="420"/>
              <w:rPr>
                <w:rFonts w:ascii="宋体" w:hAnsi="宋体" w:cs="宋体"/>
                <w:color w:val="auto"/>
                <w:szCs w:val="21"/>
                <w:highlight w:val="none"/>
              </w:rPr>
            </w:pPr>
          </w:p>
        </w:tc>
        <w:tc>
          <w:tcPr>
            <w:tcW w:w="1736" w:type="dxa"/>
            <w:vAlign w:val="center"/>
          </w:tcPr>
          <w:p>
            <w:pPr>
              <w:spacing w:line="300" w:lineRule="exact"/>
              <w:ind w:firstLine="420"/>
              <w:rPr>
                <w:rFonts w:ascii="宋体" w:hAnsi="宋体" w:cs="宋体"/>
                <w:color w:val="auto"/>
                <w:szCs w:val="21"/>
                <w:highlight w:val="none"/>
              </w:rPr>
            </w:pPr>
          </w:p>
        </w:tc>
        <w:tc>
          <w:tcPr>
            <w:tcW w:w="1948" w:type="dxa"/>
            <w:vAlign w:val="center"/>
          </w:tcPr>
          <w:p>
            <w:pPr>
              <w:spacing w:line="300" w:lineRule="exact"/>
              <w:ind w:firstLine="0" w:firstLineChars="0"/>
              <w:rPr>
                <w:rFonts w:ascii="宋体" w:hAnsi="宋体" w:cs="宋体"/>
                <w:color w:val="auto"/>
                <w:szCs w:val="21"/>
                <w:highlight w:val="none"/>
              </w:rPr>
            </w:pPr>
            <w:r>
              <w:rPr>
                <w:rFonts w:hint="eastAsia" w:ascii="宋体" w:hAnsi="宋体" w:cs="宋体"/>
                <w:color w:val="auto"/>
                <w:szCs w:val="21"/>
                <w:highlight w:val="none"/>
              </w:rPr>
              <w:t>报价明细详见4-6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806" w:type="dxa"/>
            <w:vAlign w:val="center"/>
          </w:tcPr>
          <w:p>
            <w:pPr>
              <w:spacing w:line="300" w:lineRule="exact"/>
              <w:ind w:firstLine="21" w:firstLineChars="10"/>
              <w:jc w:val="center"/>
              <w:rPr>
                <w:rFonts w:ascii="宋体" w:hAnsi="宋体" w:cs="宋体"/>
                <w:color w:val="auto"/>
                <w:szCs w:val="21"/>
                <w:highlight w:val="none"/>
              </w:rPr>
            </w:pPr>
            <w:r>
              <w:rPr>
                <w:rFonts w:hint="eastAsia" w:ascii="宋体" w:hAnsi="宋体" w:cs="宋体"/>
                <w:color w:val="auto"/>
                <w:szCs w:val="21"/>
                <w:highlight w:val="none"/>
              </w:rPr>
              <w:t>7</w:t>
            </w:r>
          </w:p>
        </w:tc>
        <w:tc>
          <w:tcPr>
            <w:tcW w:w="1953" w:type="dxa"/>
            <w:vAlign w:val="center"/>
          </w:tcPr>
          <w:p>
            <w:pPr>
              <w:spacing w:line="300" w:lineRule="exact"/>
              <w:ind w:left="-25" w:leftChars="-12" w:firstLine="114" w:firstLineChars="54"/>
              <w:jc w:val="center"/>
              <w:rPr>
                <w:rFonts w:ascii="宋体" w:hAnsi="宋体" w:cs="宋体"/>
                <w:b/>
                <w:color w:val="auto"/>
                <w:szCs w:val="21"/>
                <w:highlight w:val="none"/>
              </w:rPr>
            </w:pPr>
            <w:r>
              <w:rPr>
                <w:rFonts w:hint="eastAsia" w:ascii="宋体" w:hAnsi="宋体" w:cs="宋体"/>
                <w:b/>
                <w:color w:val="auto"/>
                <w:szCs w:val="21"/>
                <w:highlight w:val="none"/>
              </w:rPr>
              <w:t>机房硬件设备</w:t>
            </w:r>
          </w:p>
        </w:tc>
        <w:tc>
          <w:tcPr>
            <w:tcW w:w="977" w:type="dxa"/>
            <w:vAlign w:val="center"/>
          </w:tcPr>
          <w:p>
            <w:pPr>
              <w:spacing w:line="300" w:lineRule="exact"/>
              <w:ind w:firstLine="420"/>
              <w:jc w:val="center"/>
              <w:rPr>
                <w:rFonts w:ascii="宋体" w:hAnsi="宋体" w:cs="宋体"/>
                <w:color w:val="auto"/>
                <w:szCs w:val="21"/>
                <w:highlight w:val="none"/>
              </w:rPr>
            </w:pPr>
          </w:p>
        </w:tc>
        <w:tc>
          <w:tcPr>
            <w:tcW w:w="1789" w:type="dxa"/>
            <w:vAlign w:val="center"/>
          </w:tcPr>
          <w:p>
            <w:pPr>
              <w:spacing w:line="300" w:lineRule="exact"/>
              <w:ind w:firstLine="420"/>
              <w:rPr>
                <w:rFonts w:ascii="宋体" w:hAnsi="宋体" w:cs="宋体"/>
                <w:color w:val="auto"/>
                <w:szCs w:val="21"/>
                <w:highlight w:val="none"/>
              </w:rPr>
            </w:pPr>
          </w:p>
        </w:tc>
        <w:tc>
          <w:tcPr>
            <w:tcW w:w="1736" w:type="dxa"/>
            <w:vAlign w:val="center"/>
          </w:tcPr>
          <w:p>
            <w:pPr>
              <w:spacing w:line="300" w:lineRule="exact"/>
              <w:ind w:firstLine="420"/>
              <w:rPr>
                <w:rFonts w:ascii="宋体" w:hAnsi="宋体" w:cs="宋体"/>
                <w:color w:val="auto"/>
                <w:szCs w:val="21"/>
                <w:highlight w:val="none"/>
              </w:rPr>
            </w:pPr>
          </w:p>
        </w:tc>
        <w:tc>
          <w:tcPr>
            <w:tcW w:w="1948" w:type="dxa"/>
            <w:vAlign w:val="center"/>
          </w:tcPr>
          <w:p>
            <w:pPr>
              <w:spacing w:line="300" w:lineRule="exact"/>
              <w:ind w:firstLine="0" w:firstLineChars="0"/>
              <w:rPr>
                <w:rFonts w:ascii="宋体" w:hAnsi="宋体" w:cs="宋体"/>
                <w:color w:val="auto"/>
                <w:szCs w:val="21"/>
                <w:highlight w:val="none"/>
              </w:rPr>
            </w:pPr>
            <w:r>
              <w:rPr>
                <w:rFonts w:hint="eastAsia" w:ascii="宋体" w:hAnsi="宋体" w:cs="宋体"/>
                <w:color w:val="auto"/>
                <w:szCs w:val="21"/>
                <w:highlight w:val="none"/>
              </w:rPr>
              <w:t>报价明细详见4-7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806" w:type="dxa"/>
            <w:vAlign w:val="center"/>
          </w:tcPr>
          <w:p>
            <w:pPr>
              <w:spacing w:line="300" w:lineRule="exact"/>
              <w:ind w:firstLine="21" w:firstLineChars="10"/>
              <w:jc w:val="center"/>
              <w:rPr>
                <w:rFonts w:ascii="宋体" w:hAnsi="宋体" w:cs="宋体"/>
                <w:color w:val="auto"/>
                <w:szCs w:val="21"/>
                <w:highlight w:val="none"/>
              </w:rPr>
            </w:pPr>
            <w:r>
              <w:rPr>
                <w:rFonts w:hint="eastAsia" w:ascii="宋体" w:hAnsi="宋体" w:cs="宋体"/>
                <w:color w:val="auto"/>
                <w:szCs w:val="21"/>
                <w:highlight w:val="none"/>
              </w:rPr>
              <w:t>8</w:t>
            </w:r>
          </w:p>
        </w:tc>
        <w:tc>
          <w:tcPr>
            <w:tcW w:w="1953" w:type="dxa"/>
            <w:vAlign w:val="center"/>
          </w:tcPr>
          <w:p>
            <w:pPr>
              <w:spacing w:line="300" w:lineRule="exact"/>
              <w:ind w:left="-25" w:leftChars="-12" w:firstLine="114" w:firstLineChars="54"/>
              <w:jc w:val="center"/>
              <w:rPr>
                <w:rFonts w:ascii="宋体" w:hAnsi="宋体" w:cs="宋体"/>
                <w:b/>
                <w:color w:val="auto"/>
                <w:szCs w:val="21"/>
                <w:highlight w:val="none"/>
              </w:rPr>
            </w:pPr>
            <w:r>
              <w:rPr>
                <w:rFonts w:hint="eastAsia" w:ascii="宋体" w:hAnsi="宋体" w:cs="宋体"/>
                <w:b/>
                <w:color w:val="auto"/>
                <w:szCs w:val="21"/>
                <w:highlight w:val="none"/>
              </w:rPr>
              <w:t>融合通讯设备</w:t>
            </w:r>
          </w:p>
        </w:tc>
        <w:tc>
          <w:tcPr>
            <w:tcW w:w="977" w:type="dxa"/>
            <w:vAlign w:val="center"/>
          </w:tcPr>
          <w:p>
            <w:pPr>
              <w:spacing w:line="300" w:lineRule="exact"/>
              <w:ind w:firstLine="420"/>
              <w:jc w:val="center"/>
              <w:rPr>
                <w:rFonts w:ascii="宋体" w:hAnsi="宋体" w:cs="宋体"/>
                <w:color w:val="auto"/>
                <w:szCs w:val="21"/>
                <w:highlight w:val="none"/>
              </w:rPr>
            </w:pPr>
          </w:p>
        </w:tc>
        <w:tc>
          <w:tcPr>
            <w:tcW w:w="1789" w:type="dxa"/>
            <w:vAlign w:val="center"/>
          </w:tcPr>
          <w:p>
            <w:pPr>
              <w:spacing w:line="300" w:lineRule="exact"/>
              <w:ind w:firstLine="420"/>
              <w:rPr>
                <w:rFonts w:ascii="宋体" w:hAnsi="宋体" w:cs="宋体"/>
                <w:color w:val="auto"/>
                <w:szCs w:val="21"/>
                <w:highlight w:val="none"/>
              </w:rPr>
            </w:pPr>
          </w:p>
        </w:tc>
        <w:tc>
          <w:tcPr>
            <w:tcW w:w="1736" w:type="dxa"/>
            <w:vAlign w:val="center"/>
          </w:tcPr>
          <w:p>
            <w:pPr>
              <w:spacing w:line="300" w:lineRule="exact"/>
              <w:ind w:firstLine="420"/>
              <w:rPr>
                <w:rFonts w:ascii="宋体" w:hAnsi="宋体" w:cs="宋体"/>
                <w:color w:val="auto"/>
                <w:szCs w:val="21"/>
                <w:highlight w:val="none"/>
              </w:rPr>
            </w:pPr>
          </w:p>
        </w:tc>
        <w:tc>
          <w:tcPr>
            <w:tcW w:w="1948" w:type="dxa"/>
            <w:vAlign w:val="center"/>
          </w:tcPr>
          <w:p>
            <w:pPr>
              <w:spacing w:line="300" w:lineRule="exact"/>
              <w:ind w:firstLine="0" w:firstLineChars="0"/>
              <w:rPr>
                <w:rFonts w:ascii="宋体" w:hAnsi="宋体" w:cs="宋体"/>
                <w:color w:val="auto"/>
                <w:szCs w:val="21"/>
                <w:highlight w:val="none"/>
              </w:rPr>
            </w:pPr>
            <w:r>
              <w:rPr>
                <w:rFonts w:hint="eastAsia" w:ascii="宋体" w:hAnsi="宋体" w:cs="宋体"/>
                <w:color w:val="auto"/>
                <w:szCs w:val="21"/>
                <w:highlight w:val="none"/>
              </w:rPr>
              <w:t>报价明细详见4-8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806" w:type="dxa"/>
            <w:vAlign w:val="center"/>
          </w:tcPr>
          <w:p>
            <w:pPr>
              <w:spacing w:line="300" w:lineRule="exact"/>
              <w:ind w:firstLine="21" w:firstLineChars="10"/>
              <w:jc w:val="center"/>
              <w:rPr>
                <w:rFonts w:ascii="宋体" w:hAnsi="宋体" w:cs="宋体"/>
                <w:color w:val="auto"/>
                <w:szCs w:val="21"/>
                <w:highlight w:val="none"/>
              </w:rPr>
            </w:pPr>
            <w:r>
              <w:rPr>
                <w:rFonts w:hint="eastAsia" w:ascii="宋体" w:hAnsi="宋体" w:cs="宋体"/>
                <w:color w:val="auto"/>
                <w:szCs w:val="21"/>
                <w:highlight w:val="none"/>
              </w:rPr>
              <w:t>9</w:t>
            </w:r>
          </w:p>
        </w:tc>
        <w:tc>
          <w:tcPr>
            <w:tcW w:w="1953" w:type="dxa"/>
            <w:vAlign w:val="center"/>
          </w:tcPr>
          <w:p>
            <w:pPr>
              <w:spacing w:line="300" w:lineRule="exact"/>
              <w:ind w:left="-25" w:leftChars="-12" w:firstLine="114" w:firstLineChars="54"/>
              <w:jc w:val="center"/>
              <w:rPr>
                <w:rFonts w:ascii="宋体" w:hAnsi="宋体" w:cs="宋体"/>
                <w:b/>
                <w:color w:val="auto"/>
                <w:szCs w:val="21"/>
                <w:highlight w:val="none"/>
              </w:rPr>
            </w:pPr>
            <w:r>
              <w:rPr>
                <w:rFonts w:hint="eastAsia" w:ascii="宋体" w:hAnsi="宋体" w:cs="宋体"/>
                <w:b/>
                <w:color w:val="auto"/>
                <w:szCs w:val="21"/>
                <w:highlight w:val="none"/>
              </w:rPr>
              <w:t>硬件维修及折旧包干费</w:t>
            </w:r>
          </w:p>
        </w:tc>
        <w:tc>
          <w:tcPr>
            <w:tcW w:w="977" w:type="dxa"/>
            <w:vAlign w:val="center"/>
          </w:tcPr>
          <w:p>
            <w:pPr>
              <w:spacing w:line="300" w:lineRule="exact"/>
              <w:ind w:firstLine="420"/>
              <w:jc w:val="center"/>
              <w:rPr>
                <w:rFonts w:ascii="宋体" w:hAnsi="宋体" w:cs="宋体"/>
                <w:color w:val="auto"/>
                <w:szCs w:val="21"/>
                <w:highlight w:val="none"/>
              </w:rPr>
            </w:pPr>
          </w:p>
        </w:tc>
        <w:tc>
          <w:tcPr>
            <w:tcW w:w="1789" w:type="dxa"/>
            <w:vAlign w:val="center"/>
          </w:tcPr>
          <w:p>
            <w:pPr>
              <w:spacing w:line="300" w:lineRule="exact"/>
              <w:ind w:firstLine="420"/>
              <w:rPr>
                <w:rFonts w:ascii="宋体" w:hAnsi="宋体" w:cs="宋体"/>
                <w:color w:val="auto"/>
                <w:szCs w:val="21"/>
                <w:highlight w:val="none"/>
              </w:rPr>
            </w:pPr>
          </w:p>
        </w:tc>
        <w:tc>
          <w:tcPr>
            <w:tcW w:w="1736" w:type="dxa"/>
            <w:vAlign w:val="center"/>
          </w:tcPr>
          <w:p>
            <w:pPr>
              <w:spacing w:line="300" w:lineRule="exact"/>
              <w:ind w:firstLine="420"/>
              <w:rPr>
                <w:rFonts w:ascii="宋体" w:hAnsi="宋体" w:cs="宋体"/>
                <w:color w:val="auto"/>
                <w:szCs w:val="21"/>
                <w:highlight w:val="none"/>
              </w:rPr>
            </w:pPr>
          </w:p>
        </w:tc>
        <w:tc>
          <w:tcPr>
            <w:tcW w:w="1948" w:type="dxa"/>
            <w:vAlign w:val="center"/>
          </w:tcPr>
          <w:p>
            <w:pPr>
              <w:spacing w:line="300" w:lineRule="exact"/>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806" w:type="dxa"/>
            <w:vAlign w:val="center"/>
          </w:tcPr>
          <w:p>
            <w:pPr>
              <w:spacing w:line="300" w:lineRule="exact"/>
              <w:ind w:firstLine="21" w:firstLineChars="10"/>
              <w:jc w:val="center"/>
              <w:rPr>
                <w:rFonts w:ascii="宋体" w:hAnsi="宋体" w:cs="宋体"/>
                <w:color w:val="auto"/>
                <w:szCs w:val="21"/>
                <w:highlight w:val="none"/>
              </w:rPr>
            </w:pPr>
            <w:r>
              <w:rPr>
                <w:rFonts w:hint="eastAsia" w:ascii="宋体" w:hAnsi="宋体" w:cs="宋体"/>
                <w:color w:val="auto"/>
                <w:szCs w:val="21"/>
                <w:highlight w:val="none"/>
              </w:rPr>
              <w:t>10</w:t>
            </w:r>
          </w:p>
        </w:tc>
        <w:tc>
          <w:tcPr>
            <w:tcW w:w="1953" w:type="dxa"/>
            <w:vAlign w:val="center"/>
          </w:tcPr>
          <w:p>
            <w:pPr>
              <w:spacing w:line="300" w:lineRule="exact"/>
              <w:ind w:left="-25" w:leftChars="-12" w:firstLine="114" w:firstLineChars="54"/>
              <w:jc w:val="center"/>
              <w:rPr>
                <w:rFonts w:ascii="宋体" w:hAnsi="宋体" w:cs="宋体"/>
                <w:b/>
                <w:color w:val="auto"/>
                <w:szCs w:val="21"/>
                <w:highlight w:val="none"/>
              </w:rPr>
            </w:pPr>
            <w:r>
              <w:rPr>
                <w:rFonts w:hint="eastAsia" w:ascii="宋体" w:hAnsi="宋体" w:cs="宋体"/>
                <w:b/>
                <w:color w:val="auto"/>
                <w:szCs w:val="21"/>
                <w:highlight w:val="none"/>
              </w:rPr>
              <w:t>运维费</w:t>
            </w:r>
          </w:p>
        </w:tc>
        <w:tc>
          <w:tcPr>
            <w:tcW w:w="977" w:type="dxa"/>
            <w:vAlign w:val="center"/>
          </w:tcPr>
          <w:p>
            <w:pPr>
              <w:spacing w:line="300" w:lineRule="exact"/>
              <w:ind w:firstLine="420"/>
              <w:jc w:val="center"/>
              <w:rPr>
                <w:rFonts w:ascii="宋体" w:hAnsi="宋体" w:cs="宋体"/>
                <w:color w:val="auto"/>
                <w:szCs w:val="21"/>
                <w:highlight w:val="none"/>
              </w:rPr>
            </w:pPr>
          </w:p>
        </w:tc>
        <w:tc>
          <w:tcPr>
            <w:tcW w:w="1789" w:type="dxa"/>
            <w:vAlign w:val="center"/>
          </w:tcPr>
          <w:p>
            <w:pPr>
              <w:spacing w:line="300" w:lineRule="exact"/>
              <w:ind w:firstLine="420"/>
              <w:rPr>
                <w:rFonts w:ascii="宋体" w:hAnsi="宋体" w:cs="宋体"/>
                <w:color w:val="auto"/>
                <w:szCs w:val="21"/>
                <w:highlight w:val="none"/>
              </w:rPr>
            </w:pPr>
          </w:p>
        </w:tc>
        <w:tc>
          <w:tcPr>
            <w:tcW w:w="1736" w:type="dxa"/>
            <w:vAlign w:val="center"/>
          </w:tcPr>
          <w:p>
            <w:pPr>
              <w:spacing w:line="300" w:lineRule="exact"/>
              <w:ind w:firstLine="420"/>
              <w:rPr>
                <w:rFonts w:ascii="宋体" w:hAnsi="宋体" w:cs="宋体"/>
                <w:color w:val="auto"/>
                <w:szCs w:val="21"/>
                <w:highlight w:val="none"/>
              </w:rPr>
            </w:pPr>
          </w:p>
        </w:tc>
        <w:tc>
          <w:tcPr>
            <w:tcW w:w="1948" w:type="dxa"/>
            <w:vAlign w:val="center"/>
          </w:tcPr>
          <w:p>
            <w:pPr>
              <w:spacing w:line="300" w:lineRule="exact"/>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806" w:type="dxa"/>
            <w:vAlign w:val="center"/>
          </w:tcPr>
          <w:p>
            <w:pPr>
              <w:spacing w:line="300" w:lineRule="exact"/>
              <w:ind w:firstLine="21" w:firstLineChars="10"/>
              <w:jc w:val="center"/>
              <w:rPr>
                <w:rFonts w:ascii="宋体" w:hAnsi="宋体" w:cs="宋体"/>
                <w:color w:val="auto"/>
                <w:szCs w:val="21"/>
                <w:highlight w:val="none"/>
              </w:rPr>
            </w:pPr>
          </w:p>
        </w:tc>
        <w:tc>
          <w:tcPr>
            <w:tcW w:w="1953" w:type="dxa"/>
            <w:vAlign w:val="center"/>
          </w:tcPr>
          <w:p>
            <w:pPr>
              <w:spacing w:line="300" w:lineRule="exact"/>
              <w:ind w:left="-25" w:leftChars="-12" w:firstLine="114" w:firstLineChars="54"/>
              <w:jc w:val="center"/>
              <w:rPr>
                <w:rFonts w:ascii="宋体" w:hAnsi="宋体" w:cs="宋体"/>
                <w:b/>
                <w:color w:val="auto"/>
                <w:szCs w:val="21"/>
                <w:highlight w:val="none"/>
              </w:rPr>
            </w:pPr>
            <w:r>
              <w:rPr>
                <w:rFonts w:hint="eastAsia" w:ascii="宋体" w:hAnsi="宋体" w:cs="宋体"/>
                <w:b/>
                <w:color w:val="auto"/>
                <w:szCs w:val="21"/>
                <w:highlight w:val="none"/>
              </w:rPr>
              <w:t>…</w:t>
            </w:r>
          </w:p>
        </w:tc>
        <w:tc>
          <w:tcPr>
            <w:tcW w:w="977" w:type="dxa"/>
            <w:vAlign w:val="center"/>
          </w:tcPr>
          <w:p>
            <w:pPr>
              <w:spacing w:line="300" w:lineRule="exact"/>
              <w:ind w:firstLine="420"/>
              <w:jc w:val="center"/>
              <w:rPr>
                <w:rFonts w:ascii="宋体" w:hAnsi="宋体" w:cs="宋体"/>
                <w:color w:val="auto"/>
                <w:szCs w:val="21"/>
                <w:highlight w:val="none"/>
              </w:rPr>
            </w:pPr>
          </w:p>
        </w:tc>
        <w:tc>
          <w:tcPr>
            <w:tcW w:w="1789" w:type="dxa"/>
            <w:vAlign w:val="center"/>
          </w:tcPr>
          <w:p>
            <w:pPr>
              <w:spacing w:line="300" w:lineRule="exact"/>
              <w:ind w:firstLine="420"/>
              <w:rPr>
                <w:rFonts w:ascii="宋体" w:hAnsi="宋体" w:cs="宋体"/>
                <w:color w:val="auto"/>
                <w:szCs w:val="21"/>
                <w:highlight w:val="none"/>
              </w:rPr>
            </w:pPr>
          </w:p>
        </w:tc>
        <w:tc>
          <w:tcPr>
            <w:tcW w:w="1736" w:type="dxa"/>
            <w:vAlign w:val="center"/>
          </w:tcPr>
          <w:p>
            <w:pPr>
              <w:spacing w:line="300" w:lineRule="exact"/>
              <w:ind w:firstLine="420"/>
              <w:rPr>
                <w:rFonts w:ascii="宋体" w:hAnsi="宋体" w:cs="宋体"/>
                <w:color w:val="auto"/>
                <w:szCs w:val="21"/>
                <w:highlight w:val="none"/>
              </w:rPr>
            </w:pPr>
          </w:p>
        </w:tc>
        <w:tc>
          <w:tcPr>
            <w:tcW w:w="1948" w:type="dxa"/>
          </w:tcPr>
          <w:p>
            <w:pPr>
              <w:spacing w:line="300" w:lineRule="exact"/>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3736" w:type="dxa"/>
            <w:gridSpan w:val="3"/>
            <w:vAlign w:val="center"/>
          </w:tcPr>
          <w:p>
            <w:pPr>
              <w:spacing w:line="300" w:lineRule="exact"/>
              <w:ind w:firstLine="422"/>
              <w:jc w:val="center"/>
              <w:rPr>
                <w:rFonts w:ascii="宋体" w:hAnsi="宋体" w:cs="宋体"/>
                <w:b/>
                <w:color w:val="auto"/>
                <w:szCs w:val="21"/>
                <w:highlight w:val="none"/>
              </w:rPr>
            </w:pPr>
            <w:r>
              <w:rPr>
                <w:rFonts w:hint="eastAsia" w:ascii="宋体" w:hAnsi="宋体" w:cs="宋体"/>
                <w:b/>
                <w:color w:val="auto"/>
                <w:szCs w:val="21"/>
                <w:highlight w:val="none"/>
              </w:rPr>
              <w:t>投标总价</w:t>
            </w:r>
          </w:p>
        </w:tc>
        <w:tc>
          <w:tcPr>
            <w:tcW w:w="5473" w:type="dxa"/>
            <w:gridSpan w:val="3"/>
            <w:vAlign w:val="center"/>
          </w:tcPr>
          <w:p>
            <w:pPr>
              <w:spacing w:line="300" w:lineRule="exact"/>
              <w:ind w:firstLine="422"/>
              <w:rPr>
                <w:rFonts w:ascii="宋体" w:hAnsi="宋体" w:cs="宋体"/>
                <w:b/>
                <w:color w:val="auto"/>
                <w:szCs w:val="21"/>
                <w:highlight w:val="none"/>
              </w:rPr>
            </w:pPr>
          </w:p>
        </w:tc>
      </w:tr>
      <w:bookmarkEnd w:id="1780"/>
    </w:tbl>
    <w:p>
      <w:pPr>
        <w:pStyle w:val="19"/>
        <w:spacing w:before="120" w:after="120" w:line="360" w:lineRule="auto"/>
        <w:ind w:left="683" w:leftChars="187" w:hanging="290" w:hangingChars="143"/>
        <w:rPr>
          <w:rFonts w:hAnsi="宋体" w:eastAsia="宋体" w:cs="宋体"/>
          <w:b/>
          <w:bCs/>
          <w:color w:val="auto"/>
          <w:sz w:val="21"/>
          <w:szCs w:val="21"/>
          <w:highlight w:val="none"/>
        </w:rPr>
      </w:pPr>
      <w:r>
        <w:rPr>
          <w:rFonts w:hint="eastAsia" w:hAnsi="宋体" w:eastAsia="宋体" w:cs="宋体"/>
          <w:b/>
          <w:bCs/>
          <w:color w:val="auto"/>
          <w:sz w:val="21"/>
          <w:szCs w:val="21"/>
          <w:highlight w:val="none"/>
        </w:rPr>
        <w:t>注：“分项报价表”中“投标总价”应与“开标一览表”中“投标报价”一致。</w:t>
      </w:r>
    </w:p>
    <w:p>
      <w:pPr>
        <w:pStyle w:val="19"/>
        <w:spacing w:before="120" w:after="120" w:line="360" w:lineRule="auto"/>
        <w:ind w:left="693" w:hanging="692" w:hangingChars="343"/>
        <w:rPr>
          <w:rFonts w:hAnsi="宋体" w:eastAsia="宋体" w:cs="宋体"/>
          <w:color w:val="auto"/>
          <w:sz w:val="21"/>
          <w:szCs w:val="21"/>
          <w:highlight w:val="none"/>
        </w:rPr>
      </w:pPr>
    </w:p>
    <w:p>
      <w:pPr>
        <w:snapToGrid w:val="0"/>
        <w:spacing w:before="50" w:after="50"/>
        <w:ind w:left="-23" w:leftChars="-22" w:right="-817" w:rightChars="-389" w:hanging="23" w:hangingChars="11"/>
        <w:rPr>
          <w:rFonts w:ascii="宋体" w:hAnsi="宋体" w:cs="宋体"/>
          <w:color w:val="auto"/>
          <w:szCs w:val="21"/>
          <w:highlight w:val="none"/>
        </w:rPr>
      </w:pPr>
      <w:r>
        <w:rPr>
          <w:rFonts w:hint="eastAsia" w:ascii="宋体" w:hAnsi="宋体" w:cs="宋体"/>
          <w:color w:val="auto"/>
          <w:szCs w:val="21"/>
          <w:highlight w:val="none"/>
        </w:rPr>
        <w:t xml:space="preserve">投标人全称（盖章）：                                     </w:t>
      </w:r>
    </w:p>
    <w:p>
      <w:pPr>
        <w:snapToGrid w:val="0"/>
        <w:spacing w:before="50" w:after="50"/>
        <w:ind w:left="-23" w:leftChars="-22" w:right="-817" w:rightChars="-389" w:hanging="23" w:hangingChars="11"/>
        <w:rPr>
          <w:rFonts w:ascii="宋体" w:hAnsi="宋体" w:cs="宋体"/>
          <w:color w:val="auto"/>
          <w:szCs w:val="21"/>
          <w:highlight w:val="none"/>
        </w:rPr>
      </w:pPr>
      <w:r>
        <w:rPr>
          <w:rFonts w:hint="eastAsia" w:ascii="宋体" w:hAnsi="宋体" w:cs="宋体"/>
          <w:color w:val="auto"/>
          <w:szCs w:val="21"/>
          <w:highlight w:val="none"/>
        </w:rPr>
        <w:t>日期：    年   月   日</w:t>
      </w:r>
    </w:p>
    <w:p>
      <w:pPr>
        <w:ind w:firstLine="422"/>
        <w:rPr>
          <w:rFonts w:ascii="宋体" w:hAnsi="宋体" w:cs="宋体"/>
          <w:b/>
          <w:bCs/>
          <w:color w:val="auto"/>
          <w:szCs w:val="21"/>
          <w:highlight w:val="none"/>
        </w:rPr>
      </w:pPr>
      <w:r>
        <w:rPr>
          <w:rFonts w:hint="eastAsia" w:ascii="宋体" w:hAnsi="宋体" w:cs="宋体"/>
          <w:b/>
          <w:bCs/>
          <w:color w:val="auto"/>
          <w:szCs w:val="21"/>
          <w:highlight w:val="none"/>
        </w:rPr>
        <w:br w:type="page"/>
      </w:r>
    </w:p>
    <w:p>
      <w:pPr>
        <w:ind w:firstLine="422"/>
        <w:rPr>
          <w:rFonts w:ascii="宋体" w:hAnsi="宋体" w:cs="宋体"/>
          <w:b/>
          <w:bCs/>
          <w:color w:val="auto"/>
          <w:szCs w:val="21"/>
          <w:highlight w:val="none"/>
        </w:rPr>
      </w:pPr>
      <w:r>
        <w:rPr>
          <w:rFonts w:hint="eastAsia" w:ascii="宋体" w:hAnsi="宋体" w:cs="宋体"/>
          <w:b/>
          <w:bCs/>
          <w:color w:val="auto"/>
          <w:szCs w:val="21"/>
          <w:highlight w:val="none"/>
        </w:rPr>
        <w:t>4.报价明细表</w:t>
      </w:r>
      <w:bookmarkEnd w:id="1778"/>
      <w:bookmarkEnd w:id="1779"/>
    </w:p>
    <w:p>
      <w:pPr>
        <w:pStyle w:val="19"/>
        <w:tabs>
          <w:tab w:val="left" w:pos="4841"/>
        </w:tabs>
        <w:spacing w:before="120" w:after="120" w:line="360" w:lineRule="auto"/>
        <w:ind w:firstLine="406"/>
        <w:jc w:val="center"/>
        <w:rPr>
          <w:rFonts w:hAnsi="宋体" w:eastAsia="宋体" w:cs="宋体"/>
          <w:b/>
          <w:color w:val="auto"/>
          <w:sz w:val="24"/>
          <w:highlight w:val="none"/>
        </w:rPr>
      </w:pPr>
      <w:r>
        <w:rPr>
          <w:rFonts w:hint="eastAsia" w:hAnsi="宋体" w:eastAsia="宋体" w:cs="宋体"/>
          <w:b/>
          <w:color w:val="auto"/>
          <w:sz w:val="21"/>
          <w:szCs w:val="21"/>
          <w:highlight w:val="none"/>
        </w:rPr>
        <w:t>4-1数字平台报价明细表</w:t>
      </w:r>
    </w:p>
    <w:tbl>
      <w:tblPr>
        <w:tblStyle w:val="37"/>
        <w:tblW w:w="9039" w:type="dxa"/>
        <w:jc w:val="center"/>
        <w:tblLayout w:type="fixed"/>
        <w:tblCellMar>
          <w:top w:w="0" w:type="dxa"/>
          <w:left w:w="0" w:type="dxa"/>
          <w:bottom w:w="0" w:type="dxa"/>
          <w:right w:w="0" w:type="dxa"/>
        </w:tblCellMar>
      </w:tblPr>
      <w:tblGrid>
        <w:gridCol w:w="630"/>
        <w:gridCol w:w="1350"/>
        <w:gridCol w:w="2551"/>
        <w:gridCol w:w="709"/>
        <w:gridCol w:w="1134"/>
        <w:gridCol w:w="1559"/>
        <w:gridCol w:w="1106"/>
      </w:tblGrid>
      <w:tr>
        <w:tblPrEx>
          <w:tblCellMar>
            <w:top w:w="0" w:type="dxa"/>
            <w:left w:w="0" w:type="dxa"/>
            <w:bottom w:w="0" w:type="dxa"/>
            <w:right w:w="0" w:type="dxa"/>
          </w:tblCellMar>
        </w:tblPrEx>
        <w:trPr>
          <w:trHeight w:val="52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b/>
                <w:color w:val="auto"/>
                <w:szCs w:val="21"/>
                <w:highlight w:val="none"/>
              </w:rPr>
            </w:pPr>
            <w:r>
              <w:rPr>
                <w:rFonts w:hint="eastAsia" w:ascii="宋体" w:hAnsi="宋体" w:cs="宋体"/>
                <w:b/>
                <w:color w:val="auto"/>
                <w:kern w:val="0"/>
                <w:szCs w:val="21"/>
                <w:highlight w:val="none"/>
                <w:lang w:bidi="ar"/>
              </w:rPr>
              <w:t>序号</w:t>
            </w:r>
          </w:p>
        </w:tc>
        <w:tc>
          <w:tcPr>
            <w:tcW w:w="13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b/>
                <w:color w:val="auto"/>
                <w:szCs w:val="21"/>
                <w:highlight w:val="none"/>
              </w:rPr>
            </w:pPr>
            <w:r>
              <w:rPr>
                <w:rFonts w:hint="eastAsia" w:ascii="宋体" w:hAnsi="宋体" w:cs="宋体"/>
                <w:b/>
                <w:color w:val="auto"/>
                <w:kern w:val="0"/>
                <w:szCs w:val="21"/>
                <w:highlight w:val="none"/>
                <w:lang w:bidi="ar"/>
              </w:rPr>
              <w:t>系统名称</w:t>
            </w:r>
          </w:p>
        </w:tc>
        <w:tc>
          <w:tcPr>
            <w:tcW w:w="25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b/>
                <w:color w:val="auto"/>
                <w:szCs w:val="21"/>
                <w:highlight w:val="none"/>
              </w:rPr>
            </w:pPr>
            <w:r>
              <w:rPr>
                <w:rFonts w:hint="eastAsia" w:ascii="宋体" w:hAnsi="宋体" w:cs="宋体"/>
                <w:b/>
                <w:color w:val="auto"/>
                <w:kern w:val="0"/>
                <w:szCs w:val="21"/>
                <w:highlight w:val="none"/>
                <w:lang w:bidi="ar"/>
              </w:rPr>
              <w:t>功能名称</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b/>
                <w:color w:val="auto"/>
                <w:szCs w:val="21"/>
                <w:highlight w:val="none"/>
              </w:rPr>
            </w:pPr>
            <w:r>
              <w:rPr>
                <w:rFonts w:hint="eastAsia" w:ascii="宋体" w:hAnsi="宋体" w:cs="宋体"/>
                <w:b/>
                <w:color w:val="auto"/>
                <w:kern w:val="0"/>
                <w:szCs w:val="21"/>
                <w:highlight w:val="none"/>
                <w:lang w:bidi="ar"/>
              </w:rPr>
              <w:t>单位</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b/>
                <w:color w:val="auto"/>
                <w:szCs w:val="21"/>
                <w:highlight w:val="none"/>
              </w:rPr>
            </w:pPr>
            <w:r>
              <w:rPr>
                <w:rFonts w:hint="eastAsia" w:ascii="宋体" w:hAnsi="宋体" w:cs="宋体"/>
                <w:b/>
                <w:color w:val="auto"/>
                <w:kern w:val="0"/>
                <w:szCs w:val="21"/>
                <w:highlight w:val="none"/>
                <w:lang w:bidi="ar"/>
              </w:rPr>
              <w:t>数量</w:t>
            </w:r>
          </w:p>
        </w:tc>
        <w:tc>
          <w:tcPr>
            <w:tcW w:w="15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b/>
                <w:color w:val="auto"/>
                <w:szCs w:val="21"/>
                <w:highlight w:val="none"/>
              </w:rPr>
            </w:pPr>
            <w:r>
              <w:rPr>
                <w:rFonts w:hint="eastAsia" w:ascii="宋体" w:hAnsi="宋体" w:cs="宋体"/>
                <w:b/>
                <w:color w:val="auto"/>
                <w:szCs w:val="21"/>
                <w:highlight w:val="none"/>
              </w:rPr>
              <w:t>单价（元）</w:t>
            </w:r>
          </w:p>
        </w:tc>
        <w:tc>
          <w:tcPr>
            <w:tcW w:w="1106"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textAlignment w:val="center"/>
              <w:rPr>
                <w:rFonts w:ascii="宋体" w:hAnsi="宋体" w:cs="宋体"/>
                <w:b/>
                <w:color w:val="auto"/>
                <w:kern w:val="0"/>
                <w:szCs w:val="21"/>
                <w:highlight w:val="none"/>
                <w:lang w:bidi="ar"/>
              </w:rPr>
            </w:pPr>
            <w:r>
              <w:rPr>
                <w:rFonts w:hint="eastAsia" w:ascii="宋体" w:hAnsi="宋体" w:cs="宋体"/>
                <w:b/>
                <w:color w:val="auto"/>
                <w:kern w:val="0"/>
                <w:szCs w:val="21"/>
                <w:highlight w:val="none"/>
                <w:lang w:bidi="ar"/>
              </w:rPr>
              <w:t>备注</w:t>
            </w:r>
          </w:p>
        </w:tc>
      </w:tr>
      <w:tr>
        <w:tblPrEx>
          <w:tblCellMar>
            <w:top w:w="0" w:type="dxa"/>
            <w:left w:w="0" w:type="dxa"/>
            <w:bottom w:w="0" w:type="dxa"/>
            <w:right w:w="0" w:type="dxa"/>
          </w:tblCellMar>
        </w:tblPrEx>
        <w:trPr>
          <w:trHeight w:val="52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数字基础平台</w:t>
            </w:r>
          </w:p>
        </w:tc>
        <w:tc>
          <w:tcPr>
            <w:tcW w:w="25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color w:val="auto"/>
                <w:szCs w:val="21"/>
                <w:highlight w:val="none"/>
              </w:rPr>
            </w:pPr>
            <w:r>
              <w:rPr>
                <w:rFonts w:hint="eastAsia" w:ascii="宋体" w:hAnsi="宋体" w:cs="宋体"/>
                <w:color w:val="auto"/>
                <w:kern w:val="0"/>
                <w:szCs w:val="21"/>
                <w:highlight w:val="none"/>
                <w:lang w:bidi="ar"/>
              </w:rPr>
              <w:t>数字基础平台</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套</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5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color w:val="auto"/>
                <w:szCs w:val="21"/>
                <w:highlight w:val="none"/>
              </w:rPr>
            </w:pPr>
          </w:p>
        </w:tc>
        <w:tc>
          <w:tcPr>
            <w:tcW w:w="1106"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520" w:hRule="atLeast"/>
          <w:jc w:val="center"/>
        </w:trPr>
        <w:tc>
          <w:tcPr>
            <w:tcW w:w="630" w:type="dxa"/>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350" w:type="dxa"/>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多元数据接入</w:t>
            </w:r>
          </w:p>
        </w:tc>
        <w:tc>
          <w:tcPr>
            <w:tcW w:w="25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color w:val="auto"/>
                <w:szCs w:val="21"/>
                <w:highlight w:val="none"/>
              </w:rPr>
            </w:pPr>
            <w:r>
              <w:rPr>
                <w:rFonts w:hint="eastAsia" w:ascii="宋体" w:hAnsi="宋体" w:cs="宋体"/>
                <w:color w:val="auto"/>
                <w:kern w:val="0"/>
                <w:szCs w:val="21"/>
                <w:highlight w:val="none"/>
                <w:lang w:bidi="ar"/>
              </w:rPr>
              <w:t>控制系统的实时数据接入</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5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color w:val="auto"/>
                <w:szCs w:val="21"/>
                <w:highlight w:val="none"/>
              </w:rPr>
            </w:pPr>
          </w:p>
        </w:tc>
        <w:tc>
          <w:tcPr>
            <w:tcW w:w="1106"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52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center"/>
              <w:rPr>
                <w:rFonts w:ascii="宋体" w:hAnsi="宋体" w:cs="宋体"/>
                <w:color w:val="auto"/>
                <w:szCs w:val="21"/>
                <w:highlight w:val="none"/>
              </w:rPr>
            </w:pPr>
          </w:p>
        </w:tc>
        <w:tc>
          <w:tcPr>
            <w:tcW w:w="135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5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color w:val="auto"/>
                <w:szCs w:val="21"/>
                <w:highlight w:val="none"/>
              </w:rPr>
            </w:pPr>
            <w:r>
              <w:rPr>
                <w:rFonts w:hint="eastAsia" w:ascii="宋体" w:hAnsi="宋体" w:cs="宋体"/>
                <w:color w:val="auto"/>
                <w:kern w:val="0"/>
                <w:szCs w:val="21"/>
                <w:highlight w:val="none"/>
                <w:lang w:bidi="ar"/>
              </w:rPr>
              <w:t>异构信息系统的集成接入</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5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color w:val="auto"/>
                <w:szCs w:val="21"/>
                <w:highlight w:val="none"/>
              </w:rPr>
            </w:pPr>
          </w:p>
        </w:tc>
        <w:tc>
          <w:tcPr>
            <w:tcW w:w="1106"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52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center"/>
              <w:rPr>
                <w:rFonts w:ascii="宋体" w:hAnsi="宋体" w:cs="宋体"/>
                <w:color w:val="auto"/>
                <w:szCs w:val="21"/>
                <w:highlight w:val="none"/>
              </w:rPr>
            </w:pPr>
          </w:p>
        </w:tc>
        <w:tc>
          <w:tcPr>
            <w:tcW w:w="135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5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color w:val="auto"/>
                <w:szCs w:val="21"/>
                <w:highlight w:val="none"/>
              </w:rPr>
            </w:pPr>
            <w:r>
              <w:rPr>
                <w:rFonts w:hint="eastAsia" w:ascii="宋体" w:hAnsi="宋体" w:cs="宋体"/>
                <w:color w:val="auto"/>
                <w:kern w:val="0"/>
                <w:szCs w:val="21"/>
                <w:highlight w:val="none"/>
                <w:lang w:bidi="ar"/>
              </w:rPr>
              <w:t>流媒体数据的接入</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5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color w:val="auto"/>
                <w:szCs w:val="21"/>
                <w:highlight w:val="none"/>
              </w:rPr>
            </w:pPr>
          </w:p>
        </w:tc>
        <w:tc>
          <w:tcPr>
            <w:tcW w:w="1106"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1350" w:type="dxa"/>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通用PasS服务</w:t>
            </w:r>
          </w:p>
        </w:tc>
        <w:tc>
          <w:tcPr>
            <w:tcW w:w="25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color w:val="auto"/>
                <w:szCs w:val="21"/>
                <w:highlight w:val="none"/>
              </w:rPr>
            </w:pPr>
            <w:r>
              <w:rPr>
                <w:rFonts w:hint="eastAsia" w:ascii="宋体" w:hAnsi="宋体" w:cs="宋体"/>
                <w:color w:val="auto"/>
                <w:kern w:val="0"/>
                <w:szCs w:val="21"/>
                <w:highlight w:val="none"/>
                <w:lang w:bidi="ar"/>
              </w:rPr>
              <w:t>弹性运行环境</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5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color w:val="auto"/>
                <w:szCs w:val="21"/>
                <w:highlight w:val="none"/>
              </w:rPr>
            </w:pPr>
          </w:p>
        </w:tc>
        <w:tc>
          <w:tcPr>
            <w:tcW w:w="1106"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center"/>
              <w:rPr>
                <w:rFonts w:ascii="宋体" w:hAnsi="宋体" w:cs="宋体"/>
                <w:color w:val="auto"/>
                <w:szCs w:val="21"/>
                <w:highlight w:val="none"/>
              </w:rPr>
            </w:pPr>
          </w:p>
        </w:tc>
        <w:tc>
          <w:tcPr>
            <w:tcW w:w="135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5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color w:val="auto"/>
                <w:szCs w:val="21"/>
                <w:highlight w:val="none"/>
              </w:rPr>
            </w:pPr>
            <w:r>
              <w:rPr>
                <w:rFonts w:hint="eastAsia" w:ascii="宋体" w:hAnsi="宋体" w:cs="宋体"/>
                <w:color w:val="auto"/>
                <w:kern w:val="0"/>
                <w:szCs w:val="21"/>
                <w:highlight w:val="none"/>
                <w:lang w:bidi="ar"/>
              </w:rPr>
              <w:t>应用服务</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5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color w:val="auto"/>
                <w:szCs w:val="21"/>
                <w:highlight w:val="none"/>
              </w:rPr>
            </w:pPr>
          </w:p>
        </w:tc>
        <w:tc>
          <w:tcPr>
            <w:tcW w:w="1106"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center"/>
              <w:rPr>
                <w:rFonts w:ascii="宋体" w:hAnsi="宋体" w:cs="宋体"/>
                <w:color w:val="auto"/>
                <w:szCs w:val="21"/>
                <w:highlight w:val="none"/>
              </w:rPr>
            </w:pPr>
          </w:p>
        </w:tc>
        <w:tc>
          <w:tcPr>
            <w:tcW w:w="135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5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color w:val="auto"/>
                <w:szCs w:val="21"/>
                <w:highlight w:val="none"/>
              </w:rPr>
            </w:pPr>
            <w:r>
              <w:rPr>
                <w:rFonts w:hint="eastAsia" w:ascii="宋体" w:hAnsi="宋体" w:cs="宋体"/>
                <w:color w:val="auto"/>
                <w:kern w:val="0"/>
                <w:szCs w:val="21"/>
                <w:highlight w:val="none"/>
                <w:lang w:bidi="ar"/>
              </w:rPr>
              <w:t>软件开发服务</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5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color w:val="auto"/>
                <w:szCs w:val="21"/>
                <w:highlight w:val="none"/>
              </w:rPr>
            </w:pPr>
          </w:p>
        </w:tc>
        <w:tc>
          <w:tcPr>
            <w:tcW w:w="1106"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center"/>
              <w:rPr>
                <w:rFonts w:ascii="宋体" w:hAnsi="宋体" w:cs="宋体"/>
                <w:color w:val="auto"/>
                <w:szCs w:val="21"/>
                <w:highlight w:val="none"/>
              </w:rPr>
            </w:pPr>
          </w:p>
        </w:tc>
        <w:tc>
          <w:tcPr>
            <w:tcW w:w="135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5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color w:val="auto"/>
                <w:szCs w:val="21"/>
                <w:highlight w:val="none"/>
              </w:rPr>
            </w:pPr>
            <w:r>
              <w:rPr>
                <w:rFonts w:hint="eastAsia" w:ascii="宋体" w:hAnsi="宋体" w:cs="宋体"/>
                <w:color w:val="auto"/>
                <w:kern w:val="0"/>
                <w:szCs w:val="21"/>
                <w:highlight w:val="none"/>
                <w:lang w:bidi="ar"/>
              </w:rPr>
              <w:t>数据库服务</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5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color w:val="auto"/>
                <w:szCs w:val="21"/>
                <w:highlight w:val="none"/>
              </w:rPr>
            </w:pPr>
          </w:p>
        </w:tc>
        <w:tc>
          <w:tcPr>
            <w:tcW w:w="1106"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center"/>
              <w:rPr>
                <w:rFonts w:ascii="宋体" w:hAnsi="宋体" w:cs="宋体"/>
                <w:color w:val="auto"/>
                <w:szCs w:val="21"/>
                <w:highlight w:val="none"/>
              </w:rPr>
            </w:pPr>
          </w:p>
        </w:tc>
        <w:tc>
          <w:tcPr>
            <w:tcW w:w="135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5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color w:val="auto"/>
                <w:szCs w:val="21"/>
                <w:highlight w:val="none"/>
              </w:rPr>
            </w:pPr>
            <w:r>
              <w:rPr>
                <w:rFonts w:hint="eastAsia" w:ascii="宋体" w:hAnsi="宋体" w:cs="宋体"/>
                <w:color w:val="auto"/>
                <w:kern w:val="0"/>
                <w:szCs w:val="21"/>
                <w:highlight w:val="none"/>
                <w:lang w:bidi="ar"/>
              </w:rPr>
              <w:t>数据服务</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5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color w:val="auto"/>
                <w:szCs w:val="21"/>
                <w:highlight w:val="none"/>
              </w:rPr>
            </w:pPr>
          </w:p>
        </w:tc>
        <w:tc>
          <w:tcPr>
            <w:tcW w:w="1106"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center"/>
              <w:rPr>
                <w:rFonts w:ascii="宋体" w:hAnsi="宋体" w:cs="宋体"/>
                <w:color w:val="auto"/>
                <w:szCs w:val="21"/>
                <w:highlight w:val="none"/>
              </w:rPr>
            </w:pPr>
          </w:p>
        </w:tc>
        <w:tc>
          <w:tcPr>
            <w:tcW w:w="135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5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color w:val="auto"/>
                <w:szCs w:val="21"/>
                <w:highlight w:val="none"/>
              </w:rPr>
            </w:pPr>
            <w:r>
              <w:rPr>
                <w:rFonts w:hint="eastAsia" w:ascii="宋体" w:hAnsi="宋体" w:cs="宋体"/>
                <w:color w:val="auto"/>
                <w:kern w:val="0"/>
                <w:szCs w:val="21"/>
                <w:highlight w:val="none"/>
                <w:lang w:bidi="ar"/>
              </w:rPr>
              <w:t>物联网服务</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5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color w:val="auto"/>
                <w:szCs w:val="21"/>
                <w:highlight w:val="none"/>
              </w:rPr>
            </w:pPr>
          </w:p>
        </w:tc>
        <w:tc>
          <w:tcPr>
            <w:tcW w:w="1106"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center"/>
              <w:rPr>
                <w:rFonts w:ascii="宋体" w:hAnsi="宋体" w:cs="宋体"/>
                <w:color w:val="auto"/>
                <w:szCs w:val="21"/>
                <w:highlight w:val="none"/>
              </w:rPr>
            </w:pPr>
          </w:p>
        </w:tc>
        <w:tc>
          <w:tcPr>
            <w:tcW w:w="135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5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color w:val="auto"/>
                <w:szCs w:val="21"/>
                <w:highlight w:val="none"/>
              </w:rPr>
            </w:pPr>
            <w:r>
              <w:rPr>
                <w:rFonts w:hint="eastAsia" w:ascii="宋体" w:hAnsi="宋体" w:cs="宋体"/>
                <w:color w:val="auto"/>
                <w:kern w:val="0"/>
                <w:szCs w:val="21"/>
                <w:highlight w:val="none"/>
                <w:lang w:bidi="ar"/>
              </w:rPr>
              <w:t>数据治理服务</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5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color w:val="auto"/>
                <w:szCs w:val="21"/>
                <w:highlight w:val="none"/>
              </w:rPr>
            </w:pPr>
          </w:p>
        </w:tc>
        <w:tc>
          <w:tcPr>
            <w:tcW w:w="1106"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1350" w:type="dxa"/>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行业PasS服务</w:t>
            </w:r>
          </w:p>
        </w:tc>
        <w:tc>
          <w:tcPr>
            <w:tcW w:w="25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color w:val="auto"/>
                <w:szCs w:val="21"/>
                <w:highlight w:val="none"/>
              </w:rPr>
            </w:pPr>
            <w:r>
              <w:rPr>
                <w:rFonts w:hint="eastAsia" w:ascii="宋体" w:hAnsi="宋体" w:cs="宋体"/>
                <w:color w:val="auto"/>
                <w:kern w:val="0"/>
                <w:szCs w:val="21"/>
                <w:highlight w:val="none"/>
                <w:lang w:bidi="ar"/>
              </w:rPr>
              <w:t>工业安全服务</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5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color w:val="auto"/>
                <w:szCs w:val="21"/>
                <w:highlight w:val="none"/>
              </w:rPr>
            </w:pPr>
          </w:p>
        </w:tc>
        <w:tc>
          <w:tcPr>
            <w:tcW w:w="1106"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center"/>
              <w:rPr>
                <w:rFonts w:ascii="宋体" w:hAnsi="宋体" w:cs="宋体"/>
                <w:color w:val="auto"/>
                <w:szCs w:val="21"/>
                <w:highlight w:val="none"/>
              </w:rPr>
            </w:pPr>
          </w:p>
        </w:tc>
        <w:tc>
          <w:tcPr>
            <w:tcW w:w="135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5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color w:val="auto"/>
                <w:szCs w:val="21"/>
                <w:highlight w:val="none"/>
              </w:rPr>
            </w:pPr>
            <w:r>
              <w:rPr>
                <w:rFonts w:hint="eastAsia" w:ascii="宋体" w:hAnsi="宋体" w:cs="宋体"/>
                <w:color w:val="auto"/>
                <w:kern w:val="0"/>
                <w:szCs w:val="21"/>
                <w:highlight w:val="none"/>
                <w:lang w:bidi="ar"/>
              </w:rPr>
              <w:t>安全管理服务</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5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color w:val="auto"/>
                <w:szCs w:val="21"/>
                <w:highlight w:val="none"/>
              </w:rPr>
            </w:pPr>
          </w:p>
        </w:tc>
        <w:tc>
          <w:tcPr>
            <w:tcW w:w="1106"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center"/>
              <w:rPr>
                <w:rFonts w:ascii="宋体" w:hAnsi="宋体" w:cs="宋体"/>
                <w:color w:val="auto"/>
                <w:szCs w:val="21"/>
                <w:highlight w:val="none"/>
              </w:rPr>
            </w:pPr>
          </w:p>
        </w:tc>
        <w:tc>
          <w:tcPr>
            <w:tcW w:w="135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5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color w:val="auto"/>
                <w:szCs w:val="21"/>
                <w:highlight w:val="none"/>
              </w:rPr>
            </w:pPr>
            <w:r>
              <w:rPr>
                <w:rFonts w:hint="eastAsia" w:ascii="宋体" w:hAnsi="宋体" w:cs="宋体"/>
                <w:color w:val="auto"/>
                <w:kern w:val="0"/>
                <w:szCs w:val="21"/>
                <w:highlight w:val="none"/>
                <w:lang w:bidi="ar"/>
              </w:rPr>
              <w:t>环保管理服务</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5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color w:val="auto"/>
                <w:szCs w:val="21"/>
                <w:highlight w:val="none"/>
              </w:rPr>
            </w:pPr>
          </w:p>
        </w:tc>
        <w:tc>
          <w:tcPr>
            <w:tcW w:w="1106"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center"/>
              <w:rPr>
                <w:rFonts w:ascii="宋体" w:hAnsi="宋体" w:cs="宋体"/>
                <w:color w:val="auto"/>
                <w:szCs w:val="21"/>
                <w:highlight w:val="none"/>
              </w:rPr>
            </w:pPr>
          </w:p>
        </w:tc>
        <w:tc>
          <w:tcPr>
            <w:tcW w:w="135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5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color w:val="auto"/>
                <w:szCs w:val="21"/>
                <w:highlight w:val="none"/>
              </w:rPr>
            </w:pPr>
            <w:r>
              <w:rPr>
                <w:rFonts w:hint="eastAsia" w:ascii="宋体" w:hAnsi="宋体" w:cs="宋体"/>
                <w:color w:val="auto"/>
                <w:kern w:val="0"/>
                <w:szCs w:val="21"/>
                <w:highlight w:val="none"/>
                <w:lang w:bidi="ar"/>
              </w:rPr>
              <w:t>应急调度服务</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5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color w:val="auto"/>
                <w:szCs w:val="21"/>
                <w:highlight w:val="none"/>
              </w:rPr>
            </w:pPr>
          </w:p>
        </w:tc>
        <w:tc>
          <w:tcPr>
            <w:tcW w:w="1106"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center"/>
              <w:rPr>
                <w:rFonts w:ascii="宋体" w:hAnsi="宋体" w:cs="宋体"/>
                <w:color w:val="auto"/>
                <w:szCs w:val="21"/>
                <w:highlight w:val="none"/>
              </w:rPr>
            </w:pPr>
          </w:p>
        </w:tc>
        <w:tc>
          <w:tcPr>
            <w:tcW w:w="135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5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color w:val="auto"/>
                <w:szCs w:val="21"/>
                <w:highlight w:val="none"/>
              </w:rPr>
            </w:pPr>
            <w:r>
              <w:rPr>
                <w:rFonts w:hint="eastAsia" w:ascii="宋体" w:hAnsi="宋体" w:cs="宋体"/>
                <w:color w:val="auto"/>
                <w:kern w:val="0"/>
                <w:szCs w:val="21"/>
                <w:highlight w:val="none"/>
                <w:lang w:bidi="ar"/>
              </w:rPr>
              <w:t>安防视频服务</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1134" w:type="dxa"/>
            <w:tcBorders>
              <w:top w:val="single" w:color="000000" w:sz="4" w:space="0"/>
              <w:left w:val="single" w:color="000000" w:sz="4" w:space="0"/>
              <w:bottom w:val="single" w:color="auto"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559" w:type="dxa"/>
            <w:tcBorders>
              <w:top w:val="single" w:color="000000" w:sz="4" w:space="0"/>
              <w:left w:val="single" w:color="000000" w:sz="4" w:space="0"/>
              <w:bottom w:val="single" w:color="auto" w:sz="4" w:space="0"/>
              <w:right w:val="single" w:color="000000" w:sz="4" w:space="0"/>
            </w:tcBorders>
            <w:tcMar>
              <w:top w:w="10" w:type="dxa"/>
              <w:left w:w="10" w:type="dxa"/>
              <w:right w:w="10" w:type="dxa"/>
            </w:tcMar>
            <w:vAlign w:val="center"/>
          </w:tcPr>
          <w:p>
            <w:pPr>
              <w:ind w:firstLine="420"/>
              <w:rPr>
                <w:rFonts w:ascii="宋体" w:hAnsi="宋体" w:cs="宋体"/>
                <w:color w:val="auto"/>
                <w:szCs w:val="21"/>
                <w:highlight w:val="none"/>
              </w:rPr>
            </w:pPr>
          </w:p>
        </w:tc>
        <w:tc>
          <w:tcPr>
            <w:tcW w:w="1106" w:type="dxa"/>
            <w:tcBorders>
              <w:top w:val="single" w:color="000000" w:sz="4" w:space="0"/>
              <w:left w:val="single" w:color="000000" w:sz="4" w:space="0"/>
              <w:bottom w:val="single" w:color="auto" w:sz="4" w:space="0"/>
              <w:right w:val="single" w:color="000000" w:sz="4" w:space="0"/>
            </w:tcBorders>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center"/>
              <w:rPr>
                <w:rFonts w:ascii="宋体" w:hAnsi="宋体" w:cs="宋体"/>
                <w:color w:val="auto"/>
                <w:szCs w:val="21"/>
                <w:highlight w:val="none"/>
              </w:rPr>
            </w:pPr>
          </w:p>
        </w:tc>
        <w:tc>
          <w:tcPr>
            <w:tcW w:w="135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25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color w:val="auto"/>
                <w:szCs w:val="21"/>
                <w:highlight w:val="none"/>
              </w:rPr>
            </w:pPr>
            <w:r>
              <w:rPr>
                <w:rFonts w:hint="eastAsia" w:ascii="宋体" w:hAnsi="宋体" w:cs="宋体"/>
                <w:color w:val="auto"/>
                <w:kern w:val="0"/>
                <w:szCs w:val="21"/>
                <w:highlight w:val="none"/>
                <w:lang w:bidi="ar"/>
              </w:rPr>
              <w:t>数据资源中心</w:t>
            </w:r>
          </w:p>
        </w:tc>
        <w:tc>
          <w:tcPr>
            <w:tcW w:w="709" w:type="dxa"/>
            <w:tcBorders>
              <w:top w:val="single" w:color="000000" w:sz="4" w:space="0"/>
              <w:left w:val="single" w:color="000000" w:sz="4" w:space="0"/>
              <w:bottom w:val="single" w:color="000000"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1134"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559" w:type="dxa"/>
            <w:tcBorders>
              <w:top w:val="single" w:color="auto" w:sz="4" w:space="0"/>
              <w:left w:val="single" w:color="auto" w:sz="4" w:space="0"/>
              <w:bottom w:val="single" w:color="auto" w:sz="4" w:space="0"/>
              <w:right w:val="single" w:color="auto" w:sz="4" w:space="0"/>
            </w:tcBorders>
            <w:noWrap/>
            <w:tcMar>
              <w:top w:w="10" w:type="dxa"/>
              <w:left w:w="10" w:type="dxa"/>
              <w:right w:w="10" w:type="dxa"/>
            </w:tcMar>
            <w:vAlign w:val="center"/>
          </w:tcPr>
          <w:p>
            <w:pPr>
              <w:ind w:firstLine="420"/>
              <w:rPr>
                <w:rFonts w:ascii="宋体" w:hAnsi="宋体" w:cs="宋体"/>
                <w:color w:val="auto"/>
                <w:szCs w:val="21"/>
                <w:highlight w:val="none"/>
              </w:rPr>
            </w:pPr>
          </w:p>
        </w:tc>
        <w:tc>
          <w:tcPr>
            <w:tcW w:w="1106" w:type="dxa"/>
            <w:tcBorders>
              <w:top w:val="single" w:color="auto" w:sz="4" w:space="0"/>
              <w:left w:val="single" w:color="auto" w:sz="4" w:space="0"/>
              <w:bottom w:val="single" w:color="auto" w:sz="4" w:space="0"/>
              <w:right w:val="single" w:color="auto" w:sz="4" w:space="0"/>
            </w:tcBorders>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636" w:hRule="atLeast"/>
          <w:jc w:val="center"/>
        </w:trPr>
        <w:tc>
          <w:tcPr>
            <w:tcW w:w="4531" w:type="dxa"/>
            <w:gridSpan w:val="3"/>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小计1</w:t>
            </w:r>
          </w:p>
        </w:tc>
        <w:tc>
          <w:tcPr>
            <w:tcW w:w="4508" w:type="dxa"/>
            <w:gridSpan w:val="4"/>
            <w:tcBorders>
              <w:top w:val="single" w:color="000000" w:sz="4" w:space="0"/>
              <w:left w:val="single" w:color="000000" w:sz="4" w:space="0"/>
              <w:bottom w:val="single" w:color="000000" w:sz="4" w:space="0"/>
              <w:right w:val="single" w:color="auto" w:sz="4" w:space="0"/>
            </w:tcBorders>
            <w:tcMar>
              <w:top w:w="10" w:type="dxa"/>
              <w:left w:w="10" w:type="dxa"/>
              <w:right w:w="10" w:type="dxa"/>
            </w:tcMar>
            <w:vAlign w:val="center"/>
          </w:tcPr>
          <w:p>
            <w:pPr>
              <w:ind w:firstLine="420"/>
              <w:rPr>
                <w:rFonts w:ascii="宋体" w:hAnsi="宋体" w:cs="宋体"/>
                <w:color w:val="auto"/>
                <w:szCs w:val="21"/>
                <w:highlight w:val="none"/>
              </w:rPr>
            </w:pPr>
          </w:p>
        </w:tc>
      </w:tr>
    </w:tbl>
    <w:p>
      <w:pPr>
        <w:pStyle w:val="19"/>
        <w:spacing w:before="120" w:after="120" w:line="480" w:lineRule="auto"/>
        <w:ind w:firstLine="404"/>
        <w:rPr>
          <w:rFonts w:hAnsi="宋体" w:eastAsia="宋体" w:cs="宋体"/>
          <w:color w:val="auto"/>
          <w:sz w:val="21"/>
          <w:szCs w:val="21"/>
          <w:highlight w:val="none"/>
        </w:rPr>
      </w:pPr>
    </w:p>
    <w:p>
      <w:pPr>
        <w:pStyle w:val="19"/>
        <w:spacing w:before="120" w:after="120" w:line="480" w:lineRule="auto"/>
        <w:ind w:firstLine="404"/>
        <w:rPr>
          <w:rFonts w:hAnsi="宋体" w:eastAsia="宋体" w:cs="宋体"/>
          <w:color w:val="auto"/>
          <w:sz w:val="21"/>
          <w:szCs w:val="21"/>
          <w:highlight w:val="none"/>
        </w:rPr>
      </w:pPr>
    </w:p>
    <w:p>
      <w:pPr>
        <w:pStyle w:val="19"/>
        <w:spacing w:before="120" w:after="120" w:line="480" w:lineRule="auto"/>
        <w:ind w:firstLine="404"/>
        <w:jc w:val="center"/>
        <w:rPr>
          <w:rFonts w:hAnsi="宋体" w:eastAsia="宋体" w:cs="宋体"/>
          <w:color w:val="auto"/>
          <w:sz w:val="21"/>
          <w:szCs w:val="21"/>
          <w:highlight w:val="none"/>
        </w:rPr>
      </w:pPr>
      <w:r>
        <w:rPr>
          <w:rFonts w:hint="eastAsia" w:hAnsi="宋体" w:eastAsia="宋体" w:cs="宋体"/>
          <w:color w:val="auto"/>
          <w:sz w:val="21"/>
          <w:szCs w:val="21"/>
          <w:highlight w:val="none"/>
        </w:rPr>
        <w:br w:type="page"/>
      </w:r>
    </w:p>
    <w:p>
      <w:pPr>
        <w:pStyle w:val="19"/>
        <w:spacing w:before="120" w:after="120" w:line="480" w:lineRule="auto"/>
        <w:ind w:firstLine="406"/>
        <w:jc w:val="center"/>
        <w:rPr>
          <w:rFonts w:hAnsi="宋体" w:eastAsia="宋体" w:cs="宋体"/>
          <w:b/>
          <w:bCs/>
          <w:color w:val="auto"/>
          <w:sz w:val="24"/>
          <w:highlight w:val="none"/>
        </w:rPr>
      </w:pPr>
      <w:r>
        <w:rPr>
          <w:rFonts w:hint="eastAsia" w:hAnsi="宋体" w:eastAsia="宋体" w:cs="宋体"/>
          <w:b/>
          <w:bCs/>
          <w:color w:val="auto"/>
          <w:sz w:val="21"/>
          <w:szCs w:val="21"/>
          <w:highlight w:val="none"/>
        </w:rPr>
        <w:t>4-2园区大脑报价明细表</w:t>
      </w:r>
    </w:p>
    <w:tbl>
      <w:tblPr>
        <w:tblStyle w:val="37"/>
        <w:tblW w:w="9039" w:type="dxa"/>
        <w:jc w:val="center"/>
        <w:tblLayout w:type="fixed"/>
        <w:tblCellMar>
          <w:top w:w="0" w:type="dxa"/>
          <w:left w:w="0" w:type="dxa"/>
          <w:bottom w:w="0" w:type="dxa"/>
          <w:right w:w="0" w:type="dxa"/>
        </w:tblCellMar>
      </w:tblPr>
      <w:tblGrid>
        <w:gridCol w:w="630"/>
        <w:gridCol w:w="783"/>
        <w:gridCol w:w="1276"/>
        <w:gridCol w:w="1984"/>
        <w:gridCol w:w="709"/>
        <w:gridCol w:w="850"/>
        <w:gridCol w:w="1883"/>
        <w:gridCol w:w="924"/>
      </w:tblGrid>
      <w:tr>
        <w:tblPrEx>
          <w:tblCellMar>
            <w:top w:w="0" w:type="dxa"/>
            <w:left w:w="0" w:type="dxa"/>
            <w:bottom w:w="0" w:type="dxa"/>
            <w:right w:w="0" w:type="dxa"/>
          </w:tblCellMar>
        </w:tblPrEx>
        <w:trPr>
          <w:trHeight w:val="330" w:hRule="atLeast"/>
          <w:jc w:val="center"/>
        </w:trPr>
        <w:tc>
          <w:tcPr>
            <w:tcW w:w="630"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b/>
                <w:color w:val="auto"/>
                <w:szCs w:val="21"/>
                <w:highlight w:val="none"/>
              </w:rPr>
            </w:pPr>
            <w:r>
              <w:rPr>
                <w:rFonts w:hint="eastAsia" w:ascii="宋体" w:hAnsi="宋体" w:cs="宋体"/>
                <w:b/>
                <w:color w:val="auto"/>
                <w:kern w:val="0"/>
                <w:szCs w:val="21"/>
                <w:highlight w:val="none"/>
                <w:lang w:bidi="ar"/>
              </w:rPr>
              <w:t>序号</w:t>
            </w:r>
          </w:p>
        </w:tc>
        <w:tc>
          <w:tcPr>
            <w:tcW w:w="783"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b/>
                <w:color w:val="auto"/>
                <w:szCs w:val="21"/>
                <w:highlight w:val="none"/>
              </w:rPr>
            </w:pPr>
            <w:r>
              <w:rPr>
                <w:rFonts w:hint="eastAsia" w:ascii="宋体" w:hAnsi="宋体" w:cs="宋体"/>
                <w:b/>
                <w:color w:val="auto"/>
                <w:kern w:val="0"/>
                <w:szCs w:val="21"/>
                <w:highlight w:val="none"/>
                <w:lang w:bidi="ar"/>
              </w:rPr>
              <w:t>系统名称</w:t>
            </w:r>
          </w:p>
        </w:tc>
        <w:tc>
          <w:tcPr>
            <w:tcW w:w="1276"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b/>
                <w:color w:val="auto"/>
                <w:szCs w:val="21"/>
                <w:highlight w:val="none"/>
              </w:rPr>
            </w:pPr>
            <w:r>
              <w:rPr>
                <w:rFonts w:hint="eastAsia" w:ascii="宋体" w:hAnsi="宋体" w:cs="宋体"/>
                <w:b/>
                <w:color w:val="auto"/>
                <w:kern w:val="0"/>
                <w:szCs w:val="21"/>
                <w:highlight w:val="none"/>
                <w:lang w:bidi="ar"/>
              </w:rPr>
              <w:t>一级功能</w:t>
            </w:r>
          </w:p>
        </w:tc>
        <w:tc>
          <w:tcPr>
            <w:tcW w:w="198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b/>
                <w:color w:val="auto"/>
                <w:szCs w:val="21"/>
                <w:highlight w:val="none"/>
              </w:rPr>
            </w:pPr>
            <w:r>
              <w:rPr>
                <w:rFonts w:hint="eastAsia" w:ascii="宋体" w:hAnsi="宋体" w:cs="宋体"/>
                <w:b/>
                <w:color w:val="auto"/>
                <w:kern w:val="0"/>
                <w:szCs w:val="21"/>
                <w:highlight w:val="none"/>
                <w:lang w:bidi="ar"/>
              </w:rPr>
              <w:t>二级功能</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b/>
                <w:color w:val="auto"/>
                <w:szCs w:val="21"/>
                <w:highlight w:val="none"/>
              </w:rPr>
            </w:pPr>
            <w:r>
              <w:rPr>
                <w:rFonts w:hint="eastAsia" w:ascii="宋体" w:hAnsi="宋体" w:cs="宋体"/>
                <w:b/>
                <w:color w:val="auto"/>
                <w:kern w:val="0"/>
                <w:szCs w:val="21"/>
                <w:highlight w:val="none"/>
                <w:lang w:bidi="ar"/>
              </w:rPr>
              <w:t>单位</w:t>
            </w:r>
          </w:p>
        </w:tc>
        <w:tc>
          <w:tcPr>
            <w:tcW w:w="850"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b/>
                <w:color w:val="auto"/>
                <w:szCs w:val="21"/>
                <w:highlight w:val="none"/>
              </w:rPr>
            </w:pPr>
            <w:r>
              <w:rPr>
                <w:rFonts w:hint="eastAsia" w:ascii="宋体" w:hAnsi="宋体" w:cs="宋体"/>
                <w:b/>
                <w:color w:val="auto"/>
                <w:kern w:val="0"/>
                <w:szCs w:val="21"/>
                <w:highlight w:val="none"/>
                <w:lang w:bidi="ar"/>
              </w:rPr>
              <w:t>数量</w:t>
            </w:r>
          </w:p>
        </w:tc>
        <w:tc>
          <w:tcPr>
            <w:tcW w:w="1883"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textAlignment w:val="center"/>
              <w:rPr>
                <w:rFonts w:ascii="宋体" w:hAnsi="宋体" w:cs="宋体"/>
                <w:b/>
                <w:color w:val="auto"/>
                <w:kern w:val="0"/>
                <w:szCs w:val="21"/>
                <w:highlight w:val="none"/>
                <w:lang w:bidi="ar"/>
              </w:rPr>
            </w:pPr>
            <w:r>
              <w:rPr>
                <w:rFonts w:hint="eastAsia" w:ascii="宋体" w:hAnsi="宋体" w:cs="宋体"/>
                <w:b/>
                <w:color w:val="auto"/>
                <w:szCs w:val="21"/>
                <w:highlight w:val="none"/>
              </w:rPr>
              <w:t>单价（元）</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b/>
                <w:color w:val="auto"/>
                <w:szCs w:val="21"/>
                <w:highlight w:val="none"/>
              </w:rPr>
            </w:pPr>
            <w:r>
              <w:rPr>
                <w:rFonts w:hint="eastAsia" w:ascii="宋体" w:hAnsi="宋体" w:cs="宋体"/>
                <w:b/>
                <w:color w:val="auto"/>
                <w:kern w:val="0"/>
                <w:szCs w:val="21"/>
                <w:highlight w:val="none"/>
                <w:lang w:bidi="ar"/>
              </w:rPr>
              <w:t>备注</w:t>
            </w:r>
          </w:p>
        </w:tc>
      </w:tr>
      <w:tr>
        <w:tblPrEx>
          <w:tblCellMar>
            <w:top w:w="0" w:type="dxa"/>
            <w:left w:w="0" w:type="dxa"/>
            <w:bottom w:w="0" w:type="dxa"/>
            <w:right w:w="0" w:type="dxa"/>
          </w:tblCellMar>
        </w:tblPrEx>
        <w:trPr>
          <w:trHeight w:val="280" w:hRule="atLeast"/>
          <w:jc w:val="center"/>
        </w:trPr>
        <w:tc>
          <w:tcPr>
            <w:tcW w:w="630" w:type="dxa"/>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783" w:type="dxa"/>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园区大脑</w:t>
            </w:r>
          </w:p>
        </w:tc>
        <w:tc>
          <w:tcPr>
            <w:tcW w:w="1276" w:type="dxa"/>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安全一张图</w:t>
            </w:r>
          </w:p>
        </w:tc>
        <w:tc>
          <w:tcPr>
            <w:tcW w:w="198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两重点一重大</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套</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883"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78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color w:val="auto"/>
                <w:szCs w:val="21"/>
                <w:highlight w:val="none"/>
              </w:rPr>
            </w:pPr>
          </w:p>
        </w:tc>
        <w:tc>
          <w:tcPr>
            <w:tcW w:w="1276"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98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安全风险指数</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883"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78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color w:val="auto"/>
                <w:szCs w:val="21"/>
                <w:highlight w:val="none"/>
              </w:rPr>
            </w:pPr>
          </w:p>
        </w:tc>
        <w:tc>
          <w:tcPr>
            <w:tcW w:w="1276"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98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安全风险地图</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883"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78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color w:val="auto"/>
                <w:szCs w:val="21"/>
                <w:highlight w:val="none"/>
              </w:rPr>
            </w:pPr>
          </w:p>
        </w:tc>
        <w:tc>
          <w:tcPr>
            <w:tcW w:w="1276"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98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危险作业地图</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883"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78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color w:val="auto"/>
                <w:szCs w:val="21"/>
                <w:highlight w:val="none"/>
              </w:rPr>
            </w:pPr>
          </w:p>
        </w:tc>
        <w:tc>
          <w:tcPr>
            <w:tcW w:w="1276"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98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隐患分布图</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883"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78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color w:val="auto"/>
                <w:szCs w:val="21"/>
                <w:highlight w:val="none"/>
              </w:rPr>
            </w:pPr>
          </w:p>
        </w:tc>
        <w:tc>
          <w:tcPr>
            <w:tcW w:w="1276"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98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人员分布图</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883"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78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color w:val="auto"/>
                <w:szCs w:val="21"/>
                <w:highlight w:val="none"/>
              </w:rPr>
            </w:pPr>
          </w:p>
        </w:tc>
        <w:tc>
          <w:tcPr>
            <w:tcW w:w="1276" w:type="dxa"/>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应急资源一张图</w:t>
            </w:r>
          </w:p>
        </w:tc>
        <w:tc>
          <w:tcPr>
            <w:tcW w:w="198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应急事件监控</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883"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52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78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color w:val="auto"/>
                <w:szCs w:val="21"/>
                <w:highlight w:val="none"/>
              </w:rPr>
            </w:pPr>
          </w:p>
        </w:tc>
        <w:tc>
          <w:tcPr>
            <w:tcW w:w="1276"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98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自定义管控区域划分</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883"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78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color w:val="auto"/>
                <w:szCs w:val="21"/>
                <w:highlight w:val="none"/>
              </w:rPr>
            </w:pPr>
          </w:p>
        </w:tc>
        <w:tc>
          <w:tcPr>
            <w:tcW w:w="1276"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98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应急资源动态</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883"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78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color w:val="auto"/>
                <w:szCs w:val="21"/>
                <w:highlight w:val="none"/>
              </w:rPr>
            </w:pPr>
          </w:p>
        </w:tc>
        <w:tc>
          <w:tcPr>
            <w:tcW w:w="1276"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98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紧急出口点位图</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883"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78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color w:val="auto"/>
                <w:szCs w:val="21"/>
                <w:highlight w:val="none"/>
              </w:rPr>
            </w:pPr>
          </w:p>
        </w:tc>
        <w:tc>
          <w:tcPr>
            <w:tcW w:w="1276"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98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危险源动态</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883"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78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color w:val="auto"/>
                <w:szCs w:val="21"/>
                <w:highlight w:val="none"/>
              </w:rPr>
            </w:pPr>
          </w:p>
        </w:tc>
        <w:tc>
          <w:tcPr>
            <w:tcW w:w="1276"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98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环保指标动态</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883"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78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color w:val="auto"/>
                <w:szCs w:val="21"/>
                <w:highlight w:val="none"/>
              </w:rPr>
            </w:pPr>
          </w:p>
        </w:tc>
        <w:tc>
          <w:tcPr>
            <w:tcW w:w="1276"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98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视频监控</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883"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78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color w:val="auto"/>
                <w:szCs w:val="21"/>
                <w:highlight w:val="none"/>
              </w:rPr>
            </w:pPr>
          </w:p>
        </w:tc>
        <w:tc>
          <w:tcPr>
            <w:tcW w:w="1276"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98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重点工艺流程</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883"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78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color w:val="auto"/>
                <w:szCs w:val="21"/>
                <w:highlight w:val="none"/>
              </w:rPr>
            </w:pPr>
          </w:p>
        </w:tc>
        <w:tc>
          <w:tcPr>
            <w:tcW w:w="1276" w:type="dxa"/>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园区画像</w:t>
            </w:r>
          </w:p>
        </w:tc>
        <w:tc>
          <w:tcPr>
            <w:tcW w:w="198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园区档案</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883"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78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color w:val="auto"/>
                <w:szCs w:val="21"/>
                <w:highlight w:val="none"/>
              </w:rPr>
            </w:pPr>
          </w:p>
        </w:tc>
        <w:tc>
          <w:tcPr>
            <w:tcW w:w="1276"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98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园区知识库</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883"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78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color w:val="auto"/>
                <w:szCs w:val="21"/>
                <w:highlight w:val="none"/>
              </w:rPr>
            </w:pPr>
          </w:p>
        </w:tc>
        <w:tc>
          <w:tcPr>
            <w:tcW w:w="1276"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98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一企一档</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883"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52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78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color w:val="auto"/>
                <w:szCs w:val="21"/>
                <w:highlight w:val="none"/>
              </w:rPr>
            </w:pPr>
          </w:p>
        </w:tc>
        <w:tc>
          <w:tcPr>
            <w:tcW w:w="1276" w:type="dxa"/>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数字孪生</w:t>
            </w:r>
          </w:p>
        </w:tc>
        <w:tc>
          <w:tcPr>
            <w:tcW w:w="198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倾斜航空摄影（0.02m）</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883"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52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78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color w:val="auto"/>
                <w:szCs w:val="21"/>
                <w:highlight w:val="none"/>
              </w:rPr>
            </w:pPr>
          </w:p>
        </w:tc>
        <w:tc>
          <w:tcPr>
            <w:tcW w:w="1276"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98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szCs w:val="21"/>
                <w:highlight w:val="none"/>
              </w:rPr>
              <w:t>倾斜摄影数据单体化</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883"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78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color w:val="auto"/>
                <w:szCs w:val="21"/>
                <w:highlight w:val="none"/>
              </w:rPr>
            </w:pPr>
          </w:p>
        </w:tc>
        <w:tc>
          <w:tcPr>
            <w:tcW w:w="1276"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98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DEM</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883"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78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color w:val="auto"/>
                <w:szCs w:val="21"/>
                <w:highlight w:val="none"/>
              </w:rPr>
            </w:pPr>
          </w:p>
        </w:tc>
        <w:tc>
          <w:tcPr>
            <w:tcW w:w="1276"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98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DOM</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883"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78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color w:val="auto"/>
                <w:szCs w:val="21"/>
                <w:highlight w:val="none"/>
              </w:rPr>
            </w:pPr>
          </w:p>
        </w:tc>
        <w:tc>
          <w:tcPr>
            <w:tcW w:w="1276"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98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地上基础设施普查数据（部件）</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883"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52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78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color w:val="auto"/>
                <w:szCs w:val="21"/>
                <w:highlight w:val="none"/>
              </w:rPr>
            </w:pPr>
          </w:p>
        </w:tc>
        <w:tc>
          <w:tcPr>
            <w:tcW w:w="1276"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98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园区数字孪生平台</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883"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520" w:hRule="atLeast"/>
          <w:jc w:val="center"/>
        </w:trPr>
        <w:tc>
          <w:tcPr>
            <w:tcW w:w="4673" w:type="dxa"/>
            <w:gridSpan w:val="4"/>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小计2</w:t>
            </w:r>
          </w:p>
        </w:tc>
        <w:tc>
          <w:tcPr>
            <w:tcW w:w="4366" w:type="dxa"/>
            <w:gridSpan w:val="4"/>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bl>
    <w:p>
      <w:pPr>
        <w:pStyle w:val="19"/>
        <w:spacing w:before="120" w:after="120" w:line="480" w:lineRule="auto"/>
        <w:ind w:firstLine="466"/>
        <w:jc w:val="center"/>
        <w:rPr>
          <w:rFonts w:hAnsi="宋体" w:eastAsia="宋体" w:cs="宋体"/>
          <w:b/>
          <w:color w:val="auto"/>
          <w:sz w:val="24"/>
          <w:highlight w:val="none"/>
        </w:rPr>
      </w:pPr>
    </w:p>
    <w:p>
      <w:pPr>
        <w:pStyle w:val="19"/>
        <w:spacing w:before="120" w:after="120" w:line="480" w:lineRule="auto"/>
        <w:ind w:firstLine="406"/>
        <w:jc w:val="center"/>
        <w:rPr>
          <w:rFonts w:hAnsi="宋体" w:eastAsia="宋体" w:cs="宋体"/>
          <w:b/>
          <w:bCs/>
          <w:color w:val="auto"/>
          <w:sz w:val="24"/>
          <w:highlight w:val="none"/>
        </w:rPr>
      </w:pPr>
      <w:r>
        <w:rPr>
          <w:rFonts w:hint="eastAsia" w:hAnsi="宋体" w:eastAsia="宋体" w:cs="宋体"/>
          <w:b/>
          <w:bCs/>
          <w:color w:val="auto"/>
          <w:sz w:val="21"/>
          <w:szCs w:val="21"/>
          <w:highlight w:val="none"/>
        </w:rPr>
        <w:t>4-3园区应急指挥系统报价明细表</w:t>
      </w:r>
    </w:p>
    <w:tbl>
      <w:tblPr>
        <w:tblStyle w:val="37"/>
        <w:tblW w:w="9039" w:type="dxa"/>
        <w:jc w:val="center"/>
        <w:tblLayout w:type="fixed"/>
        <w:tblCellMar>
          <w:top w:w="0" w:type="dxa"/>
          <w:left w:w="0" w:type="dxa"/>
          <w:bottom w:w="0" w:type="dxa"/>
          <w:right w:w="0" w:type="dxa"/>
        </w:tblCellMar>
      </w:tblPr>
      <w:tblGrid>
        <w:gridCol w:w="630"/>
        <w:gridCol w:w="925"/>
        <w:gridCol w:w="1275"/>
        <w:gridCol w:w="1985"/>
        <w:gridCol w:w="992"/>
        <w:gridCol w:w="709"/>
        <w:gridCol w:w="1599"/>
        <w:gridCol w:w="924"/>
      </w:tblGrid>
      <w:tr>
        <w:tblPrEx>
          <w:tblCellMar>
            <w:top w:w="0" w:type="dxa"/>
            <w:left w:w="0" w:type="dxa"/>
            <w:bottom w:w="0" w:type="dxa"/>
            <w:right w:w="0" w:type="dxa"/>
          </w:tblCellMar>
        </w:tblPrEx>
        <w:trPr>
          <w:trHeight w:val="330" w:hRule="atLeast"/>
          <w:jc w:val="center"/>
        </w:trPr>
        <w:tc>
          <w:tcPr>
            <w:tcW w:w="630" w:type="dxa"/>
            <w:tcBorders>
              <w:top w:val="single" w:color="auto" w:sz="4" w:space="0"/>
              <w:left w:val="single" w:color="auto" w:sz="4" w:space="0"/>
              <w:bottom w:val="single" w:color="auto" w:sz="4" w:space="0"/>
              <w:right w:val="single" w:color="auto" w:sz="4" w:space="0"/>
            </w:tcBorders>
            <w:noWrap/>
            <w:tcMar>
              <w:top w:w="10" w:type="dxa"/>
              <w:left w:w="10" w:type="dxa"/>
              <w:right w:w="10" w:type="dxa"/>
            </w:tcMar>
            <w:vAlign w:val="center"/>
          </w:tcPr>
          <w:p>
            <w:pPr>
              <w:widowControl/>
              <w:ind w:firstLine="0" w:firstLineChars="0"/>
              <w:jc w:val="center"/>
              <w:textAlignment w:val="center"/>
              <w:rPr>
                <w:rFonts w:ascii="宋体" w:hAnsi="宋体" w:cs="宋体"/>
                <w:b/>
                <w:bCs/>
                <w:color w:val="auto"/>
                <w:kern w:val="0"/>
                <w:szCs w:val="21"/>
                <w:highlight w:val="none"/>
                <w:lang w:bidi="ar"/>
              </w:rPr>
            </w:pPr>
            <w:r>
              <w:rPr>
                <w:rFonts w:hint="eastAsia" w:ascii="宋体" w:hAnsi="宋体" w:cs="宋体"/>
                <w:b/>
                <w:bCs/>
                <w:color w:val="auto"/>
                <w:kern w:val="0"/>
                <w:szCs w:val="21"/>
                <w:highlight w:val="none"/>
                <w:lang w:bidi="ar"/>
              </w:rPr>
              <w:t>序号</w:t>
            </w:r>
          </w:p>
        </w:tc>
        <w:tc>
          <w:tcPr>
            <w:tcW w:w="925"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left"/>
              <w:textAlignment w:val="center"/>
              <w:rPr>
                <w:rFonts w:ascii="宋体" w:hAnsi="宋体" w:cs="宋体"/>
                <w:b/>
                <w:bCs/>
                <w:color w:val="auto"/>
                <w:kern w:val="0"/>
                <w:szCs w:val="21"/>
                <w:highlight w:val="none"/>
                <w:lang w:bidi="ar"/>
              </w:rPr>
            </w:pPr>
            <w:r>
              <w:rPr>
                <w:rFonts w:hint="eastAsia" w:ascii="宋体" w:hAnsi="宋体" w:cs="宋体"/>
                <w:b/>
                <w:bCs/>
                <w:color w:val="auto"/>
                <w:kern w:val="0"/>
                <w:szCs w:val="21"/>
                <w:highlight w:val="none"/>
                <w:lang w:bidi="ar"/>
              </w:rPr>
              <w:t>系统名称</w:t>
            </w:r>
          </w:p>
        </w:tc>
        <w:tc>
          <w:tcPr>
            <w:tcW w:w="1275" w:type="dxa"/>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b/>
                <w:bCs/>
                <w:color w:val="auto"/>
                <w:kern w:val="0"/>
                <w:szCs w:val="21"/>
                <w:highlight w:val="none"/>
                <w:lang w:bidi="ar"/>
              </w:rPr>
            </w:pPr>
            <w:r>
              <w:rPr>
                <w:rFonts w:hint="eastAsia" w:ascii="宋体" w:hAnsi="宋体" w:cs="宋体"/>
                <w:b/>
                <w:bCs/>
                <w:color w:val="auto"/>
                <w:kern w:val="0"/>
                <w:szCs w:val="21"/>
                <w:highlight w:val="none"/>
                <w:lang w:bidi="ar"/>
              </w:rPr>
              <w:t>一级功能</w:t>
            </w: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b/>
                <w:bCs/>
                <w:color w:val="auto"/>
                <w:kern w:val="0"/>
                <w:szCs w:val="21"/>
                <w:highlight w:val="none"/>
                <w:lang w:bidi="ar"/>
              </w:rPr>
            </w:pPr>
            <w:r>
              <w:rPr>
                <w:rFonts w:hint="eastAsia" w:ascii="宋体" w:hAnsi="宋体" w:cs="宋体"/>
                <w:b/>
                <w:bCs/>
                <w:color w:val="auto"/>
                <w:kern w:val="0"/>
                <w:szCs w:val="21"/>
                <w:highlight w:val="none"/>
                <w:lang w:bidi="ar"/>
              </w:rPr>
              <w:t>二级功能</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b/>
                <w:bCs/>
                <w:color w:val="auto"/>
                <w:kern w:val="0"/>
                <w:szCs w:val="21"/>
                <w:highlight w:val="none"/>
                <w:lang w:bidi="ar"/>
              </w:rPr>
            </w:pPr>
            <w:r>
              <w:rPr>
                <w:rFonts w:hint="eastAsia" w:ascii="宋体" w:hAnsi="宋体" w:cs="宋体"/>
                <w:b/>
                <w:bCs/>
                <w:color w:val="auto"/>
                <w:kern w:val="0"/>
                <w:szCs w:val="21"/>
                <w:highlight w:val="none"/>
                <w:lang w:bidi="ar"/>
              </w:rPr>
              <w:t>单位</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b/>
                <w:bCs/>
                <w:color w:val="auto"/>
                <w:kern w:val="0"/>
                <w:szCs w:val="21"/>
                <w:highlight w:val="none"/>
                <w:lang w:bidi="ar"/>
              </w:rPr>
            </w:pPr>
            <w:r>
              <w:rPr>
                <w:rFonts w:hint="eastAsia" w:ascii="宋体" w:hAnsi="宋体" w:cs="宋体"/>
                <w:b/>
                <w:bCs/>
                <w:color w:val="auto"/>
                <w:kern w:val="0"/>
                <w:szCs w:val="21"/>
                <w:highlight w:val="none"/>
                <w:lang w:bidi="ar"/>
              </w:rPr>
              <w:t>数量</w:t>
            </w:r>
          </w:p>
        </w:tc>
        <w:tc>
          <w:tcPr>
            <w:tcW w:w="1599" w:type="dxa"/>
            <w:tcBorders>
              <w:top w:val="single" w:color="000000" w:sz="4" w:space="0"/>
              <w:left w:val="single" w:color="000000" w:sz="4" w:space="0"/>
              <w:bottom w:val="single" w:color="000000" w:sz="4" w:space="0"/>
              <w:right w:val="single" w:color="000000" w:sz="4" w:space="0"/>
            </w:tcBorders>
          </w:tcPr>
          <w:p>
            <w:pPr>
              <w:ind w:firstLine="422"/>
              <w:rPr>
                <w:rFonts w:ascii="宋体" w:hAnsi="宋体" w:cs="宋体"/>
                <w:b/>
                <w:bCs/>
                <w:color w:val="auto"/>
                <w:szCs w:val="21"/>
                <w:highlight w:val="none"/>
              </w:rPr>
            </w:pPr>
            <w:r>
              <w:rPr>
                <w:rFonts w:hint="eastAsia" w:ascii="宋体" w:hAnsi="宋体" w:cs="宋体"/>
                <w:b/>
                <w:bCs/>
                <w:color w:val="auto"/>
                <w:szCs w:val="21"/>
                <w:highlight w:val="none"/>
              </w:rPr>
              <w:t>单价（元）</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2"/>
              <w:rPr>
                <w:rFonts w:ascii="宋体" w:hAnsi="宋体" w:cs="宋体"/>
                <w:b/>
                <w:bCs/>
                <w:color w:val="auto"/>
                <w:szCs w:val="21"/>
                <w:highlight w:val="none"/>
              </w:rPr>
            </w:pPr>
            <w:r>
              <w:rPr>
                <w:rFonts w:hint="eastAsia" w:ascii="宋体" w:hAnsi="宋体" w:cs="宋体"/>
                <w:b/>
                <w:bCs/>
                <w:color w:val="auto"/>
                <w:szCs w:val="21"/>
                <w:highlight w:val="none"/>
              </w:rPr>
              <w:t>备注</w:t>
            </w:r>
          </w:p>
        </w:tc>
      </w:tr>
      <w:tr>
        <w:tblPrEx>
          <w:tblCellMar>
            <w:top w:w="0" w:type="dxa"/>
            <w:left w:w="0" w:type="dxa"/>
            <w:bottom w:w="0" w:type="dxa"/>
            <w:right w:w="0" w:type="dxa"/>
          </w:tblCellMar>
        </w:tblPrEx>
        <w:trPr>
          <w:trHeight w:val="330" w:hRule="atLeast"/>
          <w:jc w:val="center"/>
        </w:trPr>
        <w:tc>
          <w:tcPr>
            <w:tcW w:w="630" w:type="dxa"/>
            <w:vMerge w:val="restart"/>
            <w:tcBorders>
              <w:top w:val="single" w:color="auto" w:sz="4" w:space="0"/>
              <w:left w:val="single" w:color="auto" w:sz="4" w:space="0"/>
              <w:bottom w:val="single" w:color="auto" w:sz="4" w:space="0"/>
              <w:right w:val="single" w:color="auto"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925" w:type="dxa"/>
            <w:vMerge w:val="restart"/>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应急指挥</w:t>
            </w:r>
          </w:p>
        </w:tc>
        <w:tc>
          <w:tcPr>
            <w:tcW w:w="1275" w:type="dxa"/>
            <w:vMerge w:val="restart"/>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应急资源动态</w:t>
            </w: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应急物资装备</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275"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应急专家</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275"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应急机构和人员</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275"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救援队伍</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275"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应急车辆</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275"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保护对象</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275"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避难场所</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48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275" w:type="dxa"/>
            <w:vMerge w:val="restart"/>
            <w:tcBorders>
              <w:top w:val="single" w:color="000000" w:sz="4" w:space="0"/>
              <w:left w:val="single" w:color="auto"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应急值守接警</w:t>
            </w: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一键接报</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46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275" w:type="dxa"/>
            <w:vMerge w:val="continue"/>
            <w:tcBorders>
              <w:left w:val="single" w:color="auto"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一键响应</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50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275" w:type="dxa"/>
            <w:vMerge w:val="continue"/>
            <w:tcBorders>
              <w:left w:val="single" w:color="auto"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事故接警</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56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275" w:type="dxa"/>
            <w:vMerge w:val="continue"/>
            <w:tcBorders>
              <w:left w:val="single" w:color="auto"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值班值守</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56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275" w:type="dxa"/>
            <w:vMerge w:val="continue"/>
            <w:tcBorders>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通信调度</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275" w:type="dxa"/>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◆应急预警发布</w:t>
            </w: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◆应急预警发布</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275" w:type="dxa"/>
            <w:vMerge w:val="restart"/>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◆应急救援指挥</w:t>
            </w: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◆应急联动</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275"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◆远程协同会商</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275"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◆跟踪记录</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275"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◆应急辅助决策</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275" w:type="dxa"/>
            <w:vMerge w:val="restart"/>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应急辅助决策</w:t>
            </w: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辅助信息库</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275"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辅助处置方案</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275"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危险化学品库</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275" w:type="dxa"/>
            <w:vMerge w:val="restart"/>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◆事故总结评估</w:t>
            </w: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◆事故快报</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275"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◆事故事件报告</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275"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◆工作改进跟踪</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275"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◆事故事件统计</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275" w:type="dxa"/>
            <w:vMerge w:val="restart"/>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◆模拟演练</w:t>
            </w: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◆演练计划</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275"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◆演练记录</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275"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◆演练评估</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275"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◆三维演练</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275"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◆事故模拟</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275" w:type="dxa"/>
            <w:vMerge w:val="restart"/>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◆结构化预案</w:t>
            </w: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◆预案全流程管理</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275"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◆预案结构化分解</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275"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◆预案构建模块</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275"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◆结构化预案搭建</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275"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◆结构化预案分类</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275"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985" w:type="dxa"/>
            <w:tcBorders>
              <w:top w:val="single" w:color="000000" w:sz="4" w:space="0"/>
              <w:left w:val="single" w:color="000000" w:sz="4" w:space="0"/>
              <w:bottom w:val="single" w:color="auto"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◆预案智能匹配</w:t>
            </w:r>
          </w:p>
        </w:tc>
        <w:tc>
          <w:tcPr>
            <w:tcW w:w="992" w:type="dxa"/>
            <w:tcBorders>
              <w:top w:val="single" w:color="000000" w:sz="4" w:space="0"/>
              <w:left w:val="single" w:color="000000" w:sz="4" w:space="0"/>
              <w:bottom w:val="single" w:color="auto"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709" w:type="dxa"/>
            <w:tcBorders>
              <w:top w:val="single" w:color="000000" w:sz="4" w:space="0"/>
              <w:left w:val="single" w:color="000000" w:sz="4" w:space="0"/>
              <w:bottom w:val="single" w:color="auto"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599" w:type="dxa"/>
            <w:tcBorders>
              <w:top w:val="single" w:color="000000" w:sz="4" w:space="0"/>
              <w:left w:val="single" w:color="000000" w:sz="4" w:space="0"/>
              <w:bottom w:val="single" w:color="auto" w:sz="4" w:space="0"/>
              <w:right w:val="single" w:color="000000" w:sz="4" w:space="0"/>
            </w:tcBorders>
          </w:tcPr>
          <w:p>
            <w:pPr>
              <w:ind w:firstLine="420"/>
              <w:rPr>
                <w:rFonts w:ascii="宋体" w:hAnsi="宋体" w:cs="宋体"/>
                <w:color w:val="auto"/>
                <w:szCs w:val="21"/>
                <w:highlight w:val="none"/>
              </w:rPr>
            </w:pPr>
          </w:p>
        </w:tc>
        <w:tc>
          <w:tcPr>
            <w:tcW w:w="924" w:type="dxa"/>
            <w:tcBorders>
              <w:top w:val="single" w:color="000000" w:sz="4" w:space="0"/>
              <w:left w:val="single" w:color="000000" w:sz="4" w:space="0"/>
              <w:bottom w:val="single" w:color="auto" w:sz="4" w:space="0"/>
              <w:right w:val="single" w:color="000000"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color w:val="auto"/>
                <w:szCs w:val="21"/>
                <w:highlight w:val="none"/>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275" w:type="dxa"/>
            <w:vMerge w:val="continue"/>
            <w:tcBorders>
              <w:top w:val="single" w:color="000000" w:sz="4" w:space="0"/>
              <w:left w:val="single" w:color="auto" w:sz="4" w:space="0"/>
              <w:bottom w:val="single" w:color="000000"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1985"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◆预案执行启动</w:t>
            </w:r>
          </w:p>
        </w:tc>
        <w:tc>
          <w:tcPr>
            <w:tcW w:w="992" w:type="dxa"/>
            <w:tcBorders>
              <w:top w:val="single" w:color="auto" w:sz="4" w:space="0"/>
              <w:left w:val="single" w:color="auto" w:sz="4" w:space="0"/>
              <w:bottom w:val="single" w:color="auto" w:sz="4" w:space="0"/>
              <w:right w:val="single" w:color="auto"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709"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599" w:type="dxa"/>
            <w:tcBorders>
              <w:top w:val="single" w:color="auto" w:sz="4" w:space="0"/>
              <w:left w:val="single" w:color="auto" w:sz="4" w:space="0"/>
              <w:bottom w:val="single" w:color="auto" w:sz="4" w:space="0"/>
              <w:right w:val="single" w:color="auto" w:sz="4" w:space="0"/>
            </w:tcBorders>
          </w:tcPr>
          <w:p>
            <w:pPr>
              <w:ind w:firstLine="420"/>
              <w:rPr>
                <w:rFonts w:ascii="宋体" w:hAnsi="宋体" w:cs="宋体"/>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r>
        <w:tblPrEx>
          <w:tblCellMar>
            <w:top w:w="0" w:type="dxa"/>
            <w:left w:w="0" w:type="dxa"/>
            <w:bottom w:w="0" w:type="dxa"/>
            <w:right w:w="0" w:type="dxa"/>
          </w:tblCellMar>
        </w:tblPrEx>
        <w:trPr>
          <w:trHeight w:val="330" w:hRule="atLeast"/>
          <w:jc w:val="center"/>
        </w:trPr>
        <w:tc>
          <w:tcPr>
            <w:tcW w:w="4815" w:type="dxa"/>
            <w:gridSpan w:val="4"/>
            <w:tcBorders>
              <w:top w:val="single" w:color="auto" w:sz="4" w:space="0"/>
              <w:left w:val="single" w:color="auto" w:sz="4" w:space="0"/>
              <w:bottom w:val="single" w:color="auto" w:sz="4" w:space="0"/>
              <w:right w:val="single" w:color="auto" w:sz="4" w:space="0"/>
            </w:tcBorders>
            <w:noWrap/>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小计3</w:t>
            </w:r>
          </w:p>
        </w:tc>
        <w:tc>
          <w:tcPr>
            <w:tcW w:w="4224" w:type="dxa"/>
            <w:gridSpan w:val="4"/>
            <w:tcBorders>
              <w:top w:val="single" w:color="auto" w:sz="4" w:space="0"/>
              <w:left w:val="single" w:color="auto" w:sz="4" w:space="0"/>
              <w:bottom w:val="single" w:color="auto" w:sz="4" w:space="0"/>
              <w:right w:val="single" w:color="auto" w:sz="4" w:space="0"/>
            </w:tcBorders>
            <w:noWrap/>
            <w:tcMar>
              <w:top w:w="10" w:type="dxa"/>
              <w:left w:w="10" w:type="dxa"/>
              <w:right w:w="10" w:type="dxa"/>
            </w:tcMar>
            <w:vAlign w:val="center"/>
          </w:tcPr>
          <w:p>
            <w:pPr>
              <w:ind w:firstLine="420"/>
              <w:rPr>
                <w:rFonts w:ascii="宋体" w:hAnsi="宋体" w:cs="宋体"/>
                <w:color w:val="auto"/>
                <w:szCs w:val="21"/>
                <w:highlight w:val="none"/>
              </w:rPr>
            </w:pPr>
          </w:p>
        </w:tc>
      </w:tr>
    </w:tbl>
    <w:p>
      <w:pPr>
        <w:pStyle w:val="19"/>
        <w:spacing w:before="120" w:after="120" w:line="360" w:lineRule="auto"/>
        <w:ind w:firstLine="406"/>
        <w:jc w:val="left"/>
        <w:rPr>
          <w:rFonts w:hAnsi="宋体" w:eastAsia="宋体" w:cs="宋体"/>
          <w:b/>
          <w:bCs/>
          <w:color w:val="auto"/>
          <w:sz w:val="21"/>
          <w:szCs w:val="21"/>
          <w:highlight w:val="none"/>
        </w:rPr>
      </w:pPr>
      <w:r>
        <w:rPr>
          <w:rFonts w:hint="eastAsia" w:hAnsi="宋体" w:eastAsia="宋体" w:cs="宋体"/>
          <w:b/>
          <w:bCs/>
          <w:color w:val="auto"/>
          <w:sz w:val="21"/>
          <w:szCs w:val="21"/>
          <w:highlight w:val="none"/>
        </w:rPr>
        <w:t>注：</w:t>
      </w:r>
      <w:r>
        <w:rPr>
          <w:rFonts w:hint="eastAsia" w:hAnsi="宋体" w:eastAsia="宋体" w:cs="宋体"/>
          <w:b/>
          <w:bCs/>
          <w:color w:val="auto"/>
          <w:sz w:val="21"/>
          <w:highlight w:val="none"/>
        </w:rPr>
        <w:t>软件清单中标注“◆”项，即应急预警发布（39.8万元）、应急救援指挥（92万元）、事故总结评估（68万元）、模拟演练（208万元）、结构化预案（88万元）五项内容为暂定开发项目，投标人应根据实际情况进行分项报价，以上五项内容包含在投标总价中。其中各分项报价不得低于上述各项括号内概算金额的85%。</w:t>
      </w:r>
      <w:r>
        <w:rPr>
          <w:rFonts w:hint="eastAsia" w:hAnsi="宋体" w:eastAsia="宋体" w:cs="宋体"/>
          <w:b/>
          <w:bCs/>
          <w:color w:val="auto"/>
          <w:sz w:val="21"/>
          <w:highlight w:val="none"/>
        </w:rPr>
        <w:t>合同签订时包括以上暂定开发项目，在项目实施过程中，由采购人根据实际工作需要再确定是否开发，如最终确定不开发的，双方另行签定补充协议。</w:t>
      </w:r>
    </w:p>
    <w:p>
      <w:pPr>
        <w:pStyle w:val="19"/>
        <w:spacing w:before="120" w:after="120" w:line="480" w:lineRule="auto"/>
        <w:ind w:firstLine="466"/>
        <w:jc w:val="center"/>
        <w:rPr>
          <w:rFonts w:hAnsi="宋体" w:eastAsia="宋体" w:cs="宋体"/>
          <w:b/>
          <w:bCs/>
          <w:color w:val="auto"/>
          <w:sz w:val="24"/>
          <w:highlight w:val="none"/>
        </w:rPr>
      </w:pPr>
    </w:p>
    <w:p>
      <w:pPr>
        <w:pStyle w:val="19"/>
        <w:spacing w:before="120" w:after="120" w:line="480" w:lineRule="auto"/>
        <w:ind w:firstLine="406"/>
        <w:jc w:val="center"/>
        <w:rPr>
          <w:rFonts w:hAnsi="宋体" w:eastAsia="宋体" w:cs="宋体"/>
          <w:b/>
          <w:bCs/>
          <w:color w:val="auto"/>
          <w:sz w:val="21"/>
          <w:szCs w:val="21"/>
          <w:highlight w:val="none"/>
        </w:rPr>
      </w:pPr>
    </w:p>
    <w:p>
      <w:pPr>
        <w:pStyle w:val="19"/>
        <w:spacing w:before="120" w:after="120" w:line="480" w:lineRule="auto"/>
        <w:ind w:firstLine="406"/>
        <w:jc w:val="center"/>
        <w:rPr>
          <w:rFonts w:hAnsi="宋体" w:eastAsia="宋体" w:cs="宋体"/>
          <w:b/>
          <w:bCs/>
          <w:color w:val="auto"/>
          <w:sz w:val="21"/>
          <w:szCs w:val="21"/>
          <w:highlight w:val="none"/>
        </w:rPr>
      </w:pPr>
      <w:r>
        <w:rPr>
          <w:rFonts w:hint="eastAsia" w:hAnsi="宋体" w:eastAsia="宋体" w:cs="宋体"/>
          <w:b/>
          <w:bCs/>
          <w:color w:val="auto"/>
          <w:sz w:val="21"/>
          <w:szCs w:val="21"/>
          <w:highlight w:val="none"/>
        </w:rPr>
        <w:br w:type="page"/>
      </w:r>
    </w:p>
    <w:p>
      <w:pPr>
        <w:pStyle w:val="19"/>
        <w:spacing w:before="120" w:after="120" w:line="480" w:lineRule="auto"/>
        <w:ind w:firstLine="406"/>
        <w:jc w:val="center"/>
        <w:rPr>
          <w:rFonts w:hAnsi="宋体" w:eastAsia="宋体" w:cs="宋体"/>
          <w:b/>
          <w:bCs/>
          <w:color w:val="auto"/>
          <w:sz w:val="24"/>
          <w:highlight w:val="none"/>
        </w:rPr>
      </w:pPr>
      <w:r>
        <w:rPr>
          <w:rFonts w:hint="eastAsia" w:hAnsi="宋体" w:eastAsia="宋体" w:cs="宋体"/>
          <w:b/>
          <w:bCs/>
          <w:color w:val="auto"/>
          <w:sz w:val="21"/>
          <w:szCs w:val="21"/>
          <w:highlight w:val="none"/>
        </w:rPr>
        <w:t>4-4系统集成报价明细表</w:t>
      </w:r>
    </w:p>
    <w:tbl>
      <w:tblPr>
        <w:tblStyle w:val="37"/>
        <w:tblW w:w="9039" w:type="dxa"/>
        <w:jc w:val="center"/>
        <w:tblLayout w:type="fixed"/>
        <w:tblCellMar>
          <w:top w:w="0" w:type="dxa"/>
          <w:left w:w="0" w:type="dxa"/>
          <w:bottom w:w="0" w:type="dxa"/>
          <w:right w:w="0" w:type="dxa"/>
        </w:tblCellMar>
      </w:tblPr>
      <w:tblGrid>
        <w:gridCol w:w="630"/>
        <w:gridCol w:w="1679"/>
        <w:gridCol w:w="3039"/>
        <w:gridCol w:w="992"/>
        <w:gridCol w:w="851"/>
        <w:gridCol w:w="924"/>
        <w:gridCol w:w="924"/>
      </w:tblGrid>
      <w:tr>
        <w:tblPrEx>
          <w:tblCellMar>
            <w:top w:w="0" w:type="dxa"/>
            <w:left w:w="0" w:type="dxa"/>
            <w:bottom w:w="0" w:type="dxa"/>
            <w:right w:w="0" w:type="dxa"/>
          </w:tblCellMar>
        </w:tblPrEx>
        <w:trPr>
          <w:trHeight w:val="497" w:hRule="atLeast"/>
          <w:jc w:val="center"/>
        </w:trPr>
        <w:tc>
          <w:tcPr>
            <w:tcW w:w="630"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b/>
                <w:color w:val="auto"/>
                <w:szCs w:val="21"/>
                <w:highlight w:val="none"/>
              </w:rPr>
            </w:pPr>
            <w:r>
              <w:rPr>
                <w:rFonts w:hint="eastAsia" w:ascii="宋体" w:hAnsi="宋体" w:cs="宋体"/>
                <w:b/>
                <w:color w:val="auto"/>
                <w:kern w:val="0"/>
                <w:szCs w:val="21"/>
                <w:highlight w:val="none"/>
                <w:lang w:bidi="ar"/>
              </w:rPr>
              <w:t>序号</w:t>
            </w:r>
          </w:p>
        </w:tc>
        <w:tc>
          <w:tcPr>
            <w:tcW w:w="1679"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b/>
                <w:color w:val="auto"/>
                <w:szCs w:val="21"/>
                <w:highlight w:val="none"/>
              </w:rPr>
            </w:pPr>
            <w:r>
              <w:rPr>
                <w:rFonts w:hint="eastAsia" w:ascii="宋体" w:hAnsi="宋体" w:cs="宋体"/>
                <w:b/>
                <w:color w:val="auto"/>
                <w:kern w:val="0"/>
                <w:szCs w:val="21"/>
                <w:highlight w:val="none"/>
                <w:lang w:bidi="ar"/>
              </w:rPr>
              <w:t>系统名称</w:t>
            </w:r>
          </w:p>
        </w:tc>
        <w:tc>
          <w:tcPr>
            <w:tcW w:w="3039"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b/>
                <w:color w:val="auto"/>
                <w:szCs w:val="21"/>
                <w:highlight w:val="none"/>
              </w:rPr>
            </w:pPr>
            <w:r>
              <w:rPr>
                <w:rFonts w:hint="eastAsia" w:ascii="宋体" w:hAnsi="宋体" w:cs="宋体"/>
                <w:b/>
                <w:color w:val="auto"/>
                <w:kern w:val="0"/>
                <w:szCs w:val="21"/>
                <w:highlight w:val="none"/>
                <w:lang w:bidi="ar"/>
              </w:rPr>
              <w:t>功能名称</w:t>
            </w:r>
          </w:p>
        </w:tc>
        <w:tc>
          <w:tcPr>
            <w:tcW w:w="992"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b/>
                <w:color w:val="auto"/>
                <w:szCs w:val="21"/>
                <w:highlight w:val="none"/>
              </w:rPr>
            </w:pPr>
            <w:r>
              <w:rPr>
                <w:rFonts w:hint="eastAsia" w:ascii="宋体" w:hAnsi="宋体" w:cs="宋体"/>
                <w:b/>
                <w:color w:val="auto"/>
                <w:kern w:val="0"/>
                <w:szCs w:val="21"/>
                <w:highlight w:val="none"/>
                <w:lang w:bidi="ar"/>
              </w:rPr>
              <w:t>单位</w:t>
            </w:r>
          </w:p>
        </w:tc>
        <w:tc>
          <w:tcPr>
            <w:tcW w:w="851"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b/>
                <w:color w:val="auto"/>
                <w:szCs w:val="21"/>
                <w:highlight w:val="none"/>
              </w:rPr>
            </w:pPr>
            <w:r>
              <w:rPr>
                <w:rFonts w:hint="eastAsia" w:ascii="宋体" w:hAnsi="宋体" w:cs="宋体"/>
                <w:b/>
                <w:color w:val="auto"/>
                <w:kern w:val="0"/>
                <w:szCs w:val="21"/>
                <w:highlight w:val="none"/>
                <w:lang w:bidi="ar"/>
              </w:rPr>
              <w:t>数量</w:t>
            </w:r>
          </w:p>
        </w:tc>
        <w:tc>
          <w:tcPr>
            <w:tcW w:w="924" w:type="dxa"/>
            <w:tcBorders>
              <w:top w:val="single" w:color="auto" w:sz="4" w:space="0"/>
              <w:left w:val="single" w:color="auto" w:sz="4" w:space="0"/>
              <w:bottom w:val="single" w:color="auto" w:sz="4" w:space="0"/>
              <w:right w:val="single" w:color="auto" w:sz="4" w:space="0"/>
            </w:tcBorders>
          </w:tcPr>
          <w:p>
            <w:pPr>
              <w:ind w:firstLine="0" w:firstLineChars="0"/>
              <w:jc w:val="center"/>
              <w:rPr>
                <w:rFonts w:ascii="宋体" w:hAnsi="宋体" w:cs="宋体"/>
                <w:b/>
                <w:color w:val="auto"/>
                <w:kern w:val="0"/>
                <w:szCs w:val="21"/>
                <w:highlight w:val="none"/>
                <w:lang w:bidi="ar"/>
              </w:rPr>
            </w:pPr>
            <w:r>
              <w:rPr>
                <w:rFonts w:hint="eastAsia" w:ascii="宋体" w:hAnsi="宋体" w:cs="宋体"/>
                <w:b/>
                <w:bCs/>
                <w:color w:val="auto"/>
                <w:szCs w:val="21"/>
                <w:highlight w:val="none"/>
              </w:rPr>
              <w:t>单价（元）</w:t>
            </w:r>
          </w:p>
        </w:tc>
        <w:tc>
          <w:tcPr>
            <w:tcW w:w="924"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0" w:firstLineChars="0"/>
              <w:jc w:val="center"/>
              <w:rPr>
                <w:rFonts w:ascii="宋体" w:hAnsi="宋体" w:cs="宋体"/>
                <w:color w:val="auto"/>
                <w:szCs w:val="21"/>
                <w:highlight w:val="none"/>
              </w:rPr>
            </w:pPr>
            <w:r>
              <w:rPr>
                <w:rFonts w:hint="eastAsia" w:ascii="宋体" w:hAnsi="宋体" w:cs="宋体"/>
                <w:b/>
                <w:color w:val="auto"/>
                <w:kern w:val="0"/>
                <w:szCs w:val="21"/>
                <w:highlight w:val="none"/>
                <w:lang w:bidi="ar"/>
              </w:rPr>
              <w:t>备注</w:t>
            </w:r>
          </w:p>
        </w:tc>
      </w:tr>
      <w:tr>
        <w:tblPrEx>
          <w:tblCellMar>
            <w:top w:w="0" w:type="dxa"/>
            <w:left w:w="0" w:type="dxa"/>
            <w:bottom w:w="0" w:type="dxa"/>
            <w:right w:w="0" w:type="dxa"/>
          </w:tblCellMar>
        </w:tblPrEx>
        <w:trPr>
          <w:trHeight w:val="477" w:hRule="atLeast"/>
          <w:jc w:val="center"/>
        </w:trPr>
        <w:tc>
          <w:tcPr>
            <w:tcW w:w="630" w:type="dxa"/>
            <w:vMerge w:val="restart"/>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679" w:type="dxa"/>
            <w:vMerge w:val="restart"/>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第三方系统（园区现有系统对接开发）</w:t>
            </w:r>
          </w:p>
        </w:tc>
        <w:tc>
          <w:tcPr>
            <w:tcW w:w="3039"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0" w:firstLineChars="0"/>
              <w:jc w:val="left"/>
              <w:rPr>
                <w:rFonts w:ascii="宋体" w:hAnsi="宋体" w:cs="宋体"/>
                <w:color w:val="auto"/>
                <w:szCs w:val="21"/>
                <w:highlight w:val="none"/>
              </w:rPr>
            </w:pPr>
            <w:r>
              <w:rPr>
                <w:rFonts w:hint="eastAsia" w:ascii="宋体" w:hAnsi="宋体" w:cs="宋体"/>
                <w:color w:val="auto"/>
                <w:kern w:val="0"/>
                <w:szCs w:val="21"/>
                <w:highlight w:val="none"/>
                <w:lang w:bidi="ar"/>
              </w:rPr>
              <w:t>石化区应急指挥综合管控平台</w:t>
            </w:r>
          </w:p>
        </w:tc>
        <w:tc>
          <w:tcPr>
            <w:tcW w:w="992"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auto" w:sz="4" w:space="0"/>
              <w:left w:val="single" w:color="auto" w:sz="4" w:space="0"/>
              <w:bottom w:val="single" w:color="auto" w:sz="4" w:space="0"/>
              <w:right w:val="single" w:color="auto" w:sz="4" w:space="0"/>
            </w:tcBorders>
          </w:tcPr>
          <w:p>
            <w:pPr>
              <w:ind w:firstLine="420"/>
              <w:jc w:val="left"/>
              <w:rPr>
                <w:rFonts w:ascii="宋体" w:hAnsi="宋体" w:cs="宋体"/>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r>
      <w:tr>
        <w:tblPrEx>
          <w:tblCellMar>
            <w:top w:w="0" w:type="dxa"/>
            <w:left w:w="0" w:type="dxa"/>
            <w:bottom w:w="0" w:type="dxa"/>
            <w:right w:w="0" w:type="dxa"/>
          </w:tblCellMar>
        </w:tblPrEx>
        <w:trPr>
          <w:trHeight w:val="520" w:hRule="atLeast"/>
          <w:jc w:val="center"/>
        </w:trPr>
        <w:tc>
          <w:tcPr>
            <w:tcW w:w="630"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center"/>
              <w:rPr>
                <w:rFonts w:ascii="宋体" w:hAnsi="宋体" w:cs="宋体"/>
                <w:color w:val="auto"/>
                <w:szCs w:val="21"/>
                <w:highlight w:val="none"/>
              </w:rPr>
            </w:pPr>
          </w:p>
        </w:tc>
        <w:tc>
          <w:tcPr>
            <w:tcW w:w="1679"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3039"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0" w:firstLineChars="0"/>
              <w:jc w:val="left"/>
              <w:rPr>
                <w:rFonts w:ascii="宋体" w:hAnsi="宋体" w:cs="宋体"/>
                <w:color w:val="auto"/>
                <w:szCs w:val="21"/>
                <w:highlight w:val="none"/>
              </w:rPr>
            </w:pPr>
            <w:r>
              <w:rPr>
                <w:rFonts w:hint="eastAsia" w:ascii="宋体" w:hAnsi="宋体" w:cs="宋体"/>
                <w:color w:val="auto"/>
                <w:kern w:val="0"/>
                <w:szCs w:val="21"/>
                <w:highlight w:val="none"/>
                <w:lang w:bidi="ar"/>
              </w:rPr>
              <w:t>石化区危险化学品重大危险源在线监测预警系统</w:t>
            </w:r>
          </w:p>
        </w:tc>
        <w:tc>
          <w:tcPr>
            <w:tcW w:w="992"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auto" w:sz="4" w:space="0"/>
              <w:left w:val="single" w:color="auto" w:sz="4" w:space="0"/>
              <w:bottom w:val="single" w:color="auto" w:sz="4" w:space="0"/>
              <w:right w:val="single" w:color="auto" w:sz="4" w:space="0"/>
            </w:tcBorders>
          </w:tcPr>
          <w:p>
            <w:pPr>
              <w:ind w:firstLine="420"/>
              <w:jc w:val="left"/>
              <w:rPr>
                <w:rFonts w:ascii="宋体" w:hAnsi="宋体" w:cs="宋体"/>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r>
      <w:tr>
        <w:tblPrEx>
          <w:tblCellMar>
            <w:top w:w="0" w:type="dxa"/>
            <w:left w:w="0" w:type="dxa"/>
            <w:bottom w:w="0" w:type="dxa"/>
            <w:right w:w="0" w:type="dxa"/>
          </w:tblCellMar>
        </w:tblPrEx>
        <w:trPr>
          <w:trHeight w:val="520" w:hRule="atLeast"/>
          <w:jc w:val="center"/>
        </w:trPr>
        <w:tc>
          <w:tcPr>
            <w:tcW w:w="630"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center"/>
              <w:rPr>
                <w:rFonts w:ascii="宋体" w:hAnsi="宋体" w:cs="宋体"/>
                <w:color w:val="auto"/>
                <w:szCs w:val="21"/>
                <w:highlight w:val="none"/>
              </w:rPr>
            </w:pPr>
          </w:p>
        </w:tc>
        <w:tc>
          <w:tcPr>
            <w:tcW w:w="1679"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3039"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0" w:firstLineChars="0"/>
              <w:jc w:val="left"/>
              <w:rPr>
                <w:rFonts w:ascii="宋体" w:hAnsi="宋体" w:cs="宋体"/>
                <w:color w:val="auto"/>
                <w:szCs w:val="21"/>
                <w:highlight w:val="none"/>
              </w:rPr>
            </w:pPr>
            <w:r>
              <w:rPr>
                <w:rFonts w:hint="eastAsia" w:ascii="宋体" w:hAnsi="宋体" w:cs="宋体"/>
                <w:color w:val="auto"/>
                <w:kern w:val="0"/>
                <w:szCs w:val="21"/>
                <w:highlight w:val="none"/>
                <w:lang w:bidi="ar"/>
              </w:rPr>
              <w:t>公共管廊智慧安全管理系统</w:t>
            </w:r>
          </w:p>
        </w:tc>
        <w:tc>
          <w:tcPr>
            <w:tcW w:w="992"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auto" w:sz="4" w:space="0"/>
              <w:left w:val="single" w:color="auto" w:sz="4" w:space="0"/>
              <w:bottom w:val="single" w:color="auto" w:sz="4" w:space="0"/>
              <w:right w:val="single" w:color="auto" w:sz="4" w:space="0"/>
            </w:tcBorders>
          </w:tcPr>
          <w:p>
            <w:pPr>
              <w:ind w:firstLine="420"/>
              <w:jc w:val="left"/>
              <w:rPr>
                <w:rFonts w:ascii="宋体" w:hAnsi="宋体" w:cs="宋体"/>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r>
      <w:tr>
        <w:tblPrEx>
          <w:tblCellMar>
            <w:top w:w="0" w:type="dxa"/>
            <w:left w:w="0" w:type="dxa"/>
            <w:bottom w:w="0" w:type="dxa"/>
            <w:right w:w="0" w:type="dxa"/>
          </w:tblCellMar>
        </w:tblPrEx>
        <w:trPr>
          <w:trHeight w:val="528" w:hRule="atLeast"/>
          <w:jc w:val="center"/>
        </w:trPr>
        <w:tc>
          <w:tcPr>
            <w:tcW w:w="630"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center"/>
              <w:rPr>
                <w:rFonts w:ascii="宋体" w:hAnsi="宋体" w:cs="宋体"/>
                <w:color w:val="auto"/>
                <w:szCs w:val="21"/>
                <w:highlight w:val="none"/>
              </w:rPr>
            </w:pPr>
          </w:p>
        </w:tc>
        <w:tc>
          <w:tcPr>
            <w:tcW w:w="1679"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3039"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0" w:firstLineChars="0"/>
              <w:jc w:val="left"/>
              <w:rPr>
                <w:rFonts w:ascii="宋体" w:hAnsi="宋体" w:cs="宋体"/>
                <w:color w:val="auto"/>
                <w:szCs w:val="21"/>
                <w:highlight w:val="none"/>
              </w:rPr>
            </w:pPr>
            <w:r>
              <w:rPr>
                <w:rFonts w:hint="eastAsia" w:ascii="宋体" w:hAnsi="宋体" w:cs="宋体"/>
                <w:color w:val="auto"/>
                <w:kern w:val="0"/>
                <w:szCs w:val="21"/>
                <w:highlight w:val="none"/>
                <w:lang w:bidi="ar"/>
              </w:rPr>
              <w:t>水务信息化系统</w:t>
            </w:r>
          </w:p>
        </w:tc>
        <w:tc>
          <w:tcPr>
            <w:tcW w:w="992"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auto" w:sz="4" w:space="0"/>
              <w:left w:val="single" w:color="auto" w:sz="4" w:space="0"/>
              <w:bottom w:val="single" w:color="auto" w:sz="4" w:space="0"/>
              <w:right w:val="single" w:color="auto" w:sz="4" w:space="0"/>
            </w:tcBorders>
          </w:tcPr>
          <w:p>
            <w:pPr>
              <w:ind w:firstLine="420"/>
              <w:jc w:val="left"/>
              <w:rPr>
                <w:rFonts w:ascii="宋体" w:hAnsi="宋体" w:cs="宋体"/>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r>
      <w:tr>
        <w:tblPrEx>
          <w:tblCellMar>
            <w:top w:w="0" w:type="dxa"/>
            <w:left w:w="0" w:type="dxa"/>
            <w:bottom w:w="0" w:type="dxa"/>
            <w:right w:w="0" w:type="dxa"/>
          </w:tblCellMar>
        </w:tblPrEx>
        <w:trPr>
          <w:trHeight w:val="520" w:hRule="atLeast"/>
          <w:jc w:val="center"/>
        </w:trPr>
        <w:tc>
          <w:tcPr>
            <w:tcW w:w="630"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center"/>
              <w:rPr>
                <w:rFonts w:ascii="宋体" w:hAnsi="宋体" w:cs="宋体"/>
                <w:color w:val="auto"/>
                <w:szCs w:val="21"/>
                <w:highlight w:val="none"/>
              </w:rPr>
            </w:pPr>
          </w:p>
        </w:tc>
        <w:tc>
          <w:tcPr>
            <w:tcW w:w="1679"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3039"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0" w:firstLineChars="0"/>
              <w:jc w:val="left"/>
              <w:rPr>
                <w:rFonts w:ascii="宋体" w:hAnsi="宋体" w:cs="宋体"/>
                <w:color w:val="auto"/>
                <w:szCs w:val="21"/>
                <w:highlight w:val="none"/>
              </w:rPr>
            </w:pPr>
            <w:r>
              <w:rPr>
                <w:rFonts w:hint="eastAsia" w:ascii="宋体" w:hAnsi="宋体" w:cs="宋体"/>
                <w:color w:val="auto"/>
                <w:kern w:val="0"/>
                <w:szCs w:val="21"/>
                <w:highlight w:val="none"/>
                <w:lang w:bidi="ar"/>
              </w:rPr>
              <w:t>镇海区智慧环保VOCs平台</w:t>
            </w:r>
          </w:p>
        </w:tc>
        <w:tc>
          <w:tcPr>
            <w:tcW w:w="992"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auto" w:sz="4" w:space="0"/>
              <w:left w:val="single" w:color="auto" w:sz="4" w:space="0"/>
              <w:bottom w:val="single" w:color="auto" w:sz="4" w:space="0"/>
              <w:right w:val="single" w:color="auto" w:sz="4" w:space="0"/>
            </w:tcBorders>
          </w:tcPr>
          <w:p>
            <w:pPr>
              <w:ind w:firstLine="420"/>
              <w:jc w:val="left"/>
              <w:rPr>
                <w:rFonts w:ascii="宋体" w:hAnsi="宋体" w:cs="宋体"/>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r>
      <w:tr>
        <w:tblPrEx>
          <w:tblCellMar>
            <w:top w:w="0" w:type="dxa"/>
            <w:left w:w="0" w:type="dxa"/>
            <w:bottom w:w="0" w:type="dxa"/>
            <w:right w:w="0" w:type="dxa"/>
          </w:tblCellMar>
        </w:tblPrEx>
        <w:trPr>
          <w:trHeight w:val="520" w:hRule="atLeast"/>
          <w:jc w:val="center"/>
        </w:trPr>
        <w:tc>
          <w:tcPr>
            <w:tcW w:w="630"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center"/>
              <w:rPr>
                <w:rFonts w:ascii="宋体" w:hAnsi="宋体" w:cs="宋体"/>
                <w:color w:val="auto"/>
                <w:szCs w:val="21"/>
                <w:highlight w:val="none"/>
              </w:rPr>
            </w:pPr>
          </w:p>
        </w:tc>
        <w:tc>
          <w:tcPr>
            <w:tcW w:w="1679"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3039"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0" w:firstLineChars="0"/>
              <w:jc w:val="left"/>
              <w:rPr>
                <w:rFonts w:ascii="宋体" w:hAnsi="宋体" w:cs="宋体"/>
                <w:color w:val="auto"/>
                <w:szCs w:val="21"/>
                <w:highlight w:val="none"/>
              </w:rPr>
            </w:pPr>
            <w:r>
              <w:rPr>
                <w:rFonts w:hint="eastAsia" w:ascii="宋体" w:hAnsi="宋体" w:cs="宋体"/>
                <w:color w:val="auto"/>
                <w:kern w:val="0"/>
                <w:szCs w:val="21"/>
                <w:highlight w:val="none"/>
                <w:lang w:bidi="ar"/>
              </w:rPr>
              <w:t>镇海区道路运输监管平台</w:t>
            </w:r>
          </w:p>
        </w:tc>
        <w:tc>
          <w:tcPr>
            <w:tcW w:w="992"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auto" w:sz="4" w:space="0"/>
              <w:left w:val="single" w:color="auto" w:sz="4" w:space="0"/>
              <w:bottom w:val="single" w:color="auto" w:sz="4" w:space="0"/>
              <w:right w:val="single" w:color="auto" w:sz="4" w:space="0"/>
            </w:tcBorders>
          </w:tcPr>
          <w:p>
            <w:pPr>
              <w:ind w:firstLine="420"/>
              <w:jc w:val="left"/>
              <w:rPr>
                <w:rFonts w:ascii="宋体" w:hAnsi="宋体" w:cs="宋体"/>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center"/>
              <w:rPr>
                <w:rFonts w:ascii="宋体" w:hAnsi="宋体" w:cs="宋体"/>
                <w:color w:val="auto"/>
                <w:szCs w:val="21"/>
                <w:highlight w:val="none"/>
              </w:rPr>
            </w:pPr>
          </w:p>
        </w:tc>
        <w:tc>
          <w:tcPr>
            <w:tcW w:w="1679"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c>
          <w:tcPr>
            <w:tcW w:w="3039"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0" w:firstLineChars="0"/>
              <w:jc w:val="left"/>
              <w:rPr>
                <w:rFonts w:ascii="宋体" w:hAnsi="宋体" w:cs="宋体"/>
                <w:color w:val="auto"/>
                <w:szCs w:val="21"/>
                <w:highlight w:val="none"/>
              </w:rPr>
            </w:pPr>
            <w:r>
              <w:rPr>
                <w:rFonts w:hint="eastAsia" w:ascii="宋体" w:hAnsi="宋体" w:cs="宋体"/>
                <w:color w:val="auto"/>
                <w:szCs w:val="21"/>
                <w:highlight w:val="none"/>
              </w:rPr>
              <w:t>园区企业综合信息录入平台</w:t>
            </w:r>
          </w:p>
        </w:tc>
        <w:tc>
          <w:tcPr>
            <w:tcW w:w="992"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851"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924" w:type="dxa"/>
            <w:tcBorders>
              <w:top w:val="single" w:color="auto" w:sz="4" w:space="0"/>
              <w:left w:val="single" w:color="auto" w:sz="4" w:space="0"/>
              <w:bottom w:val="single" w:color="auto" w:sz="4" w:space="0"/>
              <w:right w:val="single" w:color="auto" w:sz="4" w:space="0"/>
            </w:tcBorders>
          </w:tcPr>
          <w:p>
            <w:pPr>
              <w:ind w:firstLine="420"/>
              <w:jc w:val="left"/>
              <w:rPr>
                <w:rFonts w:ascii="宋体" w:hAnsi="宋体" w:cs="宋体"/>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r>
      <w:tr>
        <w:tblPrEx>
          <w:tblCellMar>
            <w:top w:w="0" w:type="dxa"/>
            <w:left w:w="0" w:type="dxa"/>
            <w:bottom w:w="0" w:type="dxa"/>
            <w:right w:w="0" w:type="dxa"/>
          </w:tblCellMar>
        </w:tblPrEx>
        <w:trPr>
          <w:trHeight w:val="280" w:hRule="atLeast"/>
          <w:jc w:val="center"/>
        </w:trPr>
        <w:tc>
          <w:tcPr>
            <w:tcW w:w="5348" w:type="dxa"/>
            <w:gridSpan w:val="3"/>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0" w:firstLineChars="0"/>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小计4</w:t>
            </w:r>
          </w:p>
        </w:tc>
        <w:tc>
          <w:tcPr>
            <w:tcW w:w="3691" w:type="dxa"/>
            <w:gridSpan w:val="4"/>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color w:val="auto"/>
                <w:szCs w:val="21"/>
                <w:highlight w:val="none"/>
              </w:rPr>
            </w:pPr>
          </w:p>
        </w:tc>
      </w:tr>
    </w:tbl>
    <w:p>
      <w:pPr>
        <w:pStyle w:val="19"/>
        <w:spacing w:before="120" w:after="120" w:line="480" w:lineRule="auto"/>
        <w:ind w:firstLine="406"/>
        <w:jc w:val="center"/>
        <w:rPr>
          <w:rFonts w:hAnsi="宋体" w:eastAsia="宋体" w:cs="宋体"/>
          <w:b/>
          <w:bCs/>
          <w:color w:val="auto"/>
          <w:sz w:val="21"/>
          <w:szCs w:val="21"/>
          <w:highlight w:val="none"/>
        </w:rPr>
      </w:pPr>
    </w:p>
    <w:p>
      <w:pPr>
        <w:pStyle w:val="19"/>
        <w:spacing w:before="120" w:after="120" w:line="480" w:lineRule="auto"/>
        <w:ind w:firstLine="406"/>
        <w:jc w:val="center"/>
        <w:rPr>
          <w:rFonts w:hAnsi="宋体" w:eastAsia="宋体" w:cs="宋体"/>
          <w:b/>
          <w:bCs/>
          <w:color w:val="auto"/>
          <w:sz w:val="21"/>
          <w:szCs w:val="21"/>
          <w:highlight w:val="none"/>
        </w:rPr>
      </w:pPr>
      <w:r>
        <w:rPr>
          <w:rFonts w:hint="eastAsia" w:hAnsi="宋体" w:eastAsia="宋体" w:cs="宋体"/>
          <w:b/>
          <w:bCs/>
          <w:color w:val="auto"/>
          <w:sz w:val="21"/>
          <w:szCs w:val="21"/>
          <w:highlight w:val="none"/>
        </w:rPr>
        <w:br w:type="page"/>
      </w:r>
    </w:p>
    <w:p>
      <w:pPr>
        <w:pStyle w:val="19"/>
        <w:spacing w:before="120" w:after="120" w:line="480" w:lineRule="auto"/>
        <w:ind w:firstLine="406"/>
        <w:jc w:val="center"/>
        <w:rPr>
          <w:rFonts w:hAnsi="宋体" w:eastAsia="宋体" w:cs="宋体"/>
          <w:b/>
          <w:bCs/>
          <w:color w:val="auto"/>
          <w:sz w:val="24"/>
          <w:highlight w:val="none"/>
        </w:rPr>
      </w:pPr>
      <w:r>
        <w:rPr>
          <w:rFonts w:hint="eastAsia" w:hAnsi="宋体" w:eastAsia="宋体" w:cs="宋体"/>
          <w:b/>
          <w:bCs/>
          <w:color w:val="auto"/>
          <w:sz w:val="21"/>
          <w:szCs w:val="21"/>
          <w:highlight w:val="none"/>
        </w:rPr>
        <w:t>4-5网络、安全及5家试点企业接入设备报价明细表</w:t>
      </w:r>
    </w:p>
    <w:tbl>
      <w:tblPr>
        <w:tblStyle w:val="37"/>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2215"/>
        <w:gridCol w:w="1890"/>
        <w:gridCol w:w="786"/>
        <w:gridCol w:w="947"/>
        <w:gridCol w:w="945"/>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72"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2215"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名称</w:t>
            </w:r>
          </w:p>
        </w:tc>
        <w:tc>
          <w:tcPr>
            <w:tcW w:w="1890"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投标品牌/规格型号</w:t>
            </w:r>
          </w:p>
        </w:tc>
        <w:tc>
          <w:tcPr>
            <w:tcW w:w="786"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单位</w:t>
            </w:r>
          </w:p>
        </w:tc>
        <w:tc>
          <w:tcPr>
            <w:tcW w:w="947"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数量</w:t>
            </w:r>
          </w:p>
        </w:tc>
        <w:tc>
          <w:tcPr>
            <w:tcW w:w="945"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单价（元）</w:t>
            </w:r>
          </w:p>
        </w:tc>
        <w:tc>
          <w:tcPr>
            <w:tcW w:w="945"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6610" w:type="dxa"/>
            <w:gridSpan w:val="5"/>
            <w:vAlign w:val="center"/>
          </w:tcPr>
          <w:p>
            <w:pPr>
              <w:ind w:firstLine="0" w:firstLineChars="0"/>
              <w:jc w:val="left"/>
              <w:rPr>
                <w:rFonts w:ascii="宋体" w:hAnsi="宋体" w:cs="宋体"/>
                <w:color w:val="auto"/>
                <w:szCs w:val="21"/>
                <w:highlight w:val="none"/>
              </w:rPr>
            </w:pPr>
            <w:r>
              <w:rPr>
                <w:rFonts w:hint="eastAsia" w:ascii="宋体" w:hAnsi="宋体" w:cs="宋体"/>
                <w:color w:val="auto"/>
                <w:szCs w:val="21"/>
                <w:highlight w:val="none"/>
              </w:rPr>
              <w:t>(一）、计算节点及虚拟化</w:t>
            </w:r>
          </w:p>
        </w:tc>
        <w:tc>
          <w:tcPr>
            <w:tcW w:w="945" w:type="dxa"/>
          </w:tcPr>
          <w:p>
            <w:pPr>
              <w:ind w:firstLine="0" w:firstLineChars="0"/>
              <w:rPr>
                <w:rFonts w:ascii="宋体" w:hAnsi="宋体" w:cs="宋体"/>
                <w:color w:val="auto"/>
                <w:szCs w:val="21"/>
                <w:highlight w:val="none"/>
              </w:rPr>
            </w:pPr>
            <w:r>
              <w:rPr>
                <w:rFonts w:hint="eastAsia" w:ascii="宋体" w:hAnsi="宋体" w:cs="宋体"/>
                <w:color w:val="auto"/>
                <w:szCs w:val="21"/>
                <w:highlight w:val="none"/>
              </w:rPr>
              <w:t>/</w:t>
            </w:r>
          </w:p>
        </w:tc>
        <w:tc>
          <w:tcPr>
            <w:tcW w:w="945" w:type="dxa"/>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c>
          <w:tcPr>
            <w:tcW w:w="2215"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服务器</w:t>
            </w:r>
          </w:p>
        </w:tc>
        <w:tc>
          <w:tcPr>
            <w:tcW w:w="1890" w:type="dxa"/>
            <w:shd w:val="clear" w:color="000000" w:fill="FFFFFF"/>
          </w:tcPr>
          <w:p>
            <w:pPr>
              <w:ind w:firstLine="0" w:firstLineChars="0"/>
              <w:rPr>
                <w:rFonts w:ascii="宋体" w:hAnsi="宋体" w:cs="宋体"/>
                <w:color w:val="auto"/>
                <w:szCs w:val="21"/>
                <w:highlight w:val="none"/>
              </w:rPr>
            </w:pPr>
          </w:p>
        </w:tc>
        <w:tc>
          <w:tcPr>
            <w:tcW w:w="786" w:type="dxa"/>
            <w:shd w:val="clear" w:color="000000" w:fill="FFFFFF"/>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台</w:t>
            </w:r>
          </w:p>
        </w:tc>
        <w:tc>
          <w:tcPr>
            <w:tcW w:w="947" w:type="dxa"/>
            <w:shd w:val="clear" w:color="000000" w:fill="FFFFFF"/>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6</w:t>
            </w:r>
          </w:p>
        </w:tc>
        <w:tc>
          <w:tcPr>
            <w:tcW w:w="945" w:type="dxa"/>
            <w:shd w:val="clear" w:color="000000" w:fill="FFFFFF"/>
          </w:tcPr>
          <w:p>
            <w:pPr>
              <w:ind w:firstLine="0" w:firstLineChars="0"/>
              <w:rPr>
                <w:rFonts w:ascii="宋体" w:hAnsi="宋体" w:cs="宋体"/>
                <w:color w:val="auto"/>
                <w:szCs w:val="21"/>
                <w:highlight w:val="none"/>
              </w:rPr>
            </w:pPr>
          </w:p>
        </w:tc>
        <w:tc>
          <w:tcPr>
            <w:tcW w:w="945" w:type="dxa"/>
            <w:shd w:val="clear" w:color="000000" w:fill="FFFFFF"/>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2</w:t>
            </w:r>
          </w:p>
        </w:tc>
        <w:tc>
          <w:tcPr>
            <w:tcW w:w="2215"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软件</w:t>
            </w:r>
          </w:p>
        </w:tc>
        <w:tc>
          <w:tcPr>
            <w:tcW w:w="1890" w:type="dxa"/>
            <w:shd w:val="clear" w:color="000000" w:fill="FFFFFF"/>
          </w:tcPr>
          <w:p>
            <w:pPr>
              <w:ind w:firstLine="0" w:firstLineChars="0"/>
              <w:rPr>
                <w:rFonts w:ascii="宋体" w:hAnsi="宋体" w:cs="宋体"/>
                <w:color w:val="auto"/>
                <w:szCs w:val="21"/>
                <w:highlight w:val="none"/>
              </w:rPr>
            </w:pPr>
          </w:p>
        </w:tc>
        <w:tc>
          <w:tcPr>
            <w:tcW w:w="786" w:type="dxa"/>
            <w:shd w:val="clear" w:color="000000" w:fill="FFFFFF"/>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套</w:t>
            </w:r>
          </w:p>
        </w:tc>
        <w:tc>
          <w:tcPr>
            <w:tcW w:w="947" w:type="dxa"/>
            <w:shd w:val="clear" w:color="000000" w:fill="FFFFFF"/>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1</w:t>
            </w:r>
          </w:p>
        </w:tc>
        <w:tc>
          <w:tcPr>
            <w:tcW w:w="945" w:type="dxa"/>
            <w:shd w:val="clear" w:color="000000" w:fill="FFFFFF"/>
          </w:tcPr>
          <w:p>
            <w:pPr>
              <w:ind w:firstLine="0" w:firstLineChars="0"/>
              <w:rPr>
                <w:rFonts w:ascii="宋体" w:hAnsi="宋体" w:cs="宋体"/>
                <w:color w:val="auto"/>
                <w:szCs w:val="21"/>
                <w:highlight w:val="none"/>
              </w:rPr>
            </w:pPr>
          </w:p>
        </w:tc>
        <w:tc>
          <w:tcPr>
            <w:tcW w:w="945" w:type="dxa"/>
            <w:shd w:val="clear" w:color="000000" w:fill="FFFFFF"/>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3</w:t>
            </w:r>
          </w:p>
        </w:tc>
        <w:tc>
          <w:tcPr>
            <w:tcW w:w="2215"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交换机</w:t>
            </w:r>
          </w:p>
        </w:tc>
        <w:tc>
          <w:tcPr>
            <w:tcW w:w="1890" w:type="dxa"/>
            <w:shd w:val="clear" w:color="000000" w:fill="FFFFFF"/>
          </w:tcPr>
          <w:p>
            <w:pPr>
              <w:ind w:firstLine="0" w:firstLineChars="0"/>
              <w:rPr>
                <w:rFonts w:ascii="宋体" w:hAnsi="宋体" w:cs="宋体"/>
                <w:color w:val="auto"/>
                <w:szCs w:val="21"/>
                <w:highlight w:val="none"/>
              </w:rPr>
            </w:pPr>
          </w:p>
        </w:tc>
        <w:tc>
          <w:tcPr>
            <w:tcW w:w="786" w:type="dxa"/>
            <w:shd w:val="clear" w:color="000000" w:fill="FFFFFF"/>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台</w:t>
            </w:r>
          </w:p>
        </w:tc>
        <w:tc>
          <w:tcPr>
            <w:tcW w:w="947" w:type="dxa"/>
            <w:shd w:val="clear" w:color="000000" w:fill="FFFFFF"/>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2</w:t>
            </w:r>
          </w:p>
        </w:tc>
        <w:tc>
          <w:tcPr>
            <w:tcW w:w="945" w:type="dxa"/>
            <w:shd w:val="clear" w:color="000000" w:fill="FFFFFF"/>
          </w:tcPr>
          <w:p>
            <w:pPr>
              <w:ind w:firstLine="0" w:firstLineChars="0"/>
              <w:rPr>
                <w:rFonts w:ascii="宋体" w:hAnsi="宋体" w:cs="宋体"/>
                <w:color w:val="auto"/>
                <w:szCs w:val="21"/>
                <w:highlight w:val="none"/>
              </w:rPr>
            </w:pPr>
          </w:p>
        </w:tc>
        <w:tc>
          <w:tcPr>
            <w:tcW w:w="945" w:type="dxa"/>
            <w:shd w:val="clear" w:color="000000" w:fill="FFFFFF"/>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6610" w:type="dxa"/>
            <w:gridSpan w:val="5"/>
            <w:shd w:val="clear" w:color="000000" w:fill="FFFFFF"/>
            <w:vAlign w:val="center"/>
          </w:tcPr>
          <w:p>
            <w:pPr>
              <w:ind w:firstLine="0" w:firstLineChars="0"/>
              <w:jc w:val="left"/>
              <w:rPr>
                <w:rFonts w:ascii="宋体" w:hAnsi="宋体" w:cs="宋体"/>
                <w:color w:val="auto"/>
                <w:szCs w:val="21"/>
                <w:highlight w:val="none"/>
              </w:rPr>
            </w:pPr>
            <w:r>
              <w:rPr>
                <w:rFonts w:hint="eastAsia" w:ascii="宋体" w:hAnsi="宋体" w:cs="宋体"/>
                <w:color w:val="auto"/>
                <w:szCs w:val="21"/>
                <w:highlight w:val="none"/>
              </w:rPr>
              <w:t>(二）、存储节点</w:t>
            </w:r>
          </w:p>
        </w:tc>
        <w:tc>
          <w:tcPr>
            <w:tcW w:w="945" w:type="dxa"/>
            <w:shd w:val="clear" w:color="000000" w:fill="FFFFFF"/>
          </w:tcPr>
          <w:p>
            <w:pPr>
              <w:ind w:firstLine="0" w:firstLineChars="0"/>
              <w:rPr>
                <w:rFonts w:ascii="宋体" w:hAnsi="宋体" w:cs="宋体"/>
                <w:color w:val="auto"/>
                <w:szCs w:val="21"/>
                <w:highlight w:val="none"/>
              </w:rPr>
            </w:pPr>
            <w:r>
              <w:rPr>
                <w:rFonts w:hint="eastAsia" w:ascii="宋体" w:hAnsi="宋体" w:cs="宋体"/>
                <w:color w:val="auto"/>
                <w:szCs w:val="21"/>
                <w:highlight w:val="none"/>
              </w:rPr>
              <w:t>/</w:t>
            </w:r>
          </w:p>
        </w:tc>
        <w:tc>
          <w:tcPr>
            <w:tcW w:w="945" w:type="dxa"/>
            <w:shd w:val="clear" w:color="000000" w:fill="FFFFFF"/>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c>
          <w:tcPr>
            <w:tcW w:w="2215"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服务器</w:t>
            </w:r>
          </w:p>
        </w:tc>
        <w:tc>
          <w:tcPr>
            <w:tcW w:w="1890" w:type="dxa"/>
            <w:shd w:val="clear" w:color="000000" w:fill="FFFFFF"/>
          </w:tcPr>
          <w:p>
            <w:pPr>
              <w:ind w:firstLine="0" w:firstLineChars="0"/>
              <w:rPr>
                <w:rFonts w:ascii="宋体" w:hAnsi="宋体" w:cs="宋体"/>
                <w:color w:val="auto"/>
                <w:szCs w:val="21"/>
                <w:highlight w:val="none"/>
              </w:rPr>
            </w:pPr>
          </w:p>
        </w:tc>
        <w:tc>
          <w:tcPr>
            <w:tcW w:w="786" w:type="dxa"/>
            <w:shd w:val="clear" w:color="000000" w:fill="FFFFFF"/>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台</w:t>
            </w:r>
          </w:p>
        </w:tc>
        <w:tc>
          <w:tcPr>
            <w:tcW w:w="947" w:type="dxa"/>
            <w:shd w:val="clear" w:color="000000" w:fill="FFFFFF"/>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3</w:t>
            </w:r>
          </w:p>
        </w:tc>
        <w:tc>
          <w:tcPr>
            <w:tcW w:w="945" w:type="dxa"/>
            <w:shd w:val="clear" w:color="000000" w:fill="FFFFFF"/>
          </w:tcPr>
          <w:p>
            <w:pPr>
              <w:ind w:firstLine="0" w:firstLineChars="0"/>
              <w:rPr>
                <w:rFonts w:ascii="宋体" w:hAnsi="宋体" w:cs="宋体"/>
                <w:color w:val="auto"/>
                <w:szCs w:val="21"/>
                <w:highlight w:val="none"/>
              </w:rPr>
            </w:pPr>
          </w:p>
        </w:tc>
        <w:tc>
          <w:tcPr>
            <w:tcW w:w="945" w:type="dxa"/>
            <w:shd w:val="clear" w:color="000000" w:fill="FFFFFF"/>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72"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2</w:t>
            </w:r>
          </w:p>
        </w:tc>
        <w:tc>
          <w:tcPr>
            <w:tcW w:w="2215"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软件</w:t>
            </w:r>
          </w:p>
        </w:tc>
        <w:tc>
          <w:tcPr>
            <w:tcW w:w="1890" w:type="dxa"/>
            <w:shd w:val="clear" w:color="000000" w:fill="FFFFFF"/>
          </w:tcPr>
          <w:p>
            <w:pPr>
              <w:ind w:firstLine="0" w:firstLineChars="0"/>
              <w:rPr>
                <w:rFonts w:ascii="宋体" w:hAnsi="宋体" w:cs="宋体"/>
                <w:color w:val="auto"/>
                <w:szCs w:val="21"/>
                <w:highlight w:val="none"/>
              </w:rPr>
            </w:pPr>
          </w:p>
        </w:tc>
        <w:tc>
          <w:tcPr>
            <w:tcW w:w="786" w:type="dxa"/>
            <w:shd w:val="clear" w:color="000000" w:fill="FFFFFF"/>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套</w:t>
            </w:r>
          </w:p>
        </w:tc>
        <w:tc>
          <w:tcPr>
            <w:tcW w:w="947" w:type="dxa"/>
            <w:shd w:val="clear" w:color="000000" w:fill="FFFFFF"/>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1</w:t>
            </w:r>
          </w:p>
        </w:tc>
        <w:tc>
          <w:tcPr>
            <w:tcW w:w="945" w:type="dxa"/>
            <w:shd w:val="clear" w:color="000000" w:fill="FFFFFF"/>
          </w:tcPr>
          <w:p>
            <w:pPr>
              <w:ind w:firstLine="0" w:firstLineChars="0"/>
              <w:rPr>
                <w:rFonts w:ascii="宋体" w:hAnsi="宋体" w:cs="宋体"/>
                <w:color w:val="auto"/>
                <w:szCs w:val="21"/>
                <w:highlight w:val="none"/>
              </w:rPr>
            </w:pPr>
          </w:p>
        </w:tc>
        <w:tc>
          <w:tcPr>
            <w:tcW w:w="945" w:type="dxa"/>
            <w:shd w:val="clear" w:color="000000" w:fill="FFFFFF"/>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772"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3</w:t>
            </w:r>
          </w:p>
        </w:tc>
        <w:tc>
          <w:tcPr>
            <w:tcW w:w="2215"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存储节点后端交换机</w:t>
            </w:r>
          </w:p>
        </w:tc>
        <w:tc>
          <w:tcPr>
            <w:tcW w:w="1890" w:type="dxa"/>
          </w:tcPr>
          <w:p>
            <w:pPr>
              <w:ind w:firstLine="0" w:firstLineChars="0"/>
              <w:rPr>
                <w:rFonts w:ascii="宋体" w:hAnsi="宋体" w:cs="宋体"/>
                <w:color w:val="auto"/>
                <w:szCs w:val="21"/>
                <w:highlight w:val="none"/>
              </w:rPr>
            </w:pPr>
          </w:p>
        </w:tc>
        <w:tc>
          <w:tcPr>
            <w:tcW w:w="786"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台</w:t>
            </w:r>
          </w:p>
        </w:tc>
        <w:tc>
          <w:tcPr>
            <w:tcW w:w="947"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2</w:t>
            </w:r>
          </w:p>
        </w:tc>
        <w:tc>
          <w:tcPr>
            <w:tcW w:w="945" w:type="dxa"/>
          </w:tcPr>
          <w:p>
            <w:pPr>
              <w:ind w:firstLine="0" w:firstLineChars="0"/>
              <w:rPr>
                <w:rFonts w:ascii="宋体" w:hAnsi="宋体" w:cs="宋体"/>
                <w:color w:val="auto"/>
                <w:szCs w:val="21"/>
                <w:highlight w:val="none"/>
              </w:rPr>
            </w:pPr>
          </w:p>
        </w:tc>
        <w:tc>
          <w:tcPr>
            <w:tcW w:w="945" w:type="dxa"/>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6610" w:type="dxa"/>
            <w:gridSpan w:val="5"/>
            <w:vAlign w:val="center"/>
          </w:tcPr>
          <w:p>
            <w:pPr>
              <w:ind w:firstLine="0" w:firstLineChars="0"/>
              <w:jc w:val="left"/>
              <w:rPr>
                <w:rFonts w:ascii="宋体" w:hAnsi="宋体" w:cs="宋体"/>
                <w:color w:val="auto"/>
                <w:szCs w:val="21"/>
                <w:highlight w:val="none"/>
              </w:rPr>
            </w:pPr>
            <w:r>
              <w:rPr>
                <w:rFonts w:hint="eastAsia" w:ascii="宋体" w:hAnsi="宋体" w:cs="宋体"/>
                <w:color w:val="auto"/>
                <w:szCs w:val="21"/>
                <w:highlight w:val="none"/>
              </w:rPr>
              <w:t>(三）、网络设备</w:t>
            </w:r>
          </w:p>
        </w:tc>
        <w:tc>
          <w:tcPr>
            <w:tcW w:w="945" w:type="dxa"/>
          </w:tcPr>
          <w:p>
            <w:pPr>
              <w:ind w:firstLine="0" w:firstLineChars="0"/>
              <w:rPr>
                <w:rFonts w:ascii="宋体" w:hAnsi="宋体" w:cs="宋体"/>
                <w:color w:val="auto"/>
                <w:szCs w:val="21"/>
                <w:highlight w:val="none"/>
              </w:rPr>
            </w:pPr>
            <w:r>
              <w:rPr>
                <w:rFonts w:hint="eastAsia" w:ascii="宋体" w:hAnsi="宋体" w:cs="宋体"/>
                <w:color w:val="auto"/>
                <w:szCs w:val="21"/>
                <w:highlight w:val="none"/>
              </w:rPr>
              <w:t>/</w:t>
            </w:r>
          </w:p>
        </w:tc>
        <w:tc>
          <w:tcPr>
            <w:tcW w:w="945" w:type="dxa"/>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c>
          <w:tcPr>
            <w:tcW w:w="2215"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业务核心交换机</w:t>
            </w:r>
          </w:p>
        </w:tc>
        <w:tc>
          <w:tcPr>
            <w:tcW w:w="1890" w:type="dxa"/>
          </w:tcPr>
          <w:p>
            <w:pPr>
              <w:ind w:firstLine="0" w:firstLineChars="0"/>
              <w:rPr>
                <w:rFonts w:ascii="宋体" w:hAnsi="宋体" w:cs="宋体"/>
                <w:color w:val="auto"/>
                <w:szCs w:val="21"/>
                <w:highlight w:val="none"/>
              </w:rPr>
            </w:pPr>
          </w:p>
        </w:tc>
        <w:tc>
          <w:tcPr>
            <w:tcW w:w="786"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台</w:t>
            </w:r>
          </w:p>
        </w:tc>
        <w:tc>
          <w:tcPr>
            <w:tcW w:w="947"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1</w:t>
            </w:r>
          </w:p>
        </w:tc>
        <w:tc>
          <w:tcPr>
            <w:tcW w:w="945" w:type="dxa"/>
          </w:tcPr>
          <w:p>
            <w:pPr>
              <w:ind w:firstLine="0" w:firstLineChars="0"/>
              <w:rPr>
                <w:rFonts w:ascii="宋体" w:hAnsi="宋体" w:cs="宋体"/>
                <w:color w:val="auto"/>
                <w:szCs w:val="21"/>
                <w:highlight w:val="none"/>
              </w:rPr>
            </w:pPr>
          </w:p>
        </w:tc>
        <w:tc>
          <w:tcPr>
            <w:tcW w:w="945" w:type="dxa"/>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2</w:t>
            </w:r>
          </w:p>
        </w:tc>
        <w:tc>
          <w:tcPr>
            <w:tcW w:w="2215"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业务接入交换机</w:t>
            </w:r>
          </w:p>
        </w:tc>
        <w:tc>
          <w:tcPr>
            <w:tcW w:w="1890" w:type="dxa"/>
          </w:tcPr>
          <w:p>
            <w:pPr>
              <w:ind w:firstLine="0" w:firstLineChars="0"/>
              <w:rPr>
                <w:rFonts w:ascii="宋体" w:hAnsi="宋体" w:cs="宋体"/>
                <w:color w:val="auto"/>
                <w:szCs w:val="21"/>
                <w:highlight w:val="none"/>
              </w:rPr>
            </w:pPr>
          </w:p>
        </w:tc>
        <w:tc>
          <w:tcPr>
            <w:tcW w:w="786"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台</w:t>
            </w:r>
          </w:p>
        </w:tc>
        <w:tc>
          <w:tcPr>
            <w:tcW w:w="947"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1</w:t>
            </w:r>
          </w:p>
        </w:tc>
        <w:tc>
          <w:tcPr>
            <w:tcW w:w="945" w:type="dxa"/>
          </w:tcPr>
          <w:p>
            <w:pPr>
              <w:ind w:firstLine="0" w:firstLineChars="0"/>
              <w:rPr>
                <w:rFonts w:ascii="宋体" w:hAnsi="宋体" w:cs="宋体"/>
                <w:color w:val="auto"/>
                <w:szCs w:val="21"/>
                <w:highlight w:val="none"/>
              </w:rPr>
            </w:pPr>
          </w:p>
        </w:tc>
        <w:tc>
          <w:tcPr>
            <w:tcW w:w="945" w:type="dxa"/>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3</w:t>
            </w:r>
          </w:p>
        </w:tc>
        <w:tc>
          <w:tcPr>
            <w:tcW w:w="2215"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汇入层交换机</w:t>
            </w:r>
          </w:p>
        </w:tc>
        <w:tc>
          <w:tcPr>
            <w:tcW w:w="1890" w:type="dxa"/>
            <w:vAlign w:val="center"/>
          </w:tcPr>
          <w:p>
            <w:pPr>
              <w:ind w:firstLine="0" w:firstLineChars="0"/>
              <w:rPr>
                <w:rFonts w:ascii="宋体" w:hAnsi="宋体" w:cs="宋体"/>
                <w:color w:val="auto"/>
                <w:szCs w:val="21"/>
                <w:highlight w:val="none"/>
              </w:rPr>
            </w:pPr>
          </w:p>
        </w:tc>
        <w:tc>
          <w:tcPr>
            <w:tcW w:w="786"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台</w:t>
            </w:r>
          </w:p>
        </w:tc>
        <w:tc>
          <w:tcPr>
            <w:tcW w:w="947"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2</w:t>
            </w:r>
          </w:p>
        </w:tc>
        <w:tc>
          <w:tcPr>
            <w:tcW w:w="945" w:type="dxa"/>
          </w:tcPr>
          <w:p>
            <w:pPr>
              <w:ind w:firstLine="0" w:firstLineChars="0"/>
              <w:rPr>
                <w:rFonts w:ascii="宋体" w:hAnsi="宋体" w:cs="宋体"/>
                <w:color w:val="auto"/>
                <w:szCs w:val="21"/>
                <w:highlight w:val="none"/>
              </w:rPr>
            </w:pPr>
          </w:p>
        </w:tc>
        <w:tc>
          <w:tcPr>
            <w:tcW w:w="945" w:type="dxa"/>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6610" w:type="dxa"/>
            <w:gridSpan w:val="5"/>
            <w:vAlign w:val="center"/>
          </w:tcPr>
          <w:p>
            <w:pPr>
              <w:ind w:firstLine="0" w:firstLineChars="0"/>
              <w:jc w:val="left"/>
              <w:rPr>
                <w:rFonts w:ascii="宋体" w:hAnsi="宋体" w:cs="宋体"/>
                <w:color w:val="auto"/>
                <w:szCs w:val="21"/>
                <w:highlight w:val="none"/>
              </w:rPr>
            </w:pPr>
            <w:r>
              <w:rPr>
                <w:rFonts w:hint="eastAsia" w:ascii="宋体" w:hAnsi="宋体" w:cs="宋体"/>
                <w:color w:val="auto"/>
                <w:szCs w:val="21"/>
                <w:highlight w:val="none"/>
              </w:rPr>
              <w:t>(四）、安全设备</w:t>
            </w:r>
          </w:p>
        </w:tc>
        <w:tc>
          <w:tcPr>
            <w:tcW w:w="945" w:type="dxa"/>
          </w:tcPr>
          <w:p>
            <w:pPr>
              <w:ind w:firstLine="0" w:firstLineChars="0"/>
              <w:rPr>
                <w:rFonts w:ascii="宋体" w:hAnsi="宋体" w:cs="宋体"/>
                <w:color w:val="auto"/>
                <w:szCs w:val="21"/>
                <w:highlight w:val="none"/>
              </w:rPr>
            </w:pPr>
            <w:r>
              <w:rPr>
                <w:rFonts w:hint="eastAsia" w:ascii="宋体" w:hAnsi="宋体" w:cs="宋体"/>
                <w:color w:val="auto"/>
                <w:szCs w:val="21"/>
                <w:highlight w:val="none"/>
              </w:rPr>
              <w:t>/</w:t>
            </w:r>
          </w:p>
        </w:tc>
        <w:tc>
          <w:tcPr>
            <w:tcW w:w="945" w:type="dxa"/>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c>
          <w:tcPr>
            <w:tcW w:w="2215"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网闸</w:t>
            </w:r>
          </w:p>
        </w:tc>
        <w:tc>
          <w:tcPr>
            <w:tcW w:w="1890" w:type="dxa"/>
            <w:vAlign w:val="center"/>
          </w:tcPr>
          <w:p>
            <w:pPr>
              <w:ind w:firstLine="0" w:firstLineChars="0"/>
              <w:rPr>
                <w:rFonts w:ascii="宋体" w:hAnsi="宋体" w:cs="宋体"/>
                <w:color w:val="auto"/>
                <w:szCs w:val="21"/>
                <w:highlight w:val="none"/>
              </w:rPr>
            </w:pPr>
          </w:p>
        </w:tc>
        <w:tc>
          <w:tcPr>
            <w:tcW w:w="786"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套</w:t>
            </w:r>
          </w:p>
        </w:tc>
        <w:tc>
          <w:tcPr>
            <w:tcW w:w="947"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1</w:t>
            </w:r>
          </w:p>
        </w:tc>
        <w:tc>
          <w:tcPr>
            <w:tcW w:w="945" w:type="dxa"/>
          </w:tcPr>
          <w:p>
            <w:pPr>
              <w:ind w:firstLine="0" w:firstLineChars="0"/>
              <w:rPr>
                <w:rFonts w:ascii="宋体" w:hAnsi="宋体" w:cs="宋体"/>
                <w:color w:val="auto"/>
                <w:szCs w:val="21"/>
                <w:highlight w:val="none"/>
              </w:rPr>
            </w:pPr>
          </w:p>
        </w:tc>
        <w:tc>
          <w:tcPr>
            <w:tcW w:w="945" w:type="dxa"/>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2</w:t>
            </w:r>
          </w:p>
        </w:tc>
        <w:tc>
          <w:tcPr>
            <w:tcW w:w="2215"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链路负载均衡</w:t>
            </w:r>
          </w:p>
        </w:tc>
        <w:tc>
          <w:tcPr>
            <w:tcW w:w="1890" w:type="dxa"/>
            <w:vAlign w:val="center"/>
          </w:tcPr>
          <w:p>
            <w:pPr>
              <w:ind w:firstLine="0" w:firstLineChars="0"/>
              <w:rPr>
                <w:rFonts w:ascii="宋体" w:hAnsi="宋体" w:cs="宋体"/>
                <w:color w:val="auto"/>
                <w:szCs w:val="21"/>
                <w:highlight w:val="none"/>
              </w:rPr>
            </w:pPr>
          </w:p>
        </w:tc>
        <w:tc>
          <w:tcPr>
            <w:tcW w:w="786"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台</w:t>
            </w:r>
          </w:p>
        </w:tc>
        <w:tc>
          <w:tcPr>
            <w:tcW w:w="947"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1</w:t>
            </w:r>
          </w:p>
        </w:tc>
        <w:tc>
          <w:tcPr>
            <w:tcW w:w="945" w:type="dxa"/>
          </w:tcPr>
          <w:p>
            <w:pPr>
              <w:ind w:firstLine="0" w:firstLineChars="0"/>
              <w:rPr>
                <w:rFonts w:ascii="宋体" w:hAnsi="宋体" w:cs="宋体"/>
                <w:color w:val="auto"/>
                <w:szCs w:val="21"/>
                <w:highlight w:val="none"/>
              </w:rPr>
            </w:pPr>
          </w:p>
        </w:tc>
        <w:tc>
          <w:tcPr>
            <w:tcW w:w="945" w:type="dxa"/>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3</w:t>
            </w:r>
          </w:p>
        </w:tc>
        <w:tc>
          <w:tcPr>
            <w:tcW w:w="2215"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综合安全接入网关</w:t>
            </w:r>
          </w:p>
        </w:tc>
        <w:tc>
          <w:tcPr>
            <w:tcW w:w="1890" w:type="dxa"/>
          </w:tcPr>
          <w:p>
            <w:pPr>
              <w:ind w:firstLine="0" w:firstLineChars="0"/>
              <w:rPr>
                <w:rFonts w:ascii="宋体" w:hAnsi="宋体" w:cs="宋体"/>
                <w:color w:val="auto"/>
                <w:szCs w:val="21"/>
                <w:highlight w:val="none"/>
              </w:rPr>
            </w:pPr>
          </w:p>
        </w:tc>
        <w:tc>
          <w:tcPr>
            <w:tcW w:w="786"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套</w:t>
            </w:r>
          </w:p>
        </w:tc>
        <w:tc>
          <w:tcPr>
            <w:tcW w:w="947"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1</w:t>
            </w:r>
          </w:p>
        </w:tc>
        <w:tc>
          <w:tcPr>
            <w:tcW w:w="945" w:type="dxa"/>
          </w:tcPr>
          <w:p>
            <w:pPr>
              <w:ind w:firstLine="0" w:firstLineChars="0"/>
              <w:rPr>
                <w:rFonts w:ascii="宋体" w:hAnsi="宋体" w:cs="宋体"/>
                <w:color w:val="auto"/>
                <w:szCs w:val="21"/>
                <w:highlight w:val="none"/>
              </w:rPr>
            </w:pPr>
          </w:p>
        </w:tc>
        <w:tc>
          <w:tcPr>
            <w:tcW w:w="945" w:type="dxa"/>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4</w:t>
            </w:r>
          </w:p>
        </w:tc>
        <w:tc>
          <w:tcPr>
            <w:tcW w:w="2215"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防DDoS</w:t>
            </w:r>
          </w:p>
        </w:tc>
        <w:tc>
          <w:tcPr>
            <w:tcW w:w="1890" w:type="dxa"/>
          </w:tcPr>
          <w:p>
            <w:pPr>
              <w:ind w:firstLine="0" w:firstLineChars="0"/>
              <w:rPr>
                <w:rFonts w:ascii="宋体" w:hAnsi="宋体" w:cs="宋体"/>
                <w:color w:val="auto"/>
                <w:szCs w:val="21"/>
                <w:highlight w:val="none"/>
              </w:rPr>
            </w:pPr>
          </w:p>
        </w:tc>
        <w:tc>
          <w:tcPr>
            <w:tcW w:w="786"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套</w:t>
            </w:r>
          </w:p>
        </w:tc>
        <w:tc>
          <w:tcPr>
            <w:tcW w:w="947"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1</w:t>
            </w:r>
          </w:p>
        </w:tc>
        <w:tc>
          <w:tcPr>
            <w:tcW w:w="945" w:type="dxa"/>
          </w:tcPr>
          <w:p>
            <w:pPr>
              <w:ind w:firstLine="0" w:firstLineChars="0"/>
              <w:rPr>
                <w:rFonts w:ascii="宋体" w:hAnsi="宋体" w:cs="宋体"/>
                <w:color w:val="auto"/>
                <w:szCs w:val="21"/>
                <w:highlight w:val="none"/>
              </w:rPr>
            </w:pPr>
          </w:p>
        </w:tc>
        <w:tc>
          <w:tcPr>
            <w:tcW w:w="945" w:type="dxa"/>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5</w:t>
            </w:r>
          </w:p>
        </w:tc>
        <w:tc>
          <w:tcPr>
            <w:tcW w:w="2215"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WAF</w:t>
            </w:r>
          </w:p>
        </w:tc>
        <w:tc>
          <w:tcPr>
            <w:tcW w:w="1890" w:type="dxa"/>
            <w:vAlign w:val="center"/>
          </w:tcPr>
          <w:p>
            <w:pPr>
              <w:ind w:firstLine="0" w:firstLineChars="0"/>
              <w:rPr>
                <w:rFonts w:ascii="宋体" w:hAnsi="宋体" w:cs="宋体"/>
                <w:color w:val="auto"/>
                <w:szCs w:val="21"/>
                <w:highlight w:val="none"/>
              </w:rPr>
            </w:pPr>
          </w:p>
        </w:tc>
        <w:tc>
          <w:tcPr>
            <w:tcW w:w="786"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套</w:t>
            </w:r>
          </w:p>
        </w:tc>
        <w:tc>
          <w:tcPr>
            <w:tcW w:w="947"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1</w:t>
            </w:r>
          </w:p>
        </w:tc>
        <w:tc>
          <w:tcPr>
            <w:tcW w:w="945" w:type="dxa"/>
          </w:tcPr>
          <w:p>
            <w:pPr>
              <w:ind w:firstLine="0" w:firstLineChars="0"/>
              <w:rPr>
                <w:rFonts w:ascii="宋体" w:hAnsi="宋体" w:cs="宋体"/>
                <w:color w:val="auto"/>
                <w:szCs w:val="21"/>
                <w:highlight w:val="none"/>
              </w:rPr>
            </w:pPr>
          </w:p>
        </w:tc>
        <w:tc>
          <w:tcPr>
            <w:tcW w:w="945" w:type="dxa"/>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6</w:t>
            </w:r>
          </w:p>
        </w:tc>
        <w:tc>
          <w:tcPr>
            <w:tcW w:w="2215"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VPN设备</w:t>
            </w:r>
          </w:p>
        </w:tc>
        <w:tc>
          <w:tcPr>
            <w:tcW w:w="1890" w:type="dxa"/>
            <w:vAlign w:val="center"/>
          </w:tcPr>
          <w:p>
            <w:pPr>
              <w:ind w:firstLine="0" w:firstLineChars="0"/>
              <w:rPr>
                <w:rFonts w:ascii="宋体" w:hAnsi="宋体" w:cs="宋体"/>
                <w:color w:val="auto"/>
                <w:szCs w:val="21"/>
                <w:highlight w:val="none"/>
              </w:rPr>
            </w:pPr>
          </w:p>
        </w:tc>
        <w:tc>
          <w:tcPr>
            <w:tcW w:w="786"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套</w:t>
            </w:r>
          </w:p>
        </w:tc>
        <w:tc>
          <w:tcPr>
            <w:tcW w:w="947"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1</w:t>
            </w:r>
          </w:p>
        </w:tc>
        <w:tc>
          <w:tcPr>
            <w:tcW w:w="945" w:type="dxa"/>
          </w:tcPr>
          <w:p>
            <w:pPr>
              <w:ind w:firstLine="0" w:firstLineChars="0"/>
              <w:rPr>
                <w:rFonts w:ascii="宋体" w:hAnsi="宋体" w:cs="宋体"/>
                <w:color w:val="auto"/>
                <w:szCs w:val="21"/>
                <w:highlight w:val="none"/>
              </w:rPr>
            </w:pPr>
          </w:p>
        </w:tc>
        <w:tc>
          <w:tcPr>
            <w:tcW w:w="945" w:type="dxa"/>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7</w:t>
            </w:r>
          </w:p>
        </w:tc>
        <w:tc>
          <w:tcPr>
            <w:tcW w:w="2215"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态势感知</w:t>
            </w:r>
          </w:p>
        </w:tc>
        <w:tc>
          <w:tcPr>
            <w:tcW w:w="1890" w:type="dxa"/>
            <w:vAlign w:val="center"/>
          </w:tcPr>
          <w:p>
            <w:pPr>
              <w:ind w:firstLine="0" w:firstLineChars="0"/>
              <w:rPr>
                <w:rFonts w:ascii="宋体" w:hAnsi="宋体" w:cs="宋体"/>
                <w:color w:val="auto"/>
                <w:szCs w:val="21"/>
                <w:highlight w:val="none"/>
              </w:rPr>
            </w:pPr>
          </w:p>
        </w:tc>
        <w:tc>
          <w:tcPr>
            <w:tcW w:w="786"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套</w:t>
            </w:r>
          </w:p>
        </w:tc>
        <w:tc>
          <w:tcPr>
            <w:tcW w:w="947"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1</w:t>
            </w:r>
          </w:p>
        </w:tc>
        <w:tc>
          <w:tcPr>
            <w:tcW w:w="945" w:type="dxa"/>
          </w:tcPr>
          <w:p>
            <w:pPr>
              <w:ind w:firstLine="0" w:firstLineChars="0"/>
              <w:rPr>
                <w:rFonts w:ascii="宋体" w:hAnsi="宋体" w:cs="宋体"/>
                <w:color w:val="auto"/>
                <w:szCs w:val="21"/>
                <w:highlight w:val="none"/>
              </w:rPr>
            </w:pPr>
          </w:p>
        </w:tc>
        <w:tc>
          <w:tcPr>
            <w:tcW w:w="945" w:type="dxa"/>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8</w:t>
            </w:r>
          </w:p>
        </w:tc>
        <w:tc>
          <w:tcPr>
            <w:tcW w:w="2215"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堡垒机</w:t>
            </w:r>
          </w:p>
        </w:tc>
        <w:tc>
          <w:tcPr>
            <w:tcW w:w="1890" w:type="dxa"/>
            <w:vAlign w:val="center"/>
          </w:tcPr>
          <w:p>
            <w:pPr>
              <w:ind w:firstLine="0" w:firstLineChars="0"/>
              <w:rPr>
                <w:rFonts w:ascii="宋体" w:hAnsi="宋体" w:cs="宋体"/>
                <w:color w:val="auto"/>
                <w:szCs w:val="21"/>
                <w:highlight w:val="none"/>
              </w:rPr>
            </w:pPr>
          </w:p>
        </w:tc>
        <w:tc>
          <w:tcPr>
            <w:tcW w:w="786"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套</w:t>
            </w:r>
          </w:p>
        </w:tc>
        <w:tc>
          <w:tcPr>
            <w:tcW w:w="947"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1</w:t>
            </w:r>
          </w:p>
        </w:tc>
        <w:tc>
          <w:tcPr>
            <w:tcW w:w="945" w:type="dxa"/>
          </w:tcPr>
          <w:p>
            <w:pPr>
              <w:ind w:firstLine="0" w:firstLineChars="0"/>
              <w:rPr>
                <w:rFonts w:ascii="宋体" w:hAnsi="宋体" w:cs="宋体"/>
                <w:color w:val="auto"/>
                <w:szCs w:val="21"/>
                <w:highlight w:val="none"/>
              </w:rPr>
            </w:pPr>
          </w:p>
        </w:tc>
        <w:tc>
          <w:tcPr>
            <w:tcW w:w="945" w:type="dxa"/>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9</w:t>
            </w:r>
          </w:p>
        </w:tc>
        <w:tc>
          <w:tcPr>
            <w:tcW w:w="2215"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日志审计</w:t>
            </w:r>
          </w:p>
        </w:tc>
        <w:tc>
          <w:tcPr>
            <w:tcW w:w="1890" w:type="dxa"/>
            <w:vAlign w:val="center"/>
          </w:tcPr>
          <w:p>
            <w:pPr>
              <w:ind w:firstLine="0" w:firstLineChars="0"/>
              <w:rPr>
                <w:rFonts w:ascii="宋体" w:hAnsi="宋体" w:cs="宋体"/>
                <w:color w:val="auto"/>
                <w:szCs w:val="21"/>
                <w:highlight w:val="none"/>
              </w:rPr>
            </w:pPr>
          </w:p>
        </w:tc>
        <w:tc>
          <w:tcPr>
            <w:tcW w:w="786"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套</w:t>
            </w:r>
          </w:p>
        </w:tc>
        <w:tc>
          <w:tcPr>
            <w:tcW w:w="947"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1</w:t>
            </w:r>
          </w:p>
        </w:tc>
        <w:tc>
          <w:tcPr>
            <w:tcW w:w="945" w:type="dxa"/>
          </w:tcPr>
          <w:p>
            <w:pPr>
              <w:ind w:firstLine="0" w:firstLineChars="0"/>
              <w:rPr>
                <w:rFonts w:ascii="宋体" w:hAnsi="宋体" w:cs="宋体"/>
                <w:color w:val="auto"/>
                <w:szCs w:val="21"/>
                <w:highlight w:val="none"/>
              </w:rPr>
            </w:pPr>
          </w:p>
        </w:tc>
        <w:tc>
          <w:tcPr>
            <w:tcW w:w="945" w:type="dxa"/>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10</w:t>
            </w:r>
          </w:p>
        </w:tc>
        <w:tc>
          <w:tcPr>
            <w:tcW w:w="2215"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漏洞扫描</w:t>
            </w:r>
          </w:p>
        </w:tc>
        <w:tc>
          <w:tcPr>
            <w:tcW w:w="1890" w:type="dxa"/>
            <w:vAlign w:val="center"/>
          </w:tcPr>
          <w:p>
            <w:pPr>
              <w:ind w:firstLine="0" w:firstLineChars="0"/>
              <w:rPr>
                <w:rFonts w:ascii="宋体" w:hAnsi="宋体" w:cs="宋体"/>
                <w:color w:val="auto"/>
                <w:szCs w:val="21"/>
                <w:highlight w:val="none"/>
              </w:rPr>
            </w:pPr>
          </w:p>
        </w:tc>
        <w:tc>
          <w:tcPr>
            <w:tcW w:w="786"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套</w:t>
            </w:r>
          </w:p>
        </w:tc>
        <w:tc>
          <w:tcPr>
            <w:tcW w:w="947"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1</w:t>
            </w:r>
          </w:p>
        </w:tc>
        <w:tc>
          <w:tcPr>
            <w:tcW w:w="945" w:type="dxa"/>
          </w:tcPr>
          <w:p>
            <w:pPr>
              <w:ind w:firstLine="0" w:firstLineChars="0"/>
              <w:rPr>
                <w:rFonts w:ascii="宋体" w:hAnsi="宋体" w:cs="宋体"/>
                <w:color w:val="auto"/>
                <w:szCs w:val="21"/>
                <w:highlight w:val="none"/>
              </w:rPr>
            </w:pPr>
          </w:p>
        </w:tc>
        <w:tc>
          <w:tcPr>
            <w:tcW w:w="945" w:type="dxa"/>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11</w:t>
            </w:r>
          </w:p>
        </w:tc>
        <w:tc>
          <w:tcPr>
            <w:tcW w:w="2215"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数据库审计</w:t>
            </w:r>
          </w:p>
        </w:tc>
        <w:tc>
          <w:tcPr>
            <w:tcW w:w="1890" w:type="dxa"/>
            <w:vAlign w:val="center"/>
          </w:tcPr>
          <w:p>
            <w:pPr>
              <w:ind w:firstLine="0" w:firstLineChars="0"/>
              <w:rPr>
                <w:rFonts w:ascii="宋体" w:hAnsi="宋体" w:cs="宋体"/>
                <w:color w:val="auto"/>
                <w:szCs w:val="21"/>
                <w:highlight w:val="none"/>
              </w:rPr>
            </w:pPr>
          </w:p>
        </w:tc>
        <w:tc>
          <w:tcPr>
            <w:tcW w:w="786"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套</w:t>
            </w:r>
          </w:p>
        </w:tc>
        <w:tc>
          <w:tcPr>
            <w:tcW w:w="947"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1</w:t>
            </w:r>
          </w:p>
        </w:tc>
        <w:tc>
          <w:tcPr>
            <w:tcW w:w="945" w:type="dxa"/>
          </w:tcPr>
          <w:p>
            <w:pPr>
              <w:ind w:firstLine="0" w:firstLineChars="0"/>
              <w:rPr>
                <w:rFonts w:ascii="宋体" w:hAnsi="宋体" w:cs="宋体"/>
                <w:color w:val="auto"/>
                <w:szCs w:val="21"/>
                <w:highlight w:val="none"/>
              </w:rPr>
            </w:pPr>
          </w:p>
        </w:tc>
        <w:tc>
          <w:tcPr>
            <w:tcW w:w="945" w:type="dxa"/>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12</w:t>
            </w:r>
          </w:p>
        </w:tc>
        <w:tc>
          <w:tcPr>
            <w:tcW w:w="2215"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防火墙</w:t>
            </w:r>
          </w:p>
        </w:tc>
        <w:tc>
          <w:tcPr>
            <w:tcW w:w="1890" w:type="dxa"/>
            <w:vAlign w:val="center"/>
          </w:tcPr>
          <w:p>
            <w:pPr>
              <w:ind w:firstLine="0" w:firstLineChars="0"/>
              <w:rPr>
                <w:rFonts w:ascii="宋体" w:hAnsi="宋体" w:cs="宋体"/>
                <w:color w:val="auto"/>
                <w:szCs w:val="21"/>
                <w:highlight w:val="none"/>
              </w:rPr>
            </w:pPr>
          </w:p>
        </w:tc>
        <w:tc>
          <w:tcPr>
            <w:tcW w:w="786" w:type="dxa"/>
            <w:noWrap/>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台</w:t>
            </w:r>
          </w:p>
        </w:tc>
        <w:tc>
          <w:tcPr>
            <w:tcW w:w="947" w:type="dxa"/>
            <w:noWrap/>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2</w:t>
            </w:r>
          </w:p>
        </w:tc>
        <w:tc>
          <w:tcPr>
            <w:tcW w:w="945" w:type="dxa"/>
          </w:tcPr>
          <w:p>
            <w:pPr>
              <w:ind w:firstLine="0" w:firstLineChars="0"/>
              <w:rPr>
                <w:rFonts w:ascii="宋体" w:hAnsi="宋体" w:cs="宋体"/>
                <w:color w:val="auto"/>
                <w:szCs w:val="21"/>
                <w:highlight w:val="none"/>
              </w:rPr>
            </w:pPr>
          </w:p>
        </w:tc>
        <w:tc>
          <w:tcPr>
            <w:tcW w:w="945" w:type="dxa"/>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13</w:t>
            </w:r>
          </w:p>
        </w:tc>
        <w:tc>
          <w:tcPr>
            <w:tcW w:w="2215"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入侵防御</w:t>
            </w:r>
          </w:p>
        </w:tc>
        <w:tc>
          <w:tcPr>
            <w:tcW w:w="1890" w:type="dxa"/>
            <w:vAlign w:val="center"/>
          </w:tcPr>
          <w:p>
            <w:pPr>
              <w:ind w:firstLine="0" w:firstLineChars="0"/>
              <w:rPr>
                <w:rFonts w:ascii="宋体" w:hAnsi="宋体" w:cs="宋体"/>
                <w:color w:val="auto"/>
                <w:szCs w:val="21"/>
                <w:highlight w:val="none"/>
              </w:rPr>
            </w:pPr>
          </w:p>
        </w:tc>
        <w:tc>
          <w:tcPr>
            <w:tcW w:w="786" w:type="dxa"/>
            <w:noWrap/>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台</w:t>
            </w:r>
          </w:p>
        </w:tc>
        <w:tc>
          <w:tcPr>
            <w:tcW w:w="947" w:type="dxa"/>
            <w:noWrap/>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2</w:t>
            </w:r>
          </w:p>
        </w:tc>
        <w:tc>
          <w:tcPr>
            <w:tcW w:w="945" w:type="dxa"/>
          </w:tcPr>
          <w:p>
            <w:pPr>
              <w:ind w:firstLine="0" w:firstLineChars="0"/>
              <w:rPr>
                <w:rFonts w:ascii="宋体" w:hAnsi="宋体" w:cs="宋体"/>
                <w:color w:val="auto"/>
                <w:szCs w:val="21"/>
                <w:highlight w:val="none"/>
              </w:rPr>
            </w:pPr>
          </w:p>
        </w:tc>
        <w:tc>
          <w:tcPr>
            <w:tcW w:w="945" w:type="dxa"/>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14</w:t>
            </w:r>
          </w:p>
        </w:tc>
        <w:tc>
          <w:tcPr>
            <w:tcW w:w="2215"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上网行为管理</w:t>
            </w:r>
          </w:p>
        </w:tc>
        <w:tc>
          <w:tcPr>
            <w:tcW w:w="1890" w:type="dxa"/>
            <w:vAlign w:val="center"/>
          </w:tcPr>
          <w:p>
            <w:pPr>
              <w:ind w:firstLine="0" w:firstLineChars="0"/>
              <w:rPr>
                <w:rFonts w:ascii="宋体" w:hAnsi="宋体" w:cs="宋体"/>
                <w:color w:val="auto"/>
                <w:szCs w:val="21"/>
                <w:highlight w:val="none"/>
              </w:rPr>
            </w:pPr>
          </w:p>
        </w:tc>
        <w:tc>
          <w:tcPr>
            <w:tcW w:w="786" w:type="dxa"/>
            <w:noWrap/>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台</w:t>
            </w:r>
          </w:p>
        </w:tc>
        <w:tc>
          <w:tcPr>
            <w:tcW w:w="947" w:type="dxa"/>
            <w:noWrap/>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1</w:t>
            </w:r>
          </w:p>
        </w:tc>
        <w:tc>
          <w:tcPr>
            <w:tcW w:w="945" w:type="dxa"/>
          </w:tcPr>
          <w:p>
            <w:pPr>
              <w:ind w:firstLine="0" w:firstLineChars="0"/>
              <w:rPr>
                <w:rFonts w:ascii="宋体" w:hAnsi="宋体" w:cs="宋体"/>
                <w:color w:val="auto"/>
                <w:szCs w:val="21"/>
                <w:highlight w:val="none"/>
              </w:rPr>
            </w:pPr>
          </w:p>
        </w:tc>
        <w:tc>
          <w:tcPr>
            <w:tcW w:w="945" w:type="dxa"/>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15</w:t>
            </w:r>
          </w:p>
        </w:tc>
        <w:tc>
          <w:tcPr>
            <w:tcW w:w="2215"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准入</w:t>
            </w:r>
          </w:p>
        </w:tc>
        <w:tc>
          <w:tcPr>
            <w:tcW w:w="1890" w:type="dxa"/>
            <w:vAlign w:val="center"/>
          </w:tcPr>
          <w:p>
            <w:pPr>
              <w:ind w:firstLine="0" w:firstLineChars="0"/>
              <w:rPr>
                <w:rFonts w:ascii="宋体" w:hAnsi="宋体" w:cs="宋体"/>
                <w:color w:val="auto"/>
                <w:szCs w:val="21"/>
                <w:highlight w:val="none"/>
              </w:rPr>
            </w:pPr>
          </w:p>
        </w:tc>
        <w:tc>
          <w:tcPr>
            <w:tcW w:w="786" w:type="dxa"/>
            <w:noWrap/>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台</w:t>
            </w:r>
          </w:p>
        </w:tc>
        <w:tc>
          <w:tcPr>
            <w:tcW w:w="947" w:type="dxa"/>
            <w:noWrap/>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1</w:t>
            </w:r>
          </w:p>
        </w:tc>
        <w:tc>
          <w:tcPr>
            <w:tcW w:w="945" w:type="dxa"/>
          </w:tcPr>
          <w:p>
            <w:pPr>
              <w:ind w:firstLine="0" w:firstLineChars="0"/>
              <w:rPr>
                <w:rFonts w:ascii="宋体" w:hAnsi="宋体" w:cs="宋体"/>
                <w:color w:val="auto"/>
                <w:szCs w:val="21"/>
                <w:highlight w:val="none"/>
              </w:rPr>
            </w:pPr>
          </w:p>
        </w:tc>
        <w:tc>
          <w:tcPr>
            <w:tcW w:w="945" w:type="dxa"/>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16</w:t>
            </w:r>
          </w:p>
        </w:tc>
        <w:tc>
          <w:tcPr>
            <w:tcW w:w="2215"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主机安全</w:t>
            </w:r>
          </w:p>
        </w:tc>
        <w:tc>
          <w:tcPr>
            <w:tcW w:w="1890" w:type="dxa"/>
            <w:vAlign w:val="center"/>
          </w:tcPr>
          <w:p>
            <w:pPr>
              <w:ind w:firstLine="0" w:firstLineChars="0"/>
              <w:rPr>
                <w:rFonts w:ascii="宋体" w:hAnsi="宋体" w:cs="宋体"/>
                <w:color w:val="auto"/>
                <w:szCs w:val="21"/>
                <w:highlight w:val="none"/>
              </w:rPr>
            </w:pPr>
          </w:p>
        </w:tc>
        <w:tc>
          <w:tcPr>
            <w:tcW w:w="786"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套</w:t>
            </w:r>
          </w:p>
        </w:tc>
        <w:tc>
          <w:tcPr>
            <w:tcW w:w="947"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1</w:t>
            </w:r>
          </w:p>
        </w:tc>
        <w:tc>
          <w:tcPr>
            <w:tcW w:w="945" w:type="dxa"/>
          </w:tcPr>
          <w:p>
            <w:pPr>
              <w:ind w:firstLine="0" w:firstLineChars="0"/>
              <w:rPr>
                <w:rFonts w:ascii="宋体" w:hAnsi="宋体" w:cs="宋体"/>
                <w:color w:val="auto"/>
                <w:szCs w:val="21"/>
                <w:highlight w:val="none"/>
              </w:rPr>
            </w:pPr>
          </w:p>
        </w:tc>
        <w:tc>
          <w:tcPr>
            <w:tcW w:w="945" w:type="dxa"/>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17</w:t>
            </w:r>
          </w:p>
        </w:tc>
        <w:tc>
          <w:tcPr>
            <w:tcW w:w="2215"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杀毒软件</w:t>
            </w:r>
          </w:p>
        </w:tc>
        <w:tc>
          <w:tcPr>
            <w:tcW w:w="1890" w:type="dxa"/>
            <w:vAlign w:val="center"/>
          </w:tcPr>
          <w:p>
            <w:pPr>
              <w:ind w:firstLine="0" w:firstLineChars="0"/>
              <w:rPr>
                <w:rFonts w:ascii="宋体" w:hAnsi="宋体" w:cs="宋体"/>
                <w:color w:val="auto"/>
                <w:szCs w:val="21"/>
                <w:highlight w:val="none"/>
              </w:rPr>
            </w:pPr>
          </w:p>
        </w:tc>
        <w:tc>
          <w:tcPr>
            <w:tcW w:w="786"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套</w:t>
            </w:r>
          </w:p>
        </w:tc>
        <w:tc>
          <w:tcPr>
            <w:tcW w:w="947"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15</w:t>
            </w:r>
          </w:p>
        </w:tc>
        <w:tc>
          <w:tcPr>
            <w:tcW w:w="945" w:type="dxa"/>
          </w:tcPr>
          <w:p>
            <w:pPr>
              <w:ind w:firstLine="0" w:firstLineChars="0"/>
              <w:rPr>
                <w:rFonts w:ascii="宋体" w:hAnsi="宋体" w:cs="宋体"/>
                <w:color w:val="auto"/>
                <w:szCs w:val="21"/>
                <w:highlight w:val="none"/>
              </w:rPr>
            </w:pPr>
          </w:p>
        </w:tc>
        <w:tc>
          <w:tcPr>
            <w:tcW w:w="945" w:type="dxa"/>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18</w:t>
            </w:r>
          </w:p>
        </w:tc>
        <w:tc>
          <w:tcPr>
            <w:tcW w:w="2215" w:type="dxa"/>
            <w:vAlign w:val="center"/>
          </w:tcPr>
          <w:p>
            <w:pPr>
              <w:ind w:firstLine="0" w:firstLineChars="0"/>
              <w:jc w:val="left"/>
              <w:rPr>
                <w:rFonts w:ascii="宋体" w:hAnsi="宋体" w:cs="宋体"/>
                <w:color w:val="auto"/>
                <w:szCs w:val="21"/>
                <w:highlight w:val="none"/>
              </w:rPr>
            </w:pPr>
            <w:r>
              <w:rPr>
                <w:rFonts w:hint="eastAsia" w:ascii="宋体" w:hAnsi="宋体" w:cs="宋体"/>
                <w:color w:val="auto"/>
                <w:szCs w:val="21"/>
                <w:highlight w:val="none"/>
              </w:rPr>
              <w:t>OPC服务器</w:t>
            </w:r>
          </w:p>
        </w:tc>
        <w:tc>
          <w:tcPr>
            <w:tcW w:w="1890" w:type="dxa"/>
            <w:vAlign w:val="center"/>
          </w:tcPr>
          <w:p>
            <w:pPr>
              <w:ind w:firstLine="0" w:firstLineChars="0"/>
              <w:rPr>
                <w:rFonts w:ascii="宋体" w:hAnsi="宋体" w:cs="宋体"/>
                <w:color w:val="auto"/>
                <w:szCs w:val="21"/>
                <w:highlight w:val="none"/>
              </w:rPr>
            </w:pPr>
          </w:p>
        </w:tc>
        <w:tc>
          <w:tcPr>
            <w:tcW w:w="786"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台</w:t>
            </w:r>
          </w:p>
        </w:tc>
        <w:tc>
          <w:tcPr>
            <w:tcW w:w="947"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5</w:t>
            </w:r>
          </w:p>
        </w:tc>
        <w:tc>
          <w:tcPr>
            <w:tcW w:w="945" w:type="dxa"/>
          </w:tcPr>
          <w:p>
            <w:pPr>
              <w:ind w:firstLine="0" w:firstLineChars="0"/>
              <w:jc w:val="center"/>
              <w:rPr>
                <w:rFonts w:ascii="宋体" w:hAnsi="宋体" w:cs="宋体"/>
                <w:color w:val="auto"/>
                <w:szCs w:val="21"/>
                <w:highlight w:val="none"/>
              </w:rPr>
            </w:pPr>
          </w:p>
        </w:tc>
        <w:tc>
          <w:tcPr>
            <w:tcW w:w="945" w:type="dxa"/>
          </w:tcPr>
          <w:p>
            <w:pPr>
              <w:ind w:firstLine="0" w:firstLineChars="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19</w:t>
            </w:r>
          </w:p>
        </w:tc>
        <w:tc>
          <w:tcPr>
            <w:tcW w:w="2215" w:type="dxa"/>
            <w:vAlign w:val="center"/>
          </w:tcPr>
          <w:p>
            <w:pPr>
              <w:ind w:firstLine="0" w:firstLineChars="0"/>
              <w:jc w:val="left"/>
              <w:rPr>
                <w:rFonts w:ascii="宋体" w:hAnsi="宋体" w:cs="宋体"/>
                <w:color w:val="auto"/>
                <w:szCs w:val="21"/>
                <w:highlight w:val="none"/>
              </w:rPr>
            </w:pPr>
            <w:r>
              <w:rPr>
                <w:rFonts w:hint="eastAsia" w:ascii="宋体" w:hAnsi="宋体" w:cs="宋体"/>
                <w:color w:val="auto"/>
                <w:szCs w:val="21"/>
                <w:highlight w:val="none"/>
              </w:rPr>
              <w:t>隔离网关</w:t>
            </w:r>
          </w:p>
        </w:tc>
        <w:tc>
          <w:tcPr>
            <w:tcW w:w="1890" w:type="dxa"/>
            <w:vAlign w:val="center"/>
          </w:tcPr>
          <w:p>
            <w:pPr>
              <w:ind w:firstLine="0" w:firstLineChars="0"/>
              <w:rPr>
                <w:rFonts w:ascii="宋体" w:hAnsi="宋体" w:cs="宋体"/>
                <w:color w:val="auto"/>
                <w:szCs w:val="21"/>
                <w:highlight w:val="none"/>
              </w:rPr>
            </w:pPr>
          </w:p>
        </w:tc>
        <w:tc>
          <w:tcPr>
            <w:tcW w:w="786"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台</w:t>
            </w:r>
          </w:p>
        </w:tc>
        <w:tc>
          <w:tcPr>
            <w:tcW w:w="947"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5</w:t>
            </w:r>
          </w:p>
        </w:tc>
        <w:tc>
          <w:tcPr>
            <w:tcW w:w="945" w:type="dxa"/>
          </w:tcPr>
          <w:p>
            <w:pPr>
              <w:ind w:firstLine="0" w:firstLineChars="0"/>
              <w:jc w:val="center"/>
              <w:rPr>
                <w:rFonts w:ascii="宋体" w:hAnsi="宋体" w:cs="宋体"/>
                <w:color w:val="auto"/>
                <w:szCs w:val="21"/>
                <w:highlight w:val="none"/>
              </w:rPr>
            </w:pPr>
          </w:p>
        </w:tc>
        <w:tc>
          <w:tcPr>
            <w:tcW w:w="945" w:type="dxa"/>
          </w:tcPr>
          <w:p>
            <w:pPr>
              <w:ind w:firstLine="0" w:firstLineChars="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20</w:t>
            </w:r>
          </w:p>
        </w:tc>
        <w:tc>
          <w:tcPr>
            <w:tcW w:w="2215"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PC机</w:t>
            </w:r>
          </w:p>
        </w:tc>
        <w:tc>
          <w:tcPr>
            <w:tcW w:w="1890" w:type="dxa"/>
            <w:vAlign w:val="center"/>
          </w:tcPr>
          <w:p>
            <w:pPr>
              <w:ind w:firstLine="0" w:firstLineChars="0"/>
              <w:rPr>
                <w:rFonts w:ascii="宋体" w:hAnsi="宋体" w:cs="宋体"/>
                <w:color w:val="auto"/>
                <w:szCs w:val="21"/>
                <w:highlight w:val="none"/>
              </w:rPr>
            </w:pPr>
          </w:p>
        </w:tc>
        <w:tc>
          <w:tcPr>
            <w:tcW w:w="786"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台</w:t>
            </w:r>
          </w:p>
        </w:tc>
        <w:tc>
          <w:tcPr>
            <w:tcW w:w="947"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2</w:t>
            </w:r>
          </w:p>
        </w:tc>
        <w:tc>
          <w:tcPr>
            <w:tcW w:w="945" w:type="dxa"/>
          </w:tcPr>
          <w:p>
            <w:pPr>
              <w:ind w:firstLine="0" w:firstLineChars="0"/>
              <w:rPr>
                <w:rFonts w:ascii="宋体" w:hAnsi="宋体" w:cs="宋体"/>
                <w:color w:val="auto"/>
                <w:szCs w:val="21"/>
                <w:highlight w:val="none"/>
              </w:rPr>
            </w:pPr>
          </w:p>
        </w:tc>
        <w:tc>
          <w:tcPr>
            <w:tcW w:w="945" w:type="dxa"/>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4877" w:type="dxa"/>
            <w:gridSpan w:val="3"/>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小计5</w:t>
            </w:r>
          </w:p>
        </w:tc>
        <w:tc>
          <w:tcPr>
            <w:tcW w:w="3623" w:type="dxa"/>
            <w:gridSpan w:val="4"/>
            <w:vAlign w:val="center"/>
          </w:tcPr>
          <w:p>
            <w:pPr>
              <w:ind w:firstLine="0" w:firstLineChars="0"/>
              <w:rPr>
                <w:rFonts w:ascii="宋体" w:hAnsi="宋体" w:cs="宋体"/>
                <w:color w:val="auto"/>
                <w:szCs w:val="21"/>
                <w:highlight w:val="none"/>
              </w:rPr>
            </w:pPr>
          </w:p>
        </w:tc>
      </w:tr>
    </w:tbl>
    <w:p>
      <w:pPr>
        <w:pStyle w:val="19"/>
        <w:spacing w:before="120" w:after="120" w:line="480" w:lineRule="auto"/>
        <w:ind w:firstLine="466"/>
        <w:jc w:val="center"/>
        <w:rPr>
          <w:rFonts w:hAnsi="宋体" w:eastAsia="宋体" w:cs="宋体"/>
          <w:b/>
          <w:bCs/>
          <w:color w:val="auto"/>
          <w:sz w:val="24"/>
          <w:highlight w:val="none"/>
        </w:rPr>
      </w:pPr>
    </w:p>
    <w:p>
      <w:pPr>
        <w:pStyle w:val="19"/>
        <w:spacing w:before="120" w:after="120" w:line="480" w:lineRule="auto"/>
        <w:ind w:firstLine="406"/>
        <w:jc w:val="center"/>
        <w:rPr>
          <w:rFonts w:hAnsi="宋体" w:eastAsia="宋体" w:cs="宋体"/>
          <w:b/>
          <w:bCs/>
          <w:color w:val="auto"/>
          <w:sz w:val="21"/>
          <w:szCs w:val="21"/>
          <w:highlight w:val="none"/>
        </w:rPr>
      </w:pPr>
    </w:p>
    <w:p>
      <w:pPr>
        <w:pStyle w:val="19"/>
        <w:spacing w:before="120" w:after="120" w:line="480" w:lineRule="auto"/>
        <w:ind w:firstLine="406"/>
        <w:jc w:val="center"/>
        <w:rPr>
          <w:rFonts w:hAnsi="宋体" w:eastAsia="宋体" w:cs="宋体"/>
          <w:b/>
          <w:bCs/>
          <w:color w:val="auto"/>
          <w:sz w:val="21"/>
          <w:szCs w:val="21"/>
          <w:highlight w:val="none"/>
        </w:rPr>
      </w:pPr>
      <w:r>
        <w:rPr>
          <w:rFonts w:hint="eastAsia" w:hAnsi="宋体" w:eastAsia="宋体" w:cs="宋体"/>
          <w:b/>
          <w:bCs/>
          <w:color w:val="auto"/>
          <w:sz w:val="21"/>
          <w:szCs w:val="21"/>
          <w:highlight w:val="none"/>
        </w:rPr>
        <w:br w:type="page"/>
      </w:r>
    </w:p>
    <w:p>
      <w:pPr>
        <w:pStyle w:val="19"/>
        <w:spacing w:before="120" w:after="120" w:line="480" w:lineRule="auto"/>
        <w:ind w:firstLine="406"/>
        <w:jc w:val="center"/>
        <w:rPr>
          <w:rFonts w:hAnsi="宋体" w:eastAsia="宋体" w:cs="宋体"/>
          <w:b/>
          <w:bCs/>
          <w:color w:val="auto"/>
          <w:sz w:val="24"/>
          <w:highlight w:val="none"/>
        </w:rPr>
      </w:pPr>
      <w:r>
        <w:rPr>
          <w:rFonts w:hint="eastAsia" w:hAnsi="宋体" w:eastAsia="宋体" w:cs="宋体"/>
          <w:b/>
          <w:bCs/>
          <w:color w:val="auto"/>
          <w:sz w:val="21"/>
          <w:szCs w:val="21"/>
          <w:highlight w:val="none"/>
        </w:rPr>
        <w:t>4-6机房硬件设备报价明细表</w:t>
      </w:r>
    </w:p>
    <w:tbl>
      <w:tblPr>
        <w:tblStyle w:val="37"/>
        <w:tblW w:w="8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1906"/>
        <w:gridCol w:w="2268"/>
        <w:gridCol w:w="850"/>
        <w:gridCol w:w="851"/>
        <w:gridCol w:w="851"/>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641"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906"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名称</w:t>
            </w:r>
          </w:p>
        </w:tc>
        <w:tc>
          <w:tcPr>
            <w:tcW w:w="2268"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投标品牌/规格型号</w:t>
            </w:r>
          </w:p>
        </w:tc>
        <w:tc>
          <w:tcPr>
            <w:tcW w:w="850"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单位</w:t>
            </w:r>
          </w:p>
        </w:tc>
        <w:tc>
          <w:tcPr>
            <w:tcW w:w="851"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数量</w:t>
            </w:r>
          </w:p>
        </w:tc>
        <w:tc>
          <w:tcPr>
            <w:tcW w:w="851"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单价（元）</w:t>
            </w:r>
          </w:p>
        </w:tc>
        <w:tc>
          <w:tcPr>
            <w:tcW w:w="851"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516" w:type="dxa"/>
            <w:gridSpan w:val="5"/>
            <w:vAlign w:val="center"/>
          </w:tcPr>
          <w:p>
            <w:pPr>
              <w:ind w:firstLine="0" w:firstLineChars="0"/>
              <w:jc w:val="left"/>
              <w:rPr>
                <w:rFonts w:ascii="宋体" w:hAnsi="宋体" w:cs="宋体"/>
                <w:color w:val="auto"/>
                <w:szCs w:val="21"/>
                <w:highlight w:val="none"/>
              </w:rPr>
            </w:pPr>
            <w:r>
              <w:rPr>
                <w:rFonts w:hint="eastAsia" w:ascii="宋体" w:hAnsi="宋体" w:cs="宋体"/>
                <w:color w:val="auto"/>
                <w:szCs w:val="21"/>
                <w:highlight w:val="none"/>
              </w:rPr>
              <w:t>（一）UPS系统</w:t>
            </w:r>
          </w:p>
        </w:tc>
        <w:tc>
          <w:tcPr>
            <w:tcW w:w="851" w:type="dxa"/>
          </w:tcPr>
          <w:p>
            <w:pPr>
              <w:ind w:firstLine="0" w:firstLineChars="0"/>
              <w:jc w:val="left"/>
              <w:rPr>
                <w:rFonts w:ascii="宋体" w:hAnsi="宋体" w:cs="宋体"/>
                <w:color w:val="auto"/>
                <w:szCs w:val="21"/>
                <w:highlight w:val="none"/>
              </w:rPr>
            </w:pPr>
            <w:r>
              <w:rPr>
                <w:rFonts w:hint="eastAsia" w:ascii="宋体" w:hAnsi="宋体" w:cs="宋体"/>
                <w:color w:val="auto"/>
                <w:szCs w:val="21"/>
                <w:highlight w:val="none"/>
              </w:rPr>
              <w:t>//</w:t>
            </w:r>
          </w:p>
        </w:tc>
        <w:tc>
          <w:tcPr>
            <w:tcW w:w="851" w:type="dxa"/>
          </w:tcPr>
          <w:p>
            <w:pPr>
              <w:ind w:firstLine="0" w:firstLineChars="0"/>
              <w:jc w:val="left"/>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64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c>
          <w:tcPr>
            <w:tcW w:w="190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物联网UPS主机</w:t>
            </w:r>
          </w:p>
        </w:tc>
        <w:tc>
          <w:tcPr>
            <w:tcW w:w="2268" w:type="dxa"/>
            <w:vAlign w:val="center"/>
          </w:tcPr>
          <w:p>
            <w:pPr>
              <w:ind w:firstLine="0" w:firstLineChars="0"/>
              <w:rPr>
                <w:rFonts w:ascii="宋体" w:hAnsi="宋体" w:cs="宋体"/>
                <w:color w:val="auto"/>
                <w:szCs w:val="21"/>
                <w:highlight w:val="none"/>
              </w:rPr>
            </w:pPr>
          </w:p>
        </w:tc>
        <w:tc>
          <w:tcPr>
            <w:tcW w:w="85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台</w:t>
            </w:r>
          </w:p>
        </w:tc>
        <w:tc>
          <w:tcPr>
            <w:tcW w:w="85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c>
          <w:tcPr>
            <w:tcW w:w="851" w:type="dxa"/>
          </w:tcPr>
          <w:p>
            <w:pPr>
              <w:ind w:firstLine="0" w:firstLineChars="0"/>
              <w:rPr>
                <w:rFonts w:ascii="宋体" w:hAnsi="宋体" w:cs="宋体"/>
                <w:color w:val="auto"/>
                <w:szCs w:val="21"/>
                <w:highlight w:val="none"/>
              </w:rPr>
            </w:pPr>
          </w:p>
        </w:tc>
        <w:tc>
          <w:tcPr>
            <w:tcW w:w="851" w:type="dxa"/>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2</w:t>
            </w:r>
          </w:p>
        </w:tc>
        <w:tc>
          <w:tcPr>
            <w:tcW w:w="190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功率模块</w:t>
            </w:r>
          </w:p>
        </w:tc>
        <w:tc>
          <w:tcPr>
            <w:tcW w:w="2268" w:type="dxa"/>
            <w:vAlign w:val="center"/>
          </w:tcPr>
          <w:p>
            <w:pPr>
              <w:ind w:firstLine="0" w:firstLineChars="0"/>
              <w:rPr>
                <w:rFonts w:ascii="宋体" w:hAnsi="宋体" w:cs="宋体"/>
                <w:color w:val="auto"/>
                <w:szCs w:val="21"/>
                <w:highlight w:val="none"/>
              </w:rPr>
            </w:pPr>
          </w:p>
        </w:tc>
        <w:tc>
          <w:tcPr>
            <w:tcW w:w="85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块</w:t>
            </w:r>
          </w:p>
        </w:tc>
        <w:tc>
          <w:tcPr>
            <w:tcW w:w="85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2</w:t>
            </w:r>
          </w:p>
        </w:tc>
        <w:tc>
          <w:tcPr>
            <w:tcW w:w="851" w:type="dxa"/>
          </w:tcPr>
          <w:p>
            <w:pPr>
              <w:ind w:firstLine="0" w:firstLineChars="0"/>
              <w:rPr>
                <w:rFonts w:ascii="宋体" w:hAnsi="宋体" w:cs="宋体"/>
                <w:color w:val="auto"/>
                <w:szCs w:val="21"/>
                <w:highlight w:val="none"/>
              </w:rPr>
            </w:pPr>
          </w:p>
        </w:tc>
        <w:tc>
          <w:tcPr>
            <w:tcW w:w="851" w:type="dxa"/>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3</w:t>
            </w:r>
          </w:p>
        </w:tc>
        <w:tc>
          <w:tcPr>
            <w:tcW w:w="190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铅酸蓄电池</w:t>
            </w:r>
          </w:p>
        </w:tc>
        <w:tc>
          <w:tcPr>
            <w:tcW w:w="2268" w:type="dxa"/>
            <w:vAlign w:val="center"/>
          </w:tcPr>
          <w:p>
            <w:pPr>
              <w:ind w:firstLine="0" w:firstLineChars="0"/>
              <w:rPr>
                <w:rFonts w:ascii="宋体" w:hAnsi="宋体" w:cs="宋体"/>
                <w:color w:val="auto"/>
                <w:szCs w:val="21"/>
                <w:highlight w:val="none"/>
              </w:rPr>
            </w:pPr>
          </w:p>
        </w:tc>
        <w:tc>
          <w:tcPr>
            <w:tcW w:w="85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节</w:t>
            </w:r>
          </w:p>
        </w:tc>
        <w:tc>
          <w:tcPr>
            <w:tcW w:w="85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64</w:t>
            </w:r>
          </w:p>
        </w:tc>
        <w:tc>
          <w:tcPr>
            <w:tcW w:w="851" w:type="dxa"/>
          </w:tcPr>
          <w:p>
            <w:pPr>
              <w:ind w:firstLine="0" w:firstLineChars="0"/>
              <w:rPr>
                <w:rFonts w:ascii="宋体" w:hAnsi="宋体" w:cs="宋体"/>
                <w:color w:val="auto"/>
                <w:szCs w:val="21"/>
                <w:highlight w:val="none"/>
              </w:rPr>
            </w:pPr>
          </w:p>
        </w:tc>
        <w:tc>
          <w:tcPr>
            <w:tcW w:w="851" w:type="dxa"/>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4</w:t>
            </w:r>
          </w:p>
        </w:tc>
        <w:tc>
          <w:tcPr>
            <w:tcW w:w="1906"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电池柜</w:t>
            </w:r>
          </w:p>
        </w:tc>
        <w:tc>
          <w:tcPr>
            <w:tcW w:w="2268" w:type="dxa"/>
            <w:shd w:val="clear" w:color="000000" w:fill="FFFFFF"/>
            <w:vAlign w:val="center"/>
          </w:tcPr>
          <w:p>
            <w:pPr>
              <w:ind w:firstLine="0" w:firstLineChars="0"/>
              <w:rPr>
                <w:rFonts w:ascii="宋体" w:hAnsi="宋体" w:cs="宋体"/>
                <w:color w:val="auto"/>
                <w:szCs w:val="21"/>
                <w:highlight w:val="none"/>
              </w:rPr>
            </w:pPr>
          </w:p>
        </w:tc>
        <w:tc>
          <w:tcPr>
            <w:tcW w:w="850"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个</w:t>
            </w:r>
          </w:p>
        </w:tc>
        <w:tc>
          <w:tcPr>
            <w:tcW w:w="851"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4</w:t>
            </w:r>
          </w:p>
        </w:tc>
        <w:tc>
          <w:tcPr>
            <w:tcW w:w="851" w:type="dxa"/>
            <w:shd w:val="clear" w:color="000000" w:fill="FFFFFF"/>
          </w:tcPr>
          <w:p>
            <w:pPr>
              <w:ind w:firstLine="0" w:firstLineChars="0"/>
              <w:rPr>
                <w:rFonts w:ascii="宋体" w:hAnsi="宋体" w:cs="宋体"/>
                <w:color w:val="auto"/>
                <w:szCs w:val="21"/>
                <w:highlight w:val="none"/>
              </w:rPr>
            </w:pPr>
          </w:p>
        </w:tc>
        <w:tc>
          <w:tcPr>
            <w:tcW w:w="851" w:type="dxa"/>
            <w:shd w:val="clear" w:color="000000" w:fill="FFFFFF"/>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5</w:t>
            </w:r>
          </w:p>
        </w:tc>
        <w:tc>
          <w:tcPr>
            <w:tcW w:w="1906"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电池空开箱</w:t>
            </w:r>
          </w:p>
        </w:tc>
        <w:tc>
          <w:tcPr>
            <w:tcW w:w="2268" w:type="dxa"/>
            <w:shd w:val="clear" w:color="000000" w:fill="FFFFFF"/>
            <w:vAlign w:val="center"/>
          </w:tcPr>
          <w:p>
            <w:pPr>
              <w:ind w:firstLine="0" w:firstLineChars="0"/>
              <w:rPr>
                <w:rFonts w:ascii="宋体" w:hAnsi="宋体" w:cs="宋体"/>
                <w:color w:val="auto"/>
                <w:szCs w:val="21"/>
                <w:highlight w:val="none"/>
              </w:rPr>
            </w:pPr>
          </w:p>
        </w:tc>
        <w:tc>
          <w:tcPr>
            <w:tcW w:w="850"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套</w:t>
            </w:r>
          </w:p>
        </w:tc>
        <w:tc>
          <w:tcPr>
            <w:tcW w:w="851"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c>
          <w:tcPr>
            <w:tcW w:w="851" w:type="dxa"/>
            <w:shd w:val="clear" w:color="000000" w:fill="FFFFFF"/>
          </w:tcPr>
          <w:p>
            <w:pPr>
              <w:ind w:firstLine="0" w:firstLineChars="0"/>
              <w:rPr>
                <w:rFonts w:ascii="宋体" w:hAnsi="宋体" w:cs="宋体"/>
                <w:color w:val="auto"/>
                <w:szCs w:val="21"/>
                <w:highlight w:val="none"/>
              </w:rPr>
            </w:pPr>
          </w:p>
        </w:tc>
        <w:tc>
          <w:tcPr>
            <w:tcW w:w="851" w:type="dxa"/>
            <w:shd w:val="clear" w:color="000000" w:fill="FFFFFF"/>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6</w:t>
            </w:r>
          </w:p>
        </w:tc>
        <w:tc>
          <w:tcPr>
            <w:tcW w:w="1906"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UPS配电箱</w:t>
            </w:r>
          </w:p>
        </w:tc>
        <w:tc>
          <w:tcPr>
            <w:tcW w:w="2268" w:type="dxa"/>
            <w:shd w:val="clear" w:color="000000" w:fill="FFFFFF"/>
            <w:vAlign w:val="center"/>
          </w:tcPr>
          <w:p>
            <w:pPr>
              <w:ind w:firstLine="0" w:firstLineChars="0"/>
              <w:rPr>
                <w:rFonts w:ascii="宋体" w:hAnsi="宋体" w:cs="宋体"/>
                <w:color w:val="auto"/>
                <w:szCs w:val="21"/>
                <w:highlight w:val="none"/>
              </w:rPr>
            </w:pPr>
          </w:p>
        </w:tc>
        <w:tc>
          <w:tcPr>
            <w:tcW w:w="850"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套</w:t>
            </w:r>
          </w:p>
        </w:tc>
        <w:tc>
          <w:tcPr>
            <w:tcW w:w="851"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c>
          <w:tcPr>
            <w:tcW w:w="851" w:type="dxa"/>
            <w:shd w:val="clear" w:color="000000" w:fill="FFFFFF"/>
          </w:tcPr>
          <w:p>
            <w:pPr>
              <w:ind w:firstLine="0" w:firstLineChars="0"/>
              <w:rPr>
                <w:rFonts w:ascii="宋体" w:hAnsi="宋体" w:cs="宋体"/>
                <w:color w:val="auto"/>
                <w:szCs w:val="21"/>
                <w:highlight w:val="none"/>
              </w:rPr>
            </w:pPr>
          </w:p>
        </w:tc>
        <w:tc>
          <w:tcPr>
            <w:tcW w:w="851" w:type="dxa"/>
            <w:shd w:val="clear" w:color="000000" w:fill="FFFFFF"/>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7</w:t>
            </w:r>
          </w:p>
        </w:tc>
        <w:tc>
          <w:tcPr>
            <w:tcW w:w="1906"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辅材</w:t>
            </w:r>
          </w:p>
        </w:tc>
        <w:tc>
          <w:tcPr>
            <w:tcW w:w="2268" w:type="dxa"/>
            <w:shd w:val="clear" w:color="000000" w:fill="FFFFFF"/>
            <w:vAlign w:val="center"/>
          </w:tcPr>
          <w:p>
            <w:pPr>
              <w:ind w:firstLine="0" w:firstLineChars="0"/>
              <w:rPr>
                <w:rFonts w:ascii="宋体" w:hAnsi="宋体" w:cs="宋体"/>
                <w:color w:val="auto"/>
                <w:szCs w:val="21"/>
                <w:highlight w:val="none"/>
              </w:rPr>
            </w:pPr>
          </w:p>
        </w:tc>
        <w:tc>
          <w:tcPr>
            <w:tcW w:w="850"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项</w:t>
            </w:r>
          </w:p>
        </w:tc>
        <w:tc>
          <w:tcPr>
            <w:tcW w:w="851"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c>
          <w:tcPr>
            <w:tcW w:w="851" w:type="dxa"/>
            <w:shd w:val="clear" w:color="000000" w:fill="FFFFFF"/>
          </w:tcPr>
          <w:p>
            <w:pPr>
              <w:ind w:firstLine="0" w:firstLineChars="0"/>
              <w:rPr>
                <w:rFonts w:ascii="宋体" w:hAnsi="宋体" w:cs="宋体"/>
                <w:color w:val="auto"/>
                <w:szCs w:val="21"/>
                <w:highlight w:val="none"/>
              </w:rPr>
            </w:pPr>
          </w:p>
        </w:tc>
        <w:tc>
          <w:tcPr>
            <w:tcW w:w="851" w:type="dxa"/>
            <w:shd w:val="clear" w:color="000000" w:fill="FFFFFF"/>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516" w:type="dxa"/>
            <w:gridSpan w:val="5"/>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（二）机房改造</w:t>
            </w:r>
          </w:p>
        </w:tc>
        <w:tc>
          <w:tcPr>
            <w:tcW w:w="851" w:type="dxa"/>
            <w:shd w:val="clear" w:color="000000" w:fill="FFFFFF"/>
          </w:tcPr>
          <w:p>
            <w:pPr>
              <w:ind w:firstLine="0" w:firstLineChars="0"/>
              <w:rPr>
                <w:rFonts w:ascii="宋体" w:hAnsi="宋体" w:cs="宋体"/>
                <w:color w:val="auto"/>
                <w:szCs w:val="21"/>
                <w:highlight w:val="none"/>
              </w:rPr>
            </w:pPr>
            <w:r>
              <w:rPr>
                <w:rFonts w:hint="eastAsia" w:ascii="宋体" w:hAnsi="宋体" w:cs="宋体"/>
                <w:color w:val="auto"/>
                <w:szCs w:val="21"/>
                <w:highlight w:val="none"/>
              </w:rPr>
              <w:t>/</w:t>
            </w:r>
          </w:p>
        </w:tc>
        <w:tc>
          <w:tcPr>
            <w:tcW w:w="851" w:type="dxa"/>
            <w:shd w:val="clear" w:color="000000" w:fill="FFFFFF"/>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8</w:t>
            </w:r>
          </w:p>
        </w:tc>
        <w:tc>
          <w:tcPr>
            <w:tcW w:w="1906"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机房监测</w:t>
            </w:r>
          </w:p>
        </w:tc>
        <w:tc>
          <w:tcPr>
            <w:tcW w:w="2268" w:type="dxa"/>
            <w:shd w:val="clear" w:color="000000" w:fill="FFFFFF"/>
            <w:vAlign w:val="center"/>
          </w:tcPr>
          <w:p>
            <w:pPr>
              <w:ind w:firstLine="0" w:firstLineChars="0"/>
              <w:rPr>
                <w:rFonts w:ascii="宋体" w:hAnsi="宋体" w:cs="宋体"/>
                <w:color w:val="auto"/>
                <w:szCs w:val="21"/>
                <w:highlight w:val="none"/>
              </w:rPr>
            </w:pPr>
          </w:p>
        </w:tc>
        <w:tc>
          <w:tcPr>
            <w:tcW w:w="850"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套</w:t>
            </w:r>
          </w:p>
        </w:tc>
        <w:tc>
          <w:tcPr>
            <w:tcW w:w="851"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c>
          <w:tcPr>
            <w:tcW w:w="851" w:type="dxa"/>
            <w:shd w:val="clear" w:color="000000" w:fill="FFFFFF"/>
          </w:tcPr>
          <w:p>
            <w:pPr>
              <w:ind w:firstLine="0" w:firstLineChars="0"/>
              <w:rPr>
                <w:rFonts w:ascii="宋体" w:hAnsi="宋体" w:cs="宋体"/>
                <w:color w:val="auto"/>
                <w:szCs w:val="21"/>
                <w:highlight w:val="none"/>
              </w:rPr>
            </w:pPr>
          </w:p>
        </w:tc>
        <w:tc>
          <w:tcPr>
            <w:tcW w:w="851" w:type="dxa"/>
            <w:shd w:val="clear" w:color="000000" w:fill="FFFFFF"/>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9</w:t>
            </w:r>
          </w:p>
        </w:tc>
        <w:tc>
          <w:tcPr>
            <w:tcW w:w="1906"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电视机</w:t>
            </w:r>
          </w:p>
        </w:tc>
        <w:tc>
          <w:tcPr>
            <w:tcW w:w="2268" w:type="dxa"/>
            <w:shd w:val="clear" w:color="000000" w:fill="FFFFFF"/>
            <w:vAlign w:val="center"/>
          </w:tcPr>
          <w:p>
            <w:pPr>
              <w:ind w:firstLine="0" w:firstLineChars="0"/>
              <w:rPr>
                <w:rFonts w:ascii="宋体" w:hAnsi="宋体" w:cs="宋体"/>
                <w:color w:val="auto"/>
                <w:szCs w:val="21"/>
                <w:highlight w:val="none"/>
              </w:rPr>
            </w:pPr>
          </w:p>
        </w:tc>
        <w:tc>
          <w:tcPr>
            <w:tcW w:w="850"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台</w:t>
            </w:r>
          </w:p>
        </w:tc>
        <w:tc>
          <w:tcPr>
            <w:tcW w:w="851"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c>
          <w:tcPr>
            <w:tcW w:w="851" w:type="dxa"/>
            <w:shd w:val="clear" w:color="000000" w:fill="FFFFFF"/>
          </w:tcPr>
          <w:p>
            <w:pPr>
              <w:ind w:firstLine="0" w:firstLineChars="0"/>
              <w:rPr>
                <w:rFonts w:ascii="宋体" w:hAnsi="宋体" w:cs="宋体"/>
                <w:color w:val="auto"/>
                <w:szCs w:val="21"/>
                <w:highlight w:val="none"/>
              </w:rPr>
            </w:pPr>
          </w:p>
        </w:tc>
        <w:tc>
          <w:tcPr>
            <w:tcW w:w="851" w:type="dxa"/>
            <w:shd w:val="clear" w:color="000000" w:fill="FFFFFF"/>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10</w:t>
            </w:r>
          </w:p>
        </w:tc>
        <w:tc>
          <w:tcPr>
            <w:tcW w:w="1906"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线缆</w:t>
            </w:r>
          </w:p>
        </w:tc>
        <w:tc>
          <w:tcPr>
            <w:tcW w:w="2268" w:type="dxa"/>
            <w:shd w:val="clear" w:color="000000" w:fill="FFFFFF"/>
            <w:vAlign w:val="center"/>
          </w:tcPr>
          <w:p>
            <w:pPr>
              <w:ind w:firstLine="0" w:firstLineChars="0"/>
              <w:rPr>
                <w:rFonts w:ascii="宋体" w:hAnsi="宋体" w:cs="宋体"/>
                <w:color w:val="auto"/>
                <w:szCs w:val="21"/>
                <w:highlight w:val="none"/>
              </w:rPr>
            </w:pPr>
          </w:p>
        </w:tc>
        <w:tc>
          <w:tcPr>
            <w:tcW w:w="850"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根</w:t>
            </w:r>
          </w:p>
        </w:tc>
        <w:tc>
          <w:tcPr>
            <w:tcW w:w="851" w:type="dxa"/>
            <w:shd w:val="clear" w:color="000000" w:fill="FFFFFF"/>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c>
          <w:tcPr>
            <w:tcW w:w="851" w:type="dxa"/>
            <w:shd w:val="clear" w:color="000000" w:fill="FFFFFF"/>
          </w:tcPr>
          <w:p>
            <w:pPr>
              <w:ind w:firstLine="0" w:firstLineChars="0"/>
              <w:rPr>
                <w:rFonts w:ascii="宋体" w:hAnsi="宋体" w:cs="宋体"/>
                <w:color w:val="auto"/>
                <w:szCs w:val="21"/>
                <w:highlight w:val="none"/>
              </w:rPr>
            </w:pPr>
          </w:p>
        </w:tc>
        <w:tc>
          <w:tcPr>
            <w:tcW w:w="851" w:type="dxa"/>
            <w:shd w:val="clear" w:color="000000" w:fill="FFFFFF"/>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11</w:t>
            </w:r>
          </w:p>
        </w:tc>
        <w:tc>
          <w:tcPr>
            <w:tcW w:w="190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设备拆除</w:t>
            </w:r>
          </w:p>
        </w:tc>
        <w:tc>
          <w:tcPr>
            <w:tcW w:w="2268" w:type="dxa"/>
            <w:vAlign w:val="center"/>
          </w:tcPr>
          <w:p>
            <w:pPr>
              <w:ind w:firstLine="0" w:firstLineChars="0"/>
              <w:rPr>
                <w:rFonts w:ascii="宋体" w:hAnsi="宋体" w:cs="宋体"/>
                <w:color w:val="auto"/>
                <w:szCs w:val="21"/>
                <w:highlight w:val="none"/>
              </w:rPr>
            </w:pPr>
          </w:p>
        </w:tc>
        <w:tc>
          <w:tcPr>
            <w:tcW w:w="85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项</w:t>
            </w:r>
          </w:p>
        </w:tc>
        <w:tc>
          <w:tcPr>
            <w:tcW w:w="85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5</w:t>
            </w:r>
          </w:p>
        </w:tc>
        <w:tc>
          <w:tcPr>
            <w:tcW w:w="851" w:type="dxa"/>
          </w:tcPr>
          <w:p>
            <w:pPr>
              <w:ind w:firstLine="0" w:firstLineChars="0"/>
              <w:rPr>
                <w:rFonts w:ascii="宋体" w:hAnsi="宋体" w:cs="宋体"/>
                <w:color w:val="auto"/>
                <w:szCs w:val="21"/>
                <w:highlight w:val="none"/>
              </w:rPr>
            </w:pPr>
          </w:p>
        </w:tc>
        <w:tc>
          <w:tcPr>
            <w:tcW w:w="851" w:type="dxa"/>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12</w:t>
            </w:r>
          </w:p>
        </w:tc>
        <w:tc>
          <w:tcPr>
            <w:tcW w:w="190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机柜拆卸</w:t>
            </w:r>
          </w:p>
        </w:tc>
        <w:tc>
          <w:tcPr>
            <w:tcW w:w="2268" w:type="dxa"/>
            <w:vAlign w:val="center"/>
          </w:tcPr>
          <w:p>
            <w:pPr>
              <w:ind w:firstLine="0" w:firstLineChars="0"/>
              <w:rPr>
                <w:rFonts w:ascii="宋体" w:hAnsi="宋体" w:cs="宋体"/>
                <w:color w:val="auto"/>
                <w:szCs w:val="21"/>
                <w:highlight w:val="none"/>
              </w:rPr>
            </w:pPr>
          </w:p>
        </w:tc>
        <w:tc>
          <w:tcPr>
            <w:tcW w:w="85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项</w:t>
            </w:r>
          </w:p>
        </w:tc>
        <w:tc>
          <w:tcPr>
            <w:tcW w:w="85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c>
          <w:tcPr>
            <w:tcW w:w="851" w:type="dxa"/>
          </w:tcPr>
          <w:p>
            <w:pPr>
              <w:ind w:firstLine="0" w:firstLineChars="0"/>
              <w:rPr>
                <w:rFonts w:ascii="宋体" w:hAnsi="宋体" w:cs="宋体"/>
                <w:color w:val="auto"/>
                <w:szCs w:val="21"/>
                <w:highlight w:val="none"/>
              </w:rPr>
            </w:pPr>
          </w:p>
        </w:tc>
        <w:tc>
          <w:tcPr>
            <w:tcW w:w="851" w:type="dxa"/>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13</w:t>
            </w:r>
          </w:p>
        </w:tc>
        <w:tc>
          <w:tcPr>
            <w:tcW w:w="190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静电地板整改</w:t>
            </w:r>
          </w:p>
        </w:tc>
        <w:tc>
          <w:tcPr>
            <w:tcW w:w="2268" w:type="dxa"/>
            <w:vAlign w:val="center"/>
          </w:tcPr>
          <w:p>
            <w:pPr>
              <w:ind w:firstLine="0" w:firstLineChars="0"/>
              <w:rPr>
                <w:rFonts w:ascii="宋体" w:hAnsi="宋体" w:cs="宋体"/>
                <w:color w:val="auto"/>
                <w:szCs w:val="21"/>
                <w:highlight w:val="none"/>
              </w:rPr>
            </w:pPr>
          </w:p>
        </w:tc>
        <w:tc>
          <w:tcPr>
            <w:tcW w:w="85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批</w:t>
            </w:r>
          </w:p>
        </w:tc>
        <w:tc>
          <w:tcPr>
            <w:tcW w:w="85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c>
          <w:tcPr>
            <w:tcW w:w="851" w:type="dxa"/>
          </w:tcPr>
          <w:p>
            <w:pPr>
              <w:ind w:firstLine="0" w:firstLineChars="0"/>
              <w:rPr>
                <w:rFonts w:ascii="宋体" w:hAnsi="宋体" w:cs="宋体"/>
                <w:color w:val="auto"/>
                <w:szCs w:val="21"/>
                <w:highlight w:val="none"/>
              </w:rPr>
            </w:pPr>
          </w:p>
        </w:tc>
        <w:tc>
          <w:tcPr>
            <w:tcW w:w="851" w:type="dxa"/>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14</w:t>
            </w:r>
          </w:p>
        </w:tc>
        <w:tc>
          <w:tcPr>
            <w:tcW w:w="190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机柜底座</w:t>
            </w:r>
          </w:p>
        </w:tc>
        <w:tc>
          <w:tcPr>
            <w:tcW w:w="2268" w:type="dxa"/>
            <w:vAlign w:val="center"/>
          </w:tcPr>
          <w:p>
            <w:pPr>
              <w:ind w:firstLine="0" w:firstLineChars="0"/>
              <w:rPr>
                <w:rFonts w:ascii="宋体" w:hAnsi="宋体" w:cs="宋体"/>
                <w:color w:val="auto"/>
                <w:szCs w:val="21"/>
                <w:highlight w:val="none"/>
              </w:rPr>
            </w:pPr>
          </w:p>
        </w:tc>
        <w:tc>
          <w:tcPr>
            <w:tcW w:w="85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个</w:t>
            </w:r>
          </w:p>
        </w:tc>
        <w:tc>
          <w:tcPr>
            <w:tcW w:w="85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7</w:t>
            </w:r>
          </w:p>
        </w:tc>
        <w:tc>
          <w:tcPr>
            <w:tcW w:w="851" w:type="dxa"/>
          </w:tcPr>
          <w:p>
            <w:pPr>
              <w:ind w:firstLine="0" w:firstLineChars="0"/>
              <w:rPr>
                <w:rFonts w:ascii="宋体" w:hAnsi="宋体" w:cs="宋体"/>
                <w:color w:val="auto"/>
                <w:szCs w:val="21"/>
                <w:highlight w:val="none"/>
              </w:rPr>
            </w:pPr>
          </w:p>
        </w:tc>
        <w:tc>
          <w:tcPr>
            <w:tcW w:w="851" w:type="dxa"/>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15</w:t>
            </w:r>
          </w:p>
        </w:tc>
        <w:tc>
          <w:tcPr>
            <w:tcW w:w="190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设备位置规划及上架</w:t>
            </w:r>
          </w:p>
        </w:tc>
        <w:tc>
          <w:tcPr>
            <w:tcW w:w="2268" w:type="dxa"/>
            <w:vAlign w:val="center"/>
          </w:tcPr>
          <w:p>
            <w:pPr>
              <w:ind w:firstLine="0" w:firstLineChars="0"/>
              <w:rPr>
                <w:rFonts w:ascii="宋体" w:hAnsi="宋体" w:cs="宋体"/>
                <w:color w:val="auto"/>
                <w:szCs w:val="21"/>
                <w:highlight w:val="none"/>
              </w:rPr>
            </w:pPr>
          </w:p>
        </w:tc>
        <w:tc>
          <w:tcPr>
            <w:tcW w:w="85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批</w:t>
            </w:r>
          </w:p>
        </w:tc>
        <w:tc>
          <w:tcPr>
            <w:tcW w:w="85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c>
          <w:tcPr>
            <w:tcW w:w="851" w:type="dxa"/>
          </w:tcPr>
          <w:p>
            <w:pPr>
              <w:ind w:firstLine="0" w:firstLineChars="0"/>
              <w:rPr>
                <w:rFonts w:ascii="宋体" w:hAnsi="宋体" w:cs="宋体"/>
                <w:color w:val="auto"/>
                <w:szCs w:val="21"/>
                <w:highlight w:val="none"/>
              </w:rPr>
            </w:pPr>
          </w:p>
        </w:tc>
        <w:tc>
          <w:tcPr>
            <w:tcW w:w="851" w:type="dxa"/>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16</w:t>
            </w:r>
          </w:p>
        </w:tc>
        <w:tc>
          <w:tcPr>
            <w:tcW w:w="190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线缆整理</w:t>
            </w:r>
          </w:p>
        </w:tc>
        <w:tc>
          <w:tcPr>
            <w:tcW w:w="2268" w:type="dxa"/>
            <w:vAlign w:val="center"/>
          </w:tcPr>
          <w:p>
            <w:pPr>
              <w:ind w:firstLine="0" w:firstLineChars="0"/>
              <w:rPr>
                <w:rFonts w:ascii="宋体" w:hAnsi="宋体" w:cs="宋体"/>
                <w:color w:val="auto"/>
                <w:szCs w:val="21"/>
                <w:highlight w:val="none"/>
              </w:rPr>
            </w:pPr>
          </w:p>
        </w:tc>
        <w:tc>
          <w:tcPr>
            <w:tcW w:w="85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批</w:t>
            </w:r>
          </w:p>
        </w:tc>
        <w:tc>
          <w:tcPr>
            <w:tcW w:w="85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c>
          <w:tcPr>
            <w:tcW w:w="851" w:type="dxa"/>
          </w:tcPr>
          <w:p>
            <w:pPr>
              <w:ind w:firstLine="0" w:firstLineChars="0"/>
              <w:rPr>
                <w:rFonts w:ascii="宋体" w:hAnsi="宋体" w:cs="宋体"/>
                <w:color w:val="auto"/>
                <w:szCs w:val="21"/>
                <w:highlight w:val="none"/>
              </w:rPr>
            </w:pPr>
          </w:p>
        </w:tc>
        <w:tc>
          <w:tcPr>
            <w:tcW w:w="851" w:type="dxa"/>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17</w:t>
            </w:r>
          </w:p>
        </w:tc>
        <w:tc>
          <w:tcPr>
            <w:tcW w:w="190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理线架</w:t>
            </w:r>
          </w:p>
        </w:tc>
        <w:tc>
          <w:tcPr>
            <w:tcW w:w="2268" w:type="dxa"/>
            <w:vAlign w:val="center"/>
          </w:tcPr>
          <w:p>
            <w:pPr>
              <w:ind w:firstLine="0" w:firstLineChars="0"/>
              <w:rPr>
                <w:rFonts w:ascii="宋体" w:hAnsi="宋体" w:cs="宋体"/>
                <w:color w:val="auto"/>
                <w:szCs w:val="21"/>
                <w:highlight w:val="none"/>
              </w:rPr>
            </w:pPr>
          </w:p>
        </w:tc>
        <w:tc>
          <w:tcPr>
            <w:tcW w:w="85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个</w:t>
            </w:r>
          </w:p>
        </w:tc>
        <w:tc>
          <w:tcPr>
            <w:tcW w:w="85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56</w:t>
            </w:r>
          </w:p>
        </w:tc>
        <w:tc>
          <w:tcPr>
            <w:tcW w:w="851" w:type="dxa"/>
          </w:tcPr>
          <w:p>
            <w:pPr>
              <w:ind w:firstLine="0" w:firstLineChars="0"/>
              <w:rPr>
                <w:rFonts w:ascii="宋体" w:hAnsi="宋体" w:cs="宋体"/>
                <w:color w:val="auto"/>
                <w:szCs w:val="21"/>
                <w:highlight w:val="none"/>
              </w:rPr>
            </w:pPr>
          </w:p>
        </w:tc>
        <w:tc>
          <w:tcPr>
            <w:tcW w:w="851" w:type="dxa"/>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18</w:t>
            </w:r>
          </w:p>
        </w:tc>
        <w:tc>
          <w:tcPr>
            <w:tcW w:w="190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辅材</w:t>
            </w:r>
          </w:p>
        </w:tc>
        <w:tc>
          <w:tcPr>
            <w:tcW w:w="2268" w:type="dxa"/>
            <w:vAlign w:val="center"/>
          </w:tcPr>
          <w:p>
            <w:pPr>
              <w:ind w:firstLine="0" w:firstLineChars="0"/>
              <w:rPr>
                <w:rFonts w:ascii="宋体" w:hAnsi="宋体" w:cs="宋体"/>
                <w:color w:val="auto"/>
                <w:szCs w:val="21"/>
                <w:highlight w:val="none"/>
              </w:rPr>
            </w:pPr>
          </w:p>
        </w:tc>
        <w:tc>
          <w:tcPr>
            <w:tcW w:w="85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批</w:t>
            </w:r>
          </w:p>
        </w:tc>
        <w:tc>
          <w:tcPr>
            <w:tcW w:w="85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c>
          <w:tcPr>
            <w:tcW w:w="851" w:type="dxa"/>
          </w:tcPr>
          <w:p>
            <w:pPr>
              <w:ind w:firstLine="0" w:firstLineChars="0"/>
              <w:rPr>
                <w:rFonts w:ascii="宋体" w:hAnsi="宋体" w:cs="宋体"/>
                <w:color w:val="auto"/>
                <w:szCs w:val="21"/>
                <w:highlight w:val="none"/>
              </w:rPr>
            </w:pPr>
          </w:p>
        </w:tc>
        <w:tc>
          <w:tcPr>
            <w:tcW w:w="851" w:type="dxa"/>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516" w:type="dxa"/>
            <w:gridSpan w:val="5"/>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（三）消防系统改造</w:t>
            </w:r>
          </w:p>
        </w:tc>
        <w:tc>
          <w:tcPr>
            <w:tcW w:w="851" w:type="dxa"/>
          </w:tcPr>
          <w:p>
            <w:pPr>
              <w:ind w:firstLine="0" w:firstLineChars="0"/>
              <w:rPr>
                <w:rFonts w:ascii="宋体" w:hAnsi="宋体" w:cs="宋体"/>
                <w:color w:val="auto"/>
                <w:szCs w:val="21"/>
                <w:highlight w:val="none"/>
              </w:rPr>
            </w:pPr>
            <w:r>
              <w:rPr>
                <w:rFonts w:hint="eastAsia" w:ascii="宋体" w:hAnsi="宋体" w:cs="宋体"/>
                <w:color w:val="auto"/>
                <w:szCs w:val="21"/>
                <w:highlight w:val="none"/>
              </w:rPr>
              <w:t>/</w:t>
            </w:r>
          </w:p>
        </w:tc>
        <w:tc>
          <w:tcPr>
            <w:tcW w:w="851" w:type="dxa"/>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19</w:t>
            </w:r>
          </w:p>
        </w:tc>
        <w:tc>
          <w:tcPr>
            <w:tcW w:w="190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七氟丙烷柜式装置</w:t>
            </w:r>
          </w:p>
        </w:tc>
        <w:tc>
          <w:tcPr>
            <w:tcW w:w="2268" w:type="dxa"/>
            <w:noWrap/>
            <w:vAlign w:val="center"/>
          </w:tcPr>
          <w:p>
            <w:pPr>
              <w:ind w:firstLine="0" w:firstLineChars="0"/>
              <w:rPr>
                <w:rFonts w:ascii="宋体" w:hAnsi="宋体" w:cs="宋体"/>
                <w:color w:val="auto"/>
                <w:szCs w:val="21"/>
                <w:highlight w:val="none"/>
              </w:rPr>
            </w:pPr>
          </w:p>
        </w:tc>
        <w:tc>
          <w:tcPr>
            <w:tcW w:w="850" w:type="dxa"/>
            <w:noWrap/>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套</w:t>
            </w:r>
          </w:p>
        </w:tc>
        <w:tc>
          <w:tcPr>
            <w:tcW w:w="851" w:type="dxa"/>
            <w:noWrap/>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3</w:t>
            </w:r>
          </w:p>
        </w:tc>
        <w:tc>
          <w:tcPr>
            <w:tcW w:w="851" w:type="dxa"/>
          </w:tcPr>
          <w:p>
            <w:pPr>
              <w:ind w:firstLine="0" w:firstLineChars="0"/>
              <w:rPr>
                <w:rFonts w:ascii="宋体" w:hAnsi="宋体" w:cs="宋体"/>
                <w:color w:val="auto"/>
                <w:szCs w:val="21"/>
                <w:highlight w:val="none"/>
              </w:rPr>
            </w:pPr>
          </w:p>
        </w:tc>
        <w:tc>
          <w:tcPr>
            <w:tcW w:w="851" w:type="dxa"/>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20</w:t>
            </w:r>
          </w:p>
        </w:tc>
        <w:tc>
          <w:tcPr>
            <w:tcW w:w="190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七氟丙烷药剂</w:t>
            </w:r>
          </w:p>
        </w:tc>
        <w:tc>
          <w:tcPr>
            <w:tcW w:w="2268" w:type="dxa"/>
            <w:vAlign w:val="center"/>
          </w:tcPr>
          <w:p>
            <w:pPr>
              <w:ind w:firstLine="0" w:firstLineChars="0"/>
              <w:rPr>
                <w:rFonts w:ascii="宋体" w:hAnsi="宋体" w:cs="宋体"/>
                <w:color w:val="auto"/>
                <w:szCs w:val="21"/>
                <w:highlight w:val="none"/>
              </w:rPr>
            </w:pPr>
          </w:p>
        </w:tc>
        <w:tc>
          <w:tcPr>
            <w:tcW w:w="850" w:type="dxa"/>
            <w:noWrap/>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KG</w:t>
            </w:r>
          </w:p>
        </w:tc>
        <w:tc>
          <w:tcPr>
            <w:tcW w:w="851" w:type="dxa"/>
            <w:noWrap/>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162</w:t>
            </w:r>
          </w:p>
        </w:tc>
        <w:tc>
          <w:tcPr>
            <w:tcW w:w="851" w:type="dxa"/>
          </w:tcPr>
          <w:p>
            <w:pPr>
              <w:ind w:firstLine="0" w:firstLineChars="0"/>
              <w:rPr>
                <w:rFonts w:ascii="宋体" w:hAnsi="宋体" w:cs="宋体"/>
                <w:color w:val="auto"/>
                <w:szCs w:val="21"/>
                <w:highlight w:val="none"/>
              </w:rPr>
            </w:pPr>
          </w:p>
        </w:tc>
        <w:tc>
          <w:tcPr>
            <w:tcW w:w="851" w:type="dxa"/>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21</w:t>
            </w:r>
          </w:p>
        </w:tc>
        <w:tc>
          <w:tcPr>
            <w:tcW w:w="190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感烟探测器</w:t>
            </w:r>
          </w:p>
        </w:tc>
        <w:tc>
          <w:tcPr>
            <w:tcW w:w="2268" w:type="dxa"/>
            <w:vAlign w:val="center"/>
          </w:tcPr>
          <w:p>
            <w:pPr>
              <w:ind w:firstLine="0" w:firstLineChars="0"/>
              <w:rPr>
                <w:rFonts w:ascii="宋体" w:hAnsi="宋体" w:cs="宋体"/>
                <w:color w:val="auto"/>
                <w:szCs w:val="21"/>
                <w:highlight w:val="none"/>
              </w:rPr>
            </w:pPr>
          </w:p>
        </w:tc>
        <w:tc>
          <w:tcPr>
            <w:tcW w:w="850" w:type="dxa"/>
            <w:noWrap/>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只</w:t>
            </w:r>
          </w:p>
        </w:tc>
        <w:tc>
          <w:tcPr>
            <w:tcW w:w="851" w:type="dxa"/>
            <w:noWrap/>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7</w:t>
            </w:r>
          </w:p>
        </w:tc>
        <w:tc>
          <w:tcPr>
            <w:tcW w:w="851" w:type="dxa"/>
          </w:tcPr>
          <w:p>
            <w:pPr>
              <w:ind w:firstLine="0" w:firstLineChars="0"/>
              <w:rPr>
                <w:rFonts w:ascii="宋体" w:hAnsi="宋体" w:cs="宋体"/>
                <w:color w:val="auto"/>
                <w:szCs w:val="21"/>
                <w:highlight w:val="none"/>
              </w:rPr>
            </w:pPr>
          </w:p>
        </w:tc>
        <w:tc>
          <w:tcPr>
            <w:tcW w:w="851" w:type="dxa"/>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22</w:t>
            </w:r>
          </w:p>
        </w:tc>
        <w:tc>
          <w:tcPr>
            <w:tcW w:w="190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感温探测器</w:t>
            </w:r>
          </w:p>
        </w:tc>
        <w:tc>
          <w:tcPr>
            <w:tcW w:w="2268" w:type="dxa"/>
            <w:vAlign w:val="center"/>
          </w:tcPr>
          <w:p>
            <w:pPr>
              <w:ind w:firstLine="0" w:firstLineChars="0"/>
              <w:rPr>
                <w:rFonts w:ascii="宋体" w:hAnsi="宋体" w:cs="宋体"/>
                <w:color w:val="auto"/>
                <w:szCs w:val="21"/>
                <w:highlight w:val="none"/>
              </w:rPr>
            </w:pPr>
          </w:p>
        </w:tc>
        <w:tc>
          <w:tcPr>
            <w:tcW w:w="850" w:type="dxa"/>
            <w:noWrap/>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只</w:t>
            </w:r>
          </w:p>
        </w:tc>
        <w:tc>
          <w:tcPr>
            <w:tcW w:w="851" w:type="dxa"/>
            <w:noWrap/>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7</w:t>
            </w:r>
          </w:p>
        </w:tc>
        <w:tc>
          <w:tcPr>
            <w:tcW w:w="851" w:type="dxa"/>
          </w:tcPr>
          <w:p>
            <w:pPr>
              <w:ind w:firstLine="0" w:firstLineChars="0"/>
              <w:rPr>
                <w:rFonts w:ascii="宋体" w:hAnsi="宋体" w:cs="宋体"/>
                <w:color w:val="auto"/>
                <w:szCs w:val="21"/>
                <w:highlight w:val="none"/>
              </w:rPr>
            </w:pPr>
          </w:p>
        </w:tc>
        <w:tc>
          <w:tcPr>
            <w:tcW w:w="851" w:type="dxa"/>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23</w:t>
            </w:r>
          </w:p>
        </w:tc>
        <w:tc>
          <w:tcPr>
            <w:tcW w:w="190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紧急启停按钮</w:t>
            </w:r>
          </w:p>
        </w:tc>
        <w:tc>
          <w:tcPr>
            <w:tcW w:w="2268" w:type="dxa"/>
            <w:vAlign w:val="center"/>
          </w:tcPr>
          <w:p>
            <w:pPr>
              <w:ind w:firstLine="0" w:firstLineChars="0"/>
              <w:rPr>
                <w:rFonts w:ascii="宋体" w:hAnsi="宋体" w:cs="宋体"/>
                <w:color w:val="auto"/>
                <w:szCs w:val="21"/>
                <w:highlight w:val="none"/>
              </w:rPr>
            </w:pPr>
          </w:p>
        </w:tc>
        <w:tc>
          <w:tcPr>
            <w:tcW w:w="850" w:type="dxa"/>
            <w:noWrap/>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只</w:t>
            </w:r>
          </w:p>
        </w:tc>
        <w:tc>
          <w:tcPr>
            <w:tcW w:w="851" w:type="dxa"/>
            <w:noWrap/>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3</w:t>
            </w:r>
          </w:p>
        </w:tc>
        <w:tc>
          <w:tcPr>
            <w:tcW w:w="851" w:type="dxa"/>
          </w:tcPr>
          <w:p>
            <w:pPr>
              <w:ind w:firstLine="0" w:firstLineChars="0"/>
              <w:rPr>
                <w:rFonts w:ascii="宋体" w:hAnsi="宋体" w:cs="宋体"/>
                <w:color w:val="auto"/>
                <w:szCs w:val="21"/>
                <w:highlight w:val="none"/>
              </w:rPr>
            </w:pPr>
          </w:p>
        </w:tc>
        <w:tc>
          <w:tcPr>
            <w:tcW w:w="851" w:type="dxa"/>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24</w:t>
            </w:r>
          </w:p>
        </w:tc>
        <w:tc>
          <w:tcPr>
            <w:tcW w:w="190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气体指示灯</w:t>
            </w:r>
          </w:p>
        </w:tc>
        <w:tc>
          <w:tcPr>
            <w:tcW w:w="2268" w:type="dxa"/>
            <w:noWrap/>
            <w:vAlign w:val="center"/>
          </w:tcPr>
          <w:p>
            <w:pPr>
              <w:ind w:firstLine="0" w:firstLineChars="0"/>
              <w:rPr>
                <w:rFonts w:ascii="宋体" w:hAnsi="宋体" w:cs="宋体"/>
                <w:color w:val="auto"/>
                <w:szCs w:val="21"/>
                <w:highlight w:val="none"/>
              </w:rPr>
            </w:pPr>
          </w:p>
        </w:tc>
        <w:tc>
          <w:tcPr>
            <w:tcW w:w="85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台</w:t>
            </w:r>
          </w:p>
        </w:tc>
        <w:tc>
          <w:tcPr>
            <w:tcW w:w="851" w:type="dxa"/>
            <w:noWrap/>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3</w:t>
            </w:r>
          </w:p>
        </w:tc>
        <w:tc>
          <w:tcPr>
            <w:tcW w:w="851" w:type="dxa"/>
          </w:tcPr>
          <w:p>
            <w:pPr>
              <w:ind w:firstLine="0" w:firstLineChars="0"/>
              <w:rPr>
                <w:rFonts w:ascii="宋体" w:hAnsi="宋体" w:cs="宋体"/>
                <w:color w:val="auto"/>
                <w:szCs w:val="21"/>
                <w:highlight w:val="none"/>
              </w:rPr>
            </w:pPr>
          </w:p>
        </w:tc>
        <w:tc>
          <w:tcPr>
            <w:tcW w:w="851" w:type="dxa"/>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25</w:t>
            </w:r>
          </w:p>
        </w:tc>
        <w:tc>
          <w:tcPr>
            <w:tcW w:w="190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声光报警器</w:t>
            </w:r>
          </w:p>
        </w:tc>
        <w:tc>
          <w:tcPr>
            <w:tcW w:w="2268" w:type="dxa"/>
            <w:vAlign w:val="center"/>
          </w:tcPr>
          <w:p>
            <w:pPr>
              <w:ind w:firstLine="0" w:firstLineChars="0"/>
              <w:rPr>
                <w:rFonts w:ascii="宋体" w:hAnsi="宋体" w:cs="宋体"/>
                <w:color w:val="auto"/>
                <w:szCs w:val="21"/>
                <w:highlight w:val="none"/>
              </w:rPr>
            </w:pPr>
          </w:p>
        </w:tc>
        <w:tc>
          <w:tcPr>
            <w:tcW w:w="85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只</w:t>
            </w:r>
          </w:p>
        </w:tc>
        <w:tc>
          <w:tcPr>
            <w:tcW w:w="851" w:type="dxa"/>
            <w:noWrap/>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6</w:t>
            </w:r>
          </w:p>
        </w:tc>
        <w:tc>
          <w:tcPr>
            <w:tcW w:w="851" w:type="dxa"/>
          </w:tcPr>
          <w:p>
            <w:pPr>
              <w:ind w:firstLine="0" w:firstLineChars="0"/>
              <w:rPr>
                <w:rFonts w:ascii="宋体" w:hAnsi="宋体" w:cs="宋体"/>
                <w:color w:val="auto"/>
                <w:szCs w:val="21"/>
                <w:highlight w:val="none"/>
              </w:rPr>
            </w:pPr>
          </w:p>
        </w:tc>
        <w:tc>
          <w:tcPr>
            <w:tcW w:w="851" w:type="dxa"/>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26</w:t>
            </w:r>
          </w:p>
        </w:tc>
        <w:tc>
          <w:tcPr>
            <w:tcW w:w="190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控制模块</w:t>
            </w:r>
          </w:p>
        </w:tc>
        <w:tc>
          <w:tcPr>
            <w:tcW w:w="2268" w:type="dxa"/>
            <w:noWrap/>
            <w:vAlign w:val="center"/>
          </w:tcPr>
          <w:p>
            <w:pPr>
              <w:ind w:firstLine="0" w:firstLineChars="0"/>
              <w:rPr>
                <w:rFonts w:ascii="宋体" w:hAnsi="宋体" w:cs="宋体"/>
                <w:color w:val="auto"/>
                <w:szCs w:val="21"/>
                <w:highlight w:val="none"/>
              </w:rPr>
            </w:pPr>
          </w:p>
        </w:tc>
        <w:tc>
          <w:tcPr>
            <w:tcW w:w="85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只</w:t>
            </w:r>
          </w:p>
        </w:tc>
        <w:tc>
          <w:tcPr>
            <w:tcW w:w="851" w:type="dxa"/>
            <w:noWrap/>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9</w:t>
            </w:r>
          </w:p>
        </w:tc>
        <w:tc>
          <w:tcPr>
            <w:tcW w:w="851" w:type="dxa"/>
          </w:tcPr>
          <w:p>
            <w:pPr>
              <w:ind w:firstLine="0" w:firstLineChars="0"/>
              <w:rPr>
                <w:rFonts w:ascii="宋体" w:hAnsi="宋体" w:cs="宋体"/>
                <w:color w:val="auto"/>
                <w:szCs w:val="21"/>
                <w:highlight w:val="none"/>
              </w:rPr>
            </w:pPr>
          </w:p>
        </w:tc>
        <w:tc>
          <w:tcPr>
            <w:tcW w:w="851" w:type="dxa"/>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27</w:t>
            </w:r>
          </w:p>
        </w:tc>
        <w:tc>
          <w:tcPr>
            <w:tcW w:w="190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保护区标牌</w:t>
            </w:r>
          </w:p>
        </w:tc>
        <w:tc>
          <w:tcPr>
            <w:tcW w:w="2268" w:type="dxa"/>
            <w:noWrap/>
            <w:vAlign w:val="center"/>
          </w:tcPr>
          <w:p>
            <w:pPr>
              <w:ind w:firstLine="0" w:firstLineChars="0"/>
              <w:rPr>
                <w:rFonts w:ascii="宋体" w:hAnsi="宋体" w:cs="宋体"/>
                <w:color w:val="auto"/>
                <w:szCs w:val="21"/>
                <w:highlight w:val="none"/>
              </w:rPr>
            </w:pPr>
          </w:p>
        </w:tc>
        <w:tc>
          <w:tcPr>
            <w:tcW w:w="85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个</w:t>
            </w:r>
          </w:p>
        </w:tc>
        <w:tc>
          <w:tcPr>
            <w:tcW w:w="851" w:type="dxa"/>
            <w:noWrap/>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3</w:t>
            </w:r>
          </w:p>
        </w:tc>
        <w:tc>
          <w:tcPr>
            <w:tcW w:w="851" w:type="dxa"/>
          </w:tcPr>
          <w:p>
            <w:pPr>
              <w:ind w:firstLine="0" w:firstLineChars="0"/>
              <w:rPr>
                <w:rFonts w:ascii="宋体" w:hAnsi="宋体" w:cs="宋体"/>
                <w:color w:val="auto"/>
                <w:szCs w:val="21"/>
                <w:highlight w:val="none"/>
              </w:rPr>
            </w:pPr>
          </w:p>
        </w:tc>
        <w:tc>
          <w:tcPr>
            <w:tcW w:w="851" w:type="dxa"/>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28</w:t>
            </w:r>
          </w:p>
        </w:tc>
        <w:tc>
          <w:tcPr>
            <w:tcW w:w="190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泄压口</w:t>
            </w:r>
          </w:p>
        </w:tc>
        <w:tc>
          <w:tcPr>
            <w:tcW w:w="2268" w:type="dxa"/>
            <w:noWrap/>
            <w:vAlign w:val="center"/>
          </w:tcPr>
          <w:p>
            <w:pPr>
              <w:ind w:firstLine="0" w:firstLineChars="0"/>
              <w:rPr>
                <w:rFonts w:ascii="宋体" w:hAnsi="宋体" w:cs="宋体"/>
                <w:color w:val="auto"/>
                <w:szCs w:val="21"/>
                <w:highlight w:val="none"/>
              </w:rPr>
            </w:pPr>
          </w:p>
        </w:tc>
        <w:tc>
          <w:tcPr>
            <w:tcW w:w="85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套</w:t>
            </w:r>
          </w:p>
        </w:tc>
        <w:tc>
          <w:tcPr>
            <w:tcW w:w="851" w:type="dxa"/>
            <w:noWrap/>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3</w:t>
            </w:r>
          </w:p>
        </w:tc>
        <w:tc>
          <w:tcPr>
            <w:tcW w:w="851" w:type="dxa"/>
          </w:tcPr>
          <w:p>
            <w:pPr>
              <w:ind w:firstLine="0" w:firstLineChars="0"/>
              <w:rPr>
                <w:rFonts w:ascii="宋体" w:hAnsi="宋体" w:cs="宋体"/>
                <w:color w:val="auto"/>
                <w:szCs w:val="21"/>
                <w:highlight w:val="none"/>
              </w:rPr>
            </w:pPr>
          </w:p>
        </w:tc>
        <w:tc>
          <w:tcPr>
            <w:tcW w:w="851" w:type="dxa"/>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29</w:t>
            </w:r>
          </w:p>
        </w:tc>
        <w:tc>
          <w:tcPr>
            <w:tcW w:w="190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气体灭火控制器</w:t>
            </w:r>
          </w:p>
        </w:tc>
        <w:tc>
          <w:tcPr>
            <w:tcW w:w="2268" w:type="dxa"/>
            <w:vAlign w:val="center"/>
          </w:tcPr>
          <w:p>
            <w:pPr>
              <w:ind w:firstLine="0" w:firstLineChars="0"/>
              <w:rPr>
                <w:rFonts w:ascii="宋体" w:hAnsi="宋体" w:cs="宋体"/>
                <w:color w:val="auto"/>
                <w:szCs w:val="21"/>
                <w:highlight w:val="none"/>
              </w:rPr>
            </w:pPr>
          </w:p>
        </w:tc>
        <w:tc>
          <w:tcPr>
            <w:tcW w:w="85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套</w:t>
            </w:r>
          </w:p>
        </w:tc>
        <w:tc>
          <w:tcPr>
            <w:tcW w:w="851" w:type="dxa"/>
            <w:noWrap/>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c>
          <w:tcPr>
            <w:tcW w:w="851" w:type="dxa"/>
          </w:tcPr>
          <w:p>
            <w:pPr>
              <w:ind w:firstLine="0" w:firstLineChars="0"/>
              <w:rPr>
                <w:rFonts w:ascii="宋体" w:hAnsi="宋体" w:cs="宋体"/>
                <w:color w:val="auto"/>
                <w:szCs w:val="21"/>
                <w:highlight w:val="none"/>
              </w:rPr>
            </w:pPr>
          </w:p>
        </w:tc>
        <w:tc>
          <w:tcPr>
            <w:tcW w:w="851" w:type="dxa"/>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30</w:t>
            </w:r>
          </w:p>
        </w:tc>
        <w:tc>
          <w:tcPr>
            <w:tcW w:w="190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辅材</w:t>
            </w:r>
          </w:p>
        </w:tc>
        <w:tc>
          <w:tcPr>
            <w:tcW w:w="2268" w:type="dxa"/>
            <w:vAlign w:val="center"/>
          </w:tcPr>
          <w:p>
            <w:pPr>
              <w:ind w:firstLine="0" w:firstLineChars="0"/>
              <w:rPr>
                <w:rFonts w:ascii="宋体" w:hAnsi="宋体" w:cs="宋体"/>
                <w:color w:val="auto"/>
                <w:szCs w:val="21"/>
                <w:highlight w:val="none"/>
              </w:rPr>
            </w:pPr>
          </w:p>
        </w:tc>
        <w:tc>
          <w:tcPr>
            <w:tcW w:w="85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项</w:t>
            </w:r>
          </w:p>
        </w:tc>
        <w:tc>
          <w:tcPr>
            <w:tcW w:w="851" w:type="dxa"/>
            <w:noWrap/>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1</w:t>
            </w:r>
          </w:p>
        </w:tc>
        <w:tc>
          <w:tcPr>
            <w:tcW w:w="851" w:type="dxa"/>
          </w:tcPr>
          <w:p>
            <w:pPr>
              <w:ind w:firstLine="0" w:firstLineChars="0"/>
              <w:rPr>
                <w:rFonts w:ascii="宋体" w:hAnsi="宋体" w:cs="宋体"/>
                <w:color w:val="auto"/>
                <w:szCs w:val="21"/>
                <w:highlight w:val="none"/>
              </w:rPr>
            </w:pPr>
          </w:p>
        </w:tc>
        <w:tc>
          <w:tcPr>
            <w:tcW w:w="851" w:type="dxa"/>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516" w:type="dxa"/>
            <w:gridSpan w:val="5"/>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（四）其他</w:t>
            </w:r>
          </w:p>
        </w:tc>
        <w:tc>
          <w:tcPr>
            <w:tcW w:w="851" w:type="dxa"/>
          </w:tcPr>
          <w:p>
            <w:pPr>
              <w:ind w:firstLine="0" w:firstLineChars="0"/>
              <w:rPr>
                <w:rFonts w:ascii="宋体" w:hAnsi="宋体" w:cs="宋体"/>
                <w:color w:val="auto"/>
                <w:szCs w:val="21"/>
                <w:highlight w:val="none"/>
              </w:rPr>
            </w:pPr>
            <w:r>
              <w:rPr>
                <w:rFonts w:hint="eastAsia" w:ascii="宋体" w:hAnsi="宋体" w:cs="宋体"/>
                <w:color w:val="auto"/>
                <w:szCs w:val="21"/>
                <w:highlight w:val="none"/>
              </w:rPr>
              <w:t>/</w:t>
            </w:r>
          </w:p>
        </w:tc>
        <w:tc>
          <w:tcPr>
            <w:tcW w:w="851" w:type="dxa"/>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31</w:t>
            </w:r>
          </w:p>
        </w:tc>
        <w:tc>
          <w:tcPr>
            <w:tcW w:w="190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服务器机柜</w:t>
            </w:r>
          </w:p>
        </w:tc>
        <w:tc>
          <w:tcPr>
            <w:tcW w:w="2268" w:type="dxa"/>
            <w:vAlign w:val="center"/>
          </w:tcPr>
          <w:p>
            <w:pPr>
              <w:ind w:firstLine="0" w:firstLineChars="0"/>
              <w:rPr>
                <w:rFonts w:ascii="宋体" w:hAnsi="宋体" w:cs="宋体"/>
                <w:color w:val="auto"/>
                <w:szCs w:val="21"/>
                <w:highlight w:val="none"/>
              </w:rPr>
            </w:pPr>
          </w:p>
        </w:tc>
        <w:tc>
          <w:tcPr>
            <w:tcW w:w="85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个</w:t>
            </w:r>
          </w:p>
        </w:tc>
        <w:tc>
          <w:tcPr>
            <w:tcW w:w="85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7</w:t>
            </w:r>
          </w:p>
        </w:tc>
        <w:tc>
          <w:tcPr>
            <w:tcW w:w="851" w:type="dxa"/>
          </w:tcPr>
          <w:p>
            <w:pPr>
              <w:ind w:firstLine="0" w:firstLineChars="0"/>
              <w:rPr>
                <w:rFonts w:ascii="宋体" w:hAnsi="宋体" w:cs="宋体"/>
                <w:color w:val="auto"/>
                <w:szCs w:val="21"/>
                <w:highlight w:val="none"/>
              </w:rPr>
            </w:pPr>
          </w:p>
        </w:tc>
        <w:tc>
          <w:tcPr>
            <w:tcW w:w="851" w:type="dxa"/>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32</w:t>
            </w:r>
          </w:p>
        </w:tc>
        <w:tc>
          <w:tcPr>
            <w:tcW w:w="1906"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门禁</w:t>
            </w:r>
          </w:p>
        </w:tc>
        <w:tc>
          <w:tcPr>
            <w:tcW w:w="2268" w:type="dxa"/>
            <w:vAlign w:val="center"/>
          </w:tcPr>
          <w:p>
            <w:pPr>
              <w:ind w:firstLine="0" w:firstLineChars="0"/>
              <w:rPr>
                <w:rFonts w:ascii="宋体" w:hAnsi="宋体" w:cs="宋体"/>
                <w:color w:val="auto"/>
                <w:szCs w:val="21"/>
                <w:highlight w:val="none"/>
              </w:rPr>
            </w:pPr>
          </w:p>
        </w:tc>
        <w:tc>
          <w:tcPr>
            <w:tcW w:w="850"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套</w:t>
            </w:r>
          </w:p>
        </w:tc>
        <w:tc>
          <w:tcPr>
            <w:tcW w:w="85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2</w:t>
            </w:r>
          </w:p>
        </w:tc>
        <w:tc>
          <w:tcPr>
            <w:tcW w:w="851" w:type="dxa"/>
          </w:tcPr>
          <w:p>
            <w:pPr>
              <w:ind w:firstLine="0" w:firstLineChars="0"/>
              <w:rPr>
                <w:rFonts w:ascii="宋体" w:hAnsi="宋体" w:cs="宋体"/>
                <w:color w:val="auto"/>
                <w:szCs w:val="21"/>
                <w:highlight w:val="none"/>
              </w:rPr>
            </w:pPr>
          </w:p>
        </w:tc>
        <w:tc>
          <w:tcPr>
            <w:tcW w:w="851" w:type="dxa"/>
          </w:tcPr>
          <w:p>
            <w:pPr>
              <w:ind w:firstLine="0" w:firstLineChars="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15" w:type="dxa"/>
            <w:gridSpan w:val="3"/>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小计6</w:t>
            </w:r>
          </w:p>
        </w:tc>
        <w:tc>
          <w:tcPr>
            <w:tcW w:w="3403" w:type="dxa"/>
            <w:gridSpan w:val="4"/>
            <w:vAlign w:val="center"/>
          </w:tcPr>
          <w:p>
            <w:pPr>
              <w:ind w:firstLine="0" w:firstLineChars="0"/>
              <w:rPr>
                <w:rFonts w:ascii="宋体" w:hAnsi="宋体" w:cs="宋体"/>
                <w:color w:val="auto"/>
                <w:szCs w:val="21"/>
                <w:highlight w:val="none"/>
              </w:rPr>
            </w:pPr>
          </w:p>
        </w:tc>
      </w:tr>
    </w:tbl>
    <w:p>
      <w:pPr>
        <w:pStyle w:val="19"/>
        <w:spacing w:before="120" w:after="120" w:line="480" w:lineRule="auto"/>
        <w:ind w:firstLine="466"/>
        <w:jc w:val="center"/>
        <w:rPr>
          <w:rFonts w:hAnsi="宋体" w:eastAsia="宋体" w:cs="宋体"/>
          <w:b/>
          <w:bCs/>
          <w:color w:val="auto"/>
          <w:sz w:val="24"/>
          <w:highlight w:val="none"/>
        </w:rPr>
      </w:pPr>
    </w:p>
    <w:p>
      <w:pPr>
        <w:pStyle w:val="19"/>
        <w:spacing w:before="120" w:after="120" w:line="480" w:lineRule="auto"/>
        <w:ind w:firstLine="466"/>
        <w:jc w:val="center"/>
        <w:rPr>
          <w:rFonts w:hAnsi="宋体" w:eastAsia="宋体" w:cs="宋体"/>
          <w:b/>
          <w:bCs/>
          <w:color w:val="auto"/>
          <w:sz w:val="24"/>
          <w:highlight w:val="none"/>
        </w:rPr>
      </w:pPr>
    </w:p>
    <w:p>
      <w:pPr>
        <w:pStyle w:val="19"/>
        <w:spacing w:before="120" w:after="120" w:line="480" w:lineRule="auto"/>
        <w:ind w:firstLine="466"/>
        <w:jc w:val="center"/>
        <w:rPr>
          <w:rFonts w:hAnsi="宋体" w:eastAsia="宋体" w:cs="宋体"/>
          <w:b/>
          <w:bCs/>
          <w:color w:val="auto"/>
          <w:sz w:val="24"/>
          <w:highlight w:val="none"/>
        </w:rPr>
      </w:pPr>
    </w:p>
    <w:p>
      <w:pPr>
        <w:pStyle w:val="19"/>
        <w:spacing w:before="120" w:after="120" w:line="480" w:lineRule="auto"/>
        <w:ind w:firstLine="466"/>
        <w:jc w:val="center"/>
        <w:rPr>
          <w:rFonts w:hAnsi="宋体" w:eastAsia="宋体" w:cs="宋体"/>
          <w:b/>
          <w:bCs/>
          <w:color w:val="auto"/>
          <w:sz w:val="24"/>
          <w:highlight w:val="none"/>
        </w:rPr>
      </w:pPr>
    </w:p>
    <w:p>
      <w:pPr>
        <w:pStyle w:val="19"/>
        <w:spacing w:before="120" w:after="120" w:line="480" w:lineRule="auto"/>
        <w:ind w:firstLine="406"/>
        <w:jc w:val="center"/>
        <w:rPr>
          <w:rFonts w:hAnsi="宋体" w:eastAsia="宋体" w:cs="宋体"/>
          <w:b/>
          <w:bCs/>
          <w:color w:val="auto"/>
          <w:sz w:val="21"/>
          <w:szCs w:val="21"/>
          <w:highlight w:val="none"/>
        </w:rPr>
      </w:pPr>
    </w:p>
    <w:p>
      <w:pPr>
        <w:pStyle w:val="19"/>
        <w:spacing w:before="120" w:after="120" w:line="480" w:lineRule="auto"/>
        <w:ind w:firstLine="406"/>
        <w:jc w:val="center"/>
        <w:rPr>
          <w:rFonts w:hAnsi="宋体" w:eastAsia="宋体" w:cs="宋体"/>
          <w:b/>
          <w:bCs/>
          <w:color w:val="auto"/>
          <w:sz w:val="21"/>
          <w:szCs w:val="21"/>
          <w:highlight w:val="none"/>
        </w:rPr>
      </w:pPr>
      <w:r>
        <w:rPr>
          <w:rFonts w:hint="eastAsia" w:hAnsi="宋体" w:eastAsia="宋体" w:cs="宋体"/>
          <w:b/>
          <w:bCs/>
          <w:color w:val="auto"/>
          <w:sz w:val="21"/>
          <w:szCs w:val="21"/>
          <w:highlight w:val="none"/>
        </w:rPr>
        <w:br w:type="page"/>
      </w:r>
    </w:p>
    <w:p>
      <w:pPr>
        <w:pStyle w:val="19"/>
        <w:spacing w:before="120" w:after="120" w:line="480" w:lineRule="auto"/>
        <w:ind w:firstLine="406"/>
        <w:jc w:val="center"/>
        <w:rPr>
          <w:rFonts w:hAnsi="宋体" w:eastAsia="宋体" w:cs="宋体"/>
          <w:b/>
          <w:bCs/>
          <w:color w:val="auto"/>
          <w:sz w:val="24"/>
          <w:highlight w:val="none"/>
        </w:rPr>
      </w:pPr>
      <w:r>
        <w:rPr>
          <w:rFonts w:hint="eastAsia" w:hAnsi="宋体" w:eastAsia="宋体" w:cs="宋体"/>
          <w:b/>
          <w:bCs/>
          <w:color w:val="auto"/>
          <w:sz w:val="21"/>
          <w:szCs w:val="21"/>
          <w:highlight w:val="none"/>
        </w:rPr>
        <w:t>4-7融合通讯设备报价明细表</w:t>
      </w:r>
    </w:p>
    <w:tbl>
      <w:tblPr>
        <w:tblStyle w:val="37"/>
        <w:tblW w:w="8753" w:type="dxa"/>
        <w:tblInd w:w="-1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949"/>
        <w:gridCol w:w="2328"/>
        <w:gridCol w:w="1417"/>
        <w:gridCol w:w="851"/>
        <w:gridCol w:w="708"/>
        <w:gridCol w:w="993"/>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noWrap/>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949"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名称</w:t>
            </w:r>
          </w:p>
        </w:tc>
        <w:tc>
          <w:tcPr>
            <w:tcW w:w="2328"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设备名称</w:t>
            </w:r>
          </w:p>
        </w:tc>
        <w:tc>
          <w:tcPr>
            <w:tcW w:w="1417"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投标品牌/规格型号</w:t>
            </w:r>
          </w:p>
        </w:tc>
        <w:tc>
          <w:tcPr>
            <w:tcW w:w="851"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单位</w:t>
            </w:r>
          </w:p>
        </w:tc>
        <w:tc>
          <w:tcPr>
            <w:tcW w:w="708"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数量</w:t>
            </w:r>
          </w:p>
        </w:tc>
        <w:tc>
          <w:tcPr>
            <w:tcW w:w="993"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单价（元）</w:t>
            </w:r>
          </w:p>
        </w:tc>
        <w:tc>
          <w:tcPr>
            <w:tcW w:w="850"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restart"/>
            <w:noWrap/>
          </w:tcPr>
          <w:p>
            <w:pPr>
              <w:ind w:firstLine="0" w:firstLineChars="0"/>
              <w:rPr>
                <w:rFonts w:ascii="宋体" w:hAnsi="宋体" w:cs="宋体"/>
                <w:color w:val="auto"/>
                <w:highlight w:val="none"/>
              </w:rPr>
            </w:pPr>
            <w:r>
              <w:rPr>
                <w:rFonts w:hint="eastAsia" w:ascii="宋体" w:hAnsi="宋体" w:cs="宋体"/>
                <w:color w:val="auto"/>
                <w:highlight w:val="none"/>
              </w:rPr>
              <w:t>1</w:t>
            </w:r>
          </w:p>
          <w:p>
            <w:pPr>
              <w:ind w:firstLine="0" w:firstLineChars="0"/>
              <w:rPr>
                <w:rFonts w:ascii="宋体" w:hAnsi="宋体" w:cs="宋体"/>
                <w:color w:val="auto"/>
                <w:highlight w:val="none"/>
              </w:rPr>
            </w:pPr>
          </w:p>
          <w:p>
            <w:pPr>
              <w:ind w:firstLine="0" w:firstLineChars="0"/>
              <w:rPr>
                <w:rFonts w:ascii="宋体" w:hAnsi="宋体" w:cs="宋体"/>
                <w:color w:val="auto"/>
                <w:highlight w:val="none"/>
              </w:rPr>
            </w:pPr>
          </w:p>
          <w:p>
            <w:pPr>
              <w:ind w:firstLine="0" w:firstLineChars="0"/>
              <w:rPr>
                <w:rFonts w:ascii="宋体" w:hAnsi="宋体" w:cs="宋体"/>
                <w:color w:val="auto"/>
                <w:highlight w:val="none"/>
              </w:rPr>
            </w:pPr>
          </w:p>
          <w:p>
            <w:pPr>
              <w:ind w:firstLine="0" w:firstLineChars="0"/>
              <w:rPr>
                <w:rFonts w:ascii="宋体" w:hAnsi="宋体" w:cs="宋体"/>
                <w:color w:val="auto"/>
                <w:highlight w:val="none"/>
              </w:rPr>
            </w:pPr>
          </w:p>
          <w:p>
            <w:pPr>
              <w:ind w:firstLine="0" w:firstLineChars="0"/>
              <w:rPr>
                <w:rFonts w:ascii="宋体" w:hAnsi="宋体" w:cs="宋体"/>
                <w:color w:val="auto"/>
                <w:highlight w:val="none"/>
              </w:rPr>
            </w:pPr>
          </w:p>
          <w:p>
            <w:pPr>
              <w:ind w:firstLine="0" w:firstLineChars="0"/>
              <w:rPr>
                <w:rFonts w:ascii="宋体" w:hAnsi="宋体" w:cs="宋体"/>
                <w:color w:val="auto"/>
                <w:highlight w:val="none"/>
              </w:rPr>
            </w:pPr>
          </w:p>
          <w:p>
            <w:pPr>
              <w:ind w:firstLine="0" w:firstLineChars="0"/>
              <w:rPr>
                <w:rFonts w:ascii="宋体" w:hAnsi="宋体" w:cs="宋体"/>
                <w:color w:val="auto"/>
                <w:highlight w:val="none"/>
              </w:rPr>
            </w:pPr>
          </w:p>
          <w:p>
            <w:pPr>
              <w:ind w:firstLine="0" w:firstLineChars="0"/>
              <w:rPr>
                <w:rFonts w:ascii="宋体" w:hAnsi="宋体" w:cs="宋体"/>
                <w:color w:val="auto"/>
                <w:szCs w:val="21"/>
                <w:highlight w:val="none"/>
              </w:rPr>
            </w:pPr>
          </w:p>
        </w:tc>
        <w:tc>
          <w:tcPr>
            <w:tcW w:w="949" w:type="dxa"/>
            <w:vMerge w:val="restart"/>
          </w:tcPr>
          <w:p>
            <w:pPr>
              <w:ind w:firstLine="0" w:firstLineChars="0"/>
              <w:rPr>
                <w:rFonts w:ascii="宋体" w:hAnsi="宋体" w:cs="宋体"/>
                <w:color w:val="auto"/>
                <w:szCs w:val="21"/>
                <w:highlight w:val="none"/>
              </w:rPr>
            </w:pPr>
            <w:r>
              <w:rPr>
                <w:rFonts w:hint="eastAsia" w:ascii="宋体" w:hAnsi="宋体" w:cs="宋体"/>
                <w:color w:val="auto"/>
                <w:highlight w:val="none"/>
              </w:rPr>
              <w:t>多媒体指挥调度系统</w:t>
            </w:r>
          </w:p>
        </w:tc>
        <w:tc>
          <w:tcPr>
            <w:tcW w:w="2328" w:type="dxa"/>
          </w:tcPr>
          <w:p>
            <w:pPr>
              <w:ind w:firstLine="0" w:firstLineChars="0"/>
              <w:rPr>
                <w:rFonts w:ascii="宋体" w:hAnsi="宋体" w:cs="宋体"/>
                <w:color w:val="auto"/>
                <w:szCs w:val="21"/>
                <w:highlight w:val="none"/>
              </w:rPr>
            </w:pPr>
            <w:r>
              <w:rPr>
                <w:rFonts w:hint="eastAsia" w:ascii="宋体" w:hAnsi="宋体" w:cs="宋体"/>
                <w:bCs/>
                <w:color w:val="auto"/>
                <w:highlight w:val="none"/>
              </w:rPr>
              <w:t>多媒体指挥调度系统软件</w:t>
            </w:r>
            <w:r>
              <w:rPr>
                <w:rFonts w:hint="eastAsia" w:ascii="宋体" w:hAnsi="宋体" w:cs="宋体"/>
                <w:bCs/>
                <w:color w:val="auto"/>
                <w:highlight w:val="none"/>
              </w:rPr>
              <w:br w:type="textWrapping"/>
            </w:r>
            <w:r>
              <w:rPr>
                <w:rFonts w:hint="eastAsia" w:ascii="宋体" w:hAnsi="宋体" w:cs="宋体"/>
                <w:bCs/>
                <w:color w:val="auto"/>
                <w:highlight w:val="none"/>
              </w:rPr>
              <w:t>（包含主机）</w:t>
            </w:r>
          </w:p>
        </w:tc>
        <w:tc>
          <w:tcPr>
            <w:tcW w:w="1417" w:type="dxa"/>
          </w:tcPr>
          <w:p>
            <w:pPr>
              <w:ind w:firstLine="0" w:firstLineChars="0"/>
              <w:rPr>
                <w:rFonts w:ascii="宋体" w:hAnsi="宋体" w:cs="宋体"/>
                <w:color w:val="auto"/>
                <w:szCs w:val="21"/>
                <w:highlight w:val="none"/>
              </w:rPr>
            </w:pPr>
          </w:p>
        </w:tc>
        <w:tc>
          <w:tcPr>
            <w:tcW w:w="851" w:type="dxa"/>
            <w:noWrap/>
          </w:tcPr>
          <w:p>
            <w:pPr>
              <w:ind w:firstLine="0" w:firstLineChars="0"/>
              <w:jc w:val="center"/>
              <w:rPr>
                <w:rFonts w:ascii="宋体" w:hAnsi="宋体" w:cs="宋体"/>
                <w:color w:val="auto"/>
                <w:szCs w:val="21"/>
                <w:highlight w:val="none"/>
              </w:rPr>
            </w:pPr>
            <w:r>
              <w:rPr>
                <w:rFonts w:hint="eastAsia" w:ascii="宋体" w:hAnsi="宋体" w:cs="宋体"/>
                <w:color w:val="auto"/>
                <w:highlight w:val="none"/>
              </w:rPr>
              <w:t>套</w:t>
            </w:r>
          </w:p>
        </w:tc>
        <w:tc>
          <w:tcPr>
            <w:tcW w:w="708" w:type="dxa"/>
            <w:noWrap/>
          </w:tcPr>
          <w:p>
            <w:pPr>
              <w:ind w:firstLine="0" w:firstLineChars="0"/>
              <w:jc w:val="center"/>
              <w:rPr>
                <w:rFonts w:ascii="宋体" w:hAnsi="宋体" w:cs="宋体"/>
                <w:color w:val="auto"/>
                <w:szCs w:val="21"/>
                <w:highlight w:val="none"/>
              </w:rPr>
            </w:pPr>
            <w:r>
              <w:rPr>
                <w:rFonts w:hint="eastAsia" w:ascii="宋体" w:hAnsi="宋体" w:cs="宋体"/>
                <w:color w:val="auto"/>
                <w:highlight w:val="none"/>
              </w:rPr>
              <w:t>1</w:t>
            </w:r>
          </w:p>
        </w:tc>
        <w:tc>
          <w:tcPr>
            <w:tcW w:w="993" w:type="dxa"/>
          </w:tcPr>
          <w:p>
            <w:pPr>
              <w:ind w:firstLine="0" w:firstLineChars="0"/>
              <w:jc w:val="center"/>
              <w:rPr>
                <w:rFonts w:ascii="宋体" w:hAnsi="宋体" w:cs="宋体"/>
                <w:color w:val="auto"/>
                <w:highlight w:val="none"/>
              </w:rPr>
            </w:pPr>
          </w:p>
        </w:tc>
        <w:tc>
          <w:tcPr>
            <w:tcW w:w="850" w:type="dxa"/>
          </w:tcPr>
          <w:p>
            <w:pPr>
              <w:ind w:firstLine="0" w:firstLineChars="0"/>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noWrap/>
          </w:tcPr>
          <w:p>
            <w:pPr>
              <w:ind w:firstLine="0" w:firstLineChars="0"/>
              <w:rPr>
                <w:rFonts w:ascii="宋体" w:hAnsi="宋体" w:cs="宋体"/>
                <w:color w:val="auto"/>
                <w:szCs w:val="21"/>
                <w:highlight w:val="none"/>
              </w:rPr>
            </w:pPr>
          </w:p>
        </w:tc>
        <w:tc>
          <w:tcPr>
            <w:tcW w:w="949" w:type="dxa"/>
            <w:vMerge w:val="continue"/>
          </w:tcPr>
          <w:p>
            <w:pPr>
              <w:ind w:firstLine="0" w:firstLineChars="0"/>
              <w:rPr>
                <w:rFonts w:ascii="宋体" w:hAnsi="宋体" w:cs="宋体"/>
                <w:color w:val="auto"/>
                <w:szCs w:val="21"/>
                <w:highlight w:val="none"/>
              </w:rPr>
            </w:pPr>
          </w:p>
        </w:tc>
        <w:tc>
          <w:tcPr>
            <w:tcW w:w="2328" w:type="dxa"/>
          </w:tcPr>
          <w:p>
            <w:pPr>
              <w:ind w:firstLine="0" w:firstLineChars="0"/>
              <w:rPr>
                <w:rFonts w:ascii="宋体" w:hAnsi="宋体" w:cs="宋体"/>
                <w:color w:val="auto"/>
                <w:szCs w:val="21"/>
                <w:highlight w:val="none"/>
              </w:rPr>
            </w:pPr>
            <w:r>
              <w:rPr>
                <w:rFonts w:hint="eastAsia" w:ascii="宋体" w:hAnsi="宋体" w:cs="宋体"/>
                <w:bCs/>
                <w:color w:val="auto"/>
                <w:highlight w:val="none"/>
              </w:rPr>
              <w:t>4G对讲机互联接口</w:t>
            </w:r>
          </w:p>
        </w:tc>
        <w:tc>
          <w:tcPr>
            <w:tcW w:w="1417" w:type="dxa"/>
          </w:tcPr>
          <w:p>
            <w:pPr>
              <w:ind w:firstLine="0" w:firstLineChars="0"/>
              <w:rPr>
                <w:rFonts w:ascii="宋体" w:hAnsi="宋体" w:cs="宋体"/>
                <w:color w:val="auto"/>
                <w:szCs w:val="21"/>
                <w:highlight w:val="none"/>
              </w:rPr>
            </w:pPr>
          </w:p>
        </w:tc>
        <w:tc>
          <w:tcPr>
            <w:tcW w:w="851" w:type="dxa"/>
            <w:noWrap/>
          </w:tcPr>
          <w:p>
            <w:pPr>
              <w:ind w:firstLine="0" w:firstLineChars="0"/>
              <w:jc w:val="center"/>
              <w:rPr>
                <w:rFonts w:ascii="宋体" w:hAnsi="宋体" w:cs="宋体"/>
                <w:color w:val="auto"/>
                <w:szCs w:val="21"/>
                <w:highlight w:val="none"/>
              </w:rPr>
            </w:pPr>
            <w:r>
              <w:rPr>
                <w:rFonts w:hint="eastAsia" w:ascii="宋体" w:hAnsi="宋体" w:cs="宋体"/>
                <w:color w:val="auto"/>
                <w:highlight w:val="none"/>
              </w:rPr>
              <w:t>套</w:t>
            </w:r>
          </w:p>
        </w:tc>
        <w:tc>
          <w:tcPr>
            <w:tcW w:w="708" w:type="dxa"/>
            <w:noWrap/>
          </w:tcPr>
          <w:p>
            <w:pPr>
              <w:ind w:firstLine="0" w:firstLineChars="0"/>
              <w:jc w:val="center"/>
              <w:rPr>
                <w:rFonts w:ascii="宋体" w:hAnsi="宋体" w:cs="宋体"/>
                <w:color w:val="auto"/>
                <w:szCs w:val="21"/>
                <w:highlight w:val="none"/>
              </w:rPr>
            </w:pPr>
            <w:r>
              <w:rPr>
                <w:rFonts w:hint="eastAsia" w:ascii="宋体" w:hAnsi="宋体" w:cs="宋体"/>
                <w:color w:val="auto"/>
                <w:highlight w:val="none"/>
              </w:rPr>
              <w:t>1</w:t>
            </w:r>
          </w:p>
        </w:tc>
        <w:tc>
          <w:tcPr>
            <w:tcW w:w="993" w:type="dxa"/>
          </w:tcPr>
          <w:p>
            <w:pPr>
              <w:ind w:firstLine="0" w:firstLineChars="0"/>
              <w:jc w:val="center"/>
              <w:rPr>
                <w:rFonts w:ascii="宋体" w:hAnsi="宋体" w:cs="宋体"/>
                <w:color w:val="auto"/>
                <w:highlight w:val="none"/>
              </w:rPr>
            </w:pPr>
          </w:p>
        </w:tc>
        <w:tc>
          <w:tcPr>
            <w:tcW w:w="850" w:type="dxa"/>
          </w:tcPr>
          <w:p>
            <w:pPr>
              <w:ind w:firstLine="0" w:firstLineChars="0"/>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noWrap/>
          </w:tcPr>
          <w:p>
            <w:pPr>
              <w:ind w:firstLine="0" w:firstLineChars="0"/>
              <w:rPr>
                <w:rFonts w:ascii="宋体" w:hAnsi="宋体" w:cs="宋体"/>
                <w:color w:val="auto"/>
                <w:szCs w:val="21"/>
                <w:highlight w:val="none"/>
              </w:rPr>
            </w:pPr>
          </w:p>
        </w:tc>
        <w:tc>
          <w:tcPr>
            <w:tcW w:w="949" w:type="dxa"/>
            <w:vMerge w:val="continue"/>
          </w:tcPr>
          <w:p>
            <w:pPr>
              <w:ind w:firstLine="0" w:firstLineChars="0"/>
              <w:rPr>
                <w:rFonts w:ascii="宋体" w:hAnsi="宋体" w:cs="宋体"/>
                <w:color w:val="auto"/>
                <w:szCs w:val="21"/>
                <w:highlight w:val="none"/>
              </w:rPr>
            </w:pPr>
          </w:p>
        </w:tc>
        <w:tc>
          <w:tcPr>
            <w:tcW w:w="2328" w:type="dxa"/>
          </w:tcPr>
          <w:p>
            <w:pPr>
              <w:ind w:firstLine="0" w:firstLineChars="0"/>
              <w:rPr>
                <w:rFonts w:ascii="宋体" w:hAnsi="宋体" w:cs="宋体"/>
                <w:bCs/>
                <w:color w:val="auto"/>
                <w:szCs w:val="21"/>
                <w:highlight w:val="none"/>
              </w:rPr>
            </w:pPr>
            <w:r>
              <w:rPr>
                <w:rFonts w:hint="eastAsia" w:ascii="宋体" w:hAnsi="宋体" w:cs="宋体"/>
                <w:bCs/>
                <w:color w:val="auto"/>
                <w:szCs w:val="21"/>
                <w:highlight w:val="none"/>
              </w:rPr>
              <w:t>IP广播互联接口</w:t>
            </w:r>
          </w:p>
        </w:tc>
        <w:tc>
          <w:tcPr>
            <w:tcW w:w="1417" w:type="dxa"/>
          </w:tcPr>
          <w:p>
            <w:pPr>
              <w:ind w:firstLine="0" w:firstLineChars="0"/>
              <w:rPr>
                <w:rFonts w:ascii="宋体" w:hAnsi="宋体" w:cs="宋体"/>
                <w:color w:val="auto"/>
                <w:highlight w:val="none"/>
              </w:rPr>
            </w:pPr>
          </w:p>
        </w:tc>
        <w:tc>
          <w:tcPr>
            <w:tcW w:w="851" w:type="dxa"/>
            <w:noWrap/>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套</w:t>
            </w:r>
          </w:p>
        </w:tc>
        <w:tc>
          <w:tcPr>
            <w:tcW w:w="708" w:type="dxa"/>
            <w:noWrap/>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1</w:t>
            </w:r>
          </w:p>
        </w:tc>
        <w:tc>
          <w:tcPr>
            <w:tcW w:w="993" w:type="dxa"/>
          </w:tcPr>
          <w:p>
            <w:pPr>
              <w:ind w:firstLine="0" w:firstLineChars="0"/>
              <w:jc w:val="center"/>
              <w:rPr>
                <w:rFonts w:ascii="宋体" w:hAnsi="宋体" w:cs="宋体"/>
                <w:color w:val="auto"/>
                <w:szCs w:val="21"/>
                <w:highlight w:val="none"/>
              </w:rPr>
            </w:pPr>
          </w:p>
        </w:tc>
        <w:tc>
          <w:tcPr>
            <w:tcW w:w="850" w:type="dxa"/>
          </w:tcPr>
          <w:p>
            <w:pPr>
              <w:ind w:firstLine="0" w:firstLineChars="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noWrap/>
          </w:tcPr>
          <w:p>
            <w:pPr>
              <w:ind w:firstLine="0" w:firstLineChars="0"/>
              <w:rPr>
                <w:rFonts w:ascii="宋体" w:hAnsi="宋体" w:cs="宋体"/>
                <w:color w:val="auto"/>
                <w:szCs w:val="21"/>
                <w:highlight w:val="none"/>
              </w:rPr>
            </w:pPr>
          </w:p>
        </w:tc>
        <w:tc>
          <w:tcPr>
            <w:tcW w:w="949" w:type="dxa"/>
            <w:vMerge w:val="continue"/>
          </w:tcPr>
          <w:p>
            <w:pPr>
              <w:ind w:firstLine="0" w:firstLineChars="0"/>
              <w:rPr>
                <w:rFonts w:ascii="宋体" w:hAnsi="宋体" w:cs="宋体"/>
                <w:color w:val="auto"/>
                <w:szCs w:val="21"/>
                <w:highlight w:val="none"/>
              </w:rPr>
            </w:pPr>
          </w:p>
        </w:tc>
        <w:tc>
          <w:tcPr>
            <w:tcW w:w="2328" w:type="dxa"/>
          </w:tcPr>
          <w:p>
            <w:pPr>
              <w:ind w:firstLine="0" w:firstLineChars="0"/>
              <w:rPr>
                <w:rFonts w:ascii="宋体" w:hAnsi="宋体" w:cs="宋体"/>
                <w:color w:val="auto"/>
                <w:szCs w:val="21"/>
                <w:highlight w:val="none"/>
              </w:rPr>
            </w:pPr>
            <w:r>
              <w:rPr>
                <w:rFonts w:hint="eastAsia" w:ascii="宋体" w:hAnsi="宋体" w:cs="宋体"/>
                <w:bCs/>
                <w:color w:val="auto"/>
                <w:highlight w:val="none"/>
              </w:rPr>
              <w:t>视频监控对接授权</w:t>
            </w:r>
          </w:p>
        </w:tc>
        <w:tc>
          <w:tcPr>
            <w:tcW w:w="1417" w:type="dxa"/>
          </w:tcPr>
          <w:p>
            <w:pPr>
              <w:ind w:firstLine="0" w:firstLineChars="0"/>
              <w:rPr>
                <w:rFonts w:ascii="宋体" w:hAnsi="宋体" w:cs="宋体"/>
                <w:color w:val="auto"/>
                <w:szCs w:val="21"/>
                <w:highlight w:val="none"/>
              </w:rPr>
            </w:pPr>
          </w:p>
        </w:tc>
        <w:tc>
          <w:tcPr>
            <w:tcW w:w="851" w:type="dxa"/>
            <w:noWrap/>
          </w:tcPr>
          <w:p>
            <w:pPr>
              <w:ind w:firstLine="0" w:firstLineChars="0"/>
              <w:jc w:val="center"/>
              <w:rPr>
                <w:rFonts w:ascii="宋体" w:hAnsi="宋体" w:cs="宋体"/>
                <w:color w:val="auto"/>
                <w:szCs w:val="21"/>
                <w:highlight w:val="none"/>
              </w:rPr>
            </w:pPr>
            <w:r>
              <w:rPr>
                <w:rFonts w:hint="eastAsia" w:ascii="宋体" w:hAnsi="宋体" w:cs="宋体"/>
                <w:color w:val="auto"/>
                <w:highlight w:val="none"/>
              </w:rPr>
              <w:t>套</w:t>
            </w:r>
          </w:p>
        </w:tc>
        <w:tc>
          <w:tcPr>
            <w:tcW w:w="708" w:type="dxa"/>
            <w:noWrap/>
          </w:tcPr>
          <w:p>
            <w:pPr>
              <w:ind w:firstLine="0" w:firstLineChars="0"/>
              <w:jc w:val="center"/>
              <w:rPr>
                <w:rFonts w:ascii="宋体" w:hAnsi="宋体" w:cs="宋体"/>
                <w:color w:val="auto"/>
                <w:szCs w:val="21"/>
                <w:highlight w:val="none"/>
              </w:rPr>
            </w:pPr>
            <w:r>
              <w:rPr>
                <w:rFonts w:hint="eastAsia" w:ascii="宋体" w:hAnsi="宋体" w:cs="宋体"/>
                <w:color w:val="auto"/>
                <w:highlight w:val="none"/>
              </w:rPr>
              <w:t>1</w:t>
            </w:r>
          </w:p>
        </w:tc>
        <w:tc>
          <w:tcPr>
            <w:tcW w:w="993" w:type="dxa"/>
          </w:tcPr>
          <w:p>
            <w:pPr>
              <w:ind w:firstLine="0" w:firstLineChars="0"/>
              <w:jc w:val="center"/>
              <w:rPr>
                <w:rFonts w:ascii="宋体" w:hAnsi="宋体" w:cs="宋体"/>
                <w:color w:val="auto"/>
                <w:highlight w:val="none"/>
              </w:rPr>
            </w:pPr>
          </w:p>
        </w:tc>
        <w:tc>
          <w:tcPr>
            <w:tcW w:w="850" w:type="dxa"/>
          </w:tcPr>
          <w:p>
            <w:pPr>
              <w:ind w:firstLine="0" w:firstLineChars="0"/>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noWrap/>
          </w:tcPr>
          <w:p>
            <w:pPr>
              <w:ind w:firstLine="0" w:firstLineChars="0"/>
              <w:rPr>
                <w:rFonts w:ascii="宋体" w:hAnsi="宋体" w:cs="宋体"/>
                <w:color w:val="auto"/>
                <w:szCs w:val="21"/>
                <w:highlight w:val="none"/>
              </w:rPr>
            </w:pPr>
          </w:p>
        </w:tc>
        <w:tc>
          <w:tcPr>
            <w:tcW w:w="949" w:type="dxa"/>
            <w:vMerge w:val="continue"/>
          </w:tcPr>
          <w:p>
            <w:pPr>
              <w:ind w:firstLine="0" w:firstLineChars="0"/>
              <w:rPr>
                <w:rFonts w:ascii="宋体" w:hAnsi="宋体" w:cs="宋体"/>
                <w:color w:val="auto"/>
                <w:szCs w:val="21"/>
                <w:highlight w:val="none"/>
              </w:rPr>
            </w:pPr>
          </w:p>
        </w:tc>
        <w:tc>
          <w:tcPr>
            <w:tcW w:w="2328" w:type="dxa"/>
          </w:tcPr>
          <w:p>
            <w:pPr>
              <w:ind w:firstLine="0" w:firstLineChars="0"/>
              <w:rPr>
                <w:rFonts w:ascii="宋体" w:hAnsi="宋体" w:cs="宋体"/>
                <w:color w:val="auto"/>
                <w:szCs w:val="21"/>
                <w:highlight w:val="none"/>
              </w:rPr>
            </w:pPr>
            <w:r>
              <w:rPr>
                <w:rFonts w:hint="eastAsia" w:ascii="宋体" w:hAnsi="宋体" w:cs="宋体"/>
                <w:bCs/>
                <w:color w:val="auto"/>
                <w:highlight w:val="none"/>
              </w:rPr>
              <w:t>视频会议互联接口</w:t>
            </w:r>
          </w:p>
        </w:tc>
        <w:tc>
          <w:tcPr>
            <w:tcW w:w="1417" w:type="dxa"/>
          </w:tcPr>
          <w:p>
            <w:pPr>
              <w:ind w:firstLine="0" w:firstLineChars="0"/>
              <w:rPr>
                <w:rFonts w:ascii="宋体" w:hAnsi="宋体" w:cs="宋体"/>
                <w:color w:val="auto"/>
                <w:szCs w:val="21"/>
                <w:highlight w:val="none"/>
              </w:rPr>
            </w:pPr>
          </w:p>
        </w:tc>
        <w:tc>
          <w:tcPr>
            <w:tcW w:w="851"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套</w:t>
            </w:r>
          </w:p>
        </w:tc>
        <w:tc>
          <w:tcPr>
            <w:tcW w:w="708"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1</w:t>
            </w:r>
          </w:p>
        </w:tc>
        <w:tc>
          <w:tcPr>
            <w:tcW w:w="993" w:type="dxa"/>
          </w:tcPr>
          <w:p>
            <w:pPr>
              <w:ind w:firstLine="0" w:firstLineChars="0"/>
              <w:jc w:val="center"/>
              <w:rPr>
                <w:rFonts w:ascii="宋体" w:hAnsi="宋体" w:cs="宋体"/>
                <w:color w:val="auto"/>
                <w:highlight w:val="none"/>
              </w:rPr>
            </w:pPr>
          </w:p>
        </w:tc>
        <w:tc>
          <w:tcPr>
            <w:tcW w:w="850" w:type="dxa"/>
          </w:tcPr>
          <w:p>
            <w:pPr>
              <w:ind w:firstLine="0" w:firstLineChars="0"/>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noWrap/>
          </w:tcPr>
          <w:p>
            <w:pPr>
              <w:ind w:firstLine="0" w:firstLineChars="0"/>
              <w:rPr>
                <w:rFonts w:ascii="宋体" w:hAnsi="宋体" w:cs="宋体"/>
                <w:color w:val="auto"/>
                <w:szCs w:val="21"/>
                <w:highlight w:val="none"/>
              </w:rPr>
            </w:pPr>
          </w:p>
        </w:tc>
        <w:tc>
          <w:tcPr>
            <w:tcW w:w="949" w:type="dxa"/>
            <w:vMerge w:val="continue"/>
          </w:tcPr>
          <w:p>
            <w:pPr>
              <w:ind w:firstLine="0" w:firstLineChars="0"/>
              <w:rPr>
                <w:rFonts w:ascii="宋体" w:hAnsi="宋体" w:cs="宋体"/>
                <w:color w:val="auto"/>
                <w:szCs w:val="21"/>
                <w:highlight w:val="none"/>
              </w:rPr>
            </w:pPr>
          </w:p>
        </w:tc>
        <w:tc>
          <w:tcPr>
            <w:tcW w:w="2328" w:type="dxa"/>
          </w:tcPr>
          <w:p>
            <w:pPr>
              <w:ind w:firstLine="0" w:firstLineChars="0"/>
              <w:rPr>
                <w:rFonts w:ascii="宋体" w:hAnsi="宋体" w:cs="宋体"/>
                <w:color w:val="auto"/>
                <w:szCs w:val="21"/>
                <w:highlight w:val="none"/>
              </w:rPr>
            </w:pPr>
            <w:r>
              <w:rPr>
                <w:rFonts w:hint="eastAsia" w:ascii="宋体" w:hAnsi="宋体" w:cs="宋体"/>
                <w:bCs/>
                <w:color w:val="auto"/>
                <w:highlight w:val="none"/>
              </w:rPr>
              <w:t>智能单兵模块</w:t>
            </w:r>
          </w:p>
        </w:tc>
        <w:tc>
          <w:tcPr>
            <w:tcW w:w="1417" w:type="dxa"/>
          </w:tcPr>
          <w:p>
            <w:pPr>
              <w:ind w:firstLine="0" w:firstLineChars="0"/>
              <w:rPr>
                <w:rFonts w:ascii="宋体" w:hAnsi="宋体" w:cs="宋体"/>
                <w:color w:val="auto"/>
                <w:szCs w:val="21"/>
                <w:highlight w:val="none"/>
              </w:rPr>
            </w:pPr>
          </w:p>
        </w:tc>
        <w:tc>
          <w:tcPr>
            <w:tcW w:w="851"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套</w:t>
            </w:r>
          </w:p>
        </w:tc>
        <w:tc>
          <w:tcPr>
            <w:tcW w:w="708"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1</w:t>
            </w:r>
          </w:p>
        </w:tc>
        <w:tc>
          <w:tcPr>
            <w:tcW w:w="993" w:type="dxa"/>
          </w:tcPr>
          <w:p>
            <w:pPr>
              <w:ind w:firstLine="0" w:firstLineChars="0"/>
              <w:jc w:val="center"/>
              <w:rPr>
                <w:rFonts w:ascii="宋体" w:hAnsi="宋体" w:cs="宋体"/>
                <w:color w:val="auto"/>
                <w:highlight w:val="none"/>
              </w:rPr>
            </w:pPr>
          </w:p>
        </w:tc>
        <w:tc>
          <w:tcPr>
            <w:tcW w:w="850" w:type="dxa"/>
          </w:tcPr>
          <w:p>
            <w:pPr>
              <w:ind w:firstLine="0" w:firstLineChars="0"/>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noWrap/>
          </w:tcPr>
          <w:p>
            <w:pPr>
              <w:ind w:firstLine="0" w:firstLineChars="0"/>
              <w:rPr>
                <w:rFonts w:ascii="宋体" w:hAnsi="宋体" w:cs="宋体"/>
                <w:color w:val="auto"/>
                <w:szCs w:val="21"/>
                <w:highlight w:val="none"/>
              </w:rPr>
            </w:pPr>
          </w:p>
        </w:tc>
        <w:tc>
          <w:tcPr>
            <w:tcW w:w="949" w:type="dxa"/>
            <w:vMerge w:val="continue"/>
          </w:tcPr>
          <w:p>
            <w:pPr>
              <w:ind w:firstLine="0" w:firstLineChars="0"/>
              <w:rPr>
                <w:rFonts w:ascii="宋体" w:hAnsi="宋体" w:cs="宋体"/>
                <w:color w:val="auto"/>
                <w:szCs w:val="21"/>
                <w:highlight w:val="none"/>
              </w:rPr>
            </w:pPr>
          </w:p>
        </w:tc>
        <w:tc>
          <w:tcPr>
            <w:tcW w:w="2328" w:type="dxa"/>
          </w:tcPr>
          <w:p>
            <w:pPr>
              <w:ind w:firstLine="0" w:firstLineChars="0"/>
              <w:rPr>
                <w:rFonts w:ascii="宋体" w:hAnsi="宋体" w:cs="宋体"/>
                <w:color w:val="auto"/>
                <w:szCs w:val="21"/>
                <w:highlight w:val="none"/>
              </w:rPr>
            </w:pPr>
            <w:r>
              <w:rPr>
                <w:rFonts w:hint="eastAsia" w:ascii="宋体" w:hAnsi="宋体" w:cs="宋体"/>
                <w:bCs/>
                <w:color w:val="auto"/>
                <w:highlight w:val="none"/>
              </w:rPr>
              <w:t>GIS调度模块</w:t>
            </w:r>
          </w:p>
        </w:tc>
        <w:tc>
          <w:tcPr>
            <w:tcW w:w="1417" w:type="dxa"/>
          </w:tcPr>
          <w:p>
            <w:pPr>
              <w:ind w:firstLine="0" w:firstLineChars="0"/>
              <w:rPr>
                <w:rFonts w:ascii="宋体" w:hAnsi="宋体" w:cs="宋体"/>
                <w:color w:val="auto"/>
                <w:szCs w:val="21"/>
                <w:highlight w:val="none"/>
              </w:rPr>
            </w:pPr>
          </w:p>
        </w:tc>
        <w:tc>
          <w:tcPr>
            <w:tcW w:w="851"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套</w:t>
            </w:r>
          </w:p>
        </w:tc>
        <w:tc>
          <w:tcPr>
            <w:tcW w:w="708"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1</w:t>
            </w:r>
          </w:p>
        </w:tc>
        <w:tc>
          <w:tcPr>
            <w:tcW w:w="993" w:type="dxa"/>
          </w:tcPr>
          <w:p>
            <w:pPr>
              <w:ind w:firstLine="0" w:firstLineChars="0"/>
              <w:jc w:val="center"/>
              <w:rPr>
                <w:rFonts w:ascii="宋体" w:hAnsi="宋体" w:cs="宋体"/>
                <w:color w:val="auto"/>
                <w:highlight w:val="none"/>
              </w:rPr>
            </w:pPr>
          </w:p>
        </w:tc>
        <w:tc>
          <w:tcPr>
            <w:tcW w:w="850" w:type="dxa"/>
          </w:tcPr>
          <w:p>
            <w:pPr>
              <w:ind w:firstLine="0" w:firstLineChars="0"/>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657" w:type="dxa"/>
            <w:vMerge w:val="continue"/>
            <w:noWrap/>
          </w:tcPr>
          <w:p>
            <w:pPr>
              <w:ind w:firstLine="0" w:firstLineChars="0"/>
              <w:rPr>
                <w:rFonts w:ascii="宋体" w:hAnsi="宋体" w:cs="宋体"/>
                <w:color w:val="auto"/>
                <w:szCs w:val="21"/>
                <w:highlight w:val="none"/>
              </w:rPr>
            </w:pPr>
          </w:p>
        </w:tc>
        <w:tc>
          <w:tcPr>
            <w:tcW w:w="949" w:type="dxa"/>
            <w:vMerge w:val="continue"/>
          </w:tcPr>
          <w:p>
            <w:pPr>
              <w:ind w:firstLine="0" w:firstLineChars="0"/>
              <w:rPr>
                <w:rFonts w:ascii="宋体" w:hAnsi="宋体" w:cs="宋体"/>
                <w:color w:val="auto"/>
                <w:szCs w:val="21"/>
                <w:highlight w:val="none"/>
              </w:rPr>
            </w:pPr>
          </w:p>
        </w:tc>
        <w:tc>
          <w:tcPr>
            <w:tcW w:w="2328" w:type="dxa"/>
          </w:tcPr>
          <w:p>
            <w:pPr>
              <w:ind w:firstLine="0" w:firstLineChars="0"/>
              <w:rPr>
                <w:rFonts w:ascii="宋体" w:hAnsi="宋体" w:cs="宋体"/>
                <w:color w:val="auto"/>
                <w:szCs w:val="21"/>
                <w:highlight w:val="none"/>
              </w:rPr>
            </w:pPr>
            <w:r>
              <w:rPr>
                <w:rFonts w:hint="eastAsia" w:ascii="宋体" w:hAnsi="宋体" w:cs="宋体"/>
                <w:bCs/>
                <w:color w:val="auto"/>
                <w:highlight w:val="none"/>
              </w:rPr>
              <w:t>音视频管理授权接口</w:t>
            </w:r>
          </w:p>
        </w:tc>
        <w:tc>
          <w:tcPr>
            <w:tcW w:w="1417" w:type="dxa"/>
          </w:tcPr>
          <w:p>
            <w:pPr>
              <w:ind w:firstLine="0" w:firstLineChars="0"/>
              <w:rPr>
                <w:rFonts w:ascii="宋体" w:hAnsi="宋体" w:cs="宋体"/>
                <w:color w:val="auto"/>
                <w:szCs w:val="21"/>
                <w:highlight w:val="none"/>
              </w:rPr>
            </w:pPr>
          </w:p>
        </w:tc>
        <w:tc>
          <w:tcPr>
            <w:tcW w:w="851"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套</w:t>
            </w:r>
          </w:p>
        </w:tc>
        <w:tc>
          <w:tcPr>
            <w:tcW w:w="708"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1</w:t>
            </w:r>
          </w:p>
        </w:tc>
        <w:tc>
          <w:tcPr>
            <w:tcW w:w="993" w:type="dxa"/>
          </w:tcPr>
          <w:p>
            <w:pPr>
              <w:ind w:firstLine="0" w:firstLineChars="0"/>
              <w:jc w:val="center"/>
              <w:rPr>
                <w:rFonts w:ascii="宋体" w:hAnsi="宋体" w:cs="宋体"/>
                <w:color w:val="auto"/>
                <w:highlight w:val="none"/>
              </w:rPr>
            </w:pPr>
          </w:p>
        </w:tc>
        <w:tc>
          <w:tcPr>
            <w:tcW w:w="850" w:type="dxa"/>
          </w:tcPr>
          <w:p>
            <w:pPr>
              <w:ind w:firstLine="0" w:firstLineChars="0"/>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noWrap/>
          </w:tcPr>
          <w:p>
            <w:pPr>
              <w:ind w:firstLine="0" w:firstLineChars="0"/>
              <w:rPr>
                <w:rFonts w:ascii="宋体" w:hAnsi="宋体" w:cs="宋体"/>
                <w:color w:val="auto"/>
                <w:szCs w:val="21"/>
                <w:highlight w:val="none"/>
              </w:rPr>
            </w:pPr>
          </w:p>
        </w:tc>
        <w:tc>
          <w:tcPr>
            <w:tcW w:w="949" w:type="dxa"/>
            <w:vMerge w:val="continue"/>
          </w:tcPr>
          <w:p>
            <w:pPr>
              <w:ind w:firstLine="0" w:firstLineChars="0"/>
              <w:rPr>
                <w:rFonts w:ascii="宋体" w:hAnsi="宋体" w:cs="宋体"/>
                <w:color w:val="auto"/>
                <w:szCs w:val="21"/>
                <w:highlight w:val="none"/>
              </w:rPr>
            </w:pPr>
          </w:p>
        </w:tc>
        <w:tc>
          <w:tcPr>
            <w:tcW w:w="2328" w:type="dxa"/>
          </w:tcPr>
          <w:p>
            <w:pPr>
              <w:ind w:firstLine="0" w:firstLineChars="0"/>
              <w:rPr>
                <w:rFonts w:ascii="宋体" w:hAnsi="宋体" w:cs="宋体"/>
                <w:color w:val="auto"/>
                <w:szCs w:val="21"/>
                <w:highlight w:val="none"/>
              </w:rPr>
            </w:pPr>
            <w:r>
              <w:rPr>
                <w:rFonts w:hint="eastAsia" w:ascii="宋体" w:hAnsi="宋体" w:cs="宋体"/>
                <w:bCs/>
                <w:color w:val="auto"/>
                <w:highlight w:val="none"/>
              </w:rPr>
              <w:t>第三方业务开发接口</w:t>
            </w:r>
          </w:p>
        </w:tc>
        <w:tc>
          <w:tcPr>
            <w:tcW w:w="1417" w:type="dxa"/>
          </w:tcPr>
          <w:p>
            <w:pPr>
              <w:ind w:firstLine="0" w:firstLineChars="0"/>
              <w:rPr>
                <w:rFonts w:ascii="宋体" w:hAnsi="宋体" w:cs="宋体"/>
                <w:color w:val="auto"/>
                <w:szCs w:val="21"/>
                <w:highlight w:val="none"/>
              </w:rPr>
            </w:pPr>
          </w:p>
        </w:tc>
        <w:tc>
          <w:tcPr>
            <w:tcW w:w="851"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套</w:t>
            </w:r>
          </w:p>
        </w:tc>
        <w:tc>
          <w:tcPr>
            <w:tcW w:w="708"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1</w:t>
            </w:r>
          </w:p>
        </w:tc>
        <w:tc>
          <w:tcPr>
            <w:tcW w:w="993" w:type="dxa"/>
          </w:tcPr>
          <w:p>
            <w:pPr>
              <w:ind w:firstLine="0" w:firstLineChars="0"/>
              <w:jc w:val="center"/>
              <w:rPr>
                <w:rFonts w:ascii="宋体" w:hAnsi="宋体" w:cs="宋体"/>
                <w:color w:val="auto"/>
                <w:highlight w:val="none"/>
              </w:rPr>
            </w:pPr>
          </w:p>
        </w:tc>
        <w:tc>
          <w:tcPr>
            <w:tcW w:w="850" w:type="dxa"/>
          </w:tcPr>
          <w:p>
            <w:pPr>
              <w:ind w:firstLine="0" w:firstLineChars="0"/>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restart"/>
            <w:noWrap/>
          </w:tcPr>
          <w:p>
            <w:pPr>
              <w:ind w:firstLine="0" w:firstLineChars="0"/>
              <w:rPr>
                <w:rFonts w:ascii="宋体" w:hAnsi="宋体" w:cs="宋体"/>
                <w:color w:val="auto"/>
                <w:szCs w:val="21"/>
                <w:highlight w:val="none"/>
              </w:rPr>
            </w:pPr>
            <w:r>
              <w:rPr>
                <w:rFonts w:hint="eastAsia" w:ascii="宋体" w:hAnsi="宋体" w:cs="宋体"/>
                <w:color w:val="auto"/>
                <w:szCs w:val="21"/>
                <w:highlight w:val="none"/>
              </w:rPr>
              <w:t>2</w:t>
            </w:r>
          </w:p>
          <w:p>
            <w:pPr>
              <w:ind w:firstLine="0" w:firstLineChars="0"/>
              <w:rPr>
                <w:rFonts w:ascii="宋体" w:hAnsi="宋体" w:cs="宋体"/>
                <w:color w:val="auto"/>
                <w:szCs w:val="21"/>
                <w:highlight w:val="none"/>
              </w:rPr>
            </w:pPr>
          </w:p>
          <w:p>
            <w:pPr>
              <w:ind w:firstLine="0" w:firstLineChars="0"/>
              <w:rPr>
                <w:rFonts w:ascii="宋体" w:hAnsi="宋体" w:cs="宋体"/>
                <w:color w:val="auto"/>
                <w:szCs w:val="21"/>
                <w:highlight w:val="none"/>
              </w:rPr>
            </w:pPr>
          </w:p>
          <w:p>
            <w:pPr>
              <w:ind w:firstLine="0" w:firstLineChars="0"/>
              <w:rPr>
                <w:rFonts w:ascii="宋体" w:hAnsi="宋体" w:cs="宋体"/>
                <w:color w:val="auto"/>
                <w:szCs w:val="21"/>
                <w:highlight w:val="none"/>
              </w:rPr>
            </w:pPr>
          </w:p>
          <w:p>
            <w:pPr>
              <w:ind w:firstLine="0" w:firstLineChars="0"/>
              <w:rPr>
                <w:rFonts w:ascii="宋体" w:hAnsi="宋体" w:cs="宋体"/>
                <w:color w:val="auto"/>
                <w:szCs w:val="21"/>
                <w:highlight w:val="none"/>
              </w:rPr>
            </w:pPr>
          </w:p>
        </w:tc>
        <w:tc>
          <w:tcPr>
            <w:tcW w:w="949" w:type="dxa"/>
            <w:vMerge w:val="restart"/>
          </w:tcPr>
          <w:p>
            <w:pPr>
              <w:ind w:firstLine="0" w:firstLineChars="0"/>
              <w:rPr>
                <w:rFonts w:ascii="宋体" w:hAnsi="宋体" w:cs="宋体"/>
                <w:color w:val="auto"/>
                <w:szCs w:val="21"/>
                <w:highlight w:val="none"/>
              </w:rPr>
            </w:pPr>
            <w:r>
              <w:rPr>
                <w:rFonts w:hint="eastAsia" w:ascii="宋体" w:hAnsi="宋体" w:cs="宋体"/>
                <w:color w:val="auto"/>
                <w:szCs w:val="21"/>
                <w:highlight w:val="none"/>
              </w:rPr>
              <w:t>网关模块</w:t>
            </w:r>
          </w:p>
        </w:tc>
        <w:tc>
          <w:tcPr>
            <w:tcW w:w="2328" w:type="dxa"/>
          </w:tcPr>
          <w:p>
            <w:pPr>
              <w:ind w:firstLine="0" w:firstLineChars="0"/>
              <w:rPr>
                <w:rFonts w:ascii="宋体" w:hAnsi="宋体" w:cs="宋体"/>
                <w:color w:val="auto"/>
                <w:szCs w:val="21"/>
                <w:highlight w:val="none"/>
              </w:rPr>
            </w:pPr>
            <w:r>
              <w:rPr>
                <w:rFonts w:hint="eastAsia" w:ascii="宋体" w:hAnsi="宋体" w:cs="宋体"/>
                <w:bCs/>
                <w:color w:val="auto"/>
                <w:szCs w:val="21"/>
                <w:highlight w:val="none"/>
              </w:rPr>
              <w:t>语音网关</w:t>
            </w:r>
          </w:p>
        </w:tc>
        <w:tc>
          <w:tcPr>
            <w:tcW w:w="1417" w:type="dxa"/>
          </w:tcPr>
          <w:p>
            <w:pPr>
              <w:ind w:firstLine="0" w:firstLineChars="0"/>
              <w:rPr>
                <w:rFonts w:ascii="宋体" w:hAnsi="宋体" w:cs="宋体"/>
                <w:color w:val="auto"/>
                <w:szCs w:val="21"/>
                <w:highlight w:val="none"/>
              </w:rPr>
            </w:pPr>
          </w:p>
        </w:tc>
        <w:tc>
          <w:tcPr>
            <w:tcW w:w="851"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台</w:t>
            </w:r>
          </w:p>
        </w:tc>
        <w:tc>
          <w:tcPr>
            <w:tcW w:w="708"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1</w:t>
            </w:r>
          </w:p>
        </w:tc>
        <w:tc>
          <w:tcPr>
            <w:tcW w:w="993" w:type="dxa"/>
          </w:tcPr>
          <w:p>
            <w:pPr>
              <w:ind w:firstLine="0" w:firstLineChars="0"/>
              <w:jc w:val="center"/>
              <w:rPr>
                <w:rFonts w:ascii="宋体" w:hAnsi="宋体" w:cs="宋体"/>
                <w:color w:val="auto"/>
                <w:highlight w:val="none"/>
              </w:rPr>
            </w:pPr>
          </w:p>
        </w:tc>
        <w:tc>
          <w:tcPr>
            <w:tcW w:w="850" w:type="dxa"/>
          </w:tcPr>
          <w:p>
            <w:pPr>
              <w:ind w:firstLine="0" w:firstLineChars="0"/>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noWrap/>
          </w:tcPr>
          <w:p>
            <w:pPr>
              <w:ind w:firstLine="0" w:firstLineChars="0"/>
              <w:rPr>
                <w:rFonts w:ascii="宋体" w:hAnsi="宋体" w:cs="宋体"/>
                <w:color w:val="auto"/>
                <w:szCs w:val="21"/>
                <w:highlight w:val="none"/>
              </w:rPr>
            </w:pPr>
          </w:p>
        </w:tc>
        <w:tc>
          <w:tcPr>
            <w:tcW w:w="949" w:type="dxa"/>
            <w:vMerge w:val="continue"/>
          </w:tcPr>
          <w:p>
            <w:pPr>
              <w:ind w:firstLine="0" w:firstLineChars="0"/>
              <w:rPr>
                <w:rFonts w:ascii="宋体" w:hAnsi="宋体" w:cs="宋体"/>
                <w:color w:val="auto"/>
                <w:szCs w:val="21"/>
                <w:highlight w:val="none"/>
              </w:rPr>
            </w:pPr>
          </w:p>
        </w:tc>
        <w:tc>
          <w:tcPr>
            <w:tcW w:w="2328" w:type="dxa"/>
          </w:tcPr>
          <w:p>
            <w:pPr>
              <w:ind w:firstLine="0" w:firstLineChars="0"/>
              <w:rPr>
                <w:rFonts w:ascii="宋体" w:hAnsi="宋体" w:cs="宋体"/>
                <w:color w:val="auto"/>
                <w:szCs w:val="21"/>
                <w:highlight w:val="none"/>
              </w:rPr>
            </w:pPr>
            <w:r>
              <w:rPr>
                <w:rFonts w:hint="eastAsia" w:ascii="宋体" w:hAnsi="宋体" w:cs="宋体"/>
                <w:bCs/>
                <w:color w:val="auto"/>
                <w:szCs w:val="21"/>
                <w:highlight w:val="none"/>
              </w:rPr>
              <w:t>数字中继网关</w:t>
            </w:r>
          </w:p>
        </w:tc>
        <w:tc>
          <w:tcPr>
            <w:tcW w:w="1417" w:type="dxa"/>
          </w:tcPr>
          <w:p>
            <w:pPr>
              <w:ind w:firstLine="0" w:firstLineChars="0"/>
              <w:rPr>
                <w:rFonts w:ascii="宋体" w:hAnsi="宋体" w:cs="宋体"/>
                <w:color w:val="auto"/>
                <w:szCs w:val="21"/>
                <w:highlight w:val="none"/>
              </w:rPr>
            </w:pPr>
          </w:p>
        </w:tc>
        <w:tc>
          <w:tcPr>
            <w:tcW w:w="851"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台</w:t>
            </w:r>
          </w:p>
        </w:tc>
        <w:tc>
          <w:tcPr>
            <w:tcW w:w="708"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1</w:t>
            </w:r>
          </w:p>
        </w:tc>
        <w:tc>
          <w:tcPr>
            <w:tcW w:w="993" w:type="dxa"/>
          </w:tcPr>
          <w:p>
            <w:pPr>
              <w:ind w:firstLine="0" w:firstLineChars="0"/>
              <w:jc w:val="center"/>
              <w:rPr>
                <w:rFonts w:ascii="宋体" w:hAnsi="宋体" w:cs="宋体"/>
                <w:color w:val="auto"/>
                <w:highlight w:val="none"/>
              </w:rPr>
            </w:pPr>
          </w:p>
        </w:tc>
        <w:tc>
          <w:tcPr>
            <w:tcW w:w="850" w:type="dxa"/>
          </w:tcPr>
          <w:p>
            <w:pPr>
              <w:ind w:firstLine="0" w:firstLineChars="0"/>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noWrap/>
          </w:tcPr>
          <w:p>
            <w:pPr>
              <w:ind w:firstLine="0" w:firstLineChars="0"/>
              <w:rPr>
                <w:rFonts w:ascii="宋体" w:hAnsi="宋体" w:cs="宋体"/>
                <w:color w:val="auto"/>
                <w:szCs w:val="21"/>
                <w:highlight w:val="none"/>
              </w:rPr>
            </w:pPr>
          </w:p>
        </w:tc>
        <w:tc>
          <w:tcPr>
            <w:tcW w:w="949" w:type="dxa"/>
            <w:vMerge w:val="continue"/>
          </w:tcPr>
          <w:p>
            <w:pPr>
              <w:ind w:firstLine="0" w:firstLineChars="0"/>
              <w:rPr>
                <w:rFonts w:ascii="宋体" w:hAnsi="宋体" w:cs="宋体"/>
                <w:color w:val="auto"/>
                <w:szCs w:val="21"/>
                <w:highlight w:val="none"/>
              </w:rPr>
            </w:pPr>
          </w:p>
        </w:tc>
        <w:tc>
          <w:tcPr>
            <w:tcW w:w="2328" w:type="dxa"/>
          </w:tcPr>
          <w:p>
            <w:pPr>
              <w:ind w:firstLine="0" w:firstLineChars="0"/>
              <w:rPr>
                <w:rFonts w:ascii="宋体" w:hAnsi="宋体" w:cs="宋体"/>
                <w:color w:val="auto"/>
                <w:szCs w:val="21"/>
                <w:highlight w:val="none"/>
              </w:rPr>
            </w:pPr>
            <w:r>
              <w:rPr>
                <w:rFonts w:hint="eastAsia" w:ascii="宋体" w:hAnsi="宋体" w:cs="宋体"/>
                <w:bCs/>
                <w:color w:val="auto"/>
                <w:szCs w:val="21"/>
                <w:highlight w:val="none"/>
              </w:rPr>
              <w:t>无线语音网关</w:t>
            </w:r>
          </w:p>
        </w:tc>
        <w:tc>
          <w:tcPr>
            <w:tcW w:w="1417" w:type="dxa"/>
            <w:tcBorders>
              <w:bottom w:val="single" w:color="auto" w:sz="4" w:space="0"/>
            </w:tcBorders>
          </w:tcPr>
          <w:p>
            <w:pPr>
              <w:wordWrap w:val="0"/>
              <w:ind w:firstLine="0" w:firstLineChars="0"/>
              <w:rPr>
                <w:rFonts w:ascii="宋体" w:hAnsi="宋体" w:cs="宋体"/>
                <w:color w:val="auto"/>
                <w:szCs w:val="21"/>
                <w:highlight w:val="none"/>
              </w:rPr>
            </w:pPr>
          </w:p>
        </w:tc>
        <w:tc>
          <w:tcPr>
            <w:tcW w:w="851"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台</w:t>
            </w:r>
          </w:p>
        </w:tc>
        <w:tc>
          <w:tcPr>
            <w:tcW w:w="708"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1</w:t>
            </w:r>
          </w:p>
        </w:tc>
        <w:tc>
          <w:tcPr>
            <w:tcW w:w="993" w:type="dxa"/>
          </w:tcPr>
          <w:p>
            <w:pPr>
              <w:ind w:firstLine="0" w:firstLineChars="0"/>
              <w:jc w:val="center"/>
              <w:rPr>
                <w:rFonts w:ascii="宋体" w:hAnsi="宋体" w:cs="宋体"/>
                <w:color w:val="auto"/>
                <w:highlight w:val="none"/>
              </w:rPr>
            </w:pPr>
          </w:p>
        </w:tc>
        <w:tc>
          <w:tcPr>
            <w:tcW w:w="850" w:type="dxa"/>
          </w:tcPr>
          <w:p>
            <w:pPr>
              <w:ind w:firstLine="0" w:firstLineChars="0"/>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noWrap/>
          </w:tcPr>
          <w:p>
            <w:pPr>
              <w:ind w:firstLine="0" w:firstLineChars="0"/>
              <w:rPr>
                <w:rFonts w:ascii="宋体" w:hAnsi="宋体" w:cs="宋体"/>
                <w:color w:val="auto"/>
                <w:szCs w:val="21"/>
                <w:highlight w:val="none"/>
              </w:rPr>
            </w:pPr>
          </w:p>
        </w:tc>
        <w:tc>
          <w:tcPr>
            <w:tcW w:w="949" w:type="dxa"/>
            <w:vMerge w:val="continue"/>
          </w:tcPr>
          <w:p>
            <w:pPr>
              <w:ind w:firstLine="0" w:firstLineChars="0"/>
              <w:rPr>
                <w:rFonts w:ascii="宋体" w:hAnsi="宋体" w:cs="宋体"/>
                <w:color w:val="auto"/>
                <w:szCs w:val="21"/>
                <w:highlight w:val="none"/>
              </w:rPr>
            </w:pPr>
          </w:p>
        </w:tc>
        <w:tc>
          <w:tcPr>
            <w:tcW w:w="2328" w:type="dxa"/>
          </w:tcPr>
          <w:p>
            <w:pPr>
              <w:ind w:firstLine="0" w:firstLineChars="0"/>
              <w:rPr>
                <w:rFonts w:ascii="宋体" w:hAnsi="宋体" w:cs="宋体"/>
                <w:color w:val="auto"/>
                <w:szCs w:val="21"/>
                <w:highlight w:val="none"/>
              </w:rPr>
            </w:pPr>
            <w:r>
              <w:rPr>
                <w:rFonts w:hint="eastAsia" w:ascii="宋体" w:hAnsi="宋体" w:cs="宋体"/>
                <w:bCs/>
                <w:color w:val="auto"/>
                <w:szCs w:val="21"/>
                <w:highlight w:val="none"/>
              </w:rPr>
              <w:t>窄带语音接入网关</w:t>
            </w:r>
          </w:p>
        </w:tc>
        <w:tc>
          <w:tcPr>
            <w:tcW w:w="1417" w:type="dxa"/>
          </w:tcPr>
          <w:p>
            <w:pPr>
              <w:wordWrap w:val="0"/>
              <w:ind w:firstLine="0" w:firstLineChars="0"/>
              <w:rPr>
                <w:rFonts w:ascii="宋体" w:hAnsi="宋体" w:cs="宋体"/>
                <w:color w:val="auto"/>
                <w:szCs w:val="21"/>
                <w:highlight w:val="none"/>
              </w:rPr>
            </w:pPr>
          </w:p>
        </w:tc>
        <w:tc>
          <w:tcPr>
            <w:tcW w:w="851"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套</w:t>
            </w:r>
          </w:p>
        </w:tc>
        <w:tc>
          <w:tcPr>
            <w:tcW w:w="708"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1</w:t>
            </w:r>
          </w:p>
        </w:tc>
        <w:tc>
          <w:tcPr>
            <w:tcW w:w="993" w:type="dxa"/>
          </w:tcPr>
          <w:p>
            <w:pPr>
              <w:ind w:firstLine="0" w:firstLineChars="0"/>
              <w:jc w:val="center"/>
              <w:rPr>
                <w:rFonts w:ascii="宋体" w:hAnsi="宋体" w:cs="宋体"/>
                <w:color w:val="auto"/>
                <w:highlight w:val="none"/>
              </w:rPr>
            </w:pPr>
          </w:p>
        </w:tc>
        <w:tc>
          <w:tcPr>
            <w:tcW w:w="850" w:type="dxa"/>
          </w:tcPr>
          <w:p>
            <w:pPr>
              <w:ind w:firstLine="0" w:firstLineChars="0"/>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noWrap/>
          </w:tcPr>
          <w:p>
            <w:pPr>
              <w:ind w:firstLine="0" w:firstLineChars="0"/>
              <w:rPr>
                <w:rFonts w:ascii="宋体" w:hAnsi="宋体" w:cs="宋体"/>
                <w:color w:val="auto"/>
                <w:szCs w:val="21"/>
                <w:highlight w:val="none"/>
              </w:rPr>
            </w:pPr>
          </w:p>
        </w:tc>
        <w:tc>
          <w:tcPr>
            <w:tcW w:w="949" w:type="dxa"/>
            <w:vMerge w:val="continue"/>
          </w:tcPr>
          <w:p>
            <w:pPr>
              <w:ind w:firstLine="0" w:firstLineChars="0"/>
              <w:rPr>
                <w:rFonts w:ascii="宋体" w:hAnsi="宋体" w:cs="宋体"/>
                <w:color w:val="auto"/>
                <w:szCs w:val="21"/>
                <w:highlight w:val="none"/>
              </w:rPr>
            </w:pPr>
          </w:p>
        </w:tc>
        <w:tc>
          <w:tcPr>
            <w:tcW w:w="2328" w:type="dxa"/>
          </w:tcPr>
          <w:p>
            <w:pPr>
              <w:ind w:firstLine="0" w:firstLineChars="0"/>
              <w:rPr>
                <w:rFonts w:ascii="宋体" w:hAnsi="宋体" w:cs="宋体"/>
                <w:color w:val="auto"/>
                <w:szCs w:val="21"/>
                <w:highlight w:val="none"/>
              </w:rPr>
            </w:pPr>
            <w:r>
              <w:rPr>
                <w:rFonts w:hint="eastAsia" w:ascii="宋体" w:hAnsi="宋体" w:cs="宋体"/>
                <w:bCs/>
                <w:color w:val="auto"/>
                <w:szCs w:val="21"/>
                <w:highlight w:val="none"/>
              </w:rPr>
              <w:t>广播音频接入网关</w:t>
            </w:r>
          </w:p>
        </w:tc>
        <w:tc>
          <w:tcPr>
            <w:tcW w:w="1417" w:type="dxa"/>
          </w:tcPr>
          <w:p>
            <w:pPr>
              <w:ind w:firstLine="0" w:firstLineChars="0"/>
              <w:rPr>
                <w:rFonts w:ascii="宋体" w:hAnsi="宋体" w:cs="宋体"/>
                <w:color w:val="auto"/>
                <w:szCs w:val="21"/>
                <w:highlight w:val="none"/>
              </w:rPr>
            </w:pPr>
          </w:p>
        </w:tc>
        <w:tc>
          <w:tcPr>
            <w:tcW w:w="851"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台</w:t>
            </w:r>
          </w:p>
        </w:tc>
        <w:tc>
          <w:tcPr>
            <w:tcW w:w="708"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1</w:t>
            </w:r>
          </w:p>
        </w:tc>
        <w:tc>
          <w:tcPr>
            <w:tcW w:w="993" w:type="dxa"/>
          </w:tcPr>
          <w:p>
            <w:pPr>
              <w:ind w:firstLine="0" w:firstLineChars="0"/>
              <w:jc w:val="center"/>
              <w:rPr>
                <w:rFonts w:ascii="宋体" w:hAnsi="宋体" w:cs="宋体"/>
                <w:color w:val="auto"/>
                <w:highlight w:val="none"/>
              </w:rPr>
            </w:pPr>
          </w:p>
        </w:tc>
        <w:tc>
          <w:tcPr>
            <w:tcW w:w="850" w:type="dxa"/>
          </w:tcPr>
          <w:p>
            <w:pPr>
              <w:ind w:firstLine="0" w:firstLineChars="0"/>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noWrap/>
          </w:tcPr>
          <w:p>
            <w:pPr>
              <w:ind w:firstLine="0" w:firstLineChars="0"/>
              <w:rPr>
                <w:rFonts w:ascii="宋体" w:hAnsi="宋体" w:cs="宋体"/>
                <w:color w:val="auto"/>
                <w:szCs w:val="21"/>
                <w:highlight w:val="none"/>
              </w:rPr>
            </w:pPr>
            <w:r>
              <w:rPr>
                <w:rFonts w:hint="eastAsia" w:ascii="宋体" w:hAnsi="宋体" w:cs="宋体"/>
                <w:color w:val="auto"/>
                <w:szCs w:val="21"/>
                <w:highlight w:val="none"/>
              </w:rPr>
              <w:t>3</w:t>
            </w:r>
          </w:p>
        </w:tc>
        <w:tc>
          <w:tcPr>
            <w:tcW w:w="3277" w:type="dxa"/>
            <w:gridSpan w:val="2"/>
          </w:tcPr>
          <w:p>
            <w:pPr>
              <w:ind w:firstLine="0" w:firstLineChars="0"/>
              <w:rPr>
                <w:rFonts w:ascii="宋体" w:hAnsi="宋体" w:cs="宋体"/>
                <w:color w:val="auto"/>
                <w:szCs w:val="21"/>
                <w:highlight w:val="none"/>
              </w:rPr>
            </w:pPr>
            <w:r>
              <w:rPr>
                <w:rFonts w:hint="eastAsia" w:ascii="宋体" w:hAnsi="宋体" w:cs="宋体"/>
                <w:color w:val="auto"/>
                <w:szCs w:val="21"/>
                <w:highlight w:val="none"/>
              </w:rPr>
              <w:t>监控对接模块</w:t>
            </w:r>
          </w:p>
        </w:tc>
        <w:tc>
          <w:tcPr>
            <w:tcW w:w="1417" w:type="dxa"/>
          </w:tcPr>
          <w:p>
            <w:pPr>
              <w:wordWrap w:val="0"/>
              <w:ind w:firstLine="0" w:firstLineChars="0"/>
              <w:rPr>
                <w:rFonts w:ascii="宋体" w:hAnsi="宋体" w:cs="宋体"/>
                <w:color w:val="auto"/>
                <w:szCs w:val="21"/>
                <w:highlight w:val="none"/>
              </w:rPr>
            </w:pPr>
          </w:p>
        </w:tc>
        <w:tc>
          <w:tcPr>
            <w:tcW w:w="851"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套</w:t>
            </w:r>
          </w:p>
        </w:tc>
        <w:tc>
          <w:tcPr>
            <w:tcW w:w="708"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1</w:t>
            </w:r>
          </w:p>
        </w:tc>
        <w:tc>
          <w:tcPr>
            <w:tcW w:w="993" w:type="dxa"/>
          </w:tcPr>
          <w:p>
            <w:pPr>
              <w:ind w:firstLine="0" w:firstLineChars="0"/>
              <w:jc w:val="center"/>
              <w:rPr>
                <w:rFonts w:ascii="宋体" w:hAnsi="宋体" w:cs="宋体"/>
                <w:color w:val="auto"/>
                <w:highlight w:val="none"/>
              </w:rPr>
            </w:pPr>
          </w:p>
        </w:tc>
        <w:tc>
          <w:tcPr>
            <w:tcW w:w="850" w:type="dxa"/>
          </w:tcPr>
          <w:p>
            <w:pPr>
              <w:ind w:firstLine="0" w:firstLineChars="0"/>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noWrap/>
          </w:tcPr>
          <w:p>
            <w:pPr>
              <w:ind w:firstLine="0" w:firstLineChars="0"/>
              <w:rPr>
                <w:rFonts w:ascii="宋体" w:hAnsi="宋体" w:cs="宋体"/>
                <w:color w:val="auto"/>
                <w:szCs w:val="21"/>
                <w:highlight w:val="none"/>
              </w:rPr>
            </w:pPr>
            <w:r>
              <w:rPr>
                <w:rFonts w:hint="eastAsia" w:ascii="宋体" w:hAnsi="宋体" w:cs="宋体"/>
                <w:color w:val="auto"/>
                <w:szCs w:val="21"/>
                <w:highlight w:val="none"/>
              </w:rPr>
              <w:t>4</w:t>
            </w:r>
          </w:p>
        </w:tc>
        <w:tc>
          <w:tcPr>
            <w:tcW w:w="3277" w:type="dxa"/>
            <w:gridSpan w:val="2"/>
          </w:tcPr>
          <w:p>
            <w:pPr>
              <w:ind w:firstLine="0" w:firstLineChars="0"/>
              <w:rPr>
                <w:rFonts w:ascii="宋体" w:hAnsi="宋体" w:cs="宋体"/>
                <w:color w:val="auto"/>
                <w:szCs w:val="21"/>
                <w:highlight w:val="none"/>
              </w:rPr>
            </w:pPr>
            <w:r>
              <w:rPr>
                <w:rFonts w:hint="eastAsia" w:ascii="宋体" w:hAnsi="宋体" w:cs="宋体"/>
                <w:color w:val="auto"/>
                <w:szCs w:val="21"/>
                <w:highlight w:val="none"/>
              </w:rPr>
              <w:t>音视频管理模块</w:t>
            </w:r>
          </w:p>
        </w:tc>
        <w:tc>
          <w:tcPr>
            <w:tcW w:w="1417" w:type="dxa"/>
          </w:tcPr>
          <w:p>
            <w:pPr>
              <w:ind w:firstLine="0" w:firstLineChars="0"/>
              <w:rPr>
                <w:rFonts w:ascii="宋体" w:hAnsi="宋体" w:cs="宋体"/>
                <w:color w:val="auto"/>
                <w:szCs w:val="21"/>
                <w:highlight w:val="none"/>
              </w:rPr>
            </w:pPr>
          </w:p>
        </w:tc>
        <w:tc>
          <w:tcPr>
            <w:tcW w:w="851"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套</w:t>
            </w:r>
          </w:p>
        </w:tc>
        <w:tc>
          <w:tcPr>
            <w:tcW w:w="708"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1</w:t>
            </w:r>
          </w:p>
        </w:tc>
        <w:tc>
          <w:tcPr>
            <w:tcW w:w="993" w:type="dxa"/>
          </w:tcPr>
          <w:p>
            <w:pPr>
              <w:ind w:firstLine="0" w:firstLineChars="0"/>
              <w:jc w:val="center"/>
              <w:rPr>
                <w:rFonts w:ascii="宋体" w:hAnsi="宋体" w:cs="宋体"/>
                <w:color w:val="auto"/>
                <w:highlight w:val="none"/>
              </w:rPr>
            </w:pPr>
          </w:p>
        </w:tc>
        <w:tc>
          <w:tcPr>
            <w:tcW w:w="850" w:type="dxa"/>
          </w:tcPr>
          <w:p>
            <w:pPr>
              <w:ind w:firstLine="0" w:firstLineChars="0"/>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noWrap/>
          </w:tcPr>
          <w:p>
            <w:pPr>
              <w:ind w:firstLine="0" w:firstLineChars="0"/>
              <w:rPr>
                <w:rFonts w:ascii="宋体" w:hAnsi="宋体" w:cs="宋体"/>
                <w:color w:val="auto"/>
                <w:szCs w:val="21"/>
                <w:highlight w:val="none"/>
              </w:rPr>
            </w:pPr>
            <w:r>
              <w:rPr>
                <w:rFonts w:hint="eastAsia" w:ascii="宋体" w:hAnsi="宋体" w:cs="宋体"/>
                <w:color w:val="auto"/>
                <w:szCs w:val="21"/>
                <w:highlight w:val="none"/>
              </w:rPr>
              <w:t>5</w:t>
            </w:r>
          </w:p>
        </w:tc>
        <w:tc>
          <w:tcPr>
            <w:tcW w:w="3277" w:type="dxa"/>
            <w:gridSpan w:val="2"/>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多媒体调度台</w:t>
            </w:r>
          </w:p>
        </w:tc>
        <w:tc>
          <w:tcPr>
            <w:tcW w:w="1417" w:type="dxa"/>
          </w:tcPr>
          <w:p>
            <w:pPr>
              <w:ind w:firstLine="0" w:firstLineChars="0"/>
              <w:rPr>
                <w:rFonts w:ascii="宋体" w:hAnsi="宋体" w:cs="宋体"/>
                <w:color w:val="auto"/>
                <w:szCs w:val="21"/>
                <w:highlight w:val="none"/>
              </w:rPr>
            </w:pPr>
          </w:p>
        </w:tc>
        <w:tc>
          <w:tcPr>
            <w:tcW w:w="851"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套</w:t>
            </w:r>
          </w:p>
        </w:tc>
        <w:tc>
          <w:tcPr>
            <w:tcW w:w="708"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1</w:t>
            </w:r>
          </w:p>
        </w:tc>
        <w:tc>
          <w:tcPr>
            <w:tcW w:w="993" w:type="dxa"/>
          </w:tcPr>
          <w:p>
            <w:pPr>
              <w:ind w:firstLine="0" w:firstLineChars="0"/>
              <w:jc w:val="center"/>
              <w:rPr>
                <w:rFonts w:ascii="宋体" w:hAnsi="宋体" w:cs="宋体"/>
                <w:color w:val="auto"/>
                <w:highlight w:val="none"/>
              </w:rPr>
            </w:pPr>
          </w:p>
        </w:tc>
        <w:tc>
          <w:tcPr>
            <w:tcW w:w="850" w:type="dxa"/>
          </w:tcPr>
          <w:p>
            <w:pPr>
              <w:ind w:firstLine="0" w:firstLineChars="0"/>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noWrap/>
          </w:tcPr>
          <w:p>
            <w:pPr>
              <w:ind w:firstLine="0" w:firstLineChars="0"/>
              <w:rPr>
                <w:rFonts w:ascii="宋体" w:hAnsi="宋体" w:cs="宋体"/>
                <w:color w:val="auto"/>
                <w:szCs w:val="21"/>
                <w:highlight w:val="none"/>
              </w:rPr>
            </w:pPr>
            <w:r>
              <w:rPr>
                <w:rFonts w:hint="eastAsia" w:ascii="宋体" w:hAnsi="宋体" w:cs="宋体"/>
                <w:color w:val="auto"/>
                <w:szCs w:val="21"/>
                <w:highlight w:val="none"/>
              </w:rPr>
              <w:t>6</w:t>
            </w:r>
          </w:p>
        </w:tc>
        <w:tc>
          <w:tcPr>
            <w:tcW w:w="3277" w:type="dxa"/>
            <w:gridSpan w:val="2"/>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桌面调度会议终端</w:t>
            </w:r>
          </w:p>
        </w:tc>
        <w:tc>
          <w:tcPr>
            <w:tcW w:w="1417" w:type="dxa"/>
          </w:tcPr>
          <w:p>
            <w:pPr>
              <w:ind w:firstLine="0" w:firstLineChars="0"/>
              <w:rPr>
                <w:rFonts w:ascii="宋体" w:hAnsi="宋体" w:cs="宋体"/>
                <w:color w:val="auto"/>
                <w:szCs w:val="21"/>
                <w:highlight w:val="none"/>
              </w:rPr>
            </w:pPr>
          </w:p>
        </w:tc>
        <w:tc>
          <w:tcPr>
            <w:tcW w:w="851" w:type="dxa"/>
          </w:tcPr>
          <w:p>
            <w:pPr>
              <w:ind w:firstLine="0" w:firstLineChars="0"/>
              <w:jc w:val="center"/>
              <w:rPr>
                <w:rFonts w:ascii="宋体" w:hAnsi="宋体" w:cs="宋体"/>
                <w:color w:val="auto"/>
                <w:highlight w:val="none"/>
              </w:rPr>
            </w:pPr>
            <w:r>
              <w:rPr>
                <w:rFonts w:hint="eastAsia" w:ascii="宋体" w:hAnsi="宋体" w:cs="宋体"/>
                <w:color w:val="auto"/>
                <w:highlight w:val="none"/>
              </w:rPr>
              <w:t>部</w:t>
            </w:r>
          </w:p>
        </w:tc>
        <w:tc>
          <w:tcPr>
            <w:tcW w:w="708" w:type="dxa"/>
          </w:tcPr>
          <w:p>
            <w:pPr>
              <w:ind w:firstLine="0" w:firstLineChars="0"/>
              <w:jc w:val="center"/>
              <w:rPr>
                <w:rFonts w:ascii="宋体" w:hAnsi="宋体" w:cs="宋体"/>
                <w:color w:val="auto"/>
                <w:highlight w:val="none"/>
              </w:rPr>
            </w:pPr>
            <w:r>
              <w:rPr>
                <w:rFonts w:hint="eastAsia" w:ascii="宋体" w:hAnsi="宋体" w:cs="宋体"/>
                <w:color w:val="auto"/>
                <w:highlight w:val="none"/>
              </w:rPr>
              <w:t>72</w:t>
            </w:r>
          </w:p>
        </w:tc>
        <w:tc>
          <w:tcPr>
            <w:tcW w:w="993" w:type="dxa"/>
          </w:tcPr>
          <w:p>
            <w:pPr>
              <w:ind w:firstLine="0" w:firstLineChars="0"/>
              <w:jc w:val="center"/>
              <w:rPr>
                <w:rFonts w:ascii="宋体" w:hAnsi="宋体" w:cs="宋体"/>
                <w:color w:val="auto"/>
                <w:highlight w:val="none"/>
              </w:rPr>
            </w:pPr>
          </w:p>
        </w:tc>
        <w:tc>
          <w:tcPr>
            <w:tcW w:w="850" w:type="dxa"/>
          </w:tcPr>
          <w:p>
            <w:pPr>
              <w:ind w:firstLine="0" w:firstLineChars="0"/>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noWrap/>
          </w:tcPr>
          <w:p>
            <w:pPr>
              <w:ind w:firstLine="0" w:firstLineChars="0"/>
              <w:rPr>
                <w:rFonts w:ascii="宋体" w:hAnsi="宋体" w:cs="宋体"/>
                <w:color w:val="auto"/>
                <w:szCs w:val="21"/>
                <w:highlight w:val="none"/>
              </w:rPr>
            </w:pPr>
            <w:r>
              <w:rPr>
                <w:rFonts w:hint="eastAsia" w:ascii="宋体" w:hAnsi="宋体" w:cs="宋体"/>
                <w:color w:val="auto"/>
                <w:szCs w:val="21"/>
                <w:highlight w:val="none"/>
              </w:rPr>
              <w:t>7</w:t>
            </w:r>
          </w:p>
        </w:tc>
        <w:tc>
          <w:tcPr>
            <w:tcW w:w="3277" w:type="dxa"/>
            <w:gridSpan w:val="2"/>
          </w:tcPr>
          <w:p>
            <w:pPr>
              <w:ind w:firstLine="0" w:firstLineChars="0"/>
              <w:rPr>
                <w:rFonts w:ascii="宋体" w:hAnsi="宋体" w:cs="宋体"/>
                <w:color w:val="auto"/>
                <w:szCs w:val="21"/>
                <w:highlight w:val="none"/>
              </w:rPr>
            </w:pPr>
            <w:r>
              <w:rPr>
                <w:rFonts w:hint="eastAsia" w:ascii="宋体" w:hAnsi="宋体" w:cs="宋体"/>
                <w:color w:val="auto"/>
                <w:szCs w:val="21"/>
                <w:highlight w:val="none"/>
              </w:rPr>
              <w:t>视频会议管理系统</w:t>
            </w:r>
          </w:p>
        </w:tc>
        <w:tc>
          <w:tcPr>
            <w:tcW w:w="1417" w:type="dxa"/>
          </w:tcPr>
          <w:p>
            <w:pPr>
              <w:wordWrap w:val="0"/>
              <w:ind w:firstLine="0" w:firstLineChars="0"/>
              <w:rPr>
                <w:rFonts w:ascii="宋体" w:hAnsi="宋体" w:cs="宋体"/>
                <w:color w:val="auto"/>
                <w:szCs w:val="21"/>
                <w:highlight w:val="none"/>
              </w:rPr>
            </w:pPr>
          </w:p>
        </w:tc>
        <w:tc>
          <w:tcPr>
            <w:tcW w:w="851"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套</w:t>
            </w:r>
          </w:p>
        </w:tc>
        <w:tc>
          <w:tcPr>
            <w:tcW w:w="708" w:type="dxa"/>
          </w:tcPr>
          <w:p>
            <w:pPr>
              <w:ind w:firstLine="0" w:firstLineChars="0"/>
              <w:jc w:val="center"/>
              <w:rPr>
                <w:rFonts w:ascii="宋体" w:hAnsi="宋体" w:cs="宋体"/>
                <w:color w:val="auto"/>
                <w:highlight w:val="none"/>
              </w:rPr>
            </w:pPr>
            <w:r>
              <w:rPr>
                <w:rFonts w:hint="eastAsia" w:ascii="宋体" w:hAnsi="宋体" w:cs="宋体"/>
                <w:color w:val="auto"/>
                <w:highlight w:val="none"/>
              </w:rPr>
              <w:t>1</w:t>
            </w:r>
          </w:p>
        </w:tc>
        <w:tc>
          <w:tcPr>
            <w:tcW w:w="993" w:type="dxa"/>
          </w:tcPr>
          <w:p>
            <w:pPr>
              <w:ind w:firstLine="0" w:firstLineChars="0"/>
              <w:jc w:val="center"/>
              <w:rPr>
                <w:rFonts w:ascii="宋体" w:hAnsi="宋体" w:cs="宋体"/>
                <w:color w:val="auto"/>
                <w:highlight w:val="none"/>
              </w:rPr>
            </w:pPr>
          </w:p>
        </w:tc>
        <w:tc>
          <w:tcPr>
            <w:tcW w:w="850" w:type="dxa"/>
          </w:tcPr>
          <w:p>
            <w:pPr>
              <w:ind w:firstLine="0" w:firstLineChars="0"/>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657" w:type="dxa"/>
            <w:noWrap/>
          </w:tcPr>
          <w:p>
            <w:pPr>
              <w:ind w:firstLine="0" w:firstLineChars="0"/>
              <w:rPr>
                <w:rFonts w:ascii="宋体" w:hAnsi="宋体" w:cs="宋体"/>
                <w:color w:val="auto"/>
                <w:szCs w:val="21"/>
                <w:highlight w:val="none"/>
              </w:rPr>
            </w:pPr>
            <w:r>
              <w:rPr>
                <w:rFonts w:hint="eastAsia" w:ascii="宋体" w:hAnsi="宋体" w:cs="宋体"/>
                <w:color w:val="auto"/>
                <w:szCs w:val="21"/>
                <w:highlight w:val="none"/>
              </w:rPr>
              <w:t>8</w:t>
            </w:r>
          </w:p>
        </w:tc>
        <w:tc>
          <w:tcPr>
            <w:tcW w:w="3277" w:type="dxa"/>
            <w:gridSpan w:val="2"/>
            <w:noWrap/>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多点控制单元</w:t>
            </w:r>
          </w:p>
        </w:tc>
        <w:tc>
          <w:tcPr>
            <w:tcW w:w="1417" w:type="dxa"/>
          </w:tcPr>
          <w:p>
            <w:pPr>
              <w:ind w:firstLine="0" w:firstLineChars="0"/>
              <w:rPr>
                <w:rFonts w:ascii="宋体" w:hAnsi="宋体" w:cs="宋体"/>
                <w:color w:val="auto"/>
                <w:szCs w:val="21"/>
                <w:highlight w:val="none"/>
              </w:rPr>
            </w:pPr>
          </w:p>
        </w:tc>
        <w:tc>
          <w:tcPr>
            <w:tcW w:w="851" w:type="dxa"/>
          </w:tcPr>
          <w:p>
            <w:pPr>
              <w:ind w:firstLine="0" w:firstLineChars="0"/>
              <w:jc w:val="center"/>
              <w:rPr>
                <w:rFonts w:ascii="宋体" w:hAnsi="宋体" w:cs="宋体"/>
                <w:color w:val="auto"/>
                <w:highlight w:val="none"/>
              </w:rPr>
            </w:pPr>
            <w:r>
              <w:rPr>
                <w:rFonts w:hint="eastAsia" w:ascii="宋体" w:hAnsi="宋体" w:cs="宋体"/>
                <w:color w:val="auto"/>
                <w:highlight w:val="none"/>
              </w:rPr>
              <w:t>套</w:t>
            </w:r>
          </w:p>
        </w:tc>
        <w:tc>
          <w:tcPr>
            <w:tcW w:w="708" w:type="dxa"/>
          </w:tcPr>
          <w:p>
            <w:pPr>
              <w:ind w:firstLine="0" w:firstLineChars="0"/>
              <w:jc w:val="center"/>
              <w:rPr>
                <w:rFonts w:ascii="宋体" w:hAnsi="宋体" w:cs="宋体"/>
                <w:color w:val="auto"/>
                <w:highlight w:val="none"/>
              </w:rPr>
            </w:pPr>
            <w:r>
              <w:rPr>
                <w:rFonts w:hint="eastAsia" w:ascii="宋体" w:hAnsi="宋体" w:cs="宋体"/>
                <w:color w:val="auto"/>
                <w:highlight w:val="none"/>
              </w:rPr>
              <w:t>1</w:t>
            </w:r>
          </w:p>
        </w:tc>
        <w:tc>
          <w:tcPr>
            <w:tcW w:w="993" w:type="dxa"/>
          </w:tcPr>
          <w:p>
            <w:pPr>
              <w:ind w:firstLine="0" w:firstLineChars="0"/>
              <w:jc w:val="center"/>
              <w:rPr>
                <w:rFonts w:ascii="宋体" w:hAnsi="宋体" w:cs="宋体"/>
                <w:color w:val="auto"/>
                <w:highlight w:val="none"/>
              </w:rPr>
            </w:pPr>
          </w:p>
        </w:tc>
        <w:tc>
          <w:tcPr>
            <w:tcW w:w="850" w:type="dxa"/>
          </w:tcPr>
          <w:p>
            <w:pPr>
              <w:ind w:firstLine="0" w:firstLineChars="0"/>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noWrap/>
          </w:tcPr>
          <w:p>
            <w:pPr>
              <w:ind w:firstLine="0" w:firstLineChars="0"/>
              <w:rPr>
                <w:rFonts w:ascii="宋体" w:hAnsi="宋体" w:cs="宋体"/>
                <w:color w:val="auto"/>
                <w:szCs w:val="21"/>
                <w:highlight w:val="none"/>
              </w:rPr>
            </w:pPr>
            <w:r>
              <w:rPr>
                <w:rFonts w:hint="eastAsia" w:ascii="宋体" w:hAnsi="宋体" w:cs="宋体"/>
                <w:color w:val="auto"/>
                <w:szCs w:val="21"/>
                <w:highlight w:val="none"/>
              </w:rPr>
              <w:t>9</w:t>
            </w:r>
          </w:p>
        </w:tc>
        <w:tc>
          <w:tcPr>
            <w:tcW w:w="3277" w:type="dxa"/>
            <w:gridSpan w:val="2"/>
            <w:noWrap/>
          </w:tcPr>
          <w:p>
            <w:pPr>
              <w:ind w:firstLine="0" w:firstLineChars="0"/>
              <w:rPr>
                <w:rFonts w:ascii="宋体" w:hAnsi="宋体" w:cs="宋体"/>
                <w:color w:val="auto"/>
                <w:szCs w:val="21"/>
                <w:highlight w:val="none"/>
              </w:rPr>
            </w:pPr>
            <w:r>
              <w:rPr>
                <w:rFonts w:hint="eastAsia" w:ascii="宋体" w:hAnsi="宋体" w:cs="宋体"/>
                <w:color w:val="auto"/>
                <w:szCs w:val="21"/>
                <w:highlight w:val="none"/>
              </w:rPr>
              <w:t>视频会议终端</w:t>
            </w:r>
          </w:p>
        </w:tc>
        <w:tc>
          <w:tcPr>
            <w:tcW w:w="1417" w:type="dxa"/>
          </w:tcPr>
          <w:p>
            <w:pPr>
              <w:ind w:firstLine="0" w:firstLineChars="0"/>
              <w:rPr>
                <w:rFonts w:ascii="宋体" w:hAnsi="宋体" w:cs="宋体"/>
                <w:color w:val="auto"/>
                <w:szCs w:val="21"/>
                <w:highlight w:val="none"/>
              </w:rPr>
            </w:pPr>
          </w:p>
        </w:tc>
        <w:tc>
          <w:tcPr>
            <w:tcW w:w="851" w:type="dxa"/>
            <w:noWrap/>
          </w:tcPr>
          <w:p>
            <w:pPr>
              <w:ind w:firstLine="0" w:firstLineChars="0"/>
              <w:jc w:val="center"/>
              <w:rPr>
                <w:rFonts w:ascii="宋体" w:hAnsi="宋体" w:cs="宋体"/>
                <w:color w:val="auto"/>
                <w:highlight w:val="none"/>
              </w:rPr>
            </w:pPr>
            <w:r>
              <w:rPr>
                <w:rFonts w:hint="eastAsia" w:ascii="宋体" w:hAnsi="宋体" w:cs="宋体"/>
                <w:color w:val="auto"/>
                <w:highlight w:val="none"/>
              </w:rPr>
              <w:t>台</w:t>
            </w:r>
          </w:p>
        </w:tc>
        <w:tc>
          <w:tcPr>
            <w:tcW w:w="708" w:type="dxa"/>
          </w:tcPr>
          <w:p>
            <w:pPr>
              <w:ind w:firstLine="0" w:firstLineChars="0"/>
              <w:jc w:val="center"/>
              <w:rPr>
                <w:rFonts w:ascii="宋体" w:hAnsi="宋体" w:cs="宋体"/>
                <w:color w:val="auto"/>
                <w:highlight w:val="none"/>
              </w:rPr>
            </w:pPr>
            <w:r>
              <w:rPr>
                <w:rFonts w:hint="eastAsia" w:ascii="宋体" w:hAnsi="宋体" w:cs="宋体"/>
                <w:color w:val="auto"/>
                <w:highlight w:val="none"/>
              </w:rPr>
              <w:t>1</w:t>
            </w:r>
          </w:p>
        </w:tc>
        <w:tc>
          <w:tcPr>
            <w:tcW w:w="993" w:type="dxa"/>
          </w:tcPr>
          <w:p>
            <w:pPr>
              <w:ind w:firstLine="0" w:firstLineChars="0"/>
              <w:jc w:val="center"/>
              <w:rPr>
                <w:rFonts w:ascii="宋体" w:hAnsi="宋体" w:cs="宋体"/>
                <w:color w:val="auto"/>
                <w:highlight w:val="none"/>
              </w:rPr>
            </w:pPr>
          </w:p>
        </w:tc>
        <w:tc>
          <w:tcPr>
            <w:tcW w:w="850" w:type="dxa"/>
          </w:tcPr>
          <w:p>
            <w:pPr>
              <w:ind w:firstLine="0" w:firstLineChars="0"/>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51" w:type="dxa"/>
            <w:gridSpan w:val="4"/>
            <w:noWrap/>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小计7</w:t>
            </w:r>
          </w:p>
        </w:tc>
        <w:tc>
          <w:tcPr>
            <w:tcW w:w="3402" w:type="dxa"/>
            <w:gridSpan w:val="4"/>
            <w:noWrap/>
          </w:tcPr>
          <w:p>
            <w:pPr>
              <w:ind w:firstLine="0" w:firstLineChars="0"/>
              <w:jc w:val="center"/>
              <w:rPr>
                <w:rFonts w:ascii="宋体" w:hAnsi="宋体" w:cs="宋体"/>
                <w:color w:val="auto"/>
                <w:highlight w:val="none"/>
              </w:rPr>
            </w:pPr>
          </w:p>
        </w:tc>
      </w:tr>
    </w:tbl>
    <w:p>
      <w:pPr>
        <w:pStyle w:val="19"/>
        <w:spacing w:before="120" w:after="120" w:line="480" w:lineRule="auto"/>
        <w:ind w:firstLine="406"/>
        <w:jc w:val="center"/>
        <w:rPr>
          <w:rFonts w:hAnsi="宋体" w:eastAsia="宋体" w:cs="宋体"/>
          <w:b/>
          <w:bCs/>
          <w:color w:val="auto"/>
          <w:sz w:val="21"/>
          <w:szCs w:val="21"/>
          <w:highlight w:val="none"/>
        </w:rPr>
      </w:pPr>
    </w:p>
    <w:p>
      <w:pPr>
        <w:pStyle w:val="19"/>
        <w:spacing w:before="120" w:after="120" w:line="480" w:lineRule="auto"/>
        <w:ind w:firstLine="406"/>
        <w:jc w:val="center"/>
        <w:rPr>
          <w:rFonts w:hAnsi="宋体" w:eastAsia="宋体" w:cs="宋体"/>
          <w:b/>
          <w:bCs/>
          <w:color w:val="auto"/>
          <w:sz w:val="21"/>
          <w:szCs w:val="21"/>
          <w:highlight w:val="none"/>
        </w:rPr>
      </w:pPr>
      <w:r>
        <w:rPr>
          <w:rFonts w:hint="eastAsia" w:hAnsi="宋体" w:eastAsia="宋体" w:cs="宋体"/>
          <w:b/>
          <w:bCs/>
          <w:color w:val="auto"/>
          <w:sz w:val="21"/>
          <w:szCs w:val="21"/>
          <w:highlight w:val="none"/>
        </w:rPr>
        <w:br w:type="page"/>
      </w:r>
    </w:p>
    <w:p>
      <w:pPr>
        <w:pStyle w:val="19"/>
        <w:spacing w:before="120" w:after="120" w:line="480" w:lineRule="auto"/>
        <w:ind w:firstLine="406"/>
        <w:jc w:val="center"/>
        <w:rPr>
          <w:rFonts w:hAnsi="宋体" w:eastAsia="宋体" w:cs="宋体"/>
          <w:b/>
          <w:bCs/>
          <w:color w:val="auto"/>
          <w:sz w:val="24"/>
          <w:highlight w:val="none"/>
        </w:rPr>
      </w:pPr>
      <w:r>
        <w:rPr>
          <w:rFonts w:hint="eastAsia" w:hAnsi="宋体" w:eastAsia="宋体" w:cs="宋体"/>
          <w:b/>
          <w:bCs/>
          <w:color w:val="auto"/>
          <w:sz w:val="21"/>
          <w:szCs w:val="21"/>
          <w:highlight w:val="none"/>
        </w:rPr>
        <w:t>4-8标准规范报价明细表</w:t>
      </w:r>
    </w:p>
    <w:tbl>
      <w:tblPr>
        <w:tblStyle w:val="37"/>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0"/>
        <w:gridCol w:w="1208"/>
        <w:gridCol w:w="2977"/>
        <w:gridCol w:w="709"/>
        <w:gridCol w:w="708"/>
        <w:gridCol w:w="1883"/>
        <w:gridCol w:w="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630" w:type="dxa"/>
            <w:noWrap/>
            <w:tcMar>
              <w:top w:w="10" w:type="dxa"/>
              <w:left w:w="10" w:type="dxa"/>
              <w:right w:w="10" w:type="dxa"/>
            </w:tcMar>
            <w:vAlign w:val="center"/>
          </w:tcPr>
          <w:p>
            <w:pPr>
              <w:widowControl/>
              <w:ind w:firstLine="0" w:firstLineChars="0"/>
              <w:jc w:val="center"/>
              <w:textAlignment w:val="center"/>
              <w:rPr>
                <w:rFonts w:ascii="宋体" w:hAnsi="宋体" w:cs="宋体"/>
                <w:b/>
                <w:color w:val="auto"/>
                <w:szCs w:val="21"/>
                <w:highlight w:val="none"/>
              </w:rPr>
            </w:pPr>
            <w:r>
              <w:rPr>
                <w:rFonts w:hint="eastAsia" w:ascii="宋体" w:hAnsi="宋体" w:cs="宋体"/>
                <w:b/>
                <w:color w:val="auto"/>
                <w:kern w:val="0"/>
                <w:szCs w:val="21"/>
                <w:highlight w:val="none"/>
                <w:lang w:bidi="ar"/>
              </w:rPr>
              <w:t>序号</w:t>
            </w:r>
          </w:p>
        </w:tc>
        <w:tc>
          <w:tcPr>
            <w:tcW w:w="1208" w:type="dxa"/>
            <w:tcMar>
              <w:top w:w="10" w:type="dxa"/>
              <w:left w:w="10" w:type="dxa"/>
              <w:right w:w="10" w:type="dxa"/>
            </w:tcMar>
            <w:vAlign w:val="center"/>
          </w:tcPr>
          <w:p>
            <w:pPr>
              <w:widowControl/>
              <w:ind w:firstLine="0" w:firstLineChars="0"/>
              <w:jc w:val="center"/>
              <w:textAlignment w:val="center"/>
              <w:rPr>
                <w:rFonts w:ascii="宋体" w:hAnsi="宋体" w:cs="宋体"/>
                <w:b/>
                <w:color w:val="auto"/>
                <w:szCs w:val="21"/>
                <w:highlight w:val="none"/>
              </w:rPr>
            </w:pPr>
            <w:r>
              <w:rPr>
                <w:rFonts w:hint="eastAsia" w:ascii="宋体" w:hAnsi="宋体" w:cs="宋体"/>
                <w:b/>
                <w:color w:val="auto"/>
                <w:kern w:val="0"/>
                <w:szCs w:val="21"/>
                <w:highlight w:val="none"/>
                <w:lang w:bidi="ar"/>
              </w:rPr>
              <w:t>系统名称</w:t>
            </w:r>
          </w:p>
        </w:tc>
        <w:tc>
          <w:tcPr>
            <w:tcW w:w="2977" w:type="dxa"/>
            <w:tcMar>
              <w:top w:w="10" w:type="dxa"/>
              <w:left w:w="10" w:type="dxa"/>
              <w:right w:w="10" w:type="dxa"/>
            </w:tcMar>
            <w:vAlign w:val="center"/>
          </w:tcPr>
          <w:p>
            <w:pPr>
              <w:widowControl/>
              <w:ind w:firstLine="0" w:firstLineChars="0"/>
              <w:jc w:val="center"/>
              <w:textAlignment w:val="center"/>
              <w:rPr>
                <w:rFonts w:ascii="宋体" w:hAnsi="宋体" w:cs="宋体"/>
                <w:b/>
                <w:color w:val="auto"/>
                <w:szCs w:val="21"/>
                <w:highlight w:val="none"/>
              </w:rPr>
            </w:pPr>
            <w:r>
              <w:rPr>
                <w:rFonts w:hint="eastAsia" w:ascii="宋体" w:hAnsi="宋体" w:cs="宋体"/>
                <w:b/>
                <w:color w:val="auto"/>
                <w:kern w:val="0"/>
                <w:szCs w:val="21"/>
                <w:highlight w:val="none"/>
                <w:lang w:bidi="ar"/>
              </w:rPr>
              <w:t>功能名称</w:t>
            </w:r>
          </w:p>
        </w:tc>
        <w:tc>
          <w:tcPr>
            <w:tcW w:w="709" w:type="dxa"/>
            <w:tcMar>
              <w:top w:w="10" w:type="dxa"/>
              <w:left w:w="10" w:type="dxa"/>
              <w:right w:w="10" w:type="dxa"/>
            </w:tcMar>
            <w:vAlign w:val="center"/>
          </w:tcPr>
          <w:p>
            <w:pPr>
              <w:widowControl/>
              <w:ind w:firstLine="0" w:firstLineChars="0"/>
              <w:jc w:val="center"/>
              <w:textAlignment w:val="center"/>
              <w:rPr>
                <w:rFonts w:ascii="宋体" w:hAnsi="宋体" w:cs="宋体"/>
                <w:b/>
                <w:color w:val="auto"/>
                <w:szCs w:val="21"/>
                <w:highlight w:val="none"/>
              </w:rPr>
            </w:pPr>
            <w:r>
              <w:rPr>
                <w:rFonts w:hint="eastAsia" w:ascii="宋体" w:hAnsi="宋体" w:cs="宋体"/>
                <w:b/>
                <w:color w:val="auto"/>
                <w:kern w:val="0"/>
                <w:szCs w:val="21"/>
                <w:highlight w:val="none"/>
                <w:lang w:bidi="ar"/>
              </w:rPr>
              <w:t>单位</w:t>
            </w:r>
          </w:p>
        </w:tc>
        <w:tc>
          <w:tcPr>
            <w:tcW w:w="708" w:type="dxa"/>
            <w:tcMar>
              <w:top w:w="10" w:type="dxa"/>
              <w:left w:w="10" w:type="dxa"/>
              <w:right w:w="10" w:type="dxa"/>
            </w:tcMar>
            <w:vAlign w:val="center"/>
          </w:tcPr>
          <w:p>
            <w:pPr>
              <w:widowControl/>
              <w:ind w:firstLine="0" w:firstLineChars="0"/>
              <w:jc w:val="center"/>
              <w:textAlignment w:val="center"/>
              <w:rPr>
                <w:rFonts w:ascii="宋体" w:hAnsi="宋体" w:cs="宋体"/>
                <w:b/>
                <w:color w:val="auto"/>
                <w:szCs w:val="21"/>
                <w:highlight w:val="none"/>
              </w:rPr>
            </w:pPr>
            <w:r>
              <w:rPr>
                <w:rFonts w:hint="eastAsia" w:ascii="宋体" w:hAnsi="宋体" w:cs="宋体"/>
                <w:b/>
                <w:color w:val="auto"/>
                <w:kern w:val="0"/>
                <w:szCs w:val="21"/>
                <w:highlight w:val="none"/>
                <w:lang w:bidi="ar"/>
              </w:rPr>
              <w:t>数量</w:t>
            </w:r>
          </w:p>
        </w:tc>
        <w:tc>
          <w:tcPr>
            <w:tcW w:w="1883" w:type="dxa"/>
          </w:tcPr>
          <w:p>
            <w:pPr>
              <w:ind w:firstLine="0" w:firstLineChars="0"/>
              <w:jc w:val="center"/>
              <w:rPr>
                <w:rFonts w:ascii="宋体" w:hAnsi="宋体" w:cs="宋体"/>
                <w:b/>
                <w:color w:val="auto"/>
                <w:kern w:val="0"/>
                <w:szCs w:val="21"/>
                <w:highlight w:val="none"/>
                <w:lang w:bidi="ar"/>
              </w:rPr>
            </w:pPr>
            <w:r>
              <w:rPr>
                <w:rFonts w:hint="eastAsia" w:ascii="宋体" w:hAnsi="宋体" w:cs="宋体"/>
                <w:b/>
                <w:color w:val="auto"/>
                <w:kern w:val="0"/>
                <w:szCs w:val="21"/>
                <w:highlight w:val="none"/>
                <w:lang w:bidi="ar"/>
              </w:rPr>
              <w:t>单价（元）</w:t>
            </w:r>
          </w:p>
        </w:tc>
        <w:tc>
          <w:tcPr>
            <w:tcW w:w="924" w:type="dxa"/>
            <w:noWrap/>
            <w:tcMar>
              <w:top w:w="10" w:type="dxa"/>
              <w:left w:w="10" w:type="dxa"/>
              <w:right w:w="10" w:type="dxa"/>
            </w:tcMar>
            <w:vAlign w:val="center"/>
          </w:tcPr>
          <w:p>
            <w:pPr>
              <w:ind w:firstLine="0" w:firstLineChars="0"/>
              <w:jc w:val="center"/>
              <w:rPr>
                <w:rFonts w:ascii="宋体" w:hAnsi="宋体" w:cs="宋体"/>
                <w:color w:val="auto"/>
                <w:szCs w:val="21"/>
                <w:highlight w:val="none"/>
              </w:rPr>
            </w:pPr>
            <w:r>
              <w:rPr>
                <w:rFonts w:hint="eastAsia" w:ascii="宋体" w:hAnsi="宋体" w:cs="宋体"/>
                <w:b/>
                <w:color w:val="auto"/>
                <w:kern w:val="0"/>
                <w:szCs w:val="21"/>
                <w:highlight w:val="none"/>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0" w:hRule="atLeast"/>
          <w:jc w:val="center"/>
        </w:trPr>
        <w:tc>
          <w:tcPr>
            <w:tcW w:w="630" w:type="dxa"/>
            <w:vMerge w:val="restart"/>
            <w:noWrap/>
            <w:tcMar>
              <w:top w:w="10" w:type="dxa"/>
              <w:left w:w="10" w:type="dxa"/>
              <w:right w:w="10" w:type="dxa"/>
            </w:tcMar>
            <w:vAlign w:val="center"/>
          </w:tcPr>
          <w:p>
            <w:pPr>
              <w:widowControl/>
              <w:ind w:firstLine="0" w:firstLineChars="0"/>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1208" w:type="dxa"/>
            <w:vMerge w:val="restart"/>
            <w:tcMar>
              <w:top w:w="10" w:type="dxa"/>
              <w:left w:w="10" w:type="dxa"/>
              <w:right w:w="10" w:type="dxa"/>
            </w:tcMar>
            <w:vAlign w:val="center"/>
          </w:tcPr>
          <w:p>
            <w:pPr>
              <w:widowControl/>
              <w:ind w:firstLine="0" w:firstLineChars="0"/>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安全应急标准规范建设</w:t>
            </w:r>
          </w:p>
        </w:tc>
        <w:tc>
          <w:tcPr>
            <w:tcW w:w="2977" w:type="dxa"/>
            <w:tcMar>
              <w:top w:w="10" w:type="dxa"/>
              <w:left w:w="10" w:type="dxa"/>
              <w:right w:w="10" w:type="dxa"/>
            </w:tcMar>
            <w:vAlign w:val="center"/>
          </w:tcPr>
          <w:p>
            <w:pPr>
              <w:ind w:firstLine="0" w:firstLineChars="0"/>
              <w:rPr>
                <w:rFonts w:ascii="宋体" w:hAnsi="宋体" w:cs="宋体"/>
                <w:color w:val="auto"/>
                <w:szCs w:val="21"/>
                <w:highlight w:val="none"/>
              </w:rPr>
            </w:pPr>
            <w:r>
              <w:rPr>
                <w:rFonts w:hint="eastAsia" w:ascii="宋体" w:hAnsi="宋体" w:cs="宋体"/>
                <w:color w:val="auto"/>
                <w:kern w:val="0"/>
                <w:szCs w:val="21"/>
                <w:highlight w:val="none"/>
                <w:lang w:bidi="ar"/>
              </w:rPr>
              <w:t>重点企业动态监控信息接入技术规范</w:t>
            </w:r>
          </w:p>
        </w:tc>
        <w:tc>
          <w:tcPr>
            <w:tcW w:w="709" w:type="dxa"/>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708" w:type="dxa"/>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883" w:type="dxa"/>
          </w:tcPr>
          <w:p>
            <w:pPr>
              <w:ind w:firstLine="420"/>
              <w:rPr>
                <w:rFonts w:ascii="宋体" w:hAnsi="宋体" w:cs="宋体"/>
                <w:color w:val="auto"/>
                <w:szCs w:val="21"/>
                <w:highlight w:val="none"/>
              </w:rPr>
            </w:pPr>
          </w:p>
        </w:tc>
        <w:tc>
          <w:tcPr>
            <w:tcW w:w="924" w:type="dxa"/>
            <w:noWrap/>
            <w:tcMar>
              <w:top w:w="10" w:type="dxa"/>
              <w:left w:w="10" w:type="dxa"/>
              <w:right w:w="10" w:type="dxa"/>
            </w:tcMar>
            <w:vAlign w:val="center"/>
          </w:tcPr>
          <w:p>
            <w:pPr>
              <w:ind w:firstLine="42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8" w:hRule="atLeast"/>
          <w:jc w:val="center"/>
        </w:trPr>
        <w:tc>
          <w:tcPr>
            <w:tcW w:w="630" w:type="dxa"/>
            <w:vMerge w:val="continue"/>
            <w:noWrap/>
            <w:tcMar>
              <w:top w:w="10" w:type="dxa"/>
              <w:left w:w="10" w:type="dxa"/>
              <w:right w:w="10" w:type="dxa"/>
            </w:tcMar>
            <w:vAlign w:val="center"/>
          </w:tcPr>
          <w:p>
            <w:pPr>
              <w:widowControl/>
              <w:ind w:firstLine="0" w:firstLineChars="0"/>
              <w:jc w:val="center"/>
              <w:textAlignment w:val="center"/>
              <w:rPr>
                <w:rFonts w:ascii="宋体" w:hAnsi="宋体" w:cs="宋体"/>
                <w:color w:val="auto"/>
                <w:szCs w:val="21"/>
                <w:highlight w:val="none"/>
              </w:rPr>
            </w:pPr>
          </w:p>
        </w:tc>
        <w:tc>
          <w:tcPr>
            <w:tcW w:w="1208" w:type="dxa"/>
            <w:vMerge w:val="continue"/>
            <w:tcMar>
              <w:top w:w="10" w:type="dxa"/>
              <w:left w:w="10" w:type="dxa"/>
              <w:right w:w="10" w:type="dxa"/>
            </w:tcMar>
            <w:vAlign w:val="center"/>
          </w:tcPr>
          <w:p>
            <w:pPr>
              <w:ind w:firstLine="420"/>
              <w:jc w:val="center"/>
              <w:rPr>
                <w:rFonts w:ascii="宋体" w:hAnsi="宋体" w:cs="宋体"/>
                <w:color w:val="auto"/>
                <w:szCs w:val="21"/>
                <w:highlight w:val="none"/>
              </w:rPr>
            </w:pPr>
          </w:p>
        </w:tc>
        <w:tc>
          <w:tcPr>
            <w:tcW w:w="2977" w:type="dxa"/>
            <w:tcMar>
              <w:top w:w="10" w:type="dxa"/>
              <w:left w:w="10" w:type="dxa"/>
              <w:right w:w="10" w:type="dxa"/>
            </w:tcMar>
            <w:vAlign w:val="center"/>
          </w:tcPr>
          <w:p>
            <w:pPr>
              <w:ind w:firstLine="0" w:firstLineChars="0"/>
              <w:rPr>
                <w:rFonts w:ascii="宋体" w:hAnsi="宋体" w:cs="宋体"/>
                <w:color w:val="auto"/>
                <w:szCs w:val="21"/>
                <w:highlight w:val="none"/>
              </w:rPr>
            </w:pPr>
            <w:r>
              <w:rPr>
                <w:rFonts w:hint="eastAsia" w:ascii="宋体" w:hAnsi="宋体" w:cs="宋体"/>
                <w:color w:val="auto"/>
                <w:kern w:val="0"/>
                <w:szCs w:val="21"/>
                <w:highlight w:val="none"/>
                <w:lang w:bidi="ar"/>
              </w:rPr>
              <w:t>企业安全生产应急救援指挥系统建设基本要求</w:t>
            </w:r>
          </w:p>
        </w:tc>
        <w:tc>
          <w:tcPr>
            <w:tcW w:w="709" w:type="dxa"/>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708" w:type="dxa"/>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883" w:type="dxa"/>
          </w:tcPr>
          <w:p>
            <w:pPr>
              <w:ind w:firstLine="420"/>
              <w:rPr>
                <w:rFonts w:ascii="宋体" w:hAnsi="宋体" w:cs="宋体"/>
                <w:color w:val="auto"/>
                <w:szCs w:val="21"/>
                <w:highlight w:val="none"/>
              </w:rPr>
            </w:pPr>
          </w:p>
        </w:tc>
        <w:tc>
          <w:tcPr>
            <w:tcW w:w="924" w:type="dxa"/>
            <w:noWrap/>
            <w:tcMar>
              <w:top w:w="10" w:type="dxa"/>
              <w:left w:w="10" w:type="dxa"/>
              <w:right w:w="10" w:type="dxa"/>
            </w:tcMar>
            <w:vAlign w:val="center"/>
          </w:tcPr>
          <w:p>
            <w:pPr>
              <w:ind w:firstLine="42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0" w:hRule="atLeast"/>
          <w:jc w:val="center"/>
        </w:trPr>
        <w:tc>
          <w:tcPr>
            <w:tcW w:w="630" w:type="dxa"/>
            <w:vMerge w:val="continue"/>
            <w:noWrap/>
            <w:tcMar>
              <w:top w:w="10" w:type="dxa"/>
              <w:left w:w="10" w:type="dxa"/>
              <w:right w:w="10" w:type="dxa"/>
            </w:tcMar>
            <w:vAlign w:val="center"/>
          </w:tcPr>
          <w:p>
            <w:pPr>
              <w:widowControl/>
              <w:ind w:firstLine="0" w:firstLineChars="0"/>
              <w:jc w:val="center"/>
              <w:textAlignment w:val="center"/>
              <w:rPr>
                <w:rFonts w:ascii="宋体" w:hAnsi="宋体" w:cs="宋体"/>
                <w:color w:val="auto"/>
                <w:szCs w:val="21"/>
                <w:highlight w:val="none"/>
              </w:rPr>
            </w:pPr>
          </w:p>
        </w:tc>
        <w:tc>
          <w:tcPr>
            <w:tcW w:w="1208" w:type="dxa"/>
            <w:vMerge w:val="continue"/>
            <w:tcMar>
              <w:top w:w="10" w:type="dxa"/>
              <w:left w:w="10" w:type="dxa"/>
              <w:right w:w="10" w:type="dxa"/>
            </w:tcMar>
            <w:vAlign w:val="center"/>
          </w:tcPr>
          <w:p>
            <w:pPr>
              <w:ind w:firstLine="420"/>
              <w:jc w:val="center"/>
              <w:rPr>
                <w:rFonts w:ascii="宋体" w:hAnsi="宋体" w:cs="宋体"/>
                <w:color w:val="auto"/>
                <w:szCs w:val="21"/>
                <w:highlight w:val="none"/>
              </w:rPr>
            </w:pPr>
          </w:p>
        </w:tc>
        <w:tc>
          <w:tcPr>
            <w:tcW w:w="2977" w:type="dxa"/>
            <w:tcMar>
              <w:top w:w="10" w:type="dxa"/>
              <w:left w:w="10" w:type="dxa"/>
              <w:right w:w="10" w:type="dxa"/>
            </w:tcMar>
            <w:vAlign w:val="center"/>
          </w:tcPr>
          <w:p>
            <w:pPr>
              <w:ind w:firstLine="0" w:firstLineChars="0"/>
              <w:rPr>
                <w:rFonts w:ascii="宋体" w:hAnsi="宋体" w:cs="宋体"/>
                <w:color w:val="auto"/>
                <w:szCs w:val="21"/>
                <w:highlight w:val="none"/>
              </w:rPr>
            </w:pPr>
            <w:r>
              <w:rPr>
                <w:rFonts w:hint="eastAsia" w:ascii="宋体" w:hAnsi="宋体" w:cs="宋体"/>
                <w:color w:val="auto"/>
                <w:kern w:val="0"/>
                <w:szCs w:val="21"/>
                <w:highlight w:val="none"/>
                <w:lang w:bidi="ar"/>
              </w:rPr>
              <w:t>应急平台数据交换共享标准</w:t>
            </w:r>
          </w:p>
        </w:tc>
        <w:tc>
          <w:tcPr>
            <w:tcW w:w="709" w:type="dxa"/>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套</w:t>
            </w:r>
          </w:p>
        </w:tc>
        <w:tc>
          <w:tcPr>
            <w:tcW w:w="708" w:type="dxa"/>
            <w:tcMar>
              <w:top w:w="10" w:type="dxa"/>
              <w:left w:w="10" w:type="dxa"/>
              <w:right w:w="10" w:type="dxa"/>
            </w:tcMar>
            <w:vAlign w:val="center"/>
          </w:tcPr>
          <w:p>
            <w:pPr>
              <w:widowControl/>
              <w:ind w:firstLine="0" w:firstLineChars="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883" w:type="dxa"/>
          </w:tcPr>
          <w:p>
            <w:pPr>
              <w:ind w:firstLine="420"/>
              <w:rPr>
                <w:rFonts w:ascii="宋体" w:hAnsi="宋体" w:cs="宋体"/>
                <w:color w:val="auto"/>
                <w:szCs w:val="21"/>
                <w:highlight w:val="none"/>
              </w:rPr>
            </w:pPr>
          </w:p>
        </w:tc>
        <w:tc>
          <w:tcPr>
            <w:tcW w:w="924" w:type="dxa"/>
            <w:noWrap/>
            <w:tcMar>
              <w:top w:w="10" w:type="dxa"/>
              <w:left w:w="10" w:type="dxa"/>
              <w:right w:w="10" w:type="dxa"/>
            </w:tcMar>
            <w:vAlign w:val="center"/>
          </w:tcPr>
          <w:p>
            <w:pPr>
              <w:ind w:firstLine="42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0" w:hRule="atLeast"/>
          <w:jc w:val="center"/>
        </w:trPr>
        <w:tc>
          <w:tcPr>
            <w:tcW w:w="4815" w:type="dxa"/>
            <w:gridSpan w:val="3"/>
            <w:noWrap/>
            <w:tcMar>
              <w:top w:w="10" w:type="dxa"/>
              <w:left w:w="10" w:type="dxa"/>
              <w:right w:w="10" w:type="dxa"/>
            </w:tcMar>
            <w:vAlign w:val="center"/>
          </w:tcPr>
          <w:p>
            <w:pPr>
              <w:ind w:firstLine="0" w:firstLineChars="0"/>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小计8</w:t>
            </w:r>
          </w:p>
        </w:tc>
        <w:tc>
          <w:tcPr>
            <w:tcW w:w="4224" w:type="dxa"/>
            <w:gridSpan w:val="4"/>
            <w:tcMar>
              <w:top w:w="10" w:type="dxa"/>
              <w:left w:w="10" w:type="dxa"/>
              <w:right w:w="10" w:type="dxa"/>
            </w:tcMar>
            <w:vAlign w:val="center"/>
          </w:tcPr>
          <w:p>
            <w:pPr>
              <w:ind w:firstLine="420"/>
              <w:rPr>
                <w:rFonts w:ascii="宋体" w:hAnsi="宋体" w:cs="宋体"/>
                <w:color w:val="auto"/>
                <w:szCs w:val="21"/>
                <w:highlight w:val="none"/>
              </w:rPr>
            </w:pPr>
          </w:p>
        </w:tc>
      </w:tr>
    </w:tbl>
    <w:p>
      <w:pPr>
        <w:pStyle w:val="19"/>
        <w:spacing w:before="120" w:after="120" w:line="480" w:lineRule="auto"/>
        <w:ind w:firstLine="466"/>
        <w:jc w:val="center"/>
        <w:rPr>
          <w:rFonts w:hAnsi="宋体" w:eastAsia="宋体" w:cs="宋体"/>
          <w:b/>
          <w:bCs/>
          <w:color w:val="auto"/>
          <w:sz w:val="24"/>
          <w:highlight w:val="none"/>
        </w:rPr>
      </w:pPr>
      <w:r>
        <w:rPr>
          <w:rFonts w:hint="eastAsia" w:hAnsi="宋体" w:eastAsia="宋体" w:cs="宋体"/>
          <w:b/>
          <w:bCs/>
          <w:color w:val="auto"/>
          <w:sz w:val="24"/>
          <w:highlight w:val="none"/>
        </w:rPr>
        <w:br w:type="textWrapping"/>
      </w:r>
    </w:p>
    <w:p>
      <w:pPr>
        <w:pStyle w:val="19"/>
        <w:spacing w:before="120" w:after="120" w:line="480" w:lineRule="auto"/>
        <w:ind w:firstLine="345"/>
        <w:jc w:val="center"/>
        <w:rPr>
          <w:rFonts w:hAnsi="宋体" w:eastAsia="宋体" w:cs="宋体"/>
          <w:b/>
          <w:bCs/>
          <w:color w:val="auto"/>
          <w:highlight w:val="none"/>
        </w:rPr>
        <w:sectPr>
          <w:pgSz w:w="11907" w:h="16840"/>
          <w:pgMar w:top="1474" w:right="1797" w:bottom="1247" w:left="1797" w:header="851" w:footer="851" w:gutter="0"/>
          <w:cols w:space="720" w:num="1"/>
          <w:titlePg/>
          <w:docGrid w:linePitch="312" w:charSpace="0"/>
        </w:sectPr>
      </w:pPr>
    </w:p>
    <w:p>
      <w:pPr>
        <w:ind w:firstLine="422"/>
        <w:outlineLvl w:val="1"/>
        <w:rPr>
          <w:rFonts w:ascii="宋体" w:hAnsi="宋体" w:cs="宋体"/>
          <w:b/>
          <w:bCs/>
          <w:color w:val="auto"/>
          <w:szCs w:val="21"/>
          <w:highlight w:val="none"/>
        </w:rPr>
      </w:pPr>
      <w:bookmarkStart w:id="1781" w:name="_Toc13048"/>
      <w:bookmarkStart w:id="1782" w:name="_Toc71364422"/>
      <w:r>
        <w:rPr>
          <w:rFonts w:hint="eastAsia" w:ascii="宋体" w:hAnsi="宋体" w:cs="宋体"/>
          <w:b/>
          <w:bCs/>
          <w:color w:val="auto"/>
          <w:szCs w:val="21"/>
          <w:highlight w:val="none"/>
        </w:rPr>
        <w:t>5、中小企业声明函</w:t>
      </w:r>
      <w:bookmarkEnd w:id="1781"/>
      <w:bookmarkEnd w:id="1782"/>
    </w:p>
    <w:p>
      <w:pPr>
        <w:ind w:firstLine="723"/>
        <w:jc w:val="center"/>
        <w:rPr>
          <w:rFonts w:ascii="宋体" w:hAnsi="宋体" w:cs="宋体"/>
          <w:b/>
          <w:color w:val="auto"/>
          <w:kern w:val="0"/>
          <w:sz w:val="36"/>
          <w:szCs w:val="36"/>
          <w:highlight w:val="none"/>
        </w:rPr>
      </w:pPr>
    </w:p>
    <w:p>
      <w:pPr>
        <w:ind w:firstLine="482"/>
        <w:jc w:val="center"/>
        <w:rPr>
          <w:rFonts w:ascii="宋体" w:hAnsi="宋体" w:cs="宋体"/>
          <w:b/>
          <w:color w:val="auto"/>
          <w:kern w:val="0"/>
          <w:sz w:val="24"/>
          <w:highlight w:val="none"/>
        </w:rPr>
      </w:pPr>
      <w:r>
        <w:rPr>
          <w:rFonts w:hint="eastAsia" w:ascii="宋体" w:hAnsi="宋体" w:cs="宋体"/>
          <w:b/>
          <w:color w:val="auto"/>
          <w:kern w:val="0"/>
          <w:sz w:val="24"/>
          <w:highlight w:val="none"/>
        </w:rPr>
        <w:t>中小企业声明函（服务）</w:t>
      </w:r>
    </w:p>
    <w:p>
      <w:pPr>
        <w:ind w:firstLine="422"/>
        <w:jc w:val="center"/>
        <w:rPr>
          <w:rFonts w:ascii="宋体" w:hAnsi="宋体" w:cs="宋体"/>
          <w:b/>
          <w:color w:val="auto"/>
          <w:kern w:val="0"/>
          <w:szCs w:val="21"/>
          <w:highlight w:val="none"/>
        </w:rPr>
      </w:pPr>
    </w:p>
    <w:p>
      <w:pPr>
        <w:ind w:firstLine="420"/>
        <w:rPr>
          <w:rFonts w:ascii="宋体" w:hAnsi="宋体" w:cs="宋体"/>
          <w:color w:val="auto"/>
          <w:szCs w:val="21"/>
          <w:highlight w:val="none"/>
        </w:rPr>
      </w:pPr>
      <w:r>
        <w:rPr>
          <w:rFonts w:hint="eastAsia" w:ascii="宋体" w:hAnsi="宋体" w:cs="宋体"/>
          <w:color w:val="auto"/>
          <w:szCs w:val="21"/>
          <w:highlight w:val="none"/>
        </w:rPr>
        <w:t>本公司（联合体）郑重声明，根据《政府采购促进中小企业发展管理办法》（财库﹝2020﹞46 号）的规定，本公司（联合体）参加</w:t>
      </w:r>
      <w:r>
        <w:rPr>
          <w:rFonts w:hint="eastAsia" w:ascii="宋体" w:hAnsi="宋体" w:cs="宋体"/>
          <w:color w:val="auto"/>
          <w:szCs w:val="21"/>
          <w:highlight w:val="none"/>
          <w:u w:val="single"/>
        </w:rPr>
        <w:t>（单位名称）</w:t>
      </w:r>
      <w:r>
        <w:rPr>
          <w:rFonts w:hint="eastAsia" w:ascii="宋体" w:hAnsi="宋体" w:cs="宋体"/>
          <w:color w:val="auto"/>
          <w:szCs w:val="21"/>
          <w:highlight w:val="none"/>
        </w:rPr>
        <w:t>的</w:t>
      </w:r>
      <w:r>
        <w:rPr>
          <w:rFonts w:hint="eastAsia" w:ascii="宋体" w:hAnsi="宋体" w:cs="宋体"/>
          <w:color w:val="auto"/>
          <w:szCs w:val="21"/>
          <w:highlight w:val="none"/>
          <w:u w:val="single"/>
        </w:rPr>
        <w:t>（项目名称）</w:t>
      </w:r>
      <w:r>
        <w:rPr>
          <w:rFonts w:hint="eastAsia" w:ascii="宋体" w:hAnsi="宋体" w:cs="宋体"/>
          <w:color w:val="auto"/>
          <w:szCs w:val="21"/>
          <w:highlight w:val="none"/>
        </w:rPr>
        <w:t>采购活动，服务全部由符合政策要求的中小企业承接。相关企业（含联合体中的中小企业、签订分包意向协议的中小企业）的具体情况如下：</w:t>
      </w:r>
    </w:p>
    <w:p>
      <w:pPr>
        <w:ind w:firstLine="420"/>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u w:val="single"/>
        </w:rPr>
        <w:t xml:space="preserve"> （标的名称） </w:t>
      </w:r>
      <w:r>
        <w:rPr>
          <w:rFonts w:hint="eastAsia" w:ascii="宋体" w:hAnsi="宋体" w:cs="宋体"/>
          <w:color w:val="auto"/>
          <w:szCs w:val="21"/>
          <w:highlight w:val="none"/>
        </w:rPr>
        <w:t>，属于</w:t>
      </w:r>
      <w:r>
        <w:rPr>
          <w:rFonts w:hint="eastAsia" w:ascii="宋体" w:hAnsi="宋体" w:cs="宋体"/>
          <w:b/>
          <w:bCs/>
          <w:color w:val="auto"/>
          <w:highlight w:val="none"/>
          <w:u w:val="single"/>
        </w:rPr>
        <w:t>软件和信息技术服务业</w:t>
      </w:r>
      <w:r>
        <w:rPr>
          <w:rFonts w:hint="eastAsia" w:ascii="宋体" w:hAnsi="宋体" w:cs="宋体"/>
          <w:color w:val="auto"/>
          <w:szCs w:val="21"/>
          <w:highlight w:val="none"/>
        </w:rPr>
        <w:t>；承接企业为</w:t>
      </w:r>
      <w:r>
        <w:rPr>
          <w:rFonts w:hint="eastAsia" w:ascii="宋体" w:hAnsi="宋体" w:cs="宋体"/>
          <w:color w:val="auto"/>
          <w:szCs w:val="21"/>
          <w:highlight w:val="none"/>
          <w:u w:val="single"/>
        </w:rPr>
        <w:t>（企业名称）</w:t>
      </w:r>
      <w:r>
        <w:rPr>
          <w:rFonts w:hint="eastAsia" w:ascii="宋体" w:hAnsi="宋体" w:cs="宋体"/>
          <w:color w:val="auto"/>
          <w:szCs w:val="21"/>
          <w:highlight w:val="none"/>
        </w:rPr>
        <w:t>，从业人员</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人，营业收入为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万元，资产总额为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w:t>
      </w:r>
      <w:r>
        <w:rPr>
          <w:rFonts w:hint="eastAsia" w:ascii="宋体" w:hAnsi="宋体" w:cs="宋体"/>
          <w:color w:val="auto"/>
          <w:szCs w:val="21"/>
          <w:highlight w:val="none"/>
          <w:vertAlign w:val="superscript"/>
        </w:rPr>
        <w:t>1</w:t>
      </w:r>
      <w:r>
        <w:rPr>
          <w:rFonts w:hint="eastAsia" w:ascii="宋体" w:hAnsi="宋体" w:cs="宋体"/>
          <w:color w:val="auto"/>
          <w:szCs w:val="21"/>
          <w:highlight w:val="none"/>
        </w:rPr>
        <w:t>，属于</w:t>
      </w:r>
      <w:r>
        <w:rPr>
          <w:rFonts w:hint="eastAsia" w:ascii="宋体" w:hAnsi="宋体" w:cs="宋体"/>
          <w:color w:val="auto"/>
          <w:szCs w:val="21"/>
          <w:highlight w:val="none"/>
          <w:u w:val="single"/>
        </w:rPr>
        <w:t>（中型企业、小型企业、微型企业）</w:t>
      </w:r>
      <w:r>
        <w:rPr>
          <w:rFonts w:hint="eastAsia" w:ascii="宋体" w:hAnsi="宋体" w:cs="宋体"/>
          <w:color w:val="auto"/>
          <w:szCs w:val="21"/>
          <w:highlight w:val="none"/>
        </w:rPr>
        <w:t>；</w:t>
      </w:r>
    </w:p>
    <w:p>
      <w:pPr>
        <w:ind w:firstLine="420"/>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u w:val="single"/>
        </w:rPr>
        <w:t xml:space="preserve"> （标的名称） </w:t>
      </w:r>
      <w:r>
        <w:rPr>
          <w:rFonts w:hint="eastAsia" w:ascii="宋体" w:hAnsi="宋体" w:cs="宋体"/>
          <w:color w:val="auto"/>
          <w:szCs w:val="21"/>
          <w:highlight w:val="none"/>
        </w:rPr>
        <w:t>，属于</w:t>
      </w:r>
      <w:r>
        <w:rPr>
          <w:rFonts w:hint="eastAsia" w:ascii="宋体" w:hAnsi="宋体" w:cs="宋体"/>
          <w:b/>
          <w:bCs/>
          <w:color w:val="auto"/>
          <w:highlight w:val="none"/>
          <w:u w:val="single"/>
        </w:rPr>
        <w:t>软件和信息技术服务业</w:t>
      </w:r>
      <w:r>
        <w:rPr>
          <w:rFonts w:hint="eastAsia" w:ascii="宋体" w:hAnsi="宋体" w:cs="宋体"/>
          <w:color w:val="auto"/>
          <w:szCs w:val="21"/>
          <w:highlight w:val="none"/>
        </w:rPr>
        <w:t>；承接企业为</w:t>
      </w:r>
      <w:r>
        <w:rPr>
          <w:rFonts w:hint="eastAsia" w:ascii="宋体" w:hAnsi="宋体" w:cs="宋体"/>
          <w:color w:val="auto"/>
          <w:szCs w:val="21"/>
          <w:highlight w:val="none"/>
          <w:u w:val="single"/>
        </w:rPr>
        <w:t>（企业名称）</w:t>
      </w:r>
      <w:r>
        <w:rPr>
          <w:rFonts w:hint="eastAsia" w:ascii="宋体" w:hAnsi="宋体" w:cs="宋体"/>
          <w:color w:val="auto"/>
          <w:szCs w:val="21"/>
          <w:highlight w:val="none"/>
        </w:rPr>
        <w:t>，从业人员</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人，营业收入为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万元，资产总额为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万元，属于</w:t>
      </w:r>
      <w:r>
        <w:rPr>
          <w:rFonts w:hint="eastAsia" w:ascii="宋体" w:hAnsi="宋体" w:cs="宋体"/>
          <w:color w:val="auto"/>
          <w:szCs w:val="21"/>
          <w:highlight w:val="none"/>
          <w:u w:val="single"/>
        </w:rPr>
        <w:t>（中型企业、小型企业、微型企业）</w:t>
      </w:r>
      <w:r>
        <w:rPr>
          <w:rFonts w:hint="eastAsia" w:ascii="宋体" w:hAnsi="宋体" w:cs="宋体"/>
          <w:color w:val="auto"/>
          <w:szCs w:val="21"/>
          <w:highlight w:val="none"/>
        </w:rPr>
        <w:t>；</w:t>
      </w:r>
    </w:p>
    <w:p>
      <w:pPr>
        <w:ind w:firstLine="420"/>
        <w:rPr>
          <w:rFonts w:ascii="宋体" w:hAnsi="宋体" w:cs="宋体"/>
          <w:color w:val="auto"/>
          <w:szCs w:val="21"/>
          <w:highlight w:val="none"/>
        </w:rPr>
      </w:pPr>
      <w:r>
        <w:rPr>
          <w:rFonts w:hint="eastAsia" w:ascii="宋体" w:hAnsi="宋体" w:cs="宋体"/>
          <w:color w:val="auto"/>
          <w:szCs w:val="21"/>
          <w:highlight w:val="none"/>
        </w:rPr>
        <w:t>……</w:t>
      </w:r>
    </w:p>
    <w:p>
      <w:pPr>
        <w:ind w:firstLine="420"/>
        <w:rPr>
          <w:rFonts w:ascii="宋体" w:hAnsi="宋体" w:cs="宋体"/>
          <w:color w:val="auto"/>
          <w:szCs w:val="21"/>
          <w:highlight w:val="none"/>
        </w:rPr>
      </w:pPr>
      <w:r>
        <w:rPr>
          <w:rFonts w:hint="eastAsia" w:ascii="宋体" w:hAnsi="宋体" w:cs="宋体"/>
          <w:color w:val="auto"/>
          <w:szCs w:val="21"/>
          <w:highlight w:val="none"/>
        </w:rPr>
        <w:t>以上企业，不属于大企业的分支机构，不存在控股股东为大企业的情形，也不存在与大企业的负责人为同一人的情形。</w:t>
      </w:r>
    </w:p>
    <w:p>
      <w:pPr>
        <w:ind w:firstLine="420"/>
        <w:rPr>
          <w:rFonts w:ascii="宋体" w:hAnsi="宋体" w:cs="宋体"/>
          <w:color w:val="auto"/>
          <w:szCs w:val="21"/>
          <w:highlight w:val="none"/>
        </w:rPr>
      </w:pPr>
      <w:r>
        <w:rPr>
          <w:rFonts w:hint="eastAsia" w:ascii="宋体" w:hAnsi="宋体" w:cs="宋体"/>
          <w:color w:val="auto"/>
          <w:szCs w:val="21"/>
          <w:highlight w:val="none"/>
        </w:rPr>
        <w:t>本企业对上述声明内容的真实性负责。如有虚假，将依法承担相应责任。</w:t>
      </w:r>
    </w:p>
    <w:p>
      <w:pPr>
        <w:ind w:firstLine="420"/>
        <w:rPr>
          <w:rFonts w:ascii="宋体" w:hAnsi="宋体" w:cs="宋体"/>
          <w:color w:val="auto"/>
          <w:szCs w:val="21"/>
          <w:highlight w:val="none"/>
        </w:rPr>
      </w:pPr>
      <w:r>
        <w:rPr>
          <w:rFonts w:hint="eastAsia" w:ascii="宋体" w:hAnsi="宋体" w:cs="宋体"/>
          <w:color w:val="auto"/>
          <w:szCs w:val="21"/>
          <w:highlight w:val="none"/>
        </w:rPr>
        <w:t xml:space="preserve">                        </w:t>
      </w:r>
    </w:p>
    <w:p>
      <w:pPr>
        <w:ind w:firstLine="420"/>
        <w:rPr>
          <w:rFonts w:ascii="宋体" w:hAnsi="宋体" w:cs="宋体"/>
          <w:color w:val="auto"/>
          <w:szCs w:val="21"/>
          <w:highlight w:val="none"/>
        </w:rPr>
      </w:pPr>
    </w:p>
    <w:p>
      <w:pPr>
        <w:ind w:firstLine="420"/>
        <w:rPr>
          <w:rFonts w:ascii="宋体" w:hAnsi="宋体" w:cs="宋体"/>
          <w:color w:val="auto"/>
          <w:szCs w:val="21"/>
          <w:highlight w:val="none"/>
        </w:rPr>
      </w:pPr>
      <w:r>
        <w:rPr>
          <w:rFonts w:hint="eastAsia" w:ascii="宋体" w:hAnsi="宋体" w:cs="宋体"/>
          <w:color w:val="auto"/>
          <w:szCs w:val="21"/>
          <w:highlight w:val="none"/>
        </w:rPr>
        <w:t>企业名称（盖章）：</w:t>
      </w:r>
    </w:p>
    <w:p>
      <w:pPr>
        <w:ind w:firstLine="420"/>
        <w:rPr>
          <w:rFonts w:ascii="宋体" w:hAnsi="宋体" w:cs="宋体"/>
          <w:color w:val="auto"/>
          <w:szCs w:val="21"/>
          <w:highlight w:val="none"/>
        </w:rPr>
      </w:pPr>
      <w:r>
        <w:rPr>
          <w:rFonts w:hint="eastAsia" w:ascii="宋体" w:hAnsi="宋体" w:cs="宋体"/>
          <w:color w:val="auto"/>
          <w:szCs w:val="21"/>
          <w:highlight w:val="none"/>
        </w:rPr>
        <w:t>日期：</w:t>
      </w:r>
    </w:p>
    <w:p>
      <w:pPr>
        <w:spacing w:line="500" w:lineRule="exact"/>
        <w:rPr>
          <w:rFonts w:ascii="宋体" w:hAnsi="宋体" w:cs="宋体"/>
          <w:color w:val="auto"/>
          <w:sz w:val="32"/>
          <w:szCs w:val="32"/>
          <w:highlight w:val="none"/>
          <w:u w:val="single"/>
        </w:rPr>
      </w:pPr>
      <w:r>
        <w:rPr>
          <w:rFonts w:hint="eastAsia" w:ascii="宋体" w:hAnsi="宋体" w:cs="宋体"/>
          <w:color w:val="auto"/>
          <w:sz w:val="32"/>
          <w:szCs w:val="32"/>
          <w:highlight w:val="none"/>
          <w:u w:val="single"/>
        </w:rPr>
        <w:t xml:space="preserve">                  </w:t>
      </w:r>
    </w:p>
    <w:p>
      <w:pPr>
        <w:ind w:firstLine="420"/>
        <w:rPr>
          <w:rFonts w:ascii="宋体" w:hAnsi="宋体" w:cs="宋体"/>
          <w:color w:val="auto"/>
          <w:szCs w:val="21"/>
          <w:highlight w:val="none"/>
        </w:rPr>
      </w:pPr>
      <w:r>
        <w:rPr>
          <w:rFonts w:hint="eastAsia" w:ascii="宋体" w:hAnsi="宋体" w:cs="宋体"/>
          <w:color w:val="auto"/>
          <w:szCs w:val="21"/>
          <w:highlight w:val="none"/>
        </w:rPr>
        <w:t>1、从业人员、营业收入、资产总额填报上一年度数据，无上一年度数据的新成立企业可不填报。</w:t>
      </w:r>
    </w:p>
    <w:p>
      <w:pPr>
        <w:ind w:firstLine="420"/>
        <w:rPr>
          <w:rFonts w:ascii="宋体" w:hAnsi="宋体" w:cs="宋体"/>
          <w:color w:val="auto"/>
          <w:szCs w:val="21"/>
          <w:highlight w:val="none"/>
        </w:rPr>
      </w:pPr>
      <w:r>
        <w:rPr>
          <w:rFonts w:hint="eastAsia" w:ascii="宋体" w:hAnsi="宋体" w:cs="宋体"/>
          <w:color w:val="auto"/>
          <w:szCs w:val="21"/>
          <w:highlight w:val="none"/>
        </w:rPr>
        <w:t xml:space="preserve">2、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 </w:t>
      </w:r>
    </w:p>
    <w:p>
      <w:pPr>
        <w:ind w:firstLine="420"/>
        <w:rPr>
          <w:rFonts w:ascii="宋体" w:hAnsi="宋体" w:cs="宋体"/>
          <w:color w:val="auto"/>
          <w:kern w:val="0"/>
          <w:szCs w:val="21"/>
          <w:highlight w:val="none"/>
        </w:rPr>
      </w:pPr>
    </w:p>
    <w:p>
      <w:pPr>
        <w:spacing w:line="588" w:lineRule="exact"/>
        <w:ind w:firstLine="420"/>
        <w:jc w:val="left"/>
        <w:rPr>
          <w:rFonts w:ascii="宋体" w:hAnsi="宋体" w:cs="宋体"/>
          <w:color w:val="auto"/>
          <w:highlight w:val="none"/>
        </w:rPr>
        <w:sectPr>
          <w:pgSz w:w="11906" w:h="16838"/>
          <w:pgMar w:top="1474" w:right="1797" w:bottom="1247" w:left="1797" w:header="851" w:footer="851" w:gutter="0"/>
          <w:cols w:space="720" w:num="1"/>
          <w:titlePg/>
          <w:docGrid w:linePitch="312" w:charSpace="0"/>
        </w:sectPr>
      </w:pPr>
    </w:p>
    <w:p>
      <w:pPr>
        <w:ind w:firstLine="422"/>
        <w:outlineLvl w:val="1"/>
        <w:rPr>
          <w:rFonts w:ascii="宋体" w:hAnsi="宋体" w:cs="宋体"/>
          <w:b/>
          <w:bCs/>
          <w:color w:val="auto"/>
          <w:szCs w:val="21"/>
          <w:highlight w:val="none"/>
        </w:rPr>
      </w:pPr>
      <w:bookmarkStart w:id="1783" w:name="_Toc13030"/>
      <w:bookmarkStart w:id="1784" w:name="_Toc71364423"/>
      <w:r>
        <w:rPr>
          <w:rFonts w:hint="eastAsia" w:ascii="宋体" w:hAnsi="宋体" w:cs="宋体"/>
          <w:b/>
          <w:bCs/>
          <w:color w:val="auto"/>
          <w:szCs w:val="21"/>
          <w:highlight w:val="none"/>
        </w:rPr>
        <w:t>6、残疾人福利性单位声明函</w:t>
      </w:r>
      <w:bookmarkEnd w:id="1783"/>
      <w:bookmarkEnd w:id="1784"/>
    </w:p>
    <w:p>
      <w:pPr>
        <w:ind w:firstLine="624"/>
        <w:rPr>
          <w:rFonts w:ascii="宋体" w:hAnsi="宋体" w:cs="宋体"/>
          <w:color w:val="auto"/>
          <w:spacing w:val="6"/>
          <w:sz w:val="30"/>
          <w:szCs w:val="30"/>
          <w:highlight w:val="none"/>
        </w:rPr>
      </w:pPr>
    </w:p>
    <w:p>
      <w:pPr>
        <w:spacing w:line="588" w:lineRule="exact"/>
        <w:ind w:firstLine="506"/>
        <w:jc w:val="center"/>
        <w:rPr>
          <w:rFonts w:ascii="宋体" w:hAnsi="宋体" w:cs="宋体"/>
          <w:b/>
          <w:color w:val="auto"/>
          <w:spacing w:val="6"/>
          <w:sz w:val="24"/>
          <w:highlight w:val="none"/>
        </w:rPr>
      </w:pPr>
      <w:r>
        <w:rPr>
          <w:rFonts w:hint="eastAsia" w:ascii="宋体" w:hAnsi="宋体" w:cs="宋体"/>
          <w:b/>
          <w:color w:val="auto"/>
          <w:spacing w:val="6"/>
          <w:sz w:val="24"/>
          <w:highlight w:val="none"/>
        </w:rPr>
        <w:t>残疾人福利性单位声明函</w:t>
      </w:r>
    </w:p>
    <w:p>
      <w:pPr>
        <w:spacing w:line="588" w:lineRule="exact"/>
        <w:ind w:firstLine="446"/>
        <w:rPr>
          <w:rFonts w:ascii="宋体" w:hAnsi="宋体" w:cs="宋体"/>
          <w:b/>
          <w:color w:val="auto"/>
          <w:spacing w:val="6"/>
          <w:szCs w:val="21"/>
          <w:highlight w:val="none"/>
        </w:rPr>
      </w:pPr>
    </w:p>
    <w:p>
      <w:pPr>
        <w:spacing w:line="588" w:lineRule="exact"/>
        <w:ind w:firstLine="444"/>
        <w:rPr>
          <w:rFonts w:ascii="宋体" w:hAnsi="宋体" w:cs="宋体"/>
          <w:color w:val="auto"/>
          <w:spacing w:val="6"/>
          <w:szCs w:val="21"/>
          <w:highlight w:val="none"/>
        </w:rPr>
      </w:pPr>
      <w:r>
        <w:rPr>
          <w:rFonts w:hint="eastAsia" w:ascii="宋体" w:hAnsi="宋体" w:cs="宋体"/>
          <w:color w:val="auto"/>
          <w:spacing w:val="6"/>
          <w:szCs w:val="21"/>
          <w:highlight w:val="none"/>
        </w:rPr>
        <w:t>本单位郑重声明，根据《财政部 民政部 中国残疾人联合会关于促进残疾人就业政府采购政策的通知》（财库</w:t>
      </w:r>
      <w:r>
        <w:rPr>
          <w:rFonts w:hint="eastAsia" w:ascii="宋体" w:hAnsi="宋体" w:cs="宋体"/>
          <w:color w:val="auto"/>
          <w:szCs w:val="21"/>
          <w:highlight w:val="none"/>
        </w:rPr>
        <w:t>〔2017〕 141</w:t>
      </w:r>
      <w:r>
        <w:rPr>
          <w:rFonts w:hint="eastAsia" w:ascii="宋体" w:hAnsi="宋体" w:cs="宋体"/>
          <w:color w:val="auto"/>
          <w:spacing w:val="6"/>
          <w:szCs w:val="21"/>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444"/>
        <w:rPr>
          <w:rFonts w:ascii="宋体" w:hAnsi="宋体" w:cs="宋体"/>
          <w:color w:val="auto"/>
          <w:spacing w:val="6"/>
          <w:szCs w:val="21"/>
          <w:highlight w:val="none"/>
        </w:rPr>
      </w:pPr>
      <w:r>
        <w:rPr>
          <w:rFonts w:hint="eastAsia" w:ascii="宋体" w:hAnsi="宋体" w:cs="宋体"/>
          <w:color w:val="auto"/>
          <w:spacing w:val="6"/>
          <w:szCs w:val="21"/>
          <w:highlight w:val="none"/>
        </w:rPr>
        <w:t>本单位对上述声明的真实性负责。如有虚假，将依法承担相应责任。</w:t>
      </w:r>
    </w:p>
    <w:p>
      <w:pPr>
        <w:spacing w:line="588" w:lineRule="exact"/>
        <w:ind w:firstLine="444"/>
        <w:rPr>
          <w:rFonts w:ascii="宋体" w:hAnsi="宋体" w:cs="宋体"/>
          <w:color w:val="auto"/>
          <w:spacing w:val="6"/>
          <w:szCs w:val="21"/>
          <w:highlight w:val="none"/>
        </w:rPr>
      </w:pPr>
    </w:p>
    <w:p>
      <w:pPr>
        <w:spacing w:line="588" w:lineRule="exact"/>
        <w:ind w:firstLine="444"/>
        <w:rPr>
          <w:rFonts w:ascii="宋体" w:hAnsi="宋体" w:cs="宋体"/>
          <w:color w:val="auto"/>
          <w:spacing w:val="6"/>
          <w:szCs w:val="21"/>
          <w:highlight w:val="none"/>
        </w:rPr>
      </w:pPr>
    </w:p>
    <w:p>
      <w:pPr>
        <w:pStyle w:val="35"/>
        <w:widowControl w:val="0"/>
        <w:spacing w:before="0" w:beforeAutospacing="0" w:after="120" w:afterAutospacing="0" w:line="480" w:lineRule="exact"/>
        <w:ind w:left="420" w:leftChars="200" w:firstLine="420"/>
        <w:jc w:val="both"/>
        <w:rPr>
          <w:rFonts w:ascii="宋体" w:hAnsi="宋体" w:cs="宋体"/>
          <w:color w:val="auto"/>
          <w:highlight w:val="none"/>
        </w:rPr>
      </w:pPr>
      <w:r>
        <w:rPr>
          <w:rFonts w:hint="eastAsia" w:ascii="宋体" w:hAnsi="宋体" w:cs="宋体"/>
          <w:color w:val="auto"/>
          <w:kern w:val="2"/>
          <w:sz w:val="21"/>
          <w:highlight w:val="none"/>
        </w:rPr>
        <w:t>企业名称（盖章）：</w:t>
      </w:r>
    </w:p>
    <w:p>
      <w:pPr>
        <w:ind w:firstLine="420"/>
        <w:rPr>
          <w:rFonts w:ascii="宋体" w:hAnsi="宋体" w:cs="宋体"/>
          <w:b/>
          <w:color w:val="auto"/>
          <w:szCs w:val="21"/>
          <w:highlight w:val="none"/>
        </w:rPr>
      </w:pPr>
      <w:r>
        <w:rPr>
          <w:rFonts w:hint="eastAsia" w:ascii="宋体" w:hAnsi="宋体" w:cs="宋体"/>
          <w:color w:val="auto"/>
          <w:highlight w:val="none"/>
        </w:rPr>
        <w:t>日  期</w:t>
      </w:r>
      <w:r>
        <w:rPr>
          <w:rFonts w:hint="eastAsia" w:ascii="宋体" w:hAnsi="宋体" w:cs="宋体"/>
          <w:color w:val="auto"/>
          <w:highlight w:val="none"/>
        </w:rPr>
        <w:br w:type="page"/>
      </w:r>
      <w:r>
        <w:rPr>
          <w:rFonts w:hint="eastAsia" w:ascii="宋体" w:hAnsi="宋体" w:cs="宋体"/>
          <w:color w:val="auto"/>
          <w:highlight w:val="none"/>
        </w:rPr>
        <w:t xml:space="preserve">    </w:t>
      </w:r>
      <w:r>
        <w:rPr>
          <w:rFonts w:hint="eastAsia" w:ascii="宋体" w:hAnsi="宋体" w:cs="宋体"/>
          <w:b/>
          <w:color w:val="auto"/>
          <w:highlight w:val="none"/>
        </w:rPr>
        <w:t>7、</w:t>
      </w:r>
      <w:r>
        <w:rPr>
          <w:rFonts w:hint="eastAsia" w:ascii="宋体" w:hAnsi="宋体" w:cs="宋体"/>
          <w:b/>
          <w:color w:val="auto"/>
          <w:szCs w:val="21"/>
          <w:highlight w:val="none"/>
        </w:rPr>
        <w:t>中标服务费支付承诺函</w:t>
      </w:r>
    </w:p>
    <w:p>
      <w:pPr>
        <w:ind w:firstLine="420"/>
        <w:rPr>
          <w:rFonts w:ascii="宋体" w:hAnsi="宋体" w:cs="宋体"/>
          <w:color w:val="auto"/>
          <w:szCs w:val="21"/>
          <w:highlight w:val="none"/>
        </w:rPr>
      </w:pPr>
    </w:p>
    <w:p>
      <w:pPr>
        <w:widowControl/>
        <w:ind w:firstLine="466"/>
        <w:jc w:val="center"/>
        <w:rPr>
          <w:rFonts w:ascii="宋体" w:hAnsi="宋体" w:cs="宋体"/>
          <w:b/>
          <w:color w:val="auto"/>
          <w:spacing w:val="-4"/>
          <w:sz w:val="24"/>
          <w:highlight w:val="none"/>
        </w:rPr>
      </w:pPr>
      <w:r>
        <w:rPr>
          <w:rFonts w:hint="eastAsia" w:ascii="宋体" w:hAnsi="宋体" w:cs="宋体"/>
          <w:b/>
          <w:color w:val="auto"/>
          <w:spacing w:val="-4"/>
          <w:sz w:val="24"/>
          <w:highlight w:val="none"/>
        </w:rPr>
        <w:t>中标服务费支付承诺函</w:t>
      </w:r>
    </w:p>
    <w:p>
      <w:pPr>
        <w:widowControl/>
        <w:ind w:firstLine="466"/>
        <w:rPr>
          <w:rFonts w:ascii="宋体" w:hAnsi="宋体" w:cs="宋体"/>
          <w:b/>
          <w:color w:val="auto"/>
          <w:spacing w:val="-4"/>
          <w:sz w:val="24"/>
          <w:highlight w:val="none"/>
        </w:rPr>
      </w:pPr>
    </w:p>
    <w:p>
      <w:pPr>
        <w:widowControl/>
        <w:ind w:firstLine="406"/>
        <w:rPr>
          <w:rFonts w:ascii="宋体" w:hAnsi="宋体" w:cs="宋体"/>
          <w:b/>
          <w:color w:val="auto"/>
          <w:spacing w:val="-4"/>
          <w:szCs w:val="21"/>
          <w:highlight w:val="none"/>
        </w:rPr>
      </w:pPr>
      <w:r>
        <w:rPr>
          <w:rFonts w:hint="eastAsia" w:ascii="宋体" w:hAnsi="宋体" w:cs="宋体"/>
          <w:b/>
          <w:color w:val="auto"/>
          <w:spacing w:val="-4"/>
          <w:szCs w:val="21"/>
          <w:highlight w:val="none"/>
        </w:rPr>
        <w:t>致：宁波中基国际招标有限公司</w:t>
      </w:r>
    </w:p>
    <w:p>
      <w:pPr>
        <w:widowControl/>
        <w:ind w:firstLine="404"/>
        <w:rPr>
          <w:rFonts w:ascii="宋体" w:hAnsi="宋体" w:cs="宋体"/>
          <w:bCs/>
          <w:color w:val="auto"/>
          <w:spacing w:val="-4"/>
          <w:szCs w:val="21"/>
          <w:highlight w:val="none"/>
        </w:rPr>
      </w:pPr>
      <w:r>
        <w:rPr>
          <w:rFonts w:hint="eastAsia" w:ascii="宋体" w:hAnsi="宋体" w:cs="宋体"/>
          <w:bCs/>
          <w:iCs/>
          <w:color w:val="auto"/>
          <w:spacing w:val="-4"/>
          <w:szCs w:val="21"/>
          <w:highlight w:val="none"/>
          <w:u w:val="single"/>
        </w:rPr>
        <w:t>投标人单位名称</w:t>
      </w:r>
      <w:r>
        <w:rPr>
          <w:rFonts w:hint="eastAsia" w:ascii="宋体" w:hAnsi="宋体" w:cs="宋体"/>
          <w:bCs/>
          <w:color w:val="auto"/>
          <w:spacing w:val="-4"/>
          <w:szCs w:val="21"/>
          <w:highlight w:val="none"/>
        </w:rPr>
        <w:t>郑重承诺：</w:t>
      </w:r>
    </w:p>
    <w:p>
      <w:pPr>
        <w:widowControl/>
        <w:ind w:firstLine="404"/>
        <w:rPr>
          <w:rFonts w:ascii="宋体" w:hAnsi="宋体" w:cs="宋体"/>
          <w:color w:val="auto"/>
          <w:szCs w:val="21"/>
          <w:highlight w:val="none"/>
        </w:rPr>
      </w:pPr>
      <w:r>
        <w:rPr>
          <w:rFonts w:hint="eastAsia" w:ascii="宋体" w:hAnsi="宋体" w:cs="宋体"/>
          <w:bCs/>
          <w:color w:val="auto"/>
          <w:spacing w:val="-4"/>
          <w:szCs w:val="21"/>
          <w:highlight w:val="none"/>
        </w:rPr>
        <w:t>若我司在</w:t>
      </w:r>
      <w:r>
        <w:rPr>
          <w:rFonts w:hint="eastAsia" w:ascii="宋体" w:hAnsi="宋体" w:cs="宋体"/>
          <w:bCs/>
          <w:color w:val="auto"/>
          <w:spacing w:val="-4"/>
          <w:szCs w:val="21"/>
          <w:highlight w:val="none"/>
          <w:u w:val="single"/>
        </w:rPr>
        <w:t xml:space="preserve">               项目</w:t>
      </w:r>
      <w:r>
        <w:rPr>
          <w:rFonts w:hint="eastAsia" w:ascii="宋体" w:hAnsi="宋体" w:cs="宋体"/>
          <w:bCs/>
          <w:color w:val="auto"/>
          <w:spacing w:val="-4"/>
          <w:szCs w:val="21"/>
          <w:highlight w:val="none"/>
        </w:rPr>
        <w:t>（以下简称“本项目”）中有幸中标，我司将严格按照本项目招标文件中的规定，在中标公告发布之日起5个工作日之内按招标文件规定的标准（金额）一次性向贵公司支付中标服务费。</w:t>
      </w:r>
    </w:p>
    <w:p>
      <w:pPr>
        <w:widowControl/>
        <w:ind w:firstLine="420"/>
        <w:rPr>
          <w:rFonts w:ascii="宋体" w:hAnsi="宋体" w:cs="宋体"/>
          <w:color w:val="auto"/>
          <w:szCs w:val="21"/>
          <w:highlight w:val="none"/>
        </w:rPr>
      </w:pPr>
      <w:r>
        <w:rPr>
          <w:rFonts w:hint="eastAsia" w:ascii="宋体" w:hAnsi="宋体" w:cs="宋体"/>
          <w:color w:val="auto"/>
          <w:szCs w:val="21"/>
          <w:highlight w:val="none"/>
        </w:rPr>
        <w:t>若我司未按上述承诺内容执行，我司自愿承担本项目中标服务费200%的违约金，且在中标通知书领取后5个工作日内支付上述违约金，否则由此引起的一切法律责任和经济责任由我司承担。</w:t>
      </w:r>
    </w:p>
    <w:p>
      <w:pPr>
        <w:widowControl/>
        <w:ind w:firstLine="406"/>
        <w:rPr>
          <w:rFonts w:ascii="宋体" w:hAnsi="宋体" w:cs="宋体"/>
          <w:b/>
          <w:color w:val="auto"/>
          <w:spacing w:val="-4"/>
          <w:szCs w:val="21"/>
          <w:highlight w:val="none"/>
        </w:rPr>
      </w:pPr>
      <w:r>
        <w:rPr>
          <w:rFonts w:hint="eastAsia" w:ascii="宋体" w:hAnsi="宋体" w:cs="宋体"/>
          <w:b/>
          <w:color w:val="auto"/>
          <w:spacing w:val="-4"/>
          <w:szCs w:val="21"/>
          <w:highlight w:val="none"/>
        </w:rPr>
        <w:t>特此承诺！</w:t>
      </w:r>
    </w:p>
    <w:p>
      <w:pPr>
        <w:widowControl/>
        <w:ind w:firstLine="406"/>
        <w:rPr>
          <w:rFonts w:ascii="宋体" w:hAnsi="宋体" w:cs="宋体"/>
          <w:b/>
          <w:color w:val="auto"/>
          <w:spacing w:val="-4"/>
          <w:szCs w:val="21"/>
          <w:highlight w:val="none"/>
        </w:rPr>
      </w:pPr>
    </w:p>
    <w:p>
      <w:pPr>
        <w:widowControl/>
        <w:ind w:firstLine="404"/>
        <w:rPr>
          <w:rFonts w:ascii="宋体" w:hAnsi="宋体" w:cs="宋体"/>
          <w:bCs/>
          <w:color w:val="auto"/>
          <w:spacing w:val="-4"/>
          <w:szCs w:val="21"/>
          <w:highlight w:val="none"/>
        </w:rPr>
      </w:pPr>
    </w:p>
    <w:p>
      <w:pPr>
        <w:widowControl/>
        <w:ind w:firstLine="404"/>
        <w:rPr>
          <w:rFonts w:ascii="宋体" w:hAnsi="宋体" w:cs="宋体"/>
          <w:bCs/>
          <w:color w:val="auto"/>
          <w:spacing w:val="-4"/>
          <w:szCs w:val="21"/>
          <w:highlight w:val="none"/>
        </w:rPr>
      </w:pPr>
    </w:p>
    <w:p>
      <w:pPr>
        <w:widowControl/>
        <w:ind w:firstLine="404"/>
        <w:rPr>
          <w:rFonts w:ascii="宋体" w:hAnsi="宋体" w:cs="宋体"/>
          <w:bCs/>
          <w:color w:val="auto"/>
          <w:spacing w:val="-4"/>
          <w:szCs w:val="21"/>
          <w:highlight w:val="none"/>
        </w:rPr>
      </w:pPr>
      <w:r>
        <w:rPr>
          <w:rFonts w:hint="eastAsia" w:ascii="宋体" w:hAnsi="宋体" w:cs="宋体"/>
          <w:bCs/>
          <w:color w:val="auto"/>
          <w:spacing w:val="-4"/>
          <w:szCs w:val="21"/>
          <w:highlight w:val="none"/>
        </w:rPr>
        <w:t>承诺人（盖章）：</w:t>
      </w:r>
    </w:p>
    <w:p>
      <w:pPr>
        <w:widowControl/>
        <w:ind w:firstLine="404"/>
        <w:rPr>
          <w:rFonts w:ascii="宋体" w:hAnsi="宋体" w:cs="宋体"/>
          <w:bCs/>
          <w:color w:val="auto"/>
          <w:spacing w:val="-4"/>
          <w:szCs w:val="21"/>
          <w:highlight w:val="none"/>
        </w:rPr>
      </w:pPr>
    </w:p>
    <w:p>
      <w:pPr>
        <w:ind w:firstLine="404"/>
        <w:rPr>
          <w:rFonts w:ascii="宋体" w:hAnsi="宋体" w:cs="宋体"/>
          <w:color w:val="auto"/>
          <w:highlight w:val="none"/>
        </w:rPr>
      </w:pPr>
      <w:r>
        <w:rPr>
          <w:rFonts w:hint="eastAsia" w:ascii="宋体" w:hAnsi="宋体" w:cs="宋体"/>
          <w:bCs/>
          <w:color w:val="auto"/>
          <w:spacing w:val="-4"/>
          <w:szCs w:val="21"/>
          <w:highlight w:val="none"/>
        </w:rPr>
        <w:t>日期：</w:t>
      </w:r>
    </w:p>
    <w:p>
      <w:pPr>
        <w:tabs>
          <w:tab w:val="left" w:pos="4860"/>
        </w:tabs>
        <w:spacing w:line="588" w:lineRule="exact"/>
        <w:ind w:right="1560" w:firstLine="420"/>
        <w:jc w:val="center"/>
        <w:rPr>
          <w:rFonts w:ascii="宋体" w:hAnsi="宋体" w:cs="宋体"/>
          <w:color w:val="auto"/>
          <w:highlight w:val="none"/>
        </w:rPr>
      </w:pPr>
    </w:p>
    <w:p>
      <w:pPr>
        <w:adjustRightInd w:val="0"/>
        <w:ind w:firstLine="420"/>
        <w:rPr>
          <w:rFonts w:ascii="宋体" w:hAnsi="宋体" w:cs="宋体"/>
          <w:b/>
          <w:color w:val="auto"/>
          <w:highlight w:val="none"/>
        </w:rPr>
      </w:pPr>
      <w:r>
        <w:rPr>
          <w:rFonts w:hint="eastAsia" w:ascii="宋体" w:hAnsi="宋体" w:cs="宋体"/>
          <w:color w:val="auto"/>
          <w:highlight w:val="none"/>
        </w:rPr>
        <w:br w:type="page"/>
      </w:r>
      <w:r>
        <w:rPr>
          <w:rFonts w:hint="eastAsia" w:ascii="宋体" w:hAnsi="宋体" w:cs="宋体"/>
          <w:b/>
          <w:color w:val="auto"/>
          <w:highlight w:val="none"/>
        </w:rPr>
        <w:t>8、资格条件自查表</w:t>
      </w:r>
    </w:p>
    <w:p>
      <w:pPr>
        <w:adjustRightInd w:val="0"/>
        <w:ind w:firstLine="482"/>
        <w:jc w:val="center"/>
        <w:rPr>
          <w:rFonts w:ascii="宋体" w:hAnsi="宋体" w:cs="宋体"/>
          <w:b/>
          <w:color w:val="auto"/>
          <w:sz w:val="24"/>
          <w:highlight w:val="none"/>
        </w:rPr>
      </w:pPr>
      <w:r>
        <w:rPr>
          <w:rFonts w:hint="eastAsia" w:ascii="宋体" w:hAnsi="宋体" w:cs="宋体"/>
          <w:b/>
          <w:color w:val="auto"/>
          <w:sz w:val="24"/>
          <w:highlight w:val="none"/>
        </w:rPr>
        <w:t>资格条件自查表</w:t>
      </w:r>
    </w:p>
    <w:tbl>
      <w:tblPr>
        <w:tblStyle w:val="37"/>
        <w:tblW w:w="0" w:type="auto"/>
        <w:tblInd w:w="129"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0"/>
        <w:gridCol w:w="4320"/>
        <w:gridCol w:w="1167"/>
        <w:gridCol w:w="20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5" w:hRule="atLeast"/>
          <w:tblHeader/>
        </w:trPr>
        <w:tc>
          <w:tcPr>
            <w:tcW w:w="780" w:type="dxa"/>
            <w:vAlign w:val="center"/>
          </w:tcPr>
          <w:p>
            <w:pPr>
              <w:widowControl/>
              <w:adjustRightInd w:val="0"/>
              <w:spacing w:line="400" w:lineRule="exact"/>
              <w:ind w:firstLine="0" w:firstLineChars="0"/>
              <w:jc w:val="center"/>
              <w:rPr>
                <w:rFonts w:ascii="宋体" w:hAnsi="宋体" w:cs="宋体"/>
                <w:b/>
                <w:color w:val="auto"/>
                <w:sz w:val="24"/>
                <w:highlight w:val="none"/>
              </w:rPr>
            </w:pPr>
            <w:r>
              <w:rPr>
                <w:rStyle w:val="40"/>
                <w:rFonts w:hint="eastAsia" w:ascii="宋体" w:hAnsi="宋体" w:cs="宋体"/>
                <w:color w:val="auto"/>
                <w:szCs w:val="21"/>
                <w:highlight w:val="none"/>
              </w:rPr>
              <w:t>评审内容</w:t>
            </w:r>
          </w:p>
        </w:tc>
        <w:tc>
          <w:tcPr>
            <w:tcW w:w="4320" w:type="dxa"/>
            <w:vAlign w:val="center"/>
          </w:tcPr>
          <w:p>
            <w:pPr>
              <w:widowControl/>
              <w:adjustRightInd w:val="0"/>
              <w:spacing w:line="400" w:lineRule="exact"/>
              <w:ind w:firstLine="0" w:firstLineChars="0"/>
              <w:jc w:val="center"/>
              <w:rPr>
                <w:rFonts w:ascii="宋体" w:hAnsi="宋体" w:cs="宋体"/>
                <w:b/>
                <w:color w:val="auto"/>
                <w:sz w:val="24"/>
                <w:highlight w:val="none"/>
              </w:rPr>
            </w:pPr>
            <w:r>
              <w:rPr>
                <w:rStyle w:val="40"/>
                <w:rFonts w:hint="eastAsia" w:ascii="宋体" w:hAnsi="宋体" w:cs="宋体"/>
                <w:color w:val="auto"/>
                <w:szCs w:val="21"/>
                <w:highlight w:val="none"/>
              </w:rPr>
              <w:t>招标文件要求</w:t>
            </w:r>
          </w:p>
        </w:tc>
        <w:tc>
          <w:tcPr>
            <w:tcW w:w="1167" w:type="dxa"/>
            <w:vAlign w:val="center"/>
          </w:tcPr>
          <w:p>
            <w:pPr>
              <w:widowControl/>
              <w:adjustRightInd w:val="0"/>
              <w:spacing w:line="400" w:lineRule="exact"/>
              <w:ind w:firstLine="0" w:firstLineChars="0"/>
              <w:jc w:val="center"/>
              <w:rPr>
                <w:rFonts w:ascii="宋体" w:hAnsi="宋体" w:cs="宋体"/>
                <w:b/>
                <w:color w:val="auto"/>
                <w:sz w:val="24"/>
                <w:highlight w:val="none"/>
              </w:rPr>
            </w:pPr>
            <w:r>
              <w:rPr>
                <w:rStyle w:val="40"/>
                <w:rFonts w:hint="eastAsia" w:ascii="宋体" w:hAnsi="宋体" w:cs="宋体"/>
                <w:color w:val="auto"/>
                <w:szCs w:val="21"/>
                <w:highlight w:val="none"/>
              </w:rPr>
              <w:t>自查结论</w:t>
            </w:r>
          </w:p>
        </w:tc>
        <w:tc>
          <w:tcPr>
            <w:tcW w:w="2028" w:type="dxa"/>
            <w:vAlign w:val="center"/>
          </w:tcPr>
          <w:p>
            <w:pPr>
              <w:widowControl/>
              <w:adjustRightInd w:val="0"/>
              <w:spacing w:line="400" w:lineRule="exact"/>
              <w:ind w:firstLine="0" w:firstLineChars="0"/>
              <w:jc w:val="center"/>
              <w:rPr>
                <w:rFonts w:ascii="宋体" w:hAnsi="宋体" w:cs="宋体"/>
                <w:b/>
                <w:color w:val="auto"/>
                <w:sz w:val="24"/>
                <w:highlight w:val="none"/>
              </w:rPr>
            </w:pPr>
            <w:r>
              <w:rPr>
                <w:rStyle w:val="40"/>
                <w:rFonts w:hint="eastAsia" w:ascii="宋体" w:hAnsi="宋体" w:cs="宋体"/>
                <w:color w:val="auto"/>
                <w:szCs w:val="21"/>
                <w:highlight w:val="none"/>
              </w:rPr>
              <w:t>证明资料页码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80" w:type="dxa"/>
            <w:vMerge w:val="restart"/>
            <w:vAlign w:val="center"/>
          </w:tcPr>
          <w:p>
            <w:pPr>
              <w:pStyle w:val="148"/>
              <w:adjustRightInd w:val="0"/>
              <w:spacing w:before="0" w:beforeAutospacing="0" w:after="0" w:afterAutospacing="0" w:line="400" w:lineRule="exact"/>
              <w:ind w:firstLine="0" w:firstLineChars="0"/>
              <w:jc w:val="center"/>
              <w:rPr>
                <w:rFonts w:cs="宋体"/>
                <w:b/>
                <w:color w:val="auto"/>
                <w:sz w:val="21"/>
                <w:szCs w:val="21"/>
                <w:highlight w:val="none"/>
              </w:rPr>
            </w:pPr>
            <w:r>
              <w:rPr>
                <w:rFonts w:hint="eastAsia" w:cs="宋体"/>
                <w:b/>
                <w:color w:val="auto"/>
                <w:sz w:val="21"/>
                <w:szCs w:val="21"/>
                <w:highlight w:val="none"/>
              </w:rPr>
              <w:t>资</w:t>
            </w:r>
          </w:p>
          <w:p>
            <w:pPr>
              <w:pStyle w:val="148"/>
              <w:adjustRightInd w:val="0"/>
              <w:spacing w:before="0" w:beforeAutospacing="0" w:after="0" w:afterAutospacing="0" w:line="400" w:lineRule="exact"/>
              <w:ind w:firstLine="0" w:firstLineChars="0"/>
              <w:jc w:val="center"/>
              <w:rPr>
                <w:rFonts w:cs="宋体"/>
                <w:b/>
                <w:color w:val="auto"/>
                <w:sz w:val="21"/>
                <w:szCs w:val="21"/>
                <w:highlight w:val="none"/>
              </w:rPr>
            </w:pPr>
            <w:r>
              <w:rPr>
                <w:rFonts w:hint="eastAsia" w:cs="宋体"/>
                <w:b/>
                <w:color w:val="auto"/>
                <w:sz w:val="21"/>
                <w:szCs w:val="21"/>
                <w:highlight w:val="none"/>
              </w:rPr>
              <w:t>格</w:t>
            </w:r>
          </w:p>
          <w:p>
            <w:pPr>
              <w:pStyle w:val="148"/>
              <w:adjustRightInd w:val="0"/>
              <w:spacing w:before="0" w:beforeAutospacing="0" w:after="0" w:afterAutospacing="0" w:line="400" w:lineRule="exact"/>
              <w:ind w:firstLine="0" w:firstLineChars="0"/>
              <w:jc w:val="center"/>
              <w:rPr>
                <w:rFonts w:cs="宋体"/>
                <w:b/>
                <w:color w:val="auto"/>
                <w:sz w:val="21"/>
                <w:szCs w:val="21"/>
                <w:highlight w:val="none"/>
              </w:rPr>
            </w:pPr>
            <w:r>
              <w:rPr>
                <w:rFonts w:hint="eastAsia" w:cs="宋体"/>
                <w:b/>
                <w:color w:val="auto"/>
                <w:sz w:val="21"/>
                <w:szCs w:val="21"/>
                <w:highlight w:val="none"/>
              </w:rPr>
              <w:t>性</w:t>
            </w:r>
          </w:p>
          <w:p>
            <w:pPr>
              <w:pStyle w:val="148"/>
              <w:adjustRightInd w:val="0"/>
              <w:spacing w:before="0" w:beforeAutospacing="0" w:after="0" w:afterAutospacing="0" w:line="400" w:lineRule="exact"/>
              <w:ind w:firstLine="0" w:firstLineChars="0"/>
              <w:jc w:val="center"/>
              <w:rPr>
                <w:rFonts w:cs="宋体"/>
                <w:b/>
                <w:color w:val="auto"/>
                <w:sz w:val="21"/>
                <w:szCs w:val="21"/>
                <w:highlight w:val="none"/>
              </w:rPr>
            </w:pPr>
            <w:r>
              <w:rPr>
                <w:rFonts w:hint="eastAsia" w:cs="宋体"/>
                <w:b/>
                <w:color w:val="auto"/>
                <w:sz w:val="21"/>
                <w:szCs w:val="21"/>
                <w:highlight w:val="none"/>
              </w:rPr>
              <w:t>审</w:t>
            </w:r>
          </w:p>
          <w:p>
            <w:pPr>
              <w:widowControl/>
              <w:adjustRightInd w:val="0"/>
              <w:spacing w:line="400" w:lineRule="exact"/>
              <w:ind w:firstLine="0" w:firstLineChars="0"/>
              <w:jc w:val="center"/>
              <w:rPr>
                <w:rFonts w:ascii="宋体" w:hAnsi="宋体" w:cs="宋体"/>
                <w:b/>
                <w:color w:val="auto"/>
                <w:sz w:val="24"/>
                <w:highlight w:val="none"/>
              </w:rPr>
            </w:pPr>
            <w:r>
              <w:rPr>
                <w:rFonts w:hint="eastAsia" w:ascii="宋体" w:hAnsi="宋体" w:cs="宋体"/>
                <w:b/>
                <w:color w:val="auto"/>
                <w:szCs w:val="21"/>
                <w:highlight w:val="none"/>
              </w:rPr>
              <w:t>查</w:t>
            </w:r>
          </w:p>
        </w:tc>
        <w:tc>
          <w:tcPr>
            <w:tcW w:w="4320" w:type="dxa"/>
            <w:vAlign w:val="center"/>
          </w:tcPr>
          <w:p>
            <w:pPr>
              <w:widowControl/>
              <w:adjustRightInd w:val="0"/>
              <w:spacing w:line="400" w:lineRule="exact"/>
              <w:ind w:firstLine="420"/>
              <w:rPr>
                <w:rFonts w:ascii="宋体" w:hAnsi="宋体" w:cs="宋体"/>
                <w:b/>
                <w:color w:val="auto"/>
                <w:sz w:val="24"/>
                <w:highlight w:val="none"/>
              </w:rPr>
            </w:pPr>
            <w:r>
              <w:rPr>
                <w:rFonts w:hint="eastAsia" w:ascii="宋体" w:hAnsi="宋体" w:cs="宋体"/>
                <w:color w:val="auto"/>
                <w:szCs w:val="21"/>
                <w:highlight w:val="none"/>
              </w:rPr>
              <w:t>一、</w:t>
            </w:r>
            <w:r>
              <w:rPr>
                <w:rFonts w:hint="eastAsia" w:ascii="宋体" w:hAnsi="宋体" w:cs="宋体"/>
                <w:color w:val="auto"/>
                <w:highlight w:val="none"/>
              </w:rPr>
              <w:t>满足《中华人民共和国政府采购法》第二十二条规定</w:t>
            </w:r>
            <w:r>
              <w:rPr>
                <w:rFonts w:hint="eastAsia" w:ascii="宋体" w:hAnsi="宋体" w:cs="宋体"/>
                <w:color w:val="auto"/>
                <w:szCs w:val="21"/>
                <w:highlight w:val="none"/>
              </w:rPr>
              <w:t>：</w:t>
            </w:r>
          </w:p>
        </w:tc>
        <w:tc>
          <w:tcPr>
            <w:tcW w:w="1167" w:type="dxa"/>
            <w:vMerge w:val="restart"/>
            <w:vAlign w:val="center"/>
          </w:tcPr>
          <w:p>
            <w:pPr>
              <w:widowControl/>
              <w:adjustRightInd w:val="0"/>
              <w:spacing w:line="400" w:lineRule="exact"/>
              <w:ind w:firstLine="0" w:firstLineChars="0"/>
              <w:rPr>
                <w:rFonts w:ascii="宋体" w:hAnsi="宋体" w:cs="宋体"/>
                <w:color w:val="auto"/>
                <w:szCs w:val="21"/>
                <w:highlight w:val="none"/>
              </w:rPr>
            </w:pPr>
            <w:r>
              <w:rPr>
                <w:rFonts w:hint="eastAsia" w:ascii="宋体" w:hAnsi="宋体" w:cs="宋体"/>
                <w:color w:val="auto"/>
                <w:szCs w:val="21"/>
                <w:highlight w:val="none"/>
              </w:rPr>
              <w:t xml:space="preserve">□通过 </w:t>
            </w:r>
          </w:p>
          <w:p>
            <w:pPr>
              <w:widowControl/>
              <w:adjustRightInd w:val="0"/>
              <w:spacing w:line="400" w:lineRule="exact"/>
              <w:ind w:firstLine="0" w:firstLineChars="0"/>
              <w:rPr>
                <w:rFonts w:ascii="宋体" w:hAnsi="宋体" w:cs="宋体"/>
                <w:b/>
                <w:color w:val="auto"/>
                <w:sz w:val="24"/>
                <w:highlight w:val="none"/>
              </w:rPr>
            </w:pPr>
            <w:r>
              <w:rPr>
                <w:rFonts w:hint="eastAsia" w:ascii="宋体" w:hAnsi="宋体" w:cs="宋体"/>
                <w:color w:val="auto"/>
                <w:szCs w:val="21"/>
                <w:highlight w:val="none"/>
              </w:rPr>
              <w:t>□不通过</w:t>
            </w:r>
          </w:p>
        </w:tc>
        <w:tc>
          <w:tcPr>
            <w:tcW w:w="2028" w:type="dxa"/>
            <w:vAlign w:val="center"/>
          </w:tcPr>
          <w:p>
            <w:pPr>
              <w:widowControl/>
              <w:adjustRightInd w:val="0"/>
              <w:spacing w:line="400" w:lineRule="exact"/>
              <w:ind w:firstLine="420"/>
              <w:jc w:val="center"/>
              <w:rPr>
                <w:rFonts w:ascii="宋体" w:hAnsi="宋体" w:cs="宋体"/>
                <w:b/>
                <w:color w:val="auto"/>
                <w:sz w:val="24"/>
                <w:highlight w:val="none"/>
              </w:rPr>
            </w:pPr>
            <w:r>
              <w:rPr>
                <w:rFonts w:hint="eastAsia" w:ascii="宋体" w:hAnsi="宋体" w:cs="宋体"/>
                <w:color w:val="auto"/>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80" w:type="dxa"/>
            <w:vMerge w:val="continue"/>
          </w:tcPr>
          <w:p>
            <w:pPr>
              <w:widowControl/>
              <w:adjustRightInd w:val="0"/>
              <w:spacing w:line="400" w:lineRule="exact"/>
              <w:ind w:firstLine="482"/>
              <w:rPr>
                <w:rFonts w:ascii="宋体" w:hAnsi="宋体" w:cs="宋体"/>
                <w:b/>
                <w:color w:val="auto"/>
                <w:sz w:val="24"/>
                <w:highlight w:val="none"/>
              </w:rPr>
            </w:pPr>
          </w:p>
        </w:tc>
        <w:tc>
          <w:tcPr>
            <w:tcW w:w="4320" w:type="dxa"/>
            <w:vAlign w:val="center"/>
          </w:tcPr>
          <w:p>
            <w:pPr>
              <w:widowControl/>
              <w:adjustRightInd w:val="0"/>
              <w:spacing w:line="400" w:lineRule="exact"/>
              <w:ind w:firstLine="420"/>
              <w:rPr>
                <w:rFonts w:ascii="宋体" w:hAnsi="宋体" w:cs="宋体"/>
                <w:b/>
                <w:color w:val="auto"/>
                <w:sz w:val="24"/>
                <w:highlight w:val="none"/>
              </w:rPr>
            </w:pPr>
            <w:r>
              <w:rPr>
                <w:rFonts w:hint="eastAsia" w:ascii="宋体" w:hAnsi="宋体" w:cs="宋体"/>
                <w:bCs/>
                <w:color w:val="auto"/>
                <w:szCs w:val="28"/>
                <w:highlight w:val="none"/>
              </w:rPr>
              <w:t>1.</w:t>
            </w:r>
            <w:r>
              <w:rPr>
                <w:rFonts w:hint="eastAsia" w:ascii="宋体" w:hAnsi="宋体" w:cs="宋体"/>
                <w:color w:val="auto"/>
                <w:szCs w:val="21"/>
                <w:highlight w:val="none"/>
              </w:rPr>
              <w:t xml:space="preserve"> 有效的企业法人营业执照（或事业法人登记证）、其他组织（个体工商户）的营业执照或者民办非企业单位登记证书复印件（加盖公章）</w:t>
            </w:r>
          </w:p>
        </w:tc>
        <w:tc>
          <w:tcPr>
            <w:tcW w:w="1167" w:type="dxa"/>
            <w:vMerge w:val="continue"/>
          </w:tcPr>
          <w:p>
            <w:pPr>
              <w:widowControl/>
              <w:adjustRightInd w:val="0"/>
              <w:spacing w:line="400" w:lineRule="exact"/>
              <w:ind w:firstLine="482"/>
              <w:rPr>
                <w:rFonts w:ascii="宋体" w:hAnsi="宋体" w:cs="宋体"/>
                <w:b/>
                <w:color w:val="auto"/>
                <w:sz w:val="24"/>
                <w:highlight w:val="none"/>
              </w:rPr>
            </w:pPr>
          </w:p>
        </w:tc>
        <w:tc>
          <w:tcPr>
            <w:tcW w:w="2028" w:type="dxa"/>
            <w:vAlign w:val="center"/>
          </w:tcPr>
          <w:p>
            <w:pPr>
              <w:widowControl/>
              <w:adjustRightInd w:val="0"/>
              <w:spacing w:line="400" w:lineRule="exact"/>
              <w:ind w:firstLine="0" w:firstLineChars="0"/>
              <w:jc w:val="center"/>
              <w:rPr>
                <w:rFonts w:ascii="宋体" w:hAnsi="宋体" w:cs="宋体"/>
                <w:b/>
                <w:color w:val="auto"/>
                <w:sz w:val="24"/>
                <w:highlight w:val="none"/>
              </w:rPr>
            </w:pPr>
            <w:r>
              <w:rPr>
                <w:rFonts w:hint="eastAsia" w:ascii="宋体" w:hAnsi="宋体" w:cs="宋体"/>
                <w:color w:val="auto"/>
                <w:szCs w:val="21"/>
                <w:highlight w:val="none"/>
              </w:rPr>
              <w:t>第（ ）页-（  ）页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Merge w:val="continue"/>
          </w:tcPr>
          <w:p>
            <w:pPr>
              <w:widowControl/>
              <w:adjustRightInd w:val="0"/>
              <w:spacing w:line="400" w:lineRule="exact"/>
              <w:ind w:firstLine="420"/>
              <w:rPr>
                <w:rFonts w:ascii="宋体" w:hAnsi="宋体" w:cs="宋体"/>
                <w:bCs/>
                <w:color w:val="auto"/>
                <w:szCs w:val="28"/>
                <w:highlight w:val="none"/>
              </w:rPr>
            </w:pPr>
          </w:p>
        </w:tc>
        <w:tc>
          <w:tcPr>
            <w:tcW w:w="4320" w:type="dxa"/>
            <w:vAlign w:val="center"/>
          </w:tcPr>
          <w:p>
            <w:pPr>
              <w:widowControl/>
              <w:adjustRightInd w:val="0"/>
              <w:spacing w:line="400" w:lineRule="exact"/>
              <w:ind w:firstLine="420"/>
              <w:rPr>
                <w:rFonts w:ascii="宋体" w:hAnsi="宋体" w:cs="宋体"/>
                <w:bCs/>
                <w:color w:val="auto"/>
                <w:szCs w:val="28"/>
                <w:highlight w:val="none"/>
              </w:rPr>
            </w:pPr>
            <w:r>
              <w:rPr>
                <w:rFonts w:hint="eastAsia" w:ascii="宋体" w:hAnsi="宋体" w:cs="宋体"/>
                <w:color w:val="auto"/>
                <w:kern w:val="0"/>
                <w:szCs w:val="21"/>
                <w:highlight w:val="none"/>
                <w:lang w:bidi="ar"/>
              </w:rPr>
              <w:t>2、提供《</w:t>
            </w:r>
            <w:r>
              <w:rPr>
                <w:rFonts w:hint="eastAsia" w:ascii="宋体" w:hAnsi="宋体" w:cs="宋体"/>
                <w:color w:val="auto"/>
                <w:highlight w:val="none"/>
              </w:rPr>
              <w:t>书面声明</w:t>
            </w:r>
            <w:r>
              <w:rPr>
                <w:rFonts w:hint="eastAsia" w:ascii="宋体" w:hAnsi="宋体" w:cs="宋体"/>
                <w:color w:val="auto"/>
                <w:kern w:val="0"/>
                <w:szCs w:val="21"/>
                <w:highlight w:val="none"/>
                <w:lang w:bidi="ar"/>
              </w:rPr>
              <w:t>》。</w:t>
            </w:r>
          </w:p>
        </w:tc>
        <w:tc>
          <w:tcPr>
            <w:tcW w:w="1167" w:type="dxa"/>
            <w:vMerge w:val="continue"/>
          </w:tcPr>
          <w:p>
            <w:pPr>
              <w:widowControl/>
              <w:adjustRightInd w:val="0"/>
              <w:spacing w:line="400" w:lineRule="exact"/>
              <w:ind w:firstLine="420"/>
              <w:rPr>
                <w:rFonts w:ascii="宋体" w:hAnsi="宋体" w:cs="宋体"/>
                <w:bCs/>
                <w:color w:val="auto"/>
                <w:szCs w:val="28"/>
                <w:highlight w:val="none"/>
              </w:rPr>
            </w:pPr>
          </w:p>
        </w:tc>
        <w:tc>
          <w:tcPr>
            <w:tcW w:w="2028" w:type="dxa"/>
            <w:vAlign w:val="center"/>
          </w:tcPr>
          <w:p>
            <w:pPr>
              <w:widowControl/>
              <w:adjustRightInd w:val="0"/>
              <w:spacing w:line="400" w:lineRule="exact"/>
              <w:ind w:firstLine="0" w:firstLineChars="0"/>
              <w:jc w:val="center"/>
              <w:rPr>
                <w:rFonts w:ascii="宋体" w:hAnsi="宋体" w:cs="宋体"/>
                <w:bCs/>
                <w:color w:val="auto"/>
                <w:szCs w:val="28"/>
                <w:highlight w:val="none"/>
              </w:rPr>
            </w:pPr>
            <w:r>
              <w:rPr>
                <w:rFonts w:hint="eastAsia" w:ascii="宋体" w:hAnsi="宋体" w:cs="宋体"/>
                <w:color w:val="auto"/>
                <w:szCs w:val="21"/>
                <w:highlight w:val="none"/>
              </w:rPr>
              <w:t>第（ ）页-（  ）页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80" w:type="dxa"/>
            <w:vMerge w:val="continue"/>
          </w:tcPr>
          <w:p>
            <w:pPr>
              <w:widowControl/>
              <w:adjustRightInd w:val="0"/>
              <w:spacing w:line="400" w:lineRule="exact"/>
              <w:ind w:firstLine="420"/>
              <w:rPr>
                <w:rFonts w:ascii="宋体" w:hAnsi="宋体" w:cs="宋体"/>
                <w:bCs/>
                <w:color w:val="auto"/>
                <w:szCs w:val="28"/>
                <w:highlight w:val="none"/>
              </w:rPr>
            </w:pPr>
          </w:p>
        </w:tc>
        <w:tc>
          <w:tcPr>
            <w:tcW w:w="4320" w:type="dxa"/>
            <w:vAlign w:val="center"/>
          </w:tcPr>
          <w:p>
            <w:pPr>
              <w:widowControl/>
              <w:adjustRightInd w:val="0"/>
              <w:spacing w:line="400" w:lineRule="exact"/>
              <w:ind w:firstLine="420"/>
              <w:rPr>
                <w:rFonts w:ascii="宋体" w:hAnsi="宋体" w:cs="宋体"/>
                <w:bCs/>
                <w:color w:val="auto"/>
                <w:szCs w:val="28"/>
                <w:highlight w:val="none"/>
              </w:rPr>
            </w:pPr>
            <w:r>
              <w:rPr>
                <w:rFonts w:hint="eastAsia" w:ascii="宋体" w:hAnsi="宋体" w:cs="宋体"/>
                <w:bCs/>
                <w:color w:val="auto"/>
                <w:szCs w:val="28"/>
                <w:highlight w:val="none"/>
              </w:rPr>
              <w:t>二、</w:t>
            </w:r>
            <w:r>
              <w:rPr>
                <w:rFonts w:hint="eastAsia" w:ascii="宋体" w:hAnsi="宋体" w:cs="宋体"/>
                <w:color w:val="auto"/>
                <w:highlight w:val="none"/>
              </w:rPr>
              <w:t>未被“信用中国”（www.creditchina.gov.cn)、中国政府采购网（www.ccgp.gov.cn）列入失信被执行人、重大税收违法案件当事人名单、政府采购严重违法失信行为记录名单。</w:t>
            </w:r>
          </w:p>
        </w:tc>
        <w:tc>
          <w:tcPr>
            <w:tcW w:w="1167" w:type="dxa"/>
            <w:vAlign w:val="center"/>
          </w:tcPr>
          <w:p>
            <w:pPr>
              <w:widowControl/>
              <w:adjustRightInd w:val="0"/>
              <w:spacing w:line="400" w:lineRule="exact"/>
              <w:ind w:firstLine="0" w:firstLineChars="0"/>
              <w:rPr>
                <w:rFonts w:ascii="宋体" w:hAnsi="宋体" w:cs="宋体"/>
                <w:color w:val="auto"/>
                <w:szCs w:val="21"/>
                <w:highlight w:val="none"/>
              </w:rPr>
            </w:pPr>
            <w:r>
              <w:rPr>
                <w:rFonts w:hint="eastAsia" w:ascii="宋体" w:hAnsi="宋体" w:cs="宋体"/>
                <w:color w:val="auto"/>
                <w:szCs w:val="21"/>
                <w:highlight w:val="none"/>
              </w:rPr>
              <w:t xml:space="preserve">□通过 </w:t>
            </w:r>
          </w:p>
          <w:p>
            <w:pPr>
              <w:widowControl/>
              <w:adjustRightInd w:val="0"/>
              <w:spacing w:line="400" w:lineRule="exact"/>
              <w:ind w:firstLine="0" w:firstLineChars="0"/>
              <w:rPr>
                <w:rFonts w:ascii="宋体" w:hAnsi="宋体" w:cs="宋体"/>
                <w:bCs/>
                <w:color w:val="auto"/>
                <w:szCs w:val="28"/>
                <w:highlight w:val="none"/>
              </w:rPr>
            </w:pPr>
            <w:r>
              <w:rPr>
                <w:rFonts w:hint="eastAsia" w:ascii="宋体" w:hAnsi="宋体" w:cs="宋体"/>
                <w:color w:val="auto"/>
                <w:szCs w:val="21"/>
                <w:highlight w:val="none"/>
              </w:rPr>
              <w:t>□不通过</w:t>
            </w:r>
          </w:p>
        </w:tc>
        <w:tc>
          <w:tcPr>
            <w:tcW w:w="2028" w:type="dxa"/>
            <w:vAlign w:val="center"/>
          </w:tcPr>
          <w:p>
            <w:pPr>
              <w:widowControl/>
              <w:adjustRightInd w:val="0"/>
              <w:spacing w:line="400" w:lineRule="exact"/>
              <w:ind w:firstLine="0" w:firstLineChars="0"/>
              <w:jc w:val="center"/>
              <w:rPr>
                <w:rFonts w:ascii="宋体" w:hAnsi="宋体" w:cs="宋体"/>
                <w:bCs/>
                <w:color w:val="auto"/>
                <w:szCs w:val="28"/>
                <w:highlight w:val="none"/>
                <w:u w:val="single"/>
              </w:rPr>
            </w:pPr>
            <w:r>
              <w:rPr>
                <w:rFonts w:hint="eastAsia" w:ascii="宋体" w:hAnsi="宋体" w:cs="宋体"/>
                <w:bCs/>
                <w:color w:val="auto"/>
                <w:szCs w:val="28"/>
                <w:highlight w:val="none"/>
              </w:rPr>
              <w:t xml:space="preserve">信用记录 </w:t>
            </w:r>
            <w:r>
              <w:rPr>
                <w:rFonts w:hint="eastAsia" w:ascii="宋体" w:hAnsi="宋体" w:cs="宋体"/>
                <w:bCs/>
                <w:color w:val="auto"/>
                <w:szCs w:val="28"/>
                <w:highlight w:val="none"/>
                <w:u w:val="single"/>
              </w:rPr>
              <w:t>是/否</w:t>
            </w:r>
            <w:r>
              <w:rPr>
                <w:rFonts w:hint="eastAsia" w:ascii="宋体" w:hAnsi="宋体" w:cs="宋体"/>
                <w:bCs/>
                <w:color w:val="auto"/>
                <w:szCs w:val="28"/>
                <w:highlight w:val="none"/>
              </w:rPr>
              <w:t xml:space="preserve"> 已失效，如失效，证明材料详见</w:t>
            </w:r>
            <w:r>
              <w:rPr>
                <w:rFonts w:hint="eastAsia" w:ascii="宋体" w:hAnsi="宋体" w:cs="宋体"/>
                <w:color w:val="auto"/>
                <w:szCs w:val="21"/>
                <w:highlight w:val="none"/>
              </w:rPr>
              <w:t>第（ ）页-（  ）页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80" w:type="dxa"/>
            <w:vMerge w:val="continue"/>
          </w:tcPr>
          <w:p>
            <w:pPr>
              <w:widowControl/>
              <w:adjustRightInd w:val="0"/>
              <w:spacing w:line="400" w:lineRule="exact"/>
              <w:ind w:firstLine="420"/>
              <w:rPr>
                <w:rFonts w:ascii="宋体" w:hAnsi="宋体" w:cs="宋体"/>
                <w:bCs/>
                <w:color w:val="auto"/>
                <w:szCs w:val="28"/>
                <w:highlight w:val="none"/>
              </w:rPr>
            </w:pPr>
          </w:p>
        </w:tc>
        <w:tc>
          <w:tcPr>
            <w:tcW w:w="4320" w:type="dxa"/>
            <w:vAlign w:val="center"/>
          </w:tcPr>
          <w:p>
            <w:pPr>
              <w:widowControl/>
              <w:adjustRightInd w:val="0"/>
              <w:spacing w:line="400" w:lineRule="exact"/>
              <w:ind w:firstLine="420"/>
              <w:rPr>
                <w:rFonts w:ascii="宋体" w:hAnsi="宋体" w:cs="宋体"/>
                <w:bCs/>
                <w:color w:val="auto"/>
                <w:szCs w:val="28"/>
                <w:highlight w:val="none"/>
              </w:rPr>
            </w:pPr>
            <w:r>
              <w:rPr>
                <w:rFonts w:hint="eastAsia" w:ascii="宋体" w:hAnsi="宋体" w:cs="宋体"/>
                <w:bCs/>
                <w:color w:val="auto"/>
                <w:szCs w:val="28"/>
                <w:highlight w:val="none"/>
              </w:rPr>
              <w:t>三、</w:t>
            </w:r>
            <w:r>
              <w:rPr>
                <w:rFonts w:hint="eastAsia" w:ascii="宋体" w:hAnsi="宋体" w:cs="宋体"/>
                <w:color w:val="auto"/>
                <w:highlight w:val="none"/>
              </w:rPr>
              <w:t>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提供《书面声明》）。</w:t>
            </w:r>
          </w:p>
        </w:tc>
        <w:tc>
          <w:tcPr>
            <w:tcW w:w="1167" w:type="dxa"/>
            <w:vAlign w:val="center"/>
          </w:tcPr>
          <w:p>
            <w:pPr>
              <w:widowControl/>
              <w:adjustRightInd w:val="0"/>
              <w:spacing w:line="400" w:lineRule="exact"/>
              <w:ind w:firstLine="0" w:firstLineChars="0"/>
              <w:rPr>
                <w:rFonts w:ascii="宋体" w:hAnsi="宋体" w:cs="宋体"/>
                <w:color w:val="auto"/>
                <w:szCs w:val="21"/>
                <w:highlight w:val="none"/>
              </w:rPr>
            </w:pPr>
            <w:r>
              <w:rPr>
                <w:rFonts w:hint="eastAsia" w:ascii="宋体" w:hAnsi="宋体" w:cs="宋体"/>
                <w:color w:val="auto"/>
                <w:szCs w:val="21"/>
                <w:highlight w:val="none"/>
              </w:rPr>
              <w:t xml:space="preserve">□通过 </w:t>
            </w:r>
          </w:p>
          <w:p>
            <w:pPr>
              <w:widowControl/>
              <w:adjustRightInd w:val="0"/>
              <w:spacing w:line="400" w:lineRule="exact"/>
              <w:ind w:firstLine="0" w:firstLineChars="0"/>
              <w:rPr>
                <w:rFonts w:ascii="宋体" w:hAnsi="宋体" w:cs="宋体"/>
                <w:bCs/>
                <w:color w:val="auto"/>
                <w:szCs w:val="28"/>
                <w:highlight w:val="none"/>
              </w:rPr>
            </w:pPr>
            <w:r>
              <w:rPr>
                <w:rFonts w:hint="eastAsia" w:ascii="宋体" w:hAnsi="宋体" w:cs="宋体"/>
                <w:color w:val="auto"/>
                <w:szCs w:val="21"/>
                <w:highlight w:val="none"/>
              </w:rPr>
              <w:t>□不通过</w:t>
            </w:r>
          </w:p>
        </w:tc>
        <w:tc>
          <w:tcPr>
            <w:tcW w:w="2028" w:type="dxa"/>
            <w:vAlign w:val="center"/>
          </w:tcPr>
          <w:p>
            <w:pPr>
              <w:widowControl/>
              <w:adjustRightInd w:val="0"/>
              <w:spacing w:line="400" w:lineRule="exact"/>
              <w:ind w:firstLine="0" w:firstLineChars="0"/>
              <w:jc w:val="center"/>
              <w:rPr>
                <w:rFonts w:ascii="宋体" w:hAnsi="宋体" w:cs="宋体"/>
                <w:bCs/>
                <w:color w:val="auto"/>
                <w:szCs w:val="28"/>
                <w:highlight w:val="none"/>
              </w:rPr>
            </w:pPr>
            <w:r>
              <w:rPr>
                <w:rFonts w:hint="eastAsia" w:ascii="宋体" w:hAnsi="宋体" w:cs="宋体"/>
                <w:bCs/>
                <w:color w:val="auto"/>
                <w:szCs w:val="28"/>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80" w:type="dxa"/>
            <w:vMerge w:val="continue"/>
          </w:tcPr>
          <w:p>
            <w:pPr>
              <w:widowControl/>
              <w:adjustRightInd w:val="0"/>
              <w:spacing w:line="400" w:lineRule="exact"/>
              <w:ind w:firstLine="420"/>
              <w:rPr>
                <w:rFonts w:ascii="宋体" w:hAnsi="宋体" w:cs="宋体"/>
                <w:bCs/>
                <w:color w:val="auto"/>
                <w:szCs w:val="28"/>
                <w:highlight w:val="none"/>
              </w:rPr>
            </w:pPr>
          </w:p>
        </w:tc>
        <w:tc>
          <w:tcPr>
            <w:tcW w:w="4320" w:type="dxa"/>
            <w:vAlign w:val="center"/>
          </w:tcPr>
          <w:p>
            <w:pPr>
              <w:widowControl/>
              <w:adjustRightInd w:val="0"/>
              <w:spacing w:line="400" w:lineRule="exact"/>
              <w:ind w:firstLine="420"/>
              <w:rPr>
                <w:rFonts w:ascii="宋体" w:hAnsi="宋体" w:cs="宋体"/>
                <w:bCs/>
                <w:color w:val="auto"/>
                <w:szCs w:val="28"/>
                <w:highlight w:val="none"/>
              </w:rPr>
            </w:pPr>
            <w:r>
              <w:rPr>
                <w:rFonts w:hint="eastAsia" w:ascii="宋体" w:hAnsi="宋体" w:cs="宋体"/>
                <w:bCs/>
                <w:color w:val="auto"/>
                <w:szCs w:val="28"/>
                <w:highlight w:val="none"/>
              </w:rPr>
              <w:t>四、</w:t>
            </w:r>
            <w:r>
              <w:rPr>
                <w:rFonts w:hint="eastAsia" w:ascii="宋体" w:hAnsi="宋体" w:cs="宋体"/>
                <w:color w:val="auto"/>
                <w:szCs w:val="21"/>
                <w:highlight w:val="none"/>
              </w:rPr>
              <w:t>本项目不接受联合体投标。</w:t>
            </w:r>
          </w:p>
        </w:tc>
        <w:tc>
          <w:tcPr>
            <w:tcW w:w="1167" w:type="dxa"/>
            <w:vAlign w:val="center"/>
          </w:tcPr>
          <w:p>
            <w:pPr>
              <w:widowControl/>
              <w:adjustRightInd w:val="0"/>
              <w:spacing w:line="400" w:lineRule="exact"/>
              <w:ind w:firstLine="0" w:firstLineChars="0"/>
              <w:rPr>
                <w:rFonts w:ascii="宋体" w:hAnsi="宋体" w:cs="宋体"/>
                <w:color w:val="auto"/>
                <w:szCs w:val="21"/>
                <w:highlight w:val="none"/>
              </w:rPr>
            </w:pPr>
            <w:r>
              <w:rPr>
                <w:rFonts w:hint="eastAsia" w:ascii="宋体" w:hAnsi="宋体" w:cs="宋体"/>
                <w:color w:val="auto"/>
                <w:szCs w:val="21"/>
                <w:highlight w:val="none"/>
              </w:rPr>
              <w:t xml:space="preserve">□通过 </w:t>
            </w:r>
          </w:p>
          <w:p>
            <w:pPr>
              <w:widowControl/>
              <w:adjustRightInd w:val="0"/>
              <w:spacing w:line="400" w:lineRule="exact"/>
              <w:ind w:firstLine="0" w:firstLineChars="0"/>
              <w:rPr>
                <w:rFonts w:ascii="宋体" w:hAnsi="宋体" w:cs="宋体"/>
                <w:bCs/>
                <w:color w:val="auto"/>
                <w:szCs w:val="28"/>
                <w:highlight w:val="none"/>
              </w:rPr>
            </w:pPr>
            <w:r>
              <w:rPr>
                <w:rFonts w:hint="eastAsia" w:ascii="宋体" w:hAnsi="宋体" w:cs="宋体"/>
                <w:color w:val="auto"/>
                <w:szCs w:val="21"/>
                <w:highlight w:val="none"/>
              </w:rPr>
              <w:t>□不通过</w:t>
            </w:r>
          </w:p>
        </w:tc>
        <w:tc>
          <w:tcPr>
            <w:tcW w:w="2028" w:type="dxa"/>
            <w:vAlign w:val="center"/>
          </w:tcPr>
          <w:p>
            <w:pPr>
              <w:widowControl/>
              <w:adjustRightInd w:val="0"/>
              <w:spacing w:line="400" w:lineRule="exact"/>
              <w:ind w:firstLine="0" w:firstLineChars="0"/>
              <w:jc w:val="center"/>
              <w:rPr>
                <w:rFonts w:ascii="宋体" w:hAnsi="宋体" w:cs="宋体"/>
                <w:bCs/>
                <w:color w:val="auto"/>
                <w:szCs w:val="28"/>
                <w:highlight w:val="none"/>
              </w:rPr>
            </w:pPr>
            <w:r>
              <w:rPr>
                <w:rFonts w:hint="eastAsia" w:ascii="宋体" w:hAnsi="宋体" w:cs="宋体"/>
                <w:color w:val="auto"/>
                <w:szCs w:val="21"/>
                <w:highlight w:val="none"/>
              </w:rPr>
              <w:t>/</w:t>
            </w:r>
          </w:p>
        </w:tc>
      </w:tr>
    </w:tbl>
    <w:p>
      <w:pPr>
        <w:ind w:firstLine="210" w:firstLineChars="100"/>
        <w:rPr>
          <w:rFonts w:ascii="宋体" w:hAnsi="宋体" w:cs="宋体"/>
          <w:color w:val="auto"/>
          <w:szCs w:val="21"/>
          <w:highlight w:val="none"/>
        </w:rPr>
        <w:sectPr>
          <w:pgSz w:w="11906" w:h="16838"/>
          <w:pgMar w:top="1474" w:right="1797" w:bottom="1247" w:left="1797" w:header="851" w:footer="851" w:gutter="0"/>
          <w:cols w:space="720" w:num="1"/>
          <w:titlePg/>
          <w:docGrid w:linePitch="312" w:charSpace="0"/>
        </w:sectPr>
      </w:pPr>
    </w:p>
    <w:p>
      <w:pPr>
        <w:ind w:firstLine="422"/>
        <w:rPr>
          <w:rFonts w:ascii="宋体" w:hAnsi="宋体" w:cs="宋体"/>
          <w:b/>
          <w:color w:val="auto"/>
          <w:highlight w:val="none"/>
        </w:rPr>
      </w:pPr>
      <w:r>
        <w:rPr>
          <w:rFonts w:hint="eastAsia" w:ascii="宋体" w:hAnsi="宋体" w:cs="宋体"/>
          <w:b/>
          <w:color w:val="auto"/>
          <w:highlight w:val="none"/>
        </w:rPr>
        <w:t>9、书面声明</w:t>
      </w:r>
    </w:p>
    <w:p>
      <w:pPr>
        <w:ind w:firstLine="562"/>
        <w:jc w:val="center"/>
        <w:rPr>
          <w:rFonts w:ascii="宋体" w:hAnsi="宋体" w:cs="宋体"/>
          <w:b/>
          <w:color w:val="auto"/>
          <w:sz w:val="28"/>
          <w:szCs w:val="28"/>
          <w:highlight w:val="none"/>
        </w:rPr>
      </w:pPr>
      <w:bookmarkStart w:id="1785" w:name="_Toc275865606"/>
    </w:p>
    <w:p>
      <w:pPr>
        <w:ind w:firstLine="422"/>
        <w:jc w:val="center"/>
        <w:rPr>
          <w:rFonts w:ascii="宋体" w:hAnsi="宋体" w:cs="宋体"/>
          <w:b/>
          <w:color w:val="auto"/>
          <w:szCs w:val="21"/>
          <w:highlight w:val="none"/>
        </w:rPr>
      </w:pPr>
      <w:r>
        <w:rPr>
          <w:rFonts w:hint="eastAsia" w:ascii="宋体" w:hAnsi="宋体" w:cs="宋体"/>
          <w:b/>
          <w:color w:val="auto"/>
          <w:szCs w:val="21"/>
          <w:highlight w:val="none"/>
        </w:rPr>
        <w:t>书面声明</w:t>
      </w:r>
      <w:bookmarkEnd w:id="1785"/>
    </w:p>
    <w:p>
      <w:pPr>
        <w:ind w:firstLine="422"/>
        <w:rPr>
          <w:rFonts w:ascii="宋体" w:hAnsi="宋体" w:cs="宋体"/>
          <w:b/>
          <w:color w:val="auto"/>
          <w:highlight w:val="none"/>
        </w:rPr>
      </w:pPr>
    </w:p>
    <w:p>
      <w:pPr>
        <w:ind w:firstLine="422"/>
        <w:rPr>
          <w:rFonts w:ascii="宋体" w:hAnsi="宋体" w:cs="宋体"/>
          <w:b/>
          <w:color w:val="auto"/>
          <w:highlight w:val="none"/>
        </w:rPr>
      </w:pPr>
      <w:r>
        <w:rPr>
          <w:rFonts w:hint="eastAsia" w:ascii="宋体" w:hAnsi="宋体" w:cs="宋体"/>
          <w:b/>
          <w:color w:val="auto"/>
          <w:highlight w:val="none"/>
        </w:rPr>
        <w:t>宁波中基国际招标有限公司：</w:t>
      </w:r>
    </w:p>
    <w:p>
      <w:pPr>
        <w:snapToGrid w:val="0"/>
        <w:spacing w:before="120" w:beforeLines="50"/>
        <w:ind w:firstLine="424" w:firstLineChars="202"/>
        <w:rPr>
          <w:rFonts w:ascii="宋体" w:hAnsi="宋体" w:cs="宋体"/>
          <w:color w:val="auto"/>
          <w:highlight w:val="none"/>
        </w:rPr>
      </w:pPr>
      <w:r>
        <w:rPr>
          <w:rFonts w:hint="eastAsia" w:ascii="宋体" w:hAnsi="宋体" w:cs="宋体"/>
          <w:color w:val="auto"/>
          <w:highlight w:val="none"/>
        </w:rPr>
        <w:t>关于你贵司</w:t>
      </w:r>
      <w:r>
        <w:rPr>
          <w:rFonts w:hint="eastAsia" w:ascii="宋体" w:hAnsi="宋体" w:cs="宋体"/>
          <w:color w:val="auto"/>
          <w:highlight w:val="none"/>
          <w:u w:val="single"/>
        </w:rPr>
        <w:t xml:space="preserve">      </w:t>
      </w:r>
      <w:r>
        <w:rPr>
          <w:rFonts w:hint="eastAsia" w:ascii="宋体" w:hAnsi="宋体" w:cs="宋体"/>
          <w:color w:val="auto"/>
          <w:highlight w:val="none"/>
        </w:rPr>
        <w:t>年</w:t>
      </w:r>
      <w:r>
        <w:rPr>
          <w:rFonts w:hint="eastAsia" w:ascii="宋体" w:hAnsi="宋体" w:cs="宋体"/>
          <w:color w:val="auto"/>
          <w:highlight w:val="none"/>
          <w:u w:val="single"/>
        </w:rPr>
        <w:t>　　</w:t>
      </w:r>
      <w:r>
        <w:rPr>
          <w:rFonts w:hint="eastAsia" w:ascii="宋体" w:hAnsi="宋体" w:cs="宋体"/>
          <w:color w:val="auto"/>
          <w:highlight w:val="none"/>
        </w:rPr>
        <w:t>月</w:t>
      </w:r>
      <w:r>
        <w:rPr>
          <w:rFonts w:hint="eastAsia" w:ascii="宋体" w:hAnsi="宋体" w:cs="宋体"/>
          <w:color w:val="auto"/>
          <w:highlight w:val="none"/>
          <w:u w:val="single"/>
        </w:rPr>
        <w:t>　　</w:t>
      </w:r>
      <w:r>
        <w:rPr>
          <w:rFonts w:hint="eastAsia" w:ascii="宋体" w:hAnsi="宋体" w:cs="宋体"/>
          <w:color w:val="auto"/>
          <w:highlight w:val="none"/>
        </w:rPr>
        <w:t>日发布</w:t>
      </w:r>
      <w:r>
        <w:rPr>
          <w:rFonts w:hint="eastAsia" w:ascii="宋体" w:hAnsi="宋体" w:cs="宋体"/>
          <w:color w:val="auto"/>
          <w:highlight w:val="none"/>
          <w:u w:val="single"/>
        </w:rPr>
        <w:t xml:space="preserve">  </w:t>
      </w:r>
      <w:r>
        <w:rPr>
          <w:rFonts w:hint="eastAsia" w:ascii="宋体" w:hAnsi="宋体" w:cs="宋体"/>
          <w:color w:val="auto"/>
          <w:kern w:val="28"/>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项目（项目编号：　　　）的采购公告，本公司（企业）愿意参加投标，并声明：</w:t>
      </w:r>
    </w:p>
    <w:p>
      <w:pPr>
        <w:numPr>
          <w:ilvl w:val="0"/>
          <w:numId w:val="32"/>
        </w:numPr>
        <w:snapToGrid w:val="0"/>
        <w:ind w:firstLine="424" w:firstLineChars="202"/>
        <w:rPr>
          <w:rFonts w:ascii="宋体" w:hAnsi="宋体" w:cs="宋体"/>
          <w:bCs/>
          <w:color w:val="auto"/>
          <w:szCs w:val="21"/>
          <w:highlight w:val="none"/>
        </w:rPr>
      </w:pPr>
      <w:r>
        <w:rPr>
          <w:rFonts w:hint="eastAsia" w:ascii="宋体" w:hAnsi="宋体" w:cs="宋体"/>
          <w:color w:val="auto"/>
          <w:highlight w:val="none"/>
        </w:rPr>
        <w:t>我方具备</w:t>
      </w:r>
      <w:r>
        <w:rPr>
          <w:rFonts w:hint="eastAsia" w:ascii="宋体" w:hAnsi="宋体" w:cs="宋体"/>
          <w:bCs/>
          <w:color w:val="auto"/>
          <w:szCs w:val="21"/>
          <w:highlight w:val="none"/>
        </w:rPr>
        <w:t>《中华人民共和国政府采购法》第二十二条规定资格条件：</w:t>
      </w:r>
    </w:p>
    <w:p>
      <w:pPr>
        <w:snapToGrid w:val="0"/>
        <w:ind w:firstLine="630" w:firstLineChars="300"/>
        <w:rPr>
          <w:rFonts w:ascii="宋体" w:hAnsi="宋体" w:cs="宋体"/>
          <w:bCs/>
          <w:color w:val="auto"/>
          <w:szCs w:val="21"/>
          <w:highlight w:val="none"/>
        </w:rPr>
      </w:pPr>
      <w:r>
        <w:rPr>
          <w:rFonts w:hint="eastAsia" w:ascii="宋体" w:hAnsi="宋体" w:cs="宋体"/>
          <w:bCs/>
          <w:color w:val="auto"/>
          <w:szCs w:val="21"/>
          <w:highlight w:val="none"/>
        </w:rPr>
        <w:t>具有独立承担民事责任的能力；具有良好的商业信誉和健全的财务会计制度；具有履行合同所必需的设备和专业技术能力；有依法缴纳税收和社会保障资金的良好记录；参加政府采购活动前三年内，在经营活动中没有重大违法记录；符合法律、行政法规规定的其他条件。</w:t>
      </w:r>
    </w:p>
    <w:p>
      <w:pPr>
        <w:snapToGrid w:val="0"/>
        <w:ind w:firstLine="424" w:firstLineChars="202"/>
        <w:rPr>
          <w:rFonts w:ascii="宋体" w:hAnsi="宋体" w:cs="宋体"/>
          <w:color w:val="auto"/>
          <w:highlight w:val="none"/>
        </w:rPr>
      </w:pPr>
      <w:r>
        <w:rPr>
          <w:rFonts w:hint="eastAsia" w:ascii="宋体" w:hAnsi="宋体" w:cs="宋体"/>
          <w:color w:val="auto"/>
          <w:highlight w:val="none"/>
        </w:rPr>
        <w:t>2、我方的单位负责人与所参投的本采购项目的其他投标人的单位负责人不为同一人且与其他投标人之间不存在直接控股、管理关系。</w:t>
      </w:r>
    </w:p>
    <w:p>
      <w:pPr>
        <w:snapToGrid w:val="0"/>
        <w:ind w:firstLine="424" w:firstLineChars="202"/>
        <w:rPr>
          <w:rFonts w:ascii="宋体" w:hAnsi="宋体" w:cs="宋体"/>
          <w:color w:val="auto"/>
          <w:highlight w:val="none"/>
        </w:rPr>
      </w:pPr>
      <w:r>
        <w:rPr>
          <w:rFonts w:hint="eastAsia" w:ascii="宋体" w:hAnsi="宋体" w:cs="宋体"/>
          <w:color w:val="auto"/>
          <w:highlight w:val="none"/>
        </w:rPr>
        <w:t>3、我方不是本采购项目提供整体设计、规范编制或者项目管理、监理、检测等服务的供应商。</w:t>
      </w:r>
    </w:p>
    <w:p>
      <w:pPr>
        <w:snapToGrid w:val="0"/>
        <w:ind w:firstLine="424" w:firstLineChars="202"/>
        <w:rPr>
          <w:rFonts w:ascii="宋体" w:hAnsi="宋体" w:cs="宋体"/>
          <w:bCs/>
          <w:color w:val="auto"/>
          <w:szCs w:val="21"/>
          <w:highlight w:val="none"/>
        </w:rPr>
      </w:pPr>
      <w:r>
        <w:rPr>
          <w:rFonts w:hint="eastAsia" w:ascii="宋体" w:hAnsi="宋体" w:cs="宋体"/>
          <w:color w:val="auto"/>
          <w:highlight w:val="none"/>
        </w:rPr>
        <w:t>4、我方</w:t>
      </w:r>
      <w:r>
        <w:rPr>
          <w:rFonts w:hint="eastAsia" w:ascii="宋体" w:hAnsi="宋体" w:cs="宋体"/>
          <w:bCs/>
          <w:color w:val="auto"/>
          <w:szCs w:val="21"/>
          <w:highlight w:val="none"/>
        </w:rPr>
        <w:t>未被“信用中国”（www.creditchina.gov.cn)、中国政府采购网（www.ccgp.gov.cn）列入失信被执行人、重大税收违法案件当事人名单、政府采购严重违法失信行为记录名单。</w:t>
      </w:r>
    </w:p>
    <w:p>
      <w:pPr>
        <w:widowControl/>
        <w:ind w:right="159" w:firstLine="420"/>
        <w:jc w:val="left"/>
        <w:rPr>
          <w:rFonts w:ascii="宋体" w:hAnsi="宋体" w:cs="宋体"/>
          <w:color w:val="auto"/>
          <w:highlight w:val="none"/>
        </w:rPr>
      </w:pPr>
      <w:r>
        <w:rPr>
          <w:rFonts w:hint="eastAsia" w:ascii="宋体" w:hAnsi="宋体" w:cs="宋体"/>
          <w:bCs/>
          <w:color w:val="auto"/>
          <w:szCs w:val="21"/>
          <w:highlight w:val="none"/>
        </w:rPr>
        <w:t>我方对上述声明的真实性负责。</w:t>
      </w:r>
      <w:r>
        <w:rPr>
          <w:rFonts w:hint="eastAsia" w:ascii="宋体" w:hAnsi="宋体" w:cs="宋体"/>
          <w:color w:val="auto"/>
          <w:highlight w:val="none"/>
        </w:rPr>
        <w:t>本次招标采购活动中，如有违法、违规、弄虚作假行为，所造成的损失、不良后果及法律责任，一律由我我方承担。</w:t>
      </w:r>
    </w:p>
    <w:p>
      <w:pPr>
        <w:ind w:firstLine="422"/>
        <w:rPr>
          <w:rFonts w:ascii="宋体" w:hAnsi="宋体" w:cs="宋体"/>
          <w:b/>
          <w:color w:val="auto"/>
          <w:highlight w:val="none"/>
        </w:rPr>
      </w:pPr>
    </w:p>
    <w:p>
      <w:pPr>
        <w:ind w:firstLine="422"/>
        <w:rPr>
          <w:rFonts w:ascii="宋体" w:hAnsi="宋体" w:cs="宋体"/>
          <w:b/>
          <w:color w:val="auto"/>
          <w:highlight w:val="none"/>
        </w:rPr>
      </w:pPr>
    </w:p>
    <w:p>
      <w:pPr>
        <w:ind w:firstLine="422"/>
        <w:rPr>
          <w:rFonts w:ascii="宋体" w:hAnsi="宋体" w:cs="宋体"/>
          <w:b/>
          <w:color w:val="auto"/>
          <w:highlight w:val="none"/>
        </w:rPr>
      </w:pPr>
      <w:r>
        <w:rPr>
          <w:rFonts w:hint="eastAsia" w:ascii="宋体" w:hAnsi="宋体" w:cs="宋体"/>
          <w:b/>
          <w:color w:val="auto"/>
          <w:highlight w:val="none"/>
        </w:rPr>
        <w:t>特此声明！</w:t>
      </w:r>
    </w:p>
    <w:p>
      <w:pPr>
        <w:adjustRightInd w:val="0"/>
        <w:snapToGrid w:val="0"/>
        <w:ind w:left="425" w:firstLine="436"/>
        <w:rPr>
          <w:rFonts w:ascii="宋体" w:hAnsi="宋体" w:cs="宋体"/>
          <w:color w:val="auto"/>
          <w:spacing w:val="4"/>
          <w:highlight w:val="none"/>
        </w:rPr>
      </w:pPr>
    </w:p>
    <w:p>
      <w:pPr>
        <w:adjustRightInd w:val="0"/>
        <w:snapToGrid w:val="0"/>
        <w:ind w:left="425" w:firstLine="436"/>
        <w:rPr>
          <w:rFonts w:ascii="宋体" w:hAnsi="宋体" w:cs="宋体"/>
          <w:color w:val="auto"/>
          <w:spacing w:val="4"/>
          <w:highlight w:val="none"/>
        </w:rPr>
      </w:pPr>
    </w:p>
    <w:p>
      <w:pPr>
        <w:adjustRightInd w:val="0"/>
        <w:snapToGrid w:val="0"/>
        <w:spacing w:before="120" w:after="120"/>
        <w:ind w:firstLine="420"/>
        <w:rPr>
          <w:rFonts w:ascii="宋体" w:hAnsi="宋体" w:cs="宋体"/>
          <w:color w:val="auto"/>
          <w:szCs w:val="21"/>
          <w:highlight w:val="none"/>
        </w:rPr>
      </w:pPr>
      <w:r>
        <w:rPr>
          <w:rFonts w:hint="eastAsia" w:ascii="宋体" w:hAnsi="宋体" w:cs="宋体"/>
          <w:color w:val="auto"/>
          <w:szCs w:val="21"/>
          <w:highlight w:val="none"/>
        </w:rPr>
        <w:t>投标人（盖章）：</w:t>
      </w:r>
    </w:p>
    <w:p>
      <w:pPr>
        <w:snapToGrid w:val="0"/>
        <w:ind w:firstLine="420"/>
        <w:rPr>
          <w:rFonts w:ascii="宋体" w:hAnsi="宋体" w:cs="宋体"/>
          <w:b/>
          <w:color w:val="auto"/>
          <w:szCs w:val="21"/>
          <w:highlight w:val="none"/>
        </w:rPr>
      </w:pPr>
      <w:r>
        <w:rPr>
          <w:rFonts w:hint="eastAsia" w:ascii="宋体" w:hAnsi="宋体" w:cs="宋体"/>
          <w:color w:val="auto"/>
          <w:szCs w:val="21"/>
          <w:highlight w:val="none"/>
        </w:rPr>
        <w:t>日  期：</w:t>
      </w:r>
    </w:p>
    <w:p>
      <w:pPr>
        <w:snapToGrid w:val="0"/>
        <w:spacing w:before="50" w:after="120" w:afterLines="50"/>
        <w:ind w:firstLine="420"/>
        <w:jc w:val="left"/>
        <w:rPr>
          <w:rFonts w:ascii="宋体" w:hAnsi="宋体" w:cs="宋体"/>
          <w:color w:val="auto"/>
          <w:szCs w:val="21"/>
          <w:highlight w:val="none"/>
        </w:rPr>
      </w:pPr>
    </w:p>
    <w:p>
      <w:pPr>
        <w:ind w:firstLine="420"/>
        <w:rPr>
          <w:rFonts w:ascii="宋体" w:hAnsi="宋体" w:cs="宋体"/>
          <w:color w:val="auto"/>
          <w:highlight w:val="none"/>
        </w:rPr>
      </w:pPr>
    </w:p>
    <w:p>
      <w:pPr>
        <w:ind w:firstLine="3570" w:firstLineChars="1700"/>
        <w:rPr>
          <w:rFonts w:ascii="宋体" w:hAnsi="宋体" w:cs="宋体"/>
          <w:color w:val="auto"/>
          <w:highlight w:val="none"/>
        </w:rPr>
      </w:pPr>
    </w:p>
    <w:p>
      <w:pPr>
        <w:ind w:firstLine="420"/>
        <w:jc w:val="left"/>
        <w:rPr>
          <w:rFonts w:ascii="宋体" w:hAnsi="宋体" w:cs="宋体"/>
          <w:b/>
          <w:color w:val="auto"/>
          <w:szCs w:val="21"/>
          <w:highlight w:val="none"/>
        </w:rPr>
      </w:pPr>
      <w:r>
        <w:rPr>
          <w:rFonts w:hint="eastAsia" w:ascii="宋体" w:hAnsi="宋体" w:cs="宋体"/>
          <w:color w:val="auto"/>
          <w:szCs w:val="21"/>
          <w:highlight w:val="none"/>
        </w:rPr>
        <w:br w:type="page"/>
      </w:r>
      <w:r>
        <w:rPr>
          <w:rFonts w:hint="eastAsia" w:ascii="宋体" w:hAnsi="宋体" w:cs="宋体"/>
          <w:b/>
          <w:color w:val="auto"/>
          <w:szCs w:val="21"/>
          <w:highlight w:val="none"/>
        </w:rPr>
        <w:t>10、</w:t>
      </w:r>
      <w:r>
        <w:rPr>
          <w:rFonts w:hint="eastAsia" w:ascii="宋体" w:hAnsi="宋体" w:cs="宋体"/>
          <w:b/>
          <w:color w:val="auto"/>
          <w:szCs w:val="21"/>
          <w:highlight w:val="none"/>
          <w:lang w:bidi="ar"/>
        </w:rPr>
        <w:t>投标人响应表</w:t>
      </w:r>
    </w:p>
    <w:p>
      <w:pPr>
        <w:ind w:firstLine="420"/>
        <w:jc w:val="left"/>
        <w:rPr>
          <w:rFonts w:ascii="宋体" w:hAnsi="宋体" w:cs="宋体"/>
          <w:color w:val="auto"/>
          <w:szCs w:val="21"/>
          <w:highlight w:val="none"/>
        </w:rPr>
      </w:pPr>
    </w:p>
    <w:p>
      <w:pPr>
        <w:ind w:firstLine="482"/>
        <w:jc w:val="center"/>
        <w:rPr>
          <w:rFonts w:ascii="宋体" w:hAnsi="宋体" w:cs="宋体"/>
          <w:b/>
          <w:color w:val="auto"/>
          <w:sz w:val="24"/>
          <w:highlight w:val="none"/>
          <w:lang w:bidi="ar"/>
        </w:rPr>
      </w:pPr>
      <w:r>
        <w:rPr>
          <w:rFonts w:hint="eastAsia" w:ascii="宋体" w:hAnsi="宋体" w:cs="宋体"/>
          <w:b/>
          <w:color w:val="auto"/>
          <w:sz w:val="24"/>
          <w:highlight w:val="none"/>
          <w:lang w:bidi="ar"/>
        </w:rPr>
        <w:t>投标人响应表</w:t>
      </w:r>
    </w:p>
    <w:p>
      <w:pPr>
        <w:ind w:firstLine="420"/>
        <w:rPr>
          <w:rFonts w:ascii="宋体" w:hAnsi="宋体" w:cs="宋体"/>
          <w:color w:val="auto"/>
          <w:highlight w:val="none"/>
        </w:rPr>
      </w:pPr>
    </w:p>
    <w:p>
      <w:pPr>
        <w:ind w:firstLine="420"/>
        <w:rPr>
          <w:rFonts w:ascii="宋体" w:hAnsi="宋体" w:cs="宋体"/>
          <w:color w:val="auto"/>
          <w:highlight w:val="none"/>
        </w:rPr>
      </w:pPr>
      <w:r>
        <w:rPr>
          <w:rFonts w:hint="eastAsia" w:ascii="宋体" w:hAnsi="宋体" w:cs="宋体"/>
          <w:color w:val="auto"/>
          <w:highlight w:val="none"/>
          <w:lang w:bidi="ar"/>
        </w:rPr>
        <w:t xml:space="preserve"> 招标编号：                      项目名称：                 </w:t>
      </w:r>
    </w:p>
    <w:tbl>
      <w:tblPr>
        <w:tblStyle w:val="37"/>
        <w:tblW w:w="8665" w:type="dxa"/>
        <w:tblInd w:w="93" w:type="dxa"/>
        <w:tblLayout w:type="fixed"/>
        <w:tblCellMar>
          <w:top w:w="0" w:type="dxa"/>
          <w:left w:w="108" w:type="dxa"/>
          <w:bottom w:w="0" w:type="dxa"/>
          <w:right w:w="108" w:type="dxa"/>
        </w:tblCellMar>
      </w:tblPr>
      <w:tblGrid>
        <w:gridCol w:w="724"/>
        <w:gridCol w:w="6241"/>
        <w:gridCol w:w="1700"/>
      </w:tblGrid>
      <w:tr>
        <w:tblPrEx>
          <w:tblCellMar>
            <w:top w:w="0" w:type="dxa"/>
            <w:left w:w="108" w:type="dxa"/>
            <w:bottom w:w="0" w:type="dxa"/>
            <w:right w:w="108" w:type="dxa"/>
          </w:tblCellMar>
        </w:tblPrEx>
        <w:trPr>
          <w:trHeight w:val="596" w:hRule="atLeast"/>
        </w:trPr>
        <w:tc>
          <w:tcPr>
            <w:tcW w:w="724"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cs="宋体"/>
                <w:color w:val="auto"/>
                <w:highlight w:val="none"/>
              </w:rPr>
            </w:pPr>
            <w:r>
              <w:rPr>
                <w:rFonts w:hint="eastAsia" w:ascii="宋体" w:hAnsi="宋体" w:cs="宋体"/>
                <w:color w:val="auto"/>
                <w:highlight w:val="none"/>
                <w:lang w:bidi="ar"/>
              </w:rPr>
              <w:t>序号</w:t>
            </w:r>
          </w:p>
        </w:tc>
        <w:tc>
          <w:tcPr>
            <w:tcW w:w="6241" w:type="dxa"/>
            <w:tcBorders>
              <w:top w:val="single" w:color="auto" w:sz="4" w:space="0"/>
              <w:left w:val="single" w:color="auto" w:sz="4" w:space="0"/>
              <w:bottom w:val="single" w:color="auto" w:sz="4" w:space="0"/>
              <w:right w:val="single" w:color="auto" w:sz="4" w:space="0"/>
            </w:tcBorders>
            <w:vAlign w:val="center"/>
          </w:tcPr>
          <w:p>
            <w:pPr>
              <w:ind w:firstLine="420"/>
              <w:jc w:val="center"/>
              <w:rPr>
                <w:rFonts w:ascii="宋体" w:hAnsi="宋体" w:cs="宋体"/>
                <w:color w:val="auto"/>
                <w:highlight w:val="none"/>
              </w:rPr>
            </w:pPr>
            <w:r>
              <w:rPr>
                <w:rFonts w:hint="eastAsia" w:ascii="宋体" w:hAnsi="宋体" w:cs="宋体"/>
                <w:color w:val="auto"/>
                <w:highlight w:val="none"/>
                <w:lang w:bidi="ar"/>
              </w:rPr>
              <w:t>评审内容</w:t>
            </w:r>
          </w:p>
        </w:tc>
        <w:tc>
          <w:tcPr>
            <w:tcW w:w="1700" w:type="dxa"/>
            <w:tcBorders>
              <w:top w:val="single" w:color="auto" w:sz="4" w:space="0"/>
              <w:left w:val="nil"/>
              <w:bottom w:val="single" w:color="auto" w:sz="4" w:space="0"/>
              <w:right w:val="single" w:color="auto" w:sz="4" w:space="0"/>
            </w:tcBorders>
            <w:vAlign w:val="center"/>
          </w:tcPr>
          <w:p>
            <w:pPr>
              <w:ind w:firstLine="420"/>
              <w:jc w:val="center"/>
              <w:rPr>
                <w:rFonts w:ascii="宋体" w:hAnsi="宋体" w:cs="宋体"/>
                <w:color w:val="auto"/>
                <w:highlight w:val="none"/>
              </w:rPr>
            </w:pPr>
            <w:r>
              <w:rPr>
                <w:rFonts w:hint="eastAsia" w:ascii="宋体" w:hAnsi="宋体" w:cs="宋体"/>
                <w:color w:val="auto"/>
                <w:highlight w:val="none"/>
                <w:lang w:bidi="ar"/>
              </w:rPr>
              <w:t>证明文件</w:t>
            </w:r>
          </w:p>
        </w:tc>
      </w:tr>
      <w:tr>
        <w:tblPrEx>
          <w:tblCellMar>
            <w:top w:w="0" w:type="dxa"/>
            <w:left w:w="108" w:type="dxa"/>
            <w:bottom w:w="0" w:type="dxa"/>
            <w:right w:w="108" w:type="dxa"/>
          </w:tblCellMar>
        </w:tblPrEx>
        <w:trPr>
          <w:trHeight w:val="593" w:hRule="atLeast"/>
        </w:trPr>
        <w:tc>
          <w:tcPr>
            <w:tcW w:w="724" w:type="dxa"/>
            <w:tcBorders>
              <w:top w:val="nil"/>
              <w:left w:val="single" w:color="auto" w:sz="4" w:space="0"/>
              <w:bottom w:val="single" w:color="auto" w:sz="4" w:space="0"/>
              <w:right w:val="single" w:color="auto" w:sz="4" w:space="0"/>
            </w:tcBorders>
            <w:vAlign w:val="center"/>
          </w:tcPr>
          <w:p>
            <w:pPr>
              <w:ind w:firstLine="420"/>
              <w:rPr>
                <w:rFonts w:ascii="宋体" w:hAnsi="宋体" w:cs="宋体"/>
                <w:color w:val="auto"/>
                <w:highlight w:val="none"/>
              </w:rPr>
            </w:pPr>
          </w:p>
        </w:tc>
        <w:tc>
          <w:tcPr>
            <w:tcW w:w="6241" w:type="dxa"/>
            <w:tcBorders>
              <w:top w:val="nil"/>
              <w:left w:val="single" w:color="auto" w:sz="4" w:space="0"/>
              <w:bottom w:val="single" w:color="auto" w:sz="4" w:space="0"/>
              <w:right w:val="single" w:color="auto" w:sz="4" w:space="0"/>
            </w:tcBorders>
            <w:vAlign w:val="center"/>
          </w:tcPr>
          <w:p>
            <w:pPr>
              <w:ind w:firstLine="420"/>
              <w:rPr>
                <w:rFonts w:ascii="宋体" w:hAnsi="宋体" w:cs="宋体"/>
                <w:color w:val="auto"/>
                <w:highlight w:val="none"/>
              </w:rPr>
            </w:pPr>
          </w:p>
        </w:tc>
        <w:tc>
          <w:tcPr>
            <w:tcW w:w="1700" w:type="dxa"/>
            <w:tcBorders>
              <w:top w:val="nil"/>
              <w:left w:val="nil"/>
              <w:bottom w:val="single" w:color="auto" w:sz="4" w:space="0"/>
              <w:right w:val="single" w:color="auto" w:sz="4" w:space="0"/>
            </w:tcBorders>
            <w:vAlign w:val="center"/>
          </w:tcPr>
          <w:p>
            <w:pPr>
              <w:ind w:firstLine="420"/>
              <w:jc w:val="center"/>
              <w:rPr>
                <w:rFonts w:ascii="宋体" w:hAnsi="宋体" w:cs="宋体"/>
                <w:color w:val="auto"/>
                <w:highlight w:val="none"/>
              </w:rPr>
            </w:pPr>
            <w:r>
              <w:rPr>
                <w:rFonts w:hint="eastAsia" w:ascii="宋体" w:hAnsi="宋体" w:cs="宋体"/>
                <w:color w:val="auto"/>
                <w:highlight w:val="none"/>
                <w:lang w:bidi="ar"/>
              </w:rPr>
              <w:t>见（  ）页</w:t>
            </w:r>
          </w:p>
        </w:tc>
      </w:tr>
      <w:tr>
        <w:tblPrEx>
          <w:tblCellMar>
            <w:top w:w="0" w:type="dxa"/>
            <w:left w:w="108" w:type="dxa"/>
            <w:bottom w:w="0" w:type="dxa"/>
            <w:right w:w="108" w:type="dxa"/>
          </w:tblCellMar>
        </w:tblPrEx>
        <w:trPr>
          <w:trHeight w:val="613" w:hRule="atLeast"/>
        </w:trPr>
        <w:tc>
          <w:tcPr>
            <w:tcW w:w="724" w:type="dxa"/>
            <w:tcBorders>
              <w:top w:val="nil"/>
              <w:left w:val="single" w:color="auto" w:sz="4" w:space="0"/>
              <w:bottom w:val="single" w:color="auto" w:sz="4" w:space="0"/>
              <w:right w:val="single" w:color="auto" w:sz="4" w:space="0"/>
            </w:tcBorders>
            <w:vAlign w:val="center"/>
          </w:tcPr>
          <w:p>
            <w:pPr>
              <w:ind w:firstLine="420"/>
              <w:rPr>
                <w:rFonts w:ascii="宋体" w:hAnsi="宋体" w:cs="宋体"/>
                <w:color w:val="auto"/>
                <w:highlight w:val="none"/>
              </w:rPr>
            </w:pPr>
          </w:p>
        </w:tc>
        <w:tc>
          <w:tcPr>
            <w:tcW w:w="6241" w:type="dxa"/>
            <w:tcBorders>
              <w:top w:val="nil"/>
              <w:left w:val="single" w:color="auto" w:sz="4" w:space="0"/>
              <w:bottom w:val="single" w:color="auto" w:sz="4" w:space="0"/>
              <w:right w:val="single" w:color="auto" w:sz="4" w:space="0"/>
            </w:tcBorders>
            <w:vAlign w:val="center"/>
          </w:tcPr>
          <w:p>
            <w:pPr>
              <w:ind w:firstLine="420"/>
              <w:rPr>
                <w:rFonts w:ascii="宋体" w:hAnsi="宋体" w:cs="宋体"/>
                <w:color w:val="auto"/>
                <w:highlight w:val="none"/>
              </w:rPr>
            </w:pPr>
          </w:p>
        </w:tc>
        <w:tc>
          <w:tcPr>
            <w:tcW w:w="1700" w:type="dxa"/>
            <w:tcBorders>
              <w:top w:val="nil"/>
              <w:left w:val="nil"/>
              <w:bottom w:val="single" w:color="auto" w:sz="4" w:space="0"/>
              <w:right w:val="single" w:color="auto" w:sz="4" w:space="0"/>
            </w:tcBorders>
            <w:vAlign w:val="center"/>
          </w:tcPr>
          <w:p>
            <w:pPr>
              <w:ind w:firstLine="420"/>
              <w:jc w:val="center"/>
              <w:rPr>
                <w:rFonts w:ascii="宋体" w:hAnsi="宋体" w:cs="宋体"/>
                <w:color w:val="auto"/>
                <w:highlight w:val="none"/>
              </w:rPr>
            </w:pPr>
            <w:r>
              <w:rPr>
                <w:rFonts w:hint="eastAsia" w:ascii="宋体" w:hAnsi="宋体" w:cs="宋体"/>
                <w:color w:val="auto"/>
                <w:highlight w:val="none"/>
                <w:lang w:bidi="ar"/>
              </w:rPr>
              <w:t>见（  ）页</w:t>
            </w:r>
          </w:p>
        </w:tc>
      </w:tr>
      <w:tr>
        <w:tblPrEx>
          <w:tblCellMar>
            <w:top w:w="0" w:type="dxa"/>
            <w:left w:w="108" w:type="dxa"/>
            <w:bottom w:w="0" w:type="dxa"/>
            <w:right w:w="108" w:type="dxa"/>
          </w:tblCellMar>
        </w:tblPrEx>
        <w:trPr>
          <w:trHeight w:val="520" w:hRule="atLeast"/>
        </w:trPr>
        <w:tc>
          <w:tcPr>
            <w:tcW w:w="724" w:type="dxa"/>
            <w:tcBorders>
              <w:top w:val="nil"/>
              <w:left w:val="single" w:color="auto" w:sz="4" w:space="0"/>
              <w:bottom w:val="single" w:color="auto" w:sz="4" w:space="0"/>
              <w:right w:val="single" w:color="auto" w:sz="4" w:space="0"/>
            </w:tcBorders>
            <w:vAlign w:val="center"/>
          </w:tcPr>
          <w:p>
            <w:pPr>
              <w:ind w:firstLine="420"/>
              <w:rPr>
                <w:rFonts w:ascii="宋体" w:hAnsi="宋体" w:cs="宋体"/>
                <w:color w:val="auto"/>
                <w:highlight w:val="none"/>
              </w:rPr>
            </w:pPr>
          </w:p>
        </w:tc>
        <w:tc>
          <w:tcPr>
            <w:tcW w:w="6241" w:type="dxa"/>
            <w:tcBorders>
              <w:top w:val="nil"/>
              <w:left w:val="single" w:color="auto" w:sz="4" w:space="0"/>
              <w:bottom w:val="single" w:color="auto" w:sz="4" w:space="0"/>
              <w:right w:val="single" w:color="auto" w:sz="4" w:space="0"/>
            </w:tcBorders>
            <w:vAlign w:val="center"/>
          </w:tcPr>
          <w:p>
            <w:pPr>
              <w:ind w:firstLine="420"/>
              <w:rPr>
                <w:rFonts w:ascii="宋体" w:hAnsi="宋体" w:cs="宋体"/>
                <w:color w:val="auto"/>
                <w:highlight w:val="none"/>
              </w:rPr>
            </w:pPr>
          </w:p>
        </w:tc>
        <w:tc>
          <w:tcPr>
            <w:tcW w:w="1700" w:type="dxa"/>
            <w:tcBorders>
              <w:top w:val="nil"/>
              <w:left w:val="nil"/>
              <w:bottom w:val="single" w:color="auto" w:sz="4" w:space="0"/>
              <w:right w:val="single" w:color="auto" w:sz="4" w:space="0"/>
            </w:tcBorders>
            <w:vAlign w:val="center"/>
          </w:tcPr>
          <w:p>
            <w:pPr>
              <w:ind w:firstLine="420"/>
              <w:jc w:val="center"/>
              <w:rPr>
                <w:rFonts w:ascii="宋体" w:hAnsi="宋体" w:cs="宋体"/>
                <w:color w:val="auto"/>
                <w:highlight w:val="none"/>
              </w:rPr>
            </w:pPr>
            <w:r>
              <w:rPr>
                <w:rFonts w:hint="eastAsia" w:ascii="宋体" w:hAnsi="宋体" w:cs="宋体"/>
                <w:color w:val="auto"/>
                <w:highlight w:val="none"/>
                <w:lang w:bidi="ar"/>
              </w:rPr>
              <w:t>见（  ）页</w:t>
            </w:r>
          </w:p>
        </w:tc>
      </w:tr>
      <w:tr>
        <w:tblPrEx>
          <w:tblCellMar>
            <w:top w:w="0" w:type="dxa"/>
            <w:left w:w="108" w:type="dxa"/>
            <w:bottom w:w="0" w:type="dxa"/>
            <w:right w:w="108" w:type="dxa"/>
          </w:tblCellMar>
        </w:tblPrEx>
        <w:trPr>
          <w:trHeight w:val="531" w:hRule="atLeast"/>
        </w:trPr>
        <w:tc>
          <w:tcPr>
            <w:tcW w:w="724" w:type="dxa"/>
            <w:tcBorders>
              <w:top w:val="nil"/>
              <w:left w:val="single" w:color="auto" w:sz="4" w:space="0"/>
              <w:bottom w:val="single" w:color="auto" w:sz="4" w:space="0"/>
              <w:right w:val="single" w:color="auto" w:sz="4" w:space="0"/>
            </w:tcBorders>
            <w:vAlign w:val="center"/>
          </w:tcPr>
          <w:p>
            <w:pPr>
              <w:ind w:firstLine="420"/>
              <w:rPr>
                <w:rFonts w:ascii="宋体" w:hAnsi="宋体" w:cs="宋体"/>
                <w:color w:val="auto"/>
                <w:highlight w:val="none"/>
              </w:rPr>
            </w:pPr>
          </w:p>
        </w:tc>
        <w:tc>
          <w:tcPr>
            <w:tcW w:w="6241" w:type="dxa"/>
            <w:tcBorders>
              <w:top w:val="nil"/>
              <w:left w:val="single" w:color="auto" w:sz="4" w:space="0"/>
              <w:bottom w:val="single" w:color="auto" w:sz="4" w:space="0"/>
              <w:right w:val="single" w:color="auto" w:sz="4" w:space="0"/>
            </w:tcBorders>
            <w:vAlign w:val="center"/>
          </w:tcPr>
          <w:p>
            <w:pPr>
              <w:ind w:firstLine="420"/>
              <w:rPr>
                <w:rFonts w:ascii="宋体" w:hAnsi="宋体" w:cs="宋体"/>
                <w:color w:val="auto"/>
                <w:highlight w:val="none"/>
              </w:rPr>
            </w:pPr>
          </w:p>
        </w:tc>
        <w:tc>
          <w:tcPr>
            <w:tcW w:w="1700" w:type="dxa"/>
            <w:tcBorders>
              <w:top w:val="nil"/>
              <w:left w:val="nil"/>
              <w:bottom w:val="single" w:color="auto" w:sz="4" w:space="0"/>
              <w:right w:val="single" w:color="auto" w:sz="4" w:space="0"/>
            </w:tcBorders>
            <w:vAlign w:val="center"/>
          </w:tcPr>
          <w:p>
            <w:pPr>
              <w:ind w:firstLine="420"/>
              <w:jc w:val="center"/>
              <w:rPr>
                <w:rFonts w:ascii="宋体" w:hAnsi="宋体" w:cs="宋体"/>
                <w:color w:val="auto"/>
                <w:highlight w:val="none"/>
              </w:rPr>
            </w:pPr>
            <w:r>
              <w:rPr>
                <w:rFonts w:hint="eastAsia" w:ascii="宋体" w:hAnsi="宋体" w:cs="宋体"/>
                <w:color w:val="auto"/>
                <w:highlight w:val="none"/>
                <w:lang w:bidi="ar"/>
              </w:rPr>
              <w:t>见（  ）页</w:t>
            </w:r>
          </w:p>
        </w:tc>
      </w:tr>
      <w:tr>
        <w:tblPrEx>
          <w:tblCellMar>
            <w:top w:w="0" w:type="dxa"/>
            <w:left w:w="108" w:type="dxa"/>
            <w:bottom w:w="0" w:type="dxa"/>
            <w:right w:w="108" w:type="dxa"/>
          </w:tblCellMar>
        </w:tblPrEx>
        <w:trPr>
          <w:trHeight w:val="607" w:hRule="atLeast"/>
        </w:trPr>
        <w:tc>
          <w:tcPr>
            <w:tcW w:w="724" w:type="dxa"/>
            <w:tcBorders>
              <w:top w:val="single" w:color="auto" w:sz="4" w:space="0"/>
              <w:left w:val="single" w:color="auto" w:sz="4" w:space="0"/>
              <w:bottom w:val="single" w:color="auto" w:sz="4" w:space="0"/>
              <w:right w:val="single" w:color="auto" w:sz="4" w:space="0"/>
            </w:tcBorders>
            <w:vAlign w:val="center"/>
          </w:tcPr>
          <w:p>
            <w:pPr>
              <w:ind w:firstLine="420"/>
              <w:rPr>
                <w:rFonts w:ascii="宋体" w:hAnsi="宋体" w:cs="宋体"/>
                <w:color w:val="auto"/>
                <w:highlight w:val="none"/>
              </w:rPr>
            </w:pPr>
          </w:p>
        </w:tc>
        <w:tc>
          <w:tcPr>
            <w:tcW w:w="6241" w:type="dxa"/>
            <w:tcBorders>
              <w:top w:val="single" w:color="auto" w:sz="4" w:space="0"/>
              <w:left w:val="single" w:color="auto" w:sz="4" w:space="0"/>
              <w:bottom w:val="single" w:color="auto" w:sz="4" w:space="0"/>
              <w:right w:val="single" w:color="auto" w:sz="4" w:space="0"/>
            </w:tcBorders>
            <w:vAlign w:val="center"/>
          </w:tcPr>
          <w:p>
            <w:pPr>
              <w:ind w:firstLine="420"/>
              <w:rPr>
                <w:rFonts w:ascii="宋体" w:hAnsi="宋体" w:cs="宋体"/>
                <w:color w:val="auto"/>
                <w:highlight w:val="none"/>
              </w:rPr>
            </w:pPr>
          </w:p>
        </w:tc>
        <w:tc>
          <w:tcPr>
            <w:tcW w:w="1700" w:type="dxa"/>
            <w:tcBorders>
              <w:top w:val="single" w:color="auto" w:sz="4" w:space="0"/>
              <w:left w:val="nil"/>
              <w:bottom w:val="single" w:color="auto" w:sz="4" w:space="0"/>
              <w:right w:val="single" w:color="auto" w:sz="4" w:space="0"/>
            </w:tcBorders>
            <w:vAlign w:val="center"/>
          </w:tcPr>
          <w:p>
            <w:pPr>
              <w:ind w:firstLine="420"/>
              <w:jc w:val="center"/>
              <w:rPr>
                <w:rFonts w:ascii="宋体" w:hAnsi="宋体" w:cs="宋体"/>
                <w:color w:val="auto"/>
                <w:highlight w:val="none"/>
              </w:rPr>
            </w:pPr>
            <w:r>
              <w:rPr>
                <w:rFonts w:hint="eastAsia" w:ascii="宋体" w:hAnsi="宋体" w:cs="宋体"/>
                <w:color w:val="auto"/>
                <w:highlight w:val="none"/>
                <w:lang w:bidi="ar"/>
              </w:rPr>
              <w:t>见（  ）页</w:t>
            </w:r>
          </w:p>
        </w:tc>
      </w:tr>
      <w:tr>
        <w:tblPrEx>
          <w:tblCellMar>
            <w:top w:w="0" w:type="dxa"/>
            <w:left w:w="108" w:type="dxa"/>
            <w:bottom w:w="0" w:type="dxa"/>
            <w:right w:w="108" w:type="dxa"/>
          </w:tblCellMar>
        </w:tblPrEx>
        <w:trPr>
          <w:trHeight w:val="615" w:hRule="atLeast"/>
        </w:trPr>
        <w:tc>
          <w:tcPr>
            <w:tcW w:w="724" w:type="dxa"/>
            <w:tcBorders>
              <w:top w:val="single" w:color="auto" w:sz="4" w:space="0"/>
              <w:left w:val="single" w:color="auto" w:sz="4" w:space="0"/>
              <w:bottom w:val="single" w:color="auto" w:sz="4" w:space="0"/>
              <w:right w:val="single" w:color="auto" w:sz="4" w:space="0"/>
            </w:tcBorders>
            <w:vAlign w:val="center"/>
          </w:tcPr>
          <w:p>
            <w:pPr>
              <w:ind w:firstLine="420"/>
              <w:rPr>
                <w:rFonts w:ascii="宋体" w:hAnsi="宋体" w:cs="宋体"/>
                <w:color w:val="auto"/>
                <w:highlight w:val="none"/>
              </w:rPr>
            </w:pPr>
          </w:p>
        </w:tc>
        <w:tc>
          <w:tcPr>
            <w:tcW w:w="6241" w:type="dxa"/>
            <w:tcBorders>
              <w:top w:val="single" w:color="auto" w:sz="4" w:space="0"/>
              <w:left w:val="single" w:color="auto" w:sz="4" w:space="0"/>
              <w:bottom w:val="single" w:color="auto" w:sz="4" w:space="0"/>
              <w:right w:val="single" w:color="auto" w:sz="4" w:space="0"/>
            </w:tcBorders>
            <w:vAlign w:val="center"/>
          </w:tcPr>
          <w:p>
            <w:pPr>
              <w:ind w:firstLine="420"/>
              <w:rPr>
                <w:rFonts w:ascii="宋体" w:hAnsi="宋体" w:cs="宋体"/>
                <w:color w:val="auto"/>
                <w:highlight w:val="none"/>
              </w:rPr>
            </w:pPr>
          </w:p>
        </w:tc>
        <w:tc>
          <w:tcPr>
            <w:tcW w:w="1700" w:type="dxa"/>
            <w:tcBorders>
              <w:top w:val="single" w:color="auto" w:sz="4" w:space="0"/>
              <w:left w:val="nil"/>
              <w:bottom w:val="single" w:color="auto" w:sz="4" w:space="0"/>
              <w:right w:val="single" w:color="auto" w:sz="4" w:space="0"/>
            </w:tcBorders>
            <w:vAlign w:val="center"/>
          </w:tcPr>
          <w:p>
            <w:pPr>
              <w:ind w:firstLine="420"/>
              <w:jc w:val="center"/>
              <w:rPr>
                <w:rFonts w:ascii="宋体" w:hAnsi="宋体" w:cs="宋体"/>
                <w:color w:val="auto"/>
                <w:highlight w:val="none"/>
              </w:rPr>
            </w:pPr>
            <w:r>
              <w:rPr>
                <w:rFonts w:hint="eastAsia" w:ascii="宋体" w:hAnsi="宋体" w:cs="宋体"/>
                <w:color w:val="auto"/>
                <w:highlight w:val="none"/>
                <w:lang w:bidi="ar"/>
              </w:rPr>
              <w:t>见（  ）页</w:t>
            </w:r>
          </w:p>
        </w:tc>
      </w:tr>
      <w:tr>
        <w:tblPrEx>
          <w:tblCellMar>
            <w:top w:w="0" w:type="dxa"/>
            <w:left w:w="108" w:type="dxa"/>
            <w:bottom w:w="0" w:type="dxa"/>
            <w:right w:w="108" w:type="dxa"/>
          </w:tblCellMar>
        </w:tblPrEx>
        <w:trPr>
          <w:trHeight w:val="615" w:hRule="atLeast"/>
        </w:trPr>
        <w:tc>
          <w:tcPr>
            <w:tcW w:w="724" w:type="dxa"/>
            <w:tcBorders>
              <w:top w:val="single" w:color="auto" w:sz="4" w:space="0"/>
              <w:left w:val="single" w:color="auto" w:sz="4" w:space="0"/>
              <w:bottom w:val="single" w:color="auto" w:sz="4" w:space="0"/>
              <w:right w:val="single" w:color="auto" w:sz="4" w:space="0"/>
            </w:tcBorders>
            <w:vAlign w:val="center"/>
          </w:tcPr>
          <w:p>
            <w:pPr>
              <w:ind w:firstLine="420"/>
              <w:rPr>
                <w:rFonts w:ascii="宋体" w:hAnsi="宋体" w:cs="宋体"/>
                <w:color w:val="auto"/>
                <w:highlight w:val="none"/>
              </w:rPr>
            </w:pPr>
          </w:p>
        </w:tc>
        <w:tc>
          <w:tcPr>
            <w:tcW w:w="6241" w:type="dxa"/>
            <w:tcBorders>
              <w:top w:val="single" w:color="auto" w:sz="4" w:space="0"/>
              <w:left w:val="single" w:color="auto" w:sz="4" w:space="0"/>
              <w:bottom w:val="single" w:color="auto" w:sz="4" w:space="0"/>
              <w:right w:val="single" w:color="auto" w:sz="4" w:space="0"/>
            </w:tcBorders>
            <w:vAlign w:val="center"/>
          </w:tcPr>
          <w:p>
            <w:pPr>
              <w:ind w:firstLine="420"/>
              <w:rPr>
                <w:rFonts w:ascii="宋体" w:hAnsi="宋体" w:cs="宋体"/>
                <w:color w:val="auto"/>
                <w:highlight w:val="none"/>
              </w:rPr>
            </w:pPr>
          </w:p>
        </w:tc>
        <w:tc>
          <w:tcPr>
            <w:tcW w:w="1700" w:type="dxa"/>
            <w:tcBorders>
              <w:top w:val="single" w:color="auto" w:sz="4" w:space="0"/>
              <w:left w:val="nil"/>
              <w:bottom w:val="single" w:color="auto" w:sz="4" w:space="0"/>
              <w:right w:val="single" w:color="auto" w:sz="4" w:space="0"/>
            </w:tcBorders>
            <w:vAlign w:val="center"/>
          </w:tcPr>
          <w:p>
            <w:pPr>
              <w:ind w:firstLine="420"/>
              <w:jc w:val="center"/>
              <w:rPr>
                <w:rFonts w:ascii="宋体" w:hAnsi="宋体" w:cs="宋体"/>
                <w:color w:val="auto"/>
                <w:highlight w:val="none"/>
              </w:rPr>
            </w:pPr>
            <w:r>
              <w:rPr>
                <w:rFonts w:hint="eastAsia" w:ascii="宋体" w:hAnsi="宋体" w:cs="宋体"/>
                <w:color w:val="auto"/>
                <w:highlight w:val="none"/>
                <w:lang w:bidi="ar"/>
              </w:rPr>
              <w:t>见（  ）页</w:t>
            </w:r>
          </w:p>
        </w:tc>
      </w:tr>
      <w:tr>
        <w:tblPrEx>
          <w:tblCellMar>
            <w:top w:w="0" w:type="dxa"/>
            <w:left w:w="108" w:type="dxa"/>
            <w:bottom w:w="0" w:type="dxa"/>
            <w:right w:w="108" w:type="dxa"/>
          </w:tblCellMar>
        </w:tblPrEx>
        <w:trPr>
          <w:trHeight w:val="615" w:hRule="atLeast"/>
        </w:trPr>
        <w:tc>
          <w:tcPr>
            <w:tcW w:w="724" w:type="dxa"/>
            <w:tcBorders>
              <w:top w:val="single" w:color="auto" w:sz="4" w:space="0"/>
              <w:left w:val="single" w:color="auto" w:sz="4" w:space="0"/>
              <w:bottom w:val="single" w:color="auto" w:sz="4" w:space="0"/>
              <w:right w:val="single" w:color="auto" w:sz="4" w:space="0"/>
            </w:tcBorders>
            <w:vAlign w:val="center"/>
          </w:tcPr>
          <w:p>
            <w:pPr>
              <w:ind w:firstLine="420"/>
              <w:rPr>
                <w:rFonts w:ascii="宋体" w:hAnsi="宋体" w:cs="宋体"/>
                <w:color w:val="auto"/>
                <w:highlight w:val="none"/>
              </w:rPr>
            </w:pPr>
          </w:p>
        </w:tc>
        <w:tc>
          <w:tcPr>
            <w:tcW w:w="6241" w:type="dxa"/>
            <w:tcBorders>
              <w:top w:val="single" w:color="auto" w:sz="4" w:space="0"/>
              <w:left w:val="single" w:color="auto" w:sz="4" w:space="0"/>
              <w:bottom w:val="single" w:color="auto" w:sz="4" w:space="0"/>
              <w:right w:val="single" w:color="auto" w:sz="4" w:space="0"/>
            </w:tcBorders>
            <w:vAlign w:val="center"/>
          </w:tcPr>
          <w:p>
            <w:pPr>
              <w:ind w:firstLine="420"/>
              <w:rPr>
                <w:rFonts w:ascii="宋体" w:hAnsi="宋体" w:cs="宋体"/>
                <w:color w:val="auto"/>
                <w:highlight w:val="none"/>
              </w:rPr>
            </w:pPr>
          </w:p>
        </w:tc>
        <w:tc>
          <w:tcPr>
            <w:tcW w:w="1700" w:type="dxa"/>
            <w:tcBorders>
              <w:top w:val="single" w:color="auto" w:sz="4" w:space="0"/>
              <w:left w:val="nil"/>
              <w:bottom w:val="single" w:color="auto" w:sz="4" w:space="0"/>
              <w:right w:val="single" w:color="auto" w:sz="4" w:space="0"/>
            </w:tcBorders>
            <w:vAlign w:val="center"/>
          </w:tcPr>
          <w:p>
            <w:pPr>
              <w:ind w:firstLine="420"/>
              <w:jc w:val="center"/>
              <w:rPr>
                <w:rFonts w:ascii="宋体" w:hAnsi="宋体" w:cs="宋体"/>
                <w:color w:val="auto"/>
                <w:highlight w:val="none"/>
              </w:rPr>
            </w:pPr>
            <w:r>
              <w:rPr>
                <w:rFonts w:hint="eastAsia" w:ascii="宋体" w:hAnsi="宋体" w:cs="宋体"/>
                <w:color w:val="auto"/>
                <w:highlight w:val="none"/>
                <w:lang w:bidi="ar"/>
              </w:rPr>
              <w:t>见（  ）页</w:t>
            </w:r>
          </w:p>
        </w:tc>
      </w:tr>
      <w:tr>
        <w:tblPrEx>
          <w:tblCellMar>
            <w:top w:w="0" w:type="dxa"/>
            <w:left w:w="108" w:type="dxa"/>
            <w:bottom w:w="0" w:type="dxa"/>
            <w:right w:w="108" w:type="dxa"/>
          </w:tblCellMar>
        </w:tblPrEx>
        <w:trPr>
          <w:trHeight w:val="615" w:hRule="atLeast"/>
        </w:trPr>
        <w:tc>
          <w:tcPr>
            <w:tcW w:w="724" w:type="dxa"/>
            <w:tcBorders>
              <w:top w:val="single" w:color="auto" w:sz="4" w:space="0"/>
              <w:left w:val="single" w:color="auto" w:sz="4" w:space="0"/>
              <w:bottom w:val="single" w:color="auto" w:sz="4" w:space="0"/>
              <w:right w:val="single" w:color="auto" w:sz="4" w:space="0"/>
            </w:tcBorders>
            <w:vAlign w:val="center"/>
          </w:tcPr>
          <w:p>
            <w:pPr>
              <w:ind w:firstLine="420"/>
              <w:rPr>
                <w:rFonts w:ascii="宋体" w:hAnsi="宋体" w:cs="宋体"/>
                <w:color w:val="auto"/>
                <w:highlight w:val="none"/>
              </w:rPr>
            </w:pPr>
          </w:p>
        </w:tc>
        <w:tc>
          <w:tcPr>
            <w:tcW w:w="6241" w:type="dxa"/>
            <w:tcBorders>
              <w:top w:val="single" w:color="auto" w:sz="4" w:space="0"/>
              <w:left w:val="single" w:color="auto" w:sz="4" w:space="0"/>
              <w:bottom w:val="single" w:color="auto" w:sz="4" w:space="0"/>
              <w:right w:val="single" w:color="auto" w:sz="4" w:space="0"/>
            </w:tcBorders>
            <w:vAlign w:val="center"/>
          </w:tcPr>
          <w:p>
            <w:pPr>
              <w:ind w:firstLine="420"/>
              <w:rPr>
                <w:rFonts w:ascii="宋体" w:hAnsi="宋体" w:cs="宋体"/>
                <w:color w:val="auto"/>
                <w:highlight w:val="none"/>
              </w:rPr>
            </w:pPr>
          </w:p>
        </w:tc>
        <w:tc>
          <w:tcPr>
            <w:tcW w:w="1700" w:type="dxa"/>
            <w:tcBorders>
              <w:top w:val="single" w:color="auto" w:sz="4" w:space="0"/>
              <w:left w:val="nil"/>
              <w:bottom w:val="single" w:color="auto" w:sz="4" w:space="0"/>
              <w:right w:val="single" w:color="auto" w:sz="4" w:space="0"/>
            </w:tcBorders>
            <w:vAlign w:val="center"/>
          </w:tcPr>
          <w:p>
            <w:pPr>
              <w:ind w:firstLine="420"/>
              <w:jc w:val="center"/>
              <w:rPr>
                <w:rFonts w:ascii="宋体" w:hAnsi="宋体" w:cs="宋体"/>
                <w:color w:val="auto"/>
                <w:highlight w:val="none"/>
              </w:rPr>
            </w:pPr>
            <w:r>
              <w:rPr>
                <w:rFonts w:hint="eastAsia" w:ascii="宋体" w:hAnsi="宋体" w:cs="宋体"/>
                <w:color w:val="auto"/>
                <w:highlight w:val="none"/>
                <w:lang w:bidi="ar"/>
              </w:rPr>
              <w:t>见（  ）页</w:t>
            </w:r>
          </w:p>
        </w:tc>
      </w:tr>
      <w:tr>
        <w:tblPrEx>
          <w:tblCellMar>
            <w:top w:w="0" w:type="dxa"/>
            <w:left w:w="108" w:type="dxa"/>
            <w:bottom w:w="0" w:type="dxa"/>
            <w:right w:w="108" w:type="dxa"/>
          </w:tblCellMar>
        </w:tblPrEx>
        <w:trPr>
          <w:trHeight w:val="615" w:hRule="atLeast"/>
        </w:trPr>
        <w:tc>
          <w:tcPr>
            <w:tcW w:w="724" w:type="dxa"/>
            <w:tcBorders>
              <w:top w:val="single" w:color="auto" w:sz="4" w:space="0"/>
              <w:left w:val="single" w:color="auto" w:sz="4" w:space="0"/>
              <w:bottom w:val="single" w:color="auto" w:sz="4" w:space="0"/>
              <w:right w:val="single" w:color="auto" w:sz="4" w:space="0"/>
            </w:tcBorders>
            <w:vAlign w:val="center"/>
          </w:tcPr>
          <w:p>
            <w:pPr>
              <w:ind w:firstLine="420"/>
              <w:rPr>
                <w:rFonts w:ascii="宋体" w:hAnsi="宋体" w:cs="宋体"/>
                <w:color w:val="auto"/>
                <w:highlight w:val="none"/>
              </w:rPr>
            </w:pPr>
          </w:p>
        </w:tc>
        <w:tc>
          <w:tcPr>
            <w:tcW w:w="6241" w:type="dxa"/>
            <w:tcBorders>
              <w:top w:val="single" w:color="auto" w:sz="4" w:space="0"/>
              <w:left w:val="single" w:color="auto" w:sz="4" w:space="0"/>
              <w:bottom w:val="single" w:color="auto" w:sz="4" w:space="0"/>
              <w:right w:val="single" w:color="auto" w:sz="4" w:space="0"/>
            </w:tcBorders>
            <w:vAlign w:val="center"/>
          </w:tcPr>
          <w:p>
            <w:pPr>
              <w:ind w:firstLine="420"/>
              <w:rPr>
                <w:rFonts w:ascii="宋体" w:hAnsi="宋体" w:cs="宋体"/>
                <w:color w:val="auto"/>
                <w:highlight w:val="none"/>
              </w:rPr>
            </w:pPr>
          </w:p>
        </w:tc>
        <w:tc>
          <w:tcPr>
            <w:tcW w:w="1700" w:type="dxa"/>
            <w:tcBorders>
              <w:top w:val="single" w:color="auto" w:sz="4" w:space="0"/>
              <w:left w:val="nil"/>
              <w:bottom w:val="single" w:color="auto" w:sz="4" w:space="0"/>
              <w:right w:val="single" w:color="auto" w:sz="4" w:space="0"/>
            </w:tcBorders>
            <w:vAlign w:val="center"/>
          </w:tcPr>
          <w:p>
            <w:pPr>
              <w:ind w:firstLine="420"/>
              <w:jc w:val="center"/>
              <w:rPr>
                <w:rFonts w:ascii="宋体" w:hAnsi="宋体" w:cs="宋体"/>
                <w:color w:val="auto"/>
                <w:highlight w:val="none"/>
              </w:rPr>
            </w:pPr>
            <w:r>
              <w:rPr>
                <w:rFonts w:hint="eastAsia" w:ascii="宋体" w:hAnsi="宋体" w:cs="宋体"/>
                <w:color w:val="auto"/>
                <w:highlight w:val="none"/>
                <w:lang w:bidi="ar"/>
              </w:rPr>
              <w:t>见（  ）页</w:t>
            </w:r>
          </w:p>
        </w:tc>
      </w:tr>
      <w:tr>
        <w:tblPrEx>
          <w:tblCellMar>
            <w:top w:w="0" w:type="dxa"/>
            <w:left w:w="108" w:type="dxa"/>
            <w:bottom w:w="0" w:type="dxa"/>
            <w:right w:w="108" w:type="dxa"/>
          </w:tblCellMar>
        </w:tblPrEx>
        <w:trPr>
          <w:trHeight w:val="608" w:hRule="atLeast"/>
        </w:trPr>
        <w:tc>
          <w:tcPr>
            <w:tcW w:w="724" w:type="dxa"/>
            <w:tcBorders>
              <w:top w:val="single" w:color="auto" w:sz="4" w:space="0"/>
              <w:left w:val="single" w:color="auto" w:sz="4" w:space="0"/>
              <w:bottom w:val="single" w:color="auto" w:sz="4" w:space="0"/>
              <w:right w:val="single" w:color="auto" w:sz="4" w:space="0"/>
            </w:tcBorders>
            <w:vAlign w:val="center"/>
          </w:tcPr>
          <w:p>
            <w:pPr>
              <w:ind w:firstLine="420"/>
              <w:rPr>
                <w:rFonts w:ascii="宋体" w:hAnsi="宋体" w:cs="宋体"/>
                <w:color w:val="auto"/>
                <w:highlight w:val="none"/>
              </w:rPr>
            </w:pPr>
          </w:p>
        </w:tc>
        <w:tc>
          <w:tcPr>
            <w:tcW w:w="6241" w:type="dxa"/>
            <w:tcBorders>
              <w:top w:val="single" w:color="auto" w:sz="4" w:space="0"/>
              <w:left w:val="single" w:color="auto" w:sz="4" w:space="0"/>
              <w:bottom w:val="single" w:color="auto" w:sz="4" w:space="0"/>
              <w:right w:val="single" w:color="auto" w:sz="4" w:space="0"/>
            </w:tcBorders>
            <w:vAlign w:val="center"/>
          </w:tcPr>
          <w:p>
            <w:pPr>
              <w:ind w:firstLine="420"/>
              <w:rPr>
                <w:rFonts w:ascii="宋体" w:hAnsi="宋体" w:cs="宋体"/>
                <w:color w:val="auto"/>
                <w:highlight w:val="none"/>
              </w:rPr>
            </w:pPr>
          </w:p>
        </w:tc>
        <w:tc>
          <w:tcPr>
            <w:tcW w:w="1700" w:type="dxa"/>
            <w:tcBorders>
              <w:top w:val="single" w:color="auto" w:sz="4" w:space="0"/>
              <w:left w:val="nil"/>
              <w:bottom w:val="single" w:color="auto" w:sz="4" w:space="0"/>
              <w:right w:val="single" w:color="auto" w:sz="4" w:space="0"/>
            </w:tcBorders>
            <w:vAlign w:val="center"/>
          </w:tcPr>
          <w:p>
            <w:pPr>
              <w:ind w:firstLine="420"/>
              <w:jc w:val="center"/>
              <w:rPr>
                <w:rFonts w:ascii="宋体" w:hAnsi="宋体" w:cs="宋体"/>
                <w:color w:val="auto"/>
                <w:highlight w:val="none"/>
              </w:rPr>
            </w:pPr>
            <w:r>
              <w:rPr>
                <w:rFonts w:hint="eastAsia" w:ascii="宋体" w:hAnsi="宋体" w:cs="宋体"/>
                <w:color w:val="auto"/>
                <w:highlight w:val="none"/>
                <w:lang w:bidi="ar"/>
              </w:rPr>
              <w:t>见（  ）页</w:t>
            </w:r>
          </w:p>
        </w:tc>
      </w:tr>
      <w:tr>
        <w:tblPrEx>
          <w:tblCellMar>
            <w:top w:w="0" w:type="dxa"/>
            <w:left w:w="108" w:type="dxa"/>
            <w:bottom w:w="0" w:type="dxa"/>
            <w:right w:w="108" w:type="dxa"/>
          </w:tblCellMar>
        </w:tblPrEx>
        <w:trPr>
          <w:trHeight w:val="750" w:hRule="atLeast"/>
        </w:trPr>
        <w:tc>
          <w:tcPr>
            <w:tcW w:w="724" w:type="dxa"/>
            <w:tcBorders>
              <w:top w:val="single" w:color="auto" w:sz="4" w:space="0"/>
              <w:left w:val="single" w:color="auto" w:sz="4" w:space="0"/>
              <w:bottom w:val="single" w:color="auto" w:sz="4" w:space="0"/>
              <w:right w:val="single" w:color="auto" w:sz="4" w:space="0"/>
            </w:tcBorders>
            <w:vAlign w:val="center"/>
          </w:tcPr>
          <w:p>
            <w:pPr>
              <w:ind w:firstLine="420"/>
              <w:rPr>
                <w:rFonts w:ascii="宋体" w:hAnsi="宋体" w:cs="宋体"/>
                <w:color w:val="auto"/>
                <w:highlight w:val="none"/>
              </w:rPr>
            </w:pPr>
          </w:p>
        </w:tc>
        <w:tc>
          <w:tcPr>
            <w:tcW w:w="6241" w:type="dxa"/>
            <w:tcBorders>
              <w:top w:val="single" w:color="auto" w:sz="4" w:space="0"/>
              <w:left w:val="single" w:color="auto" w:sz="4" w:space="0"/>
              <w:bottom w:val="single" w:color="auto" w:sz="4" w:space="0"/>
              <w:right w:val="single" w:color="auto" w:sz="4" w:space="0"/>
            </w:tcBorders>
            <w:vAlign w:val="center"/>
          </w:tcPr>
          <w:p>
            <w:pPr>
              <w:ind w:firstLine="420"/>
              <w:rPr>
                <w:rFonts w:ascii="宋体" w:hAnsi="宋体" w:cs="宋体"/>
                <w:color w:val="auto"/>
                <w:highlight w:val="none"/>
              </w:rPr>
            </w:pPr>
          </w:p>
        </w:tc>
        <w:tc>
          <w:tcPr>
            <w:tcW w:w="1700" w:type="dxa"/>
            <w:tcBorders>
              <w:top w:val="single" w:color="auto" w:sz="4" w:space="0"/>
              <w:left w:val="nil"/>
              <w:bottom w:val="single" w:color="auto" w:sz="4" w:space="0"/>
              <w:right w:val="single" w:color="auto" w:sz="4" w:space="0"/>
            </w:tcBorders>
            <w:vAlign w:val="center"/>
          </w:tcPr>
          <w:p>
            <w:pPr>
              <w:ind w:firstLine="420"/>
              <w:jc w:val="center"/>
              <w:rPr>
                <w:rFonts w:ascii="宋体" w:hAnsi="宋体" w:cs="宋体"/>
                <w:color w:val="auto"/>
                <w:highlight w:val="none"/>
              </w:rPr>
            </w:pPr>
            <w:r>
              <w:rPr>
                <w:rFonts w:hint="eastAsia" w:ascii="宋体" w:hAnsi="宋体" w:cs="宋体"/>
                <w:color w:val="auto"/>
                <w:highlight w:val="none"/>
                <w:lang w:bidi="ar"/>
              </w:rPr>
              <w:t>见（  ）页</w:t>
            </w:r>
          </w:p>
        </w:tc>
      </w:tr>
    </w:tbl>
    <w:p>
      <w:pPr>
        <w:pStyle w:val="17"/>
        <w:ind w:firstLine="420"/>
        <w:rPr>
          <w:rFonts w:ascii="宋体" w:hAnsi="宋体" w:eastAsia="宋体" w:cs="宋体"/>
          <w:color w:val="auto"/>
          <w:highlight w:val="none"/>
        </w:rPr>
      </w:pPr>
      <w:r>
        <w:rPr>
          <w:rFonts w:hint="eastAsia" w:ascii="宋体" w:hAnsi="宋体" w:eastAsia="宋体" w:cs="宋体"/>
          <w:color w:val="auto"/>
          <w:highlight w:val="none"/>
        </w:rPr>
        <w:t>根据评分标准逐条填写（价格分外）。</w:t>
      </w:r>
    </w:p>
    <w:p>
      <w:pPr>
        <w:spacing w:line="400" w:lineRule="exact"/>
        <w:ind w:firstLine="422"/>
        <w:rPr>
          <w:rFonts w:ascii="宋体" w:hAnsi="宋体" w:cs="宋体"/>
          <w:b/>
          <w:color w:val="auto"/>
          <w:highlight w:val="none"/>
        </w:rPr>
      </w:pPr>
    </w:p>
    <w:p>
      <w:pPr>
        <w:ind w:firstLine="420"/>
        <w:jc w:val="left"/>
        <w:rPr>
          <w:rFonts w:ascii="宋体" w:hAnsi="宋体" w:cs="宋体"/>
          <w:color w:val="auto"/>
          <w:szCs w:val="21"/>
          <w:highlight w:val="none"/>
        </w:rPr>
      </w:pPr>
      <w:r>
        <w:rPr>
          <w:rFonts w:hint="eastAsia" w:ascii="宋体" w:hAnsi="宋体" w:cs="宋体"/>
          <w:color w:val="auto"/>
          <w:szCs w:val="21"/>
          <w:highlight w:val="none"/>
        </w:rPr>
        <w:t xml:space="preserve"> </w:t>
      </w:r>
    </w:p>
    <w:p>
      <w:pPr>
        <w:adjustRightInd w:val="0"/>
        <w:snapToGrid w:val="0"/>
        <w:spacing w:before="120" w:after="120"/>
        <w:ind w:firstLine="420"/>
        <w:rPr>
          <w:rFonts w:ascii="宋体" w:hAnsi="宋体" w:cs="宋体"/>
          <w:color w:val="auto"/>
          <w:szCs w:val="21"/>
          <w:highlight w:val="none"/>
        </w:rPr>
      </w:pPr>
      <w:r>
        <w:rPr>
          <w:rFonts w:hint="eastAsia" w:ascii="宋体" w:hAnsi="宋体" w:cs="宋体"/>
          <w:color w:val="auto"/>
          <w:szCs w:val="21"/>
          <w:highlight w:val="none"/>
        </w:rPr>
        <w:t>投标人（盖章）：</w:t>
      </w:r>
    </w:p>
    <w:p>
      <w:pPr>
        <w:snapToGrid w:val="0"/>
        <w:ind w:firstLine="420"/>
        <w:rPr>
          <w:rFonts w:ascii="宋体" w:hAnsi="宋体" w:cs="宋体"/>
          <w:b/>
          <w:color w:val="auto"/>
          <w:szCs w:val="21"/>
          <w:highlight w:val="none"/>
        </w:rPr>
      </w:pPr>
      <w:r>
        <w:rPr>
          <w:rFonts w:hint="eastAsia" w:ascii="宋体" w:hAnsi="宋体" w:cs="宋体"/>
          <w:color w:val="auto"/>
          <w:szCs w:val="21"/>
          <w:highlight w:val="none"/>
        </w:rPr>
        <w:t>日  期：</w:t>
      </w:r>
    </w:p>
    <w:p>
      <w:pPr>
        <w:ind w:firstLine="420"/>
        <w:rPr>
          <w:rFonts w:ascii="宋体" w:hAnsi="宋体" w:cs="宋体"/>
          <w:b/>
          <w:color w:val="auto"/>
          <w:szCs w:val="21"/>
          <w:highlight w:val="none"/>
        </w:rPr>
      </w:pPr>
      <w:r>
        <w:rPr>
          <w:rFonts w:hint="eastAsia" w:ascii="宋体" w:hAnsi="宋体" w:cs="宋体"/>
          <w:color w:val="auto"/>
          <w:szCs w:val="21"/>
          <w:highlight w:val="none"/>
        </w:rPr>
        <w:br w:type="column"/>
      </w:r>
      <w:r>
        <w:rPr>
          <w:rFonts w:hint="eastAsia" w:ascii="宋体" w:hAnsi="宋体" w:cs="宋体"/>
          <w:b/>
          <w:color w:val="auto"/>
          <w:szCs w:val="21"/>
          <w:highlight w:val="none"/>
        </w:rPr>
        <w:t>11、法定代表人身份证明</w:t>
      </w:r>
    </w:p>
    <w:p>
      <w:pPr>
        <w:ind w:firstLine="420"/>
        <w:rPr>
          <w:rFonts w:ascii="宋体" w:hAnsi="宋体" w:cs="宋体"/>
          <w:color w:val="auto"/>
          <w:szCs w:val="21"/>
          <w:highlight w:val="none"/>
        </w:rPr>
      </w:pPr>
    </w:p>
    <w:p>
      <w:pPr>
        <w:ind w:firstLine="643"/>
        <w:jc w:val="center"/>
        <w:rPr>
          <w:rFonts w:ascii="宋体" w:hAnsi="宋体" w:cs="宋体"/>
          <w:b/>
          <w:color w:val="auto"/>
          <w:sz w:val="32"/>
          <w:szCs w:val="32"/>
          <w:highlight w:val="none"/>
        </w:rPr>
      </w:pPr>
      <w:r>
        <w:rPr>
          <w:rFonts w:hint="eastAsia" w:ascii="宋体" w:hAnsi="宋体" w:cs="宋体"/>
          <w:b/>
          <w:color w:val="auto"/>
          <w:sz w:val="32"/>
          <w:szCs w:val="32"/>
          <w:highlight w:val="none"/>
          <w:lang w:bidi="ar"/>
        </w:rPr>
        <w:t>法定代表人身份证明</w:t>
      </w:r>
    </w:p>
    <w:p>
      <w:pPr>
        <w:spacing w:line="480" w:lineRule="auto"/>
        <w:ind w:firstLine="480"/>
        <w:jc w:val="center"/>
        <w:rPr>
          <w:rFonts w:ascii="宋体" w:hAnsi="宋体" w:cs="宋体"/>
          <w:bCs/>
          <w:color w:val="auto"/>
          <w:sz w:val="24"/>
          <w:highlight w:val="none"/>
          <w:lang w:bidi="ar"/>
        </w:rPr>
      </w:pPr>
      <w:r>
        <w:rPr>
          <w:rFonts w:hint="eastAsia" w:ascii="宋体" w:hAnsi="宋体" w:cs="宋体"/>
          <w:bCs/>
          <w:color w:val="auto"/>
          <w:sz w:val="24"/>
          <w:highlight w:val="none"/>
          <w:lang w:bidi="ar"/>
        </w:rPr>
        <w:t>（法定代表人不来投标的，此表不用）</w:t>
      </w:r>
    </w:p>
    <w:p>
      <w:pPr>
        <w:spacing w:line="480" w:lineRule="auto"/>
        <w:ind w:firstLine="482"/>
        <w:jc w:val="center"/>
        <w:rPr>
          <w:rFonts w:ascii="宋体" w:hAnsi="宋体" w:cs="宋体"/>
          <w:b/>
          <w:color w:val="auto"/>
          <w:sz w:val="24"/>
          <w:highlight w:val="none"/>
        </w:rPr>
      </w:pPr>
    </w:p>
    <w:p>
      <w:pPr>
        <w:spacing w:line="480" w:lineRule="auto"/>
        <w:ind w:firstLine="420"/>
        <w:rPr>
          <w:rFonts w:ascii="宋体" w:hAnsi="宋体" w:cs="宋体"/>
          <w:color w:val="auto"/>
          <w:szCs w:val="21"/>
          <w:highlight w:val="none"/>
        </w:rPr>
      </w:pPr>
      <w:r>
        <w:rPr>
          <w:rFonts w:hint="eastAsia" w:ascii="宋体" w:hAnsi="宋体" w:cs="宋体"/>
          <w:color w:val="auto"/>
          <w:szCs w:val="21"/>
          <w:highlight w:val="none"/>
          <w:lang w:bidi="ar"/>
        </w:rPr>
        <w:t xml:space="preserve">供应商名称：                                      </w:t>
      </w:r>
    </w:p>
    <w:p>
      <w:pPr>
        <w:spacing w:line="480" w:lineRule="auto"/>
        <w:ind w:firstLine="420"/>
        <w:rPr>
          <w:rFonts w:ascii="宋体" w:hAnsi="宋体" w:cs="宋体"/>
          <w:color w:val="auto"/>
          <w:szCs w:val="21"/>
          <w:highlight w:val="none"/>
        </w:rPr>
      </w:pPr>
      <w:r>
        <w:rPr>
          <w:rFonts w:hint="eastAsia" w:ascii="宋体" w:hAnsi="宋体" w:cs="宋体"/>
          <w:color w:val="auto"/>
          <w:szCs w:val="21"/>
          <w:highlight w:val="none"/>
          <w:lang w:bidi="ar"/>
        </w:rPr>
        <w:t>单位性质：</w:t>
      </w:r>
      <w:r>
        <w:rPr>
          <w:rFonts w:hint="eastAsia" w:ascii="宋体" w:hAnsi="宋体" w:cs="宋体"/>
          <w:color w:val="auto"/>
          <w:szCs w:val="21"/>
          <w:highlight w:val="none"/>
          <w:u w:val="single"/>
          <w:lang w:bidi="ar"/>
        </w:rPr>
        <w:t xml:space="preserve">                                         </w:t>
      </w:r>
      <w:r>
        <w:rPr>
          <w:rFonts w:hint="eastAsia" w:ascii="宋体" w:hAnsi="宋体" w:cs="宋体"/>
          <w:color w:val="auto"/>
          <w:szCs w:val="21"/>
          <w:highlight w:val="none"/>
          <w:lang w:bidi="ar"/>
        </w:rPr>
        <w:t xml:space="preserve"> </w:t>
      </w:r>
    </w:p>
    <w:p>
      <w:pPr>
        <w:spacing w:line="480" w:lineRule="auto"/>
        <w:ind w:firstLine="420"/>
        <w:rPr>
          <w:rFonts w:ascii="宋体" w:hAnsi="宋体" w:cs="宋体"/>
          <w:color w:val="auto"/>
          <w:szCs w:val="21"/>
          <w:highlight w:val="none"/>
        </w:rPr>
      </w:pPr>
      <w:r>
        <w:rPr>
          <w:rFonts w:hint="eastAsia" w:ascii="宋体" w:hAnsi="宋体" w:cs="宋体"/>
          <w:color w:val="auto"/>
          <w:szCs w:val="21"/>
          <w:highlight w:val="none"/>
          <w:lang w:bidi="ar"/>
        </w:rPr>
        <w:t>地址：</w:t>
      </w:r>
      <w:r>
        <w:rPr>
          <w:rFonts w:hint="eastAsia" w:ascii="宋体" w:hAnsi="宋体" w:cs="宋体"/>
          <w:color w:val="auto"/>
          <w:szCs w:val="21"/>
          <w:highlight w:val="none"/>
          <w:u w:val="single"/>
          <w:lang w:bidi="ar"/>
        </w:rPr>
        <w:t xml:space="preserve">                                              </w:t>
      </w:r>
    </w:p>
    <w:p>
      <w:pPr>
        <w:spacing w:line="480" w:lineRule="auto"/>
        <w:ind w:firstLine="420"/>
        <w:rPr>
          <w:rFonts w:ascii="宋体" w:hAnsi="宋体" w:cs="宋体"/>
          <w:color w:val="auto"/>
          <w:szCs w:val="21"/>
          <w:highlight w:val="none"/>
        </w:rPr>
      </w:pPr>
      <w:r>
        <w:rPr>
          <w:rFonts w:hint="eastAsia" w:ascii="宋体" w:hAnsi="宋体" w:cs="宋体"/>
          <w:color w:val="auto"/>
          <w:szCs w:val="21"/>
          <w:highlight w:val="none"/>
          <w:lang w:bidi="ar"/>
        </w:rPr>
        <w:t>成立时间：</w:t>
      </w:r>
      <w:r>
        <w:rPr>
          <w:rFonts w:hint="eastAsia" w:ascii="宋体" w:hAnsi="宋体" w:cs="宋体"/>
          <w:color w:val="auto"/>
          <w:szCs w:val="21"/>
          <w:highlight w:val="none"/>
          <w:u w:val="single"/>
          <w:lang w:bidi="ar"/>
        </w:rPr>
        <w:t xml:space="preserve">         </w:t>
      </w:r>
      <w:r>
        <w:rPr>
          <w:rFonts w:hint="eastAsia" w:ascii="宋体" w:hAnsi="宋体" w:cs="宋体"/>
          <w:color w:val="auto"/>
          <w:szCs w:val="21"/>
          <w:highlight w:val="none"/>
          <w:lang w:bidi="ar"/>
        </w:rPr>
        <w:t>年</w:t>
      </w:r>
      <w:r>
        <w:rPr>
          <w:rFonts w:hint="eastAsia" w:ascii="宋体" w:hAnsi="宋体" w:cs="宋体"/>
          <w:color w:val="auto"/>
          <w:szCs w:val="21"/>
          <w:highlight w:val="none"/>
          <w:u w:val="single"/>
          <w:lang w:bidi="ar"/>
        </w:rPr>
        <w:t xml:space="preserve">       </w:t>
      </w:r>
      <w:r>
        <w:rPr>
          <w:rFonts w:hint="eastAsia" w:ascii="宋体" w:hAnsi="宋体" w:cs="宋体"/>
          <w:color w:val="auto"/>
          <w:szCs w:val="21"/>
          <w:highlight w:val="none"/>
          <w:lang w:bidi="ar"/>
        </w:rPr>
        <w:t>月</w:t>
      </w:r>
      <w:r>
        <w:rPr>
          <w:rFonts w:hint="eastAsia" w:ascii="宋体" w:hAnsi="宋体" w:cs="宋体"/>
          <w:color w:val="auto"/>
          <w:szCs w:val="21"/>
          <w:highlight w:val="none"/>
          <w:u w:val="single"/>
          <w:lang w:bidi="ar"/>
        </w:rPr>
        <w:t xml:space="preserve">    </w:t>
      </w:r>
      <w:r>
        <w:rPr>
          <w:rFonts w:hint="eastAsia" w:ascii="宋体" w:hAnsi="宋体" w:cs="宋体"/>
          <w:color w:val="auto"/>
          <w:szCs w:val="21"/>
          <w:highlight w:val="none"/>
          <w:lang w:bidi="ar"/>
        </w:rPr>
        <w:t>＿日</w:t>
      </w:r>
    </w:p>
    <w:p>
      <w:pPr>
        <w:spacing w:line="480" w:lineRule="auto"/>
        <w:ind w:firstLine="420"/>
        <w:rPr>
          <w:rFonts w:ascii="宋体" w:hAnsi="宋体" w:cs="宋体"/>
          <w:color w:val="auto"/>
          <w:szCs w:val="21"/>
          <w:highlight w:val="none"/>
        </w:rPr>
      </w:pPr>
      <w:r>
        <w:rPr>
          <w:rFonts w:hint="eastAsia" w:ascii="宋体" w:hAnsi="宋体" w:cs="宋体"/>
          <w:color w:val="auto"/>
          <w:szCs w:val="21"/>
          <w:highlight w:val="none"/>
          <w:lang w:bidi="ar"/>
        </w:rPr>
        <w:t>经营期限：</w:t>
      </w:r>
      <w:r>
        <w:rPr>
          <w:rFonts w:hint="eastAsia" w:ascii="宋体" w:hAnsi="宋体" w:cs="宋体"/>
          <w:color w:val="auto"/>
          <w:szCs w:val="21"/>
          <w:highlight w:val="none"/>
          <w:u w:val="single"/>
          <w:lang w:bidi="ar"/>
        </w:rPr>
        <w:t xml:space="preserve">                                </w:t>
      </w:r>
      <w:r>
        <w:rPr>
          <w:rFonts w:hint="eastAsia" w:ascii="宋体" w:hAnsi="宋体" w:cs="宋体"/>
          <w:color w:val="auto"/>
          <w:szCs w:val="21"/>
          <w:highlight w:val="none"/>
          <w:lang w:bidi="ar"/>
        </w:rPr>
        <w:t xml:space="preserve"> </w:t>
      </w:r>
    </w:p>
    <w:p>
      <w:pPr>
        <w:spacing w:line="480" w:lineRule="auto"/>
        <w:ind w:firstLine="420"/>
        <w:rPr>
          <w:rFonts w:ascii="宋体" w:hAnsi="宋体" w:cs="宋体"/>
          <w:color w:val="auto"/>
          <w:szCs w:val="21"/>
          <w:highlight w:val="none"/>
        </w:rPr>
      </w:pPr>
      <w:r>
        <w:rPr>
          <w:rFonts w:hint="eastAsia" w:ascii="宋体" w:hAnsi="宋体" w:cs="宋体"/>
          <w:color w:val="auto"/>
          <w:szCs w:val="21"/>
          <w:highlight w:val="none"/>
          <w:lang w:bidi="ar"/>
        </w:rPr>
        <w:t>姓名：</w:t>
      </w:r>
      <w:r>
        <w:rPr>
          <w:rFonts w:hint="eastAsia" w:ascii="宋体" w:hAnsi="宋体" w:cs="宋体"/>
          <w:color w:val="auto"/>
          <w:szCs w:val="21"/>
          <w:highlight w:val="none"/>
          <w:u w:val="single"/>
          <w:lang w:bidi="ar"/>
        </w:rPr>
        <w:t xml:space="preserve">       </w:t>
      </w:r>
      <w:r>
        <w:rPr>
          <w:rFonts w:hint="eastAsia" w:ascii="宋体" w:hAnsi="宋体" w:cs="宋体"/>
          <w:color w:val="auto"/>
          <w:szCs w:val="21"/>
          <w:highlight w:val="none"/>
          <w:lang w:bidi="ar"/>
        </w:rPr>
        <w:t>性别：</w:t>
      </w:r>
      <w:r>
        <w:rPr>
          <w:rFonts w:hint="eastAsia" w:ascii="宋体" w:hAnsi="宋体" w:cs="宋体"/>
          <w:color w:val="auto"/>
          <w:szCs w:val="21"/>
          <w:highlight w:val="none"/>
          <w:u w:val="single"/>
          <w:lang w:bidi="ar"/>
        </w:rPr>
        <w:t xml:space="preserve">      </w:t>
      </w:r>
      <w:r>
        <w:rPr>
          <w:rFonts w:hint="eastAsia" w:ascii="宋体" w:hAnsi="宋体" w:cs="宋体"/>
          <w:color w:val="auto"/>
          <w:szCs w:val="21"/>
          <w:highlight w:val="none"/>
          <w:lang w:bidi="ar"/>
        </w:rPr>
        <w:t>年龄：</w:t>
      </w:r>
      <w:r>
        <w:rPr>
          <w:rFonts w:hint="eastAsia" w:ascii="宋体" w:hAnsi="宋体" w:cs="宋体"/>
          <w:color w:val="auto"/>
          <w:szCs w:val="21"/>
          <w:highlight w:val="none"/>
          <w:u w:val="single"/>
          <w:lang w:bidi="ar"/>
        </w:rPr>
        <w:t xml:space="preserve">    周岁  </w:t>
      </w:r>
      <w:r>
        <w:rPr>
          <w:rFonts w:hint="eastAsia" w:ascii="宋体" w:hAnsi="宋体" w:cs="宋体"/>
          <w:color w:val="auto"/>
          <w:szCs w:val="21"/>
          <w:highlight w:val="none"/>
          <w:lang w:bidi="ar"/>
        </w:rPr>
        <w:t>职务：</w:t>
      </w:r>
      <w:r>
        <w:rPr>
          <w:rFonts w:hint="eastAsia" w:ascii="宋体" w:hAnsi="宋体" w:cs="宋体"/>
          <w:color w:val="auto"/>
          <w:szCs w:val="21"/>
          <w:highlight w:val="none"/>
          <w:u w:val="single"/>
          <w:lang w:bidi="ar"/>
        </w:rPr>
        <w:t xml:space="preserve">   </w:t>
      </w:r>
      <w:r>
        <w:rPr>
          <w:rFonts w:hint="eastAsia" w:ascii="宋体" w:hAnsi="宋体" w:cs="宋体"/>
          <w:color w:val="auto"/>
          <w:szCs w:val="21"/>
          <w:highlight w:val="none"/>
          <w:lang w:bidi="ar"/>
        </w:rPr>
        <w:t>_</w:t>
      </w:r>
    </w:p>
    <w:p>
      <w:pPr>
        <w:spacing w:line="480" w:lineRule="auto"/>
        <w:ind w:firstLine="420"/>
        <w:rPr>
          <w:rFonts w:ascii="宋体" w:hAnsi="宋体" w:cs="宋体"/>
          <w:color w:val="auto"/>
          <w:szCs w:val="21"/>
          <w:highlight w:val="none"/>
          <w:u w:val="single"/>
        </w:rPr>
      </w:pPr>
      <w:r>
        <w:rPr>
          <w:rFonts w:hint="eastAsia" w:ascii="宋体" w:hAnsi="宋体" w:cs="宋体"/>
          <w:color w:val="auto"/>
          <w:szCs w:val="21"/>
          <w:highlight w:val="none"/>
          <w:lang w:bidi="ar"/>
        </w:rPr>
        <w:t>身份证号码：</w:t>
      </w:r>
      <w:r>
        <w:rPr>
          <w:rFonts w:hint="eastAsia" w:ascii="宋体" w:hAnsi="宋体" w:cs="宋体"/>
          <w:color w:val="auto"/>
          <w:szCs w:val="21"/>
          <w:highlight w:val="none"/>
          <w:u w:val="single"/>
          <w:lang w:bidi="ar"/>
        </w:rPr>
        <w:t xml:space="preserve">                   </w:t>
      </w:r>
    </w:p>
    <w:p>
      <w:pPr>
        <w:spacing w:line="480" w:lineRule="auto"/>
        <w:ind w:firstLine="420"/>
        <w:rPr>
          <w:rFonts w:ascii="宋体" w:hAnsi="宋体" w:cs="宋体"/>
          <w:color w:val="auto"/>
          <w:szCs w:val="21"/>
          <w:highlight w:val="none"/>
        </w:rPr>
      </w:pPr>
      <w:r>
        <w:rPr>
          <w:rFonts w:hint="eastAsia" w:ascii="宋体" w:hAnsi="宋体" w:cs="宋体"/>
          <w:color w:val="auto"/>
          <w:szCs w:val="21"/>
          <w:highlight w:val="none"/>
          <w:lang w:bidi="ar"/>
        </w:rPr>
        <w:t>系</w:t>
      </w:r>
      <w:r>
        <w:rPr>
          <w:rFonts w:hint="eastAsia" w:ascii="宋体" w:hAnsi="宋体" w:cs="宋体"/>
          <w:color w:val="auto"/>
          <w:szCs w:val="21"/>
          <w:highlight w:val="none"/>
          <w:u w:val="single"/>
          <w:lang w:bidi="ar"/>
        </w:rPr>
        <w:t xml:space="preserve">                                      </w:t>
      </w:r>
      <w:r>
        <w:rPr>
          <w:rFonts w:hint="eastAsia" w:ascii="宋体" w:hAnsi="宋体" w:cs="宋体"/>
          <w:color w:val="auto"/>
          <w:szCs w:val="21"/>
          <w:highlight w:val="none"/>
          <w:lang w:bidi="ar"/>
        </w:rPr>
        <w:t>（供应商名称）的法定代表人。</w:t>
      </w:r>
    </w:p>
    <w:p>
      <w:pPr>
        <w:spacing w:line="480" w:lineRule="auto"/>
        <w:ind w:firstLine="840" w:firstLineChars="400"/>
        <w:rPr>
          <w:rFonts w:ascii="宋体" w:hAnsi="宋体" w:cs="宋体"/>
          <w:color w:val="auto"/>
          <w:szCs w:val="21"/>
          <w:highlight w:val="none"/>
        </w:rPr>
      </w:pPr>
      <w:r>
        <w:rPr>
          <w:rFonts w:hint="eastAsia" w:ascii="宋体" w:hAnsi="宋体" w:cs="宋体"/>
          <w:color w:val="auto"/>
          <w:szCs w:val="21"/>
          <w:highlight w:val="none"/>
          <w:lang w:bidi="ar"/>
        </w:rPr>
        <w:t>特此证明。</w:t>
      </w:r>
    </w:p>
    <w:p>
      <w:pPr>
        <w:ind w:firstLine="420"/>
        <w:rPr>
          <w:rFonts w:ascii="宋体" w:hAnsi="宋体" w:cs="宋体"/>
          <w:color w:val="auto"/>
          <w:szCs w:val="21"/>
          <w:highlight w:val="none"/>
        </w:rPr>
      </w:pPr>
    </w:p>
    <w:p>
      <w:pPr>
        <w:ind w:firstLine="420"/>
        <w:rPr>
          <w:rFonts w:ascii="宋体" w:hAnsi="宋体" w:cs="宋体"/>
          <w:color w:val="auto"/>
          <w:szCs w:val="21"/>
          <w:highlight w:val="none"/>
        </w:rPr>
      </w:pPr>
    </w:p>
    <w:p>
      <w:pPr>
        <w:wordWrap w:val="0"/>
        <w:ind w:firstLine="420"/>
        <w:jc w:val="right"/>
        <w:rPr>
          <w:rFonts w:ascii="宋体" w:hAnsi="宋体" w:cs="宋体"/>
          <w:color w:val="auto"/>
          <w:szCs w:val="21"/>
          <w:highlight w:val="none"/>
        </w:rPr>
      </w:pPr>
      <w:r>
        <w:rPr>
          <w:rFonts w:hint="eastAsia" w:ascii="宋体" w:hAnsi="宋体" w:cs="宋体"/>
          <w:color w:val="auto"/>
          <w:szCs w:val="21"/>
          <w:highlight w:val="none"/>
          <w:lang w:bidi="ar"/>
        </w:rPr>
        <w:t>供应商：</w:t>
      </w:r>
      <w:r>
        <w:rPr>
          <w:rFonts w:hint="eastAsia" w:ascii="宋体" w:hAnsi="宋体" w:cs="宋体"/>
          <w:color w:val="auto"/>
          <w:szCs w:val="21"/>
          <w:highlight w:val="none"/>
          <w:u w:val="single"/>
          <w:lang w:bidi="ar"/>
        </w:rPr>
        <w:t xml:space="preserve">                                </w:t>
      </w:r>
      <w:r>
        <w:rPr>
          <w:rFonts w:hint="eastAsia" w:ascii="宋体" w:hAnsi="宋体" w:cs="宋体"/>
          <w:color w:val="auto"/>
          <w:szCs w:val="21"/>
          <w:highlight w:val="none"/>
          <w:lang w:bidi="ar"/>
        </w:rPr>
        <w:t>（盖单位公章）</w:t>
      </w:r>
    </w:p>
    <w:p>
      <w:pPr>
        <w:ind w:firstLine="4515" w:firstLineChars="2150"/>
        <w:rPr>
          <w:rFonts w:ascii="宋体" w:hAnsi="宋体" w:cs="宋体"/>
          <w:color w:val="auto"/>
          <w:szCs w:val="21"/>
          <w:highlight w:val="none"/>
          <w:u w:val="single"/>
        </w:rPr>
      </w:pPr>
    </w:p>
    <w:p>
      <w:pPr>
        <w:ind w:firstLine="3675" w:firstLineChars="1750"/>
        <w:rPr>
          <w:rFonts w:ascii="宋体" w:hAnsi="宋体" w:cs="宋体"/>
          <w:color w:val="auto"/>
          <w:szCs w:val="21"/>
          <w:highlight w:val="none"/>
        </w:rPr>
      </w:pPr>
      <w:r>
        <w:rPr>
          <w:rFonts w:hint="eastAsia" w:ascii="宋体" w:hAnsi="宋体" w:cs="宋体"/>
          <w:color w:val="auto"/>
          <w:szCs w:val="21"/>
          <w:highlight w:val="none"/>
          <w:u w:val="single"/>
          <w:lang w:bidi="ar"/>
        </w:rPr>
        <w:t xml:space="preserve">         </w:t>
      </w:r>
      <w:r>
        <w:rPr>
          <w:rFonts w:hint="eastAsia" w:ascii="宋体" w:hAnsi="宋体" w:cs="宋体"/>
          <w:color w:val="auto"/>
          <w:szCs w:val="21"/>
          <w:highlight w:val="none"/>
          <w:lang w:bidi="ar"/>
        </w:rPr>
        <w:t>年</w:t>
      </w:r>
      <w:r>
        <w:rPr>
          <w:rFonts w:hint="eastAsia" w:ascii="宋体" w:hAnsi="宋体" w:cs="宋体"/>
          <w:color w:val="auto"/>
          <w:szCs w:val="21"/>
          <w:highlight w:val="none"/>
          <w:u w:val="single"/>
          <w:lang w:bidi="ar"/>
        </w:rPr>
        <w:t xml:space="preserve">       </w:t>
      </w:r>
      <w:r>
        <w:rPr>
          <w:rFonts w:hint="eastAsia" w:ascii="宋体" w:hAnsi="宋体" w:cs="宋体"/>
          <w:color w:val="auto"/>
          <w:szCs w:val="21"/>
          <w:highlight w:val="none"/>
          <w:lang w:bidi="ar"/>
        </w:rPr>
        <w:t>月</w:t>
      </w:r>
      <w:r>
        <w:rPr>
          <w:rFonts w:hint="eastAsia" w:ascii="宋体" w:hAnsi="宋体" w:cs="宋体"/>
          <w:color w:val="auto"/>
          <w:szCs w:val="21"/>
          <w:highlight w:val="none"/>
          <w:u w:val="single"/>
          <w:lang w:bidi="ar"/>
        </w:rPr>
        <w:t xml:space="preserve">        </w:t>
      </w:r>
      <w:r>
        <w:rPr>
          <w:rFonts w:hint="eastAsia" w:ascii="宋体" w:hAnsi="宋体" w:cs="宋体"/>
          <w:color w:val="auto"/>
          <w:szCs w:val="21"/>
          <w:highlight w:val="none"/>
          <w:lang w:bidi="ar"/>
        </w:rPr>
        <w:t>日</w:t>
      </w:r>
    </w:p>
    <w:p>
      <w:pPr>
        <w:ind w:firstLine="480"/>
        <w:rPr>
          <w:rFonts w:ascii="宋体" w:hAnsi="宋体" w:cs="宋体"/>
          <w:color w:val="auto"/>
          <w:sz w:val="24"/>
          <w:highlight w:val="none"/>
        </w:rPr>
      </w:pPr>
    </w:p>
    <w:p>
      <w:pPr>
        <w:ind w:firstLine="422"/>
        <w:rPr>
          <w:rFonts w:ascii="宋体" w:hAnsi="宋体" w:cs="宋体"/>
          <w:b/>
          <w:color w:val="auto"/>
          <w:szCs w:val="21"/>
          <w:highlight w:val="none"/>
        </w:rPr>
      </w:pPr>
    </w:p>
    <w:p>
      <w:pPr>
        <w:ind w:firstLine="422"/>
        <w:rPr>
          <w:rFonts w:ascii="宋体" w:hAnsi="宋体" w:cs="宋体"/>
          <w:b/>
          <w:color w:val="auto"/>
          <w:szCs w:val="21"/>
          <w:highlight w:val="none"/>
        </w:rPr>
      </w:pPr>
    </w:p>
    <w:p>
      <w:pPr>
        <w:widowControl/>
        <w:ind w:firstLine="422"/>
        <w:jc w:val="left"/>
        <w:rPr>
          <w:rFonts w:ascii="宋体" w:hAnsi="宋体" w:cs="宋体"/>
          <w:color w:val="auto"/>
          <w:highlight w:val="none"/>
        </w:rPr>
      </w:pPr>
      <w:r>
        <w:rPr>
          <w:rFonts w:hint="eastAsia" w:ascii="宋体" w:hAnsi="宋体" w:cs="宋体"/>
          <w:b/>
          <w:color w:val="auto"/>
          <w:szCs w:val="21"/>
          <w:highlight w:val="none"/>
          <w:lang w:bidi="ar"/>
        </w:rPr>
        <w:t>附法定代表人身份证复印件（正反面）：</w:t>
      </w:r>
    </w:p>
    <w:p>
      <w:pPr>
        <w:ind w:firstLine="420"/>
        <w:rPr>
          <w:rFonts w:ascii="宋体" w:hAnsi="宋体" w:cs="宋体"/>
          <w:color w:val="auto"/>
          <w:szCs w:val="21"/>
          <w:highlight w:val="none"/>
        </w:rPr>
      </w:pPr>
      <w:r>
        <w:rPr>
          <w:rFonts w:hint="eastAsia" w:ascii="宋体" w:hAnsi="宋体" w:cs="宋体"/>
          <w:color w:val="auto"/>
          <w:highlight w:val="none"/>
          <w:lang w:bidi="ar"/>
        </w:rPr>
        <w:br w:type="page"/>
      </w:r>
      <w:r>
        <w:rPr>
          <w:rFonts w:hint="eastAsia" w:ascii="宋体" w:hAnsi="宋体" w:cs="宋体"/>
          <w:b/>
          <w:color w:val="auto"/>
          <w:highlight w:val="none"/>
          <w:lang w:bidi="ar"/>
        </w:rPr>
        <w:t>12、法定代表人授权书</w:t>
      </w:r>
    </w:p>
    <w:p>
      <w:pPr>
        <w:ind w:firstLine="420"/>
        <w:rPr>
          <w:rFonts w:ascii="宋体" w:hAnsi="宋体" w:cs="宋体"/>
          <w:color w:val="auto"/>
          <w:szCs w:val="21"/>
          <w:highlight w:val="none"/>
        </w:rPr>
      </w:pPr>
    </w:p>
    <w:p>
      <w:pPr>
        <w:ind w:firstLine="642"/>
        <w:jc w:val="center"/>
        <w:rPr>
          <w:rFonts w:ascii="宋体" w:hAnsi="宋体" w:cs="宋体"/>
          <w:b/>
          <w:color w:val="auto"/>
          <w:spacing w:val="20"/>
          <w:sz w:val="28"/>
          <w:szCs w:val="32"/>
          <w:highlight w:val="none"/>
        </w:rPr>
      </w:pPr>
      <w:r>
        <w:rPr>
          <w:rFonts w:hint="eastAsia" w:ascii="宋体" w:hAnsi="宋体" w:cs="宋体"/>
          <w:b/>
          <w:color w:val="auto"/>
          <w:spacing w:val="20"/>
          <w:sz w:val="28"/>
          <w:szCs w:val="32"/>
          <w:highlight w:val="none"/>
          <w:lang w:bidi="ar"/>
        </w:rPr>
        <w:t>法定代表人授权书</w:t>
      </w:r>
    </w:p>
    <w:p>
      <w:pPr>
        <w:ind w:firstLine="480"/>
        <w:jc w:val="center"/>
        <w:rPr>
          <w:rFonts w:ascii="宋体" w:hAnsi="宋体" w:cs="宋体"/>
          <w:b/>
          <w:color w:val="auto"/>
          <w:sz w:val="32"/>
          <w:szCs w:val="32"/>
          <w:highlight w:val="none"/>
        </w:rPr>
      </w:pPr>
      <w:r>
        <w:rPr>
          <w:rFonts w:hint="eastAsia" w:ascii="宋体" w:hAnsi="宋体" w:cs="宋体"/>
          <w:bCs/>
          <w:color w:val="auto"/>
          <w:sz w:val="24"/>
          <w:highlight w:val="none"/>
          <w:lang w:bidi="ar"/>
        </w:rPr>
        <w:t>（法定代表人来投标的，此表不用）</w:t>
      </w:r>
    </w:p>
    <w:p>
      <w:pPr>
        <w:ind w:firstLine="642"/>
        <w:jc w:val="center"/>
        <w:rPr>
          <w:rFonts w:ascii="宋体" w:hAnsi="宋体" w:cs="宋体"/>
          <w:b/>
          <w:color w:val="auto"/>
          <w:spacing w:val="20"/>
          <w:sz w:val="28"/>
          <w:szCs w:val="32"/>
          <w:highlight w:val="none"/>
        </w:rPr>
      </w:pPr>
    </w:p>
    <w:p>
      <w:pPr>
        <w:ind w:left="540" w:leftChars="257" w:firstLine="1709" w:firstLineChars="608"/>
        <w:rPr>
          <w:rFonts w:ascii="宋体" w:hAnsi="宋体" w:cs="宋体"/>
          <w:b/>
          <w:color w:val="auto"/>
          <w:sz w:val="28"/>
          <w:szCs w:val="36"/>
          <w:highlight w:val="none"/>
        </w:rPr>
      </w:pPr>
    </w:p>
    <w:p>
      <w:pPr>
        <w:ind w:firstLine="420"/>
        <w:rPr>
          <w:rFonts w:ascii="宋体" w:hAnsi="宋体" w:cs="宋体"/>
          <w:color w:val="auto"/>
          <w:szCs w:val="21"/>
          <w:highlight w:val="none"/>
        </w:rPr>
      </w:pPr>
      <w:r>
        <w:rPr>
          <w:rFonts w:hint="eastAsia" w:ascii="宋体" w:hAnsi="宋体" w:cs="宋体"/>
          <w:color w:val="auto"/>
          <w:szCs w:val="21"/>
          <w:highlight w:val="none"/>
          <w:lang w:bidi="ar"/>
        </w:rPr>
        <w:t>致：（招标方）</w:t>
      </w:r>
    </w:p>
    <w:p>
      <w:pPr>
        <w:ind w:firstLine="420"/>
        <w:rPr>
          <w:rFonts w:ascii="宋体" w:hAnsi="宋体" w:cs="宋体"/>
          <w:color w:val="auto"/>
          <w:szCs w:val="21"/>
          <w:highlight w:val="none"/>
        </w:rPr>
      </w:pPr>
      <w:r>
        <w:rPr>
          <w:rFonts w:hint="eastAsia" w:ascii="宋体" w:hAnsi="宋体" w:cs="宋体"/>
          <w:color w:val="auto"/>
          <w:szCs w:val="21"/>
          <w:highlight w:val="none"/>
          <w:lang w:bidi="ar"/>
        </w:rPr>
        <w:t xml:space="preserve">     </w:t>
      </w:r>
      <w:r>
        <w:rPr>
          <w:rFonts w:hint="eastAsia" w:ascii="宋体" w:hAnsi="宋体" w:cs="宋体"/>
          <w:color w:val="auto"/>
          <w:szCs w:val="21"/>
          <w:highlight w:val="none"/>
          <w:u w:val="single"/>
          <w:lang w:bidi="ar"/>
        </w:rPr>
        <w:t xml:space="preserve">  （投标供应商全称）</w:t>
      </w:r>
      <w:r>
        <w:rPr>
          <w:rFonts w:hint="eastAsia" w:ascii="宋体" w:hAnsi="宋体" w:cs="宋体"/>
          <w:color w:val="auto"/>
          <w:szCs w:val="21"/>
          <w:highlight w:val="none"/>
          <w:lang w:bidi="ar"/>
        </w:rPr>
        <w:t>法定代表人</w:t>
      </w:r>
      <w:r>
        <w:rPr>
          <w:rFonts w:hint="eastAsia" w:ascii="宋体" w:hAnsi="宋体" w:cs="宋体"/>
          <w:color w:val="auto"/>
          <w:szCs w:val="21"/>
          <w:highlight w:val="none"/>
          <w:u w:val="single"/>
          <w:lang w:bidi="ar"/>
        </w:rPr>
        <w:t>（法定代表人姓名）</w:t>
      </w:r>
      <w:r>
        <w:rPr>
          <w:rFonts w:hint="eastAsia" w:ascii="宋体" w:hAnsi="宋体" w:cs="宋体"/>
          <w:color w:val="auto"/>
          <w:szCs w:val="21"/>
          <w:highlight w:val="none"/>
          <w:lang w:bidi="ar"/>
        </w:rPr>
        <w:t>授权</w:t>
      </w:r>
      <w:r>
        <w:rPr>
          <w:rFonts w:hint="eastAsia" w:ascii="宋体" w:hAnsi="宋体" w:cs="宋体"/>
          <w:color w:val="auto"/>
          <w:szCs w:val="21"/>
          <w:highlight w:val="none"/>
          <w:u w:val="single"/>
          <w:lang w:bidi="ar"/>
        </w:rPr>
        <w:t xml:space="preserve"> （授权代表姓名）</w:t>
      </w:r>
      <w:r>
        <w:rPr>
          <w:rFonts w:hint="eastAsia" w:ascii="宋体" w:hAnsi="宋体" w:cs="宋体"/>
          <w:color w:val="auto"/>
          <w:szCs w:val="21"/>
          <w:highlight w:val="none"/>
          <w:lang w:bidi="ar"/>
        </w:rPr>
        <w:t>为授权代表，参加</w:t>
      </w:r>
      <w:r>
        <w:rPr>
          <w:rFonts w:hint="eastAsia" w:ascii="宋体" w:hAnsi="宋体" w:cs="宋体"/>
          <w:color w:val="auto"/>
          <w:szCs w:val="21"/>
          <w:highlight w:val="none"/>
          <w:u w:val="single"/>
          <w:lang w:bidi="ar"/>
        </w:rPr>
        <w:t xml:space="preserve">  （招标方）  </w:t>
      </w:r>
      <w:r>
        <w:rPr>
          <w:rFonts w:hint="eastAsia" w:ascii="宋体" w:hAnsi="宋体" w:cs="宋体"/>
          <w:color w:val="auto"/>
          <w:szCs w:val="21"/>
          <w:highlight w:val="none"/>
          <w:lang w:bidi="ar"/>
        </w:rPr>
        <w:t>组织的</w:t>
      </w:r>
      <w:r>
        <w:rPr>
          <w:rFonts w:hint="eastAsia" w:ascii="宋体" w:hAnsi="宋体" w:cs="宋体"/>
          <w:color w:val="auto"/>
          <w:szCs w:val="21"/>
          <w:highlight w:val="none"/>
          <w:u w:val="single"/>
          <w:lang w:bidi="ar"/>
        </w:rPr>
        <w:t xml:space="preserve">             </w:t>
      </w:r>
      <w:r>
        <w:rPr>
          <w:rFonts w:hint="eastAsia" w:ascii="宋体" w:hAnsi="宋体" w:cs="宋体"/>
          <w:color w:val="auto"/>
          <w:szCs w:val="21"/>
          <w:highlight w:val="none"/>
          <w:lang w:bidi="ar"/>
        </w:rPr>
        <w:t>项目政府采购，项目编号为</w:t>
      </w:r>
      <w:r>
        <w:rPr>
          <w:rFonts w:hint="eastAsia" w:ascii="宋体" w:hAnsi="宋体" w:cs="宋体"/>
          <w:color w:val="auto"/>
          <w:szCs w:val="21"/>
          <w:highlight w:val="none"/>
          <w:u w:val="single"/>
          <w:lang w:bidi="ar"/>
        </w:rPr>
        <w:t xml:space="preserve">               </w:t>
      </w:r>
      <w:r>
        <w:rPr>
          <w:rFonts w:hint="eastAsia" w:ascii="宋体" w:hAnsi="宋体" w:cs="宋体"/>
          <w:color w:val="auto"/>
          <w:szCs w:val="21"/>
          <w:highlight w:val="none"/>
          <w:lang w:bidi="ar"/>
        </w:rPr>
        <w:t>，其在招投标活动中的一切活动本公司均予承认。</w:t>
      </w:r>
    </w:p>
    <w:p>
      <w:pPr>
        <w:ind w:firstLine="420"/>
        <w:rPr>
          <w:rFonts w:ascii="宋体" w:hAnsi="宋体" w:cs="宋体"/>
          <w:color w:val="auto"/>
          <w:szCs w:val="21"/>
          <w:highlight w:val="none"/>
        </w:rPr>
      </w:pPr>
    </w:p>
    <w:p>
      <w:pPr>
        <w:ind w:firstLine="3360" w:firstLineChars="1600"/>
        <w:rPr>
          <w:rFonts w:ascii="宋体" w:hAnsi="宋体" w:cs="宋体"/>
          <w:color w:val="auto"/>
          <w:szCs w:val="21"/>
          <w:highlight w:val="none"/>
        </w:rPr>
      </w:pPr>
      <w:r>
        <w:rPr>
          <w:rFonts w:hint="eastAsia" w:ascii="宋体" w:hAnsi="宋体" w:cs="宋体"/>
          <w:color w:val="auto"/>
          <w:szCs w:val="21"/>
          <w:highlight w:val="none"/>
          <w:lang w:bidi="ar"/>
        </w:rPr>
        <w:t>投标供应商盖章：</w:t>
      </w:r>
      <w:r>
        <w:rPr>
          <w:rFonts w:hint="eastAsia" w:ascii="宋体" w:hAnsi="宋体" w:cs="宋体"/>
          <w:color w:val="auto"/>
          <w:szCs w:val="21"/>
          <w:highlight w:val="none"/>
          <w:u w:val="single"/>
          <w:lang w:bidi="ar"/>
        </w:rPr>
        <w:t xml:space="preserve">   （公章）　</w:t>
      </w:r>
    </w:p>
    <w:p>
      <w:pPr>
        <w:snapToGrid w:val="0"/>
        <w:ind w:firstLine="3360" w:firstLineChars="1600"/>
        <w:rPr>
          <w:rFonts w:ascii="宋体" w:hAnsi="宋体" w:cs="宋体"/>
          <w:color w:val="auto"/>
          <w:szCs w:val="21"/>
          <w:highlight w:val="none"/>
        </w:rPr>
      </w:pPr>
      <w:r>
        <w:rPr>
          <w:rFonts w:hint="eastAsia" w:ascii="宋体" w:hAnsi="宋体" w:cs="宋体"/>
          <w:color w:val="auto"/>
          <w:szCs w:val="21"/>
          <w:highlight w:val="none"/>
          <w:lang w:bidi="ar"/>
        </w:rPr>
        <w:t>法定代表人签字：</w:t>
      </w:r>
      <w:r>
        <w:rPr>
          <w:rFonts w:hint="eastAsia" w:ascii="宋体" w:hAnsi="宋体" w:cs="宋体"/>
          <w:color w:val="auto"/>
          <w:szCs w:val="21"/>
          <w:highlight w:val="none"/>
          <w:u w:val="single"/>
          <w:lang w:bidi="ar"/>
        </w:rPr>
        <w:t xml:space="preserve">             </w:t>
      </w:r>
    </w:p>
    <w:p>
      <w:pPr>
        <w:snapToGrid w:val="0"/>
        <w:ind w:firstLine="3885" w:firstLineChars="1850"/>
        <w:rPr>
          <w:rFonts w:ascii="宋体" w:hAnsi="宋体" w:cs="宋体"/>
          <w:color w:val="auto"/>
          <w:szCs w:val="21"/>
          <w:highlight w:val="none"/>
        </w:rPr>
      </w:pPr>
      <w:r>
        <w:rPr>
          <w:rFonts w:hint="eastAsia" w:ascii="宋体" w:hAnsi="宋体" w:cs="宋体"/>
          <w:color w:val="auto"/>
          <w:szCs w:val="21"/>
          <w:highlight w:val="none"/>
          <w:u w:val="single"/>
          <w:lang w:bidi="ar"/>
        </w:rPr>
        <w:t xml:space="preserve">          </w:t>
      </w:r>
      <w:r>
        <w:rPr>
          <w:rFonts w:hint="eastAsia" w:ascii="宋体" w:hAnsi="宋体" w:cs="宋体"/>
          <w:color w:val="auto"/>
          <w:szCs w:val="21"/>
          <w:highlight w:val="none"/>
          <w:lang w:bidi="ar"/>
        </w:rPr>
        <w:t>年</w:t>
      </w:r>
      <w:r>
        <w:rPr>
          <w:rFonts w:hint="eastAsia" w:ascii="宋体" w:hAnsi="宋体" w:cs="宋体"/>
          <w:color w:val="auto"/>
          <w:szCs w:val="21"/>
          <w:highlight w:val="none"/>
          <w:u w:val="single"/>
          <w:lang w:bidi="ar"/>
        </w:rPr>
        <w:t xml:space="preserve">     </w:t>
      </w:r>
      <w:r>
        <w:rPr>
          <w:rFonts w:hint="eastAsia" w:ascii="宋体" w:hAnsi="宋体" w:cs="宋体"/>
          <w:color w:val="auto"/>
          <w:szCs w:val="21"/>
          <w:highlight w:val="none"/>
          <w:lang w:bidi="ar"/>
        </w:rPr>
        <w:t>月</w:t>
      </w:r>
      <w:r>
        <w:rPr>
          <w:rFonts w:hint="eastAsia" w:ascii="宋体" w:hAnsi="宋体" w:cs="宋体"/>
          <w:color w:val="auto"/>
          <w:szCs w:val="21"/>
          <w:highlight w:val="none"/>
          <w:u w:val="single"/>
          <w:lang w:bidi="ar"/>
        </w:rPr>
        <w:t xml:space="preserve">    </w:t>
      </w:r>
      <w:r>
        <w:rPr>
          <w:rFonts w:hint="eastAsia" w:ascii="宋体" w:hAnsi="宋体" w:cs="宋体"/>
          <w:color w:val="auto"/>
          <w:szCs w:val="21"/>
          <w:highlight w:val="none"/>
          <w:lang w:bidi="ar"/>
        </w:rPr>
        <w:t>日</w:t>
      </w:r>
    </w:p>
    <w:p>
      <w:pPr>
        <w:ind w:firstLine="420"/>
        <w:rPr>
          <w:rFonts w:ascii="宋体" w:hAnsi="宋体" w:cs="宋体"/>
          <w:color w:val="auto"/>
          <w:szCs w:val="21"/>
          <w:highlight w:val="none"/>
        </w:rPr>
      </w:pPr>
    </w:p>
    <w:p>
      <w:pPr>
        <w:ind w:firstLine="480"/>
        <w:rPr>
          <w:rFonts w:ascii="宋体" w:hAnsi="宋体" w:cs="宋体"/>
          <w:color w:val="auto"/>
          <w:sz w:val="24"/>
          <w:highlight w:val="none"/>
        </w:rPr>
      </w:pPr>
    </w:p>
    <w:p>
      <w:pPr>
        <w:ind w:firstLine="420"/>
        <w:rPr>
          <w:rFonts w:ascii="宋体" w:hAnsi="宋体" w:cs="宋体"/>
          <w:color w:val="auto"/>
          <w:szCs w:val="21"/>
          <w:highlight w:val="none"/>
        </w:rPr>
      </w:pPr>
      <w:r>
        <w:rPr>
          <w:rFonts w:hint="eastAsia" w:ascii="宋体" w:hAnsi="宋体" w:cs="宋体"/>
          <w:color w:val="auto"/>
          <w:szCs w:val="21"/>
          <w:highlight w:val="none"/>
          <w:lang w:bidi="ar"/>
        </w:rPr>
        <w:t>附：</w:t>
      </w:r>
    </w:p>
    <w:p>
      <w:pPr>
        <w:ind w:firstLine="420"/>
        <w:rPr>
          <w:rFonts w:ascii="宋体" w:hAnsi="宋体" w:cs="宋体"/>
          <w:color w:val="auto"/>
          <w:szCs w:val="21"/>
          <w:highlight w:val="none"/>
          <w:u w:val="single"/>
        </w:rPr>
      </w:pPr>
      <w:r>
        <w:rPr>
          <w:rFonts w:hint="eastAsia" w:ascii="宋体" w:hAnsi="宋体" w:cs="宋体"/>
          <w:color w:val="auto"/>
          <w:szCs w:val="21"/>
          <w:highlight w:val="none"/>
          <w:lang w:bidi="ar"/>
        </w:rPr>
        <w:t>授权代表姓名：</w:t>
      </w:r>
      <w:r>
        <w:rPr>
          <w:rFonts w:hint="eastAsia" w:ascii="宋体" w:hAnsi="宋体" w:cs="宋体"/>
          <w:color w:val="auto"/>
          <w:szCs w:val="21"/>
          <w:highlight w:val="none"/>
          <w:u w:val="single"/>
          <w:lang w:bidi="ar"/>
        </w:rPr>
        <w:t xml:space="preserve">                 </w:t>
      </w:r>
    </w:p>
    <w:p>
      <w:pPr>
        <w:ind w:firstLine="420"/>
        <w:rPr>
          <w:rFonts w:ascii="宋体" w:hAnsi="宋体" w:cs="宋体"/>
          <w:color w:val="auto"/>
          <w:szCs w:val="21"/>
          <w:highlight w:val="none"/>
          <w:u w:val="single"/>
        </w:rPr>
      </w:pPr>
      <w:r>
        <w:rPr>
          <w:rFonts w:hint="eastAsia" w:ascii="宋体" w:hAnsi="宋体" w:cs="宋体"/>
          <w:color w:val="auto"/>
          <w:szCs w:val="21"/>
          <w:highlight w:val="none"/>
          <w:lang w:bidi="ar"/>
        </w:rPr>
        <w:t>授权代表身份证号码：</w:t>
      </w:r>
      <w:r>
        <w:rPr>
          <w:rFonts w:hint="eastAsia" w:ascii="宋体" w:hAnsi="宋体" w:cs="宋体"/>
          <w:color w:val="auto"/>
          <w:szCs w:val="21"/>
          <w:highlight w:val="none"/>
          <w:u w:val="single"/>
          <w:lang w:bidi="ar"/>
        </w:rPr>
        <w:t xml:space="preserve">           </w:t>
      </w:r>
    </w:p>
    <w:p>
      <w:pPr>
        <w:ind w:firstLine="420"/>
        <w:rPr>
          <w:rFonts w:ascii="宋体" w:hAnsi="宋体" w:cs="宋体"/>
          <w:color w:val="auto"/>
          <w:szCs w:val="21"/>
          <w:highlight w:val="none"/>
          <w:u w:val="single"/>
        </w:rPr>
      </w:pPr>
      <w:r>
        <w:rPr>
          <w:rFonts w:hint="eastAsia" w:ascii="宋体" w:hAnsi="宋体" w:cs="宋体"/>
          <w:color w:val="auto"/>
          <w:szCs w:val="21"/>
          <w:highlight w:val="none"/>
          <w:lang w:bidi="ar"/>
        </w:rPr>
        <w:t>职务：</w:t>
      </w:r>
      <w:r>
        <w:rPr>
          <w:rFonts w:hint="eastAsia" w:ascii="宋体" w:hAnsi="宋体" w:cs="宋体"/>
          <w:color w:val="auto"/>
          <w:szCs w:val="21"/>
          <w:highlight w:val="none"/>
          <w:u w:val="single"/>
          <w:lang w:bidi="ar"/>
        </w:rPr>
        <w:t xml:space="preserve">               　</w:t>
      </w:r>
    </w:p>
    <w:p>
      <w:pPr>
        <w:ind w:firstLine="420"/>
        <w:rPr>
          <w:rFonts w:ascii="宋体" w:hAnsi="宋体" w:cs="宋体"/>
          <w:color w:val="auto"/>
          <w:szCs w:val="21"/>
          <w:highlight w:val="none"/>
          <w:u w:val="single"/>
        </w:rPr>
      </w:pPr>
      <w:r>
        <w:rPr>
          <w:rFonts w:hint="eastAsia" w:ascii="宋体" w:hAnsi="宋体" w:cs="宋体"/>
          <w:color w:val="auto"/>
          <w:szCs w:val="21"/>
          <w:highlight w:val="none"/>
          <w:lang w:bidi="ar"/>
        </w:rPr>
        <w:t>详细通讯地址：</w:t>
      </w:r>
      <w:r>
        <w:rPr>
          <w:rFonts w:hint="eastAsia" w:ascii="宋体" w:hAnsi="宋体" w:cs="宋体"/>
          <w:color w:val="auto"/>
          <w:szCs w:val="21"/>
          <w:highlight w:val="none"/>
          <w:u w:val="single"/>
          <w:lang w:bidi="ar"/>
        </w:rPr>
        <w:t xml:space="preserve">                                  </w:t>
      </w:r>
    </w:p>
    <w:p>
      <w:pPr>
        <w:ind w:firstLine="420"/>
        <w:rPr>
          <w:rFonts w:ascii="宋体" w:hAnsi="宋体" w:cs="宋体"/>
          <w:color w:val="auto"/>
          <w:szCs w:val="21"/>
          <w:highlight w:val="none"/>
          <w:u w:val="single"/>
        </w:rPr>
      </w:pPr>
      <w:r>
        <w:rPr>
          <w:rFonts w:hint="eastAsia" w:ascii="宋体" w:hAnsi="宋体" w:cs="宋体"/>
          <w:color w:val="auto"/>
          <w:szCs w:val="21"/>
          <w:highlight w:val="none"/>
          <w:lang w:bidi="ar"/>
        </w:rPr>
        <w:t>传真：</w:t>
      </w:r>
      <w:r>
        <w:rPr>
          <w:rFonts w:hint="eastAsia" w:ascii="宋体" w:hAnsi="宋体" w:cs="宋体"/>
          <w:color w:val="auto"/>
          <w:szCs w:val="21"/>
          <w:highlight w:val="none"/>
          <w:u w:val="single"/>
          <w:lang w:bidi="ar"/>
        </w:rPr>
        <w:t xml:space="preserve">         </w:t>
      </w:r>
      <w:r>
        <w:rPr>
          <w:rFonts w:hint="eastAsia" w:ascii="宋体" w:hAnsi="宋体" w:cs="宋体"/>
          <w:color w:val="auto"/>
          <w:szCs w:val="21"/>
          <w:highlight w:val="none"/>
          <w:lang w:bidi="ar"/>
        </w:rPr>
        <w:t xml:space="preserve"> 电话：</w:t>
      </w:r>
      <w:r>
        <w:rPr>
          <w:rFonts w:hint="eastAsia" w:ascii="宋体" w:hAnsi="宋体" w:cs="宋体"/>
          <w:color w:val="auto"/>
          <w:szCs w:val="21"/>
          <w:highlight w:val="none"/>
          <w:u w:val="single"/>
          <w:lang w:bidi="ar"/>
        </w:rPr>
        <w:t xml:space="preserve">         </w:t>
      </w:r>
      <w:r>
        <w:rPr>
          <w:rFonts w:hint="eastAsia" w:ascii="宋体" w:hAnsi="宋体" w:cs="宋体"/>
          <w:color w:val="auto"/>
          <w:szCs w:val="21"/>
          <w:highlight w:val="none"/>
          <w:lang w:bidi="ar"/>
        </w:rPr>
        <w:t xml:space="preserve"> 邮编：</w:t>
      </w:r>
      <w:r>
        <w:rPr>
          <w:rFonts w:hint="eastAsia" w:ascii="宋体" w:hAnsi="宋体" w:cs="宋体"/>
          <w:color w:val="auto"/>
          <w:szCs w:val="21"/>
          <w:highlight w:val="none"/>
          <w:u w:val="single"/>
          <w:lang w:bidi="ar"/>
        </w:rPr>
        <w:t xml:space="preserve">        </w:t>
      </w:r>
      <w:r>
        <w:rPr>
          <w:rFonts w:hint="eastAsia" w:ascii="宋体" w:hAnsi="宋体" w:cs="宋体"/>
          <w:color w:val="auto"/>
          <w:szCs w:val="21"/>
          <w:highlight w:val="none"/>
          <w:u w:val="single"/>
        </w:rPr>
        <w:t xml:space="preserve"> </w:t>
      </w:r>
    </w:p>
    <w:p>
      <w:pPr>
        <w:ind w:firstLine="562"/>
        <w:jc w:val="left"/>
        <w:rPr>
          <w:rStyle w:val="99"/>
          <w:rFonts w:ascii="宋体" w:hAnsi="宋体" w:cs="宋体"/>
          <w:color w:val="auto"/>
          <w:sz w:val="28"/>
          <w:szCs w:val="30"/>
          <w:highlight w:val="none"/>
        </w:rPr>
      </w:pPr>
    </w:p>
    <w:p>
      <w:pPr>
        <w:ind w:firstLine="422"/>
        <w:rPr>
          <w:rFonts w:ascii="宋体" w:hAnsi="宋体" w:cs="宋体"/>
          <w:color w:val="auto"/>
          <w:highlight w:val="none"/>
        </w:rPr>
      </w:pPr>
      <w:r>
        <w:rPr>
          <w:rFonts w:hint="eastAsia" w:ascii="宋体" w:hAnsi="宋体" w:cs="宋体"/>
          <w:b/>
          <w:bCs/>
          <w:color w:val="auto"/>
          <w:highlight w:val="none"/>
        </w:rPr>
        <w:t>附被授权代表身份证复印件（正反面）及被授权</w:t>
      </w:r>
      <w:r>
        <w:rPr>
          <w:rFonts w:hint="eastAsia" w:ascii="宋体" w:hAnsi="宋体" w:cs="宋体"/>
          <w:b/>
          <w:bCs/>
          <w:color w:val="auto"/>
          <w:szCs w:val="22"/>
          <w:highlight w:val="none"/>
        </w:rPr>
        <w:t>代表在开标前三个月内任一个月的养老</w:t>
      </w:r>
      <w:r>
        <w:rPr>
          <w:rFonts w:hint="eastAsia" w:ascii="宋体" w:hAnsi="宋体" w:cs="宋体"/>
          <w:b/>
          <w:bCs/>
          <w:color w:val="auto"/>
          <w:highlight w:val="none"/>
        </w:rPr>
        <w:t>保险缴纳证明资料</w:t>
      </w:r>
    </w:p>
    <w:p>
      <w:pPr>
        <w:ind w:firstLine="562"/>
        <w:jc w:val="left"/>
        <w:rPr>
          <w:rStyle w:val="99"/>
          <w:rFonts w:ascii="宋体" w:hAnsi="宋体" w:cs="宋体"/>
          <w:color w:val="auto"/>
          <w:sz w:val="28"/>
          <w:szCs w:val="30"/>
          <w:highlight w:val="none"/>
        </w:rPr>
      </w:pPr>
    </w:p>
    <w:p>
      <w:pPr>
        <w:ind w:firstLine="420"/>
        <w:rPr>
          <w:rFonts w:ascii="宋体" w:hAnsi="宋体" w:cs="宋体"/>
          <w:b/>
          <w:color w:val="auto"/>
          <w:szCs w:val="21"/>
          <w:highlight w:val="none"/>
        </w:rPr>
      </w:pPr>
      <w:r>
        <w:rPr>
          <w:rFonts w:hint="eastAsia" w:ascii="宋体" w:hAnsi="宋体" w:cs="宋体"/>
          <w:color w:val="auto"/>
          <w:szCs w:val="21"/>
          <w:highlight w:val="none"/>
        </w:rPr>
        <w:br w:type="page"/>
      </w:r>
      <w:r>
        <w:rPr>
          <w:rFonts w:hint="eastAsia" w:ascii="宋体" w:hAnsi="宋体" w:cs="宋体"/>
          <w:b/>
          <w:color w:val="auto"/>
          <w:szCs w:val="21"/>
          <w:highlight w:val="none"/>
        </w:rPr>
        <w:t>13、投标人基本情况表</w:t>
      </w:r>
    </w:p>
    <w:p>
      <w:pPr>
        <w:ind w:firstLine="422"/>
        <w:rPr>
          <w:rFonts w:ascii="宋体" w:hAnsi="宋体" w:cs="宋体"/>
          <w:b/>
          <w:color w:val="auto"/>
          <w:szCs w:val="21"/>
          <w:highlight w:val="none"/>
        </w:rPr>
      </w:pPr>
    </w:p>
    <w:p>
      <w:pPr>
        <w:ind w:firstLine="482"/>
        <w:jc w:val="center"/>
        <w:rPr>
          <w:rFonts w:ascii="宋体" w:hAnsi="宋体" w:cs="宋体"/>
          <w:b/>
          <w:color w:val="auto"/>
          <w:sz w:val="24"/>
          <w:highlight w:val="none"/>
        </w:rPr>
      </w:pPr>
      <w:r>
        <w:rPr>
          <w:rFonts w:hint="eastAsia" w:ascii="宋体" w:hAnsi="宋体" w:cs="宋体"/>
          <w:b/>
          <w:color w:val="auto"/>
          <w:sz w:val="24"/>
          <w:highlight w:val="none"/>
        </w:rPr>
        <w:t>投标人基本情况表</w:t>
      </w:r>
    </w:p>
    <w:p>
      <w:pPr>
        <w:ind w:firstLine="482"/>
        <w:jc w:val="center"/>
        <w:rPr>
          <w:rFonts w:ascii="宋体" w:hAnsi="宋体" w:cs="宋体"/>
          <w:b/>
          <w:color w:val="auto"/>
          <w:sz w:val="24"/>
          <w:highlight w:val="none"/>
        </w:rPr>
      </w:pPr>
    </w:p>
    <w:tbl>
      <w:tblPr>
        <w:tblStyle w:val="37"/>
        <w:tblW w:w="8959"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1"/>
        <w:gridCol w:w="974"/>
        <w:gridCol w:w="309"/>
        <w:gridCol w:w="1352"/>
        <w:gridCol w:w="1012"/>
        <w:gridCol w:w="349"/>
        <w:gridCol w:w="1074"/>
        <w:gridCol w:w="179"/>
        <w:gridCol w:w="352"/>
        <w:gridCol w:w="285"/>
        <w:gridCol w:w="1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1" w:type="dxa"/>
            <w:vAlign w:val="center"/>
          </w:tcPr>
          <w:p>
            <w:pPr>
              <w:ind w:firstLine="420"/>
              <w:jc w:val="center"/>
              <w:rPr>
                <w:rFonts w:ascii="宋体" w:hAnsi="宋体" w:cs="宋体"/>
                <w:color w:val="auto"/>
                <w:szCs w:val="21"/>
                <w:highlight w:val="none"/>
              </w:rPr>
            </w:pPr>
            <w:r>
              <w:rPr>
                <w:rFonts w:hint="eastAsia" w:ascii="宋体" w:hAnsi="宋体" w:cs="宋体"/>
                <w:color w:val="auto"/>
                <w:szCs w:val="21"/>
                <w:highlight w:val="none"/>
              </w:rPr>
              <w:t>申请人名称</w:t>
            </w:r>
          </w:p>
        </w:tc>
        <w:tc>
          <w:tcPr>
            <w:tcW w:w="7188" w:type="dxa"/>
            <w:gridSpan w:val="10"/>
            <w:vAlign w:val="center"/>
          </w:tcPr>
          <w:p>
            <w:pPr>
              <w:ind w:firstLine="42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1" w:type="dxa"/>
            <w:vAlign w:val="center"/>
          </w:tcPr>
          <w:p>
            <w:pPr>
              <w:ind w:firstLine="420"/>
              <w:jc w:val="center"/>
              <w:rPr>
                <w:rFonts w:ascii="宋体" w:hAnsi="宋体" w:cs="宋体"/>
                <w:color w:val="auto"/>
                <w:szCs w:val="21"/>
                <w:highlight w:val="none"/>
              </w:rPr>
            </w:pPr>
            <w:r>
              <w:rPr>
                <w:rFonts w:hint="eastAsia" w:ascii="宋体" w:hAnsi="宋体" w:cs="宋体"/>
                <w:color w:val="auto"/>
                <w:szCs w:val="21"/>
                <w:highlight w:val="none"/>
              </w:rPr>
              <w:t>注册地址</w:t>
            </w:r>
          </w:p>
        </w:tc>
        <w:tc>
          <w:tcPr>
            <w:tcW w:w="3647" w:type="dxa"/>
            <w:gridSpan w:val="4"/>
            <w:vAlign w:val="center"/>
          </w:tcPr>
          <w:p>
            <w:pPr>
              <w:ind w:firstLine="420"/>
              <w:jc w:val="center"/>
              <w:rPr>
                <w:rFonts w:ascii="宋体" w:hAnsi="宋体" w:cs="宋体"/>
                <w:color w:val="auto"/>
                <w:szCs w:val="21"/>
                <w:highlight w:val="none"/>
              </w:rPr>
            </w:pPr>
          </w:p>
        </w:tc>
        <w:tc>
          <w:tcPr>
            <w:tcW w:w="1602" w:type="dxa"/>
            <w:gridSpan w:val="3"/>
            <w:vAlign w:val="center"/>
          </w:tcPr>
          <w:p>
            <w:pPr>
              <w:ind w:firstLine="420"/>
              <w:jc w:val="center"/>
              <w:rPr>
                <w:rFonts w:ascii="宋体" w:hAnsi="宋体" w:cs="宋体"/>
                <w:color w:val="auto"/>
                <w:szCs w:val="21"/>
                <w:highlight w:val="none"/>
              </w:rPr>
            </w:pPr>
            <w:r>
              <w:rPr>
                <w:rFonts w:hint="eastAsia" w:ascii="宋体" w:hAnsi="宋体" w:cs="宋体"/>
                <w:color w:val="auto"/>
                <w:szCs w:val="21"/>
                <w:highlight w:val="none"/>
              </w:rPr>
              <w:t>邮政编码</w:t>
            </w:r>
          </w:p>
        </w:tc>
        <w:tc>
          <w:tcPr>
            <w:tcW w:w="1939" w:type="dxa"/>
            <w:gridSpan w:val="3"/>
            <w:vAlign w:val="center"/>
          </w:tcPr>
          <w:p>
            <w:pPr>
              <w:ind w:firstLine="42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1" w:type="dxa"/>
            <w:vMerge w:val="restart"/>
            <w:vAlign w:val="center"/>
          </w:tcPr>
          <w:p>
            <w:pPr>
              <w:ind w:firstLine="420"/>
              <w:jc w:val="center"/>
              <w:rPr>
                <w:rFonts w:ascii="宋体" w:hAnsi="宋体" w:cs="宋体"/>
                <w:color w:val="auto"/>
                <w:szCs w:val="21"/>
                <w:highlight w:val="none"/>
              </w:rPr>
            </w:pPr>
            <w:r>
              <w:rPr>
                <w:rFonts w:hint="eastAsia" w:ascii="宋体" w:hAnsi="宋体" w:cs="宋体"/>
                <w:color w:val="auto"/>
                <w:szCs w:val="21"/>
                <w:highlight w:val="none"/>
              </w:rPr>
              <w:t>联系方式</w:t>
            </w:r>
          </w:p>
        </w:tc>
        <w:tc>
          <w:tcPr>
            <w:tcW w:w="1283" w:type="dxa"/>
            <w:gridSpan w:val="2"/>
            <w:vAlign w:val="center"/>
          </w:tcPr>
          <w:p>
            <w:pPr>
              <w:ind w:firstLine="420"/>
              <w:jc w:val="center"/>
              <w:rPr>
                <w:rFonts w:ascii="宋体" w:hAnsi="宋体" w:cs="宋体"/>
                <w:color w:val="auto"/>
                <w:szCs w:val="21"/>
                <w:highlight w:val="none"/>
              </w:rPr>
            </w:pPr>
            <w:r>
              <w:rPr>
                <w:rFonts w:hint="eastAsia" w:ascii="宋体" w:hAnsi="宋体" w:cs="宋体"/>
                <w:color w:val="auto"/>
                <w:szCs w:val="21"/>
                <w:highlight w:val="none"/>
              </w:rPr>
              <w:t>联系人</w:t>
            </w:r>
          </w:p>
        </w:tc>
        <w:tc>
          <w:tcPr>
            <w:tcW w:w="2364" w:type="dxa"/>
            <w:gridSpan w:val="2"/>
            <w:vAlign w:val="center"/>
          </w:tcPr>
          <w:p>
            <w:pPr>
              <w:ind w:firstLine="420"/>
              <w:jc w:val="center"/>
              <w:rPr>
                <w:rFonts w:ascii="宋体" w:hAnsi="宋体" w:cs="宋体"/>
                <w:color w:val="auto"/>
                <w:szCs w:val="21"/>
                <w:highlight w:val="none"/>
              </w:rPr>
            </w:pPr>
          </w:p>
        </w:tc>
        <w:tc>
          <w:tcPr>
            <w:tcW w:w="1602" w:type="dxa"/>
            <w:gridSpan w:val="3"/>
            <w:vAlign w:val="center"/>
          </w:tcPr>
          <w:p>
            <w:pPr>
              <w:ind w:firstLine="420"/>
              <w:jc w:val="center"/>
              <w:rPr>
                <w:rFonts w:ascii="宋体" w:hAnsi="宋体" w:cs="宋体"/>
                <w:color w:val="auto"/>
                <w:szCs w:val="21"/>
                <w:highlight w:val="none"/>
              </w:rPr>
            </w:pPr>
            <w:r>
              <w:rPr>
                <w:rFonts w:hint="eastAsia" w:ascii="宋体" w:hAnsi="宋体" w:cs="宋体"/>
                <w:color w:val="auto"/>
                <w:szCs w:val="21"/>
                <w:highlight w:val="none"/>
              </w:rPr>
              <w:t>电话</w:t>
            </w:r>
          </w:p>
        </w:tc>
        <w:tc>
          <w:tcPr>
            <w:tcW w:w="1939" w:type="dxa"/>
            <w:gridSpan w:val="3"/>
            <w:vAlign w:val="center"/>
          </w:tcPr>
          <w:p>
            <w:pPr>
              <w:ind w:firstLine="42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1" w:type="dxa"/>
            <w:vMerge w:val="continue"/>
            <w:vAlign w:val="center"/>
          </w:tcPr>
          <w:p>
            <w:pPr>
              <w:ind w:firstLine="420"/>
              <w:jc w:val="center"/>
              <w:rPr>
                <w:rFonts w:ascii="宋体" w:hAnsi="宋体" w:cs="宋体"/>
                <w:color w:val="auto"/>
                <w:szCs w:val="21"/>
                <w:highlight w:val="none"/>
              </w:rPr>
            </w:pPr>
          </w:p>
        </w:tc>
        <w:tc>
          <w:tcPr>
            <w:tcW w:w="1283" w:type="dxa"/>
            <w:gridSpan w:val="2"/>
            <w:vAlign w:val="center"/>
          </w:tcPr>
          <w:p>
            <w:pPr>
              <w:ind w:firstLine="420"/>
              <w:jc w:val="center"/>
              <w:rPr>
                <w:rFonts w:ascii="宋体" w:hAnsi="宋体" w:cs="宋体"/>
                <w:color w:val="auto"/>
                <w:szCs w:val="21"/>
                <w:highlight w:val="none"/>
              </w:rPr>
            </w:pPr>
            <w:r>
              <w:rPr>
                <w:rFonts w:hint="eastAsia" w:ascii="宋体" w:hAnsi="宋体" w:cs="宋体"/>
                <w:color w:val="auto"/>
                <w:szCs w:val="21"/>
                <w:highlight w:val="none"/>
              </w:rPr>
              <w:t>传真</w:t>
            </w:r>
          </w:p>
        </w:tc>
        <w:tc>
          <w:tcPr>
            <w:tcW w:w="2364" w:type="dxa"/>
            <w:gridSpan w:val="2"/>
            <w:vAlign w:val="center"/>
          </w:tcPr>
          <w:p>
            <w:pPr>
              <w:ind w:firstLine="420"/>
              <w:jc w:val="center"/>
              <w:rPr>
                <w:rFonts w:ascii="宋体" w:hAnsi="宋体" w:cs="宋体"/>
                <w:color w:val="auto"/>
                <w:szCs w:val="21"/>
                <w:highlight w:val="none"/>
              </w:rPr>
            </w:pPr>
          </w:p>
        </w:tc>
        <w:tc>
          <w:tcPr>
            <w:tcW w:w="1602" w:type="dxa"/>
            <w:gridSpan w:val="3"/>
            <w:vAlign w:val="center"/>
          </w:tcPr>
          <w:p>
            <w:pPr>
              <w:ind w:firstLine="420"/>
              <w:jc w:val="center"/>
              <w:rPr>
                <w:rFonts w:ascii="宋体" w:hAnsi="宋体" w:cs="宋体"/>
                <w:color w:val="auto"/>
                <w:szCs w:val="21"/>
                <w:highlight w:val="none"/>
              </w:rPr>
            </w:pPr>
            <w:r>
              <w:rPr>
                <w:rFonts w:hint="eastAsia" w:ascii="宋体" w:hAnsi="宋体" w:cs="宋体"/>
                <w:color w:val="auto"/>
                <w:szCs w:val="21"/>
                <w:highlight w:val="none"/>
              </w:rPr>
              <w:t>网址</w:t>
            </w:r>
          </w:p>
        </w:tc>
        <w:tc>
          <w:tcPr>
            <w:tcW w:w="1939" w:type="dxa"/>
            <w:gridSpan w:val="3"/>
            <w:vAlign w:val="center"/>
          </w:tcPr>
          <w:p>
            <w:pPr>
              <w:ind w:firstLine="42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1" w:type="dxa"/>
            <w:vAlign w:val="center"/>
          </w:tcPr>
          <w:p>
            <w:pPr>
              <w:ind w:firstLine="420"/>
              <w:jc w:val="center"/>
              <w:rPr>
                <w:rFonts w:ascii="宋体" w:hAnsi="宋体" w:cs="宋体"/>
                <w:color w:val="auto"/>
                <w:szCs w:val="21"/>
                <w:highlight w:val="none"/>
              </w:rPr>
            </w:pPr>
            <w:r>
              <w:rPr>
                <w:rFonts w:hint="eastAsia" w:ascii="宋体" w:hAnsi="宋体" w:cs="宋体"/>
                <w:color w:val="auto"/>
                <w:szCs w:val="21"/>
                <w:highlight w:val="none"/>
              </w:rPr>
              <w:t>组织结构</w:t>
            </w:r>
          </w:p>
        </w:tc>
        <w:tc>
          <w:tcPr>
            <w:tcW w:w="7188" w:type="dxa"/>
            <w:gridSpan w:val="10"/>
            <w:vAlign w:val="center"/>
          </w:tcPr>
          <w:p>
            <w:pPr>
              <w:ind w:firstLine="42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1" w:type="dxa"/>
            <w:vAlign w:val="center"/>
          </w:tcPr>
          <w:p>
            <w:pPr>
              <w:ind w:firstLine="420"/>
              <w:jc w:val="center"/>
              <w:rPr>
                <w:rFonts w:ascii="宋体" w:hAnsi="宋体" w:cs="宋体"/>
                <w:color w:val="auto"/>
                <w:szCs w:val="21"/>
                <w:highlight w:val="none"/>
              </w:rPr>
            </w:pPr>
            <w:r>
              <w:rPr>
                <w:rFonts w:hint="eastAsia" w:ascii="宋体" w:hAnsi="宋体" w:cs="宋体"/>
                <w:color w:val="auto"/>
                <w:szCs w:val="21"/>
                <w:highlight w:val="none"/>
              </w:rPr>
              <w:t>法定代表人</w:t>
            </w:r>
          </w:p>
        </w:tc>
        <w:tc>
          <w:tcPr>
            <w:tcW w:w="974"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姓名</w:t>
            </w:r>
          </w:p>
        </w:tc>
        <w:tc>
          <w:tcPr>
            <w:tcW w:w="1661" w:type="dxa"/>
            <w:gridSpan w:val="2"/>
            <w:vAlign w:val="center"/>
          </w:tcPr>
          <w:p>
            <w:pPr>
              <w:ind w:firstLine="420"/>
              <w:jc w:val="center"/>
              <w:rPr>
                <w:rFonts w:ascii="宋体" w:hAnsi="宋体" w:cs="宋体"/>
                <w:color w:val="auto"/>
                <w:szCs w:val="21"/>
                <w:highlight w:val="none"/>
              </w:rPr>
            </w:pPr>
          </w:p>
        </w:tc>
        <w:tc>
          <w:tcPr>
            <w:tcW w:w="1361" w:type="dxa"/>
            <w:gridSpan w:val="2"/>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技术职称</w:t>
            </w:r>
          </w:p>
        </w:tc>
        <w:tc>
          <w:tcPr>
            <w:tcW w:w="1074" w:type="dxa"/>
            <w:vAlign w:val="center"/>
          </w:tcPr>
          <w:p>
            <w:pPr>
              <w:ind w:firstLine="420"/>
              <w:jc w:val="center"/>
              <w:rPr>
                <w:rFonts w:ascii="宋体" w:hAnsi="宋体" w:cs="宋体"/>
                <w:color w:val="auto"/>
                <w:szCs w:val="21"/>
                <w:highlight w:val="none"/>
              </w:rPr>
            </w:pPr>
          </w:p>
        </w:tc>
        <w:tc>
          <w:tcPr>
            <w:tcW w:w="816" w:type="dxa"/>
            <w:gridSpan w:val="3"/>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电话</w:t>
            </w:r>
          </w:p>
        </w:tc>
        <w:tc>
          <w:tcPr>
            <w:tcW w:w="1302" w:type="dxa"/>
            <w:vAlign w:val="center"/>
          </w:tcPr>
          <w:p>
            <w:pPr>
              <w:ind w:firstLine="42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1" w:type="dxa"/>
            <w:vAlign w:val="center"/>
          </w:tcPr>
          <w:p>
            <w:pPr>
              <w:ind w:firstLine="420"/>
              <w:jc w:val="center"/>
              <w:rPr>
                <w:rFonts w:ascii="宋体" w:hAnsi="宋体" w:cs="宋体"/>
                <w:color w:val="auto"/>
                <w:szCs w:val="21"/>
                <w:highlight w:val="none"/>
              </w:rPr>
            </w:pPr>
            <w:r>
              <w:rPr>
                <w:rFonts w:hint="eastAsia" w:ascii="宋体" w:hAnsi="宋体" w:cs="宋体"/>
                <w:color w:val="auto"/>
                <w:szCs w:val="21"/>
                <w:highlight w:val="none"/>
              </w:rPr>
              <w:t>技术负责人</w:t>
            </w:r>
          </w:p>
        </w:tc>
        <w:tc>
          <w:tcPr>
            <w:tcW w:w="974"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姓名</w:t>
            </w:r>
          </w:p>
        </w:tc>
        <w:tc>
          <w:tcPr>
            <w:tcW w:w="1661" w:type="dxa"/>
            <w:gridSpan w:val="2"/>
            <w:vAlign w:val="center"/>
          </w:tcPr>
          <w:p>
            <w:pPr>
              <w:ind w:firstLine="420"/>
              <w:jc w:val="center"/>
              <w:rPr>
                <w:rFonts w:ascii="宋体" w:hAnsi="宋体" w:cs="宋体"/>
                <w:color w:val="auto"/>
                <w:szCs w:val="21"/>
                <w:highlight w:val="none"/>
              </w:rPr>
            </w:pPr>
          </w:p>
        </w:tc>
        <w:tc>
          <w:tcPr>
            <w:tcW w:w="1361" w:type="dxa"/>
            <w:gridSpan w:val="2"/>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技术职称</w:t>
            </w:r>
          </w:p>
        </w:tc>
        <w:tc>
          <w:tcPr>
            <w:tcW w:w="1074" w:type="dxa"/>
            <w:vAlign w:val="center"/>
          </w:tcPr>
          <w:p>
            <w:pPr>
              <w:ind w:firstLine="420"/>
              <w:jc w:val="center"/>
              <w:rPr>
                <w:rFonts w:ascii="宋体" w:hAnsi="宋体" w:cs="宋体"/>
                <w:color w:val="auto"/>
                <w:szCs w:val="21"/>
                <w:highlight w:val="none"/>
              </w:rPr>
            </w:pPr>
          </w:p>
        </w:tc>
        <w:tc>
          <w:tcPr>
            <w:tcW w:w="816" w:type="dxa"/>
            <w:gridSpan w:val="3"/>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电话</w:t>
            </w:r>
          </w:p>
        </w:tc>
        <w:tc>
          <w:tcPr>
            <w:tcW w:w="1302" w:type="dxa"/>
            <w:vAlign w:val="center"/>
          </w:tcPr>
          <w:p>
            <w:pPr>
              <w:ind w:firstLine="42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1" w:type="dxa"/>
            <w:vAlign w:val="center"/>
          </w:tcPr>
          <w:p>
            <w:pPr>
              <w:ind w:firstLine="420"/>
              <w:jc w:val="center"/>
              <w:rPr>
                <w:rFonts w:ascii="宋体" w:hAnsi="宋体" w:cs="宋体"/>
                <w:color w:val="auto"/>
                <w:szCs w:val="21"/>
                <w:highlight w:val="none"/>
              </w:rPr>
            </w:pPr>
            <w:r>
              <w:rPr>
                <w:rFonts w:hint="eastAsia" w:ascii="宋体" w:hAnsi="宋体" w:cs="宋体"/>
                <w:color w:val="auto"/>
                <w:szCs w:val="21"/>
                <w:highlight w:val="none"/>
              </w:rPr>
              <w:t>成立时间</w:t>
            </w:r>
          </w:p>
        </w:tc>
        <w:tc>
          <w:tcPr>
            <w:tcW w:w="2635" w:type="dxa"/>
            <w:gridSpan w:val="3"/>
            <w:vAlign w:val="center"/>
          </w:tcPr>
          <w:p>
            <w:pPr>
              <w:ind w:firstLine="420"/>
              <w:jc w:val="center"/>
              <w:rPr>
                <w:rFonts w:ascii="宋体" w:hAnsi="宋体" w:cs="宋体"/>
                <w:color w:val="auto"/>
                <w:szCs w:val="21"/>
                <w:highlight w:val="none"/>
              </w:rPr>
            </w:pPr>
          </w:p>
        </w:tc>
        <w:tc>
          <w:tcPr>
            <w:tcW w:w="4553" w:type="dxa"/>
            <w:gridSpan w:val="7"/>
            <w:vAlign w:val="center"/>
          </w:tcPr>
          <w:p>
            <w:pPr>
              <w:ind w:firstLine="420"/>
              <w:jc w:val="center"/>
              <w:rPr>
                <w:rFonts w:ascii="宋体" w:hAnsi="宋体" w:cs="宋体"/>
                <w:color w:val="auto"/>
                <w:szCs w:val="21"/>
                <w:highlight w:val="none"/>
              </w:rPr>
            </w:pPr>
            <w:r>
              <w:rPr>
                <w:rFonts w:hint="eastAsia" w:ascii="宋体" w:hAnsi="宋体" w:cs="宋体"/>
                <w:color w:val="auto"/>
                <w:szCs w:val="21"/>
                <w:highlight w:val="none"/>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1" w:type="dxa"/>
            <w:vAlign w:val="center"/>
          </w:tcPr>
          <w:p>
            <w:pPr>
              <w:ind w:firstLine="0" w:firstLineChars="0"/>
              <w:rPr>
                <w:rFonts w:ascii="宋体" w:hAnsi="宋体" w:cs="宋体"/>
                <w:color w:val="auto"/>
                <w:szCs w:val="21"/>
                <w:highlight w:val="none"/>
              </w:rPr>
            </w:pPr>
            <w:r>
              <w:rPr>
                <w:rFonts w:hint="eastAsia" w:ascii="宋体" w:hAnsi="宋体" w:cs="宋体"/>
                <w:color w:val="auto"/>
                <w:szCs w:val="21"/>
                <w:highlight w:val="none"/>
              </w:rPr>
              <w:t>企业资质等级</w:t>
            </w:r>
          </w:p>
        </w:tc>
        <w:tc>
          <w:tcPr>
            <w:tcW w:w="2635" w:type="dxa"/>
            <w:gridSpan w:val="3"/>
            <w:vAlign w:val="center"/>
          </w:tcPr>
          <w:p>
            <w:pPr>
              <w:ind w:firstLine="420"/>
              <w:jc w:val="center"/>
              <w:rPr>
                <w:rFonts w:ascii="宋体" w:hAnsi="宋体" w:cs="宋体"/>
                <w:color w:val="auto"/>
                <w:szCs w:val="21"/>
                <w:highlight w:val="none"/>
              </w:rPr>
            </w:pPr>
          </w:p>
        </w:tc>
        <w:tc>
          <w:tcPr>
            <w:tcW w:w="1012" w:type="dxa"/>
            <w:vMerge w:val="restart"/>
            <w:vAlign w:val="center"/>
          </w:tcPr>
          <w:p>
            <w:pPr>
              <w:ind w:firstLine="420"/>
              <w:jc w:val="center"/>
              <w:rPr>
                <w:rFonts w:ascii="宋体" w:hAnsi="宋体" w:cs="宋体"/>
                <w:color w:val="auto"/>
                <w:szCs w:val="21"/>
                <w:highlight w:val="none"/>
              </w:rPr>
            </w:pPr>
            <w:r>
              <w:rPr>
                <w:rFonts w:hint="eastAsia" w:ascii="宋体" w:hAnsi="宋体" w:cs="宋体"/>
                <w:color w:val="auto"/>
                <w:szCs w:val="21"/>
                <w:highlight w:val="none"/>
              </w:rPr>
              <w:t>其中</w:t>
            </w:r>
          </w:p>
        </w:tc>
        <w:tc>
          <w:tcPr>
            <w:tcW w:w="1954" w:type="dxa"/>
            <w:gridSpan w:val="4"/>
            <w:vAlign w:val="center"/>
          </w:tcPr>
          <w:p>
            <w:pPr>
              <w:ind w:firstLine="420"/>
              <w:jc w:val="center"/>
              <w:rPr>
                <w:rFonts w:ascii="宋体" w:hAnsi="宋体" w:cs="宋体"/>
                <w:color w:val="auto"/>
                <w:szCs w:val="21"/>
                <w:highlight w:val="none"/>
              </w:rPr>
            </w:pPr>
            <w:r>
              <w:rPr>
                <w:rFonts w:hint="eastAsia" w:ascii="宋体" w:hAnsi="宋体" w:cs="宋体"/>
                <w:color w:val="auto"/>
                <w:szCs w:val="21"/>
                <w:highlight w:val="none"/>
              </w:rPr>
              <w:t>高级职称人员</w:t>
            </w:r>
          </w:p>
        </w:tc>
        <w:tc>
          <w:tcPr>
            <w:tcW w:w="1587" w:type="dxa"/>
            <w:gridSpan w:val="2"/>
            <w:vAlign w:val="center"/>
          </w:tcPr>
          <w:p>
            <w:pPr>
              <w:ind w:firstLine="42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1" w:type="dxa"/>
            <w:vAlign w:val="center"/>
          </w:tcPr>
          <w:p>
            <w:pPr>
              <w:ind w:firstLine="420"/>
              <w:jc w:val="center"/>
              <w:rPr>
                <w:rFonts w:ascii="宋体" w:hAnsi="宋体" w:cs="宋体"/>
                <w:color w:val="auto"/>
                <w:szCs w:val="21"/>
                <w:highlight w:val="none"/>
              </w:rPr>
            </w:pPr>
            <w:r>
              <w:rPr>
                <w:rFonts w:hint="eastAsia" w:ascii="宋体" w:hAnsi="宋体" w:cs="宋体"/>
                <w:color w:val="auto"/>
                <w:szCs w:val="21"/>
                <w:highlight w:val="none"/>
              </w:rPr>
              <w:t>营业执照号</w:t>
            </w:r>
          </w:p>
        </w:tc>
        <w:tc>
          <w:tcPr>
            <w:tcW w:w="2635" w:type="dxa"/>
            <w:gridSpan w:val="3"/>
            <w:vAlign w:val="center"/>
          </w:tcPr>
          <w:p>
            <w:pPr>
              <w:ind w:firstLine="420"/>
              <w:jc w:val="center"/>
              <w:rPr>
                <w:rFonts w:ascii="宋体" w:hAnsi="宋体" w:cs="宋体"/>
                <w:color w:val="auto"/>
                <w:szCs w:val="21"/>
                <w:highlight w:val="none"/>
              </w:rPr>
            </w:pPr>
          </w:p>
        </w:tc>
        <w:tc>
          <w:tcPr>
            <w:tcW w:w="1012" w:type="dxa"/>
            <w:vMerge w:val="continue"/>
            <w:vAlign w:val="center"/>
          </w:tcPr>
          <w:p>
            <w:pPr>
              <w:ind w:firstLine="420"/>
              <w:jc w:val="center"/>
              <w:rPr>
                <w:rFonts w:ascii="宋体" w:hAnsi="宋体" w:cs="宋体"/>
                <w:color w:val="auto"/>
                <w:szCs w:val="21"/>
                <w:highlight w:val="none"/>
              </w:rPr>
            </w:pPr>
          </w:p>
        </w:tc>
        <w:tc>
          <w:tcPr>
            <w:tcW w:w="1954" w:type="dxa"/>
            <w:gridSpan w:val="4"/>
            <w:vAlign w:val="center"/>
          </w:tcPr>
          <w:p>
            <w:pPr>
              <w:ind w:firstLine="420"/>
              <w:jc w:val="center"/>
              <w:rPr>
                <w:rFonts w:ascii="宋体" w:hAnsi="宋体" w:cs="宋体"/>
                <w:color w:val="auto"/>
                <w:szCs w:val="21"/>
                <w:highlight w:val="none"/>
              </w:rPr>
            </w:pPr>
            <w:r>
              <w:rPr>
                <w:rFonts w:hint="eastAsia" w:ascii="宋体" w:hAnsi="宋体" w:cs="宋体"/>
                <w:color w:val="auto"/>
                <w:szCs w:val="21"/>
                <w:highlight w:val="none"/>
              </w:rPr>
              <w:t>中级职称人员</w:t>
            </w:r>
          </w:p>
        </w:tc>
        <w:tc>
          <w:tcPr>
            <w:tcW w:w="1587" w:type="dxa"/>
            <w:gridSpan w:val="2"/>
            <w:vAlign w:val="center"/>
          </w:tcPr>
          <w:p>
            <w:pPr>
              <w:ind w:firstLine="42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1" w:type="dxa"/>
            <w:vAlign w:val="center"/>
          </w:tcPr>
          <w:p>
            <w:pPr>
              <w:ind w:firstLine="420"/>
              <w:jc w:val="center"/>
              <w:rPr>
                <w:rFonts w:ascii="宋体" w:hAnsi="宋体" w:cs="宋体"/>
                <w:color w:val="auto"/>
                <w:szCs w:val="21"/>
                <w:highlight w:val="none"/>
              </w:rPr>
            </w:pPr>
            <w:r>
              <w:rPr>
                <w:rFonts w:hint="eastAsia" w:ascii="宋体" w:hAnsi="宋体" w:cs="宋体"/>
                <w:color w:val="auto"/>
                <w:szCs w:val="21"/>
                <w:highlight w:val="none"/>
              </w:rPr>
              <w:t>注册资金</w:t>
            </w:r>
          </w:p>
        </w:tc>
        <w:tc>
          <w:tcPr>
            <w:tcW w:w="2635" w:type="dxa"/>
            <w:gridSpan w:val="3"/>
            <w:vAlign w:val="center"/>
          </w:tcPr>
          <w:p>
            <w:pPr>
              <w:ind w:firstLine="420"/>
              <w:jc w:val="center"/>
              <w:rPr>
                <w:rFonts w:ascii="宋体" w:hAnsi="宋体" w:cs="宋体"/>
                <w:color w:val="auto"/>
                <w:szCs w:val="21"/>
                <w:highlight w:val="none"/>
              </w:rPr>
            </w:pPr>
          </w:p>
        </w:tc>
        <w:tc>
          <w:tcPr>
            <w:tcW w:w="1012" w:type="dxa"/>
            <w:vMerge w:val="continue"/>
            <w:vAlign w:val="center"/>
          </w:tcPr>
          <w:p>
            <w:pPr>
              <w:ind w:firstLine="420"/>
              <w:jc w:val="center"/>
              <w:rPr>
                <w:rFonts w:ascii="宋体" w:hAnsi="宋体" w:cs="宋体"/>
                <w:color w:val="auto"/>
                <w:szCs w:val="21"/>
                <w:highlight w:val="none"/>
              </w:rPr>
            </w:pPr>
          </w:p>
        </w:tc>
        <w:tc>
          <w:tcPr>
            <w:tcW w:w="1954" w:type="dxa"/>
            <w:gridSpan w:val="4"/>
            <w:vAlign w:val="center"/>
          </w:tcPr>
          <w:p>
            <w:pPr>
              <w:ind w:firstLine="420"/>
              <w:jc w:val="center"/>
              <w:rPr>
                <w:rFonts w:ascii="宋体" w:hAnsi="宋体" w:cs="宋体"/>
                <w:color w:val="auto"/>
                <w:szCs w:val="21"/>
                <w:highlight w:val="none"/>
              </w:rPr>
            </w:pPr>
            <w:r>
              <w:rPr>
                <w:rFonts w:hint="eastAsia" w:ascii="宋体" w:hAnsi="宋体" w:cs="宋体"/>
                <w:color w:val="auto"/>
                <w:szCs w:val="21"/>
                <w:highlight w:val="none"/>
              </w:rPr>
              <w:t>初级职称人员</w:t>
            </w:r>
          </w:p>
        </w:tc>
        <w:tc>
          <w:tcPr>
            <w:tcW w:w="1587" w:type="dxa"/>
            <w:gridSpan w:val="2"/>
            <w:vAlign w:val="center"/>
          </w:tcPr>
          <w:p>
            <w:pPr>
              <w:ind w:firstLine="42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1" w:type="dxa"/>
            <w:vAlign w:val="center"/>
          </w:tcPr>
          <w:p>
            <w:pPr>
              <w:ind w:firstLine="420"/>
              <w:jc w:val="center"/>
              <w:rPr>
                <w:rFonts w:ascii="宋体" w:hAnsi="宋体" w:cs="宋体"/>
                <w:color w:val="auto"/>
                <w:szCs w:val="21"/>
                <w:highlight w:val="none"/>
              </w:rPr>
            </w:pPr>
            <w:r>
              <w:rPr>
                <w:rFonts w:hint="eastAsia" w:ascii="宋体" w:hAnsi="宋体" w:cs="宋体"/>
                <w:color w:val="auto"/>
                <w:szCs w:val="21"/>
                <w:highlight w:val="none"/>
              </w:rPr>
              <w:t>开户银行</w:t>
            </w:r>
          </w:p>
        </w:tc>
        <w:tc>
          <w:tcPr>
            <w:tcW w:w="2635" w:type="dxa"/>
            <w:gridSpan w:val="3"/>
            <w:vAlign w:val="center"/>
          </w:tcPr>
          <w:p>
            <w:pPr>
              <w:ind w:firstLine="420"/>
              <w:jc w:val="center"/>
              <w:rPr>
                <w:rFonts w:ascii="宋体" w:hAnsi="宋体" w:cs="宋体"/>
                <w:color w:val="auto"/>
                <w:szCs w:val="21"/>
                <w:highlight w:val="none"/>
              </w:rPr>
            </w:pPr>
          </w:p>
        </w:tc>
        <w:tc>
          <w:tcPr>
            <w:tcW w:w="1012" w:type="dxa"/>
            <w:vMerge w:val="continue"/>
            <w:vAlign w:val="center"/>
          </w:tcPr>
          <w:p>
            <w:pPr>
              <w:ind w:firstLine="420"/>
              <w:jc w:val="center"/>
              <w:rPr>
                <w:rFonts w:ascii="宋体" w:hAnsi="宋体" w:cs="宋体"/>
                <w:color w:val="auto"/>
                <w:szCs w:val="21"/>
                <w:highlight w:val="none"/>
              </w:rPr>
            </w:pPr>
          </w:p>
        </w:tc>
        <w:tc>
          <w:tcPr>
            <w:tcW w:w="1954" w:type="dxa"/>
            <w:gridSpan w:val="4"/>
            <w:vAlign w:val="center"/>
          </w:tcPr>
          <w:p>
            <w:pPr>
              <w:ind w:firstLine="420"/>
              <w:jc w:val="center"/>
              <w:rPr>
                <w:rFonts w:ascii="宋体" w:hAnsi="宋体" w:cs="宋体"/>
                <w:color w:val="auto"/>
                <w:szCs w:val="21"/>
                <w:highlight w:val="none"/>
              </w:rPr>
            </w:pPr>
          </w:p>
        </w:tc>
        <w:tc>
          <w:tcPr>
            <w:tcW w:w="1587" w:type="dxa"/>
            <w:gridSpan w:val="2"/>
            <w:vAlign w:val="center"/>
          </w:tcPr>
          <w:p>
            <w:pPr>
              <w:ind w:firstLine="42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1" w:type="dxa"/>
            <w:vAlign w:val="center"/>
          </w:tcPr>
          <w:p>
            <w:pPr>
              <w:ind w:firstLine="420"/>
              <w:jc w:val="center"/>
              <w:rPr>
                <w:rFonts w:ascii="宋体" w:hAnsi="宋体" w:cs="宋体"/>
                <w:color w:val="auto"/>
                <w:szCs w:val="21"/>
                <w:highlight w:val="none"/>
              </w:rPr>
            </w:pPr>
            <w:r>
              <w:rPr>
                <w:rFonts w:hint="eastAsia" w:ascii="宋体" w:hAnsi="宋体" w:cs="宋体"/>
                <w:color w:val="auto"/>
                <w:szCs w:val="21"/>
                <w:highlight w:val="none"/>
              </w:rPr>
              <w:t>账号</w:t>
            </w:r>
          </w:p>
        </w:tc>
        <w:tc>
          <w:tcPr>
            <w:tcW w:w="2635" w:type="dxa"/>
            <w:gridSpan w:val="3"/>
            <w:vAlign w:val="center"/>
          </w:tcPr>
          <w:p>
            <w:pPr>
              <w:ind w:firstLine="420"/>
              <w:jc w:val="center"/>
              <w:rPr>
                <w:rFonts w:ascii="宋体" w:hAnsi="宋体" w:cs="宋体"/>
                <w:color w:val="auto"/>
                <w:szCs w:val="21"/>
                <w:highlight w:val="none"/>
              </w:rPr>
            </w:pPr>
          </w:p>
        </w:tc>
        <w:tc>
          <w:tcPr>
            <w:tcW w:w="1012" w:type="dxa"/>
            <w:vMerge w:val="continue"/>
            <w:vAlign w:val="center"/>
          </w:tcPr>
          <w:p>
            <w:pPr>
              <w:ind w:firstLine="420"/>
              <w:jc w:val="center"/>
              <w:rPr>
                <w:rFonts w:ascii="宋体" w:hAnsi="宋体" w:cs="宋体"/>
                <w:color w:val="auto"/>
                <w:szCs w:val="21"/>
                <w:highlight w:val="none"/>
              </w:rPr>
            </w:pPr>
          </w:p>
        </w:tc>
        <w:tc>
          <w:tcPr>
            <w:tcW w:w="1954" w:type="dxa"/>
            <w:gridSpan w:val="4"/>
            <w:vAlign w:val="center"/>
          </w:tcPr>
          <w:p>
            <w:pPr>
              <w:ind w:firstLine="420"/>
              <w:jc w:val="center"/>
              <w:rPr>
                <w:rFonts w:ascii="宋体" w:hAnsi="宋体" w:cs="宋体"/>
                <w:color w:val="auto"/>
                <w:szCs w:val="21"/>
                <w:highlight w:val="none"/>
              </w:rPr>
            </w:pPr>
          </w:p>
        </w:tc>
        <w:tc>
          <w:tcPr>
            <w:tcW w:w="1587" w:type="dxa"/>
            <w:gridSpan w:val="2"/>
            <w:vAlign w:val="center"/>
          </w:tcPr>
          <w:p>
            <w:pPr>
              <w:ind w:firstLine="42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9" w:hRule="atLeast"/>
        </w:trPr>
        <w:tc>
          <w:tcPr>
            <w:tcW w:w="1771" w:type="dxa"/>
            <w:vAlign w:val="center"/>
          </w:tcPr>
          <w:p>
            <w:pPr>
              <w:ind w:firstLine="420"/>
              <w:jc w:val="center"/>
              <w:rPr>
                <w:rFonts w:ascii="宋体" w:hAnsi="宋体" w:cs="宋体"/>
                <w:color w:val="auto"/>
                <w:szCs w:val="21"/>
                <w:highlight w:val="none"/>
              </w:rPr>
            </w:pPr>
            <w:r>
              <w:rPr>
                <w:rFonts w:hint="eastAsia" w:ascii="宋体" w:hAnsi="宋体" w:cs="宋体"/>
                <w:color w:val="auto"/>
                <w:szCs w:val="21"/>
                <w:highlight w:val="none"/>
              </w:rPr>
              <w:t>经营范围</w:t>
            </w:r>
          </w:p>
        </w:tc>
        <w:tc>
          <w:tcPr>
            <w:tcW w:w="7188" w:type="dxa"/>
            <w:gridSpan w:val="10"/>
            <w:vAlign w:val="center"/>
          </w:tcPr>
          <w:p>
            <w:pPr>
              <w:ind w:firstLine="42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71" w:type="dxa"/>
            <w:vAlign w:val="center"/>
          </w:tcPr>
          <w:p>
            <w:pPr>
              <w:ind w:firstLine="420"/>
              <w:jc w:val="center"/>
              <w:rPr>
                <w:rFonts w:ascii="宋体" w:hAnsi="宋体" w:cs="宋体"/>
                <w:color w:val="auto"/>
                <w:szCs w:val="21"/>
                <w:highlight w:val="none"/>
              </w:rPr>
            </w:pPr>
            <w:r>
              <w:rPr>
                <w:rFonts w:hint="eastAsia" w:ascii="宋体" w:hAnsi="宋体" w:cs="宋体"/>
                <w:color w:val="auto"/>
                <w:szCs w:val="21"/>
                <w:highlight w:val="none"/>
              </w:rPr>
              <w:t>备注</w:t>
            </w:r>
          </w:p>
        </w:tc>
        <w:tc>
          <w:tcPr>
            <w:tcW w:w="7188" w:type="dxa"/>
            <w:gridSpan w:val="10"/>
            <w:vAlign w:val="center"/>
          </w:tcPr>
          <w:p>
            <w:pPr>
              <w:ind w:firstLine="420"/>
              <w:jc w:val="center"/>
              <w:rPr>
                <w:rFonts w:ascii="宋体" w:hAnsi="宋体" w:cs="宋体"/>
                <w:color w:val="auto"/>
                <w:szCs w:val="21"/>
                <w:highlight w:val="none"/>
              </w:rPr>
            </w:pPr>
          </w:p>
        </w:tc>
      </w:tr>
    </w:tbl>
    <w:p>
      <w:pPr>
        <w:snapToGrid w:val="0"/>
        <w:spacing w:before="50" w:after="120" w:afterLines="50"/>
        <w:ind w:firstLine="420"/>
        <w:jc w:val="left"/>
        <w:rPr>
          <w:rFonts w:ascii="宋体" w:hAnsi="宋体" w:cs="宋体"/>
          <w:color w:val="auto"/>
          <w:szCs w:val="21"/>
          <w:highlight w:val="none"/>
        </w:rPr>
      </w:pPr>
    </w:p>
    <w:p>
      <w:pPr>
        <w:snapToGrid w:val="0"/>
        <w:ind w:firstLine="420"/>
        <w:jc w:val="left"/>
        <w:rPr>
          <w:rFonts w:ascii="宋体" w:hAnsi="宋体" w:cs="宋体"/>
          <w:b/>
          <w:color w:val="auto"/>
          <w:szCs w:val="21"/>
          <w:highlight w:val="none"/>
        </w:rPr>
      </w:pPr>
      <w:r>
        <w:rPr>
          <w:rFonts w:hint="eastAsia" w:ascii="宋体" w:hAnsi="宋体" w:cs="宋体"/>
          <w:color w:val="auto"/>
          <w:szCs w:val="21"/>
          <w:highlight w:val="none"/>
        </w:rPr>
        <w:br w:type="page"/>
      </w:r>
      <w:r>
        <w:rPr>
          <w:rFonts w:hint="eastAsia" w:ascii="宋体" w:hAnsi="宋体" w:cs="宋体"/>
          <w:b/>
          <w:color w:val="auto"/>
          <w:szCs w:val="21"/>
          <w:highlight w:val="none"/>
        </w:rPr>
        <w:t>14、同类项目业绩清单</w:t>
      </w:r>
    </w:p>
    <w:p>
      <w:pPr>
        <w:snapToGrid w:val="0"/>
        <w:ind w:firstLine="482"/>
        <w:jc w:val="center"/>
        <w:rPr>
          <w:rFonts w:ascii="宋体" w:hAnsi="宋体" w:cs="宋体"/>
          <w:b/>
          <w:color w:val="auto"/>
          <w:sz w:val="24"/>
          <w:highlight w:val="none"/>
        </w:rPr>
      </w:pPr>
      <w:r>
        <w:rPr>
          <w:rFonts w:hint="eastAsia" w:ascii="宋体" w:hAnsi="宋体" w:cs="宋体"/>
          <w:b/>
          <w:color w:val="auto"/>
          <w:sz w:val="24"/>
          <w:highlight w:val="none"/>
        </w:rPr>
        <w:t>业绩清单</w:t>
      </w:r>
    </w:p>
    <w:tbl>
      <w:tblPr>
        <w:tblStyle w:val="37"/>
        <w:tblW w:w="8313" w:type="dxa"/>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1705"/>
        <w:gridCol w:w="1706"/>
        <w:gridCol w:w="1938"/>
        <w:gridCol w:w="1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5" w:type="dxa"/>
            <w:vAlign w:val="center"/>
          </w:tcPr>
          <w:p>
            <w:pPr>
              <w:tabs>
                <w:tab w:val="left" w:pos="4500"/>
              </w:tabs>
              <w:spacing w:line="400" w:lineRule="exact"/>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项目名称</w:t>
            </w:r>
          </w:p>
        </w:tc>
        <w:tc>
          <w:tcPr>
            <w:tcW w:w="1705" w:type="dxa"/>
            <w:vAlign w:val="center"/>
          </w:tcPr>
          <w:p>
            <w:pPr>
              <w:tabs>
                <w:tab w:val="left" w:pos="4500"/>
              </w:tabs>
              <w:spacing w:line="400" w:lineRule="exact"/>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合同金额（元）</w:t>
            </w:r>
          </w:p>
        </w:tc>
        <w:tc>
          <w:tcPr>
            <w:tcW w:w="1706" w:type="dxa"/>
            <w:vAlign w:val="center"/>
          </w:tcPr>
          <w:p>
            <w:pPr>
              <w:tabs>
                <w:tab w:val="left" w:pos="4500"/>
              </w:tabs>
              <w:spacing w:line="400" w:lineRule="exact"/>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合同签订日</w:t>
            </w:r>
          </w:p>
        </w:tc>
        <w:tc>
          <w:tcPr>
            <w:tcW w:w="1938" w:type="dxa"/>
            <w:vAlign w:val="center"/>
          </w:tcPr>
          <w:p>
            <w:pPr>
              <w:tabs>
                <w:tab w:val="left" w:pos="4500"/>
              </w:tabs>
              <w:spacing w:line="400" w:lineRule="exact"/>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用户单位联系人、联系电话</w:t>
            </w:r>
          </w:p>
        </w:tc>
        <w:tc>
          <w:tcPr>
            <w:tcW w:w="1379" w:type="dxa"/>
            <w:vAlign w:val="center"/>
          </w:tcPr>
          <w:p>
            <w:pPr>
              <w:tabs>
                <w:tab w:val="left" w:pos="4500"/>
              </w:tabs>
              <w:spacing w:line="400" w:lineRule="exact"/>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5" w:type="dxa"/>
          </w:tcPr>
          <w:p>
            <w:pPr>
              <w:snapToGrid w:val="0"/>
              <w:ind w:firstLine="422"/>
              <w:jc w:val="left"/>
              <w:rPr>
                <w:rFonts w:ascii="宋体" w:hAnsi="宋体" w:cs="宋体"/>
                <w:b/>
                <w:color w:val="auto"/>
                <w:szCs w:val="21"/>
                <w:highlight w:val="none"/>
              </w:rPr>
            </w:pPr>
          </w:p>
        </w:tc>
        <w:tc>
          <w:tcPr>
            <w:tcW w:w="1705" w:type="dxa"/>
          </w:tcPr>
          <w:p>
            <w:pPr>
              <w:snapToGrid w:val="0"/>
              <w:ind w:firstLine="422"/>
              <w:jc w:val="left"/>
              <w:rPr>
                <w:rFonts w:ascii="宋体" w:hAnsi="宋体" w:cs="宋体"/>
                <w:b/>
                <w:color w:val="auto"/>
                <w:szCs w:val="21"/>
                <w:highlight w:val="none"/>
              </w:rPr>
            </w:pPr>
          </w:p>
        </w:tc>
        <w:tc>
          <w:tcPr>
            <w:tcW w:w="1706" w:type="dxa"/>
          </w:tcPr>
          <w:p>
            <w:pPr>
              <w:snapToGrid w:val="0"/>
              <w:ind w:firstLine="422"/>
              <w:jc w:val="left"/>
              <w:rPr>
                <w:rFonts w:ascii="宋体" w:hAnsi="宋体" w:cs="宋体"/>
                <w:b/>
                <w:color w:val="auto"/>
                <w:szCs w:val="21"/>
                <w:highlight w:val="none"/>
              </w:rPr>
            </w:pPr>
          </w:p>
        </w:tc>
        <w:tc>
          <w:tcPr>
            <w:tcW w:w="1938" w:type="dxa"/>
          </w:tcPr>
          <w:p>
            <w:pPr>
              <w:snapToGrid w:val="0"/>
              <w:ind w:firstLine="422"/>
              <w:jc w:val="left"/>
              <w:rPr>
                <w:rFonts w:ascii="宋体" w:hAnsi="宋体" w:cs="宋体"/>
                <w:b/>
                <w:color w:val="auto"/>
                <w:szCs w:val="21"/>
                <w:highlight w:val="none"/>
              </w:rPr>
            </w:pPr>
          </w:p>
        </w:tc>
        <w:tc>
          <w:tcPr>
            <w:tcW w:w="1379" w:type="dxa"/>
          </w:tcPr>
          <w:p>
            <w:pPr>
              <w:snapToGrid w:val="0"/>
              <w:ind w:firstLine="422"/>
              <w:jc w:val="left"/>
              <w:rPr>
                <w:rFonts w:ascii="宋体" w:hAnsi="宋体" w:cs="宋体"/>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5" w:type="dxa"/>
          </w:tcPr>
          <w:p>
            <w:pPr>
              <w:snapToGrid w:val="0"/>
              <w:ind w:firstLine="422"/>
              <w:jc w:val="left"/>
              <w:rPr>
                <w:rFonts w:ascii="宋体" w:hAnsi="宋体" w:cs="宋体"/>
                <w:b/>
                <w:color w:val="auto"/>
                <w:szCs w:val="21"/>
                <w:highlight w:val="none"/>
              </w:rPr>
            </w:pPr>
          </w:p>
        </w:tc>
        <w:tc>
          <w:tcPr>
            <w:tcW w:w="1705" w:type="dxa"/>
          </w:tcPr>
          <w:p>
            <w:pPr>
              <w:snapToGrid w:val="0"/>
              <w:ind w:firstLine="422"/>
              <w:jc w:val="left"/>
              <w:rPr>
                <w:rFonts w:ascii="宋体" w:hAnsi="宋体" w:cs="宋体"/>
                <w:b/>
                <w:color w:val="auto"/>
                <w:szCs w:val="21"/>
                <w:highlight w:val="none"/>
              </w:rPr>
            </w:pPr>
          </w:p>
        </w:tc>
        <w:tc>
          <w:tcPr>
            <w:tcW w:w="1706" w:type="dxa"/>
          </w:tcPr>
          <w:p>
            <w:pPr>
              <w:snapToGrid w:val="0"/>
              <w:ind w:firstLine="422"/>
              <w:jc w:val="left"/>
              <w:rPr>
                <w:rFonts w:ascii="宋体" w:hAnsi="宋体" w:cs="宋体"/>
                <w:b/>
                <w:color w:val="auto"/>
                <w:szCs w:val="21"/>
                <w:highlight w:val="none"/>
              </w:rPr>
            </w:pPr>
          </w:p>
        </w:tc>
        <w:tc>
          <w:tcPr>
            <w:tcW w:w="1938" w:type="dxa"/>
          </w:tcPr>
          <w:p>
            <w:pPr>
              <w:snapToGrid w:val="0"/>
              <w:ind w:firstLine="422"/>
              <w:jc w:val="left"/>
              <w:rPr>
                <w:rFonts w:ascii="宋体" w:hAnsi="宋体" w:cs="宋体"/>
                <w:b/>
                <w:color w:val="auto"/>
                <w:szCs w:val="21"/>
                <w:highlight w:val="none"/>
              </w:rPr>
            </w:pPr>
          </w:p>
        </w:tc>
        <w:tc>
          <w:tcPr>
            <w:tcW w:w="1379" w:type="dxa"/>
          </w:tcPr>
          <w:p>
            <w:pPr>
              <w:snapToGrid w:val="0"/>
              <w:ind w:firstLine="422"/>
              <w:jc w:val="left"/>
              <w:rPr>
                <w:rFonts w:ascii="宋体" w:hAnsi="宋体" w:cs="宋体"/>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5" w:type="dxa"/>
          </w:tcPr>
          <w:p>
            <w:pPr>
              <w:snapToGrid w:val="0"/>
              <w:ind w:firstLine="422"/>
              <w:jc w:val="left"/>
              <w:rPr>
                <w:rFonts w:ascii="宋体" w:hAnsi="宋体" w:cs="宋体"/>
                <w:b/>
                <w:color w:val="auto"/>
                <w:szCs w:val="21"/>
                <w:highlight w:val="none"/>
              </w:rPr>
            </w:pPr>
          </w:p>
        </w:tc>
        <w:tc>
          <w:tcPr>
            <w:tcW w:w="1705" w:type="dxa"/>
          </w:tcPr>
          <w:p>
            <w:pPr>
              <w:snapToGrid w:val="0"/>
              <w:ind w:firstLine="422"/>
              <w:jc w:val="left"/>
              <w:rPr>
                <w:rFonts w:ascii="宋体" w:hAnsi="宋体" w:cs="宋体"/>
                <w:b/>
                <w:color w:val="auto"/>
                <w:szCs w:val="21"/>
                <w:highlight w:val="none"/>
              </w:rPr>
            </w:pPr>
          </w:p>
        </w:tc>
        <w:tc>
          <w:tcPr>
            <w:tcW w:w="1706" w:type="dxa"/>
          </w:tcPr>
          <w:p>
            <w:pPr>
              <w:snapToGrid w:val="0"/>
              <w:ind w:firstLine="422"/>
              <w:jc w:val="left"/>
              <w:rPr>
                <w:rFonts w:ascii="宋体" w:hAnsi="宋体" w:cs="宋体"/>
                <w:b/>
                <w:color w:val="auto"/>
                <w:szCs w:val="21"/>
                <w:highlight w:val="none"/>
              </w:rPr>
            </w:pPr>
          </w:p>
        </w:tc>
        <w:tc>
          <w:tcPr>
            <w:tcW w:w="1938" w:type="dxa"/>
          </w:tcPr>
          <w:p>
            <w:pPr>
              <w:snapToGrid w:val="0"/>
              <w:ind w:firstLine="422"/>
              <w:jc w:val="left"/>
              <w:rPr>
                <w:rFonts w:ascii="宋体" w:hAnsi="宋体" w:cs="宋体"/>
                <w:b/>
                <w:color w:val="auto"/>
                <w:szCs w:val="21"/>
                <w:highlight w:val="none"/>
              </w:rPr>
            </w:pPr>
          </w:p>
        </w:tc>
        <w:tc>
          <w:tcPr>
            <w:tcW w:w="1379" w:type="dxa"/>
          </w:tcPr>
          <w:p>
            <w:pPr>
              <w:snapToGrid w:val="0"/>
              <w:ind w:firstLine="422"/>
              <w:jc w:val="left"/>
              <w:rPr>
                <w:rFonts w:ascii="宋体" w:hAnsi="宋体" w:cs="宋体"/>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5" w:type="dxa"/>
          </w:tcPr>
          <w:p>
            <w:pPr>
              <w:snapToGrid w:val="0"/>
              <w:ind w:firstLine="422"/>
              <w:jc w:val="left"/>
              <w:rPr>
                <w:rFonts w:ascii="宋体" w:hAnsi="宋体" w:cs="宋体"/>
                <w:b/>
                <w:color w:val="auto"/>
                <w:szCs w:val="21"/>
                <w:highlight w:val="none"/>
              </w:rPr>
            </w:pPr>
          </w:p>
        </w:tc>
        <w:tc>
          <w:tcPr>
            <w:tcW w:w="1705" w:type="dxa"/>
          </w:tcPr>
          <w:p>
            <w:pPr>
              <w:snapToGrid w:val="0"/>
              <w:ind w:firstLine="422"/>
              <w:jc w:val="left"/>
              <w:rPr>
                <w:rFonts w:ascii="宋体" w:hAnsi="宋体" w:cs="宋体"/>
                <w:b/>
                <w:color w:val="auto"/>
                <w:szCs w:val="21"/>
                <w:highlight w:val="none"/>
              </w:rPr>
            </w:pPr>
          </w:p>
        </w:tc>
        <w:tc>
          <w:tcPr>
            <w:tcW w:w="1706" w:type="dxa"/>
          </w:tcPr>
          <w:p>
            <w:pPr>
              <w:snapToGrid w:val="0"/>
              <w:ind w:firstLine="422"/>
              <w:jc w:val="left"/>
              <w:rPr>
                <w:rFonts w:ascii="宋体" w:hAnsi="宋体" w:cs="宋体"/>
                <w:b/>
                <w:color w:val="auto"/>
                <w:szCs w:val="21"/>
                <w:highlight w:val="none"/>
              </w:rPr>
            </w:pPr>
          </w:p>
        </w:tc>
        <w:tc>
          <w:tcPr>
            <w:tcW w:w="1938" w:type="dxa"/>
          </w:tcPr>
          <w:p>
            <w:pPr>
              <w:snapToGrid w:val="0"/>
              <w:ind w:firstLine="422"/>
              <w:jc w:val="left"/>
              <w:rPr>
                <w:rFonts w:ascii="宋体" w:hAnsi="宋体" w:cs="宋体"/>
                <w:b/>
                <w:color w:val="auto"/>
                <w:szCs w:val="21"/>
                <w:highlight w:val="none"/>
              </w:rPr>
            </w:pPr>
          </w:p>
        </w:tc>
        <w:tc>
          <w:tcPr>
            <w:tcW w:w="1379" w:type="dxa"/>
          </w:tcPr>
          <w:p>
            <w:pPr>
              <w:snapToGrid w:val="0"/>
              <w:ind w:firstLine="422"/>
              <w:jc w:val="left"/>
              <w:rPr>
                <w:rFonts w:ascii="宋体" w:hAnsi="宋体" w:cs="宋体"/>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5" w:type="dxa"/>
          </w:tcPr>
          <w:p>
            <w:pPr>
              <w:snapToGrid w:val="0"/>
              <w:ind w:firstLine="422"/>
              <w:jc w:val="left"/>
              <w:rPr>
                <w:rFonts w:ascii="宋体" w:hAnsi="宋体" w:cs="宋体"/>
                <w:b/>
                <w:color w:val="auto"/>
                <w:szCs w:val="21"/>
                <w:highlight w:val="none"/>
              </w:rPr>
            </w:pPr>
          </w:p>
        </w:tc>
        <w:tc>
          <w:tcPr>
            <w:tcW w:w="1705" w:type="dxa"/>
          </w:tcPr>
          <w:p>
            <w:pPr>
              <w:snapToGrid w:val="0"/>
              <w:ind w:firstLine="422"/>
              <w:jc w:val="left"/>
              <w:rPr>
                <w:rFonts w:ascii="宋体" w:hAnsi="宋体" w:cs="宋体"/>
                <w:b/>
                <w:color w:val="auto"/>
                <w:szCs w:val="21"/>
                <w:highlight w:val="none"/>
              </w:rPr>
            </w:pPr>
          </w:p>
        </w:tc>
        <w:tc>
          <w:tcPr>
            <w:tcW w:w="1706" w:type="dxa"/>
          </w:tcPr>
          <w:p>
            <w:pPr>
              <w:snapToGrid w:val="0"/>
              <w:ind w:firstLine="422"/>
              <w:jc w:val="left"/>
              <w:rPr>
                <w:rFonts w:ascii="宋体" w:hAnsi="宋体" w:cs="宋体"/>
                <w:b/>
                <w:color w:val="auto"/>
                <w:szCs w:val="21"/>
                <w:highlight w:val="none"/>
              </w:rPr>
            </w:pPr>
          </w:p>
        </w:tc>
        <w:tc>
          <w:tcPr>
            <w:tcW w:w="1938" w:type="dxa"/>
          </w:tcPr>
          <w:p>
            <w:pPr>
              <w:snapToGrid w:val="0"/>
              <w:ind w:firstLine="422"/>
              <w:jc w:val="left"/>
              <w:rPr>
                <w:rFonts w:ascii="宋体" w:hAnsi="宋体" w:cs="宋体"/>
                <w:b/>
                <w:color w:val="auto"/>
                <w:szCs w:val="21"/>
                <w:highlight w:val="none"/>
              </w:rPr>
            </w:pPr>
          </w:p>
        </w:tc>
        <w:tc>
          <w:tcPr>
            <w:tcW w:w="1379" w:type="dxa"/>
          </w:tcPr>
          <w:p>
            <w:pPr>
              <w:snapToGrid w:val="0"/>
              <w:ind w:firstLine="422"/>
              <w:jc w:val="left"/>
              <w:rPr>
                <w:rFonts w:ascii="宋体" w:hAnsi="宋体" w:cs="宋体"/>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5" w:type="dxa"/>
          </w:tcPr>
          <w:p>
            <w:pPr>
              <w:snapToGrid w:val="0"/>
              <w:ind w:firstLine="422"/>
              <w:jc w:val="left"/>
              <w:rPr>
                <w:rFonts w:ascii="宋体" w:hAnsi="宋体" w:cs="宋体"/>
                <w:b/>
                <w:color w:val="auto"/>
                <w:szCs w:val="21"/>
                <w:highlight w:val="none"/>
              </w:rPr>
            </w:pPr>
          </w:p>
        </w:tc>
        <w:tc>
          <w:tcPr>
            <w:tcW w:w="1705" w:type="dxa"/>
          </w:tcPr>
          <w:p>
            <w:pPr>
              <w:snapToGrid w:val="0"/>
              <w:ind w:firstLine="422"/>
              <w:jc w:val="left"/>
              <w:rPr>
                <w:rFonts w:ascii="宋体" w:hAnsi="宋体" w:cs="宋体"/>
                <w:b/>
                <w:color w:val="auto"/>
                <w:szCs w:val="21"/>
                <w:highlight w:val="none"/>
              </w:rPr>
            </w:pPr>
          </w:p>
        </w:tc>
        <w:tc>
          <w:tcPr>
            <w:tcW w:w="1706" w:type="dxa"/>
          </w:tcPr>
          <w:p>
            <w:pPr>
              <w:snapToGrid w:val="0"/>
              <w:ind w:firstLine="422"/>
              <w:jc w:val="left"/>
              <w:rPr>
                <w:rFonts w:ascii="宋体" w:hAnsi="宋体" w:cs="宋体"/>
                <w:b/>
                <w:color w:val="auto"/>
                <w:szCs w:val="21"/>
                <w:highlight w:val="none"/>
              </w:rPr>
            </w:pPr>
          </w:p>
        </w:tc>
        <w:tc>
          <w:tcPr>
            <w:tcW w:w="1938" w:type="dxa"/>
          </w:tcPr>
          <w:p>
            <w:pPr>
              <w:snapToGrid w:val="0"/>
              <w:ind w:firstLine="422"/>
              <w:jc w:val="left"/>
              <w:rPr>
                <w:rFonts w:ascii="宋体" w:hAnsi="宋体" w:cs="宋体"/>
                <w:b/>
                <w:color w:val="auto"/>
                <w:szCs w:val="21"/>
                <w:highlight w:val="none"/>
              </w:rPr>
            </w:pPr>
          </w:p>
        </w:tc>
        <w:tc>
          <w:tcPr>
            <w:tcW w:w="1379" w:type="dxa"/>
          </w:tcPr>
          <w:p>
            <w:pPr>
              <w:snapToGrid w:val="0"/>
              <w:ind w:firstLine="422"/>
              <w:jc w:val="left"/>
              <w:rPr>
                <w:rFonts w:ascii="宋体" w:hAnsi="宋体" w:cs="宋体"/>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5" w:type="dxa"/>
          </w:tcPr>
          <w:p>
            <w:pPr>
              <w:snapToGrid w:val="0"/>
              <w:ind w:firstLine="422"/>
              <w:jc w:val="left"/>
              <w:rPr>
                <w:rFonts w:ascii="宋体" w:hAnsi="宋体" w:cs="宋体"/>
                <w:b/>
                <w:color w:val="auto"/>
                <w:szCs w:val="21"/>
                <w:highlight w:val="none"/>
              </w:rPr>
            </w:pPr>
          </w:p>
        </w:tc>
        <w:tc>
          <w:tcPr>
            <w:tcW w:w="1705" w:type="dxa"/>
          </w:tcPr>
          <w:p>
            <w:pPr>
              <w:snapToGrid w:val="0"/>
              <w:ind w:firstLine="422"/>
              <w:jc w:val="left"/>
              <w:rPr>
                <w:rFonts w:ascii="宋体" w:hAnsi="宋体" w:cs="宋体"/>
                <w:b/>
                <w:color w:val="auto"/>
                <w:szCs w:val="21"/>
                <w:highlight w:val="none"/>
              </w:rPr>
            </w:pPr>
          </w:p>
        </w:tc>
        <w:tc>
          <w:tcPr>
            <w:tcW w:w="1706" w:type="dxa"/>
          </w:tcPr>
          <w:p>
            <w:pPr>
              <w:snapToGrid w:val="0"/>
              <w:ind w:firstLine="422"/>
              <w:jc w:val="left"/>
              <w:rPr>
                <w:rFonts w:ascii="宋体" w:hAnsi="宋体" w:cs="宋体"/>
                <w:b/>
                <w:color w:val="auto"/>
                <w:szCs w:val="21"/>
                <w:highlight w:val="none"/>
              </w:rPr>
            </w:pPr>
          </w:p>
        </w:tc>
        <w:tc>
          <w:tcPr>
            <w:tcW w:w="1938" w:type="dxa"/>
          </w:tcPr>
          <w:p>
            <w:pPr>
              <w:snapToGrid w:val="0"/>
              <w:ind w:firstLine="422"/>
              <w:jc w:val="left"/>
              <w:rPr>
                <w:rFonts w:ascii="宋体" w:hAnsi="宋体" w:cs="宋体"/>
                <w:b/>
                <w:color w:val="auto"/>
                <w:szCs w:val="21"/>
                <w:highlight w:val="none"/>
              </w:rPr>
            </w:pPr>
          </w:p>
        </w:tc>
        <w:tc>
          <w:tcPr>
            <w:tcW w:w="1379" w:type="dxa"/>
          </w:tcPr>
          <w:p>
            <w:pPr>
              <w:snapToGrid w:val="0"/>
              <w:ind w:firstLine="422"/>
              <w:jc w:val="left"/>
              <w:rPr>
                <w:rFonts w:ascii="宋体" w:hAnsi="宋体" w:cs="宋体"/>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5" w:type="dxa"/>
          </w:tcPr>
          <w:p>
            <w:pPr>
              <w:snapToGrid w:val="0"/>
              <w:ind w:firstLine="422"/>
              <w:jc w:val="left"/>
              <w:rPr>
                <w:rFonts w:ascii="宋体" w:hAnsi="宋体" w:cs="宋体"/>
                <w:b/>
                <w:color w:val="auto"/>
                <w:szCs w:val="21"/>
                <w:highlight w:val="none"/>
              </w:rPr>
            </w:pPr>
          </w:p>
        </w:tc>
        <w:tc>
          <w:tcPr>
            <w:tcW w:w="1705" w:type="dxa"/>
          </w:tcPr>
          <w:p>
            <w:pPr>
              <w:snapToGrid w:val="0"/>
              <w:ind w:firstLine="422"/>
              <w:jc w:val="left"/>
              <w:rPr>
                <w:rFonts w:ascii="宋体" w:hAnsi="宋体" w:cs="宋体"/>
                <w:b/>
                <w:color w:val="auto"/>
                <w:szCs w:val="21"/>
                <w:highlight w:val="none"/>
              </w:rPr>
            </w:pPr>
          </w:p>
        </w:tc>
        <w:tc>
          <w:tcPr>
            <w:tcW w:w="1706" w:type="dxa"/>
          </w:tcPr>
          <w:p>
            <w:pPr>
              <w:snapToGrid w:val="0"/>
              <w:ind w:firstLine="422"/>
              <w:jc w:val="left"/>
              <w:rPr>
                <w:rFonts w:ascii="宋体" w:hAnsi="宋体" w:cs="宋体"/>
                <w:b/>
                <w:color w:val="auto"/>
                <w:szCs w:val="21"/>
                <w:highlight w:val="none"/>
              </w:rPr>
            </w:pPr>
          </w:p>
        </w:tc>
        <w:tc>
          <w:tcPr>
            <w:tcW w:w="1938" w:type="dxa"/>
          </w:tcPr>
          <w:p>
            <w:pPr>
              <w:snapToGrid w:val="0"/>
              <w:ind w:firstLine="422"/>
              <w:jc w:val="left"/>
              <w:rPr>
                <w:rFonts w:ascii="宋体" w:hAnsi="宋体" w:cs="宋体"/>
                <w:b/>
                <w:color w:val="auto"/>
                <w:szCs w:val="21"/>
                <w:highlight w:val="none"/>
              </w:rPr>
            </w:pPr>
          </w:p>
        </w:tc>
        <w:tc>
          <w:tcPr>
            <w:tcW w:w="1379" w:type="dxa"/>
          </w:tcPr>
          <w:p>
            <w:pPr>
              <w:snapToGrid w:val="0"/>
              <w:ind w:firstLine="422"/>
              <w:jc w:val="left"/>
              <w:rPr>
                <w:rFonts w:ascii="宋体" w:hAnsi="宋体" w:cs="宋体"/>
                <w:b/>
                <w:color w:val="auto"/>
                <w:szCs w:val="21"/>
                <w:highlight w:val="none"/>
              </w:rPr>
            </w:pPr>
          </w:p>
        </w:tc>
      </w:tr>
    </w:tbl>
    <w:p>
      <w:pPr>
        <w:adjustRightInd w:val="0"/>
        <w:snapToGrid w:val="0"/>
        <w:spacing w:before="120" w:after="120"/>
        <w:ind w:firstLine="641" w:firstLineChars="304"/>
        <w:rPr>
          <w:rFonts w:ascii="宋体" w:hAnsi="宋体" w:cs="宋体"/>
          <w:b/>
          <w:bCs/>
          <w:color w:val="auto"/>
          <w:spacing w:val="-11"/>
          <w:highlight w:val="none"/>
        </w:rPr>
      </w:pPr>
      <w:r>
        <w:rPr>
          <w:rFonts w:hint="eastAsia" w:ascii="宋体" w:hAnsi="宋体" w:cs="宋体"/>
          <w:b/>
          <w:bCs/>
          <w:color w:val="auto"/>
          <w:szCs w:val="21"/>
          <w:highlight w:val="none"/>
        </w:rPr>
        <w:t>注：1、同类项目业绩是指：</w:t>
      </w:r>
      <w:r>
        <w:rPr>
          <w:rFonts w:hint="eastAsia" w:ascii="宋体" w:hAnsi="宋体" w:cs="宋体"/>
          <w:b/>
          <w:bCs/>
          <w:color w:val="auto"/>
          <w:spacing w:val="-11"/>
          <w:highlight w:val="none"/>
        </w:rPr>
        <w:t>投标人自 2019 年 1 月 1 日以来（以合同签订日期为准，不接受转包业绩）从事过化工园区信息化平台建设项目，建设内容同时涵盖“环保、安全、应急”三方面。</w:t>
      </w:r>
    </w:p>
    <w:p>
      <w:pPr>
        <w:adjustRightInd w:val="0"/>
        <w:snapToGrid w:val="0"/>
        <w:spacing w:before="120" w:after="120"/>
        <w:ind w:firstLine="574" w:firstLineChars="304"/>
        <w:rPr>
          <w:rFonts w:ascii="宋体" w:hAnsi="宋体" w:cs="宋体"/>
          <w:b/>
          <w:bCs/>
          <w:color w:val="auto"/>
          <w:spacing w:val="-11"/>
          <w:highlight w:val="none"/>
        </w:rPr>
      </w:pPr>
      <w:r>
        <w:rPr>
          <w:rFonts w:hint="eastAsia" w:ascii="宋体" w:hAnsi="宋体" w:cs="宋体"/>
          <w:b/>
          <w:color w:val="auto"/>
          <w:spacing w:val="-11"/>
          <w:highlight w:val="none"/>
        </w:rPr>
        <w:t>2、</w:t>
      </w:r>
      <w:r>
        <w:rPr>
          <w:rFonts w:hint="eastAsia" w:ascii="宋体" w:hAnsi="宋体" w:cs="宋体"/>
          <w:b/>
          <w:bCs/>
          <w:color w:val="auto"/>
          <w:spacing w:val="-11"/>
          <w:highlight w:val="none"/>
        </w:rPr>
        <w:t>投标文件中提供合同复印件，并加盖投标人公章，合同中必须体现项目建设内容，未提供或未体现的不得分。</w:t>
      </w:r>
    </w:p>
    <w:p>
      <w:pPr>
        <w:adjustRightInd w:val="0"/>
        <w:snapToGrid w:val="0"/>
        <w:spacing w:before="120" w:after="120"/>
        <w:ind w:firstLine="638" w:firstLineChars="304"/>
        <w:rPr>
          <w:rFonts w:ascii="宋体" w:hAnsi="宋体" w:cs="宋体"/>
          <w:color w:val="auto"/>
          <w:szCs w:val="21"/>
          <w:highlight w:val="none"/>
        </w:rPr>
      </w:pPr>
    </w:p>
    <w:p>
      <w:pPr>
        <w:adjustRightInd w:val="0"/>
        <w:snapToGrid w:val="0"/>
        <w:spacing w:before="120" w:after="120"/>
        <w:ind w:firstLine="420"/>
        <w:rPr>
          <w:rFonts w:ascii="宋体" w:hAnsi="宋体" w:cs="宋体"/>
          <w:color w:val="auto"/>
          <w:szCs w:val="21"/>
          <w:highlight w:val="none"/>
        </w:rPr>
      </w:pPr>
      <w:r>
        <w:rPr>
          <w:rFonts w:hint="eastAsia" w:ascii="宋体" w:hAnsi="宋体" w:cs="宋体"/>
          <w:color w:val="auto"/>
          <w:szCs w:val="21"/>
          <w:highlight w:val="none"/>
        </w:rPr>
        <w:t>投标人（盖章）：</w:t>
      </w:r>
    </w:p>
    <w:p>
      <w:pPr>
        <w:snapToGrid w:val="0"/>
        <w:ind w:firstLine="420"/>
        <w:rPr>
          <w:rFonts w:ascii="宋体" w:hAnsi="宋体" w:cs="宋体"/>
          <w:b/>
          <w:color w:val="auto"/>
          <w:szCs w:val="21"/>
          <w:highlight w:val="none"/>
        </w:rPr>
      </w:pPr>
      <w:r>
        <w:rPr>
          <w:rFonts w:hint="eastAsia" w:ascii="宋体" w:hAnsi="宋体" w:cs="宋体"/>
          <w:color w:val="auto"/>
          <w:szCs w:val="21"/>
          <w:highlight w:val="none"/>
        </w:rPr>
        <w:t>日  期：</w:t>
      </w:r>
    </w:p>
    <w:p>
      <w:pPr>
        <w:ind w:firstLine="422"/>
        <w:rPr>
          <w:rFonts w:ascii="宋体" w:hAnsi="宋体" w:cs="宋体"/>
          <w:b/>
          <w:color w:val="auto"/>
          <w:szCs w:val="21"/>
          <w:highlight w:val="none"/>
        </w:rPr>
      </w:pPr>
      <w:r>
        <w:rPr>
          <w:rFonts w:hint="eastAsia" w:ascii="宋体" w:hAnsi="宋体" w:cs="宋体"/>
          <w:b/>
          <w:color w:val="auto"/>
          <w:szCs w:val="21"/>
          <w:highlight w:val="none"/>
        </w:rPr>
        <w:br w:type="page"/>
      </w:r>
      <w:r>
        <w:rPr>
          <w:rFonts w:hint="eastAsia" w:ascii="宋体" w:hAnsi="宋体" w:cs="宋体"/>
          <w:b/>
          <w:color w:val="auto"/>
          <w:szCs w:val="21"/>
          <w:highlight w:val="none"/>
        </w:rPr>
        <w:t>15、商务需求响应表</w:t>
      </w:r>
    </w:p>
    <w:p>
      <w:pPr>
        <w:snapToGrid w:val="0"/>
        <w:spacing w:before="50" w:after="50"/>
        <w:ind w:firstLine="420"/>
        <w:rPr>
          <w:rFonts w:ascii="宋体" w:hAnsi="宋体" w:cs="宋体"/>
          <w:color w:val="auto"/>
          <w:szCs w:val="21"/>
          <w:highlight w:val="none"/>
        </w:rPr>
      </w:pPr>
    </w:p>
    <w:p>
      <w:pPr>
        <w:snapToGrid w:val="0"/>
        <w:spacing w:before="50" w:after="50"/>
        <w:ind w:firstLine="420"/>
        <w:rPr>
          <w:rFonts w:ascii="宋体" w:hAnsi="宋体" w:cs="宋体"/>
          <w:color w:val="auto"/>
          <w:szCs w:val="21"/>
          <w:highlight w:val="none"/>
          <w:u w:val="single"/>
        </w:rPr>
      </w:pPr>
      <w:r>
        <w:rPr>
          <w:rFonts w:hint="eastAsia" w:ascii="宋体" w:hAnsi="宋体" w:cs="宋体"/>
          <w:color w:val="auto"/>
          <w:szCs w:val="21"/>
          <w:highlight w:val="none"/>
        </w:rPr>
        <w:t>项目编号：                          项目名称：</w:t>
      </w:r>
    </w:p>
    <w:tbl>
      <w:tblPr>
        <w:tblStyle w:val="37"/>
        <w:tblW w:w="8325"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21"/>
        <w:gridCol w:w="3059"/>
        <w:gridCol w:w="1455"/>
        <w:gridCol w:w="21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3" w:hRule="atLeast"/>
        </w:trPr>
        <w:tc>
          <w:tcPr>
            <w:tcW w:w="1621"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rPr>
                <w:rFonts w:ascii="宋体" w:hAnsi="宋体" w:cs="宋体"/>
                <w:color w:val="auto"/>
                <w:szCs w:val="21"/>
                <w:highlight w:val="none"/>
              </w:rPr>
            </w:pPr>
            <w:r>
              <w:rPr>
                <w:rFonts w:hint="eastAsia" w:ascii="宋体" w:hAnsi="宋体" w:cs="宋体"/>
                <w:color w:val="auto"/>
                <w:szCs w:val="21"/>
                <w:highlight w:val="none"/>
              </w:rPr>
              <w:t>条款号</w:t>
            </w:r>
          </w:p>
        </w:tc>
        <w:tc>
          <w:tcPr>
            <w:tcW w:w="3059"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455"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是否响应</w:t>
            </w:r>
          </w:p>
        </w:tc>
        <w:tc>
          <w:tcPr>
            <w:tcW w:w="2190"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投标人的承诺和说明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0" w:hRule="atLeast"/>
        </w:trPr>
        <w:tc>
          <w:tcPr>
            <w:tcW w:w="1621" w:type="dxa"/>
            <w:tcBorders>
              <w:top w:val="single" w:color="auto" w:sz="4" w:space="0"/>
              <w:left w:val="single" w:color="auto" w:sz="4" w:space="0"/>
              <w:bottom w:val="single" w:color="auto" w:sz="4" w:space="0"/>
              <w:right w:val="single" w:color="auto" w:sz="4" w:space="0"/>
            </w:tcBorders>
            <w:vAlign w:val="center"/>
          </w:tcPr>
          <w:p>
            <w:pPr>
              <w:ind w:firstLine="420"/>
              <w:rPr>
                <w:rFonts w:ascii="宋体" w:hAnsi="宋体" w:cs="宋体"/>
                <w:color w:val="auto"/>
                <w:highlight w:val="none"/>
              </w:rPr>
            </w:pPr>
          </w:p>
        </w:tc>
        <w:tc>
          <w:tcPr>
            <w:tcW w:w="3059" w:type="dxa"/>
            <w:tcBorders>
              <w:top w:val="single" w:color="auto" w:sz="4" w:space="0"/>
              <w:left w:val="single" w:color="auto" w:sz="4" w:space="0"/>
              <w:bottom w:val="single" w:color="auto" w:sz="4" w:space="0"/>
              <w:right w:val="single" w:color="auto" w:sz="4" w:space="0"/>
            </w:tcBorders>
            <w:vAlign w:val="center"/>
          </w:tcPr>
          <w:p>
            <w:pPr>
              <w:spacing w:line="400" w:lineRule="exact"/>
              <w:ind w:firstLine="420"/>
              <w:jc w:val="left"/>
              <w:rPr>
                <w:rFonts w:ascii="宋体" w:hAnsi="宋体" w:cs="宋体"/>
                <w:color w:val="auto"/>
                <w:highlight w:val="none"/>
              </w:rPr>
            </w:pPr>
          </w:p>
        </w:tc>
        <w:tc>
          <w:tcPr>
            <w:tcW w:w="1455" w:type="dxa"/>
            <w:tcBorders>
              <w:top w:val="single" w:color="auto" w:sz="4" w:space="0"/>
              <w:left w:val="single" w:color="auto" w:sz="4" w:space="0"/>
              <w:bottom w:val="single" w:color="auto" w:sz="4" w:space="0"/>
              <w:right w:val="single" w:color="auto" w:sz="4" w:space="0"/>
            </w:tcBorders>
          </w:tcPr>
          <w:p>
            <w:pPr>
              <w:snapToGrid w:val="0"/>
              <w:ind w:firstLine="420"/>
              <w:rPr>
                <w:rFonts w:ascii="宋体" w:hAnsi="宋体" w:cs="宋体"/>
                <w:color w:val="auto"/>
                <w:szCs w:val="21"/>
                <w:highlight w:val="none"/>
              </w:rPr>
            </w:pPr>
          </w:p>
        </w:tc>
        <w:tc>
          <w:tcPr>
            <w:tcW w:w="2190" w:type="dxa"/>
            <w:tcBorders>
              <w:top w:val="single" w:color="auto" w:sz="4" w:space="0"/>
              <w:left w:val="single" w:color="auto" w:sz="4" w:space="0"/>
              <w:bottom w:val="single" w:color="auto" w:sz="4" w:space="0"/>
              <w:right w:val="single" w:color="auto" w:sz="4" w:space="0"/>
            </w:tcBorders>
          </w:tcPr>
          <w:p>
            <w:pPr>
              <w:snapToGrid w:val="0"/>
              <w:ind w:firstLine="42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2" w:hRule="atLeast"/>
        </w:trPr>
        <w:tc>
          <w:tcPr>
            <w:tcW w:w="1621" w:type="dxa"/>
            <w:tcBorders>
              <w:top w:val="single" w:color="auto" w:sz="4" w:space="0"/>
              <w:left w:val="single" w:color="auto" w:sz="4" w:space="0"/>
              <w:bottom w:val="single" w:color="auto" w:sz="4" w:space="0"/>
              <w:right w:val="single" w:color="auto" w:sz="4" w:space="0"/>
            </w:tcBorders>
            <w:vAlign w:val="center"/>
          </w:tcPr>
          <w:p>
            <w:pPr>
              <w:ind w:firstLine="420"/>
              <w:jc w:val="center"/>
              <w:rPr>
                <w:rFonts w:ascii="宋体" w:hAnsi="宋体" w:cs="宋体"/>
                <w:color w:val="auto"/>
                <w:highlight w:val="none"/>
              </w:rPr>
            </w:pPr>
          </w:p>
        </w:tc>
        <w:tc>
          <w:tcPr>
            <w:tcW w:w="3059" w:type="dxa"/>
            <w:tcBorders>
              <w:top w:val="single" w:color="auto" w:sz="4" w:space="0"/>
              <w:left w:val="single" w:color="auto" w:sz="4" w:space="0"/>
              <w:bottom w:val="single" w:color="auto" w:sz="4" w:space="0"/>
              <w:right w:val="single" w:color="auto" w:sz="4" w:space="0"/>
            </w:tcBorders>
            <w:vAlign w:val="center"/>
          </w:tcPr>
          <w:p>
            <w:pPr>
              <w:ind w:firstLine="420"/>
              <w:rPr>
                <w:rFonts w:ascii="宋体" w:hAnsi="宋体" w:cs="宋体"/>
                <w:color w:val="auto"/>
                <w:highlight w:val="none"/>
              </w:rPr>
            </w:pPr>
          </w:p>
        </w:tc>
        <w:tc>
          <w:tcPr>
            <w:tcW w:w="1455" w:type="dxa"/>
            <w:tcBorders>
              <w:top w:val="single" w:color="auto" w:sz="4" w:space="0"/>
              <w:left w:val="single" w:color="auto" w:sz="4" w:space="0"/>
              <w:bottom w:val="single" w:color="auto" w:sz="4" w:space="0"/>
              <w:right w:val="single" w:color="auto" w:sz="4" w:space="0"/>
            </w:tcBorders>
          </w:tcPr>
          <w:p>
            <w:pPr>
              <w:snapToGrid w:val="0"/>
              <w:ind w:firstLine="420"/>
              <w:rPr>
                <w:rFonts w:ascii="宋体" w:hAnsi="宋体" w:cs="宋体"/>
                <w:color w:val="auto"/>
                <w:szCs w:val="21"/>
                <w:highlight w:val="none"/>
              </w:rPr>
            </w:pPr>
          </w:p>
        </w:tc>
        <w:tc>
          <w:tcPr>
            <w:tcW w:w="2190" w:type="dxa"/>
            <w:tcBorders>
              <w:top w:val="single" w:color="auto" w:sz="4" w:space="0"/>
              <w:left w:val="single" w:color="auto" w:sz="4" w:space="0"/>
              <w:bottom w:val="single" w:color="auto" w:sz="4" w:space="0"/>
              <w:right w:val="single" w:color="auto" w:sz="4" w:space="0"/>
            </w:tcBorders>
          </w:tcPr>
          <w:p>
            <w:pPr>
              <w:snapToGrid w:val="0"/>
              <w:ind w:firstLine="42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1621" w:type="dxa"/>
            <w:tcBorders>
              <w:top w:val="single" w:color="auto" w:sz="4" w:space="0"/>
              <w:left w:val="single" w:color="auto" w:sz="4" w:space="0"/>
              <w:bottom w:val="single" w:color="auto" w:sz="4" w:space="0"/>
              <w:right w:val="single" w:color="auto" w:sz="4" w:space="0"/>
            </w:tcBorders>
            <w:vAlign w:val="center"/>
          </w:tcPr>
          <w:p>
            <w:pPr>
              <w:ind w:firstLine="420"/>
              <w:jc w:val="center"/>
              <w:rPr>
                <w:rFonts w:ascii="宋体" w:hAnsi="宋体" w:cs="宋体"/>
                <w:color w:val="auto"/>
                <w:highlight w:val="none"/>
              </w:rPr>
            </w:pPr>
          </w:p>
        </w:tc>
        <w:tc>
          <w:tcPr>
            <w:tcW w:w="3059" w:type="dxa"/>
            <w:tcBorders>
              <w:top w:val="single" w:color="auto" w:sz="4" w:space="0"/>
              <w:left w:val="single" w:color="auto" w:sz="4" w:space="0"/>
              <w:bottom w:val="single" w:color="auto" w:sz="4" w:space="0"/>
              <w:right w:val="single" w:color="auto" w:sz="4" w:space="0"/>
            </w:tcBorders>
            <w:vAlign w:val="center"/>
          </w:tcPr>
          <w:p>
            <w:pPr>
              <w:spacing w:line="360" w:lineRule="exact"/>
              <w:ind w:firstLine="420"/>
              <w:rPr>
                <w:rFonts w:ascii="宋体" w:hAnsi="宋体" w:cs="宋体"/>
                <w:color w:val="auto"/>
                <w:highlight w:val="none"/>
              </w:rPr>
            </w:pPr>
          </w:p>
        </w:tc>
        <w:tc>
          <w:tcPr>
            <w:tcW w:w="1455" w:type="dxa"/>
            <w:tcBorders>
              <w:top w:val="single" w:color="auto" w:sz="4" w:space="0"/>
              <w:left w:val="single" w:color="auto" w:sz="4" w:space="0"/>
              <w:bottom w:val="single" w:color="auto" w:sz="4" w:space="0"/>
              <w:right w:val="single" w:color="auto" w:sz="4" w:space="0"/>
            </w:tcBorders>
          </w:tcPr>
          <w:p>
            <w:pPr>
              <w:snapToGrid w:val="0"/>
              <w:ind w:firstLine="420"/>
              <w:rPr>
                <w:rFonts w:ascii="宋体" w:hAnsi="宋体" w:cs="宋体"/>
                <w:color w:val="auto"/>
                <w:szCs w:val="21"/>
                <w:highlight w:val="none"/>
              </w:rPr>
            </w:pPr>
          </w:p>
        </w:tc>
        <w:tc>
          <w:tcPr>
            <w:tcW w:w="2190" w:type="dxa"/>
            <w:tcBorders>
              <w:top w:val="single" w:color="auto" w:sz="4" w:space="0"/>
              <w:left w:val="single" w:color="auto" w:sz="4" w:space="0"/>
              <w:bottom w:val="single" w:color="auto" w:sz="4" w:space="0"/>
              <w:right w:val="single" w:color="auto" w:sz="4" w:space="0"/>
            </w:tcBorders>
          </w:tcPr>
          <w:p>
            <w:pPr>
              <w:snapToGrid w:val="0"/>
              <w:ind w:firstLine="42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6" w:hRule="atLeast"/>
        </w:trPr>
        <w:tc>
          <w:tcPr>
            <w:tcW w:w="1621" w:type="dxa"/>
            <w:tcBorders>
              <w:top w:val="single" w:color="auto" w:sz="4" w:space="0"/>
              <w:left w:val="single" w:color="auto" w:sz="4" w:space="0"/>
              <w:bottom w:val="single" w:color="auto" w:sz="4" w:space="0"/>
              <w:right w:val="single" w:color="auto" w:sz="4" w:space="0"/>
            </w:tcBorders>
            <w:vAlign w:val="center"/>
          </w:tcPr>
          <w:p>
            <w:pPr>
              <w:ind w:firstLine="420"/>
              <w:jc w:val="center"/>
              <w:rPr>
                <w:rFonts w:ascii="宋体" w:hAnsi="宋体" w:cs="宋体"/>
                <w:color w:val="auto"/>
                <w:highlight w:val="none"/>
              </w:rPr>
            </w:pPr>
          </w:p>
        </w:tc>
        <w:tc>
          <w:tcPr>
            <w:tcW w:w="3059" w:type="dxa"/>
            <w:tcBorders>
              <w:top w:val="single" w:color="auto" w:sz="4" w:space="0"/>
              <w:left w:val="single" w:color="auto" w:sz="4" w:space="0"/>
              <w:bottom w:val="single" w:color="auto" w:sz="4" w:space="0"/>
              <w:right w:val="single" w:color="auto" w:sz="4" w:space="0"/>
            </w:tcBorders>
            <w:vAlign w:val="center"/>
          </w:tcPr>
          <w:p>
            <w:pPr>
              <w:ind w:firstLine="420"/>
              <w:rPr>
                <w:rFonts w:ascii="宋体" w:hAnsi="宋体" w:cs="宋体"/>
                <w:color w:val="auto"/>
                <w:highlight w:val="none"/>
              </w:rPr>
            </w:pPr>
          </w:p>
        </w:tc>
        <w:tc>
          <w:tcPr>
            <w:tcW w:w="1455" w:type="dxa"/>
            <w:tcBorders>
              <w:top w:val="single" w:color="auto" w:sz="4" w:space="0"/>
              <w:left w:val="single" w:color="auto" w:sz="4" w:space="0"/>
              <w:bottom w:val="single" w:color="auto" w:sz="4" w:space="0"/>
              <w:right w:val="single" w:color="auto" w:sz="4" w:space="0"/>
            </w:tcBorders>
          </w:tcPr>
          <w:p>
            <w:pPr>
              <w:snapToGrid w:val="0"/>
              <w:ind w:firstLine="420"/>
              <w:rPr>
                <w:rFonts w:ascii="宋体" w:hAnsi="宋体" w:cs="宋体"/>
                <w:color w:val="auto"/>
                <w:szCs w:val="21"/>
                <w:highlight w:val="none"/>
              </w:rPr>
            </w:pPr>
          </w:p>
        </w:tc>
        <w:tc>
          <w:tcPr>
            <w:tcW w:w="2190" w:type="dxa"/>
            <w:tcBorders>
              <w:top w:val="single" w:color="auto" w:sz="4" w:space="0"/>
              <w:left w:val="single" w:color="auto" w:sz="4" w:space="0"/>
              <w:bottom w:val="single" w:color="auto" w:sz="4" w:space="0"/>
              <w:right w:val="single" w:color="auto" w:sz="4" w:space="0"/>
            </w:tcBorders>
          </w:tcPr>
          <w:p>
            <w:pPr>
              <w:snapToGrid w:val="0"/>
              <w:ind w:firstLine="420"/>
              <w:rPr>
                <w:rFonts w:ascii="宋体" w:hAnsi="宋体" w:cs="宋体"/>
                <w:color w:val="auto"/>
                <w:szCs w:val="21"/>
                <w:highlight w:val="none"/>
              </w:rPr>
            </w:pPr>
          </w:p>
        </w:tc>
      </w:tr>
    </w:tbl>
    <w:p>
      <w:pPr>
        <w:ind w:firstLine="420"/>
        <w:rPr>
          <w:rFonts w:ascii="宋体" w:hAnsi="宋体" w:cs="宋体"/>
          <w:color w:val="auto"/>
          <w:szCs w:val="21"/>
          <w:highlight w:val="none"/>
        </w:rPr>
      </w:pPr>
      <w:r>
        <w:rPr>
          <w:rFonts w:hint="eastAsia" w:ascii="宋体" w:hAnsi="宋体" w:cs="宋体"/>
          <w:color w:val="auto"/>
          <w:szCs w:val="21"/>
          <w:highlight w:val="none"/>
        </w:rPr>
        <w:t>注：1、商务需求具体见招标文件第二章一、商务需求，第三章投标人须知前附表以及第</w:t>
      </w:r>
      <w:r>
        <w:rPr>
          <w:rFonts w:hint="eastAsia" w:ascii="宋体" w:hAnsi="宋体" w:cs="宋体"/>
          <w:color w:val="auto"/>
          <w:highlight w:val="none"/>
        </w:rPr>
        <w:t>五章政府采购合同主要条款</w:t>
      </w:r>
      <w:r>
        <w:rPr>
          <w:rFonts w:hint="eastAsia" w:ascii="宋体" w:hAnsi="宋体" w:cs="宋体"/>
          <w:color w:val="auto"/>
          <w:szCs w:val="21"/>
          <w:highlight w:val="none"/>
        </w:rPr>
        <w:t xml:space="preserve">等内容； </w:t>
      </w:r>
    </w:p>
    <w:p>
      <w:pPr>
        <w:spacing w:line="588" w:lineRule="exact"/>
        <w:ind w:firstLine="420"/>
        <w:rPr>
          <w:rFonts w:ascii="宋体" w:hAnsi="宋体" w:cs="宋体"/>
          <w:color w:val="auto"/>
          <w:szCs w:val="21"/>
          <w:highlight w:val="none"/>
        </w:rPr>
      </w:pPr>
      <w:r>
        <w:rPr>
          <w:rFonts w:hint="eastAsia" w:ascii="宋体" w:hAnsi="宋体" w:cs="宋体"/>
          <w:color w:val="auto"/>
          <w:szCs w:val="21"/>
          <w:highlight w:val="none"/>
        </w:rPr>
        <w:t>2、若无偏离应在本表空白处醒目地注明“无商务条款偏离”的字样。</w:t>
      </w:r>
    </w:p>
    <w:p>
      <w:pPr>
        <w:spacing w:line="588" w:lineRule="exact"/>
        <w:ind w:firstLine="420"/>
        <w:rPr>
          <w:rFonts w:ascii="宋体" w:hAnsi="宋体" w:cs="宋体"/>
          <w:color w:val="auto"/>
          <w:szCs w:val="21"/>
          <w:highlight w:val="none"/>
        </w:rPr>
      </w:pPr>
    </w:p>
    <w:p>
      <w:pPr>
        <w:adjustRightInd w:val="0"/>
        <w:snapToGrid w:val="0"/>
        <w:spacing w:before="120" w:after="120"/>
        <w:ind w:firstLine="420"/>
        <w:rPr>
          <w:rFonts w:ascii="宋体" w:hAnsi="宋体" w:cs="宋体"/>
          <w:color w:val="auto"/>
          <w:szCs w:val="21"/>
          <w:highlight w:val="none"/>
        </w:rPr>
      </w:pPr>
      <w:r>
        <w:rPr>
          <w:rFonts w:hint="eastAsia" w:ascii="宋体" w:hAnsi="宋体" w:cs="宋体"/>
          <w:color w:val="auto"/>
          <w:szCs w:val="21"/>
          <w:highlight w:val="none"/>
        </w:rPr>
        <w:t>投标人（盖章）：</w:t>
      </w:r>
    </w:p>
    <w:p>
      <w:pPr>
        <w:snapToGrid w:val="0"/>
        <w:ind w:firstLine="420"/>
        <w:rPr>
          <w:rFonts w:ascii="宋体" w:hAnsi="宋体" w:cs="宋体"/>
          <w:color w:val="auto"/>
          <w:szCs w:val="21"/>
          <w:highlight w:val="none"/>
        </w:rPr>
        <w:sectPr>
          <w:pgSz w:w="11906" w:h="16838"/>
          <w:pgMar w:top="1474" w:right="1797" w:bottom="1247" w:left="1797" w:header="851" w:footer="851" w:gutter="0"/>
          <w:cols w:space="720" w:num="1"/>
          <w:titlePg/>
          <w:docGrid w:linePitch="312" w:charSpace="0"/>
        </w:sectPr>
      </w:pPr>
      <w:r>
        <w:rPr>
          <w:rFonts w:hint="eastAsia" w:ascii="宋体" w:hAnsi="宋体" w:cs="宋体"/>
          <w:color w:val="auto"/>
          <w:szCs w:val="21"/>
          <w:highlight w:val="none"/>
        </w:rPr>
        <w:t>日  期：</w:t>
      </w:r>
    </w:p>
    <w:p>
      <w:pPr>
        <w:ind w:firstLine="422"/>
        <w:rPr>
          <w:rFonts w:ascii="宋体" w:hAnsi="宋体" w:cs="宋体"/>
          <w:b/>
          <w:color w:val="auto"/>
          <w:szCs w:val="21"/>
          <w:highlight w:val="none"/>
        </w:rPr>
      </w:pPr>
      <w:r>
        <w:rPr>
          <w:rFonts w:hint="eastAsia" w:ascii="宋体" w:hAnsi="宋体" w:cs="宋体"/>
          <w:b/>
          <w:color w:val="auto"/>
          <w:szCs w:val="21"/>
          <w:highlight w:val="none"/>
        </w:rPr>
        <w:t>16、技术需求响应表</w:t>
      </w:r>
    </w:p>
    <w:p>
      <w:pPr>
        <w:snapToGrid w:val="0"/>
        <w:spacing w:before="50" w:after="50"/>
        <w:ind w:firstLine="420"/>
        <w:rPr>
          <w:rFonts w:ascii="宋体" w:hAnsi="宋体" w:cs="宋体"/>
          <w:color w:val="auto"/>
          <w:szCs w:val="21"/>
          <w:highlight w:val="none"/>
        </w:rPr>
      </w:pPr>
    </w:p>
    <w:p>
      <w:pPr>
        <w:snapToGrid w:val="0"/>
        <w:spacing w:before="50" w:after="50"/>
        <w:ind w:firstLine="420"/>
        <w:rPr>
          <w:rFonts w:ascii="宋体" w:hAnsi="宋体" w:cs="宋体"/>
          <w:color w:val="auto"/>
          <w:szCs w:val="21"/>
          <w:highlight w:val="none"/>
          <w:u w:val="single"/>
        </w:rPr>
      </w:pPr>
      <w:r>
        <w:rPr>
          <w:rFonts w:hint="eastAsia" w:ascii="宋体" w:hAnsi="宋体" w:cs="宋体"/>
          <w:color w:val="auto"/>
          <w:szCs w:val="21"/>
          <w:highlight w:val="none"/>
        </w:rPr>
        <w:t>项目编号：                          项目名称：</w:t>
      </w:r>
    </w:p>
    <w:tbl>
      <w:tblPr>
        <w:tblStyle w:val="37"/>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21"/>
        <w:gridCol w:w="3059"/>
        <w:gridCol w:w="1455"/>
        <w:gridCol w:w="21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3" w:hRule="atLeast"/>
        </w:trPr>
        <w:tc>
          <w:tcPr>
            <w:tcW w:w="1621"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rPr>
                <w:rFonts w:ascii="宋体" w:hAnsi="宋体" w:cs="宋体"/>
                <w:color w:val="auto"/>
                <w:szCs w:val="21"/>
                <w:highlight w:val="none"/>
              </w:rPr>
            </w:pPr>
            <w:r>
              <w:rPr>
                <w:rFonts w:hint="eastAsia" w:ascii="宋体" w:hAnsi="宋体" w:cs="宋体"/>
                <w:color w:val="auto"/>
                <w:szCs w:val="21"/>
                <w:highlight w:val="none"/>
              </w:rPr>
              <w:t>条款号</w:t>
            </w:r>
          </w:p>
        </w:tc>
        <w:tc>
          <w:tcPr>
            <w:tcW w:w="3059"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455"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是否响应</w:t>
            </w:r>
          </w:p>
        </w:tc>
        <w:tc>
          <w:tcPr>
            <w:tcW w:w="2190"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投标人的承诺和说明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0" w:hRule="atLeast"/>
        </w:trPr>
        <w:tc>
          <w:tcPr>
            <w:tcW w:w="1621" w:type="dxa"/>
            <w:tcBorders>
              <w:top w:val="single" w:color="auto" w:sz="4" w:space="0"/>
              <w:left w:val="single" w:color="auto" w:sz="4" w:space="0"/>
              <w:bottom w:val="single" w:color="auto" w:sz="4" w:space="0"/>
              <w:right w:val="single" w:color="auto" w:sz="4" w:space="0"/>
            </w:tcBorders>
            <w:vAlign w:val="center"/>
          </w:tcPr>
          <w:p>
            <w:pPr>
              <w:ind w:firstLine="420"/>
              <w:rPr>
                <w:rFonts w:ascii="宋体" w:hAnsi="宋体" w:cs="宋体"/>
                <w:color w:val="auto"/>
                <w:highlight w:val="none"/>
              </w:rPr>
            </w:pPr>
          </w:p>
        </w:tc>
        <w:tc>
          <w:tcPr>
            <w:tcW w:w="3059" w:type="dxa"/>
            <w:tcBorders>
              <w:top w:val="single" w:color="auto" w:sz="4" w:space="0"/>
              <w:left w:val="single" w:color="auto" w:sz="4" w:space="0"/>
              <w:bottom w:val="single" w:color="auto" w:sz="4" w:space="0"/>
              <w:right w:val="single" w:color="auto" w:sz="4" w:space="0"/>
            </w:tcBorders>
            <w:vAlign w:val="center"/>
          </w:tcPr>
          <w:p>
            <w:pPr>
              <w:spacing w:line="400" w:lineRule="exact"/>
              <w:ind w:firstLine="420"/>
              <w:jc w:val="left"/>
              <w:rPr>
                <w:rFonts w:ascii="宋体" w:hAnsi="宋体" w:cs="宋体"/>
                <w:color w:val="auto"/>
                <w:highlight w:val="none"/>
              </w:rPr>
            </w:pPr>
          </w:p>
        </w:tc>
        <w:tc>
          <w:tcPr>
            <w:tcW w:w="1455" w:type="dxa"/>
            <w:tcBorders>
              <w:top w:val="single" w:color="auto" w:sz="4" w:space="0"/>
              <w:left w:val="single" w:color="auto" w:sz="4" w:space="0"/>
              <w:bottom w:val="single" w:color="auto" w:sz="4" w:space="0"/>
              <w:right w:val="single" w:color="auto" w:sz="4" w:space="0"/>
            </w:tcBorders>
          </w:tcPr>
          <w:p>
            <w:pPr>
              <w:snapToGrid w:val="0"/>
              <w:ind w:firstLine="420"/>
              <w:rPr>
                <w:rFonts w:ascii="宋体" w:hAnsi="宋体" w:cs="宋体"/>
                <w:color w:val="auto"/>
                <w:szCs w:val="21"/>
                <w:highlight w:val="none"/>
              </w:rPr>
            </w:pPr>
          </w:p>
        </w:tc>
        <w:tc>
          <w:tcPr>
            <w:tcW w:w="2190" w:type="dxa"/>
            <w:tcBorders>
              <w:top w:val="single" w:color="auto" w:sz="4" w:space="0"/>
              <w:left w:val="single" w:color="auto" w:sz="4" w:space="0"/>
              <w:bottom w:val="single" w:color="auto" w:sz="4" w:space="0"/>
              <w:right w:val="single" w:color="auto" w:sz="4" w:space="0"/>
            </w:tcBorders>
          </w:tcPr>
          <w:p>
            <w:pPr>
              <w:snapToGrid w:val="0"/>
              <w:ind w:firstLine="42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2" w:hRule="atLeast"/>
        </w:trPr>
        <w:tc>
          <w:tcPr>
            <w:tcW w:w="1621" w:type="dxa"/>
            <w:tcBorders>
              <w:top w:val="single" w:color="auto" w:sz="4" w:space="0"/>
              <w:left w:val="single" w:color="auto" w:sz="4" w:space="0"/>
              <w:bottom w:val="single" w:color="auto" w:sz="4" w:space="0"/>
              <w:right w:val="single" w:color="auto" w:sz="4" w:space="0"/>
            </w:tcBorders>
            <w:vAlign w:val="center"/>
          </w:tcPr>
          <w:p>
            <w:pPr>
              <w:ind w:firstLine="420"/>
              <w:jc w:val="center"/>
              <w:rPr>
                <w:rFonts w:ascii="宋体" w:hAnsi="宋体" w:cs="宋体"/>
                <w:color w:val="auto"/>
                <w:highlight w:val="none"/>
              </w:rPr>
            </w:pPr>
          </w:p>
        </w:tc>
        <w:tc>
          <w:tcPr>
            <w:tcW w:w="3059" w:type="dxa"/>
            <w:tcBorders>
              <w:top w:val="single" w:color="auto" w:sz="4" w:space="0"/>
              <w:left w:val="single" w:color="auto" w:sz="4" w:space="0"/>
              <w:bottom w:val="single" w:color="auto" w:sz="4" w:space="0"/>
              <w:right w:val="single" w:color="auto" w:sz="4" w:space="0"/>
            </w:tcBorders>
            <w:vAlign w:val="center"/>
          </w:tcPr>
          <w:p>
            <w:pPr>
              <w:ind w:firstLine="420"/>
              <w:rPr>
                <w:rFonts w:ascii="宋体" w:hAnsi="宋体" w:cs="宋体"/>
                <w:color w:val="auto"/>
                <w:highlight w:val="none"/>
              </w:rPr>
            </w:pPr>
          </w:p>
        </w:tc>
        <w:tc>
          <w:tcPr>
            <w:tcW w:w="1455" w:type="dxa"/>
            <w:tcBorders>
              <w:top w:val="single" w:color="auto" w:sz="4" w:space="0"/>
              <w:left w:val="single" w:color="auto" w:sz="4" w:space="0"/>
              <w:bottom w:val="single" w:color="auto" w:sz="4" w:space="0"/>
              <w:right w:val="single" w:color="auto" w:sz="4" w:space="0"/>
            </w:tcBorders>
          </w:tcPr>
          <w:p>
            <w:pPr>
              <w:snapToGrid w:val="0"/>
              <w:ind w:firstLine="420"/>
              <w:rPr>
                <w:rFonts w:ascii="宋体" w:hAnsi="宋体" w:cs="宋体"/>
                <w:color w:val="auto"/>
                <w:szCs w:val="21"/>
                <w:highlight w:val="none"/>
              </w:rPr>
            </w:pPr>
          </w:p>
        </w:tc>
        <w:tc>
          <w:tcPr>
            <w:tcW w:w="2190" w:type="dxa"/>
            <w:tcBorders>
              <w:top w:val="single" w:color="auto" w:sz="4" w:space="0"/>
              <w:left w:val="single" w:color="auto" w:sz="4" w:space="0"/>
              <w:bottom w:val="single" w:color="auto" w:sz="4" w:space="0"/>
              <w:right w:val="single" w:color="auto" w:sz="4" w:space="0"/>
            </w:tcBorders>
          </w:tcPr>
          <w:p>
            <w:pPr>
              <w:snapToGrid w:val="0"/>
              <w:ind w:firstLine="42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1621" w:type="dxa"/>
            <w:tcBorders>
              <w:top w:val="single" w:color="auto" w:sz="4" w:space="0"/>
              <w:left w:val="single" w:color="auto" w:sz="4" w:space="0"/>
              <w:bottom w:val="single" w:color="auto" w:sz="4" w:space="0"/>
              <w:right w:val="single" w:color="auto" w:sz="4" w:space="0"/>
            </w:tcBorders>
            <w:vAlign w:val="center"/>
          </w:tcPr>
          <w:p>
            <w:pPr>
              <w:ind w:firstLine="420"/>
              <w:jc w:val="center"/>
              <w:rPr>
                <w:rFonts w:ascii="宋体" w:hAnsi="宋体" w:cs="宋体"/>
                <w:color w:val="auto"/>
                <w:highlight w:val="none"/>
              </w:rPr>
            </w:pPr>
          </w:p>
        </w:tc>
        <w:tc>
          <w:tcPr>
            <w:tcW w:w="3059" w:type="dxa"/>
            <w:tcBorders>
              <w:top w:val="single" w:color="auto" w:sz="4" w:space="0"/>
              <w:left w:val="single" w:color="auto" w:sz="4" w:space="0"/>
              <w:bottom w:val="single" w:color="auto" w:sz="4" w:space="0"/>
              <w:right w:val="single" w:color="auto" w:sz="4" w:space="0"/>
            </w:tcBorders>
            <w:vAlign w:val="center"/>
          </w:tcPr>
          <w:p>
            <w:pPr>
              <w:spacing w:line="360" w:lineRule="exact"/>
              <w:ind w:firstLine="420"/>
              <w:rPr>
                <w:rFonts w:ascii="宋体" w:hAnsi="宋体" w:cs="宋体"/>
                <w:color w:val="auto"/>
                <w:highlight w:val="none"/>
              </w:rPr>
            </w:pPr>
          </w:p>
        </w:tc>
        <w:tc>
          <w:tcPr>
            <w:tcW w:w="1455" w:type="dxa"/>
            <w:tcBorders>
              <w:top w:val="single" w:color="auto" w:sz="4" w:space="0"/>
              <w:left w:val="single" w:color="auto" w:sz="4" w:space="0"/>
              <w:bottom w:val="single" w:color="auto" w:sz="4" w:space="0"/>
              <w:right w:val="single" w:color="auto" w:sz="4" w:space="0"/>
            </w:tcBorders>
          </w:tcPr>
          <w:p>
            <w:pPr>
              <w:snapToGrid w:val="0"/>
              <w:ind w:firstLine="420"/>
              <w:rPr>
                <w:rFonts w:ascii="宋体" w:hAnsi="宋体" w:cs="宋体"/>
                <w:color w:val="auto"/>
                <w:szCs w:val="21"/>
                <w:highlight w:val="none"/>
              </w:rPr>
            </w:pPr>
          </w:p>
        </w:tc>
        <w:tc>
          <w:tcPr>
            <w:tcW w:w="2190" w:type="dxa"/>
            <w:tcBorders>
              <w:top w:val="single" w:color="auto" w:sz="4" w:space="0"/>
              <w:left w:val="single" w:color="auto" w:sz="4" w:space="0"/>
              <w:bottom w:val="single" w:color="auto" w:sz="4" w:space="0"/>
              <w:right w:val="single" w:color="auto" w:sz="4" w:space="0"/>
            </w:tcBorders>
          </w:tcPr>
          <w:p>
            <w:pPr>
              <w:snapToGrid w:val="0"/>
              <w:ind w:firstLine="42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6" w:hRule="atLeast"/>
        </w:trPr>
        <w:tc>
          <w:tcPr>
            <w:tcW w:w="1621" w:type="dxa"/>
            <w:tcBorders>
              <w:top w:val="single" w:color="auto" w:sz="4" w:space="0"/>
              <w:left w:val="single" w:color="auto" w:sz="4" w:space="0"/>
              <w:bottom w:val="single" w:color="auto" w:sz="4" w:space="0"/>
              <w:right w:val="single" w:color="auto" w:sz="4" w:space="0"/>
            </w:tcBorders>
            <w:vAlign w:val="center"/>
          </w:tcPr>
          <w:p>
            <w:pPr>
              <w:ind w:firstLine="420"/>
              <w:jc w:val="center"/>
              <w:rPr>
                <w:rFonts w:ascii="宋体" w:hAnsi="宋体" w:cs="宋体"/>
                <w:color w:val="auto"/>
                <w:highlight w:val="none"/>
              </w:rPr>
            </w:pPr>
          </w:p>
        </w:tc>
        <w:tc>
          <w:tcPr>
            <w:tcW w:w="3059" w:type="dxa"/>
            <w:tcBorders>
              <w:top w:val="single" w:color="auto" w:sz="4" w:space="0"/>
              <w:left w:val="single" w:color="auto" w:sz="4" w:space="0"/>
              <w:bottom w:val="single" w:color="auto" w:sz="4" w:space="0"/>
              <w:right w:val="single" w:color="auto" w:sz="4" w:space="0"/>
            </w:tcBorders>
            <w:vAlign w:val="center"/>
          </w:tcPr>
          <w:p>
            <w:pPr>
              <w:ind w:firstLine="420"/>
              <w:rPr>
                <w:rFonts w:ascii="宋体" w:hAnsi="宋体" w:cs="宋体"/>
                <w:color w:val="auto"/>
                <w:highlight w:val="none"/>
              </w:rPr>
            </w:pPr>
          </w:p>
        </w:tc>
        <w:tc>
          <w:tcPr>
            <w:tcW w:w="1455" w:type="dxa"/>
            <w:tcBorders>
              <w:top w:val="single" w:color="auto" w:sz="4" w:space="0"/>
              <w:left w:val="single" w:color="auto" w:sz="4" w:space="0"/>
              <w:bottom w:val="single" w:color="auto" w:sz="4" w:space="0"/>
              <w:right w:val="single" w:color="auto" w:sz="4" w:space="0"/>
            </w:tcBorders>
          </w:tcPr>
          <w:p>
            <w:pPr>
              <w:snapToGrid w:val="0"/>
              <w:ind w:firstLine="420"/>
              <w:rPr>
                <w:rFonts w:ascii="宋体" w:hAnsi="宋体" w:cs="宋体"/>
                <w:color w:val="auto"/>
                <w:szCs w:val="21"/>
                <w:highlight w:val="none"/>
              </w:rPr>
            </w:pPr>
          </w:p>
        </w:tc>
        <w:tc>
          <w:tcPr>
            <w:tcW w:w="2190" w:type="dxa"/>
            <w:tcBorders>
              <w:top w:val="single" w:color="auto" w:sz="4" w:space="0"/>
              <w:left w:val="single" w:color="auto" w:sz="4" w:space="0"/>
              <w:bottom w:val="single" w:color="auto" w:sz="4" w:space="0"/>
              <w:right w:val="single" w:color="auto" w:sz="4" w:space="0"/>
            </w:tcBorders>
          </w:tcPr>
          <w:p>
            <w:pPr>
              <w:snapToGrid w:val="0"/>
              <w:ind w:firstLine="420"/>
              <w:rPr>
                <w:rFonts w:ascii="宋体" w:hAnsi="宋体" w:cs="宋体"/>
                <w:color w:val="auto"/>
                <w:szCs w:val="21"/>
                <w:highlight w:val="none"/>
              </w:rPr>
            </w:pPr>
          </w:p>
        </w:tc>
      </w:tr>
    </w:tbl>
    <w:p>
      <w:pPr>
        <w:ind w:firstLine="420"/>
        <w:rPr>
          <w:rFonts w:ascii="宋体" w:hAnsi="宋体" w:cs="宋体"/>
          <w:color w:val="auto"/>
          <w:szCs w:val="21"/>
          <w:highlight w:val="none"/>
        </w:rPr>
      </w:pPr>
      <w:r>
        <w:rPr>
          <w:rFonts w:hint="eastAsia" w:ascii="宋体" w:hAnsi="宋体" w:cs="宋体"/>
          <w:color w:val="auto"/>
          <w:szCs w:val="21"/>
          <w:highlight w:val="none"/>
        </w:rPr>
        <w:t xml:space="preserve">注：1、技术需求具体见招标文件第二章二、技术需求； </w:t>
      </w:r>
    </w:p>
    <w:p>
      <w:pPr>
        <w:ind w:firstLine="840" w:firstLineChars="400"/>
        <w:rPr>
          <w:rFonts w:ascii="宋体" w:hAnsi="宋体" w:cs="宋体"/>
          <w:color w:val="auto"/>
          <w:szCs w:val="21"/>
          <w:highlight w:val="none"/>
        </w:rPr>
      </w:pPr>
      <w:r>
        <w:rPr>
          <w:rFonts w:hint="eastAsia" w:ascii="宋体" w:hAnsi="宋体" w:cs="宋体"/>
          <w:color w:val="auto"/>
          <w:szCs w:val="21"/>
          <w:highlight w:val="none"/>
        </w:rPr>
        <w:t>2、若无偏离应在本表空白处醒目地注明“无技术条款偏离”的字样。</w:t>
      </w:r>
    </w:p>
    <w:p>
      <w:pPr>
        <w:spacing w:line="588" w:lineRule="exact"/>
        <w:ind w:firstLine="420"/>
        <w:rPr>
          <w:rFonts w:ascii="宋体" w:hAnsi="宋体" w:cs="宋体"/>
          <w:color w:val="auto"/>
          <w:szCs w:val="21"/>
          <w:highlight w:val="none"/>
        </w:rPr>
      </w:pPr>
    </w:p>
    <w:p>
      <w:pPr>
        <w:adjustRightInd w:val="0"/>
        <w:snapToGrid w:val="0"/>
        <w:spacing w:before="120" w:after="120"/>
        <w:ind w:firstLine="420"/>
        <w:rPr>
          <w:rFonts w:ascii="宋体" w:hAnsi="宋体" w:cs="宋体"/>
          <w:color w:val="auto"/>
          <w:szCs w:val="21"/>
          <w:highlight w:val="none"/>
        </w:rPr>
      </w:pPr>
      <w:r>
        <w:rPr>
          <w:rFonts w:hint="eastAsia" w:ascii="宋体" w:hAnsi="宋体" w:cs="宋体"/>
          <w:color w:val="auto"/>
          <w:szCs w:val="21"/>
          <w:highlight w:val="none"/>
        </w:rPr>
        <w:t>投标人（盖章）：</w:t>
      </w:r>
    </w:p>
    <w:p>
      <w:pPr>
        <w:snapToGrid w:val="0"/>
        <w:ind w:firstLine="420"/>
        <w:rPr>
          <w:rFonts w:ascii="宋体" w:hAnsi="宋体" w:cs="宋体"/>
          <w:b/>
          <w:color w:val="auto"/>
          <w:szCs w:val="21"/>
          <w:highlight w:val="none"/>
        </w:rPr>
      </w:pPr>
      <w:r>
        <w:rPr>
          <w:rFonts w:hint="eastAsia" w:ascii="宋体" w:hAnsi="宋体" w:cs="宋体"/>
          <w:color w:val="auto"/>
          <w:szCs w:val="21"/>
          <w:highlight w:val="none"/>
        </w:rPr>
        <w:t>日  期：</w:t>
      </w:r>
    </w:p>
    <w:p>
      <w:pPr>
        <w:snapToGrid w:val="0"/>
        <w:ind w:firstLine="422"/>
        <w:rPr>
          <w:rFonts w:ascii="宋体" w:hAnsi="宋体" w:cs="宋体"/>
          <w:b/>
          <w:color w:val="auto"/>
          <w:szCs w:val="21"/>
          <w:highlight w:val="none"/>
        </w:rPr>
      </w:pPr>
    </w:p>
    <w:p>
      <w:pPr>
        <w:pStyle w:val="2"/>
        <w:ind w:firstLine="562"/>
        <w:rPr>
          <w:rFonts w:ascii="宋体" w:hAnsi="宋体" w:eastAsia="宋体" w:cs="宋体"/>
          <w:b/>
          <w:color w:val="auto"/>
          <w:szCs w:val="21"/>
          <w:highlight w:val="none"/>
        </w:rPr>
      </w:pPr>
    </w:p>
    <w:p>
      <w:pPr>
        <w:pStyle w:val="2"/>
        <w:ind w:firstLine="562"/>
        <w:rPr>
          <w:rFonts w:ascii="宋体" w:hAnsi="宋体" w:eastAsia="宋体" w:cs="宋体"/>
          <w:b/>
          <w:color w:val="auto"/>
          <w:szCs w:val="21"/>
          <w:highlight w:val="none"/>
        </w:rPr>
      </w:pPr>
    </w:p>
    <w:p>
      <w:pPr>
        <w:pStyle w:val="2"/>
        <w:ind w:firstLine="562"/>
        <w:rPr>
          <w:rFonts w:ascii="宋体" w:hAnsi="宋体" w:eastAsia="宋体" w:cs="宋体"/>
          <w:b/>
          <w:color w:val="auto"/>
          <w:szCs w:val="21"/>
          <w:highlight w:val="none"/>
        </w:rPr>
      </w:pPr>
    </w:p>
    <w:p>
      <w:pPr>
        <w:pStyle w:val="2"/>
        <w:ind w:firstLine="562"/>
        <w:rPr>
          <w:rFonts w:ascii="宋体" w:hAnsi="宋体" w:eastAsia="宋体" w:cs="宋体"/>
          <w:b/>
          <w:color w:val="auto"/>
          <w:szCs w:val="21"/>
          <w:highlight w:val="none"/>
        </w:rPr>
      </w:pPr>
    </w:p>
    <w:p>
      <w:pPr>
        <w:pStyle w:val="2"/>
        <w:ind w:firstLine="562"/>
        <w:rPr>
          <w:rFonts w:ascii="宋体" w:hAnsi="宋体" w:eastAsia="宋体" w:cs="宋体"/>
          <w:b/>
          <w:color w:val="auto"/>
          <w:szCs w:val="21"/>
          <w:highlight w:val="none"/>
        </w:rPr>
      </w:pPr>
    </w:p>
    <w:p>
      <w:pPr>
        <w:pStyle w:val="2"/>
        <w:ind w:firstLine="562"/>
        <w:rPr>
          <w:rFonts w:ascii="宋体" w:hAnsi="宋体" w:eastAsia="宋体" w:cs="宋体"/>
          <w:b/>
          <w:color w:val="auto"/>
          <w:szCs w:val="21"/>
          <w:highlight w:val="none"/>
        </w:rPr>
      </w:pPr>
    </w:p>
    <w:p>
      <w:pPr>
        <w:pStyle w:val="2"/>
        <w:ind w:firstLine="562"/>
        <w:rPr>
          <w:rFonts w:ascii="宋体" w:hAnsi="宋体" w:eastAsia="宋体" w:cs="宋体"/>
          <w:b/>
          <w:color w:val="auto"/>
          <w:szCs w:val="21"/>
          <w:highlight w:val="none"/>
        </w:rPr>
      </w:pPr>
    </w:p>
    <w:p>
      <w:pPr>
        <w:pStyle w:val="2"/>
        <w:ind w:firstLine="562"/>
        <w:rPr>
          <w:rFonts w:ascii="宋体" w:hAnsi="宋体" w:eastAsia="宋体" w:cs="宋体"/>
          <w:b/>
          <w:color w:val="auto"/>
          <w:szCs w:val="21"/>
          <w:highlight w:val="none"/>
        </w:rPr>
      </w:pPr>
    </w:p>
    <w:p>
      <w:pPr>
        <w:pStyle w:val="2"/>
        <w:ind w:firstLine="562"/>
        <w:rPr>
          <w:rFonts w:ascii="宋体" w:hAnsi="宋体" w:eastAsia="宋体" w:cs="宋体"/>
          <w:b/>
          <w:color w:val="auto"/>
          <w:szCs w:val="21"/>
          <w:highlight w:val="none"/>
        </w:rPr>
      </w:pPr>
    </w:p>
    <w:p>
      <w:pPr>
        <w:snapToGrid w:val="0"/>
        <w:ind w:firstLine="422"/>
        <w:rPr>
          <w:rFonts w:ascii="宋体" w:hAnsi="宋体" w:cs="宋体"/>
          <w:b/>
          <w:bCs/>
          <w:color w:val="auto"/>
          <w:szCs w:val="21"/>
          <w:highlight w:val="none"/>
        </w:rPr>
      </w:pPr>
      <w:r>
        <w:rPr>
          <w:rFonts w:hint="eastAsia" w:ascii="宋体" w:hAnsi="宋体" w:cs="宋体"/>
          <w:b/>
          <w:bCs/>
          <w:color w:val="auto"/>
          <w:szCs w:val="21"/>
          <w:highlight w:val="none"/>
        </w:rPr>
        <w:t>技术需求响应表附表</w:t>
      </w:r>
    </w:p>
    <w:p>
      <w:pPr>
        <w:pStyle w:val="2"/>
        <w:ind w:firstLine="420"/>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技术参数证明材料索引表</w:t>
      </w:r>
    </w:p>
    <w:tbl>
      <w:tblPr>
        <w:tblStyle w:val="37"/>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4990"/>
        <w:gridCol w:w="1134"/>
        <w:gridCol w:w="1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pStyle w:val="2"/>
              <w:spacing w:line="240" w:lineRule="auto"/>
              <w:ind w:firstLine="0" w:firstLineChars="0"/>
              <w:jc w:val="center"/>
              <w:rPr>
                <w:rFonts w:cs="宋体" w:asciiTheme="minorEastAsia" w:hAnsiTheme="minorEastAsia"/>
                <w:color w:val="auto"/>
                <w:sz w:val="21"/>
                <w:szCs w:val="21"/>
                <w:highlight w:val="none"/>
              </w:rPr>
            </w:pPr>
            <w:r>
              <w:rPr>
                <w:rFonts w:hint="eastAsia" w:cs="宋体" w:asciiTheme="minorEastAsia" w:hAnsiTheme="minorEastAsia"/>
                <w:color w:val="auto"/>
                <w:sz w:val="21"/>
                <w:szCs w:val="21"/>
                <w:highlight w:val="none"/>
              </w:rPr>
              <w:t>序号</w:t>
            </w:r>
          </w:p>
        </w:tc>
        <w:tc>
          <w:tcPr>
            <w:tcW w:w="4990" w:type="dxa"/>
          </w:tcPr>
          <w:p>
            <w:pPr>
              <w:pStyle w:val="2"/>
              <w:spacing w:line="240" w:lineRule="auto"/>
              <w:ind w:firstLine="0" w:firstLineChars="0"/>
              <w:jc w:val="center"/>
              <w:rPr>
                <w:rFonts w:cs="宋体" w:asciiTheme="minorEastAsia" w:hAnsiTheme="minorEastAsia"/>
                <w:color w:val="auto"/>
                <w:sz w:val="21"/>
                <w:szCs w:val="21"/>
                <w:highlight w:val="none"/>
              </w:rPr>
            </w:pPr>
            <w:r>
              <w:rPr>
                <w:rFonts w:hint="eastAsia" w:cs="宋体" w:asciiTheme="minorEastAsia" w:hAnsiTheme="minorEastAsia"/>
                <w:color w:val="auto"/>
                <w:sz w:val="21"/>
                <w:szCs w:val="21"/>
                <w:highlight w:val="none"/>
              </w:rPr>
              <w:t>招标文件要求提交的资料</w:t>
            </w:r>
          </w:p>
        </w:tc>
        <w:tc>
          <w:tcPr>
            <w:tcW w:w="1134" w:type="dxa"/>
          </w:tcPr>
          <w:p>
            <w:pPr>
              <w:pStyle w:val="2"/>
              <w:spacing w:line="240" w:lineRule="auto"/>
              <w:ind w:firstLine="0" w:firstLineChars="0"/>
              <w:jc w:val="center"/>
              <w:rPr>
                <w:rFonts w:cs="宋体" w:asciiTheme="minorEastAsia" w:hAnsiTheme="minorEastAsia"/>
                <w:color w:val="auto"/>
                <w:sz w:val="21"/>
                <w:szCs w:val="21"/>
                <w:highlight w:val="none"/>
              </w:rPr>
            </w:pPr>
            <w:r>
              <w:rPr>
                <w:rFonts w:hint="eastAsia" w:cs="宋体" w:asciiTheme="minorEastAsia" w:hAnsiTheme="minorEastAsia"/>
                <w:color w:val="auto"/>
                <w:sz w:val="21"/>
                <w:szCs w:val="21"/>
                <w:highlight w:val="none"/>
              </w:rPr>
              <w:t>证明材料索引页码</w:t>
            </w:r>
          </w:p>
        </w:tc>
        <w:tc>
          <w:tcPr>
            <w:tcW w:w="1162" w:type="dxa"/>
          </w:tcPr>
          <w:p>
            <w:pPr>
              <w:pStyle w:val="2"/>
              <w:spacing w:line="240" w:lineRule="auto"/>
              <w:ind w:firstLine="0" w:firstLineChars="0"/>
              <w:jc w:val="center"/>
              <w:rPr>
                <w:rFonts w:cs="宋体" w:asciiTheme="minorEastAsia" w:hAnsiTheme="minorEastAsia"/>
                <w:color w:val="auto"/>
                <w:sz w:val="21"/>
                <w:szCs w:val="21"/>
                <w:highlight w:val="none"/>
              </w:rPr>
            </w:pPr>
            <w:r>
              <w:rPr>
                <w:rFonts w:hint="eastAsia" w:cs="宋体" w:asciiTheme="minorEastAsia" w:hAnsiTheme="minorEastAsia"/>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2" w:type="dxa"/>
            <w:gridSpan w:val="2"/>
          </w:tcPr>
          <w:p>
            <w:pPr>
              <w:pStyle w:val="2"/>
              <w:spacing w:line="240" w:lineRule="auto"/>
              <w:ind w:firstLine="0" w:firstLineChars="0"/>
              <w:jc w:val="left"/>
              <w:rPr>
                <w:rFonts w:cs="宋体" w:asciiTheme="minorEastAsia" w:hAnsiTheme="minorEastAsia"/>
                <w:color w:val="auto"/>
                <w:sz w:val="21"/>
                <w:szCs w:val="21"/>
                <w:highlight w:val="none"/>
              </w:rPr>
            </w:pPr>
            <w:r>
              <w:rPr>
                <w:rFonts w:hint="eastAsia" w:cs="宋体" w:asciiTheme="minorEastAsia" w:hAnsiTheme="minorEastAsia"/>
                <w:color w:val="auto"/>
                <w:sz w:val="21"/>
                <w:szCs w:val="21"/>
                <w:highlight w:val="none"/>
              </w:rPr>
              <w:t>网络、安全及5家试点企业接入设备</w:t>
            </w:r>
          </w:p>
        </w:tc>
        <w:tc>
          <w:tcPr>
            <w:tcW w:w="1134" w:type="dxa"/>
          </w:tcPr>
          <w:p>
            <w:pPr>
              <w:pStyle w:val="2"/>
              <w:spacing w:line="240" w:lineRule="auto"/>
              <w:ind w:firstLine="0" w:firstLineChars="0"/>
              <w:jc w:val="center"/>
              <w:rPr>
                <w:rFonts w:cs="宋体" w:asciiTheme="minorEastAsia" w:hAnsiTheme="minorEastAsia"/>
                <w:color w:val="auto"/>
                <w:sz w:val="21"/>
                <w:szCs w:val="21"/>
                <w:highlight w:val="none"/>
              </w:rPr>
            </w:pPr>
          </w:p>
        </w:tc>
        <w:tc>
          <w:tcPr>
            <w:tcW w:w="1162" w:type="dxa"/>
          </w:tcPr>
          <w:p>
            <w:pPr>
              <w:pStyle w:val="2"/>
              <w:spacing w:line="240" w:lineRule="auto"/>
              <w:ind w:firstLine="0" w:firstLineChars="0"/>
              <w:jc w:val="center"/>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pStyle w:val="2"/>
              <w:spacing w:line="240" w:lineRule="auto"/>
              <w:ind w:firstLine="0" w:firstLineChars="0"/>
              <w:rPr>
                <w:rFonts w:cs="宋体" w:asciiTheme="minorEastAsia" w:hAnsiTheme="minorEastAsia"/>
                <w:color w:val="auto"/>
                <w:sz w:val="21"/>
                <w:szCs w:val="21"/>
                <w:highlight w:val="none"/>
              </w:rPr>
            </w:pPr>
            <w:r>
              <w:rPr>
                <w:rFonts w:hint="eastAsia" w:cs="宋体" w:asciiTheme="minorEastAsia" w:hAnsiTheme="minorEastAsia"/>
                <w:color w:val="auto"/>
                <w:sz w:val="21"/>
                <w:szCs w:val="21"/>
                <w:highlight w:val="none"/>
              </w:rPr>
              <w:t>(一）、计算节点及虚拟化</w:t>
            </w:r>
          </w:p>
          <w:p>
            <w:pPr>
              <w:pStyle w:val="2"/>
              <w:spacing w:line="240" w:lineRule="auto"/>
              <w:ind w:firstLine="0" w:firstLineChars="0"/>
              <w:rPr>
                <w:rFonts w:cs="宋体" w:asciiTheme="minorEastAsia" w:hAnsiTheme="minorEastAsia"/>
                <w:color w:val="auto"/>
                <w:sz w:val="21"/>
                <w:szCs w:val="21"/>
                <w:highlight w:val="none"/>
              </w:rPr>
            </w:pPr>
            <w:r>
              <w:rPr>
                <w:rFonts w:hint="eastAsia" w:cs="宋体" w:asciiTheme="minorEastAsia" w:hAnsiTheme="minorEastAsia"/>
                <w:color w:val="auto"/>
                <w:sz w:val="21"/>
                <w:szCs w:val="21"/>
                <w:highlight w:val="none"/>
              </w:rPr>
              <w:t>2.软件</w:t>
            </w:r>
          </w:p>
        </w:tc>
        <w:tc>
          <w:tcPr>
            <w:tcW w:w="4990" w:type="dxa"/>
          </w:tcPr>
          <w:p>
            <w:pPr>
              <w:spacing w:line="240" w:lineRule="auto"/>
              <w:ind w:firstLine="0" w:firstLineChars="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▲2.支持业界主流的数据库部署，包括但不限于Oracle、Gbase、人大金仓，达梦,PolarDB等，在投标文件中需提供至少三家数据库厂商官网可以查询或提供数据库认证证书；</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cs="宋体" w:asciiTheme="minorEastAsia" w:hAnsiTheme="minorEastAsia"/>
                <w:color w:val="auto"/>
                <w:sz w:val="21"/>
                <w:szCs w:val="21"/>
                <w:highlight w:val="none"/>
              </w:rPr>
            </w:pPr>
          </w:p>
        </w:tc>
        <w:tc>
          <w:tcPr>
            <w:tcW w:w="4990" w:type="dxa"/>
          </w:tcPr>
          <w:p>
            <w:pPr>
              <w:spacing w:line="240" w:lineRule="auto"/>
              <w:ind w:firstLine="0" w:firstLineChars="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▲4.分布式存储软件，当磁盘或者存储节点故障时系统能自动进行数据重构，在无人工干预的条件下，数据重构速度支持最快每TB&lt;15分钟，</w:t>
            </w:r>
            <w:r>
              <w:rPr>
                <w:rFonts w:hint="eastAsia" w:cs="宋体" w:asciiTheme="minorEastAsia" w:hAnsiTheme="minorEastAsia" w:eastAsiaTheme="minorEastAsia"/>
                <w:color w:val="auto"/>
                <w:szCs w:val="21"/>
                <w:highlight w:val="none"/>
              </w:rPr>
              <w:t>在投标文件中提供具备</w:t>
            </w:r>
            <w:r>
              <w:rPr>
                <w:rFonts w:hint="eastAsia" w:cs="宋体" w:asciiTheme="minorEastAsia" w:hAnsiTheme="minorEastAsia" w:eastAsiaTheme="minorEastAsia"/>
                <w:color w:val="auto"/>
                <w:kern w:val="0"/>
                <w:szCs w:val="21"/>
                <w:highlight w:val="none"/>
                <w:lang w:bidi="ar"/>
              </w:rPr>
              <w:t>CMA或CNAS资质的</w:t>
            </w:r>
            <w:r>
              <w:rPr>
                <w:rFonts w:hint="eastAsia" w:cs="宋体" w:asciiTheme="minorEastAsia" w:hAnsiTheme="minorEastAsia" w:eastAsiaTheme="minorEastAsia"/>
                <w:color w:val="auto"/>
                <w:szCs w:val="21"/>
                <w:highlight w:val="none"/>
              </w:rPr>
              <w:t>三方评测机构盖章的测试报告复印件；</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cs="宋体" w:asciiTheme="minorEastAsia" w:hAnsiTheme="minorEastAsia"/>
                <w:color w:val="auto"/>
                <w:sz w:val="21"/>
                <w:szCs w:val="21"/>
                <w:highlight w:val="none"/>
              </w:rPr>
            </w:pPr>
          </w:p>
        </w:tc>
        <w:tc>
          <w:tcPr>
            <w:tcW w:w="4990" w:type="dxa"/>
          </w:tcPr>
          <w:p>
            <w:pPr>
              <w:spacing w:line="240" w:lineRule="auto"/>
              <w:ind w:firstLine="0" w:firstLineChars="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5.在全SSD配置及SSD+HDD混合配置下，均支持EC（Erasure Code）算法实现数据冗余存储，支持2+2,4+2,6+2,8+2多种冗余配置，投标文件中提供产品配置截图；</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pStyle w:val="2"/>
              <w:spacing w:line="240" w:lineRule="auto"/>
              <w:ind w:firstLine="0" w:firstLineChars="0"/>
              <w:rPr>
                <w:rFonts w:cs="宋体" w:asciiTheme="minorEastAsia" w:hAnsiTheme="minorEastAsia"/>
                <w:color w:val="auto"/>
                <w:sz w:val="21"/>
                <w:szCs w:val="21"/>
                <w:highlight w:val="none"/>
              </w:rPr>
            </w:pPr>
            <w:r>
              <w:rPr>
                <w:rFonts w:hint="eastAsia" w:cs="宋体" w:asciiTheme="minorEastAsia" w:hAnsiTheme="minorEastAsia"/>
                <w:color w:val="auto"/>
                <w:sz w:val="21"/>
                <w:szCs w:val="21"/>
                <w:highlight w:val="none"/>
              </w:rPr>
              <w:t>(二）、存储节点</w:t>
            </w:r>
          </w:p>
          <w:p>
            <w:pPr>
              <w:pStyle w:val="2"/>
              <w:spacing w:line="240" w:lineRule="auto"/>
              <w:ind w:firstLine="0" w:firstLineChars="0"/>
              <w:rPr>
                <w:rFonts w:cs="宋体" w:asciiTheme="minorEastAsia" w:hAnsiTheme="minorEastAsia"/>
                <w:color w:val="auto"/>
                <w:sz w:val="21"/>
                <w:szCs w:val="21"/>
                <w:highlight w:val="none"/>
              </w:rPr>
            </w:pPr>
            <w:r>
              <w:rPr>
                <w:rFonts w:hint="eastAsia" w:cs="宋体" w:asciiTheme="minorEastAsia" w:hAnsiTheme="minorEastAsia"/>
                <w:color w:val="auto"/>
                <w:sz w:val="21"/>
                <w:szCs w:val="21"/>
                <w:highlight w:val="none"/>
              </w:rPr>
              <w:t>2、软件</w:t>
            </w:r>
          </w:p>
        </w:tc>
        <w:tc>
          <w:tcPr>
            <w:tcW w:w="4990" w:type="dxa"/>
          </w:tcPr>
          <w:p>
            <w:pPr>
              <w:spacing w:line="240" w:lineRule="auto"/>
              <w:ind w:firstLine="0" w:firstLineChars="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▲4、NAS存储要求单节点读写带宽均大于5GB/S，在投标文件中提供第三方评测机构</w:t>
            </w:r>
            <w:r>
              <w:rPr>
                <w:rFonts w:hint="eastAsia" w:cs="宋体" w:asciiTheme="minorEastAsia" w:hAnsiTheme="minorEastAsia" w:eastAsiaTheme="minorEastAsia"/>
                <w:color w:val="auto"/>
                <w:szCs w:val="21"/>
                <w:highlight w:val="none"/>
              </w:rPr>
              <w:t>盖章的</w:t>
            </w:r>
            <w:r>
              <w:rPr>
                <w:rFonts w:hint="eastAsia" w:cs="宋体" w:asciiTheme="minorEastAsia" w:hAnsiTheme="minorEastAsia" w:eastAsiaTheme="minorEastAsia"/>
                <w:color w:val="auto"/>
                <w:szCs w:val="21"/>
                <w:highlight w:val="none"/>
              </w:rPr>
              <w:t>测试报告复印件；</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vAlign w:val="center"/>
          </w:tcPr>
          <w:p>
            <w:pPr>
              <w:pStyle w:val="2"/>
              <w:spacing w:line="240" w:lineRule="auto"/>
              <w:ind w:firstLine="0" w:firstLineChars="0"/>
              <w:rPr>
                <w:rFonts w:cs="宋体" w:asciiTheme="minorEastAsia" w:hAnsiTheme="minorEastAsia"/>
                <w:color w:val="auto"/>
                <w:sz w:val="21"/>
                <w:szCs w:val="21"/>
                <w:highlight w:val="none"/>
              </w:rPr>
            </w:pPr>
            <w:r>
              <w:rPr>
                <w:rFonts w:hint="eastAsia" w:cs="宋体" w:asciiTheme="minorEastAsia" w:hAnsiTheme="minorEastAsia"/>
                <w:color w:val="auto"/>
                <w:sz w:val="21"/>
                <w:szCs w:val="21"/>
                <w:highlight w:val="none"/>
              </w:rPr>
              <w:t>(二）、存储节点</w:t>
            </w:r>
          </w:p>
          <w:p>
            <w:pPr>
              <w:pStyle w:val="2"/>
              <w:spacing w:line="240" w:lineRule="auto"/>
              <w:ind w:firstLine="0" w:firstLineChars="0"/>
              <w:rPr>
                <w:rFonts w:cs="宋体" w:asciiTheme="minorEastAsia" w:hAnsiTheme="minorEastAsia"/>
                <w:color w:val="auto"/>
                <w:sz w:val="21"/>
                <w:szCs w:val="21"/>
                <w:highlight w:val="none"/>
              </w:rPr>
            </w:pPr>
            <w:r>
              <w:rPr>
                <w:rFonts w:hint="eastAsia" w:cs="宋体" w:asciiTheme="minorEastAsia" w:hAnsiTheme="minorEastAsia"/>
                <w:color w:val="auto"/>
                <w:sz w:val="21"/>
                <w:szCs w:val="21"/>
                <w:highlight w:val="none"/>
              </w:rPr>
              <w:t>3、存储节点后端交换机</w:t>
            </w:r>
          </w:p>
        </w:tc>
        <w:tc>
          <w:tcPr>
            <w:tcW w:w="4990" w:type="dxa"/>
          </w:tcPr>
          <w:p>
            <w:pPr>
              <w:spacing w:line="240" w:lineRule="auto"/>
              <w:ind w:firstLine="0" w:firstLineChars="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▲4、支持M-LAG技术（跨框链路聚合，要求配对设备有独立的控制平面，不能用堆叠等多虚一技术实现，在投标文件中提供第三方测试报告）；</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cs="宋体" w:asciiTheme="minorEastAsia" w:hAnsiTheme="minorEastAsia"/>
                <w:color w:val="auto"/>
                <w:sz w:val="21"/>
                <w:szCs w:val="21"/>
                <w:highlight w:val="none"/>
              </w:rPr>
            </w:pPr>
          </w:p>
        </w:tc>
        <w:tc>
          <w:tcPr>
            <w:tcW w:w="4990" w:type="dxa"/>
          </w:tcPr>
          <w:p>
            <w:pPr>
              <w:spacing w:line="240" w:lineRule="auto"/>
              <w:ind w:firstLine="0" w:firstLineChars="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5、支持RIP、OSPF、ISIS、BGP等IPv4动态路由协议，BGP4+等IPv6动态路由协议；支持按需装载功能特性，例如OSPF，BGP等，可单个重启该进程，在投标文件中提供第三方评测机构</w:t>
            </w:r>
            <w:r>
              <w:rPr>
                <w:rFonts w:hint="eastAsia" w:cs="宋体" w:asciiTheme="minorEastAsia" w:hAnsiTheme="minorEastAsia" w:eastAsiaTheme="minorEastAsia"/>
                <w:color w:val="auto"/>
                <w:szCs w:val="21"/>
                <w:highlight w:val="none"/>
              </w:rPr>
              <w:t>盖章的</w:t>
            </w:r>
            <w:r>
              <w:rPr>
                <w:rFonts w:hint="eastAsia" w:cs="宋体" w:asciiTheme="minorEastAsia" w:hAnsiTheme="minorEastAsia" w:eastAsiaTheme="minorEastAsia"/>
                <w:color w:val="auto"/>
                <w:szCs w:val="21"/>
                <w:highlight w:val="none"/>
              </w:rPr>
              <w:t>测试报告复印件；</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pStyle w:val="2"/>
              <w:spacing w:line="240" w:lineRule="auto"/>
              <w:ind w:firstLine="0" w:firstLineChars="0"/>
              <w:rPr>
                <w:rFonts w:cs="宋体" w:asciiTheme="minorEastAsia" w:hAnsiTheme="minorEastAsia"/>
                <w:color w:val="auto"/>
                <w:sz w:val="21"/>
                <w:szCs w:val="21"/>
                <w:highlight w:val="none"/>
              </w:rPr>
            </w:pPr>
            <w:r>
              <w:rPr>
                <w:rFonts w:hint="eastAsia" w:cs="宋体" w:asciiTheme="minorEastAsia" w:hAnsiTheme="minorEastAsia"/>
                <w:color w:val="auto"/>
                <w:sz w:val="21"/>
                <w:szCs w:val="21"/>
                <w:highlight w:val="none"/>
              </w:rPr>
              <w:t>(三）、网络设备2、业务接入交换机</w:t>
            </w:r>
          </w:p>
        </w:tc>
        <w:tc>
          <w:tcPr>
            <w:tcW w:w="4990" w:type="dxa"/>
          </w:tcPr>
          <w:p>
            <w:pPr>
              <w:spacing w:line="240" w:lineRule="auto"/>
              <w:ind w:firstLine="0" w:firstLineChars="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5、不能用堆叠等多虚一技术实现，提供第三方测试报告；</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pStyle w:val="2"/>
              <w:spacing w:line="240" w:lineRule="auto"/>
              <w:ind w:firstLine="0" w:firstLineChars="0"/>
              <w:rPr>
                <w:rFonts w:cs="宋体" w:asciiTheme="minorEastAsia" w:hAnsiTheme="minorEastAsia"/>
                <w:color w:val="auto"/>
                <w:sz w:val="21"/>
                <w:szCs w:val="21"/>
                <w:highlight w:val="none"/>
              </w:rPr>
            </w:pPr>
            <w:r>
              <w:rPr>
                <w:rFonts w:hint="eastAsia" w:cs="宋体" w:asciiTheme="minorEastAsia" w:hAnsiTheme="minorEastAsia"/>
                <w:color w:val="auto"/>
                <w:sz w:val="21"/>
                <w:szCs w:val="21"/>
                <w:highlight w:val="none"/>
              </w:rPr>
              <w:t>(四）、安全设备</w:t>
            </w:r>
          </w:p>
          <w:p>
            <w:pPr>
              <w:pStyle w:val="2"/>
              <w:spacing w:line="240" w:lineRule="auto"/>
              <w:ind w:firstLine="0" w:firstLineChars="0"/>
              <w:rPr>
                <w:rFonts w:cs="宋体" w:asciiTheme="minorEastAsia" w:hAnsiTheme="minorEastAsia"/>
                <w:color w:val="auto"/>
                <w:sz w:val="21"/>
                <w:szCs w:val="21"/>
                <w:highlight w:val="none"/>
              </w:rPr>
            </w:pPr>
            <w:r>
              <w:rPr>
                <w:rFonts w:hint="eastAsia" w:cs="宋体" w:asciiTheme="minorEastAsia" w:hAnsiTheme="minorEastAsia"/>
                <w:color w:val="auto"/>
                <w:sz w:val="21"/>
                <w:szCs w:val="21"/>
                <w:highlight w:val="none"/>
              </w:rPr>
              <w:t>1、网闸</w:t>
            </w:r>
          </w:p>
        </w:tc>
        <w:tc>
          <w:tcPr>
            <w:tcW w:w="4990" w:type="dxa"/>
          </w:tcPr>
          <w:p>
            <w:pPr>
              <w:spacing w:line="240" w:lineRule="auto"/>
              <w:ind w:firstLine="0" w:firstLineChars="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▲5、支持HTTPS网络传输，并且可在SSL加密通道中分解出正常HTTPS网络应用，屏蔽自由门等各类加密翻墙软件的传输；（在投标文件中提供功能截图）</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cs="宋体" w:asciiTheme="minorEastAsia" w:hAnsiTheme="minorEastAsia"/>
                <w:color w:val="auto"/>
                <w:sz w:val="21"/>
                <w:szCs w:val="21"/>
                <w:highlight w:val="none"/>
              </w:rPr>
            </w:pPr>
          </w:p>
        </w:tc>
        <w:tc>
          <w:tcPr>
            <w:tcW w:w="4990" w:type="dxa"/>
          </w:tcPr>
          <w:p>
            <w:pPr>
              <w:spacing w:line="240" w:lineRule="auto"/>
              <w:ind w:firstLine="0" w:firstLineChars="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6、支持文件同步容错策略和告警策略，同步出错能够自动重传并能够设置重传次数，出现异常同步状况能够终止同步弹出告警提示并记录日志；（在投标文件中提供功能截图）</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cs="宋体" w:asciiTheme="minorEastAsia" w:hAnsiTheme="minorEastAsia"/>
                <w:color w:val="auto"/>
                <w:sz w:val="21"/>
                <w:szCs w:val="21"/>
                <w:highlight w:val="none"/>
              </w:rPr>
            </w:pPr>
          </w:p>
        </w:tc>
        <w:tc>
          <w:tcPr>
            <w:tcW w:w="4990" w:type="dxa"/>
          </w:tcPr>
          <w:p>
            <w:pPr>
              <w:pStyle w:val="2"/>
              <w:spacing w:line="240" w:lineRule="auto"/>
              <w:ind w:firstLine="0" w:firstLineChars="0"/>
              <w:rPr>
                <w:rFonts w:cs="宋体" w:asciiTheme="minorEastAsia" w:hAnsiTheme="minorEastAsia"/>
                <w:color w:val="auto"/>
                <w:sz w:val="21"/>
                <w:szCs w:val="21"/>
                <w:highlight w:val="none"/>
              </w:rPr>
            </w:pPr>
            <w:r>
              <w:rPr>
                <w:rFonts w:hint="eastAsia" w:cs="宋体" w:asciiTheme="minorEastAsia" w:hAnsiTheme="minorEastAsia"/>
                <w:color w:val="auto"/>
                <w:sz w:val="21"/>
                <w:szCs w:val="21"/>
                <w:highlight w:val="none"/>
              </w:rPr>
              <w:t>8、支持代理模式、透明代理、路由模式三种工作模式，管理员可依据实际网络状况进行相应的部署，以满足各种网络环境状况；（在投标文件中提供功能截图）</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pStyle w:val="2"/>
              <w:spacing w:line="240" w:lineRule="auto"/>
              <w:ind w:firstLine="0" w:firstLineChars="0"/>
              <w:rPr>
                <w:rFonts w:cs="宋体" w:asciiTheme="minorEastAsia" w:hAnsiTheme="minorEastAsia"/>
                <w:color w:val="auto"/>
                <w:sz w:val="21"/>
                <w:szCs w:val="21"/>
                <w:highlight w:val="none"/>
              </w:rPr>
            </w:pPr>
            <w:r>
              <w:rPr>
                <w:rFonts w:hint="eastAsia" w:cs="宋体" w:asciiTheme="minorEastAsia" w:hAnsiTheme="minorEastAsia"/>
                <w:color w:val="auto"/>
                <w:sz w:val="21"/>
                <w:szCs w:val="21"/>
                <w:highlight w:val="none"/>
              </w:rPr>
              <w:t>2、链路负载均衡</w:t>
            </w:r>
          </w:p>
        </w:tc>
        <w:tc>
          <w:tcPr>
            <w:tcW w:w="4990" w:type="dxa"/>
          </w:tcPr>
          <w:p>
            <w:pPr>
              <w:spacing w:line="240" w:lineRule="auto"/>
              <w:ind w:firstLine="0" w:firstLineChars="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3、链路负载均衡和服务器负载部署支持AS/AA模式（在投标文件中提供截图证明）。支持主备之间会话同步，支持IPV6/IPV4双栈，支持NAT66、NAT64、DNS64；（在投标文件中提供截图证明）</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cs="宋体" w:asciiTheme="minorEastAsia" w:hAnsiTheme="minorEastAsia"/>
                <w:color w:val="auto"/>
                <w:sz w:val="21"/>
                <w:szCs w:val="21"/>
                <w:highlight w:val="none"/>
              </w:rPr>
            </w:pPr>
          </w:p>
        </w:tc>
        <w:tc>
          <w:tcPr>
            <w:tcW w:w="4990" w:type="dxa"/>
          </w:tcPr>
          <w:p>
            <w:pPr>
              <w:spacing w:line="240" w:lineRule="auto"/>
              <w:ind w:firstLine="0" w:firstLineChars="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4、支持多功能合一同时支持链路负载均衡、服务器负载均衡和全局负载均衡的功能,无需额外购买相应授权。此外设备集成TCP协议优化、WEB压缩缓存、页面加速、SSL卸载、网络防火墙、Web应用防火墙、DNS防火墙、漏洞扫描、四七层DDos攻击防护等功能；（在投标文件中提供功截图证明）</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cs="宋体" w:asciiTheme="minorEastAsia" w:hAnsiTheme="minorEastAsia"/>
                <w:color w:val="auto"/>
                <w:sz w:val="21"/>
                <w:szCs w:val="21"/>
                <w:highlight w:val="none"/>
              </w:rPr>
            </w:pPr>
          </w:p>
        </w:tc>
        <w:tc>
          <w:tcPr>
            <w:tcW w:w="4990" w:type="dxa"/>
          </w:tcPr>
          <w:p>
            <w:pPr>
              <w:spacing w:line="240" w:lineRule="auto"/>
              <w:ind w:firstLine="0" w:firstLineChars="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7、内置SSL卸载模块，SSL工作减轻服务器负担。支持服务器CA证书导入，提供证书单向和双向认证，双向认证支持透传客户端证书给后台服务器；（在投标文件中提供截图证明）</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pStyle w:val="2"/>
              <w:spacing w:line="240" w:lineRule="auto"/>
              <w:ind w:firstLine="0" w:firstLineChars="0"/>
              <w:rPr>
                <w:rFonts w:cs="宋体" w:asciiTheme="minorEastAsia" w:hAnsiTheme="minorEastAsia"/>
                <w:color w:val="auto"/>
                <w:sz w:val="21"/>
                <w:szCs w:val="21"/>
                <w:highlight w:val="none"/>
              </w:rPr>
            </w:pPr>
            <w:r>
              <w:rPr>
                <w:rFonts w:hint="eastAsia" w:cs="宋体" w:asciiTheme="minorEastAsia" w:hAnsiTheme="minorEastAsia"/>
                <w:color w:val="auto"/>
                <w:sz w:val="21"/>
                <w:szCs w:val="21"/>
                <w:highlight w:val="none"/>
              </w:rPr>
              <w:t>3、综合安全接入网关</w:t>
            </w:r>
          </w:p>
        </w:tc>
        <w:tc>
          <w:tcPr>
            <w:tcW w:w="4990" w:type="dxa"/>
          </w:tcPr>
          <w:p>
            <w:pPr>
              <w:pStyle w:val="2"/>
              <w:spacing w:line="240" w:lineRule="auto"/>
              <w:ind w:firstLine="0" w:firstLineChars="0"/>
              <w:rPr>
                <w:rFonts w:cs="宋体" w:asciiTheme="minorEastAsia" w:hAnsiTheme="minorEastAsia"/>
                <w:color w:val="auto"/>
                <w:sz w:val="21"/>
                <w:szCs w:val="21"/>
                <w:highlight w:val="none"/>
              </w:rPr>
            </w:pPr>
            <w:r>
              <w:rPr>
                <w:rFonts w:hint="eastAsia" w:cs="宋体" w:asciiTheme="minorEastAsia" w:hAnsiTheme="minorEastAsia"/>
                <w:color w:val="auto"/>
                <w:sz w:val="21"/>
                <w:szCs w:val="21"/>
                <w:highlight w:val="none"/>
              </w:rPr>
              <w:t>▲6、具有独立审计用户，支持标准Syslog日志审计方式，支持Syslog端口自定义（支持内外端机主机名更改，强化日志审计及集中管理功能，能够对功能访问模块拒绝访问进行日志记录，支持对日志的高性能处理和存储，在投标文件中提供高性能Syslog日志处理和存储证书。在投标文件中提供第三方评测机构</w:t>
            </w:r>
            <w:r>
              <w:rPr>
                <w:rFonts w:hint="eastAsia" w:cs="宋体" w:asciiTheme="minorEastAsia" w:hAnsiTheme="minorEastAsia"/>
                <w:color w:val="auto"/>
                <w:sz w:val="21"/>
                <w:szCs w:val="21"/>
                <w:highlight w:val="none"/>
              </w:rPr>
              <w:t>盖章的</w:t>
            </w:r>
            <w:r>
              <w:rPr>
                <w:rFonts w:hint="eastAsia" w:cs="宋体" w:asciiTheme="minorEastAsia" w:hAnsiTheme="minorEastAsia"/>
                <w:color w:val="auto"/>
                <w:sz w:val="21"/>
                <w:szCs w:val="21"/>
                <w:highlight w:val="none"/>
              </w:rPr>
              <w:t>测试报告复印件；</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pStyle w:val="2"/>
              <w:spacing w:line="240" w:lineRule="auto"/>
              <w:ind w:firstLine="0" w:firstLineChars="0"/>
              <w:rPr>
                <w:rFonts w:cs="宋体" w:asciiTheme="minorEastAsia" w:hAnsiTheme="minorEastAsia"/>
                <w:color w:val="auto"/>
                <w:sz w:val="21"/>
                <w:szCs w:val="21"/>
                <w:highlight w:val="none"/>
              </w:rPr>
            </w:pPr>
            <w:r>
              <w:rPr>
                <w:rFonts w:hint="eastAsia" w:cs="宋体" w:asciiTheme="minorEastAsia" w:hAnsiTheme="minorEastAsia"/>
                <w:color w:val="auto"/>
                <w:sz w:val="21"/>
                <w:szCs w:val="21"/>
                <w:highlight w:val="none"/>
              </w:rPr>
              <w:t>5、WAF</w:t>
            </w:r>
          </w:p>
        </w:tc>
        <w:tc>
          <w:tcPr>
            <w:tcW w:w="4990" w:type="dxa"/>
          </w:tcPr>
          <w:p>
            <w:pPr>
              <w:spacing w:line="240" w:lineRule="auto"/>
              <w:ind w:firstLine="0" w:firstLineChars="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▲4、支持HTTP/HTTPS站点防护，在代理模式下支持HTTPS流量解析，支持SSL卸载功能；（在投标文件中提供截图证明）</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cs="宋体" w:asciiTheme="minorEastAsia" w:hAnsiTheme="minorEastAsia"/>
                <w:color w:val="auto"/>
                <w:sz w:val="21"/>
                <w:szCs w:val="21"/>
                <w:highlight w:val="none"/>
              </w:rPr>
            </w:pPr>
          </w:p>
        </w:tc>
        <w:tc>
          <w:tcPr>
            <w:tcW w:w="4990" w:type="dxa"/>
          </w:tcPr>
          <w:p>
            <w:pPr>
              <w:pStyle w:val="2"/>
              <w:spacing w:line="240" w:lineRule="auto"/>
              <w:ind w:firstLine="0" w:firstLineChars="0"/>
              <w:rPr>
                <w:rFonts w:cs="宋体" w:asciiTheme="minorEastAsia" w:hAnsiTheme="minorEastAsia"/>
                <w:color w:val="auto"/>
                <w:sz w:val="21"/>
                <w:szCs w:val="21"/>
                <w:highlight w:val="none"/>
              </w:rPr>
            </w:pPr>
            <w:r>
              <w:rPr>
                <w:rFonts w:hint="eastAsia" w:cs="宋体" w:asciiTheme="minorEastAsia" w:hAnsiTheme="minorEastAsia"/>
                <w:color w:val="auto"/>
                <w:sz w:val="21"/>
                <w:szCs w:val="21"/>
                <w:highlight w:val="none"/>
              </w:rPr>
              <w:t>▲9、支持与现有防火墙进行联动防护。（在投标文件中提供截图证明）</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pStyle w:val="2"/>
              <w:spacing w:line="240" w:lineRule="auto"/>
              <w:ind w:firstLine="0" w:firstLineChars="0"/>
              <w:rPr>
                <w:rFonts w:cs="宋体" w:asciiTheme="minorEastAsia" w:hAnsiTheme="minorEastAsia"/>
                <w:color w:val="auto"/>
                <w:sz w:val="21"/>
                <w:szCs w:val="21"/>
                <w:highlight w:val="none"/>
              </w:rPr>
            </w:pPr>
            <w:r>
              <w:rPr>
                <w:rFonts w:hint="eastAsia" w:cs="宋体" w:asciiTheme="minorEastAsia" w:hAnsiTheme="minorEastAsia"/>
                <w:color w:val="auto"/>
                <w:sz w:val="21"/>
                <w:szCs w:val="21"/>
                <w:highlight w:val="none"/>
              </w:rPr>
              <w:t>6.VPN设备</w:t>
            </w:r>
          </w:p>
        </w:tc>
        <w:tc>
          <w:tcPr>
            <w:tcW w:w="4990" w:type="dxa"/>
          </w:tcPr>
          <w:p>
            <w:pPr>
              <w:pStyle w:val="2"/>
              <w:spacing w:line="240" w:lineRule="auto"/>
              <w:ind w:firstLine="0" w:firstLineChars="0"/>
              <w:rPr>
                <w:rFonts w:cs="宋体" w:asciiTheme="minorEastAsia" w:hAnsiTheme="minorEastAsia"/>
                <w:color w:val="auto"/>
                <w:sz w:val="21"/>
                <w:szCs w:val="21"/>
                <w:highlight w:val="none"/>
              </w:rPr>
            </w:pPr>
            <w:r>
              <w:rPr>
                <w:rFonts w:hint="eastAsia" w:cs="宋体" w:asciiTheme="minorEastAsia" w:hAnsiTheme="minorEastAsia"/>
                <w:color w:val="auto"/>
                <w:sz w:val="21"/>
                <w:szCs w:val="21"/>
                <w:highlight w:val="none"/>
              </w:rPr>
              <w:t>4、支持智能递推；（在投标文件中提供截图证明）</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cs="宋体" w:asciiTheme="minorEastAsia" w:hAnsiTheme="minorEastAsia"/>
                <w:color w:val="auto"/>
                <w:sz w:val="21"/>
                <w:szCs w:val="21"/>
                <w:highlight w:val="none"/>
              </w:rPr>
            </w:pPr>
          </w:p>
        </w:tc>
        <w:tc>
          <w:tcPr>
            <w:tcW w:w="4990" w:type="dxa"/>
          </w:tcPr>
          <w:p>
            <w:pPr>
              <w:pStyle w:val="2"/>
              <w:spacing w:line="240" w:lineRule="auto"/>
              <w:ind w:firstLine="0" w:firstLineChars="0"/>
              <w:rPr>
                <w:rFonts w:cs="宋体" w:asciiTheme="minorEastAsia" w:hAnsiTheme="minorEastAsia"/>
                <w:color w:val="auto"/>
                <w:sz w:val="21"/>
                <w:szCs w:val="21"/>
                <w:highlight w:val="none"/>
              </w:rPr>
            </w:pPr>
            <w:r>
              <w:rPr>
                <w:rFonts w:hint="eastAsia" w:cs="宋体" w:asciiTheme="minorEastAsia" w:hAnsiTheme="minorEastAsia"/>
                <w:color w:val="auto"/>
                <w:sz w:val="21"/>
                <w:szCs w:val="21"/>
                <w:highlight w:val="none"/>
              </w:rPr>
              <w:t>▲5、支持基于Android/ IOS平台的第三方软件开发包（SDK），用于封装第三方应用软件（APP），无需安装独立客户端，即可实现数据加密传输，业务安全接入（投标文件中提供代码Demo示例文档描述或者截图）；</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cs="宋体" w:asciiTheme="minorEastAsia" w:hAnsiTheme="minorEastAsia"/>
                <w:color w:val="auto"/>
                <w:sz w:val="21"/>
                <w:szCs w:val="21"/>
                <w:highlight w:val="none"/>
              </w:rPr>
            </w:pPr>
          </w:p>
        </w:tc>
        <w:tc>
          <w:tcPr>
            <w:tcW w:w="4990" w:type="dxa"/>
          </w:tcPr>
          <w:p>
            <w:pPr>
              <w:spacing w:line="240" w:lineRule="auto"/>
              <w:ind w:firstLine="0" w:firstLineChars="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7、同时支持5套以上第三方CA根证书；（在投标文件中提供截图证明）</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cs="宋体" w:asciiTheme="minorEastAsia" w:hAnsiTheme="minorEastAsia"/>
                <w:color w:val="auto"/>
                <w:sz w:val="21"/>
                <w:szCs w:val="21"/>
                <w:highlight w:val="none"/>
              </w:rPr>
            </w:pPr>
          </w:p>
        </w:tc>
        <w:tc>
          <w:tcPr>
            <w:tcW w:w="4990" w:type="dxa"/>
          </w:tcPr>
          <w:p>
            <w:pPr>
              <w:spacing w:line="240" w:lineRule="auto"/>
              <w:ind w:firstLine="0" w:firstLineChars="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9、支持双操作系统故障切换，保障单台设备的高可用性；支持双系统升级，支持TFTP、Webui、Ftp升级（在投标文件中提供截图证明）支持授权漂移策略，在主备模式下仅需采购一套接入许可；</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pStyle w:val="2"/>
              <w:spacing w:line="240" w:lineRule="auto"/>
              <w:ind w:firstLine="0" w:firstLineChars="0"/>
              <w:rPr>
                <w:rFonts w:cs="宋体" w:asciiTheme="minorEastAsia" w:hAnsiTheme="minorEastAsia"/>
                <w:color w:val="auto"/>
                <w:sz w:val="21"/>
                <w:szCs w:val="21"/>
                <w:highlight w:val="none"/>
              </w:rPr>
            </w:pPr>
            <w:r>
              <w:rPr>
                <w:rFonts w:hint="eastAsia" w:cs="宋体" w:asciiTheme="minorEastAsia" w:hAnsiTheme="minorEastAsia"/>
                <w:color w:val="auto"/>
                <w:sz w:val="21"/>
                <w:szCs w:val="21"/>
                <w:highlight w:val="none"/>
              </w:rPr>
              <w:t>8、堡垒机</w:t>
            </w:r>
          </w:p>
        </w:tc>
        <w:tc>
          <w:tcPr>
            <w:tcW w:w="4990" w:type="dxa"/>
          </w:tcPr>
          <w:p>
            <w:pPr>
              <w:spacing w:line="240" w:lineRule="auto"/>
              <w:ind w:firstLine="0" w:firstLineChars="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▲2、信息安全设备、系统软件的开发、生产符合TL9000-HSV 标准。在投标文件中要求提供相关证明复印件；</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pStyle w:val="2"/>
              <w:spacing w:line="240" w:lineRule="auto"/>
              <w:ind w:firstLine="0" w:firstLineChars="0"/>
              <w:rPr>
                <w:rFonts w:cs="宋体" w:asciiTheme="minorEastAsia" w:hAnsiTheme="minorEastAsia"/>
                <w:color w:val="auto"/>
                <w:sz w:val="21"/>
                <w:szCs w:val="21"/>
                <w:highlight w:val="none"/>
              </w:rPr>
            </w:pPr>
            <w:r>
              <w:rPr>
                <w:rFonts w:hint="eastAsia" w:cs="宋体" w:asciiTheme="minorEastAsia" w:hAnsiTheme="minorEastAsia"/>
                <w:color w:val="auto"/>
                <w:sz w:val="21"/>
                <w:szCs w:val="21"/>
                <w:highlight w:val="none"/>
              </w:rPr>
              <w:t>9、日志审计</w:t>
            </w:r>
          </w:p>
        </w:tc>
        <w:tc>
          <w:tcPr>
            <w:tcW w:w="4990" w:type="dxa"/>
          </w:tcPr>
          <w:p>
            <w:pPr>
              <w:spacing w:line="240" w:lineRule="auto"/>
              <w:ind w:firstLine="0" w:firstLineChars="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▲2、支持BT级数据交互式多条件查询,上亿级数据查询结果返回延时小于10s；（在投标文件中提供截图证明）</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cs="宋体" w:asciiTheme="minorEastAsia" w:hAnsiTheme="minorEastAsia"/>
                <w:color w:val="auto"/>
                <w:sz w:val="21"/>
                <w:szCs w:val="21"/>
                <w:highlight w:val="none"/>
              </w:rPr>
            </w:pPr>
          </w:p>
        </w:tc>
        <w:tc>
          <w:tcPr>
            <w:tcW w:w="4990" w:type="dxa"/>
          </w:tcPr>
          <w:p>
            <w:pPr>
              <w:spacing w:line="240" w:lineRule="auto"/>
              <w:ind w:firstLine="0" w:firstLineChars="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▲8、支持IPv6/IPv4双栈环境部署，对IPv6/IPv4日志源的日志进行高速采集。提供IPv6 Ready Logo委员会颁发的IPv6 Ready Logo认证证书；</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cs="宋体" w:asciiTheme="minorEastAsia" w:hAnsiTheme="minorEastAsia"/>
                <w:color w:val="auto"/>
                <w:sz w:val="21"/>
                <w:szCs w:val="21"/>
                <w:highlight w:val="none"/>
              </w:rPr>
            </w:pPr>
          </w:p>
        </w:tc>
        <w:tc>
          <w:tcPr>
            <w:tcW w:w="4990" w:type="dxa"/>
          </w:tcPr>
          <w:p>
            <w:pPr>
              <w:spacing w:line="240" w:lineRule="auto"/>
              <w:ind w:firstLine="0" w:firstLineChars="0"/>
              <w:rPr>
                <w:rFonts w:cs="宋体"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w:t>
            </w:r>
            <w:r>
              <w:rPr>
                <w:rFonts w:asciiTheme="minorEastAsia" w:hAnsiTheme="minorEastAsia" w:eastAsiaTheme="minorEastAsia"/>
                <w:color w:val="auto"/>
                <w:szCs w:val="21"/>
                <w:highlight w:val="none"/>
              </w:rPr>
              <w:t>0</w:t>
            </w:r>
            <w:r>
              <w:rPr>
                <w:rFonts w:hint="eastAsia"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rPr>
              <w:t>投标时提供中国国家信息安全产品认证证书复印件。</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pStyle w:val="2"/>
              <w:spacing w:line="240" w:lineRule="auto"/>
              <w:ind w:firstLine="0" w:firstLineChars="0"/>
              <w:rPr>
                <w:rFonts w:cs="宋体" w:asciiTheme="minorEastAsia" w:hAnsiTheme="minorEastAsia"/>
                <w:color w:val="auto"/>
                <w:sz w:val="21"/>
                <w:szCs w:val="21"/>
                <w:highlight w:val="none"/>
              </w:rPr>
            </w:pPr>
            <w:r>
              <w:rPr>
                <w:rFonts w:hint="eastAsia" w:cs="宋体" w:asciiTheme="minorEastAsia" w:hAnsiTheme="minorEastAsia"/>
                <w:color w:val="auto"/>
                <w:sz w:val="21"/>
                <w:szCs w:val="21"/>
                <w:highlight w:val="none"/>
              </w:rPr>
              <w:t>10、漏洞扫描</w:t>
            </w:r>
          </w:p>
        </w:tc>
        <w:tc>
          <w:tcPr>
            <w:tcW w:w="4990" w:type="dxa"/>
          </w:tcPr>
          <w:p>
            <w:pPr>
              <w:spacing w:line="240" w:lineRule="auto"/>
              <w:ind w:firstLine="0" w:firstLineChars="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▲6、支持扫描系统漏洞数量大于56000种，web漏洞数量大于1000种；（在投标文件中提供截图证明）</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cs="宋体" w:asciiTheme="minorEastAsia" w:hAnsiTheme="minorEastAsia"/>
                <w:color w:val="auto"/>
                <w:sz w:val="21"/>
                <w:szCs w:val="21"/>
                <w:highlight w:val="none"/>
              </w:rPr>
            </w:pPr>
          </w:p>
        </w:tc>
        <w:tc>
          <w:tcPr>
            <w:tcW w:w="4990" w:type="dxa"/>
          </w:tcPr>
          <w:p>
            <w:pPr>
              <w:spacing w:line="240" w:lineRule="auto"/>
              <w:ind w:firstLine="0" w:firstLineChars="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▲10、支持扫描大数据组件的安全漏洞，如Spark、Splunk、Kafka、Storm、Cassandra、Ambari、Impala、Solr、Oozie、Hbase、Hadoop等；（提供截图证明）</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pStyle w:val="2"/>
              <w:spacing w:line="240" w:lineRule="auto"/>
              <w:ind w:firstLine="0" w:firstLineChars="0"/>
              <w:rPr>
                <w:rFonts w:cs="宋体" w:asciiTheme="minorEastAsia" w:hAnsiTheme="minorEastAsia"/>
                <w:color w:val="auto"/>
                <w:sz w:val="21"/>
                <w:szCs w:val="21"/>
                <w:highlight w:val="none"/>
              </w:rPr>
            </w:pPr>
            <w:r>
              <w:rPr>
                <w:rFonts w:hint="eastAsia" w:cs="宋体" w:asciiTheme="minorEastAsia" w:hAnsiTheme="minorEastAsia"/>
                <w:color w:val="auto"/>
                <w:sz w:val="21"/>
                <w:szCs w:val="21"/>
                <w:highlight w:val="none"/>
              </w:rPr>
              <w:t>11、数据库审计</w:t>
            </w:r>
          </w:p>
        </w:tc>
        <w:tc>
          <w:tcPr>
            <w:tcW w:w="4990" w:type="dxa"/>
          </w:tcPr>
          <w:p>
            <w:pPr>
              <w:spacing w:line="240" w:lineRule="auto"/>
              <w:ind w:firstLine="0" w:firstLineChars="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▲6、以列表形式给出出错原因、出错信息以及解决办法；（在投标文件中提供截图证明）</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cs="宋体" w:asciiTheme="minorEastAsia" w:hAnsiTheme="minorEastAsia"/>
                <w:color w:val="auto"/>
                <w:sz w:val="21"/>
                <w:szCs w:val="21"/>
                <w:highlight w:val="none"/>
              </w:rPr>
            </w:pPr>
          </w:p>
        </w:tc>
        <w:tc>
          <w:tcPr>
            <w:tcW w:w="4990" w:type="dxa"/>
          </w:tcPr>
          <w:p>
            <w:pPr>
              <w:spacing w:line="240" w:lineRule="auto"/>
              <w:ind w:firstLine="0" w:firstLineChars="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▲7、支持会话回放功能,并至少支持0.5倍速、1倍速、1.5倍速、2倍速、4倍速五级播放速度调节；（在投标文件中提供截图证明）</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pStyle w:val="2"/>
              <w:spacing w:line="240" w:lineRule="auto"/>
              <w:ind w:firstLine="0" w:firstLineChars="0"/>
              <w:rPr>
                <w:rFonts w:cs="宋体" w:asciiTheme="minorEastAsia" w:hAnsiTheme="minorEastAsia"/>
                <w:color w:val="auto"/>
                <w:sz w:val="21"/>
                <w:szCs w:val="21"/>
                <w:highlight w:val="none"/>
              </w:rPr>
            </w:pPr>
            <w:r>
              <w:rPr>
                <w:rFonts w:hint="eastAsia" w:cs="宋体" w:asciiTheme="minorEastAsia" w:hAnsiTheme="minorEastAsia"/>
                <w:color w:val="auto"/>
                <w:sz w:val="21"/>
                <w:szCs w:val="21"/>
                <w:highlight w:val="none"/>
              </w:rPr>
              <w:t>12、防火墙</w:t>
            </w:r>
          </w:p>
        </w:tc>
        <w:tc>
          <w:tcPr>
            <w:tcW w:w="4990" w:type="dxa"/>
          </w:tcPr>
          <w:p>
            <w:pPr>
              <w:spacing w:line="240" w:lineRule="auto"/>
              <w:ind w:firstLine="0" w:firstLineChars="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2、为保障系统运行的可靠性与稳定性，要求信息安全设备、系统软件的开发、生产符合TL9000-HSV R5.0/R5.0标准。在投标文件中要求提供相关证明复印件；</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cs="宋体" w:asciiTheme="minorEastAsia" w:hAnsiTheme="minorEastAsia"/>
                <w:color w:val="auto"/>
                <w:sz w:val="21"/>
                <w:szCs w:val="21"/>
                <w:highlight w:val="none"/>
              </w:rPr>
            </w:pPr>
          </w:p>
        </w:tc>
        <w:tc>
          <w:tcPr>
            <w:tcW w:w="4990" w:type="dxa"/>
          </w:tcPr>
          <w:p>
            <w:pPr>
              <w:spacing w:line="240" w:lineRule="auto"/>
              <w:ind w:firstLine="0" w:firstLineChars="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4、支持在一台物理设备上默认可划分出128个相互独立的虚拟系统，可根据连接配额及连接新建速率为每个虚拟系统分配资源； （在投标文件中提供截图证明）</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cs="宋体" w:asciiTheme="minorEastAsia" w:hAnsiTheme="minorEastAsia"/>
                <w:color w:val="auto"/>
                <w:sz w:val="21"/>
                <w:szCs w:val="21"/>
                <w:highlight w:val="none"/>
              </w:rPr>
            </w:pPr>
          </w:p>
        </w:tc>
        <w:tc>
          <w:tcPr>
            <w:tcW w:w="4990" w:type="dxa"/>
          </w:tcPr>
          <w:p>
            <w:pPr>
              <w:spacing w:line="240" w:lineRule="auto"/>
              <w:ind w:firstLine="0" w:firstLineChars="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▲5、内置至少2种专业反病毒厂商或研究机构的病毒特征库，符合等级保护相关标准对网关防病毒特征库和主机防病毒特征库异构的要求。病毒特征库规模超过350万；（在投标文件中提供截图证明）</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cs="宋体" w:asciiTheme="minorEastAsia" w:hAnsiTheme="minorEastAsia"/>
                <w:color w:val="auto"/>
                <w:sz w:val="21"/>
                <w:szCs w:val="21"/>
                <w:highlight w:val="none"/>
              </w:rPr>
            </w:pPr>
          </w:p>
        </w:tc>
        <w:tc>
          <w:tcPr>
            <w:tcW w:w="4990" w:type="dxa"/>
          </w:tcPr>
          <w:p>
            <w:pPr>
              <w:spacing w:line="240" w:lineRule="auto"/>
              <w:ind w:firstLine="0" w:firstLineChars="0"/>
              <w:rPr>
                <w:rFonts w:cs="宋体"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9、投标时提供中国国家信息安全产品认证证书复印件。</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pStyle w:val="2"/>
              <w:spacing w:line="240" w:lineRule="auto"/>
              <w:ind w:firstLine="0" w:firstLineChars="0"/>
              <w:rPr>
                <w:rFonts w:cs="宋体" w:asciiTheme="minorEastAsia" w:hAnsiTheme="minorEastAsia"/>
                <w:color w:val="auto"/>
                <w:sz w:val="21"/>
                <w:szCs w:val="21"/>
                <w:highlight w:val="none"/>
              </w:rPr>
            </w:pPr>
            <w:r>
              <w:rPr>
                <w:rFonts w:hint="eastAsia" w:cs="宋体" w:asciiTheme="minorEastAsia" w:hAnsiTheme="minorEastAsia"/>
                <w:color w:val="auto"/>
                <w:sz w:val="21"/>
                <w:szCs w:val="21"/>
                <w:highlight w:val="none"/>
              </w:rPr>
              <w:t>13、入侵防御</w:t>
            </w:r>
          </w:p>
        </w:tc>
        <w:tc>
          <w:tcPr>
            <w:tcW w:w="4990" w:type="dxa"/>
          </w:tcPr>
          <w:p>
            <w:pPr>
              <w:spacing w:line="240" w:lineRule="auto"/>
              <w:ind w:firstLine="0" w:firstLineChars="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▲2、为保障系统运行的可靠性与稳定性，要求信息安全设备、系统软件的开发、生产符合TL9000-HSV R5.0/R5.0标准。在投标文件中提供第三方评测机构</w:t>
            </w:r>
            <w:r>
              <w:rPr>
                <w:rFonts w:hint="eastAsia" w:cs="宋体" w:asciiTheme="minorEastAsia" w:hAnsiTheme="minorEastAsia" w:eastAsiaTheme="minorEastAsia"/>
                <w:color w:val="auto"/>
                <w:szCs w:val="21"/>
                <w:highlight w:val="none"/>
              </w:rPr>
              <w:t>盖章的</w:t>
            </w:r>
            <w:r>
              <w:rPr>
                <w:rFonts w:hint="eastAsia" w:cs="宋体" w:asciiTheme="minorEastAsia" w:hAnsiTheme="minorEastAsia" w:eastAsiaTheme="minorEastAsia"/>
                <w:color w:val="auto"/>
                <w:szCs w:val="21"/>
                <w:highlight w:val="none"/>
              </w:rPr>
              <w:t>测试报告复印件；</w:t>
            </w:r>
          </w:p>
          <w:p>
            <w:pPr>
              <w:spacing w:line="240" w:lineRule="auto"/>
              <w:ind w:firstLine="0" w:firstLineChars="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3、双操作系统支持。当常用系统出现故障可以使用备用系统进行恢复；</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cs="宋体" w:asciiTheme="minorEastAsia" w:hAnsiTheme="minorEastAsia"/>
                <w:color w:val="auto"/>
                <w:sz w:val="21"/>
                <w:szCs w:val="21"/>
                <w:highlight w:val="none"/>
              </w:rPr>
            </w:pPr>
          </w:p>
        </w:tc>
        <w:tc>
          <w:tcPr>
            <w:tcW w:w="4990" w:type="dxa"/>
          </w:tcPr>
          <w:p>
            <w:pPr>
              <w:spacing w:line="240" w:lineRule="auto"/>
              <w:ind w:firstLine="0" w:firstLineChars="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4、要求能够检测包括溢出攻击类、RPC攻击类、WEBCGI攻击类、拒绝服务类、木马类、蠕虫类、扫描类、网络访问类、HTTP攻击类、系统漏洞类等在内的多种攻击事件，提供截图证明，并出具CVE证书, 原厂属于国家信息安全漏洞共享平台成员，要求报送漏洞数量不小于3500个；</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pStyle w:val="2"/>
              <w:spacing w:line="240" w:lineRule="auto"/>
              <w:ind w:firstLine="0" w:firstLineChars="0"/>
              <w:rPr>
                <w:rFonts w:cs="宋体" w:asciiTheme="minorEastAsia" w:hAnsiTheme="minorEastAsia"/>
                <w:color w:val="auto"/>
                <w:sz w:val="21"/>
                <w:szCs w:val="21"/>
                <w:highlight w:val="none"/>
              </w:rPr>
            </w:pPr>
            <w:r>
              <w:rPr>
                <w:rFonts w:hint="eastAsia" w:cs="宋体" w:asciiTheme="minorEastAsia" w:hAnsiTheme="minorEastAsia"/>
                <w:color w:val="auto"/>
                <w:sz w:val="21"/>
                <w:szCs w:val="21"/>
                <w:highlight w:val="none"/>
              </w:rPr>
              <w:t>15、准入</w:t>
            </w:r>
          </w:p>
        </w:tc>
        <w:tc>
          <w:tcPr>
            <w:tcW w:w="4990" w:type="dxa"/>
          </w:tcPr>
          <w:p>
            <w:pPr>
              <w:spacing w:line="240" w:lineRule="auto"/>
              <w:ind w:firstLine="0" w:firstLineChars="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2、准入设备支持基于多厂商Virtual Gateway的VLAN隔离技术，实现无客户端环境下端口级准入控制；（在投标文件中提供截图证明）</w:t>
            </w:r>
          </w:p>
          <w:p>
            <w:pPr>
              <w:pStyle w:val="2"/>
              <w:spacing w:line="240" w:lineRule="auto"/>
              <w:ind w:firstLine="0" w:firstLineChars="0"/>
              <w:rPr>
                <w:rFonts w:cs="宋体" w:asciiTheme="minorEastAsia" w:hAnsiTheme="minorEastAsia"/>
                <w:color w:val="auto"/>
                <w:sz w:val="21"/>
                <w:szCs w:val="21"/>
                <w:highlight w:val="none"/>
              </w:rPr>
            </w:pP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cs="宋体" w:asciiTheme="minorEastAsia" w:hAnsiTheme="minorEastAsia"/>
                <w:color w:val="auto"/>
                <w:sz w:val="21"/>
                <w:szCs w:val="21"/>
                <w:highlight w:val="none"/>
              </w:rPr>
            </w:pPr>
          </w:p>
        </w:tc>
        <w:tc>
          <w:tcPr>
            <w:tcW w:w="4990" w:type="dxa"/>
          </w:tcPr>
          <w:p>
            <w:pPr>
              <w:spacing w:line="240" w:lineRule="auto"/>
              <w:ind w:firstLine="0" w:firstLineChars="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3、准入设备支持基于策略路由技术的准入控制模式，入网设备在访问网内关键资源时，将被强制隔离、引导至认证管理页面，同时支持交换机接口动态VLAN下发、端口隔离模式的网络边界管理；（在投标文件中提供产品界面截图证明）</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cs="宋体" w:asciiTheme="minorEastAsia" w:hAnsiTheme="minorEastAsia"/>
                <w:color w:val="auto"/>
                <w:sz w:val="21"/>
                <w:szCs w:val="21"/>
                <w:highlight w:val="none"/>
              </w:rPr>
            </w:pPr>
          </w:p>
        </w:tc>
        <w:tc>
          <w:tcPr>
            <w:tcW w:w="4990" w:type="dxa"/>
          </w:tcPr>
          <w:p>
            <w:pPr>
              <w:spacing w:line="240" w:lineRule="auto"/>
              <w:ind w:firstLine="0" w:firstLineChars="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▲5、具有NAT识别和检测机制能够及时发现网内私接的小路由器、无线AP、随身WIFI等NAT设备，帮助清查通过网中网隐藏的真实网络终端；（在投标文件中提供截图证明）</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cs="宋体" w:asciiTheme="minorEastAsia" w:hAnsiTheme="minorEastAsia"/>
                <w:color w:val="auto"/>
                <w:sz w:val="21"/>
                <w:szCs w:val="21"/>
                <w:highlight w:val="none"/>
              </w:rPr>
            </w:pPr>
          </w:p>
        </w:tc>
        <w:tc>
          <w:tcPr>
            <w:tcW w:w="4990" w:type="dxa"/>
          </w:tcPr>
          <w:p>
            <w:pPr>
              <w:spacing w:line="240" w:lineRule="auto"/>
              <w:ind w:firstLine="0" w:firstLineChars="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7、准入设备能够采用VLAN隔离、逻辑关闭端口等方式禁止Hub下联计算机接入网络；（在投标文件中提供截图证明）</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cs="宋体" w:asciiTheme="minorEastAsia" w:hAnsiTheme="minorEastAsia"/>
                <w:color w:val="auto"/>
                <w:sz w:val="21"/>
                <w:szCs w:val="21"/>
                <w:highlight w:val="none"/>
              </w:rPr>
            </w:pPr>
          </w:p>
        </w:tc>
        <w:tc>
          <w:tcPr>
            <w:tcW w:w="4990" w:type="dxa"/>
          </w:tcPr>
          <w:p>
            <w:pPr>
              <w:spacing w:line="240" w:lineRule="auto"/>
              <w:ind w:firstLine="0" w:firstLineChars="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8、通过检测终端文件路径、指定文件版本、大小、MD5，注册表的项、注册表值，进程，服务名称、服务状态，进行检查。通过安装包运行、访问站点、开关服务、关闭进程、执行文件、删除文件、修改注册表进行修复。可以灵活的全访问的对终端进行安全检查和修复；（在投标文件中提供截图证明）</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pStyle w:val="2"/>
              <w:spacing w:line="240" w:lineRule="auto"/>
              <w:ind w:firstLine="0" w:firstLineChars="0"/>
              <w:rPr>
                <w:rFonts w:cs="宋体" w:asciiTheme="minorEastAsia" w:hAnsiTheme="minorEastAsia"/>
                <w:color w:val="auto"/>
                <w:sz w:val="21"/>
                <w:szCs w:val="21"/>
                <w:highlight w:val="none"/>
              </w:rPr>
            </w:pPr>
            <w:r>
              <w:rPr>
                <w:rFonts w:hint="eastAsia" w:cs="宋体" w:asciiTheme="minorEastAsia" w:hAnsiTheme="minorEastAsia"/>
                <w:color w:val="auto"/>
                <w:sz w:val="21"/>
                <w:szCs w:val="21"/>
                <w:highlight w:val="none"/>
              </w:rPr>
              <w:t>16、主机安全</w:t>
            </w:r>
          </w:p>
        </w:tc>
        <w:tc>
          <w:tcPr>
            <w:tcW w:w="4990" w:type="dxa"/>
          </w:tcPr>
          <w:p>
            <w:pPr>
              <w:spacing w:line="240" w:lineRule="auto"/>
              <w:ind w:firstLine="0" w:firstLineChars="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2、终端行为管理客户端资源系统占用率应小于50MB，提供相关证明，便于有效节省客户终端资源。支持主流的WINDOWS和linux操作系统；</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cs="宋体" w:asciiTheme="minorEastAsia" w:hAnsiTheme="minorEastAsia"/>
                <w:color w:val="auto"/>
                <w:sz w:val="21"/>
                <w:szCs w:val="21"/>
                <w:highlight w:val="none"/>
              </w:rPr>
            </w:pPr>
          </w:p>
        </w:tc>
        <w:tc>
          <w:tcPr>
            <w:tcW w:w="4990" w:type="dxa"/>
          </w:tcPr>
          <w:p>
            <w:pPr>
              <w:spacing w:line="240" w:lineRule="auto"/>
              <w:ind w:firstLine="0" w:firstLineChars="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5、支持全网威胁统计分析管理控制台可直观的展示病毒趋势统计、终端信息、病毒类型排行、病毒排行、终端危险排行等统计情况。并随时对网络中病毒发生的情况进行查询统计，能按时间、按IP地址、机器名、按病毒名称、病毒类型进行展示。在投标文件中提供第三方评测机构</w:t>
            </w:r>
            <w:r>
              <w:rPr>
                <w:rFonts w:hint="eastAsia" w:cs="宋体" w:asciiTheme="minorEastAsia" w:hAnsiTheme="minorEastAsia" w:eastAsiaTheme="minorEastAsia"/>
                <w:color w:val="auto"/>
                <w:szCs w:val="21"/>
                <w:highlight w:val="none"/>
              </w:rPr>
              <w:t>盖章的</w:t>
            </w:r>
            <w:r>
              <w:rPr>
                <w:rFonts w:hint="eastAsia" w:cs="宋体" w:asciiTheme="minorEastAsia" w:hAnsiTheme="minorEastAsia" w:eastAsiaTheme="minorEastAsia"/>
                <w:color w:val="auto"/>
                <w:szCs w:val="21"/>
                <w:highlight w:val="none"/>
              </w:rPr>
              <w:t>测试报告复印件；</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cs="宋体" w:asciiTheme="minorEastAsia" w:hAnsiTheme="minorEastAsia"/>
                <w:color w:val="auto"/>
                <w:sz w:val="21"/>
                <w:szCs w:val="21"/>
                <w:highlight w:val="none"/>
              </w:rPr>
            </w:pPr>
          </w:p>
        </w:tc>
        <w:tc>
          <w:tcPr>
            <w:tcW w:w="4990" w:type="dxa"/>
          </w:tcPr>
          <w:p>
            <w:pPr>
              <w:spacing w:line="240" w:lineRule="auto"/>
              <w:ind w:firstLine="0" w:firstLineChars="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▲6、管理控制台支持实时显示客户端的状态，包括机器名称、IP地址、mac地址、操作系统、显卡信息、内存大小、连接状态、监控状态、当前版本信息和物理位置等信息，投标文件中提供截图证明；</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cs="宋体" w:asciiTheme="minorEastAsia" w:hAnsiTheme="minorEastAsia"/>
                <w:color w:val="auto"/>
                <w:sz w:val="21"/>
                <w:szCs w:val="21"/>
                <w:highlight w:val="none"/>
              </w:rPr>
            </w:pPr>
          </w:p>
        </w:tc>
        <w:tc>
          <w:tcPr>
            <w:tcW w:w="4990" w:type="dxa"/>
          </w:tcPr>
          <w:p>
            <w:pPr>
              <w:spacing w:line="240" w:lineRule="auto"/>
              <w:ind w:firstLine="0" w:firstLineChars="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7、控制台支持恶意网站拦截、浏览器保护、恶意行为、文件保护、下载保护、黑客拦截、系统加固、U盘防护、白名单等策略下发。支持基于SMTP/POP3协议的邮件监控，包括如：Outlook、Outlook Express、foxmail、DreamMail等邮件客户端的防（杀）病毒。在投标文件中提供第三方评测机构</w:t>
            </w:r>
            <w:r>
              <w:rPr>
                <w:rFonts w:hint="eastAsia" w:cs="宋体" w:asciiTheme="minorEastAsia" w:hAnsiTheme="minorEastAsia" w:eastAsiaTheme="minorEastAsia"/>
                <w:color w:val="auto"/>
                <w:szCs w:val="21"/>
                <w:highlight w:val="none"/>
              </w:rPr>
              <w:t>盖章的</w:t>
            </w:r>
            <w:r>
              <w:rPr>
                <w:rFonts w:hint="eastAsia" w:cs="宋体" w:asciiTheme="minorEastAsia" w:hAnsiTheme="minorEastAsia" w:eastAsiaTheme="minorEastAsia"/>
                <w:color w:val="auto"/>
                <w:szCs w:val="21"/>
                <w:highlight w:val="none"/>
              </w:rPr>
              <w:t>测试报告复印件；</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pStyle w:val="2"/>
              <w:spacing w:line="240" w:lineRule="auto"/>
              <w:ind w:firstLine="0" w:firstLineChars="0"/>
              <w:rPr>
                <w:rFonts w:cs="宋体" w:asciiTheme="minorEastAsia" w:hAnsiTheme="minorEastAsia"/>
                <w:color w:val="auto"/>
                <w:sz w:val="21"/>
                <w:szCs w:val="21"/>
                <w:highlight w:val="none"/>
              </w:rPr>
            </w:pPr>
            <w:r>
              <w:rPr>
                <w:rFonts w:hint="eastAsia" w:cs="宋体" w:asciiTheme="minorEastAsia" w:hAnsiTheme="minorEastAsia"/>
                <w:color w:val="auto"/>
                <w:sz w:val="21"/>
                <w:szCs w:val="21"/>
                <w:highlight w:val="none"/>
              </w:rPr>
              <w:t>17、杀毒软件</w:t>
            </w:r>
          </w:p>
        </w:tc>
        <w:tc>
          <w:tcPr>
            <w:tcW w:w="4990" w:type="dxa"/>
          </w:tcPr>
          <w:p>
            <w:pPr>
              <w:spacing w:line="240" w:lineRule="auto"/>
              <w:ind w:firstLine="0" w:firstLineChars="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1、软件符合中国《计算机软件保护条例》和《计算机软件软件著作权登记办法》的标准，并通过审核，属于国家安全测评中心网络版杀毒类EAL3+级别产品，在投标文件中提供相关证明；</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cs="宋体" w:asciiTheme="minorEastAsia" w:hAnsiTheme="minorEastAsia"/>
                <w:color w:val="auto"/>
                <w:sz w:val="21"/>
                <w:szCs w:val="21"/>
                <w:highlight w:val="none"/>
              </w:rPr>
            </w:pPr>
          </w:p>
        </w:tc>
        <w:tc>
          <w:tcPr>
            <w:tcW w:w="4990" w:type="dxa"/>
          </w:tcPr>
          <w:p>
            <w:pPr>
              <w:spacing w:line="240" w:lineRule="auto"/>
              <w:ind w:firstLine="0" w:firstLineChars="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2、终端行为管理客户端资源系统占用率应小于50MB，提供相关证明，便于有效节省客户终端资源。支持主流的WINDOWS和linux操作系统；</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2" w:type="dxa"/>
            <w:gridSpan w:val="2"/>
          </w:tcPr>
          <w:p>
            <w:pPr>
              <w:spacing w:line="240" w:lineRule="auto"/>
              <w:ind w:firstLine="0" w:firstLineChars="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机房硬件设备</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2" w:type="dxa"/>
            <w:gridSpan w:val="2"/>
          </w:tcPr>
          <w:p>
            <w:pPr>
              <w:spacing w:line="240" w:lineRule="auto"/>
              <w:ind w:firstLine="0" w:firstLineChars="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一）UPS系统</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pStyle w:val="2"/>
              <w:spacing w:line="240" w:lineRule="auto"/>
              <w:ind w:firstLine="0" w:firstLineChars="0"/>
              <w:rPr>
                <w:rFonts w:cs="宋体" w:asciiTheme="minorEastAsia" w:hAnsiTheme="minorEastAsia"/>
                <w:color w:val="auto"/>
                <w:sz w:val="21"/>
                <w:szCs w:val="21"/>
                <w:highlight w:val="none"/>
              </w:rPr>
            </w:pPr>
            <w:r>
              <w:rPr>
                <w:rFonts w:hint="eastAsia" w:cs="宋体" w:asciiTheme="minorEastAsia" w:hAnsiTheme="minorEastAsia"/>
                <w:color w:val="auto"/>
                <w:sz w:val="21"/>
                <w:szCs w:val="21"/>
                <w:highlight w:val="none"/>
              </w:rPr>
              <w:t>1、物联网UPS主机</w:t>
            </w:r>
          </w:p>
        </w:tc>
        <w:tc>
          <w:tcPr>
            <w:tcW w:w="4990" w:type="dxa"/>
          </w:tcPr>
          <w:p>
            <w:pPr>
              <w:spacing w:line="240" w:lineRule="auto"/>
              <w:ind w:firstLine="0" w:firstLineChars="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3、电池电压30-50节双数可调，电池数量液晶面板可以设置，保证电池配置灵活性，提供彩页及面板操作证明（盖原厂公章原件）；主机柜充电电流20%功率内可设置；（在投标文件中提供截图证明）</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cs="宋体" w:asciiTheme="minorEastAsia" w:hAnsiTheme="minorEastAsia"/>
                <w:color w:val="auto"/>
                <w:sz w:val="21"/>
                <w:szCs w:val="21"/>
                <w:highlight w:val="none"/>
              </w:rPr>
            </w:pPr>
          </w:p>
        </w:tc>
        <w:tc>
          <w:tcPr>
            <w:tcW w:w="4990" w:type="dxa"/>
          </w:tcPr>
          <w:p>
            <w:pPr>
              <w:spacing w:line="240" w:lineRule="auto"/>
              <w:ind w:firstLine="0" w:firstLineChars="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▲4、UPS服务商具有自有的云平台运维中心</w:t>
            </w:r>
            <w:r>
              <w:rPr>
                <w:rFonts w:hint="eastAsia" w:cs="宋体" w:asciiTheme="minorEastAsia" w:hAnsiTheme="minorEastAsia" w:eastAsiaTheme="minorEastAsia"/>
                <w:color w:val="auto"/>
                <w:szCs w:val="21"/>
                <w:highlight w:val="none"/>
              </w:rPr>
              <w:t>，支持云监测运维功能</w:t>
            </w:r>
            <w:r>
              <w:rPr>
                <w:rFonts w:hint="eastAsia" w:cs="宋体" w:asciiTheme="minorEastAsia" w:hAnsiTheme="minorEastAsia" w:eastAsiaTheme="minorEastAsia"/>
                <w:color w:val="auto"/>
                <w:szCs w:val="21"/>
                <w:highlight w:val="none"/>
              </w:rPr>
              <w:t>（手机APP和PC端WEB状态浏览、云存储、云模块断电后续航2小时、多人监测、一键维护、历史数据管理、电池过保提醒，异常提醒方式：APP、短信、语音、邮件，具备离线告警）；（在投标文件中提供截图证明）</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cs="宋体" w:asciiTheme="minorEastAsia" w:hAnsiTheme="minorEastAsia"/>
                <w:color w:val="auto"/>
                <w:sz w:val="21"/>
                <w:szCs w:val="21"/>
                <w:highlight w:val="none"/>
              </w:rPr>
            </w:pPr>
          </w:p>
        </w:tc>
        <w:tc>
          <w:tcPr>
            <w:tcW w:w="4990" w:type="dxa"/>
          </w:tcPr>
          <w:p>
            <w:pPr>
              <w:spacing w:line="240" w:lineRule="auto"/>
              <w:ind w:firstLine="0" w:firstLineChars="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7、投标时提供原厂针对本项目三年7*24小时免费上门服务函。</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pStyle w:val="2"/>
              <w:spacing w:line="240" w:lineRule="auto"/>
              <w:ind w:firstLine="0" w:firstLineChars="0"/>
              <w:rPr>
                <w:rFonts w:cs="宋体" w:asciiTheme="minorEastAsia" w:hAnsiTheme="minorEastAsia"/>
                <w:color w:val="auto"/>
                <w:sz w:val="21"/>
                <w:szCs w:val="21"/>
                <w:highlight w:val="none"/>
              </w:rPr>
            </w:pPr>
            <w:r>
              <w:rPr>
                <w:rFonts w:hint="eastAsia" w:cs="宋体" w:asciiTheme="minorEastAsia" w:hAnsiTheme="minorEastAsia"/>
                <w:color w:val="auto"/>
                <w:sz w:val="21"/>
                <w:szCs w:val="21"/>
                <w:highlight w:val="none"/>
              </w:rPr>
              <w:t>2、功率模块</w:t>
            </w:r>
          </w:p>
        </w:tc>
        <w:tc>
          <w:tcPr>
            <w:tcW w:w="4990" w:type="dxa"/>
          </w:tcPr>
          <w:p>
            <w:pPr>
              <w:spacing w:line="240" w:lineRule="auto"/>
              <w:ind w:firstLine="0" w:firstLineChars="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3、功率模块散热风扇需采用容错设计，要求在单个故障情况下仍可带载50%，在两个故障情况下仍可带载30%；（在投标文件中提供技术证明材料）</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cs="宋体" w:asciiTheme="minorEastAsia" w:hAnsiTheme="minorEastAsia"/>
                <w:color w:val="auto"/>
                <w:sz w:val="21"/>
                <w:szCs w:val="21"/>
                <w:highlight w:val="none"/>
              </w:rPr>
            </w:pPr>
          </w:p>
        </w:tc>
        <w:tc>
          <w:tcPr>
            <w:tcW w:w="4990" w:type="dxa"/>
          </w:tcPr>
          <w:p>
            <w:pPr>
              <w:spacing w:line="240" w:lineRule="auto"/>
              <w:ind w:firstLine="0" w:firstLineChars="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12、投标时提供原厂针对本项目三年7*24小时免费上门服务函。</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2" w:type="dxa"/>
            <w:gridSpan w:val="2"/>
          </w:tcPr>
          <w:p>
            <w:pPr>
              <w:spacing w:line="240" w:lineRule="auto"/>
              <w:ind w:firstLine="0" w:firstLineChars="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（三）消防系统改造</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pStyle w:val="2"/>
              <w:spacing w:line="240" w:lineRule="auto"/>
              <w:ind w:firstLine="0" w:firstLineChars="0"/>
              <w:rPr>
                <w:rFonts w:cs="宋体" w:asciiTheme="minorEastAsia" w:hAnsiTheme="minorEastAsia"/>
                <w:color w:val="auto"/>
                <w:sz w:val="21"/>
                <w:szCs w:val="21"/>
                <w:highlight w:val="none"/>
              </w:rPr>
            </w:pPr>
            <w:r>
              <w:rPr>
                <w:rFonts w:hint="eastAsia" w:cs="宋体" w:asciiTheme="minorEastAsia" w:hAnsiTheme="minorEastAsia"/>
                <w:color w:val="auto"/>
                <w:sz w:val="21"/>
                <w:szCs w:val="21"/>
                <w:highlight w:val="none"/>
              </w:rPr>
              <w:t>2</w:t>
            </w:r>
            <w:r>
              <w:rPr>
                <w:rFonts w:cs="宋体" w:asciiTheme="minorEastAsia" w:hAnsiTheme="minorEastAsia"/>
                <w:color w:val="auto"/>
                <w:sz w:val="21"/>
                <w:szCs w:val="21"/>
                <w:highlight w:val="none"/>
              </w:rPr>
              <w:t>1</w:t>
            </w:r>
            <w:r>
              <w:rPr>
                <w:rFonts w:hint="eastAsia" w:cs="宋体" w:asciiTheme="minorEastAsia" w:hAnsiTheme="minorEastAsia"/>
                <w:color w:val="auto"/>
                <w:sz w:val="21"/>
                <w:szCs w:val="21"/>
                <w:highlight w:val="none"/>
              </w:rPr>
              <w:t>、感烟探测器</w:t>
            </w:r>
          </w:p>
        </w:tc>
        <w:tc>
          <w:tcPr>
            <w:tcW w:w="4990" w:type="dxa"/>
          </w:tcPr>
          <w:p>
            <w:pPr>
              <w:spacing w:line="240" w:lineRule="auto"/>
              <w:ind w:firstLine="0" w:firstLineChars="0"/>
              <w:rPr>
                <w:rFonts w:cs="宋体"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7、投标时提供中国国家强制性产品认证证书复印件。</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pStyle w:val="2"/>
              <w:spacing w:line="240" w:lineRule="auto"/>
              <w:ind w:firstLine="0" w:firstLineChars="0"/>
              <w:rPr>
                <w:rFonts w:cs="宋体" w:asciiTheme="minorEastAsia" w:hAnsiTheme="minorEastAsia"/>
                <w:color w:val="auto"/>
                <w:sz w:val="21"/>
                <w:szCs w:val="21"/>
                <w:highlight w:val="none"/>
              </w:rPr>
            </w:pPr>
            <w:r>
              <w:rPr>
                <w:rFonts w:hint="eastAsia" w:cs="宋体" w:asciiTheme="minorEastAsia" w:hAnsiTheme="minorEastAsia"/>
                <w:color w:val="auto"/>
                <w:sz w:val="21"/>
                <w:szCs w:val="21"/>
                <w:highlight w:val="none"/>
              </w:rPr>
              <w:t>2</w:t>
            </w:r>
            <w:r>
              <w:rPr>
                <w:rFonts w:cs="宋体" w:asciiTheme="minorEastAsia" w:hAnsiTheme="minorEastAsia"/>
                <w:color w:val="auto"/>
                <w:sz w:val="21"/>
                <w:szCs w:val="21"/>
                <w:highlight w:val="none"/>
              </w:rPr>
              <w:t>2</w:t>
            </w:r>
            <w:r>
              <w:rPr>
                <w:rFonts w:hint="eastAsia" w:cs="宋体" w:asciiTheme="minorEastAsia" w:hAnsiTheme="minorEastAsia"/>
                <w:color w:val="auto"/>
                <w:sz w:val="21"/>
                <w:szCs w:val="21"/>
                <w:highlight w:val="none"/>
              </w:rPr>
              <w:t>、感温探测器</w:t>
            </w:r>
          </w:p>
        </w:tc>
        <w:tc>
          <w:tcPr>
            <w:tcW w:w="4990" w:type="dxa"/>
          </w:tcPr>
          <w:p>
            <w:pPr>
              <w:spacing w:line="240" w:lineRule="auto"/>
              <w:ind w:firstLine="0" w:firstLineChars="0"/>
              <w:rPr>
                <w:rFonts w:cs="宋体"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6、投标时提供中国国家强制性产品认证证书复印件。</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pStyle w:val="2"/>
              <w:spacing w:line="240" w:lineRule="auto"/>
              <w:ind w:firstLine="0" w:firstLineChars="0"/>
              <w:rPr>
                <w:rFonts w:cs="宋体" w:asciiTheme="minorEastAsia" w:hAnsiTheme="minorEastAsia"/>
                <w:color w:val="auto"/>
                <w:sz w:val="21"/>
                <w:szCs w:val="21"/>
                <w:highlight w:val="none"/>
              </w:rPr>
            </w:pPr>
            <w:r>
              <w:rPr>
                <w:rFonts w:hint="eastAsia" w:cs="宋体" w:asciiTheme="minorEastAsia" w:hAnsiTheme="minorEastAsia"/>
                <w:color w:val="auto"/>
                <w:sz w:val="21"/>
                <w:szCs w:val="21"/>
                <w:highlight w:val="none"/>
              </w:rPr>
              <w:t>2</w:t>
            </w:r>
            <w:r>
              <w:rPr>
                <w:rFonts w:cs="宋体" w:asciiTheme="minorEastAsia" w:hAnsiTheme="minorEastAsia"/>
                <w:color w:val="auto"/>
                <w:sz w:val="21"/>
                <w:szCs w:val="21"/>
                <w:highlight w:val="none"/>
              </w:rPr>
              <w:t>5</w:t>
            </w:r>
            <w:r>
              <w:rPr>
                <w:rFonts w:hint="eastAsia" w:cs="宋体" w:asciiTheme="minorEastAsia" w:hAnsiTheme="minorEastAsia"/>
                <w:color w:val="auto"/>
                <w:sz w:val="21"/>
                <w:szCs w:val="21"/>
                <w:highlight w:val="none"/>
              </w:rPr>
              <w:t>、声光报警器</w:t>
            </w:r>
          </w:p>
        </w:tc>
        <w:tc>
          <w:tcPr>
            <w:tcW w:w="4990" w:type="dxa"/>
          </w:tcPr>
          <w:p>
            <w:pPr>
              <w:spacing w:line="240" w:lineRule="auto"/>
              <w:ind w:firstLine="0" w:firstLineChars="0"/>
              <w:rPr>
                <w:rFonts w:cs="宋体"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5、投标时提供中国国家强制性产品认证证书复印件。</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pStyle w:val="2"/>
              <w:spacing w:line="240" w:lineRule="auto"/>
              <w:ind w:firstLine="0" w:firstLineChars="0"/>
              <w:rPr>
                <w:rFonts w:cs="宋体" w:asciiTheme="minorEastAsia" w:hAnsiTheme="minorEastAsia"/>
                <w:color w:val="auto"/>
                <w:sz w:val="21"/>
                <w:szCs w:val="21"/>
                <w:highlight w:val="none"/>
              </w:rPr>
            </w:pPr>
            <w:r>
              <w:rPr>
                <w:rFonts w:hint="eastAsia" w:cs="宋体" w:asciiTheme="minorEastAsia" w:hAnsiTheme="minorEastAsia"/>
                <w:color w:val="auto"/>
                <w:sz w:val="21"/>
                <w:szCs w:val="21"/>
                <w:highlight w:val="none"/>
              </w:rPr>
              <w:t>2</w:t>
            </w:r>
            <w:r>
              <w:rPr>
                <w:rFonts w:cs="宋体" w:asciiTheme="minorEastAsia" w:hAnsiTheme="minorEastAsia"/>
                <w:color w:val="auto"/>
                <w:sz w:val="21"/>
                <w:szCs w:val="21"/>
                <w:highlight w:val="none"/>
              </w:rPr>
              <w:t>6</w:t>
            </w:r>
            <w:r>
              <w:rPr>
                <w:rFonts w:hint="eastAsia" w:cs="宋体" w:asciiTheme="minorEastAsia" w:hAnsiTheme="minorEastAsia"/>
                <w:color w:val="auto"/>
                <w:sz w:val="21"/>
                <w:szCs w:val="21"/>
                <w:highlight w:val="none"/>
              </w:rPr>
              <w:t>、控制模块</w:t>
            </w:r>
          </w:p>
        </w:tc>
        <w:tc>
          <w:tcPr>
            <w:tcW w:w="4990" w:type="dxa"/>
          </w:tcPr>
          <w:p>
            <w:pPr>
              <w:spacing w:line="240" w:lineRule="auto"/>
              <w:ind w:firstLine="0" w:firstLineChars="0"/>
              <w:rPr>
                <w:rFonts w:cs="宋体"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投标时提供消防产品认证证书复印件。</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pStyle w:val="2"/>
              <w:spacing w:line="240" w:lineRule="auto"/>
              <w:ind w:firstLine="0" w:firstLineChars="0"/>
              <w:rPr>
                <w:rFonts w:cs="宋体" w:asciiTheme="minorEastAsia" w:hAnsiTheme="minorEastAsia"/>
                <w:color w:val="auto"/>
                <w:sz w:val="21"/>
                <w:szCs w:val="21"/>
                <w:highlight w:val="none"/>
              </w:rPr>
            </w:pPr>
            <w:r>
              <w:rPr>
                <w:rFonts w:hint="eastAsia" w:cs="宋体" w:asciiTheme="minorEastAsia" w:hAnsiTheme="minorEastAsia"/>
                <w:color w:val="auto"/>
                <w:sz w:val="21"/>
                <w:szCs w:val="21"/>
                <w:highlight w:val="none"/>
              </w:rPr>
              <w:t>2</w:t>
            </w:r>
            <w:r>
              <w:rPr>
                <w:rFonts w:cs="宋体" w:asciiTheme="minorEastAsia" w:hAnsiTheme="minorEastAsia"/>
                <w:color w:val="auto"/>
                <w:sz w:val="21"/>
                <w:szCs w:val="21"/>
                <w:highlight w:val="none"/>
              </w:rPr>
              <w:t>9</w:t>
            </w:r>
            <w:r>
              <w:rPr>
                <w:rFonts w:hint="eastAsia" w:cs="宋体" w:asciiTheme="minorEastAsia" w:hAnsiTheme="minorEastAsia"/>
                <w:color w:val="auto"/>
                <w:sz w:val="21"/>
                <w:szCs w:val="21"/>
                <w:highlight w:val="none"/>
              </w:rPr>
              <w:t>、气体灭火控制器</w:t>
            </w:r>
          </w:p>
        </w:tc>
        <w:tc>
          <w:tcPr>
            <w:tcW w:w="4990" w:type="dxa"/>
          </w:tcPr>
          <w:p>
            <w:pPr>
              <w:spacing w:line="240" w:lineRule="auto"/>
              <w:ind w:firstLine="0" w:firstLineChars="0"/>
              <w:rPr>
                <w:rFonts w:cs="宋体"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7、投标时提供消防产品认证证书复印件。</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2" w:type="dxa"/>
            <w:gridSpan w:val="2"/>
          </w:tcPr>
          <w:p>
            <w:pPr>
              <w:spacing w:line="240" w:lineRule="auto"/>
              <w:ind w:firstLine="0" w:firstLineChars="0"/>
              <w:rPr>
                <w:rFonts w:cs="宋体" w:asciiTheme="minorEastAsia" w:hAnsiTheme="minorEastAsia" w:eastAsiaTheme="minorEastAsia"/>
                <w:b/>
                <w:bCs/>
                <w:color w:val="auto"/>
                <w:szCs w:val="21"/>
                <w:highlight w:val="none"/>
              </w:rPr>
            </w:pPr>
            <w:r>
              <w:rPr>
                <w:rFonts w:hint="eastAsia" w:cs="宋体" w:asciiTheme="minorEastAsia" w:hAnsiTheme="minorEastAsia" w:eastAsiaTheme="minorEastAsia"/>
                <w:color w:val="auto"/>
                <w:szCs w:val="21"/>
                <w:highlight w:val="none"/>
              </w:rPr>
              <w:t>融和通讯设备</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pStyle w:val="2"/>
              <w:spacing w:line="240" w:lineRule="auto"/>
              <w:ind w:firstLine="0" w:firstLineChars="0"/>
              <w:rPr>
                <w:rFonts w:cs="宋体" w:asciiTheme="minorEastAsia" w:hAnsiTheme="minorEastAsia"/>
                <w:color w:val="auto"/>
                <w:sz w:val="21"/>
                <w:szCs w:val="21"/>
                <w:highlight w:val="none"/>
              </w:rPr>
            </w:pPr>
            <w:r>
              <w:rPr>
                <w:rFonts w:hint="eastAsia" w:cs="宋体" w:asciiTheme="minorEastAsia" w:hAnsiTheme="minorEastAsia"/>
                <w:color w:val="auto"/>
                <w:sz w:val="21"/>
                <w:szCs w:val="21"/>
                <w:highlight w:val="none"/>
              </w:rPr>
              <w:t>1、多媒体指挥调度系统</w:t>
            </w:r>
          </w:p>
        </w:tc>
        <w:tc>
          <w:tcPr>
            <w:tcW w:w="4990" w:type="dxa"/>
          </w:tcPr>
          <w:p>
            <w:pPr>
              <w:spacing w:line="240" w:lineRule="auto"/>
              <w:ind w:firstLine="0" w:firstLineChars="0"/>
              <w:rPr>
                <w:rFonts w:cs="宋体" w:asciiTheme="minorEastAsia" w:hAnsiTheme="minorEastAsia" w:eastAsiaTheme="minorEastAsia"/>
                <w:bCs/>
                <w:color w:val="auto"/>
                <w:szCs w:val="21"/>
                <w:highlight w:val="none"/>
              </w:rPr>
            </w:pPr>
            <w:r>
              <w:rPr>
                <w:rFonts w:hint="eastAsia" w:cs="宋体" w:asciiTheme="minorEastAsia" w:hAnsiTheme="minorEastAsia" w:eastAsiaTheme="minorEastAsia"/>
                <w:bCs/>
                <w:color w:val="auto"/>
                <w:szCs w:val="21"/>
                <w:highlight w:val="none"/>
              </w:rPr>
              <w:t>IP广播互联接口</w:t>
            </w:r>
          </w:p>
          <w:p>
            <w:pPr>
              <w:pStyle w:val="2"/>
              <w:spacing w:line="240" w:lineRule="auto"/>
              <w:ind w:firstLine="420"/>
              <w:rPr>
                <w:rFonts w:cs="宋体" w:asciiTheme="minorEastAsia" w:hAnsiTheme="minorEastAsia"/>
                <w:color w:val="auto"/>
                <w:sz w:val="21"/>
                <w:szCs w:val="21"/>
                <w:highlight w:val="none"/>
              </w:rPr>
            </w:pPr>
            <w:r>
              <w:rPr>
                <w:rFonts w:hint="eastAsia" w:cs="宋体" w:asciiTheme="minorEastAsia" w:hAnsiTheme="minorEastAsia"/>
                <w:color w:val="auto"/>
                <w:sz w:val="21"/>
                <w:szCs w:val="21"/>
                <w:highlight w:val="none"/>
              </w:rPr>
              <w:t>▲</w:t>
            </w:r>
            <w:r>
              <w:rPr>
                <w:rFonts w:hint="eastAsia" w:cs="宋体" w:asciiTheme="minorEastAsia" w:hAnsiTheme="minorEastAsia"/>
                <w:color w:val="auto"/>
                <w:kern w:val="0"/>
                <w:sz w:val="21"/>
                <w:szCs w:val="21"/>
                <w:highlight w:val="none"/>
                <w:lang w:bidi="ar"/>
              </w:rPr>
              <w:t>实现与值班中心现有企业应急广播系统无缝互联互通。投标文件需提供集成方案。</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pStyle w:val="2"/>
              <w:spacing w:line="240" w:lineRule="auto"/>
              <w:ind w:firstLine="0" w:firstLineChars="0"/>
              <w:rPr>
                <w:rFonts w:cs="宋体" w:asciiTheme="minorEastAsia" w:hAnsiTheme="minorEastAsia"/>
                <w:color w:val="auto"/>
                <w:sz w:val="21"/>
                <w:szCs w:val="21"/>
                <w:highlight w:val="none"/>
              </w:rPr>
            </w:pPr>
            <w:r>
              <w:rPr>
                <w:rFonts w:hint="eastAsia" w:cs="宋体" w:asciiTheme="minorEastAsia" w:hAnsiTheme="minorEastAsia"/>
                <w:color w:val="auto"/>
                <w:sz w:val="21"/>
                <w:szCs w:val="21"/>
                <w:highlight w:val="none"/>
              </w:rPr>
              <w:t>2、网关模块</w:t>
            </w:r>
          </w:p>
        </w:tc>
        <w:tc>
          <w:tcPr>
            <w:tcW w:w="4990" w:type="dxa"/>
          </w:tcPr>
          <w:p>
            <w:pPr>
              <w:spacing w:line="240" w:lineRule="auto"/>
              <w:ind w:firstLine="0" w:firstLineChars="0"/>
              <w:rPr>
                <w:rFonts w:cs="宋体" w:asciiTheme="minorEastAsia" w:hAnsiTheme="minorEastAsia" w:eastAsiaTheme="minorEastAsia"/>
                <w:bCs/>
                <w:color w:val="auto"/>
                <w:szCs w:val="21"/>
                <w:highlight w:val="none"/>
              </w:rPr>
            </w:pPr>
            <w:r>
              <w:rPr>
                <w:rFonts w:hint="eastAsia" w:cs="宋体" w:asciiTheme="minorEastAsia" w:hAnsiTheme="minorEastAsia" w:eastAsiaTheme="minorEastAsia"/>
                <w:bCs/>
                <w:color w:val="auto"/>
                <w:szCs w:val="21"/>
                <w:highlight w:val="none"/>
              </w:rPr>
              <w:t>窄带语音接入网关</w:t>
            </w:r>
          </w:p>
          <w:p>
            <w:pPr>
              <w:spacing w:line="240" w:lineRule="auto"/>
              <w:ind w:firstLine="0" w:firstLineChars="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9、提供符合国家标准GB28440-2012的检验报告。</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pStyle w:val="2"/>
              <w:spacing w:line="240" w:lineRule="auto"/>
              <w:ind w:firstLine="0" w:firstLineChars="0"/>
              <w:rPr>
                <w:rFonts w:cs="宋体" w:asciiTheme="minorEastAsia" w:hAnsiTheme="minorEastAsia"/>
                <w:color w:val="auto"/>
                <w:sz w:val="21"/>
                <w:szCs w:val="21"/>
                <w:highlight w:val="none"/>
              </w:rPr>
            </w:pPr>
            <w:r>
              <w:rPr>
                <w:rFonts w:hint="eastAsia" w:cs="宋体" w:asciiTheme="minorEastAsia" w:hAnsiTheme="minorEastAsia"/>
                <w:color w:val="auto"/>
                <w:sz w:val="21"/>
                <w:szCs w:val="21"/>
                <w:highlight w:val="none"/>
              </w:rPr>
              <w:t>5、多媒体调度台</w:t>
            </w:r>
          </w:p>
        </w:tc>
        <w:tc>
          <w:tcPr>
            <w:tcW w:w="4990" w:type="dxa"/>
          </w:tcPr>
          <w:p>
            <w:pPr>
              <w:spacing w:line="240" w:lineRule="auto"/>
              <w:ind w:firstLine="0" w:firstLineChars="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10、调度控制台软件同时支持B/S和C/S架构，投标文件中提供产品配置截图；</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pStyle w:val="2"/>
              <w:spacing w:line="240" w:lineRule="auto"/>
              <w:ind w:firstLine="0" w:firstLineChars="0"/>
              <w:rPr>
                <w:rFonts w:cs="宋体" w:asciiTheme="minorEastAsia" w:hAnsiTheme="minorEastAsia"/>
                <w:color w:val="auto"/>
                <w:sz w:val="21"/>
                <w:szCs w:val="21"/>
                <w:highlight w:val="none"/>
              </w:rPr>
            </w:pPr>
            <w:r>
              <w:rPr>
                <w:rFonts w:hint="eastAsia" w:cs="宋体" w:asciiTheme="minorEastAsia" w:hAnsiTheme="minorEastAsia"/>
                <w:color w:val="auto"/>
                <w:sz w:val="21"/>
                <w:szCs w:val="21"/>
                <w:highlight w:val="none"/>
              </w:rPr>
              <w:t>9、视频会议终端</w:t>
            </w:r>
          </w:p>
        </w:tc>
        <w:tc>
          <w:tcPr>
            <w:tcW w:w="4990" w:type="dxa"/>
          </w:tcPr>
          <w:p>
            <w:pPr>
              <w:spacing w:line="240" w:lineRule="auto"/>
              <w:ind w:firstLine="0" w:firstLineChars="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3、支持H.265、H.264 HP、H.264 BP、H.264 SVC、H.263等图像编码协议，须提供第三方机构检测报告证明；</w:t>
            </w:r>
          </w:p>
        </w:tc>
        <w:tc>
          <w:tcPr>
            <w:tcW w:w="1134" w:type="dxa"/>
          </w:tcPr>
          <w:p>
            <w:pPr>
              <w:pStyle w:val="2"/>
              <w:spacing w:line="240" w:lineRule="auto"/>
              <w:ind w:firstLine="0" w:firstLineChars="0"/>
              <w:rPr>
                <w:rFonts w:cs="宋体" w:asciiTheme="minorEastAsia" w:hAnsiTheme="minorEastAsia"/>
                <w:color w:val="auto"/>
                <w:sz w:val="21"/>
                <w:szCs w:val="21"/>
                <w:highlight w:val="none"/>
              </w:rPr>
            </w:pPr>
          </w:p>
        </w:tc>
        <w:tc>
          <w:tcPr>
            <w:tcW w:w="1162" w:type="dxa"/>
          </w:tcPr>
          <w:p>
            <w:pPr>
              <w:pStyle w:val="2"/>
              <w:spacing w:line="240" w:lineRule="auto"/>
              <w:ind w:firstLine="0" w:firstLineChars="0"/>
              <w:rPr>
                <w:rFonts w:cs="宋体" w:asciiTheme="minorEastAsia" w:hAnsiTheme="minorEastAsia"/>
                <w:color w:val="auto"/>
                <w:sz w:val="21"/>
                <w:szCs w:val="21"/>
                <w:highlight w:val="none"/>
              </w:rPr>
            </w:pPr>
          </w:p>
        </w:tc>
      </w:tr>
    </w:tbl>
    <w:p>
      <w:pPr>
        <w:pStyle w:val="2"/>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注：投标人必须根据招标文件第二章二、技术需求的要求提供相关技术证明材料并填写索引页，如投标人未如实填写索引表，或错误填写索引表，后果自负。</w:t>
      </w:r>
    </w:p>
    <w:p>
      <w:pPr>
        <w:pStyle w:val="2"/>
        <w:ind w:firstLine="560"/>
        <w:rPr>
          <w:rFonts w:ascii="宋体" w:hAnsi="宋体" w:eastAsia="宋体" w:cs="宋体"/>
          <w:color w:val="auto"/>
          <w:highlight w:val="none"/>
        </w:rPr>
      </w:pPr>
    </w:p>
    <w:p>
      <w:pPr>
        <w:adjustRightInd w:val="0"/>
        <w:snapToGrid w:val="0"/>
        <w:spacing w:before="120" w:after="120"/>
        <w:ind w:firstLine="420"/>
        <w:rPr>
          <w:rFonts w:ascii="宋体" w:hAnsi="宋体" w:cs="宋体"/>
          <w:color w:val="auto"/>
          <w:szCs w:val="21"/>
          <w:highlight w:val="none"/>
        </w:rPr>
      </w:pPr>
      <w:r>
        <w:rPr>
          <w:rFonts w:hint="eastAsia" w:ascii="宋体" w:hAnsi="宋体" w:cs="宋体"/>
          <w:color w:val="auto"/>
          <w:szCs w:val="21"/>
          <w:highlight w:val="none"/>
        </w:rPr>
        <w:t>投标人（盖章）：</w:t>
      </w:r>
    </w:p>
    <w:p>
      <w:pPr>
        <w:snapToGrid w:val="0"/>
        <w:ind w:firstLine="420"/>
        <w:rPr>
          <w:rFonts w:ascii="宋体" w:hAnsi="宋体" w:cs="宋体"/>
          <w:b/>
          <w:color w:val="auto"/>
          <w:szCs w:val="21"/>
          <w:highlight w:val="none"/>
        </w:rPr>
      </w:pPr>
      <w:r>
        <w:rPr>
          <w:rFonts w:hint="eastAsia" w:ascii="宋体" w:hAnsi="宋体" w:cs="宋体"/>
          <w:color w:val="auto"/>
          <w:szCs w:val="21"/>
          <w:highlight w:val="none"/>
        </w:rPr>
        <w:t>日  期：</w:t>
      </w:r>
    </w:p>
    <w:p>
      <w:pPr>
        <w:pStyle w:val="2"/>
        <w:ind w:firstLine="562"/>
        <w:rPr>
          <w:rFonts w:ascii="宋体" w:hAnsi="宋体" w:eastAsia="宋体" w:cs="宋体"/>
          <w:b/>
          <w:color w:val="auto"/>
          <w:szCs w:val="21"/>
          <w:highlight w:val="none"/>
        </w:rPr>
      </w:pPr>
    </w:p>
    <w:p>
      <w:pPr>
        <w:snapToGrid w:val="0"/>
        <w:ind w:firstLine="422"/>
        <w:jc w:val="left"/>
        <w:rPr>
          <w:rFonts w:ascii="宋体" w:hAnsi="宋体" w:cs="宋体"/>
          <w:b/>
          <w:color w:val="auto"/>
          <w:szCs w:val="21"/>
          <w:highlight w:val="none"/>
        </w:rPr>
        <w:sectPr>
          <w:pgSz w:w="11906" w:h="16838"/>
          <w:pgMar w:top="1474" w:right="1797" w:bottom="1247" w:left="1797" w:header="851" w:footer="851" w:gutter="0"/>
          <w:cols w:space="720" w:num="1"/>
          <w:titlePg/>
          <w:docGrid w:linePitch="312" w:charSpace="0"/>
        </w:sectPr>
      </w:pPr>
    </w:p>
    <w:p>
      <w:pPr>
        <w:snapToGrid w:val="0"/>
        <w:ind w:firstLine="422"/>
        <w:jc w:val="left"/>
        <w:rPr>
          <w:rFonts w:ascii="宋体" w:hAnsi="宋体" w:cs="宋体"/>
          <w:b/>
          <w:color w:val="auto"/>
          <w:szCs w:val="21"/>
          <w:highlight w:val="none"/>
        </w:rPr>
      </w:pPr>
      <w:r>
        <w:rPr>
          <w:rFonts w:hint="eastAsia" w:ascii="宋体" w:hAnsi="宋体" w:cs="宋体"/>
          <w:b/>
          <w:color w:val="auto"/>
          <w:szCs w:val="21"/>
          <w:highlight w:val="none"/>
        </w:rPr>
        <w:t>17、拟投入服务团队</w:t>
      </w:r>
    </w:p>
    <w:p>
      <w:pPr>
        <w:snapToGrid w:val="0"/>
        <w:ind w:firstLine="422"/>
        <w:jc w:val="left"/>
        <w:rPr>
          <w:rFonts w:ascii="宋体" w:hAnsi="宋体" w:cs="宋体"/>
          <w:b/>
          <w:color w:val="auto"/>
          <w:szCs w:val="21"/>
          <w:highlight w:val="none"/>
        </w:rPr>
      </w:pPr>
    </w:p>
    <w:p>
      <w:pPr>
        <w:snapToGrid w:val="0"/>
        <w:ind w:firstLine="422"/>
        <w:jc w:val="center"/>
        <w:rPr>
          <w:rFonts w:ascii="宋体" w:hAnsi="宋体" w:cs="宋体"/>
          <w:b/>
          <w:bCs/>
          <w:color w:val="auto"/>
          <w:sz w:val="24"/>
          <w:highlight w:val="none"/>
        </w:rPr>
      </w:pPr>
      <w:r>
        <w:rPr>
          <w:rFonts w:hint="eastAsia" w:ascii="宋体" w:hAnsi="宋体" w:cs="宋体"/>
          <w:b/>
          <w:bCs/>
          <w:color w:val="auto"/>
          <w:szCs w:val="21"/>
          <w:highlight w:val="none"/>
        </w:rPr>
        <w:t>拟投入服务团队</w:t>
      </w:r>
    </w:p>
    <w:p>
      <w:pPr>
        <w:snapToGrid w:val="0"/>
        <w:ind w:firstLine="422"/>
        <w:jc w:val="left"/>
        <w:rPr>
          <w:rFonts w:ascii="宋体" w:hAnsi="宋体" w:cs="宋体"/>
          <w:b/>
          <w:color w:val="auto"/>
          <w:szCs w:val="21"/>
          <w:highlight w:val="none"/>
        </w:rPr>
      </w:pP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1038"/>
        <w:gridCol w:w="865"/>
        <w:gridCol w:w="1138"/>
        <w:gridCol w:w="1801"/>
        <w:gridCol w:w="1383"/>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824"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038"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姓名</w:t>
            </w:r>
          </w:p>
        </w:tc>
        <w:tc>
          <w:tcPr>
            <w:tcW w:w="865" w:type="dxa"/>
            <w:vAlign w:val="center"/>
          </w:tcPr>
          <w:p>
            <w:pPr>
              <w:ind w:leftChars="-8" w:hanging="16" w:hangingChars="8"/>
              <w:jc w:val="center"/>
              <w:rPr>
                <w:rFonts w:ascii="宋体" w:hAnsi="宋体" w:cs="宋体"/>
                <w:color w:val="auto"/>
                <w:szCs w:val="21"/>
                <w:highlight w:val="none"/>
              </w:rPr>
            </w:pPr>
            <w:r>
              <w:rPr>
                <w:rFonts w:hint="eastAsia" w:ascii="宋体" w:hAnsi="宋体" w:cs="宋体"/>
                <w:color w:val="auto"/>
                <w:szCs w:val="21"/>
                <w:highlight w:val="none"/>
              </w:rPr>
              <w:t>性别</w:t>
            </w:r>
          </w:p>
        </w:tc>
        <w:tc>
          <w:tcPr>
            <w:tcW w:w="1138"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岗位</w:t>
            </w:r>
          </w:p>
        </w:tc>
        <w:tc>
          <w:tcPr>
            <w:tcW w:w="1801"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职称/资格证书等</w:t>
            </w:r>
          </w:p>
        </w:tc>
        <w:tc>
          <w:tcPr>
            <w:tcW w:w="1383"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专业</w:t>
            </w:r>
          </w:p>
        </w:tc>
        <w:tc>
          <w:tcPr>
            <w:tcW w:w="1383" w:type="dxa"/>
            <w:vAlign w:val="center"/>
          </w:tcPr>
          <w:p>
            <w:pPr>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exact"/>
        </w:trPr>
        <w:tc>
          <w:tcPr>
            <w:tcW w:w="824" w:type="dxa"/>
            <w:vAlign w:val="center"/>
          </w:tcPr>
          <w:p>
            <w:pPr>
              <w:pStyle w:val="150"/>
              <w:ind w:firstLine="0" w:firstLineChars="0"/>
              <w:rPr>
                <w:rFonts w:ascii="宋体" w:hAnsi="宋体" w:cs="宋体"/>
                <w:color w:val="auto"/>
                <w:szCs w:val="21"/>
                <w:highlight w:val="none"/>
              </w:rPr>
            </w:pPr>
          </w:p>
        </w:tc>
        <w:tc>
          <w:tcPr>
            <w:tcW w:w="1038" w:type="dxa"/>
            <w:vAlign w:val="center"/>
          </w:tcPr>
          <w:p>
            <w:pPr>
              <w:ind w:firstLine="420"/>
              <w:jc w:val="center"/>
              <w:rPr>
                <w:rFonts w:ascii="宋体" w:hAnsi="宋体" w:cs="宋体"/>
                <w:color w:val="auto"/>
                <w:szCs w:val="21"/>
                <w:highlight w:val="none"/>
              </w:rPr>
            </w:pPr>
          </w:p>
        </w:tc>
        <w:tc>
          <w:tcPr>
            <w:tcW w:w="865" w:type="dxa"/>
            <w:vAlign w:val="center"/>
          </w:tcPr>
          <w:p>
            <w:pPr>
              <w:widowControl/>
              <w:spacing w:line="400" w:lineRule="atLeast"/>
              <w:ind w:firstLine="420"/>
              <w:jc w:val="center"/>
              <w:rPr>
                <w:rFonts w:ascii="宋体" w:hAnsi="宋体" w:cs="宋体"/>
                <w:color w:val="auto"/>
                <w:kern w:val="0"/>
                <w:szCs w:val="21"/>
                <w:highlight w:val="none"/>
              </w:rPr>
            </w:pPr>
          </w:p>
        </w:tc>
        <w:tc>
          <w:tcPr>
            <w:tcW w:w="1138" w:type="dxa"/>
            <w:vAlign w:val="center"/>
          </w:tcPr>
          <w:p>
            <w:pPr>
              <w:widowControl/>
              <w:spacing w:line="400" w:lineRule="atLeast"/>
              <w:ind w:firstLine="420"/>
              <w:jc w:val="center"/>
              <w:rPr>
                <w:rFonts w:ascii="宋体" w:hAnsi="宋体" w:cs="宋体"/>
                <w:color w:val="auto"/>
                <w:kern w:val="0"/>
                <w:szCs w:val="21"/>
                <w:highlight w:val="none"/>
              </w:rPr>
            </w:pPr>
          </w:p>
        </w:tc>
        <w:tc>
          <w:tcPr>
            <w:tcW w:w="1801" w:type="dxa"/>
            <w:vAlign w:val="center"/>
          </w:tcPr>
          <w:p>
            <w:pPr>
              <w:ind w:firstLine="420"/>
              <w:jc w:val="center"/>
              <w:rPr>
                <w:rFonts w:ascii="宋体" w:hAnsi="宋体" w:cs="宋体"/>
                <w:color w:val="auto"/>
                <w:szCs w:val="21"/>
                <w:highlight w:val="none"/>
              </w:rPr>
            </w:pPr>
          </w:p>
        </w:tc>
        <w:tc>
          <w:tcPr>
            <w:tcW w:w="1383" w:type="dxa"/>
          </w:tcPr>
          <w:p>
            <w:pPr>
              <w:ind w:firstLine="420"/>
              <w:jc w:val="center"/>
              <w:rPr>
                <w:rFonts w:ascii="宋体" w:hAnsi="宋体" w:cs="宋体"/>
                <w:color w:val="auto"/>
                <w:szCs w:val="21"/>
                <w:highlight w:val="none"/>
              </w:rPr>
            </w:pPr>
          </w:p>
        </w:tc>
        <w:tc>
          <w:tcPr>
            <w:tcW w:w="1383" w:type="dxa"/>
            <w:vAlign w:val="center"/>
          </w:tcPr>
          <w:p>
            <w:pPr>
              <w:ind w:firstLine="42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exact"/>
        </w:trPr>
        <w:tc>
          <w:tcPr>
            <w:tcW w:w="824" w:type="dxa"/>
            <w:vAlign w:val="center"/>
          </w:tcPr>
          <w:p>
            <w:pPr>
              <w:pStyle w:val="150"/>
              <w:ind w:firstLine="0" w:firstLineChars="0"/>
              <w:rPr>
                <w:rFonts w:ascii="宋体" w:hAnsi="宋体" w:cs="宋体"/>
                <w:color w:val="auto"/>
                <w:szCs w:val="21"/>
                <w:highlight w:val="none"/>
              </w:rPr>
            </w:pPr>
          </w:p>
        </w:tc>
        <w:tc>
          <w:tcPr>
            <w:tcW w:w="1038" w:type="dxa"/>
            <w:vAlign w:val="center"/>
          </w:tcPr>
          <w:p>
            <w:pPr>
              <w:widowControl/>
              <w:spacing w:line="400" w:lineRule="atLeast"/>
              <w:ind w:firstLine="420"/>
              <w:jc w:val="center"/>
              <w:rPr>
                <w:rFonts w:ascii="宋体" w:hAnsi="宋体" w:cs="宋体"/>
                <w:color w:val="auto"/>
                <w:kern w:val="0"/>
                <w:szCs w:val="21"/>
                <w:highlight w:val="none"/>
              </w:rPr>
            </w:pPr>
          </w:p>
        </w:tc>
        <w:tc>
          <w:tcPr>
            <w:tcW w:w="865" w:type="dxa"/>
            <w:vAlign w:val="center"/>
          </w:tcPr>
          <w:p>
            <w:pPr>
              <w:widowControl/>
              <w:spacing w:line="400" w:lineRule="atLeast"/>
              <w:ind w:firstLine="420"/>
              <w:jc w:val="center"/>
              <w:rPr>
                <w:rFonts w:ascii="宋体" w:hAnsi="宋体" w:cs="宋体"/>
                <w:color w:val="auto"/>
                <w:kern w:val="0"/>
                <w:szCs w:val="21"/>
                <w:highlight w:val="none"/>
              </w:rPr>
            </w:pPr>
          </w:p>
        </w:tc>
        <w:tc>
          <w:tcPr>
            <w:tcW w:w="1138" w:type="dxa"/>
            <w:vAlign w:val="center"/>
          </w:tcPr>
          <w:p>
            <w:pPr>
              <w:widowControl/>
              <w:spacing w:line="400" w:lineRule="atLeast"/>
              <w:ind w:firstLine="420"/>
              <w:jc w:val="center"/>
              <w:rPr>
                <w:rFonts w:ascii="宋体" w:hAnsi="宋体" w:cs="宋体"/>
                <w:color w:val="auto"/>
                <w:kern w:val="0"/>
                <w:szCs w:val="21"/>
                <w:highlight w:val="none"/>
              </w:rPr>
            </w:pPr>
          </w:p>
        </w:tc>
        <w:tc>
          <w:tcPr>
            <w:tcW w:w="1801" w:type="dxa"/>
            <w:vAlign w:val="center"/>
          </w:tcPr>
          <w:p>
            <w:pPr>
              <w:ind w:firstLine="420"/>
              <w:jc w:val="center"/>
              <w:rPr>
                <w:rFonts w:ascii="宋体" w:hAnsi="宋体" w:cs="宋体"/>
                <w:color w:val="auto"/>
                <w:szCs w:val="21"/>
                <w:highlight w:val="none"/>
              </w:rPr>
            </w:pPr>
          </w:p>
        </w:tc>
        <w:tc>
          <w:tcPr>
            <w:tcW w:w="1383" w:type="dxa"/>
          </w:tcPr>
          <w:p>
            <w:pPr>
              <w:ind w:firstLine="420"/>
              <w:jc w:val="center"/>
              <w:rPr>
                <w:rFonts w:ascii="宋体" w:hAnsi="宋体" w:cs="宋体"/>
                <w:color w:val="auto"/>
                <w:szCs w:val="21"/>
                <w:highlight w:val="none"/>
              </w:rPr>
            </w:pPr>
          </w:p>
        </w:tc>
        <w:tc>
          <w:tcPr>
            <w:tcW w:w="1383" w:type="dxa"/>
            <w:vAlign w:val="center"/>
          </w:tcPr>
          <w:p>
            <w:pPr>
              <w:ind w:firstLine="42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exact"/>
        </w:trPr>
        <w:tc>
          <w:tcPr>
            <w:tcW w:w="824" w:type="dxa"/>
            <w:vAlign w:val="center"/>
          </w:tcPr>
          <w:p>
            <w:pPr>
              <w:pStyle w:val="150"/>
              <w:ind w:firstLine="0" w:firstLineChars="0"/>
              <w:rPr>
                <w:rFonts w:ascii="宋体" w:hAnsi="宋体" w:cs="宋体"/>
                <w:color w:val="auto"/>
                <w:szCs w:val="21"/>
                <w:highlight w:val="none"/>
              </w:rPr>
            </w:pPr>
          </w:p>
        </w:tc>
        <w:tc>
          <w:tcPr>
            <w:tcW w:w="1038" w:type="dxa"/>
            <w:vAlign w:val="center"/>
          </w:tcPr>
          <w:p>
            <w:pPr>
              <w:widowControl/>
              <w:spacing w:line="400" w:lineRule="atLeast"/>
              <w:ind w:firstLine="420"/>
              <w:jc w:val="center"/>
              <w:rPr>
                <w:rFonts w:ascii="宋体" w:hAnsi="宋体" w:cs="宋体"/>
                <w:color w:val="auto"/>
                <w:kern w:val="0"/>
                <w:szCs w:val="21"/>
                <w:highlight w:val="none"/>
              </w:rPr>
            </w:pPr>
          </w:p>
        </w:tc>
        <w:tc>
          <w:tcPr>
            <w:tcW w:w="865" w:type="dxa"/>
            <w:vAlign w:val="center"/>
          </w:tcPr>
          <w:p>
            <w:pPr>
              <w:widowControl/>
              <w:spacing w:line="400" w:lineRule="atLeast"/>
              <w:ind w:firstLine="420"/>
              <w:jc w:val="center"/>
              <w:rPr>
                <w:rFonts w:ascii="宋体" w:hAnsi="宋体" w:cs="宋体"/>
                <w:color w:val="auto"/>
                <w:kern w:val="0"/>
                <w:szCs w:val="21"/>
                <w:highlight w:val="none"/>
              </w:rPr>
            </w:pPr>
          </w:p>
        </w:tc>
        <w:tc>
          <w:tcPr>
            <w:tcW w:w="1138" w:type="dxa"/>
            <w:vAlign w:val="center"/>
          </w:tcPr>
          <w:p>
            <w:pPr>
              <w:widowControl/>
              <w:spacing w:line="400" w:lineRule="atLeast"/>
              <w:ind w:firstLine="420"/>
              <w:jc w:val="center"/>
              <w:rPr>
                <w:rFonts w:ascii="宋体" w:hAnsi="宋体" w:cs="宋体"/>
                <w:color w:val="auto"/>
                <w:kern w:val="0"/>
                <w:szCs w:val="21"/>
                <w:highlight w:val="none"/>
              </w:rPr>
            </w:pPr>
          </w:p>
        </w:tc>
        <w:tc>
          <w:tcPr>
            <w:tcW w:w="1801" w:type="dxa"/>
            <w:vAlign w:val="center"/>
          </w:tcPr>
          <w:p>
            <w:pPr>
              <w:ind w:firstLine="420"/>
              <w:jc w:val="center"/>
              <w:rPr>
                <w:rFonts w:ascii="宋体" w:hAnsi="宋体" w:cs="宋体"/>
                <w:color w:val="auto"/>
                <w:szCs w:val="21"/>
                <w:highlight w:val="none"/>
              </w:rPr>
            </w:pPr>
          </w:p>
        </w:tc>
        <w:tc>
          <w:tcPr>
            <w:tcW w:w="1383" w:type="dxa"/>
          </w:tcPr>
          <w:p>
            <w:pPr>
              <w:ind w:firstLine="420"/>
              <w:jc w:val="center"/>
              <w:rPr>
                <w:rFonts w:ascii="宋体" w:hAnsi="宋体" w:cs="宋体"/>
                <w:color w:val="auto"/>
                <w:szCs w:val="21"/>
                <w:highlight w:val="none"/>
              </w:rPr>
            </w:pPr>
          </w:p>
        </w:tc>
        <w:tc>
          <w:tcPr>
            <w:tcW w:w="1383" w:type="dxa"/>
            <w:vAlign w:val="center"/>
          </w:tcPr>
          <w:p>
            <w:pPr>
              <w:ind w:firstLine="42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exact"/>
        </w:trPr>
        <w:tc>
          <w:tcPr>
            <w:tcW w:w="824" w:type="dxa"/>
            <w:vAlign w:val="center"/>
          </w:tcPr>
          <w:p>
            <w:pPr>
              <w:pStyle w:val="150"/>
              <w:ind w:firstLine="0" w:firstLineChars="0"/>
              <w:rPr>
                <w:rFonts w:ascii="宋体" w:hAnsi="宋体" w:cs="宋体"/>
                <w:color w:val="auto"/>
                <w:szCs w:val="21"/>
                <w:highlight w:val="none"/>
              </w:rPr>
            </w:pPr>
          </w:p>
        </w:tc>
        <w:tc>
          <w:tcPr>
            <w:tcW w:w="1038" w:type="dxa"/>
            <w:vAlign w:val="center"/>
          </w:tcPr>
          <w:p>
            <w:pPr>
              <w:widowControl/>
              <w:spacing w:line="400" w:lineRule="atLeast"/>
              <w:ind w:firstLine="420"/>
              <w:jc w:val="center"/>
              <w:rPr>
                <w:rFonts w:ascii="宋体" w:hAnsi="宋体" w:cs="宋体"/>
                <w:color w:val="auto"/>
                <w:kern w:val="0"/>
                <w:szCs w:val="21"/>
                <w:highlight w:val="none"/>
              </w:rPr>
            </w:pPr>
          </w:p>
        </w:tc>
        <w:tc>
          <w:tcPr>
            <w:tcW w:w="865" w:type="dxa"/>
            <w:vAlign w:val="center"/>
          </w:tcPr>
          <w:p>
            <w:pPr>
              <w:widowControl/>
              <w:spacing w:line="400" w:lineRule="atLeast"/>
              <w:ind w:firstLine="420"/>
              <w:jc w:val="center"/>
              <w:rPr>
                <w:rFonts w:ascii="宋体" w:hAnsi="宋体" w:cs="宋体"/>
                <w:color w:val="auto"/>
                <w:kern w:val="0"/>
                <w:szCs w:val="21"/>
                <w:highlight w:val="none"/>
              </w:rPr>
            </w:pPr>
          </w:p>
        </w:tc>
        <w:tc>
          <w:tcPr>
            <w:tcW w:w="1138" w:type="dxa"/>
            <w:vAlign w:val="center"/>
          </w:tcPr>
          <w:p>
            <w:pPr>
              <w:widowControl/>
              <w:spacing w:line="400" w:lineRule="atLeast"/>
              <w:ind w:firstLine="420"/>
              <w:jc w:val="center"/>
              <w:rPr>
                <w:rFonts w:ascii="宋体" w:hAnsi="宋体" w:cs="宋体"/>
                <w:color w:val="auto"/>
                <w:kern w:val="0"/>
                <w:szCs w:val="21"/>
                <w:highlight w:val="none"/>
              </w:rPr>
            </w:pPr>
          </w:p>
        </w:tc>
        <w:tc>
          <w:tcPr>
            <w:tcW w:w="1801" w:type="dxa"/>
            <w:vAlign w:val="center"/>
          </w:tcPr>
          <w:p>
            <w:pPr>
              <w:ind w:firstLine="420"/>
              <w:jc w:val="center"/>
              <w:rPr>
                <w:rFonts w:ascii="宋体" w:hAnsi="宋体" w:cs="宋体"/>
                <w:color w:val="auto"/>
                <w:szCs w:val="21"/>
                <w:highlight w:val="none"/>
              </w:rPr>
            </w:pPr>
          </w:p>
        </w:tc>
        <w:tc>
          <w:tcPr>
            <w:tcW w:w="1383" w:type="dxa"/>
          </w:tcPr>
          <w:p>
            <w:pPr>
              <w:ind w:firstLine="420"/>
              <w:jc w:val="center"/>
              <w:rPr>
                <w:rFonts w:ascii="宋体" w:hAnsi="宋体" w:cs="宋体"/>
                <w:color w:val="auto"/>
                <w:szCs w:val="21"/>
                <w:highlight w:val="none"/>
              </w:rPr>
            </w:pPr>
          </w:p>
        </w:tc>
        <w:tc>
          <w:tcPr>
            <w:tcW w:w="1383" w:type="dxa"/>
            <w:vAlign w:val="center"/>
          </w:tcPr>
          <w:p>
            <w:pPr>
              <w:ind w:firstLine="42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exact"/>
        </w:trPr>
        <w:tc>
          <w:tcPr>
            <w:tcW w:w="824" w:type="dxa"/>
            <w:vAlign w:val="center"/>
          </w:tcPr>
          <w:p>
            <w:pPr>
              <w:pStyle w:val="150"/>
              <w:ind w:firstLine="0" w:firstLineChars="0"/>
              <w:rPr>
                <w:rFonts w:ascii="宋体" w:hAnsi="宋体" w:cs="宋体"/>
                <w:color w:val="auto"/>
                <w:szCs w:val="21"/>
                <w:highlight w:val="none"/>
              </w:rPr>
            </w:pPr>
          </w:p>
        </w:tc>
        <w:tc>
          <w:tcPr>
            <w:tcW w:w="1038" w:type="dxa"/>
            <w:vAlign w:val="center"/>
          </w:tcPr>
          <w:p>
            <w:pPr>
              <w:widowControl/>
              <w:spacing w:line="400" w:lineRule="atLeast"/>
              <w:ind w:firstLine="420"/>
              <w:jc w:val="center"/>
              <w:rPr>
                <w:rFonts w:ascii="宋体" w:hAnsi="宋体" w:cs="宋体"/>
                <w:color w:val="auto"/>
                <w:kern w:val="0"/>
                <w:szCs w:val="21"/>
                <w:highlight w:val="none"/>
              </w:rPr>
            </w:pPr>
          </w:p>
        </w:tc>
        <w:tc>
          <w:tcPr>
            <w:tcW w:w="865" w:type="dxa"/>
            <w:vAlign w:val="center"/>
          </w:tcPr>
          <w:p>
            <w:pPr>
              <w:widowControl/>
              <w:spacing w:line="400" w:lineRule="atLeast"/>
              <w:ind w:firstLine="420"/>
              <w:jc w:val="center"/>
              <w:rPr>
                <w:rFonts w:ascii="宋体" w:hAnsi="宋体" w:cs="宋体"/>
                <w:color w:val="auto"/>
                <w:kern w:val="0"/>
                <w:szCs w:val="21"/>
                <w:highlight w:val="none"/>
              </w:rPr>
            </w:pPr>
          </w:p>
        </w:tc>
        <w:tc>
          <w:tcPr>
            <w:tcW w:w="1138" w:type="dxa"/>
            <w:vAlign w:val="center"/>
          </w:tcPr>
          <w:p>
            <w:pPr>
              <w:widowControl/>
              <w:spacing w:line="400" w:lineRule="atLeast"/>
              <w:ind w:firstLine="420"/>
              <w:jc w:val="center"/>
              <w:rPr>
                <w:rFonts w:ascii="宋体" w:hAnsi="宋体" w:cs="宋体"/>
                <w:color w:val="auto"/>
                <w:kern w:val="0"/>
                <w:szCs w:val="21"/>
                <w:highlight w:val="none"/>
              </w:rPr>
            </w:pPr>
          </w:p>
        </w:tc>
        <w:tc>
          <w:tcPr>
            <w:tcW w:w="1801" w:type="dxa"/>
            <w:vAlign w:val="center"/>
          </w:tcPr>
          <w:p>
            <w:pPr>
              <w:ind w:firstLine="420"/>
              <w:jc w:val="center"/>
              <w:rPr>
                <w:rFonts w:ascii="宋体" w:hAnsi="宋体" w:cs="宋体"/>
                <w:color w:val="auto"/>
                <w:szCs w:val="21"/>
                <w:highlight w:val="none"/>
              </w:rPr>
            </w:pPr>
          </w:p>
        </w:tc>
        <w:tc>
          <w:tcPr>
            <w:tcW w:w="1383" w:type="dxa"/>
          </w:tcPr>
          <w:p>
            <w:pPr>
              <w:ind w:firstLine="420"/>
              <w:jc w:val="center"/>
              <w:rPr>
                <w:rFonts w:ascii="宋体" w:hAnsi="宋体" w:cs="宋体"/>
                <w:color w:val="auto"/>
                <w:szCs w:val="21"/>
                <w:highlight w:val="none"/>
              </w:rPr>
            </w:pPr>
          </w:p>
        </w:tc>
        <w:tc>
          <w:tcPr>
            <w:tcW w:w="1383" w:type="dxa"/>
            <w:vAlign w:val="center"/>
          </w:tcPr>
          <w:p>
            <w:pPr>
              <w:ind w:firstLine="42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exact"/>
        </w:trPr>
        <w:tc>
          <w:tcPr>
            <w:tcW w:w="824" w:type="dxa"/>
            <w:vAlign w:val="center"/>
          </w:tcPr>
          <w:p>
            <w:pPr>
              <w:pStyle w:val="150"/>
              <w:ind w:firstLine="0" w:firstLineChars="0"/>
              <w:rPr>
                <w:rFonts w:ascii="宋体" w:hAnsi="宋体" w:cs="宋体"/>
                <w:color w:val="auto"/>
                <w:szCs w:val="21"/>
                <w:highlight w:val="none"/>
              </w:rPr>
            </w:pPr>
          </w:p>
        </w:tc>
        <w:tc>
          <w:tcPr>
            <w:tcW w:w="1038" w:type="dxa"/>
            <w:vAlign w:val="center"/>
          </w:tcPr>
          <w:p>
            <w:pPr>
              <w:widowControl/>
              <w:spacing w:line="400" w:lineRule="atLeast"/>
              <w:ind w:firstLine="420"/>
              <w:jc w:val="center"/>
              <w:rPr>
                <w:rFonts w:ascii="宋体" w:hAnsi="宋体" w:cs="宋体"/>
                <w:color w:val="auto"/>
                <w:kern w:val="0"/>
                <w:szCs w:val="21"/>
                <w:highlight w:val="none"/>
              </w:rPr>
            </w:pPr>
          </w:p>
        </w:tc>
        <w:tc>
          <w:tcPr>
            <w:tcW w:w="865" w:type="dxa"/>
            <w:vAlign w:val="center"/>
          </w:tcPr>
          <w:p>
            <w:pPr>
              <w:widowControl/>
              <w:spacing w:line="400" w:lineRule="atLeast"/>
              <w:ind w:firstLine="420"/>
              <w:jc w:val="center"/>
              <w:rPr>
                <w:rFonts w:ascii="宋体" w:hAnsi="宋体" w:cs="宋体"/>
                <w:color w:val="auto"/>
                <w:kern w:val="0"/>
                <w:szCs w:val="21"/>
                <w:highlight w:val="none"/>
              </w:rPr>
            </w:pPr>
          </w:p>
        </w:tc>
        <w:tc>
          <w:tcPr>
            <w:tcW w:w="1138" w:type="dxa"/>
            <w:vAlign w:val="center"/>
          </w:tcPr>
          <w:p>
            <w:pPr>
              <w:widowControl/>
              <w:spacing w:line="400" w:lineRule="atLeast"/>
              <w:ind w:firstLine="420"/>
              <w:jc w:val="center"/>
              <w:rPr>
                <w:rFonts w:ascii="宋体" w:hAnsi="宋体" w:cs="宋体"/>
                <w:color w:val="auto"/>
                <w:kern w:val="0"/>
                <w:szCs w:val="21"/>
                <w:highlight w:val="none"/>
              </w:rPr>
            </w:pPr>
          </w:p>
        </w:tc>
        <w:tc>
          <w:tcPr>
            <w:tcW w:w="1801" w:type="dxa"/>
            <w:vAlign w:val="center"/>
          </w:tcPr>
          <w:p>
            <w:pPr>
              <w:ind w:firstLine="420"/>
              <w:jc w:val="center"/>
              <w:rPr>
                <w:rFonts w:ascii="宋体" w:hAnsi="宋体" w:cs="宋体"/>
                <w:color w:val="auto"/>
                <w:szCs w:val="21"/>
                <w:highlight w:val="none"/>
              </w:rPr>
            </w:pPr>
          </w:p>
        </w:tc>
        <w:tc>
          <w:tcPr>
            <w:tcW w:w="1383" w:type="dxa"/>
          </w:tcPr>
          <w:p>
            <w:pPr>
              <w:ind w:firstLine="420"/>
              <w:jc w:val="center"/>
              <w:rPr>
                <w:rFonts w:ascii="宋体" w:hAnsi="宋体" w:cs="宋体"/>
                <w:color w:val="auto"/>
                <w:szCs w:val="21"/>
                <w:highlight w:val="none"/>
              </w:rPr>
            </w:pPr>
          </w:p>
        </w:tc>
        <w:tc>
          <w:tcPr>
            <w:tcW w:w="1383" w:type="dxa"/>
            <w:vAlign w:val="center"/>
          </w:tcPr>
          <w:p>
            <w:pPr>
              <w:ind w:firstLine="42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exact"/>
        </w:trPr>
        <w:tc>
          <w:tcPr>
            <w:tcW w:w="824" w:type="dxa"/>
            <w:vAlign w:val="center"/>
          </w:tcPr>
          <w:p>
            <w:pPr>
              <w:pStyle w:val="150"/>
              <w:ind w:firstLine="0" w:firstLineChars="0"/>
              <w:rPr>
                <w:rFonts w:ascii="宋体" w:hAnsi="宋体" w:cs="宋体"/>
                <w:color w:val="auto"/>
                <w:szCs w:val="21"/>
                <w:highlight w:val="none"/>
              </w:rPr>
            </w:pPr>
          </w:p>
        </w:tc>
        <w:tc>
          <w:tcPr>
            <w:tcW w:w="1038" w:type="dxa"/>
            <w:vAlign w:val="center"/>
          </w:tcPr>
          <w:p>
            <w:pPr>
              <w:widowControl/>
              <w:spacing w:line="400" w:lineRule="atLeast"/>
              <w:ind w:firstLine="420"/>
              <w:jc w:val="center"/>
              <w:rPr>
                <w:rFonts w:ascii="宋体" w:hAnsi="宋体" w:cs="宋体"/>
                <w:color w:val="auto"/>
                <w:kern w:val="0"/>
                <w:szCs w:val="21"/>
                <w:highlight w:val="none"/>
              </w:rPr>
            </w:pPr>
          </w:p>
        </w:tc>
        <w:tc>
          <w:tcPr>
            <w:tcW w:w="865" w:type="dxa"/>
            <w:vAlign w:val="center"/>
          </w:tcPr>
          <w:p>
            <w:pPr>
              <w:widowControl/>
              <w:spacing w:line="400" w:lineRule="atLeast"/>
              <w:ind w:firstLine="420"/>
              <w:jc w:val="center"/>
              <w:rPr>
                <w:rFonts w:ascii="宋体" w:hAnsi="宋体" w:cs="宋体"/>
                <w:color w:val="auto"/>
                <w:kern w:val="0"/>
                <w:szCs w:val="21"/>
                <w:highlight w:val="none"/>
              </w:rPr>
            </w:pPr>
          </w:p>
        </w:tc>
        <w:tc>
          <w:tcPr>
            <w:tcW w:w="1138" w:type="dxa"/>
            <w:vAlign w:val="center"/>
          </w:tcPr>
          <w:p>
            <w:pPr>
              <w:widowControl/>
              <w:spacing w:line="400" w:lineRule="atLeast"/>
              <w:ind w:firstLine="420"/>
              <w:jc w:val="center"/>
              <w:rPr>
                <w:rFonts w:ascii="宋体" w:hAnsi="宋体" w:cs="宋体"/>
                <w:color w:val="auto"/>
                <w:kern w:val="0"/>
                <w:szCs w:val="21"/>
                <w:highlight w:val="none"/>
              </w:rPr>
            </w:pPr>
          </w:p>
        </w:tc>
        <w:tc>
          <w:tcPr>
            <w:tcW w:w="1801" w:type="dxa"/>
            <w:vAlign w:val="center"/>
          </w:tcPr>
          <w:p>
            <w:pPr>
              <w:ind w:firstLine="420"/>
              <w:jc w:val="center"/>
              <w:rPr>
                <w:rFonts w:ascii="宋体" w:hAnsi="宋体" w:cs="宋体"/>
                <w:color w:val="auto"/>
                <w:szCs w:val="21"/>
                <w:highlight w:val="none"/>
              </w:rPr>
            </w:pPr>
          </w:p>
        </w:tc>
        <w:tc>
          <w:tcPr>
            <w:tcW w:w="1383" w:type="dxa"/>
          </w:tcPr>
          <w:p>
            <w:pPr>
              <w:ind w:firstLine="420"/>
              <w:jc w:val="center"/>
              <w:rPr>
                <w:rFonts w:ascii="宋体" w:hAnsi="宋体" w:cs="宋体"/>
                <w:color w:val="auto"/>
                <w:szCs w:val="21"/>
                <w:highlight w:val="none"/>
              </w:rPr>
            </w:pPr>
          </w:p>
        </w:tc>
        <w:tc>
          <w:tcPr>
            <w:tcW w:w="1383" w:type="dxa"/>
            <w:vAlign w:val="center"/>
          </w:tcPr>
          <w:p>
            <w:pPr>
              <w:ind w:firstLine="42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exact"/>
        </w:trPr>
        <w:tc>
          <w:tcPr>
            <w:tcW w:w="824" w:type="dxa"/>
            <w:vAlign w:val="center"/>
          </w:tcPr>
          <w:p>
            <w:pPr>
              <w:pStyle w:val="150"/>
              <w:ind w:firstLine="0" w:firstLineChars="0"/>
              <w:rPr>
                <w:rFonts w:ascii="宋体" w:hAnsi="宋体" w:cs="宋体"/>
                <w:color w:val="auto"/>
                <w:szCs w:val="21"/>
                <w:highlight w:val="none"/>
              </w:rPr>
            </w:pPr>
          </w:p>
        </w:tc>
        <w:tc>
          <w:tcPr>
            <w:tcW w:w="1038" w:type="dxa"/>
            <w:vAlign w:val="center"/>
          </w:tcPr>
          <w:p>
            <w:pPr>
              <w:widowControl/>
              <w:spacing w:line="400" w:lineRule="atLeast"/>
              <w:ind w:firstLine="420"/>
              <w:jc w:val="center"/>
              <w:rPr>
                <w:rFonts w:ascii="宋体" w:hAnsi="宋体" w:cs="宋体"/>
                <w:color w:val="auto"/>
                <w:kern w:val="0"/>
                <w:szCs w:val="21"/>
                <w:highlight w:val="none"/>
              </w:rPr>
            </w:pPr>
          </w:p>
        </w:tc>
        <w:tc>
          <w:tcPr>
            <w:tcW w:w="865" w:type="dxa"/>
            <w:vAlign w:val="center"/>
          </w:tcPr>
          <w:p>
            <w:pPr>
              <w:widowControl/>
              <w:spacing w:line="400" w:lineRule="atLeast"/>
              <w:ind w:firstLine="420"/>
              <w:jc w:val="center"/>
              <w:rPr>
                <w:rFonts w:ascii="宋体" w:hAnsi="宋体" w:cs="宋体"/>
                <w:color w:val="auto"/>
                <w:kern w:val="0"/>
                <w:szCs w:val="21"/>
                <w:highlight w:val="none"/>
              </w:rPr>
            </w:pPr>
          </w:p>
        </w:tc>
        <w:tc>
          <w:tcPr>
            <w:tcW w:w="1138" w:type="dxa"/>
            <w:vAlign w:val="center"/>
          </w:tcPr>
          <w:p>
            <w:pPr>
              <w:widowControl/>
              <w:spacing w:line="400" w:lineRule="atLeast"/>
              <w:ind w:firstLine="420"/>
              <w:jc w:val="center"/>
              <w:rPr>
                <w:rFonts w:ascii="宋体" w:hAnsi="宋体" w:cs="宋体"/>
                <w:color w:val="auto"/>
                <w:kern w:val="0"/>
                <w:szCs w:val="21"/>
                <w:highlight w:val="none"/>
              </w:rPr>
            </w:pPr>
          </w:p>
        </w:tc>
        <w:tc>
          <w:tcPr>
            <w:tcW w:w="1801" w:type="dxa"/>
            <w:vAlign w:val="center"/>
          </w:tcPr>
          <w:p>
            <w:pPr>
              <w:ind w:firstLine="420"/>
              <w:jc w:val="center"/>
              <w:rPr>
                <w:rFonts w:ascii="宋体" w:hAnsi="宋体" w:cs="宋体"/>
                <w:color w:val="auto"/>
                <w:szCs w:val="21"/>
                <w:highlight w:val="none"/>
              </w:rPr>
            </w:pPr>
          </w:p>
        </w:tc>
        <w:tc>
          <w:tcPr>
            <w:tcW w:w="1383" w:type="dxa"/>
          </w:tcPr>
          <w:p>
            <w:pPr>
              <w:ind w:firstLine="420"/>
              <w:jc w:val="center"/>
              <w:rPr>
                <w:rFonts w:ascii="宋体" w:hAnsi="宋体" w:cs="宋体"/>
                <w:color w:val="auto"/>
                <w:szCs w:val="21"/>
                <w:highlight w:val="none"/>
              </w:rPr>
            </w:pPr>
          </w:p>
        </w:tc>
        <w:tc>
          <w:tcPr>
            <w:tcW w:w="1383" w:type="dxa"/>
            <w:vAlign w:val="center"/>
          </w:tcPr>
          <w:p>
            <w:pPr>
              <w:ind w:firstLine="42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exact"/>
        </w:trPr>
        <w:tc>
          <w:tcPr>
            <w:tcW w:w="824" w:type="dxa"/>
            <w:vAlign w:val="center"/>
          </w:tcPr>
          <w:p>
            <w:pPr>
              <w:pStyle w:val="150"/>
              <w:ind w:firstLine="0" w:firstLineChars="0"/>
              <w:rPr>
                <w:rFonts w:ascii="宋体" w:hAnsi="宋体" w:cs="宋体"/>
                <w:color w:val="auto"/>
                <w:szCs w:val="21"/>
                <w:highlight w:val="none"/>
              </w:rPr>
            </w:pPr>
          </w:p>
        </w:tc>
        <w:tc>
          <w:tcPr>
            <w:tcW w:w="1038" w:type="dxa"/>
            <w:vAlign w:val="center"/>
          </w:tcPr>
          <w:p>
            <w:pPr>
              <w:widowControl/>
              <w:spacing w:line="400" w:lineRule="atLeast"/>
              <w:ind w:firstLine="420"/>
              <w:jc w:val="center"/>
              <w:rPr>
                <w:rFonts w:ascii="宋体" w:hAnsi="宋体" w:cs="宋体"/>
                <w:color w:val="auto"/>
                <w:kern w:val="0"/>
                <w:szCs w:val="21"/>
                <w:highlight w:val="none"/>
              </w:rPr>
            </w:pPr>
          </w:p>
        </w:tc>
        <w:tc>
          <w:tcPr>
            <w:tcW w:w="865" w:type="dxa"/>
            <w:vAlign w:val="center"/>
          </w:tcPr>
          <w:p>
            <w:pPr>
              <w:widowControl/>
              <w:spacing w:line="400" w:lineRule="atLeast"/>
              <w:ind w:firstLine="420"/>
              <w:jc w:val="center"/>
              <w:rPr>
                <w:rFonts w:ascii="宋体" w:hAnsi="宋体" w:cs="宋体"/>
                <w:color w:val="auto"/>
                <w:kern w:val="0"/>
                <w:szCs w:val="21"/>
                <w:highlight w:val="none"/>
              </w:rPr>
            </w:pPr>
          </w:p>
        </w:tc>
        <w:tc>
          <w:tcPr>
            <w:tcW w:w="1138" w:type="dxa"/>
            <w:vAlign w:val="center"/>
          </w:tcPr>
          <w:p>
            <w:pPr>
              <w:widowControl/>
              <w:spacing w:line="400" w:lineRule="atLeast"/>
              <w:ind w:firstLine="420"/>
              <w:jc w:val="center"/>
              <w:rPr>
                <w:rFonts w:ascii="宋体" w:hAnsi="宋体" w:cs="宋体"/>
                <w:color w:val="auto"/>
                <w:kern w:val="0"/>
                <w:szCs w:val="21"/>
                <w:highlight w:val="none"/>
              </w:rPr>
            </w:pPr>
          </w:p>
        </w:tc>
        <w:tc>
          <w:tcPr>
            <w:tcW w:w="1801" w:type="dxa"/>
            <w:vAlign w:val="center"/>
          </w:tcPr>
          <w:p>
            <w:pPr>
              <w:ind w:firstLine="420"/>
              <w:jc w:val="center"/>
              <w:rPr>
                <w:rFonts w:ascii="宋体" w:hAnsi="宋体" w:cs="宋体"/>
                <w:color w:val="auto"/>
                <w:szCs w:val="21"/>
                <w:highlight w:val="none"/>
              </w:rPr>
            </w:pPr>
          </w:p>
        </w:tc>
        <w:tc>
          <w:tcPr>
            <w:tcW w:w="1383" w:type="dxa"/>
          </w:tcPr>
          <w:p>
            <w:pPr>
              <w:ind w:firstLine="420"/>
              <w:jc w:val="center"/>
              <w:rPr>
                <w:rFonts w:ascii="宋体" w:hAnsi="宋体" w:cs="宋体"/>
                <w:color w:val="auto"/>
                <w:szCs w:val="21"/>
                <w:highlight w:val="none"/>
              </w:rPr>
            </w:pPr>
          </w:p>
        </w:tc>
        <w:tc>
          <w:tcPr>
            <w:tcW w:w="1383" w:type="dxa"/>
            <w:vAlign w:val="center"/>
          </w:tcPr>
          <w:p>
            <w:pPr>
              <w:ind w:firstLine="42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exact"/>
        </w:trPr>
        <w:tc>
          <w:tcPr>
            <w:tcW w:w="824" w:type="dxa"/>
            <w:vAlign w:val="center"/>
          </w:tcPr>
          <w:p>
            <w:pPr>
              <w:pStyle w:val="150"/>
              <w:ind w:firstLine="0" w:firstLineChars="0"/>
              <w:rPr>
                <w:rFonts w:ascii="宋体" w:hAnsi="宋体" w:cs="宋体"/>
                <w:color w:val="auto"/>
                <w:szCs w:val="21"/>
                <w:highlight w:val="none"/>
              </w:rPr>
            </w:pPr>
          </w:p>
        </w:tc>
        <w:tc>
          <w:tcPr>
            <w:tcW w:w="1038" w:type="dxa"/>
            <w:vAlign w:val="center"/>
          </w:tcPr>
          <w:p>
            <w:pPr>
              <w:widowControl/>
              <w:spacing w:line="400" w:lineRule="atLeast"/>
              <w:ind w:firstLine="420"/>
              <w:jc w:val="center"/>
              <w:rPr>
                <w:rFonts w:ascii="宋体" w:hAnsi="宋体" w:cs="宋体"/>
                <w:color w:val="auto"/>
                <w:kern w:val="0"/>
                <w:szCs w:val="21"/>
                <w:highlight w:val="none"/>
              </w:rPr>
            </w:pPr>
          </w:p>
        </w:tc>
        <w:tc>
          <w:tcPr>
            <w:tcW w:w="865" w:type="dxa"/>
            <w:vAlign w:val="center"/>
          </w:tcPr>
          <w:p>
            <w:pPr>
              <w:widowControl/>
              <w:spacing w:line="400" w:lineRule="atLeast"/>
              <w:ind w:firstLine="420"/>
              <w:jc w:val="center"/>
              <w:rPr>
                <w:rFonts w:ascii="宋体" w:hAnsi="宋体" w:cs="宋体"/>
                <w:color w:val="auto"/>
                <w:kern w:val="0"/>
                <w:szCs w:val="21"/>
                <w:highlight w:val="none"/>
              </w:rPr>
            </w:pPr>
          </w:p>
        </w:tc>
        <w:tc>
          <w:tcPr>
            <w:tcW w:w="1138" w:type="dxa"/>
            <w:vAlign w:val="center"/>
          </w:tcPr>
          <w:p>
            <w:pPr>
              <w:widowControl/>
              <w:spacing w:line="400" w:lineRule="atLeast"/>
              <w:ind w:firstLine="420"/>
              <w:jc w:val="center"/>
              <w:rPr>
                <w:rFonts w:ascii="宋体" w:hAnsi="宋体" w:cs="宋体"/>
                <w:color w:val="auto"/>
                <w:kern w:val="0"/>
                <w:szCs w:val="21"/>
                <w:highlight w:val="none"/>
              </w:rPr>
            </w:pPr>
          </w:p>
        </w:tc>
        <w:tc>
          <w:tcPr>
            <w:tcW w:w="1801" w:type="dxa"/>
            <w:vAlign w:val="center"/>
          </w:tcPr>
          <w:p>
            <w:pPr>
              <w:ind w:firstLine="420"/>
              <w:jc w:val="center"/>
              <w:rPr>
                <w:rFonts w:ascii="宋体" w:hAnsi="宋体" w:cs="宋体"/>
                <w:color w:val="auto"/>
                <w:szCs w:val="21"/>
                <w:highlight w:val="none"/>
              </w:rPr>
            </w:pPr>
          </w:p>
        </w:tc>
        <w:tc>
          <w:tcPr>
            <w:tcW w:w="1383" w:type="dxa"/>
          </w:tcPr>
          <w:p>
            <w:pPr>
              <w:ind w:firstLine="420"/>
              <w:jc w:val="center"/>
              <w:rPr>
                <w:rFonts w:ascii="宋体" w:hAnsi="宋体" w:cs="宋体"/>
                <w:color w:val="auto"/>
                <w:szCs w:val="21"/>
                <w:highlight w:val="none"/>
              </w:rPr>
            </w:pPr>
          </w:p>
        </w:tc>
        <w:tc>
          <w:tcPr>
            <w:tcW w:w="1383" w:type="dxa"/>
            <w:vAlign w:val="center"/>
          </w:tcPr>
          <w:p>
            <w:pPr>
              <w:ind w:firstLine="420"/>
              <w:jc w:val="center"/>
              <w:rPr>
                <w:rFonts w:ascii="宋体" w:hAnsi="宋体" w:cs="宋体"/>
                <w:color w:val="auto"/>
                <w:szCs w:val="21"/>
                <w:highlight w:val="none"/>
              </w:rPr>
            </w:pPr>
          </w:p>
        </w:tc>
      </w:tr>
    </w:tbl>
    <w:p>
      <w:pPr>
        <w:snapToGrid w:val="0"/>
        <w:spacing w:before="50"/>
        <w:ind w:firstLine="422"/>
        <w:jc w:val="left"/>
        <w:rPr>
          <w:rFonts w:ascii="宋体" w:hAnsi="宋体" w:cs="宋体"/>
          <w:bCs/>
          <w:color w:val="auto"/>
          <w:highlight w:val="none"/>
        </w:rPr>
      </w:pPr>
      <w:r>
        <w:rPr>
          <w:rFonts w:hint="eastAsia" w:ascii="宋体" w:hAnsi="宋体" w:cs="宋体"/>
          <w:b/>
          <w:color w:val="auto"/>
          <w:highlight w:val="none"/>
        </w:rPr>
        <w:t>备注：投标文件中提供人员</w:t>
      </w:r>
      <w:r>
        <w:rPr>
          <w:rFonts w:hint="eastAsia" w:ascii="宋体" w:hAnsi="宋体" w:cs="宋体"/>
          <w:b/>
          <w:color w:val="auto"/>
          <w:kern w:val="0"/>
          <w:szCs w:val="21"/>
          <w:highlight w:val="none"/>
        </w:rPr>
        <w:t>证书复印件加盖</w:t>
      </w:r>
      <w:r>
        <w:rPr>
          <w:rFonts w:hint="eastAsia" w:ascii="宋体" w:hAnsi="宋体" w:cs="宋体"/>
          <w:b/>
          <w:color w:val="auto"/>
          <w:szCs w:val="21"/>
          <w:highlight w:val="none"/>
          <w:lang w:bidi="ar"/>
        </w:rPr>
        <w:t>投标人公章，</w:t>
      </w:r>
      <w:r>
        <w:rPr>
          <w:rFonts w:hint="eastAsia" w:ascii="宋体" w:hAnsi="宋体" w:cs="宋体"/>
          <w:b/>
          <w:color w:val="auto"/>
          <w:szCs w:val="21"/>
          <w:highlight w:val="none"/>
        </w:rPr>
        <w:t>同时提供开标日前三个月内</w:t>
      </w:r>
      <w:r>
        <w:rPr>
          <w:rFonts w:hint="eastAsia" w:ascii="宋体" w:hAnsi="宋体" w:cs="宋体"/>
          <w:b/>
          <w:bCs/>
          <w:color w:val="auto"/>
          <w:szCs w:val="21"/>
          <w:highlight w:val="none"/>
        </w:rPr>
        <w:t>出具的人员社保证明</w:t>
      </w:r>
      <w:r>
        <w:rPr>
          <w:rFonts w:hint="eastAsia" w:ascii="宋体" w:hAnsi="宋体" w:cs="宋体"/>
          <w:b/>
          <w:bCs/>
          <w:color w:val="auto"/>
          <w:szCs w:val="21"/>
          <w:highlight w:val="none"/>
          <w:lang w:bidi="ar"/>
        </w:rPr>
        <w:t>，</w:t>
      </w:r>
      <w:r>
        <w:rPr>
          <w:rFonts w:hint="eastAsia" w:ascii="宋体" w:hAnsi="宋体" w:cs="宋体"/>
          <w:b/>
          <w:color w:val="auto"/>
          <w:szCs w:val="21"/>
          <w:highlight w:val="none"/>
          <w:lang w:bidi="ar"/>
        </w:rPr>
        <w:t>未提供不得分。</w:t>
      </w:r>
    </w:p>
    <w:p>
      <w:pPr>
        <w:snapToGrid w:val="0"/>
        <w:spacing w:before="50"/>
        <w:ind w:firstLine="422"/>
        <w:jc w:val="left"/>
        <w:rPr>
          <w:rFonts w:ascii="宋体" w:hAnsi="宋体" w:cs="宋体"/>
          <w:b/>
          <w:bCs/>
          <w:color w:val="auto"/>
          <w:highlight w:val="none"/>
        </w:rPr>
      </w:pPr>
    </w:p>
    <w:p>
      <w:pPr>
        <w:adjustRightInd w:val="0"/>
        <w:snapToGrid w:val="0"/>
        <w:spacing w:before="120" w:after="120"/>
        <w:ind w:firstLine="2415" w:firstLineChars="1150"/>
        <w:rPr>
          <w:rFonts w:ascii="宋体" w:hAnsi="宋体" w:cs="宋体"/>
          <w:color w:val="auto"/>
          <w:szCs w:val="21"/>
          <w:highlight w:val="none"/>
        </w:rPr>
      </w:pPr>
    </w:p>
    <w:p>
      <w:pPr>
        <w:adjustRightInd w:val="0"/>
        <w:snapToGrid w:val="0"/>
        <w:spacing w:before="120" w:after="120"/>
        <w:ind w:firstLine="420"/>
        <w:rPr>
          <w:rFonts w:ascii="宋体" w:hAnsi="宋体" w:cs="宋体"/>
          <w:color w:val="auto"/>
          <w:szCs w:val="21"/>
          <w:highlight w:val="none"/>
        </w:rPr>
      </w:pPr>
      <w:r>
        <w:rPr>
          <w:rFonts w:hint="eastAsia" w:ascii="宋体" w:hAnsi="宋体" w:cs="宋体"/>
          <w:color w:val="auto"/>
          <w:szCs w:val="21"/>
          <w:highlight w:val="none"/>
        </w:rPr>
        <w:t>投标人（盖章）：</w:t>
      </w:r>
    </w:p>
    <w:p>
      <w:pPr>
        <w:snapToGrid w:val="0"/>
        <w:ind w:firstLine="420"/>
        <w:rPr>
          <w:rFonts w:ascii="宋体" w:hAnsi="宋体" w:cs="宋体"/>
          <w:b/>
          <w:color w:val="auto"/>
          <w:szCs w:val="21"/>
          <w:highlight w:val="none"/>
        </w:rPr>
      </w:pPr>
      <w:r>
        <w:rPr>
          <w:rFonts w:hint="eastAsia" w:ascii="宋体" w:hAnsi="宋体" w:cs="宋体"/>
          <w:color w:val="auto"/>
          <w:szCs w:val="21"/>
          <w:highlight w:val="none"/>
        </w:rPr>
        <w:t>日  期：</w:t>
      </w:r>
    </w:p>
    <w:p>
      <w:pPr>
        <w:ind w:firstLine="0" w:firstLineChars="0"/>
        <w:rPr>
          <w:rFonts w:ascii="宋体" w:hAnsi="宋体" w:cs="宋体"/>
          <w:color w:val="auto"/>
          <w:szCs w:val="21"/>
          <w:highlight w:val="none"/>
        </w:rPr>
      </w:pPr>
    </w:p>
    <w:p>
      <w:pPr>
        <w:spacing w:line="588" w:lineRule="exact"/>
        <w:ind w:firstLine="420"/>
        <w:jc w:val="left"/>
        <w:rPr>
          <w:rFonts w:ascii="宋体" w:hAnsi="宋体" w:cs="宋体"/>
          <w:color w:val="auto"/>
          <w:szCs w:val="21"/>
          <w:highlight w:val="none"/>
        </w:rPr>
      </w:pPr>
    </w:p>
    <w:p>
      <w:pPr>
        <w:ind w:firstLine="420"/>
        <w:rPr>
          <w:rFonts w:ascii="宋体" w:hAnsi="宋体" w:cs="宋体"/>
          <w:color w:val="auto"/>
          <w:highlight w:val="none"/>
        </w:rPr>
      </w:pPr>
    </w:p>
    <w:sectPr>
      <w:pgSz w:w="11906" w:h="16838"/>
      <w:pgMar w:top="1474" w:right="1797" w:bottom="1247" w:left="1797" w:header="851" w:footer="851" w:gutter="0"/>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Courier New">
    <w:panose1 w:val="02070309020205020404"/>
    <w:charset w:val="00"/>
    <w:family w:val="modern"/>
    <w:pitch w:val="default"/>
    <w:sig w:usb0="E0002EFF" w:usb1="C0007843" w:usb2="00000009" w:usb3="00000000" w:csb0="400001FF" w:csb1="FFFF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h="625" w:hRule="exact" w:wrap="around" w:vAnchor="text" w:hAnchor="margin" w:xAlign="center" w:y="1"/>
      <w:ind w:firstLine="360"/>
      <w:jc w:val="center"/>
      <w:rPr>
        <w:rStyle w:val="41"/>
      </w:rPr>
    </w:pPr>
    <w:r>
      <w:fldChar w:fldCharType="begin"/>
    </w:r>
    <w:r>
      <w:rPr>
        <w:rStyle w:val="41"/>
      </w:rPr>
      <w:instrText xml:space="preserve">PAGE  </w:instrText>
    </w:r>
    <w:r>
      <w:fldChar w:fldCharType="separate"/>
    </w:r>
    <w:r>
      <w:rPr>
        <w:rStyle w:val="41"/>
      </w:rPr>
      <w:t>6</w:t>
    </w:r>
    <w:r>
      <w:fldChar w:fldCharType="end"/>
    </w:r>
  </w:p>
  <w:p>
    <w:pPr>
      <w:pStyle w:val="27"/>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jc w:val="center"/>
    </w:pPr>
    <w:r>
      <w:fldChar w:fldCharType="begin"/>
    </w:r>
    <w:r>
      <w:instrText xml:space="preserve"> PAGE   \* MERGEFORMAT </w:instrText>
    </w:r>
    <w:r>
      <w:fldChar w:fldCharType="separate"/>
    </w:r>
    <w:r>
      <w:rPr>
        <w:lang w:val="zh-CN"/>
      </w:rPr>
      <w:t>91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6"/>
      <w:ind w:firstLine="422"/>
      <w:jc w:val="left"/>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344805" cy="209550"/>
              <wp:effectExtent l="0" t="0" r="10795" b="12700"/>
              <wp:wrapNone/>
              <wp:docPr id="59" name="文本框 59"/>
              <wp:cNvGraphicFramePr/>
              <a:graphic xmlns:a="http://schemas.openxmlformats.org/drawingml/2006/main">
                <a:graphicData uri="http://schemas.microsoft.com/office/word/2010/wordprocessingShape">
                  <wps:wsp>
                    <wps:cNvSpPr txBox="1">
                      <a:spLocks noChangeArrowheads="1"/>
                    </wps:cNvSpPr>
                    <wps:spPr>
                      <a:xfrm>
                        <a:off x="0" y="0"/>
                        <a:ext cx="344805" cy="209550"/>
                      </a:xfrm>
                      <a:prstGeom prst="rect">
                        <a:avLst/>
                      </a:prstGeom>
                      <a:noFill/>
                      <a:ln w="6350">
                        <a:noFill/>
                      </a:ln>
                    </wps:spPr>
                    <wps:txbx>
                      <w:txbxContent>
                        <w:p>
                          <w:pPr>
                            <w:pStyle w:val="27"/>
                            <w:ind w:firstLine="360"/>
                            <w:rPr>
                              <w:rFonts w:eastAsia="楷体_GB2312"/>
                            </w:rPr>
                          </w:pPr>
                          <w:r>
                            <w:rPr>
                              <w:rFonts w:hint="eastAsia"/>
                            </w:rPr>
                            <w:fldChar w:fldCharType="begin"/>
                          </w:r>
                          <w:r>
                            <w:rPr>
                              <w:rFonts w:hint="eastAsia"/>
                            </w:rPr>
                            <w:instrText xml:space="preserve"> PAGE  \* MERGEFORMAT </w:instrText>
                          </w:r>
                          <w:r>
                            <w:rPr>
                              <w:rFonts w:hint="eastAsia"/>
                            </w:rPr>
                            <w:fldChar w:fldCharType="separate"/>
                          </w:r>
                          <w:r>
                            <w:t>89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6.5pt;width:27.15pt;mso-position-horizontal:center;mso-position-horizontal-relative:margin;mso-wrap-style:none;z-index:251660288;mso-width-relative:page;mso-height-relative:page;" filled="f" stroked="f" coordsize="21600,21600" o:gfxdata="UEsDBAoAAAAAAIdO4kAAAAAAAAAAAAAAAAAEAAAAZHJzL1BLAwQUAAAACACHTuJAddEijtEAAAAD AQAADwAAAGRycy9kb3ducmV2LnhtbE2PwU7DMBBE70j8g7VI3KhdUhAKcSpREY5INBw4uvGSBOx1 ZLtp+HsWLnBZaTSjmbfVdvFOzBjTGEjDeqVAIHXBjtRreG2bqzsQKRuyxgVCDV+YYFufn1WmtOFE Lzjvcy+4hFJpNAw5T6WUqRvQm7QKExJ77yF6k1nGXtpoTlzunbxW6lZ6MxIvDGbC3YDd5/7oNeya to0zpuje8KkpPp4fNvi4aH15sVb3IDIu+S8MP/iMDjUzHcKRbBJOAz+Sfy97N5sCxEFDUSiQdSX/ s9ffUEsDBBQAAAAIAIdO4kD5jWzBSgIAAIUEAAAOAAAAZHJzL2Uyb0RvYy54bWytVMFu1DAQvSPx D5bvNLttt2pXzVZLqyKkFVQqiLPXcTYRtseyvU3KB8AfcOLCne/qd/DsZNtSOPTAxRl7Zt7MvJnJ 6VlvNLtRPrRkSz7dm3CmrKSqtZuSf/xw+eqYsxCFrYQmq0p+qwI/W7x8cdq5udqnhnSlPAOIDfPO lbyJ0c2LIshGGRH2yCkLZU3eiIir3xSVFx3QjS72J5OjoiNfOU9ShYDXi0HJR0T/HECq61aqC5Jb o2wcUL3SIqKk0LQu8EXOtq6VjO/rOqjIdMlRacwngkBep7NYnIr5xgvXtHJMQTwnhSc1GdFaBL2H uhBRsK1v/4IyrfQUqI57kkwxFJIZQRXTyRNurhvhVK4FVAd3T3r4f7Dy3c2VZ21V8tkJZ1YYdPzu +7e7H7/ufn5leANBnQtz2F07WMb+NfUYm1xscCuSnwOzdN4Iu1FL76lrlKiQ4DR5Fo9cB5wAkMRT X3uTvmCAAQ/tuL1vh+ojk3g8ODw8nsw4k1DtT05ms9yu4sHZ+RDfKDIsCSX36HbOS9ysQkzhxXxn kmJZumy1zh3XlnUlPzoA5B8aeGg75j2kmiqI/bofeVhTdQsaPA2TFJy8bBF8JUK8Eh6jg0qwXPE9 jloTgtAocdaQ//Kv92SPjkLLWYdRLLnF5nGm31oQmaZ2J/idsN4JdmvOCbM9xdI6mUU4+Kh3Yu3J fMLGLVMMqISViFTyuBPP47AO2FiplstshNl0Iq7stZMPvV5uIwjMvCZSBiZGrjCdme5xk9L4P75n q4e/x+I3UEsDBAoAAAAAAIdO4kAAAAAAAAAAAAAAAAAGAAAAX3JlbHMvUEsDBBQAAAAIAIdO4kCK FGY80QAAAJQBAAALAAAAX3JlbHMvLnJlbHOlkMFqwzAMhu+DvYPRfXGawxijTi+j0GvpHsDYimMa W0Yy2fr28w6DZfS2o36h7xP//vCZFrUiS6RsYNf1oDA78jEHA++X49MLKKk2e7tQRgM3FDiMjw/7 My62tiOZYxHVKFkMzLWWV63FzZisdFQwt81EnGxtIwddrLvagHro+2fNvxkwbpjq5A3wyQ+gLrfS zH/YKTomoal2jpKmaYruHlUHtmWO7sg24Ru5RrMcsBrwLBoHalnXfgR9X7/7p97TRz7jutV+h4zr j1dvuhy/AFBLAwQUAAAACACHTuJAfublIPcAAADhAQAAEwAAAFtDb250ZW50X1R5cGVzXS54bWyV kUFOwzAQRfdI3MHyFiVOu0AIJemCtEtAqBxgZE8Si2RseUxob4+TthtEkVjaM/+/J7vcHMZBTBjY OqrkKi+kQNLOWOoq+b7fZQ9ScAQyMDjCSh6R5aa+vSn3R48sUpq4kn2M/lEp1j2OwLnzSGnSujBC TMfQKQ/6AzpU66K4V9pRRIpZnDtkXTbYwucQxfaQrk8mAQeW4um0OLMqCd4PVkNMpmoi84OSnQl5 Si473FvPd0lDql8J8+Q64Jx7SU8TrEHxCiE+w5g0lAmsjPuigFP+d8lsOXLm2tZqzJvATYq94XSx utaOa9c4/d/y7ZK6dKvlg+pvUEsBAhQAFAAAAAgAh07iQH7m5SD3AAAA4QEAABMAAAAAAAAAAQAg AAAAtAQAAFtDb250ZW50X1R5cGVzXS54bWxQSwECFAAKAAAAAACHTuJAAAAAAAAAAAAAAAAABgAA AAAAAAAAABAAAACWAwAAX3JlbHMvUEsBAhQAFAAAAAgAh07iQIoUZjzRAAAAlAEAAAsAAAAAAAAA AQAgAAAAugMAAF9yZWxzLy5yZWxzUEsBAhQACgAAAAAAh07iQAAAAAAAAAAAAAAAAAQAAAAAAAAA AAAQAAAAAAAAAGRycy9QSwECFAAUAAAACACHTuJAddEijtEAAAADAQAADwAAAAAAAAABACAAAAAi AAAAZHJzL2Rvd25yZXYueG1sUEsBAhQAFAAAAAgAh07iQPmNbMFKAgAAhQQAAA4AAAAAAAAAAQAg AAAAIAEAAGRycy9lMm9Eb2MueG1sUEsFBgAAAAAGAAYAWQEAANwFAAAAAA== ">
              <v:fill on="f" focussize="0,0"/>
              <v:stroke on="f" weight="0.5pt"/>
              <v:imagedata o:title=""/>
              <o:lock v:ext="edit" aspectratio="f"/>
              <v:textbox inset="0mm,0mm,0mm,0mm" style="mso-fit-shape-to-text:t;">
                <w:txbxContent>
                  <w:p>
                    <w:pPr>
                      <w:pStyle w:val="27"/>
                      <w:ind w:firstLine="360"/>
                      <w:rPr>
                        <w:rFonts w:eastAsia="楷体_GB2312"/>
                      </w:rPr>
                    </w:pPr>
                    <w:r>
                      <w:rPr>
                        <w:rFonts w:hint="eastAsia"/>
                      </w:rPr>
                      <w:fldChar w:fldCharType="begin"/>
                    </w:r>
                    <w:r>
                      <w:rPr>
                        <w:rFonts w:hint="eastAsia"/>
                      </w:rPr>
                      <w:instrText xml:space="preserve"> PAGE  \* MERGEFORMAT </w:instrText>
                    </w:r>
                    <w:r>
                      <w:rPr>
                        <w:rFonts w:hint="eastAsia"/>
                      </w:rPr>
                      <w:fldChar w:fldCharType="separate"/>
                    </w:r>
                    <w:r>
                      <w:t>89</w:t>
                    </w:r>
                    <w:r>
                      <w:rPr>
                        <w:rFonts w:hint="eastAsia"/>
                      </w:rP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382905" cy="569595"/>
              <wp:effectExtent l="0" t="0" r="10795" b="14605"/>
              <wp:wrapNone/>
              <wp:docPr id="48" name="文本框 48"/>
              <wp:cNvGraphicFramePr/>
              <a:graphic xmlns:a="http://schemas.openxmlformats.org/drawingml/2006/main">
                <a:graphicData uri="http://schemas.microsoft.com/office/word/2010/wordprocessingShape">
                  <wps:wsp>
                    <wps:cNvSpPr txBox="1">
                      <a:spLocks noChangeArrowheads="1"/>
                    </wps:cNvSpPr>
                    <wps:spPr>
                      <a:xfrm>
                        <a:off x="0" y="0"/>
                        <a:ext cx="382905" cy="569595"/>
                      </a:xfrm>
                      <a:prstGeom prst="rect">
                        <a:avLst/>
                      </a:prstGeom>
                      <a:noFill/>
                      <a:ln w="6350">
                        <a:noFill/>
                      </a:ln>
                      <a:effectLst/>
                    </wps:spPr>
                    <wps:txbx>
                      <w:txbxContent>
                        <w:p>
                          <w:pPr>
                            <w:pStyle w:val="156"/>
                            <w:ind w:firstLine="422"/>
                            <w:jc w:val="left"/>
                          </w:pPr>
                        </w:p>
                        <w:p>
                          <w:pPr>
                            <w:ind w:firstLine="42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44.85pt;width:30.15pt;mso-position-horizontal:center;mso-position-horizontal-relative:margin;mso-wrap-style:none;z-index:251659264;mso-width-relative:page;mso-height-relative:page;" filled="f" stroked="f" coordsize="21600,21600" o:gfxdata="UEsDBAoAAAAAAIdO4kAAAAAAAAAAAAAAAAAEAAAAZHJzL1BLAwQUAAAACACHTuJAje46btIAAAAD AQAADwAAAGRycy9kb3ducmV2LnhtbE2PwU7DMBBE70j8g7VI3KhdikoJcSpREY5INBw4uvGSBOx1 ZLtp+HsWLnBZaTSjmbfldvZOTBjTEEjDcqFAILXBDtRpeG3qqw2IlA1Z4wKhhi9MsK3Oz0pT2HCi F5z2uRNcQqkwGvqcx0LK1PboTVqEEYm99xC9ySxjJ200Jy73Tl4rtZbeDMQLvRlx12P7uT96Dbu6 aeKEKbo3fKpXH88PN/g4a315sVT3IDLO+S8MP/iMDhUzHcKRbBJOAz+Sfy97a7UCcdCwubsFWZXy P3v1DVBLAwQUAAAACACHTuJAYqe1MFECAACTBAAADgAAAGRycy9lMm9Eb2MueG1srVTBbtQwEL0j 8Q+W7zS7LVu1q2arpVUR0goqFcTZ6zibCNtj2d4m5QPgDzhx4c539Tt4drLbqnDogYsz9sy8mXkz k7Pz3mh2q3xoyZZ8ejDhTFlJVWs3Jf/08erVCWchClsJTVaV/E4Ffr54+eKsc3N1SA3pSnkGEBvm nSt5E6ObF0WQjTIiHJBTFsqavBERV78pKi86oBtdHE4mx0VHvnKepAoBr5eDko+I/jmAVNetVJck t0bZOKB6pUVESaFpXeCLnG1dKxk/1HVQkemSo9KYTwSBvE5nsTgT840XrmnlmIJ4TgpPajKitQi6 h7oUUbCtb/+CMq30FKiOB5JMMRSSGUEV08kTbm4a4VSuBVQHtyc9/D9Y+f722rO2Kvlr9N0Kg47f //h+//P3/a9vDG8gqHNhDrsbB8vYv6EeY5OLDW5F8ktgli4aYTdq6T11jRIVEpwmz+KR64ATAJJ4 6mtv0hcMMOChHXf7dqg+MonHo5PD08mMMwnV7Ph0djrLmA/Ozof4VpFhSSi5R7dzXuJ2FWIKL+Y7 kxTL0lWrde64tqwr+fHRbJId9hp4aJtsVZ6dESZVMSSepNiv+5GVNVV3IMXTMFfByasWqaxEiNfC Y5BQF1YtfsBRa0JIGiXOGvJf//We7NFfaDnrMJglt9hDzvQ7C1rTDO8EvxPWO8FuzQVh0qdYYSez CAcf9U6sPZnP2L9ligGVsBKRSh534kUclgP7K9VymY0wqU7Elb1x8qHzy20EnZnlRMrAxNhxzGom f9yrtAyP79nq4V+y+ANQSwMECgAAAAAAh07iQAAAAAAAAAAAAAAAAAYAAABfcmVscy9QSwMEFAAA AAgAh07iQIoUZjzRAAAAlAEAAAsAAABfcmVscy8ucmVsc6WQwWrDMAyG74O9g9F9cZrDGKNOL6PQ a+kewNiKYxpbRjLZ+vbzDoNl9LajfqHvE//+8JkWtSJLpGxg1/WgMDvyMQcD75fj0wsoqTZ7u1BG AzcUOIyPD/szLra2I5ljEdUoWQzMtZZXrcXNmKx0VDC3zUScbG0jB12su9qAeuj7Z82/GTBumOrk DfDJD6Aut9LMf9gpOiahqXaOkqZpiu4eVQe2ZY7uyDbhG7lGsxywGvAsGgdqWdd+BH1fv/un3tNH PuO61X6HjOuPV2+6HL8AUEsDBBQAAAAIAIdO4kB+5uUg9wAAAOEBAAATAAAAW0NvbnRlbnRfVHlw ZXNdLnhtbJWRQU7DMBBF90jcwfIWJU67QAgl6YK0S0CoHGBkTxKLZGx5TGhvj5O2G0SRWNoz/78n u9wcxkFMGNg6quQqL6RA0s5Y6ir5vt9lD1JwBDIwOMJKHpHlpr69KfdHjyxSmriSfYz+USnWPY7A ufNIadK6MEJMx9ApD/oDOlTrorhX2lFEilmcO2RdNtjC5xDF9pCuTyYBB5bi6bQ4syoJ3g9WQ0ym aiLzg5KdCXlKLjvcW893SUOqXwnz5DrgnHtJTxOsQfEKIT7DmDSUCayM+6KAU/53yWw5cuba1mrM m8BNir3hdLG61o5r1zj93/Ltkrp0q+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CN7jpu0gAAAAMBAAAPAAAAAAAA AAEAIAAAACIAAABkcnMvZG93bnJldi54bWxQSwECFAAUAAAACACHTuJAYqe1MFECAACTBAAADgAA AAAAAAABACAAAAAhAQAAZHJzL2Uyb0RvYy54bWxQSwUGAAAAAAYABgBZAQAA5AUAAAAA ">
              <v:fill on="f" focussize="0,0"/>
              <v:stroke on="f" weight="0.5pt"/>
              <v:imagedata o:title=""/>
              <o:lock v:ext="edit" aspectratio="f"/>
              <v:textbox inset="0mm,0mm,0mm,0mm" style="mso-fit-shape-to-text:t;">
                <w:txbxContent>
                  <w:p>
                    <w:pPr>
                      <w:pStyle w:val="156"/>
                      <w:ind w:firstLine="422"/>
                      <w:jc w:val="left"/>
                    </w:pPr>
                  </w:p>
                  <w:p>
                    <w:pPr>
                      <w:ind w:firstLine="420"/>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ind w:firstLine="360"/>
      <w:rPr>
        <w:rStyle w:val="41"/>
      </w:rPr>
    </w:pPr>
    <w:r>
      <w:fldChar w:fldCharType="begin"/>
    </w:r>
    <w:r>
      <w:rPr>
        <w:rStyle w:val="41"/>
      </w:rPr>
      <w:instrText xml:space="preserve">PAGE  </w:instrText>
    </w:r>
    <w:r>
      <w:fldChar w:fldCharType="separate"/>
    </w:r>
    <w:r>
      <w:rPr>
        <w:rStyle w:val="41"/>
      </w:rPr>
      <w:t>127</w:t>
    </w:r>
    <w:r>
      <w:fldChar w:fldCharType="end"/>
    </w:r>
  </w:p>
  <w:p>
    <w:pPr>
      <w:pStyle w:val="27"/>
      <w:ind w:right="360"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ind w:firstLine="360"/>
      <w:rPr>
        <w:rStyle w:val="41"/>
      </w:rPr>
    </w:pPr>
    <w:r>
      <w:fldChar w:fldCharType="begin"/>
    </w:r>
    <w:r>
      <w:rPr>
        <w:rStyle w:val="41"/>
      </w:rPr>
      <w:instrText xml:space="preserve">PAGE  </w:instrText>
    </w:r>
    <w:r>
      <w:fldChar w:fldCharType="separate"/>
    </w:r>
    <w:r>
      <w:rPr>
        <w:rStyle w:val="41"/>
      </w:rPr>
      <w:t>3</w:t>
    </w:r>
    <w:r>
      <w:fldChar w:fldCharType="end"/>
    </w:r>
  </w:p>
  <w:p>
    <w:pPr>
      <w:pStyle w:val="27"/>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1"/>
      <w:ind w:firstLine="4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1"/>
      <w:ind w:firstLine="4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ind w:firstLine="420"/>
      <w:rPr>
        <w:rFonts w:ascii="宋体" w:hAnsi="宋体"/>
        <w:sz w:val="21"/>
        <w:szCs w:val="21"/>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C201D"/>
    <w:multiLevelType w:val="singleLevel"/>
    <w:tmpl w:val="850C201D"/>
    <w:lvl w:ilvl="0" w:tentative="0">
      <w:start w:val="1"/>
      <w:numFmt w:val="bullet"/>
      <w:lvlText w:val=""/>
      <w:lvlJc w:val="left"/>
      <w:pPr>
        <w:tabs>
          <w:tab w:val="left" w:pos="431"/>
        </w:tabs>
        <w:ind w:left="11" w:firstLine="418"/>
      </w:pPr>
      <w:rPr>
        <w:rFonts w:hint="default" w:ascii="Wingdings" w:hAnsi="Wingdings"/>
      </w:rPr>
    </w:lvl>
  </w:abstractNum>
  <w:abstractNum w:abstractNumId="1">
    <w:nsid w:val="A16F7994"/>
    <w:multiLevelType w:val="singleLevel"/>
    <w:tmpl w:val="A16F7994"/>
    <w:lvl w:ilvl="0" w:tentative="0">
      <w:start w:val="1"/>
      <w:numFmt w:val="bullet"/>
      <w:lvlText w:val=""/>
      <w:lvlJc w:val="left"/>
      <w:pPr>
        <w:tabs>
          <w:tab w:val="left" w:pos="405"/>
        </w:tabs>
        <w:ind w:left="10" w:firstLine="419"/>
      </w:pPr>
      <w:rPr>
        <w:rFonts w:hint="default" w:ascii="Wingdings" w:hAnsi="Wingdings"/>
      </w:rPr>
    </w:lvl>
  </w:abstractNum>
  <w:abstractNum w:abstractNumId="2">
    <w:nsid w:val="A32DCC91"/>
    <w:multiLevelType w:val="singleLevel"/>
    <w:tmpl w:val="A32DCC91"/>
    <w:lvl w:ilvl="0" w:tentative="0">
      <w:start w:val="1"/>
      <w:numFmt w:val="bullet"/>
      <w:lvlText w:val=""/>
      <w:lvlJc w:val="left"/>
      <w:pPr>
        <w:tabs>
          <w:tab w:val="left" w:pos="405"/>
        </w:tabs>
        <w:ind w:left="10" w:firstLine="419"/>
      </w:pPr>
      <w:rPr>
        <w:rFonts w:hint="default" w:ascii="Wingdings" w:hAnsi="Wingdings"/>
      </w:rPr>
    </w:lvl>
  </w:abstractNum>
  <w:abstractNum w:abstractNumId="3">
    <w:nsid w:val="C7403697"/>
    <w:multiLevelType w:val="singleLevel"/>
    <w:tmpl w:val="C7403697"/>
    <w:lvl w:ilvl="0" w:tentative="0">
      <w:start w:val="1"/>
      <w:numFmt w:val="bullet"/>
      <w:lvlText w:val=""/>
      <w:lvlJc w:val="left"/>
      <w:pPr>
        <w:tabs>
          <w:tab w:val="left" w:pos="405"/>
        </w:tabs>
        <w:ind w:left="10" w:firstLine="419"/>
      </w:pPr>
      <w:rPr>
        <w:rFonts w:hint="default" w:ascii="Wingdings" w:hAnsi="Wingdings"/>
      </w:rPr>
    </w:lvl>
  </w:abstractNum>
  <w:abstractNum w:abstractNumId="4">
    <w:nsid w:val="CC9E552D"/>
    <w:multiLevelType w:val="singleLevel"/>
    <w:tmpl w:val="CC9E552D"/>
    <w:lvl w:ilvl="0" w:tentative="0">
      <w:start w:val="1"/>
      <w:numFmt w:val="bullet"/>
      <w:lvlText w:val=""/>
      <w:lvlJc w:val="left"/>
      <w:pPr>
        <w:tabs>
          <w:tab w:val="left" w:pos="431"/>
        </w:tabs>
        <w:ind w:left="11" w:firstLine="418"/>
      </w:pPr>
      <w:rPr>
        <w:rFonts w:hint="default" w:ascii="Wingdings" w:hAnsi="Wingdings"/>
      </w:rPr>
    </w:lvl>
  </w:abstractNum>
  <w:abstractNum w:abstractNumId="5">
    <w:nsid w:val="D3A11F9F"/>
    <w:multiLevelType w:val="singleLevel"/>
    <w:tmpl w:val="D3A11F9F"/>
    <w:lvl w:ilvl="0" w:tentative="0">
      <w:start w:val="1"/>
      <w:numFmt w:val="decimal"/>
      <w:lvlText w:val="%1)"/>
      <w:lvlJc w:val="left"/>
      <w:pPr>
        <w:ind w:left="425" w:hanging="425"/>
      </w:pPr>
      <w:rPr>
        <w:rFonts w:hint="default"/>
      </w:rPr>
    </w:lvl>
  </w:abstractNum>
  <w:abstractNum w:abstractNumId="6">
    <w:nsid w:val="00000002"/>
    <w:multiLevelType w:val="singleLevel"/>
    <w:tmpl w:val="00000002"/>
    <w:lvl w:ilvl="0" w:tentative="0">
      <w:start w:val="1"/>
      <w:numFmt w:val="decimal"/>
      <w:suff w:val="nothing"/>
      <w:lvlText w:val="（%1）"/>
      <w:lvlJc w:val="left"/>
      <w:pPr>
        <w:ind w:left="0" w:firstLine="400"/>
      </w:pPr>
      <w:rPr>
        <w:rFonts w:hint="default"/>
      </w:rPr>
    </w:lvl>
  </w:abstractNum>
  <w:abstractNum w:abstractNumId="7">
    <w:nsid w:val="00000003"/>
    <w:multiLevelType w:val="multilevel"/>
    <w:tmpl w:val="00000003"/>
    <w:lvl w:ilvl="0" w:tentative="0">
      <w:start w:val="1"/>
      <w:numFmt w:val="decimal"/>
      <w:pStyle w:val="20"/>
      <w:lvlText w:val="%1."/>
      <w:lvlJc w:val="left"/>
      <w:pPr>
        <w:tabs>
          <w:tab w:val="left" w:pos="1200"/>
        </w:tabs>
        <w:ind w:left="120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0000005"/>
    <w:multiLevelType w:val="singleLevel"/>
    <w:tmpl w:val="00000005"/>
    <w:lvl w:ilvl="0" w:tentative="0">
      <w:start w:val="1"/>
      <w:numFmt w:val="decimal"/>
      <w:suff w:val="nothing"/>
      <w:lvlText w:val="（%1）"/>
      <w:lvlJc w:val="left"/>
      <w:pPr>
        <w:ind w:left="168" w:firstLine="400"/>
      </w:pPr>
      <w:rPr>
        <w:rFonts w:hint="default"/>
      </w:rPr>
    </w:lvl>
  </w:abstractNum>
  <w:abstractNum w:abstractNumId="9">
    <w:nsid w:val="00000013"/>
    <w:multiLevelType w:val="singleLevel"/>
    <w:tmpl w:val="00000013"/>
    <w:lvl w:ilvl="0" w:tentative="0">
      <w:start w:val="1"/>
      <w:numFmt w:val="decimal"/>
      <w:suff w:val="nothing"/>
      <w:lvlText w:val="（%1）"/>
      <w:lvlJc w:val="left"/>
      <w:pPr>
        <w:ind w:left="0" w:firstLine="400"/>
      </w:pPr>
      <w:rPr>
        <w:rFonts w:hint="default"/>
      </w:rPr>
    </w:lvl>
  </w:abstractNum>
  <w:abstractNum w:abstractNumId="10">
    <w:nsid w:val="00000014"/>
    <w:multiLevelType w:val="singleLevel"/>
    <w:tmpl w:val="00000014"/>
    <w:lvl w:ilvl="0" w:tentative="0">
      <w:start w:val="1"/>
      <w:numFmt w:val="decimal"/>
      <w:suff w:val="nothing"/>
      <w:lvlText w:val="（%1）"/>
      <w:lvlJc w:val="left"/>
      <w:pPr>
        <w:ind w:left="0" w:firstLine="400"/>
      </w:pPr>
      <w:rPr>
        <w:rFonts w:hint="default"/>
      </w:rPr>
    </w:lvl>
  </w:abstractNum>
  <w:abstractNum w:abstractNumId="11">
    <w:nsid w:val="08711418"/>
    <w:multiLevelType w:val="singleLevel"/>
    <w:tmpl w:val="08711418"/>
    <w:lvl w:ilvl="0" w:tentative="0">
      <w:start w:val="1"/>
      <w:numFmt w:val="bullet"/>
      <w:lvlText w:val=""/>
      <w:lvlJc w:val="left"/>
      <w:pPr>
        <w:tabs>
          <w:tab w:val="left" w:pos="431"/>
        </w:tabs>
        <w:ind w:left="11" w:firstLine="418"/>
      </w:pPr>
      <w:rPr>
        <w:rFonts w:hint="default" w:ascii="Wingdings" w:hAnsi="Wingdings"/>
      </w:rPr>
    </w:lvl>
  </w:abstractNum>
  <w:abstractNum w:abstractNumId="12">
    <w:nsid w:val="0B10208C"/>
    <w:multiLevelType w:val="multilevel"/>
    <w:tmpl w:val="0B10208C"/>
    <w:lvl w:ilvl="0" w:tentative="0">
      <w:start w:val="1"/>
      <w:numFmt w:val="bullet"/>
      <w:pStyle w:val="69"/>
      <w:lvlText w:val=""/>
      <w:lvlJc w:val="left"/>
      <w:pPr>
        <w:ind w:left="-62" w:firstLine="482"/>
      </w:pPr>
      <w:rPr>
        <w:rFonts w:hint="default"/>
      </w:rPr>
    </w:lvl>
    <w:lvl w:ilvl="1" w:tentative="0">
      <w:start w:val="1"/>
      <w:numFmt w:val="bullet"/>
      <w:lvlText w:val=""/>
      <w:lvlJc w:val="left"/>
      <w:pPr>
        <w:ind w:left="1320" w:hanging="420"/>
      </w:pPr>
      <w:rPr>
        <w:rFonts w:hint="default"/>
      </w:rPr>
    </w:lvl>
    <w:lvl w:ilvl="2" w:tentative="0">
      <w:start w:val="1"/>
      <w:numFmt w:val="bullet"/>
      <w:lvlText w:val=""/>
      <w:lvlJc w:val="left"/>
      <w:pPr>
        <w:ind w:left="1740" w:hanging="420"/>
      </w:pPr>
      <w:rPr>
        <w:rFonts w:hint="default"/>
      </w:rPr>
    </w:lvl>
    <w:lvl w:ilvl="3" w:tentative="0">
      <w:start w:val="1"/>
      <w:numFmt w:val="bullet"/>
      <w:lvlText w:val=""/>
      <w:lvlJc w:val="left"/>
      <w:pPr>
        <w:ind w:left="2160" w:hanging="420"/>
      </w:pPr>
      <w:rPr>
        <w:rFonts w:hint="default"/>
      </w:rPr>
    </w:lvl>
    <w:lvl w:ilvl="4" w:tentative="0">
      <w:start w:val="1"/>
      <w:numFmt w:val="bullet"/>
      <w:lvlText w:val=""/>
      <w:lvlJc w:val="left"/>
      <w:pPr>
        <w:ind w:left="2580" w:hanging="420"/>
      </w:pPr>
      <w:rPr>
        <w:rFonts w:hint="default"/>
      </w:rPr>
    </w:lvl>
    <w:lvl w:ilvl="5" w:tentative="0">
      <w:start w:val="1"/>
      <w:numFmt w:val="bullet"/>
      <w:lvlText w:val=""/>
      <w:lvlJc w:val="left"/>
      <w:pPr>
        <w:ind w:left="3000" w:hanging="420"/>
      </w:pPr>
      <w:rPr>
        <w:rFonts w:hint="default"/>
      </w:rPr>
    </w:lvl>
    <w:lvl w:ilvl="6" w:tentative="0">
      <w:start w:val="1"/>
      <w:numFmt w:val="bullet"/>
      <w:lvlText w:val=""/>
      <w:lvlJc w:val="left"/>
      <w:pPr>
        <w:ind w:left="3420" w:hanging="420"/>
      </w:pPr>
      <w:rPr>
        <w:rFonts w:hint="default"/>
      </w:rPr>
    </w:lvl>
    <w:lvl w:ilvl="7" w:tentative="0">
      <w:start w:val="1"/>
      <w:numFmt w:val="bullet"/>
      <w:lvlText w:val=""/>
      <w:lvlJc w:val="left"/>
      <w:pPr>
        <w:ind w:left="3840" w:hanging="420"/>
      </w:pPr>
      <w:rPr>
        <w:rFonts w:hint="default"/>
      </w:rPr>
    </w:lvl>
    <w:lvl w:ilvl="8" w:tentative="0">
      <w:start w:val="1"/>
      <w:numFmt w:val="bullet"/>
      <w:lvlText w:val=""/>
      <w:lvlJc w:val="left"/>
      <w:pPr>
        <w:ind w:left="4260" w:hanging="420"/>
      </w:pPr>
      <w:rPr>
        <w:rFonts w:hint="default"/>
      </w:rPr>
    </w:lvl>
  </w:abstractNum>
  <w:abstractNum w:abstractNumId="13">
    <w:nsid w:val="23161CBD"/>
    <w:multiLevelType w:val="singleLevel"/>
    <w:tmpl w:val="23161CBD"/>
    <w:lvl w:ilvl="0" w:tentative="0">
      <w:start w:val="1"/>
      <w:numFmt w:val="bullet"/>
      <w:lvlText w:val=""/>
      <w:lvlJc w:val="left"/>
      <w:pPr>
        <w:tabs>
          <w:tab w:val="left" w:pos="420"/>
        </w:tabs>
        <w:ind w:left="840" w:hanging="420"/>
      </w:pPr>
      <w:rPr>
        <w:rFonts w:hint="default" w:ascii="Wingdings" w:hAnsi="Wingdings"/>
      </w:rPr>
    </w:lvl>
  </w:abstractNum>
  <w:abstractNum w:abstractNumId="14">
    <w:nsid w:val="25DF55B3"/>
    <w:multiLevelType w:val="singleLevel"/>
    <w:tmpl w:val="25DF55B3"/>
    <w:lvl w:ilvl="0" w:tentative="0">
      <w:start w:val="1"/>
      <w:numFmt w:val="bullet"/>
      <w:lvlText w:val=""/>
      <w:lvlJc w:val="left"/>
      <w:pPr>
        <w:tabs>
          <w:tab w:val="left" w:pos="431"/>
        </w:tabs>
        <w:ind w:left="11" w:firstLine="418"/>
      </w:pPr>
      <w:rPr>
        <w:rFonts w:hint="default" w:ascii="Wingdings" w:hAnsi="Wingdings"/>
      </w:rPr>
    </w:lvl>
  </w:abstractNum>
  <w:abstractNum w:abstractNumId="15">
    <w:nsid w:val="32E74CE2"/>
    <w:multiLevelType w:val="singleLevel"/>
    <w:tmpl w:val="32E74CE2"/>
    <w:lvl w:ilvl="0" w:tentative="0">
      <w:start w:val="6"/>
      <w:numFmt w:val="decimal"/>
      <w:suff w:val="nothing"/>
      <w:lvlText w:val="%1、"/>
      <w:lvlJc w:val="left"/>
    </w:lvl>
  </w:abstractNum>
  <w:abstractNum w:abstractNumId="16">
    <w:nsid w:val="33D794E2"/>
    <w:multiLevelType w:val="singleLevel"/>
    <w:tmpl w:val="33D794E2"/>
    <w:lvl w:ilvl="0" w:tentative="0">
      <w:start w:val="1"/>
      <w:numFmt w:val="bullet"/>
      <w:lvlText w:val=""/>
      <w:lvlJc w:val="left"/>
      <w:pPr>
        <w:tabs>
          <w:tab w:val="left" w:pos="420"/>
        </w:tabs>
        <w:ind w:left="840" w:hanging="420"/>
      </w:pPr>
      <w:rPr>
        <w:rFonts w:hint="default" w:ascii="Wingdings" w:hAnsi="Wingdings"/>
      </w:rPr>
    </w:lvl>
  </w:abstractNum>
  <w:abstractNum w:abstractNumId="17">
    <w:nsid w:val="344F2907"/>
    <w:multiLevelType w:val="singleLevel"/>
    <w:tmpl w:val="344F2907"/>
    <w:lvl w:ilvl="0" w:tentative="0">
      <w:start w:val="1"/>
      <w:numFmt w:val="bullet"/>
      <w:lvlText w:val=""/>
      <w:lvlJc w:val="left"/>
      <w:pPr>
        <w:ind w:left="420" w:hanging="420"/>
      </w:pPr>
      <w:rPr>
        <w:rFonts w:hint="default" w:ascii="Wingdings" w:hAnsi="Wingdings"/>
      </w:rPr>
    </w:lvl>
  </w:abstractNum>
  <w:abstractNum w:abstractNumId="18">
    <w:nsid w:val="3ACDF6AD"/>
    <w:multiLevelType w:val="singleLevel"/>
    <w:tmpl w:val="3ACDF6AD"/>
    <w:lvl w:ilvl="0" w:tentative="0">
      <w:start w:val="1"/>
      <w:numFmt w:val="bullet"/>
      <w:lvlText w:val=""/>
      <w:lvlJc w:val="left"/>
      <w:pPr>
        <w:tabs>
          <w:tab w:val="left" w:pos="405"/>
        </w:tabs>
        <w:ind w:left="10" w:firstLine="419"/>
      </w:pPr>
      <w:rPr>
        <w:rFonts w:hint="default" w:ascii="Wingdings" w:hAnsi="Wingdings"/>
      </w:rPr>
    </w:lvl>
  </w:abstractNum>
  <w:abstractNum w:abstractNumId="19">
    <w:nsid w:val="3AF50480"/>
    <w:multiLevelType w:val="multilevel"/>
    <w:tmpl w:val="3AF50480"/>
    <w:lvl w:ilvl="0" w:tentative="0">
      <w:start w:val="1"/>
      <w:numFmt w:val="bullet"/>
      <w:lvlText w:val=""/>
      <w:lvlJc w:val="left"/>
      <w:pPr>
        <w:ind w:left="900" w:hanging="420"/>
      </w:pPr>
      <w:rPr>
        <w:rFonts w:hint="default"/>
      </w:rPr>
    </w:lvl>
    <w:lvl w:ilvl="1" w:tentative="0">
      <w:start w:val="1"/>
      <w:numFmt w:val="bullet"/>
      <w:lvlText w:val=""/>
      <w:lvlJc w:val="left"/>
      <w:pPr>
        <w:ind w:left="1320" w:hanging="420"/>
      </w:pPr>
      <w:rPr>
        <w:rFonts w:hint="default"/>
      </w:rPr>
    </w:lvl>
    <w:lvl w:ilvl="2" w:tentative="0">
      <w:start w:val="1"/>
      <w:numFmt w:val="bullet"/>
      <w:lvlText w:val=""/>
      <w:lvlJc w:val="left"/>
      <w:pPr>
        <w:ind w:left="1740" w:hanging="420"/>
      </w:pPr>
      <w:rPr>
        <w:rFonts w:hint="default"/>
      </w:rPr>
    </w:lvl>
    <w:lvl w:ilvl="3" w:tentative="0">
      <w:start w:val="1"/>
      <w:numFmt w:val="bullet"/>
      <w:lvlText w:val=""/>
      <w:lvlJc w:val="left"/>
      <w:pPr>
        <w:ind w:left="2160" w:hanging="420"/>
      </w:pPr>
      <w:rPr>
        <w:rFonts w:hint="default"/>
      </w:rPr>
    </w:lvl>
    <w:lvl w:ilvl="4" w:tentative="0">
      <w:start w:val="1"/>
      <w:numFmt w:val="bullet"/>
      <w:lvlText w:val=""/>
      <w:lvlJc w:val="left"/>
      <w:pPr>
        <w:ind w:left="2580" w:hanging="420"/>
      </w:pPr>
      <w:rPr>
        <w:rFonts w:hint="default"/>
      </w:rPr>
    </w:lvl>
    <w:lvl w:ilvl="5" w:tentative="0">
      <w:start w:val="1"/>
      <w:numFmt w:val="bullet"/>
      <w:lvlText w:val=""/>
      <w:lvlJc w:val="left"/>
      <w:pPr>
        <w:ind w:left="3000" w:hanging="420"/>
      </w:pPr>
      <w:rPr>
        <w:rFonts w:hint="default"/>
      </w:rPr>
    </w:lvl>
    <w:lvl w:ilvl="6" w:tentative="0">
      <w:start w:val="1"/>
      <w:numFmt w:val="bullet"/>
      <w:lvlText w:val=""/>
      <w:lvlJc w:val="left"/>
      <w:pPr>
        <w:ind w:left="3420" w:hanging="420"/>
      </w:pPr>
      <w:rPr>
        <w:rFonts w:hint="default"/>
      </w:rPr>
    </w:lvl>
    <w:lvl w:ilvl="7" w:tentative="0">
      <w:start w:val="1"/>
      <w:numFmt w:val="bullet"/>
      <w:lvlText w:val=""/>
      <w:lvlJc w:val="left"/>
      <w:pPr>
        <w:ind w:left="3840" w:hanging="420"/>
      </w:pPr>
      <w:rPr>
        <w:rFonts w:hint="default"/>
      </w:rPr>
    </w:lvl>
    <w:lvl w:ilvl="8" w:tentative="0">
      <w:start w:val="1"/>
      <w:numFmt w:val="bullet"/>
      <w:lvlText w:val=""/>
      <w:lvlJc w:val="left"/>
      <w:pPr>
        <w:ind w:left="4260" w:hanging="420"/>
      </w:pPr>
      <w:rPr>
        <w:rFonts w:hint="default"/>
      </w:rPr>
    </w:lvl>
  </w:abstractNum>
  <w:abstractNum w:abstractNumId="20">
    <w:nsid w:val="3E99371E"/>
    <w:multiLevelType w:val="multilevel"/>
    <w:tmpl w:val="3E99371E"/>
    <w:lvl w:ilvl="0" w:tentative="0">
      <w:start w:val="1"/>
      <w:numFmt w:val="decimal"/>
      <w:lvlText w:val="第%1章"/>
      <w:lvlJc w:val="left"/>
      <w:pPr>
        <w:ind w:left="0" w:firstLine="0"/>
      </w:pPr>
      <w:rPr>
        <w:rFonts w:hint="eastAsia" w:ascii="Times New Roman" w:hAnsi="Times New Roman" w:cs="Times New Roman"/>
        <w:b/>
        <w:bCs/>
        <w:i w:val="0"/>
        <w:caps w:val="0"/>
        <w:smallCaps w:val="0"/>
        <w:strike w:val="0"/>
        <w:dstrike w:val="0"/>
        <w:snapToGrid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pStyle w:val="4"/>
      <w:lvlText w:val="%1.%2"/>
      <w:lvlJc w:val="left"/>
      <w:pPr>
        <w:ind w:left="0" w:firstLine="0"/>
      </w:pPr>
      <w:rPr>
        <w:rFonts w:hint="eastAsia" w:cs="Times New Roman" w:asciiTheme="minorEastAsia" w:hAnsiTheme="minorEastAsia" w:eastAsiaTheme="minorEastAsia"/>
        <w:b w:val="0"/>
        <w:bCs w:val="0"/>
        <w:i w:val="0"/>
        <w:iCs w:val="0"/>
        <w:caps w:val="0"/>
        <w:smallCaps w:val="0"/>
        <w:strike w:val="0"/>
        <w:dstrike w:val="0"/>
        <w:snapToGrid w:val="0"/>
        <w:vanish w:val="0"/>
        <w:color w:val="000000"/>
        <w:spacing w:val="0"/>
        <w:kern w:val="0"/>
        <w:position w:val="0"/>
        <w:u w:val="none"/>
        <w:vertAlign w:val="baseline"/>
        <w14:shadow w14:blurRad="0" w14:dist="0" w14:dir="0" w14:sx="0" w14:sy="0" w14:kx="0" w14:ky="0" w14:algn="none">
          <w14:srgbClr w14:val="000000"/>
        </w14:shadow>
      </w:rPr>
    </w:lvl>
    <w:lvl w:ilvl="2" w:tentative="0">
      <w:start w:val="1"/>
      <w:numFmt w:val="decimal"/>
      <w:pStyle w:val="5"/>
      <w:lvlText w:val="%1.%2.%3"/>
      <w:lvlJc w:val="left"/>
      <w:pPr>
        <w:ind w:left="0" w:firstLine="0"/>
      </w:pPr>
      <w:rPr>
        <w:rFonts w:hint="eastAsia" w:asciiTheme="minorEastAsia" w:hAnsiTheme="minorEastAsia" w:eastAsiaTheme="minorEastAsia"/>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3" w:tentative="0">
      <w:start w:val="1"/>
      <w:numFmt w:val="decimal"/>
      <w:pStyle w:val="7"/>
      <w:lvlText w:val="%1.%2.%3.%4"/>
      <w:lvlJc w:val="left"/>
      <w:pPr>
        <w:ind w:left="0" w:firstLine="0"/>
      </w:pPr>
      <w:rPr>
        <w:rFonts w:hint="eastAsia" w:asciiTheme="minorEastAsia" w:hAnsiTheme="minorEastAsia" w:eastAsiaTheme="minorEastAsia"/>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4" w:tentative="0">
      <w:start w:val="1"/>
      <w:numFmt w:val="decimal"/>
      <w:pStyle w:val="8"/>
      <w:lvlText w:val="%1.%2.%3.%4.%5"/>
      <w:lvlJc w:val="left"/>
      <w:pPr>
        <w:ind w:left="0" w:firstLine="0"/>
      </w:pPr>
      <w:rPr>
        <w:rFonts w:hint="eastAsia" w:asciiTheme="minorEastAsia" w:hAnsiTheme="minorEastAsia" w:eastAsiaTheme="minorEastAsia"/>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5" w:tentative="0">
      <w:start w:val="1"/>
      <w:numFmt w:val="decimal"/>
      <w:pStyle w:val="9"/>
      <w:lvlText w:val="%1.%2.%3.%4.%5.%6"/>
      <w:lvlJc w:val="left"/>
      <w:pPr>
        <w:ind w:left="0" w:firstLine="0"/>
      </w:pPr>
      <w:rPr>
        <w:rFonts w:hint="eastAsia"/>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21">
    <w:nsid w:val="4D34D4DB"/>
    <w:multiLevelType w:val="singleLevel"/>
    <w:tmpl w:val="4D34D4DB"/>
    <w:lvl w:ilvl="0" w:tentative="0">
      <w:start w:val="1"/>
      <w:numFmt w:val="bullet"/>
      <w:lvlText w:val=""/>
      <w:lvlJc w:val="left"/>
      <w:pPr>
        <w:tabs>
          <w:tab w:val="left" w:pos="405"/>
        </w:tabs>
        <w:ind w:left="10" w:firstLine="419"/>
      </w:pPr>
      <w:rPr>
        <w:rFonts w:hint="default" w:ascii="Wingdings" w:hAnsi="Wingdings"/>
      </w:rPr>
    </w:lvl>
  </w:abstractNum>
  <w:abstractNum w:abstractNumId="22">
    <w:nsid w:val="51EB6AF7"/>
    <w:multiLevelType w:val="singleLevel"/>
    <w:tmpl w:val="51EB6AF7"/>
    <w:lvl w:ilvl="0" w:tentative="0">
      <w:start w:val="1"/>
      <w:numFmt w:val="chineseCounting"/>
      <w:suff w:val="nothing"/>
      <w:lvlText w:val="%1、"/>
      <w:lvlJc w:val="left"/>
      <w:rPr>
        <w:rFonts w:hint="eastAsia"/>
      </w:rPr>
    </w:lvl>
  </w:abstractNum>
  <w:abstractNum w:abstractNumId="23">
    <w:nsid w:val="551A4282"/>
    <w:multiLevelType w:val="singleLevel"/>
    <w:tmpl w:val="551A4282"/>
    <w:lvl w:ilvl="0" w:tentative="0">
      <w:start w:val="1"/>
      <w:numFmt w:val="chineseCounting"/>
      <w:suff w:val="nothing"/>
      <w:lvlText w:val="%1、"/>
      <w:lvlJc w:val="left"/>
    </w:lvl>
  </w:abstractNum>
  <w:abstractNum w:abstractNumId="24">
    <w:nsid w:val="565D6FA9"/>
    <w:multiLevelType w:val="singleLevel"/>
    <w:tmpl w:val="565D6FA9"/>
    <w:lvl w:ilvl="0" w:tentative="0">
      <w:start w:val="1"/>
      <w:numFmt w:val="bullet"/>
      <w:lvlText w:val=""/>
      <w:lvlJc w:val="left"/>
      <w:pPr>
        <w:tabs>
          <w:tab w:val="left" w:pos="405"/>
        </w:tabs>
        <w:ind w:left="10" w:firstLine="419"/>
      </w:pPr>
      <w:rPr>
        <w:rFonts w:hint="default" w:ascii="Wingdings" w:hAnsi="Wingdings"/>
      </w:rPr>
    </w:lvl>
  </w:abstractNum>
  <w:abstractNum w:abstractNumId="25">
    <w:nsid w:val="567CFDD7"/>
    <w:multiLevelType w:val="singleLevel"/>
    <w:tmpl w:val="567CFDD7"/>
    <w:lvl w:ilvl="0" w:tentative="0">
      <w:start w:val="1"/>
      <w:numFmt w:val="decimal"/>
      <w:suff w:val="nothing"/>
      <w:lvlText w:val="%1、"/>
      <w:lvlJc w:val="left"/>
    </w:lvl>
  </w:abstractNum>
  <w:abstractNum w:abstractNumId="26">
    <w:nsid w:val="63B8FE61"/>
    <w:multiLevelType w:val="singleLevel"/>
    <w:tmpl w:val="63B8FE61"/>
    <w:lvl w:ilvl="0" w:tentative="0">
      <w:start w:val="1"/>
      <w:numFmt w:val="bullet"/>
      <w:lvlText w:val=""/>
      <w:lvlJc w:val="left"/>
      <w:pPr>
        <w:ind w:left="420" w:firstLine="90"/>
      </w:pPr>
      <w:rPr>
        <w:rFonts w:hint="default" w:ascii="Wingdings" w:hAnsi="Wingdings"/>
      </w:rPr>
    </w:lvl>
  </w:abstractNum>
  <w:abstractNum w:abstractNumId="27">
    <w:nsid w:val="70F7F69C"/>
    <w:multiLevelType w:val="singleLevel"/>
    <w:tmpl w:val="70F7F69C"/>
    <w:lvl w:ilvl="0" w:tentative="0">
      <w:start w:val="1"/>
      <w:numFmt w:val="bullet"/>
      <w:pStyle w:val="149"/>
      <w:lvlText w:val=""/>
      <w:lvlJc w:val="left"/>
      <w:pPr>
        <w:ind w:left="420" w:hanging="420"/>
      </w:pPr>
      <w:rPr>
        <w:rFonts w:hint="default" w:ascii="Wingdings" w:hAnsi="Wingdings"/>
      </w:rPr>
    </w:lvl>
  </w:abstractNum>
  <w:abstractNum w:abstractNumId="28">
    <w:nsid w:val="71A90AF9"/>
    <w:multiLevelType w:val="singleLevel"/>
    <w:tmpl w:val="71A90AF9"/>
    <w:lvl w:ilvl="0" w:tentative="0">
      <w:start w:val="1"/>
      <w:numFmt w:val="decimal"/>
      <w:suff w:val="nothing"/>
      <w:lvlText w:val="%1、"/>
      <w:lvlJc w:val="left"/>
    </w:lvl>
  </w:abstractNum>
  <w:abstractNum w:abstractNumId="29">
    <w:nsid w:val="75910712"/>
    <w:multiLevelType w:val="multilevel"/>
    <w:tmpl w:val="75910712"/>
    <w:lvl w:ilvl="0" w:tentative="0">
      <w:start w:val="3"/>
      <w:numFmt w:val="decimal"/>
      <w:suff w:val="nothing"/>
      <w:lvlText w:val="（%1）"/>
      <w:lvlJc w:val="left"/>
      <w:pPr>
        <w:ind w:left="0" w:firstLine="0"/>
      </w:pPr>
      <w:rPr>
        <w:rFonts w:hint="default" w:ascii="宋体" w:hAnsi="宋体" w:eastAsia="宋体"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0">
    <w:nsid w:val="7A962251"/>
    <w:multiLevelType w:val="multilevel"/>
    <w:tmpl w:val="7A962251"/>
    <w:lvl w:ilvl="0" w:tentative="0">
      <w:start w:val="1"/>
      <w:numFmt w:val="decimal"/>
      <w:pStyle w:val="125"/>
      <w:lvlText w:val="%1."/>
      <w:lvlJc w:val="left"/>
      <w:pPr>
        <w:tabs>
          <w:tab w:val="left" w:pos="360"/>
        </w:tabs>
        <w:ind w:left="360" w:hanging="360"/>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20"/>
  </w:num>
  <w:num w:numId="2">
    <w:abstractNumId w:val="7"/>
  </w:num>
  <w:num w:numId="3">
    <w:abstractNumId w:val="12"/>
  </w:num>
  <w:num w:numId="4">
    <w:abstractNumId w:val="19"/>
    <w:lvlOverride w:ilvl="0">
      <w:lvl w:ilvl="0" w:tentative="1">
        <w:start w:val="1"/>
        <w:numFmt w:val="bullet"/>
        <w:pStyle w:val="77"/>
        <w:lvlText w:val=""/>
        <w:lvlJc w:val="left"/>
        <w:pPr>
          <w:ind w:left="900" w:hanging="420"/>
        </w:pPr>
        <w:rPr>
          <w:rFonts w:hint="default"/>
        </w:rPr>
      </w:lvl>
    </w:lvlOverride>
  </w:num>
  <w:num w:numId="5">
    <w:abstractNumId w:val="30"/>
  </w:num>
  <w:num w:numId="6">
    <w:abstractNumId w:val="27"/>
  </w:num>
  <w:num w:numId="7">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5"/>
  </w:num>
  <w:num w:numId="10">
    <w:abstractNumId w:val="16"/>
  </w:num>
  <w:num w:numId="11">
    <w:abstractNumId w:val="4"/>
  </w:num>
  <w:num w:numId="12">
    <w:abstractNumId w:val="18"/>
  </w:num>
  <w:num w:numId="13">
    <w:abstractNumId w:val="17"/>
  </w:num>
  <w:num w:numId="14">
    <w:abstractNumId w:val="24"/>
  </w:num>
  <w:num w:numId="15">
    <w:abstractNumId w:val="1"/>
  </w:num>
  <w:num w:numId="16">
    <w:abstractNumId w:val="2"/>
  </w:num>
  <w:num w:numId="17">
    <w:abstractNumId w:val="20"/>
    <w:lvlOverride w:ilvl="0">
      <w:startOverride w:val="1"/>
    </w:lvlOverride>
    <w:lvlOverride w:ilvl="1">
      <w:startOverride w:val="4"/>
    </w:lvlOverride>
    <w:lvlOverride w:ilvl="2">
      <w:startOverride w:val="5"/>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0"/>
  </w:num>
  <w:num w:numId="20">
    <w:abstractNumId w:val="11"/>
  </w:num>
  <w:num w:numId="21">
    <w:abstractNumId w:val="13"/>
  </w:num>
  <w:num w:numId="22">
    <w:abstractNumId w:val="3"/>
  </w:num>
  <w:num w:numId="23">
    <w:abstractNumId w:val="15"/>
  </w:num>
  <w:num w:numId="24">
    <w:abstractNumId w:val="28"/>
  </w:num>
  <w:num w:numId="25">
    <w:abstractNumId w:val="21"/>
  </w:num>
  <w:num w:numId="26">
    <w:abstractNumId w:val="26"/>
  </w:num>
  <w:num w:numId="27">
    <w:abstractNumId w:val="10"/>
  </w:num>
  <w:num w:numId="28">
    <w:abstractNumId w:val="6"/>
  </w:num>
  <w:num w:numId="29">
    <w:abstractNumId w:val="9"/>
  </w:num>
  <w:num w:numId="30">
    <w:abstractNumId w:val="8"/>
  </w:num>
  <w:num w:numId="31">
    <w:abstractNumId w:val="23"/>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24A"/>
    <w:rsid w:val="0000163B"/>
    <w:rsid w:val="00010266"/>
    <w:rsid w:val="00023809"/>
    <w:rsid w:val="00026A07"/>
    <w:rsid w:val="00064792"/>
    <w:rsid w:val="0007475E"/>
    <w:rsid w:val="000D3732"/>
    <w:rsid w:val="000D702C"/>
    <w:rsid w:val="000F1884"/>
    <w:rsid w:val="000F259E"/>
    <w:rsid w:val="0012155C"/>
    <w:rsid w:val="001232E3"/>
    <w:rsid w:val="00141786"/>
    <w:rsid w:val="00154304"/>
    <w:rsid w:val="001A0338"/>
    <w:rsid w:val="001A12AE"/>
    <w:rsid w:val="001C20F1"/>
    <w:rsid w:val="001C3534"/>
    <w:rsid w:val="001D5621"/>
    <w:rsid w:val="0020081B"/>
    <w:rsid w:val="002066F4"/>
    <w:rsid w:val="00234339"/>
    <w:rsid w:val="00293BE8"/>
    <w:rsid w:val="002B2C19"/>
    <w:rsid w:val="002D3327"/>
    <w:rsid w:val="002E4E6C"/>
    <w:rsid w:val="002F0C50"/>
    <w:rsid w:val="003258BE"/>
    <w:rsid w:val="00366DAA"/>
    <w:rsid w:val="003A141A"/>
    <w:rsid w:val="003C0CD5"/>
    <w:rsid w:val="003D07FD"/>
    <w:rsid w:val="003D3526"/>
    <w:rsid w:val="003E3A69"/>
    <w:rsid w:val="0043159E"/>
    <w:rsid w:val="00453F8F"/>
    <w:rsid w:val="004871BD"/>
    <w:rsid w:val="00487F89"/>
    <w:rsid w:val="004A2E78"/>
    <w:rsid w:val="004A4A91"/>
    <w:rsid w:val="004E14AA"/>
    <w:rsid w:val="004F5379"/>
    <w:rsid w:val="004F6A42"/>
    <w:rsid w:val="00523AA6"/>
    <w:rsid w:val="00526BF6"/>
    <w:rsid w:val="00541B35"/>
    <w:rsid w:val="00552E2C"/>
    <w:rsid w:val="005625EC"/>
    <w:rsid w:val="0057261B"/>
    <w:rsid w:val="0059105E"/>
    <w:rsid w:val="005C324A"/>
    <w:rsid w:val="005E3A0C"/>
    <w:rsid w:val="005F6244"/>
    <w:rsid w:val="006562C6"/>
    <w:rsid w:val="00677BF9"/>
    <w:rsid w:val="0068380A"/>
    <w:rsid w:val="006A6A5A"/>
    <w:rsid w:val="006B0E21"/>
    <w:rsid w:val="006B5566"/>
    <w:rsid w:val="006C055F"/>
    <w:rsid w:val="006E5EBE"/>
    <w:rsid w:val="006E6834"/>
    <w:rsid w:val="00701B69"/>
    <w:rsid w:val="00764997"/>
    <w:rsid w:val="00774FE3"/>
    <w:rsid w:val="007B0D9F"/>
    <w:rsid w:val="007B2E71"/>
    <w:rsid w:val="007C71A9"/>
    <w:rsid w:val="00810098"/>
    <w:rsid w:val="00857B1E"/>
    <w:rsid w:val="00882B37"/>
    <w:rsid w:val="00891F28"/>
    <w:rsid w:val="008B20B1"/>
    <w:rsid w:val="008E79FA"/>
    <w:rsid w:val="00933AD8"/>
    <w:rsid w:val="0093467E"/>
    <w:rsid w:val="00965959"/>
    <w:rsid w:val="00967E10"/>
    <w:rsid w:val="0098503E"/>
    <w:rsid w:val="00986A63"/>
    <w:rsid w:val="00993BFC"/>
    <w:rsid w:val="0099563D"/>
    <w:rsid w:val="009A252A"/>
    <w:rsid w:val="00A00AD0"/>
    <w:rsid w:val="00A040E9"/>
    <w:rsid w:val="00AF1F6D"/>
    <w:rsid w:val="00B55D87"/>
    <w:rsid w:val="00BD4FBE"/>
    <w:rsid w:val="00BD7EFC"/>
    <w:rsid w:val="00C01E94"/>
    <w:rsid w:val="00C074BA"/>
    <w:rsid w:val="00C14BA4"/>
    <w:rsid w:val="00C16F5F"/>
    <w:rsid w:val="00C375FB"/>
    <w:rsid w:val="00C56908"/>
    <w:rsid w:val="00C6785B"/>
    <w:rsid w:val="00C71014"/>
    <w:rsid w:val="00C764A7"/>
    <w:rsid w:val="00C83AC1"/>
    <w:rsid w:val="00C90C6D"/>
    <w:rsid w:val="00CA254C"/>
    <w:rsid w:val="00CD508E"/>
    <w:rsid w:val="00D27151"/>
    <w:rsid w:val="00D347C4"/>
    <w:rsid w:val="00D427AD"/>
    <w:rsid w:val="00D63110"/>
    <w:rsid w:val="00D717E4"/>
    <w:rsid w:val="00D7284E"/>
    <w:rsid w:val="00D7287B"/>
    <w:rsid w:val="00D825B9"/>
    <w:rsid w:val="00D94F98"/>
    <w:rsid w:val="00DA2907"/>
    <w:rsid w:val="00DB2F94"/>
    <w:rsid w:val="00DC1341"/>
    <w:rsid w:val="00DF71AD"/>
    <w:rsid w:val="00E46763"/>
    <w:rsid w:val="00E54008"/>
    <w:rsid w:val="00E850D1"/>
    <w:rsid w:val="00E9120F"/>
    <w:rsid w:val="00E919B3"/>
    <w:rsid w:val="00E91C33"/>
    <w:rsid w:val="00E9285F"/>
    <w:rsid w:val="00EB4BA4"/>
    <w:rsid w:val="00EB5142"/>
    <w:rsid w:val="00EB6D68"/>
    <w:rsid w:val="00ED6E59"/>
    <w:rsid w:val="00EE5C7C"/>
    <w:rsid w:val="00EF6C84"/>
    <w:rsid w:val="00F06C9C"/>
    <w:rsid w:val="00F078EE"/>
    <w:rsid w:val="00F10D62"/>
    <w:rsid w:val="00F31C3D"/>
    <w:rsid w:val="00F43AF7"/>
    <w:rsid w:val="00F629FE"/>
    <w:rsid w:val="00F6523F"/>
    <w:rsid w:val="00F7071C"/>
    <w:rsid w:val="00F8052F"/>
    <w:rsid w:val="00FC5025"/>
    <w:rsid w:val="00FF2C53"/>
    <w:rsid w:val="00FF75CD"/>
    <w:rsid w:val="010511C7"/>
    <w:rsid w:val="01281D5E"/>
    <w:rsid w:val="01747434"/>
    <w:rsid w:val="018302D7"/>
    <w:rsid w:val="01B17610"/>
    <w:rsid w:val="024A129D"/>
    <w:rsid w:val="02792AB6"/>
    <w:rsid w:val="0397690D"/>
    <w:rsid w:val="03B61633"/>
    <w:rsid w:val="0412307A"/>
    <w:rsid w:val="04251B40"/>
    <w:rsid w:val="04706F25"/>
    <w:rsid w:val="048E2A47"/>
    <w:rsid w:val="049D748F"/>
    <w:rsid w:val="04AC6D4B"/>
    <w:rsid w:val="04C702D0"/>
    <w:rsid w:val="04D876FB"/>
    <w:rsid w:val="04FA0753"/>
    <w:rsid w:val="05354838"/>
    <w:rsid w:val="05831120"/>
    <w:rsid w:val="06024073"/>
    <w:rsid w:val="06260001"/>
    <w:rsid w:val="06C52CF9"/>
    <w:rsid w:val="06D85111"/>
    <w:rsid w:val="07267780"/>
    <w:rsid w:val="074606D6"/>
    <w:rsid w:val="07BE7273"/>
    <w:rsid w:val="07DA6AA9"/>
    <w:rsid w:val="08092593"/>
    <w:rsid w:val="086D54F4"/>
    <w:rsid w:val="087C5F1C"/>
    <w:rsid w:val="088911A2"/>
    <w:rsid w:val="08CB33E1"/>
    <w:rsid w:val="09053451"/>
    <w:rsid w:val="0940230A"/>
    <w:rsid w:val="094F00CF"/>
    <w:rsid w:val="09CC5DFB"/>
    <w:rsid w:val="0A2D73D8"/>
    <w:rsid w:val="0ACF1288"/>
    <w:rsid w:val="0AD458B8"/>
    <w:rsid w:val="0ADE5A0D"/>
    <w:rsid w:val="0B0576D6"/>
    <w:rsid w:val="0B2C2292"/>
    <w:rsid w:val="0B7509BD"/>
    <w:rsid w:val="0B7A79AA"/>
    <w:rsid w:val="0BBC75A7"/>
    <w:rsid w:val="0C4F6D62"/>
    <w:rsid w:val="0C9E61AD"/>
    <w:rsid w:val="0CC47A23"/>
    <w:rsid w:val="0D2051FA"/>
    <w:rsid w:val="0D4217A7"/>
    <w:rsid w:val="0D7E5A39"/>
    <w:rsid w:val="0D8D246A"/>
    <w:rsid w:val="0DBF4985"/>
    <w:rsid w:val="0DCA64D3"/>
    <w:rsid w:val="0E0B42B3"/>
    <w:rsid w:val="0EAE225D"/>
    <w:rsid w:val="0EC1147A"/>
    <w:rsid w:val="0F244FFD"/>
    <w:rsid w:val="0F256DC9"/>
    <w:rsid w:val="0FEA4929"/>
    <w:rsid w:val="10461024"/>
    <w:rsid w:val="107C505B"/>
    <w:rsid w:val="109654AD"/>
    <w:rsid w:val="10D9328E"/>
    <w:rsid w:val="110C6A7F"/>
    <w:rsid w:val="115A3AF0"/>
    <w:rsid w:val="11904B1E"/>
    <w:rsid w:val="11941BFF"/>
    <w:rsid w:val="11FA52D4"/>
    <w:rsid w:val="127A5EE0"/>
    <w:rsid w:val="12F87544"/>
    <w:rsid w:val="13237523"/>
    <w:rsid w:val="13301BDB"/>
    <w:rsid w:val="13471AC4"/>
    <w:rsid w:val="13587B77"/>
    <w:rsid w:val="137F2034"/>
    <w:rsid w:val="13C81E37"/>
    <w:rsid w:val="147603F6"/>
    <w:rsid w:val="151A7F6D"/>
    <w:rsid w:val="153816C3"/>
    <w:rsid w:val="157A1035"/>
    <w:rsid w:val="15CA00A5"/>
    <w:rsid w:val="15F97EFB"/>
    <w:rsid w:val="162A3968"/>
    <w:rsid w:val="165418A6"/>
    <w:rsid w:val="16687D48"/>
    <w:rsid w:val="1669279A"/>
    <w:rsid w:val="168578F7"/>
    <w:rsid w:val="16BA3DB8"/>
    <w:rsid w:val="17010043"/>
    <w:rsid w:val="173F1E14"/>
    <w:rsid w:val="174D33B6"/>
    <w:rsid w:val="17DF0995"/>
    <w:rsid w:val="1814658B"/>
    <w:rsid w:val="181A5F8B"/>
    <w:rsid w:val="185A21AE"/>
    <w:rsid w:val="188522D8"/>
    <w:rsid w:val="189B6DE5"/>
    <w:rsid w:val="18EF79A6"/>
    <w:rsid w:val="192A4511"/>
    <w:rsid w:val="19D02CA4"/>
    <w:rsid w:val="19E67967"/>
    <w:rsid w:val="1A1E016E"/>
    <w:rsid w:val="1A212E12"/>
    <w:rsid w:val="1A253794"/>
    <w:rsid w:val="1A390059"/>
    <w:rsid w:val="1A73577A"/>
    <w:rsid w:val="1A850B12"/>
    <w:rsid w:val="1A8609B2"/>
    <w:rsid w:val="1A99651E"/>
    <w:rsid w:val="1AD05BF1"/>
    <w:rsid w:val="1B00737B"/>
    <w:rsid w:val="1B0B639C"/>
    <w:rsid w:val="1B4D04A5"/>
    <w:rsid w:val="1B596192"/>
    <w:rsid w:val="1B980F81"/>
    <w:rsid w:val="1B9F6C64"/>
    <w:rsid w:val="1BD872EF"/>
    <w:rsid w:val="1C1127D9"/>
    <w:rsid w:val="1C48674E"/>
    <w:rsid w:val="1C862E2F"/>
    <w:rsid w:val="1C867059"/>
    <w:rsid w:val="1C8E6FA3"/>
    <w:rsid w:val="1CA008C4"/>
    <w:rsid w:val="1CBA200C"/>
    <w:rsid w:val="1CC26427"/>
    <w:rsid w:val="1D0821BF"/>
    <w:rsid w:val="1D1F16A9"/>
    <w:rsid w:val="1D6B5A42"/>
    <w:rsid w:val="1D71273B"/>
    <w:rsid w:val="1D7D623B"/>
    <w:rsid w:val="1DBA05BC"/>
    <w:rsid w:val="1DCB33D2"/>
    <w:rsid w:val="1DDB3FC0"/>
    <w:rsid w:val="1DFA38AE"/>
    <w:rsid w:val="1E910B9E"/>
    <w:rsid w:val="1E9658B2"/>
    <w:rsid w:val="1EA66604"/>
    <w:rsid w:val="1F0F6801"/>
    <w:rsid w:val="1F44456C"/>
    <w:rsid w:val="1F4B54CF"/>
    <w:rsid w:val="1F856B25"/>
    <w:rsid w:val="1FA2422C"/>
    <w:rsid w:val="1FA35E41"/>
    <w:rsid w:val="1FEC151C"/>
    <w:rsid w:val="1FEF3AB3"/>
    <w:rsid w:val="201B301E"/>
    <w:rsid w:val="205F6BDA"/>
    <w:rsid w:val="205F7959"/>
    <w:rsid w:val="20611168"/>
    <w:rsid w:val="20623F40"/>
    <w:rsid w:val="207115BE"/>
    <w:rsid w:val="209E6771"/>
    <w:rsid w:val="20C6705F"/>
    <w:rsid w:val="20E04DDE"/>
    <w:rsid w:val="2114793A"/>
    <w:rsid w:val="21384B5F"/>
    <w:rsid w:val="219300FD"/>
    <w:rsid w:val="21E2355A"/>
    <w:rsid w:val="220C6B66"/>
    <w:rsid w:val="224B2BE6"/>
    <w:rsid w:val="22CF28D2"/>
    <w:rsid w:val="22DA38AF"/>
    <w:rsid w:val="23E506ED"/>
    <w:rsid w:val="24027E55"/>
    <w:rsid w:val="24526EC0"/>
    <w:rsid w:val="2455780F"/>
    <w:rsid w:val="24823D43"/>
    <w:rsid w:val="24840AA5"/>
    <w:rsid w:val="24930D44"/>
    <w:rsid w:val="254A35D9"/>
    <w:rsid w:val="255A1190"/>
    <w:rsid w:val="25B12181"/>
    <w:rsid w:val="26214840"/>
    <w:rsid w:val="26446A5E"/>
    <w:rsid w:val="266152F9"/>
    <w:rsid w:val="269C7873"/>
    <w:rsid w:val="27310D2D"/>
    <w:rsid w:val="277370EA"/>
    <w:rsid w:val="27B21934"/>
    <w:rsid w:val="27D573B2"/>
    <w:rsid w:val="27EA1440"/>
    <w:rsid w:val="280F4ACA"/>
    <w:rsid w:val="280F7510"/>
    <w:rsid w:val="2813483F"/>
    <w:rsid w:val="28544521"/>
    <w:rsid w:val="285D3177"/>
    <w:rsid w:val="28B87A91"/>
    <w:rsid w:val="28DC5500"/>
    <w:rsid w:val="28DE7354"/>
    <w:rsid w:val="28DF4B91"/>
    <w:rsid w:val="299A6680"/>
    <w:rsid w:val="299B6EE2"/>
    <w:rsid w:val="29B13515"/>
    <w:rsid w:val="2A084568"/>
    <w:rsid w:val="2A1D48AD"/>
    <w:rsid w:val="2A1E302E"/>
    <w:rsid w:val="2A4447C0"/>
    <w:rsid w:val="2A475174"/>
    <w:rsid w:val="2A485E91"/>
    <w:rsid w:val="2A627D0E"/>
    <w:rsid w:val="2AA829A0"/>
    <w:rsid w:val="2AC31A86"/>
    <w:rsid w:val="2ACD6B6D"/>
    <w:rsid w:val="2AEC349F"/>
    <w:rsid w:val="2B183D65"/>
    <w:rsid w:val="2B1F4000"/>
    <w:rsid w:val="2B6B0313"/>
    <w:rsid w:val="2B6C48D9"/>
    <w:rsid w:val="2B917ACE"/>
    <w:rsid w:val="2C3A6969"/>
    <w:rsid w:val="2C5E5CD5"/>
    <w:rsid w:val="2C66650A"/>
    <w:rsid w:val="2CD17C0B"/>
    <w:rsid w:val="2D88243C"/>
    <w:rsid w:val="2DA66BF7"/>
    <w:rsid w:val="2E192CEF"/>
    <w:rsid w:val="2E483C48"/>
    <w:rsid w:val="2E4F6500"/>
    <w:rsid w:val="2E5126A6"/>
    <w:rsid w:val="2E8C09F6"/>
    <w:rsid w:val="2ED06FA4"/>
    <w:rsid w:val="2ED42F5F"/>
    <w:rsid w:val="2EF02CFA"/>
    <w:rsid w:val="2EFC5D3E"/>
    <w:rsid w:val="2F0C1465"/>
    <w:rsid w:val="2F2A7852"/>
    <w:rsid w:val="2F4520E6"/>
    <w:rsid w:val="2F606BB8"/>
    <w:rsid w:val="2F7C09B5"/>
    <w:rsid w:val="2FB62F26"/>
    <w:rsid w:val="2FC276BB"/>
    <w:rsid w:val="2FDD676B"/>
    <w:rsid w:val="2FF312D3"/>
    <w:rsid w:val="31A00400"/>
    <w:rsid w:val="31B15F61"/>
    <w:rsid w:val="31D85851"/>
    <w:rsid w:val="327054D0"/>
    <w:rsid w:val="32A73A6D"/>
    <w:rsid w:val="32DA3770"/>
    <w:rsid w:val="330463C0"/>
    <w:rsid w:val="33086D31"/>
    <w:rsid w:val="33504204"/>
    <w:rsid w:val="338242F0"/>
    <w:rsid w:val="33905E3E"/>
    <w:rsid w:val="342807AD"/>
    <w:rsid w:val="34517438"/>
    <w:rsid w:val="34AA7C87"/>
    <w:rsid w:val="34C10CB4"/>
    <w:rsid w:val="34E1394E"/>
    <w:rsid w:val="34EC05A2"/>
    <w:rsid w:val="34EF69AC"/>
    <w:rsid w:val="3517325B"/>
    <w:rsid w:val="353C5DE3"/>
    <w:rsid w:val="357B5F80"/>
    <w:rsid w:val="35AC1F1D"/>
    <w:rsid w:val="35F00B87"/>
    <w:rsid w:val="35F071F3"/>
    <w:rsid w:val="362123E4"/>
    <w:rsid w:val="373D6E87"/>
    <w:rsid w:val="37B14702"/>
    <w:rsid w:val="37C97D71"/>
    <w:rsid w:val="383A3F15"/>
    <w:rsid w:val="387B5B46"/>
    <w:rsid w:val="38DF32F2"/>
    <w:rsid w:val="38E62355"/>
    <w:rsid w:val="38E67EFE"/>
    <w:rsid w:val="39536854"/>
    <w:rsid w:val="39725E06"/>
    <w:rsid w:val="3A1633E2"/>
    <w:rsid w:val="3A530185"/>
    <w:rsid w:val="3B35415B"/>
    <w:rsid w:val="3B3677A8"/>
    <w:rsid w:val="3B611E8A"/>
    <w:rsid w:val="3B6D0A88"/>
    <w:rsid w:val="3BDD6802"/>
    <w:rsid w:val="3C1A2883"/>
    <w:rsid w:val="3C5050E5"/>
    <w:rsid w:val="3C631EE8"/>
    <w:rsid w:val="3C632F11"/>
    <w:rsid w:val="3C7F213F"/>
    <w:rsid w:val="3C803E5E"/>
    <w:rsid w:val="3C8109DE"/>
    <w:rsid w:val="3C8B091B"/>
    <w:rsid w:val="3C8C2894"/>
    <w:rsid w:val="3CD75B02"/>
    <w:rsid w:val="3D083CD1"/>
    <w:rsid w:val="3D2A5EC4"/>
    <w:rsid w:val="3D32774C"/>
    <w:rsid w:val="3D7C2F8B"/>
    <w:rsid w:val="3D8E6A2A"/>
    <w:rsid w:val="3DB106C9"/>
    <w:rsid w:val="3E0069A0"/>
    <w:rsid w:val="3E1A2FC4"/>
    <w:rsid w:val="3E39791E"/>
    <w:rsid w:val="3E4F47DE"/>
    <w:rsid w:val="3EA578EE"/>
    <w:rsid w:val="3EB12C0A"/>
    <w:rsid w:val="3ED664EE"/>
    <w:rsid w:val="3EF21CFB"/>
    <w:rsid w:val="3F3005C2"/>
    <w:rsid w:val="3F3B3E9E"/>
    <w:rsid w:val="3F616B28"/>
    <w:rsid w:val="3F78278E"/>
    <w:rsid w:val="3F9E6A41"/>
    <w:rsid w:val="3FBE7529"/>
    <w:rsid w:val="40163B6F"/>
    <w:rsid w:val="406313A7"/>
    <w:rsid w:val="40A70B38"/>
    <w:rsid w:val="40B764BC"/>
    <w:rsid w:val="40CB0029"/>
    <w:rsid w:val="41295605"/>
    <w:rsid w:val="41653FC0"/>
    <w:rsid w:val="41AC69BC"/>
    <w:rsid w:val="41C47DB6"/>
    <w:rsid w:val="41D03525"/>
    <w:rsid w:val="42006BBF"/>
    <w:rsid w:val="42463CA8"/>
    <w:rsid w:val="42672099"/>
    <w:rsid w:val="427E020F"/>
    <w:rsid w:val="429325DF"/>
    <w:rsid w:val="42A449FF"/>
    <w:rsid w:val="42AA09BD"/>
    <w:rsid w:val="43B51E01"/>
    <w:rsid w:val="43D45B5B"/>
    <w:rsid w:val="43FA0148"/>
    <w:rsid w:val="444E7818"/>
    <w:rsid w:val="44602333"/>
    <w:rsid w:val="44725261"/>
    <w:rsid w:val="44E271DC"/>
    <w:rsid w:val="45227FBD"/>
    <w:rsid w:val="454946B1"/>
    <w:rsid w:val="45805EFB"/>
    <w:rsid w:val="45964A98"/>
    <w:rsid w:val="45F21315"/>
    <w:rsid w:val="45F46DC0"/>
    <w:rsid w:val="463B3E8F"/>
    <w:rsid w:val="464D45B8"/>
    <w:rsid w:val="468D5EB3"/>
    <w:rsid w:val="469E7E77"/>
    <w:rsid w:val="46D23E2F"/>
    <w:rsid w:val="46DB4D8D"/>
    <w:rsid w:val="46F01243"/>
    <w:rsid w:val="46F43396"/>
    <w:rsid w:val="470F7BB9"/>
    <w:rsid w:val="474F5561"/>
    <w:rsid w:val="47676D46"/>
    <w:rsid w:val="478B585B"/>
    <w:rsid w:val="479375CF"/>
    <w:rsid w:val="47AA1872"/>
    <w:rsid w:val="47FA7AF2"/>
    <w:rsid w:val="4802023F"/>
    <w:rsid w:val="484A1854"/>
    <w:rsid w:val="48583514"/>
    <w:rsid w:val="486A21C6"/>
    <w:rsid w:val="48886E6B"/>
    <w:rsid w:val="48DB5D1B"/>
    <w:rsid w:val="491D401F"/>
    <w:rsid w:val="49274C61"/>
    <w:rsid w:val="492F1466"/>
    <w:rsid w:val="49471CE6"/>
    <w:rsid w:val="49BE084A"/>
    <w:rsid w:val="49BE7AE3"/>
    <w:rsid w:val="49CB6C4F"/>
    <w:rsid w:val="49D3252F"/>
    <w:rsid w:val="49ED6A11"/>
    <w:rsid w:val="49F32246"/>
    <w:rsid w:val="4B1909D3"/>
    <w:rsid w:val="4B1B35CA"/>
    <w:rsid w:val="4B4049CF"/>
    <w:rsid w:val="4B4F684E"/>
    <w:rsid w:val="4B551D79"/>
    <w:rsid w:val="4B8A024C"/>
    <w:rsid w:val="4B8B04C4"/>
    <w:rsid w:val="4BA3097B"/>
    <w:rsid w:val="4BB01165"/>
    <w:rsid w:val="4BFE0582"/>
    <w:rsid w:val="4C551740"/>
    <w:rsid w:val="4C6A252B"/>
    <w:rsid w:val="4C9516CB"/>
    <w:rsid w:val="4CB07229"/>
    <w:rsid w:val="4CBA63E1"/>
    <w:rsid w:val="4CDB4A63"/>
    <w:rsid w:val="4D1B76FD"/>
    <w:rsid w:val="4D393304"/>
    <w:rsid w:val="4D3A0398"/>
    <w:rsid w:val="4D6B586F"/>
    <w:rsid w:val="4D7B4232"/>
    <w:rsid w:val="4D956093"/>
    <w:rsid w:val="4DEA7785"/>
    <w:rsid w:val="4DF23305"/>
    <w:rsid w:val="4DF6334D"/>
    <w:rsid w:val="4E7A4959"/>
    <w:rsid w:val="4E7F48F6"/>
    <w:rsid w:val="4F455EAE"/>
    <w:rsid w:val="501D6A35"/>
    <w:rsid w:val="502F373A"/>
    <w:rsid w:val="50C76B4D"/>
    <w:rsid w:val="517E487F"/>
    <w:rsid w:val="52C04546"/>
    <w:rsid w:val="52CE17E4"/>
    <w:rsid w:val="52CE498F"/>
    <w:rsid w:val="531B03BD"/>
    <w:rsid w:val="541A309E"/>
    <w:rsid w:val="54C011CD"/>
    <w:rsid w:val="54E37E94"/>
    <w:rsid w:val="55214150"/>
    <w:rsid w:val="55325427"/>
    <w:rsid w:val="553D190A"/>
    <w:rsid w:val="55432E16"/>
    <w:rsid w:val="5558337A"/>
    <w:rsid w:val="55781649"/>
    <w:rsid w:val="56105A50"/>
    <w:rsid w:val="56281A43"/>
    <w:rsid w:val="563E1995"/>
    <w:rsid w:val="564A3B44"/>
    <w:rsid w:val="56C90ABD"/>
    <w:rsid w:val="56DE51A6"/>
    <w:rsid w:val="57043537"/>
    <w:rsid w:val="57325EC8"/>
    <w:rsid w:val="57880D7D"/>
    <w:rsid w:val="57C8457D"/>
    <w:rsid w:val="582E7B6F"/>
    <w:rsid w:val="58691E83"/>
    <w:rsid w:val="58873180"/>
    <w:rsid w:val="588A54D9"/>
    <w:rsid w:val="58BC496C"/>
    <w:rsid w:val="58C7254B"/>
    <w:rsid w:val="58FD3712"/>
    <w:rsid w:val="592726A0"/>
    <w:rsid w:val="59332F67"/>
    <w:rsid w:val="595B5AC9"/>
    <w:rsid w:val="599D2882"/>
    <w:rsid w:val="5A2B0D03"/>
    <w:rsid w:val="5A7D047E"/>
    <w:rsid w:val="5B63099D"/>
    <w:rsid w:val="5B634DA4"/>
    <w:rsid w:val="5B7E29E3"/>
    <w:rsid w:val="5B7E61BC"/>
    <w:rsid w:val="5B860858"/>
    <w:rsid w:val="5B973624"/>
    <w:rsid w:val="5B9D3E45"/>
    <w:rsid w:val="5BB56996"/>
    <w:rsid w:val="5C2F26C6"/>
    <w:rsid w:val="5C4B4889"/>
    <w:rsid w:val="5C821E6B"/>
    <w:rsid w:val="5CE158E7"/>
    <w:rsid w:val="5CF64E23"/>
    <w:rsid w:val="5D0D148E"/>
    <w:rsid w:val="5D37275E"/>
    <w:rsid w:val="5D4A44D9"/>
    <w:rsid w:val="5D8745C9"/>
    <w:rsid w:val="5DA37D56"/>
    <w:rsid w:val="5DEC0808"/>
    <w:rsid w:val="5DFE0CF0"/>
    <w:rsid w:val="5E222C91"/>
    <w:rsid w:val="5E4774CE"/>
    <w:rsid w:val="5E530C99"/>
    <w:rsid w:val="5E9F7F49"/>
    <w:rsid w:val="5EA25EED"/>
    <w:rsid w:val="5F0E4B89"/>
    <w:rsid w:val="5F123A5D"/>
    <w:rsid w:val="5F123A88"/>
    <w:rsid w:val="5FD82394"/>
    <w:rsid w:val="5FDC6C97"/>
    <w:rsid w:val="600A32F2"/>
    <w:rsid w:val="60160B39"/>
    <w:rsid w:val="602F50CF"/>
    <w:rsid w:val="60774026"/>
    <w:rsid w:val="60CA689F"/>
    <w:rsid w:val="60D019FA"/>
    <w:rsid w:val="616138B2"/>
    <w:rsid w:val="618E73F4"/>
    <w:rsid w:val="61D47D29"/>
    <w:rsid w:val="62303BD4"/>
    <w:rsid w:val="62D1165A"/>
    <w:rsid w:val="62F72CA6"/>
    <w:rsid w:val="62FB7EFF"/>
    <w:rsid w:val="63160C7D"/>
    <w:rsid w:val="632372A1"/>
    <w:rsid w:val="634152E3"/>
    <w:rsid w:val="642A2324"/>
    <w:rsid w:val="645F38B6"/>
    <w:rsid w:val="64DC5ED2"/>
    <w:rsid w:val="65303AA4"/>
    <w:rsid w:val="655914A6"/>
    <w:rsid w:val="656A7E7F"/>
    <w:rsid w:val="65A23B47"/>
    <w:rsid w:val="65AE3CA8"/>
    <w:rsid w:val="65B06E79"/>
    <w:rsid w:val="65D8652D"/>
    <w:rsid w:val="66881B6C"/>
    <w:rsid w:val="66E315E4"/>
    <w:rsid w:val="672F4701"/>
    <w:rsid w:val="672F71B9"/>
    <w:rsid w:val="67827E4E"/>
    <w:rsid w:val="67852429"/>
    <w:rsid w:val="67970107"/>
    <w:rsid w:val="67A72FD0"/>
    <w:rsid w:val="67D46CC0"/>
    <w:rsid w:val="683A42B7"/>
    <w:rsid w:val="683B22FA"/>
    <w:rsid w:val="687E54AF"/>
    <w:rsid w:val="688C3364"/>
    <w:rsid w:val="689E7FAE"/>
    <w:rsid w:val="68F0037C"/>
    <w:rsid w:val="69440BEE"/>
    <w:rsid w:val="69535003"/>
    <w:rsid w:val="69B501DD"/>
    <w:rsid w:val="69CF3581"/>
    <w:rsid w:val="69ED4581"/>
    <w:rsid w:val="6A164093"/>
    <w:rsid w:val="6A1D0D47"/>
    <w:rsid w:val="6A5775A6"/>
    <w:rsid w:val="6AFD393E"/>
    <w:rsid w:val="6B073620"/>
    <w:rsid w:val="6BA201D0"/>
    <w:rsid w:val="6BC530BA"/>
    <w:rsid w:val="6C352591"/>
    <w:rsid w:val="6C6A2BFA"/>
    <w:rsid w:val="6CFA4789"/>
    <w:rsid w:val="6D3857B9"/>
    <w:rsid w:val="6DC94904"/>
    <w:rsid w:val="6DCD7D50"/>
    <w:rsid w:val="6DDC7183"/>
    <w:rsid w:val="6DEA6948"/>
    <w:rsid w:val="6E0D06BF"/>
    <w:rsid w:val="6E577D99"/>
    <w:rsid w:val="6E5834E5"/>
    <w:rsid w:val="6E5E56CC"/>
    <w:rsid w:val="6E707CB7"/>
    <w:rsid w:val="6F0A7A24"/>
    <w:rsid w:val="6F2C34E6"/>
    <w:rsid w:val="6F805C66"/>
    <w:rsid w:val="6FB85138"/>
    <w:rsid w:val="701746EE"/>
    <w:rsid w:val="70396EC6"/>
    <w:rsid w:val="707C73C2"/>
    <w:rsid w:val="708421C1"/>
    <w:rsid w:val="70875F48"/>
    <w:rsid w:val="70CB6C7F"/>
    <w:rsid w:val="713815A5"/>
    <w:rsid w:val="713937BE"/>
    <w:rsid w:val="71D51C4E"/>
    <w:rsid w:val="72402139"/>
    <w:rsid w:val="72524051"/>
    <w:rsid w:val="72821180"/>
    <w:rsid w:val="728D6200"/>
    <w:rsid w:val="72924C1B"/>
    <w:rsid w:val="72D04595"/>
    <w:rsid w:val="72E974A2"/>
    <w:rsid w:val="72FD4559"/>
    <w:rsid w:val="73290605"/>
    <w:rsid w:val="73323E6F"/>
    <w:rsid w:val="734931DB"/>
    <w:rsid w:val="735307C9"/>
    <w:rsid w:val="736253F4"/>
    <w:rsid w:val="737E5A28"/>
    <w:rsid w:val="7429472E"/>
    <w:rsid w:val="74542120"/>
    <w:rsid w:val="746471C6"/>
    <w:rsid w:val="748B7A62"/>
    <w:rsid w:val="74A01926"/>
    <w:rsid w:val="74B82C81"/>
    <w:rsid w:val="74DB48F7"/>
    <w:rsid w:val="74DE14AB"/>
    <w:rsid w:val="750217EA"/>
    <w:rsid w:val="751A1974"/>
    <w:rsid w:val="7529397D"/>
    <w:rsid w:val="75356525"/>
    <w:rsid w:val="762E26A0"/>
    <w:rsid w:val="764F3E23"/>
    <w:rsid w:val="76602542"/>
    <w:rsid w:val="767C3509"/>
    <w:rsid w:val="76D50DED"/>
    <w:rsid w:val="76F021D5"/>
    <w:rsid w:val="770F5CBD"/>
    <w:rsid w:val="77305CE9"/>
    <w:rsid w:val="779C48F9"/>
    <w:rsid w:val="77E12638"/>
    <w:rsid w:val="783506FF"/>
    <w:rsid w:val="786172D2"/>
    <w:rsid w:val="786A6D5A"/>
    <w:rsid w:val="787225C1"/>
    <w:rsid w:val="78B4545E"/>
    <w:rsid w:val="790830C9"/>
    <w:rsid w:val="790A2C94"/>
    <w:rsid w:val="7931153D"/>
    <w:rsid w:val="7939493A"/>
    <w:rsid w:val="79481EE4"/>
    <w:rsid w:val="794B4207"/>
    <w:rsid w:val="79653BAB"/>
    <w:rsid w:val="79697485"/>
    <w:rsid w:val="79764E00"/>
    <w:rsid w:val="79BE0B2E"/>
    <w:rsid w:val="79DC09B0"/>
    <w:rsid w:val="7A1E0DA5"/>
    <w:rsid w:val="7A327048"/>
    <w:rsid w:val="7A662A92"/>
    <w:rsid w:val="7A8033C8"/>
    <w:rsid w:val="7A872C7E"/>
    <w:rsid w:val="7A9504AE"/>
    <w:rsid w:val="7A982BCC"/>
    <w:rsid w:val="7AD66965"/>
    <w:rsid w:val="7B0E6A9F"/>
    <w:rsid w:val="7B20608D"/>
    <w:rsid w:val="7B6D7CDC"/>
    <w:rsid w:val="7B8916DA"/>
    <w:rsid w:val="7BA10005"/>
    <w:rsid w:val="7BBF6E86"/>
    <w:rsid w:val="7C604790"/>
    <w:rsid w:val="7CAA00C1"/>
    <w:rsid w:val="7CF15D52"/>
    <w:rsid w:val="7D1B3C30"/>
    <w:rsid w:val="7D976A98"/>
    <w:rsid w:val="7DD21992"/>
    <w:rsid w:val="7DDB4286"/>
    <w:rsid w:val="7DF53238"/>
    <w:rsid w:val="7E324CBC"/>
    <w:rsid w:val="7E901A50"/>
    <w:rsid w:val="7EB15400"/>
    <w:rsid w:val="7ED32F0D"/>
    <w:rsid w:val="7F0968F5"/>
    <w:rsid w:val="7F3A6EF2"/>
    <w:rsid w:val="7F495819"/>
    <w:rsid w:val="7FA71984"/>
    <w:rsid w:val="7FF710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9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nhideWhenUsed="0" w:uiPriority="0" w:semiHidden="0" w:name="caption"/>
    <w:lsdException w:qFormat="1" w:unhideWhenUsed="0" w:uiPriority="99" w:semiHidden="0"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nhideWhenUsed="0" w:uiPriority="0" w:semiHidden="0" w:name="endnote text"/>
    <w:lsdException w:uiPriority="99" w:name="table of authorities"/>
    <w:lsdException w:uiPriority="99" w:name="macro"/>
    <w:lsdException w:uiPriority="99" w:name="toa heading"/>
    <w:lsdException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640" w:firstLineChars="200"/>
      <w:jc w:val="both"/>
    </w:pPr>
    <w:rPr>
      <w:rFonts w:ascii="Calibri" w:hAnsi="Calibri" w:eastAsia="宋体" w:cs="Times New Roman"/>
      <w:kern w:val="2"/>
      <w:sz w:val="21"/>
      <w:szCs w:val="24"/>
      <w:lang w:val="en-US" w:eastAsia="zh-CN" w:bidi="ar-SA"/>
    </w:rPr>
  </w:style>
  <w:style w:type="paragraph" w:styleId="3">
    <w:name w:val="heading 1"/>
    <w:basedOn w:val="1"/>
    <w:next w:val="1"/>
    <w:link w:val="99"/>
    <w:qFormat/>
    <w:uiPriority w:val="0"/>
    <w:pPr>
      <w:keepNext/>
      <w:keepLines/>
      <w:spacing w:before="340" w:after="330" w:line="576" w:lineRule="auto"/>
      <w:jc w:val="center"/>
      <w:outlineLvl w:val="0"/>
    </w:pPr>
    <w:rPr>
      <w:b/>
      <w:bCs/>
      <w:kern w:val="44"/>
      <w:sz w:val="30"/>
      <w:szCs w:val="44"/>
    </w:rPr>
  </w:style>
  <w:style w:type="paragraph" w:styleId="4">
    <w:name w:val="heading 2"/>
    <w:basedOn w:val="1"/>
    <w:next w:val="1"/>
    <w:link w:val="82"/>
    <w:qFormat/>
    <w:uiPriority w:val="0"/>
    <w:pPr>
      <w:keepNext/>
      <w:widowControl/>
      <w:numPr>
        <w:ilvl w:val="1"/>
        <w:numId w:val="1"/>
      </w:numPr>
      <w:tabs>
        <w:tab w:val="left" w:pos="240"/>
      </w:tabs>
      <w:overflowPunct w:val="0"/>
      <w:autoSpaceDE w:val="0"/>
      <w:autoSpaceDN w:val="0"/>
      <w:adjustRightInd w:val="0"/>
      <w:ind w:firstLineChars="0"/>
      <w:outlineLvl w:val="1"/>
    </w:pPr>
    <w:rPr>
      <w:rFonts w:ascii="微软雅黑" w:hAnsi="微软雅黑" w:eastAsia="微软雅黑"/>
      <w:b/>
      <w:bCs/>
      <w:color w:val="000000"/>
      <w:kern w:val="0"/>
      <w:szCs w:val="20"/>
    </w:rPr>
  </w:style>
  <w:style w:type="paragraph" w:styleId="5">
    <w:name w:val="heading 3"/>
    <w:basedOn w:val="1"/>
    <w:next w:val="6"/>
    <w:link w:val="59"/>
    <w:qFormat/>
    <w:uiPriority w:val="0"/>
    <w:pPr>
      <w:keepNext/>
      <w:widowControl/>
      <w:numPr>
        <w:ilvl w:val="2"/>
        <w:numId w:val="1"/>
      </w:numPr>
      <w:tabs>
        <w:tab w:val="left" w:pos="240"/>
      </w:tabs>
      <w:overflowPunct w:val="0"/>
      <w:autoSpaceDE w:val="0"/>
      <w:autoSpaceDN w:val="0"/>
      <w:adjustRightInd w:val="0"/>
      <w:ind w:firstLineChars="0"/>
      <w:outlineLvl w:val="2"/>
    </w:pPr>
    <w:rPr>
      <w:rFonts w:ascii="楷体_GB2312" w:hAnsi="楷体_GB2312"/>
      <w:b/>
      <w:color w:val="000000"/>
      <w:kern w:val="0"/>
      <w:szCs w:val="21"/>
    </w:rPr>
  </w:style>
  <w:style w:type="paragraph" w:styleId="7">
    <w:name w:val="heading 4"/>
    <w:basedOn w:val="1"/>
    <w:next w:val="1"/>
    <w:link w:val="65"/>
    <w:qFormat/>
    <w:uiPriority w:val="0"/>
    <w:pPr>
      <w:widowControl/>
      <w:numPr>
        <w:ilvl w:val="3"/>
        <w:numId w:val="1"/>
      </w:numPr>
      <w:tabs>
        <w:tab w:val="left" w:pos="240"/>
      </w:tabs>
      <w:adjustRightInd w:val="0"/>
      <w:spacing w:before="156" w:after="156"/>
      <w:ind w:firstLineChars="0"/>
      <w:textAlignment w:val="baseline"/>
      <w:outlineLvl w:val="3"/>
    </w:pPr>
    <w:rPr>
      <w:rFonts w:ascii="楷体_GB2312" w:hAnsi="楷体_GB2312"/>
      <w:b/>
      <w:color w:val="000000"/>
      <w:kern w:val="0"/>
      <w:szCs w:val="28"/>
    </w:rPr>
  </w:style>
  <w:style w:type="paragraph" w:styleId="8">
    <w:name w:val="heading 5"/>
    <w:basedOn w:val="1"/>
    <w:next w:val="1"/>
    <w:link w:val="74"/>
    <w:qFormat/>
    <w:uiPriority w:val="0"/>
    <w:pPr>
      <w:keepNext/>
      <w:keepLines/>
      <w:widowControl/>
      <w:numPr>
        <w:ilvl w:val="4"/>
        <w:numId w:val="1"/>
      </w:numPr>
      <w:ind w:firstLineChars="0"/>
      <w:outlineLvl w:val="4"/>
    </w:pPr>
    <w:rPr>
      <w:rFonts w:ascii="楷体_GB2312"/>
      <w:b/>
      <w:bCs/>
      <w:color w:val="000000"/>
      <w:kern w:val="0"/>
      <w:szCs w:val="40"/>
    </w:rPr>
  </w:style>
  <w:style w:type="paragraph" w:styleId="9">
    <w:name w:val="heading 6"/>
    <w:basedOn w:val="1"/>
    <w:next w:val="1"/>
    <w:link w:val="70"/>
    <w:qFormat/>
    <w:uiPriority w:val="99"/>
    <w:pPr>
      <w:keepNext/>
      <w:keepLines/>
      <w:widowControl/>
      <w:numPr>
        <w:ilvl w:val="5"/>
        <w:numId w:val="1"/>
      </w:numPr>
      <w:tabs>
        <w:tab w:val="left" w:pos="240"/>
      </w:tabs>
      <w:ind w:firstLineChars="0"/>
      <w:outlineLvl w:val="5"/>
    </w:pPr>
    <w:rPr>
      <w:rFonts w:ascii="楷体_GB2312" w:hAnsi="楷体_GB2312"/>
      <w:bCs/>
      <w:color w:val="000000"/>
      <w:kern w:val="0"/>
    </w:rPr>
  </w:style>
  <w:style w:type="paragraph" w:styleId="10">
    <w:name w:val="heading 7"/>
    <w:basedOn w:val="1"/>
    <w:next w:val="1"/>
    <w:link w:val="84"/>
    <w:qFormat/>
    <w:uiPriority w:val="0"/>
    <w:pPr>
      <w:keepNext/>
      <w:keepLines/>
      <w:adjustRightInd w:val="0"/>
      <w:spacing w:before="240" w:after="64" w:line="320" w:lineRule="auto"/>
      <w:textAlignment w:val="baseline"/>
      <w:outlineLvl w:val="6"/>
    </w:pPr>
    <w:rPr>
      <w:b/>
      <w:szCs w:val="20"/>
    </w:rPr>
  </w:style>
  <w:style w:type="paragraph" w:styleId="11">
    <w:name w:val="heading 8"/>
    <w:basedOn w:val="1"/>
    <w:next w:val="1"/>
    <w:link w:val="98"/>
    <w:qFormat/>
    <w:uiPriority w:val="0"/>
    <w:pPr>
      <w:keepNext/>
      <w:keepLines/>
      <w:adjustRightInd w:val="0"/>
      <w:spacing w:before="240" w:after="64" w:line="320" w:lineRule="auto"/>
      <w:textAlignment w:val="baseline"/>
      <w:outlineLvl w:val="7"/>
    </w:pPr>
    <w:rPr>
      <w:rFonts w:ascii="Arial" w:hAnsi="Arial" w:eastAsia="黑体"/>
      <w:szCs w:val="20"/>
    </w:rPr>
  </w:style>
  <w:style w:type="paragraph" w:styleId="12">
    <w:name w:val="heading 9"/>
    <w:basedOn w:val="1"/>
    <w:next w:val="1"/>
    <w:link w:val="63"/>
    <w:qFormat/>
    <w:uiPriority w:val="0"/>
    <w:pPr>
      <w:keepNext/>
      <w:keepLines/>
      <w:adjustRightInd w:val="0"/>
      <w:spacing w:before="240" w:after="64" w:line="320" w:lineRule="auto"/>
      <w:textAlignment w:val="baseline"/>
      <w:outlineLvl w:val="8"/>
    </w:pPr>
    <w:rPr>
      <w:rFonts w:ascii="Arial" w:hAnsi="Arial" w:eastAsia="黑体"/>
      <w:szCs w:val="20"/>
    </w:rPr>
  </w:style>
  <w:style w:type="character" w:default="1" w:styleId="39">
    <w:name w:val="Default Paragraph Font"/>
    <w:semiHidden/>
    <w:unhideWhenUsed/>
    <w:uiPriority w:val="1"/>
  </w:style>
  <w:style w:type="table" w:default="1" w:styleId="37">
    <w:name w:val="Normal Table"/>
    <w:semiHidden/>
    <w:unhideWhenUsed/>
    <w:uiPriority w:val="99"/>
    <w:tblPr>
      <w:tblCellMar>
        <w:top w:w="0" w:type="dxa"/>
        <w:left w:w="108" w:type="dxa"/>
        <w:bottom w:w="0" w:type="dxa"/>
        <w:right w:w="108" w:type="dxa"/>
      </w:tblCellMar>
    </w:tblPr>
  </w:style>
  <w:style w:type="paragraph" w:styleId="2">
    <w:name w:val="Body Text"/>
    <w:basedOn w:val="1"/>
    <w:link w:val="62"/>
    <w:qFormat/>
    <w:uiPriority w:val="0"/>
    <w:pPr>
      <w:spacing w:after="120"/>
    </w:pPr>
    <w:rPr>
      <w:rFonts w:asciiTheme="minorHAnsi" w:hAnsiTheme="minorHAnsi" w:eastAsiaTheme="minorEastAsia" w:cstheme="minorBidi"/>
      <w:sz w:val="28"/>
    </w:rPr>
  </w:style>
  <w:style w:type="paragraph" w:customStyle="1" w:styleId="6">
    <w:name w:val="C503-正文格式"/>
    <w:basedOn w:val="1"/>
    <w:qFormat/>
    <w:uiPriority w:val="0"/>
    <w:rPr>
      <w:rFonts w:cs="宋体"/>
    </w:rPr>
  </w:style>
  <w:style w:type="paragraph" w:styleId="13">
    <w:name w:val="List Number"/>
    <w:basedOn w:val="1"/>
    <w:qFormat/>
    <w:uiPriority w:val="0"/>
    <w:pPr>
      <w:widowControl/>
      <w:tabs>
        <w:tab w:val="left" w:pos="454"/>
        <w:tab w:val="left" w:pos="720"/>
      </w:tabs>
      <w:spacing w:after="156" w:afterLines="50"/>
      <w:ind w:left="454" w:hanging="284"/>
      <w:jc w:val="left"/>
    </w:pPr>
    <w:rPr>
      <w:kern w:val="0"/>
      <w:sz w:val="24"/>
      <w:szCs w:val="20"/>
    </w:rPr>
  </w:style>
  <w:style w:type="paragraph" w:styleId="14">
    <w:name w:val="Normal Indent"/>
    <w:basedOn w:val="1"/>
    <w:qFormat/>
    <w:uiPriority w:val="0"/>
    <w:pPr>
      <w:ind w:firstLine="420"/>
    </w:pPr>
    <w:rPr>
      <w:szCs w:val="20"/>
    </w:rPr>
  </w:style>
  <w:style w:type="paragraph" w:styleId="15">
    <w:name w:val="caption"/>
    <w:basedOn w:val="1"/>
    <w:next w:val="1"/>
    <w:qFormat/>
    <w:uiPriority w:val="0"/>
    <w:pPr>
      <w:spacing w:before="152" w:after="160"/>
    </w:pPr>
    <w:rPr>
      <w:rFonts w:ascii="Arial" w:hAnsi="Arial" w:eastAsia="黑体" w:cs="Arial"/>
      <w:sz w:val="20"/>
      <w:szCs w:val="20"/>
    </w:rPr>
  </w:style>
  <w:style w:type="paragraph" w:styleId="16">
    <w:name w:val="Document Map"/>
    <w:basedOn w:val="1"/>
    <w:link w:val="122"/>
    <w:qFormat/>
    <w:uiPriority w:val="0"/>
    <w:pPr>
      <w:shd w:val="clear" w:color="auto" w:fill="000080"/>
    </w:pPr>
  </w:style>
  <w:style w:type="paragraph" w:styleId="17">
    <w:name w:val="annotation text"/>
    <w:basedOn w:val="1"/>
    <w:link w:val="92"/>
    <w:qFormat/>
    <w:uiPriority w:val="0"/>
    <w:pPr>
      <w:jc w:val="left"/>
    </w:pPr>
    <w:rPr>
      <w:rFonts w:asciiTheme="minorHAnsi" w:hAnsiTheme="minorHAnsi" w:eastAsiaTheme="minorEastAsia" w:cstheme="minorBidi"/>
      <w:szCs w:val="22"/>
    </w:rPr>
  </w:style>
  <w:style w:type="paragraph" w:styleId="18">
    <w:name w:val="Body Text 3"/>
    <w:basedOn w:val="1"/>
    <w:link w:val="100"/>
    <w:qFormat/>
    <w:uiPriority w:val="0"/>
    <w:pPr>
      <w:snapToGrid w:val="0"/>
      <w:spacing w:before="50" w:after="50"/>
    </w:pPr>
    <w:rPr>
      <w:rFonts w:hAnsi="宋体" w:eastAsia="仿宋_GB2312" w:asciiTheme="minorHAnsi" w:cstheme="minorBidi"/>
      <w:b/>
      <w:bCs/>
      <w:sz w:val="24"/>
      <w:szCs w:val="22"/>
    </w:rPr>
  </w:style>
  <w:style w:type="paragraph" w:styleId="19">
    <w:name w:val="Body Text Indent"/>
    <w:basedOn w:val="1"/>
    <w:link w:val="87"/>
    <w:qFormat/>
    <w:uiPriority w:val="0"/>
    <w:pPr>
      <w:spacing w:line="200" w:lineRule="exact"/>
      <w:ind w:firstLine="301"/>
    </w:pPr>
    <w:rPr>
      <w:rFonts w:ascii="宋体" w:hAnsiTheme="minorHAnsi" w:eastAsiaTheme="minorEastAsia" w:cstheme="minorBidi"/>
      <w:spacing w:val="-4"/>
      <w:sz w:val="18"/>
      <w:szCs w:val="22"/>
    </w:rPr>
  </w:style>
  <w:style w:type="paragraph" w:styleId="20">
    <w:name w:val="List Number 3"/>
    <w:basedOn w:val="1"/>
    <w:qFormat/>
    <w:uiPriority w:val="0"/>
    <w:pPr>
      <w:numPr>
        <w:ilvl w:val="0"/>
        <w:numId w:val="2"/>
      </w:numPr>
    </w:pPr>
  </w:style>
  <w:style w:type="paragraph" w:styleId="21">
    <w:name w:val="List 2"/>
    <w:basedOn w:val="1"/>
    <w:qFormat/>
    <w:uiPriority w:val="0"/>
    <w:pPr>
      <w:ind w:left="100" w:leftChars="200" w:hanging="200" w:hangingChars="200"/>
    </w:pPr>
    <w:rPr>
      <w:sz w:val="28"/>
    </w:rPr>
  </w:style>
  <w:style w:type="paragraph" w:styleId="22">
    <w:name w:val="Plain Text"/>
    <w:basedOn w:val="1"/>
    <w:link w:val="94"/>
    <w:qFormat/>
    <w:uiPriority w:val="0"/>
    <w:pPr>
      <w:spacing w:before="156" w:beforeLines="50" w:after="156" w:afterLines="50" w:line="400" w:lineRule="exact"/>
    </w:pPr>
    <w:rPr>
      <w:rFonts w:ascii="宋体" w:hAnsiTheme="minorHAnsi" w:cstheme="minorBidi"/>
      <w:sz w:val="24"/>
    </w:rPr>
  </w:style>
  <w:style w:type="paragraph" w:styleId="23">
    <w:name w:val="Date"/>
    <w:basedOn w:val="1"/>
    <w:next w:val="1"/>
    <w:link w:val="67"/>
    <w:qFormat/>
    <w:uiPriority w:val="0"/>
    <w:pPr>
      <w:ind w:left="2500" w:leftChars="2500"/>
    </w:pPr>
    <w:rPr>
      <w:rFonts w:eastAsia="楷体_GB2312" w:asciiTheme="minorHAnsi" w:hAnsiTheme="minorHAnsi" w:cstheme="minorBidi"/>
      <w:sz w:val="32"/>
      <w:szCs w:val="22"/>
    </w:rPr>
  </w:style>
  <w:style w:type="paragraph" w:styleId="24">
    <w:name w:val="Body Text Indent 2"/>
    <w:basedOn w:val="1"/>
    <w:link w:val="90"/>
    <w:qFormat/>
    <w:uiPriority w:val="0"/>
    <w:pPr>
      <w:snapToGrid w:val="0"/>
      <w:ind w:firstLine="542" w:firstLineChars="225"/>
    </w:pPr>
    <w:rPr>
      <w:rFonts w:ascii="仿宋_GB2312" w:hAnsi="宋体" w:cs="Arial" w:eastAsiaTheme="minorEastAsia"/>
      <w:b/>
      <w:bCs/>
      <w:color w:val="000000"/>
      <w:sz w:val="24"/>
    </w:rPr>
  </w:style>
  <w:style w:type="paragraph" w:styleId="25">
    <w:name w:val="endnote text"/>
    <w:basedOn w:val="1"/>
    <w:link w:val="61"/>
    <w:qFormat/>
    <w:uiPriority w:val="0"/>
    <w:pPr>
      <w:snapToGrid w:val="0"/>
      <w:jc w:val="left"/>
    </w:pPr>
    <w:rPr>
      <w:rFonts w:asciiTheme="minorHAnsi" w:hAnsiTheme="minorHAnsi" w:eastAsiaTheme="minorEastAsia" w:cstheme="minorBidi"/>
    </w:rPr>
  </w:style>
  <w:style w:type="paragraph" w:styleId="26">
    <w:name w:val="Balloon Text"/>
    <w:basedOn w:val="1"/>
    <w:link w:val="83"/>
    <w:qFormat/>
    <w:uiPriority w:val="0"/>
    <w:rPr>
      <w:rFonts w:asciiTheme="minorHAnsi" w:hAnsiTheme="minorHAnsi" w:eastAsiaTheme="minorEastAsia" w:cstheme="minorBidi"/>
      <w:sz w:val="18"/>
      <w:szCs w:val="18"/>
    </w:rPr>
  </w:style>
  <w:style w:type="paragraph" w:styleId="27">
    <w:name w:val="footer"/>
    <w:basedOn w:val="1"/>
    <w:link w:val="46"/>
    <w:unhideWhenUsed/>
    <w:qFormat/>
    <w:uiPriority w:val="0"/>
    <w:pPr>
      <w:tabs>
        <w:tab w:val="center" w:pos="4153"/>
        <w:tab w:val="right" w:pos="8306"/>
      </w:tabs>
      <w:snapToGrid w:val="0"/>
      <w:jc w:val="left"/>
    </w:pPr>
    <w:rPr>
      <w:sz w:val="18"/>
      <w:szCs w:val="18"/>
    </w:rPr>
  </w:style>
  <w:style w:type="paragraph" w:styleId="28">
    <w:name w:val="header"/>
    <w:basedOn w:val="1"/>
    <w:link w:val="45"/>
    <w:unhideWhenUsed/>
    <w:qFormat/>
    <w:uiPriority w:val="0"/>
    <w:pPr>
      <w:pBdr>
        <w:bottom w:val="single" w:color="auto" w:sz="6" w:space="1"/>
      </w:pBdr>
      <w:tabs>
        <w:tab w:val="center" w:pos="4153"/>
        <w:tab w:val="right" w:pos="8306"/>
      </w:tabs>
      <w:snapToGrid w:val="0"/>
      <w:jc w:val="center"/>
    </w:pPr>
    <w:rPr>
      <w:sz w:val="18"/>
      <w:szCs w:val="18"/>
    </w:rPr>
  </w:style>
  <w:style w:type="paragraph" w:styleId="29">
    <w:name w:val="Subtitle"/>
    <w:basedOn w:val="1"/>
    <w:next w:val="1"/>
    <w:link w:val="64"/>
    <w:qFormat/>
    <w:uiPriority w:val="0"/>
    <w:pPr>
      <w:spacing w:before="240" w:after="60" w:line="312" w:lineRule="auto"/>
      <w:jc w:val="center"/>
      <w:outlineLvl w:val="1"/>
    </w:pPr>
    <w:rPr>
      <w:rFonts w:ascii="Cambria" w:hAnsi="Cambria" w:eastAsiaTheme="minorEastAsia" w:cstheme="minorBidi"/>
      <w:b/>
      <w:bCs/>
      <w:kern w:val="28"/>
      <w:sz w:val="32"/>
      <w:szCs w:val="32"/>
    </w:rPr>
  </w:style>
  <w:style w:type="paragraph" w:styleId="30">
    <w:name w:val="List"/>
    <w:basedOn w:val="1"/>
    <w:uiPriority w:val="0"/>
    <w:pPr>
      <w:ind w:left="200" w:hanging="200" w:hangingChars="200"/>
    </w:pPr>
    <w:rPr>
      <w:sz w:val="28"/>
    </w:rPr>
  </w:style>
  <w:style w:type="paragraph" w:styleId="31">
    <w:name w:val="footnote text"/>
    <w:basedOn w:val="1"/>
    <w:link w:val="56"/>
    <w:qFormat/>
    <w:uiPriority w:val="0"/>
    <w:pPr>
      <w:snapToGrid w:val="0"/>
      <w:jc w:val="left"/>
    </w:pPr>
    <w:rPr>
      <w:rFonts w:asciiTheme="minorHAnsi" w:hAnsiTheme="minorHAnsi" w:eastAsiaTheme="minorEastAsia" w:cstheme="minorBidi"/>
      <w:sz w:val="18"/>
      <w:szCs w:val="18"/>
    </w:rPr>
  </w:style>
  <w:style w:type="paragraph" w:styleId="32">
    <w:name w:val="Body Text Indent 3"/>
    <w:basedOn w:val="1"/>
    <w:link w:val="101"/>
    <w:qFormat/>
    <w:uiPriority w:val="0"/>
    <w:pPr>
      <w:snapToGrid w:val="0"/>
      <w:ind w:firstLine="480"/>
      <w:jc w:val="left"/>
    </w:pPr>
    <w:rPr>
      <w:rFonts w:ascii="仿宋_GB2312" w:hAnsi="宋体" w:eastAsia="仿宋_GB2312" w:cstheme="minorBidi"/>
      <w:color w:val="000000"/>
      <w:sz w:val="24"/>
    </w:rPr>
  </w:style>
  <w:style w:type="paragraph" w:styleId="33">
    <w:name w:val="table of figures"/>
    <w:basedOn w:val="1"/>
    <w:next w:val="1"/>
    <w:qFormat/>
    <w:uiPriority w:val="99"/>
    <w:pPr>
      <w:spacing w:line="480" w:lineRule="auto"/>
      <w:ind w:left="200" w:leftChars="200"/>
    </w:pPr>
  </w:style>
  <w:style w:type="paragraph" w:styleId="34">
    <w:name w:val="Body Text 2"/>
    <w:basedOn w:val="1"/>
    <w:link w:val="79"/>
    <w:qFormat/>
    <w:uiPriority w:val="0"/>
    <w:pPr>
      <w:widowControl/>
      <w:snapToGrid w:val="0"/>
      <w:spacing w:before="50" w:after="156" w:afterLines="50" w:line="400" w:lineRule="exact"/>
      <w:jc w:val="left"/>
    </w:pPr>
    <w:rPr>
      <w:rFonts w:ascii="宋体" w:hAnsi="宋体" w:eastAsiaTheme="minorEastAsia" w:cstheme="minorBidi"/>
      <w:color w:val="000000"/>
      <w:sz w:val="24"/>
    </w:rPr>
  </w:style>
  <w:style w:type="paragraph" w:styleId="35">
    <w:name w:val="Normal (Web)"/>
    <w:basedOn w:val="1"/>
    <w:qFormat/>
    <w:uiPriority w:val="0"/>
    <w:pPr>
      <w:widowControl/>
      <w:spacing w:before="100" w:beforeAutospacing="1" w:after="100" w:afterAutospacing="1"/>
      <w:jc w:val="left"/>
    </w:pPr>
    <w:rPr>
      <w:kern w:val="0"/>
      <w:sz w:val="24"/>
    </w:rPr>
  </w:style>
  <w:style w:type="paragraph" w:styleId="36">
    <w:name w:val="annotation subject"/>
    <w:basedOn w:val="17"/>
    <w:next w:val="17"/>
    <w:link w:val="93"/>
    <w:unhideWhenUsed/>
    <w:qFormat/>
    <w:uiPriority w:val="99"/>
    <w:rPr>
      <w:b/>
      <w:bCs/>
      <w:szCs w:val="24"/>
    </w:rPr>
  </w:style>
  <w:style w:type="table" w:styleId="38">
    <w:name w:val="Table Grid"/>
    <w:basedOn w:val="37"/>
    <w:qFormat/>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qFormat/>
    <w:uiPriority w:val="0"/>
    <w:rPr>
      <w:b/>
      <w:bCs/>
    </w:rPr>
  </w:style>
  <w:style w:type="character" w:styleId="41">
    <w:name w:val="page number"/>
    <w:basedOn w:val="39"/>
    <w:qFormat/>
    <w:uiPriority w:val="0"/>
  </w:style>
  <w:style w:type="character" w:styleId="42">
    <w:name w:val="FollowedHyperlink"/>
    <w:qFormat/>
    <w:uiPriority w:val="0"/>
    <w:rPr>
      <w:color w:val="800080"/>
      <w:u w:val="single"/>
    </w:rPr>
  </w:style>
  <w:style w:type="character" w:styleId="43">
    <w:name w:val="Hyperlink"/>
    <w:qFormat/>
    <w:uiPriority w:val="99"/>
    <w:rPr>
      <w:color w:val="0000FF"/>
      <w:u w:val="single"/>
    </w:rPr>
  </w:style>
  <w:style w:type="character" w:styleId="44">
    <w:name w:val="annotation reference"/>
    <w:qFormat/>
    <w:uiPriority w:val="0"/>
    <w:rPr>
      <w:sz w:val="21"/>
      <w:szCs w:val="21"/>
    </w:rPr>
  </w:style>
  <w:style w:type="character" w:customStyle="1" w:styleId="45">
    <w:name w:val="页眉 Char"/>
    <w:basedOn w:val="39"/>
    <w:link w:val="28"/>
    <w:qFormat/>
    <w:uiPriority w:val="99"/>
    <w:rPr>
      <w:sz w:val="18"/>
      <w:szCs w:val="18"/>
    </w:rPr>
  </w:style>
  <w:style w:type="character" w:customStyle="1" w:styleId="46">
    <w:name w:val="页脚 Char"/>
    <w:basedOn w:val="39"/>
    <w:link w:val="27"/>
    <w:qFormat/>
    <w:uiPriority w:val="99"/>
    <w:rPr>
      <w:sz w:val="18"/>
      <w:szCs w:val="18"/>
    </w:rPr>
  </w:style>
  <w:style w:type="character" w:customStyle="1" w:styleId="47">
    <w:name w:val="标题 1 Char"/>
    <w:basedOn w:val="39"/>
    <w:qFormat/>
    <w:uiPriority w:val="9"/>
    <w:rPr>
      <w:rFonts w:ascii="Calibri" w:hAnsi="Calibri" w:eastAsia="宋体" w:cs="Times New Roman"/>
      <w:b/>
      <w:bCs/>
      <w:kern w:val="44"/>
      <w:sz w:val="44"/>
      <w:szCs w:val="44"/>
    </w:rPr>
  </w:style>
  <w:style w:type="character" w:customStyle="1" w:styleId="48">
    <w:name w:val="标题 2 Char"/>
    <w:basedOn w:val="39"/>
    <w:semiHidden/>
    <w:qFormat/>
    <w:uiPriority w:val="9"/>
    <w:rPr>
      <w:rFonts w:asciiTheme="majorHAnsi" w:hAnsiTheme="majorHAnsi" w:eastAsiaTheme="majorEastAsia" w:cstheme="majorBidi"/>
      <w:b/>
      <w:bCs/>
      <w:sz w:val="32"/>
      <w:szCs w:val="32"/>
    </w:rPr>
  </w:style>
  <w:style w:type="character" w:customStyle="1" w:styleId="49">
    <w:name w:val="标题 3 Char"/>
    <w:basedOn w:val="39"/>
    <w:semiHidden/>
    <w:qFormat/>
    <w:uiPriority w:val="9"/>
    <w:rPr>
      <w:rFonts w:ascii="Calibri" w:hAnsi="Calibri" w:eastAsia="宋体" w:cs="Times New Roman"/>
      <w:b/>
      <w:bCs/>
      <w:sz w:val="32"/>
      <w:szCs w:val="32"/>
    </w:rPr>
  </w:style>
  <w:style w:type="character" w:customStyle="1" w:styleId="50">
    <w:name w:val="标题 4 Char"/>
    <w:basedOn w:val="39"/>
    <w:qFormat/>
    <w:uiPriority w:val="0"/>
    <w:rPr>
      <w:rFonts w:asciiTheme="majorHAnsi" w:hAnsiTheme="majorHAnsi" w:eastAsiaTheme="majorEastAsia" w:cstheme="majorBidi"/>
      <w:b/>
      <w:bCs/>
      <w:sz w:val="28"/>
      <w:szCs w:val="28"/>
    </w:rPr>
  </w:style>
  <w:style w:type="character" w:customStyle="1" w:styleId="51">
    <w:name w:val="标题 5 Char"/>
    <w:basedOn w:val="39"/>
    <w:semiHidden/>
    <w:qFormat/>
    <w:uiPriority w:val="9"/>
    <w:rPr>
      <w:rFonts w:ascii="Calibri" w:hAnsi="Calibri" w:eastAsia="宋体" w:cs="Times New Roman"/>
      <w:b/>
      <w:bCs/>
      <w:sz w:val="28"/>
      <w:szCs w:val="28"/>
    </w:rPr>
  </w:style>
  <w:style w:type="character" w:customStyle="1" w:styleId="52">
    <w:name w:val="标题 6 Char"/>
    <w:basedOn w:val="39"/>
    <w:semiHidden/>
    <w:uiPriority w:val="9"/>
    <w:rPr>
      <w:rFonts w:asciiTheme="majorHAnsi" w:hAnsiTheme="majorHAnsi" w:eastAsiaTheme="majorEastAsia" w:cstheme="majorBidi"/>
      <w:b/>
      <w:bCs/>
      <w:sz w:val="24"/>
      <w:szCs w:val="24"/>
    </w:rPr>
  </w:style>
  <w:style w:type="character" w:customStyle="1" w:styleId="53">
    <w:name w:val="标题 7 Char"/>
    <w:basedOn w:val="39"/>
    <w:semiHidden/>
    <w:qFormat/>
    <w:uiPriority w:val="9"/>
    <w:rPr>
      <w:rFonts w:ascii="Calibri" w:hAnsi="Calibri" w:eastAsia="宋体" w:cs="Times New Roman"/>
      <w:b/>
      <w:bCs/>
      <w:sz w:val="24"/>
      <w:szCs w:val="24"/>
    </w:rPr>
  </w:style>
  <w:style w:type="character" w:customStyle="1" w:styleId="54">
    <w:name w:val="标题 8 Char"/>
    <w:basedOn w:val="39"/>
    <w:semiHidden/>
    <w:qFormat/>
    <w:uiPriority w:val="9"/>
    <w:rPr>
      <w:rFonts w:asciiTheme="majorHAnsi" w:hAnsiTheme="majorHAnsi" w:eastAsiaTheme="majorEastAsia" w:cstheme="majorBidi"/>
      <w:sz w:val="24"/>
      <w:szCs w:val="24"/>
    </w:rPr>
  </w:style>
  <w:style w:type="character" w:customStyle="1" w:styleId="55">
    <w:name w:val="标题 9 Char"/>
    <w:basedOn w:val="39"/>
    <w:semiHidden/>
    <w:qFormat/>
    <w:uiPriority w:val="9"/>
    <w:rPr>
      <w:rFonts w:asciiTheme="majorHAnsi" w:hAnsiTheme="majorHAnsi" w:eastAsiaTheme="majorEastAsia" w:cstheme="majorBidi"/>
      <w:szCs w:val="21"/>
    </w:rPr>
  </w:style>
  <w:style w:type="character" w:customStyle="1" w:styleId="56">
    <w:name w:val="脚注文本 Char1"/>
    <w:link w:val="31"/>
    <w:qFormat/>
    <w:uiPriority w:val="0"/>
    <w:rPr>
      <w:sz w:val="18"/>
      <w:szCs w:val="18"/>
    </w:rPr>
  </w:style>
  <w:style w:type="character" w:customStyle="1" w:styleId="57">
    <w:name w:val="表-图 Char"/>
    <w:link w:val="58"/>
    <w:qFormat/>
    <w:uiPriority w:val="0"/>
    <w:rPr>
      <w:rFonts w:ascii="楷体_GB2312" w:hAnsi="楷体_GB2312"/>
      <w:iCs/>
      <w:color w:val="000000"/>
      <w:szCs w:val="21"/>
      <w:lang w:val="en-US" w:eastAsia="zh-CN"/>
    </w:rPr>
  </w:style>
  <w:style w:type="paragraph" w:customStyle="1" w:styleId="58">
    <w:name w:val="表-图"/>
    <w:basedOn w:val="1"/>
    <w:link w:val="57"/>
    <w:qFormat/>
    <w:uiPriority w:val="0"/>
    <w:pPr>
      <w:widowControl/>
      <w:jc w:val="center"/>
    </w:pPr>
    <w:rPr>
      <w:rFonts w:ascii="楷体_GB2312" w:hAnsi="楷体_GB2312" w:eastAsiaTheme="minorEastAsia" w:cstheme="minorBidi"/>
      <w:iCs/>
      <w:color w:val="000000"/>
      <w:szCs w:val="21"/>
    </w:rPr>
  </w:style>
  <w:style w:type="character" w:customStyle="1" w:styleId="59">
    <w:name w:val="标题 3 Char1"/>
    <w:link w:val="5"/>
    <w:qFormat/>
    <w:uiPriority w:val="0"/>
    <w:rPr>
      <w:rFonts w:ascii="楷体_GB2312" w:hAnsi="楷体_GB2312" w:eastAsia="宋体" w:cs="Times New Roman"/>
      <w:b/>
      <w:color w:val="000000"/>
      <w:sz w:val="21"/>
      <w:szCs w:val="21"/>
    </w:rPr>
  </w:style>
  <w:style w:type="character" w:customStyle="1" w:styleId="60">
    <w:name w:val="页脚 字符"/>
    <w:qFormat/>
    <w:uiPriority w:val="0"/>
    <w:rPr>
      <w:rFonts w:eastAsia="黑体"/>
      <w:snapToGrid w:val="0"/>
      <w:sz w:val="18"/>
      <w:szCs w:val="18"/>
      <w:lang w:val="en-US" w:eastAsia="zh-CN" w:bidi="ar-SA"/>
    </w:rPr>
  </w:style>
  <w:style w:type="character" w:customStyle="1" w:styleId="61">
    <w:name w:val="尾注文本 Char1"/>
    <w:link w:val="25"/>
    <w:qFormat/>
    <w:uiPriority w:val="0"/>
    <w:rPr>
      <w:szCs w:val="24"/>
    </w:rPr>
  </w:style>
  <w:style w:type="character" w:customStyle="1" w:styleId="62">
    <w:name w:val="正文文本 Char1"/>
    <w:link w:val="2"/>
    <w:qFormat/>
    <w:uiPriority w:val="0"/>
    <w:rPr>
      <w:sz w:val="28"/>
      <w:szCs w:val="24"/>
    </w:rPr>
  </w:style>
  <w:style w:type="character" w:customStyle="1" w:styleId="63">
    <w:name w:val="标题 9 Char1"/>
    <w:link w:val="12"/>
    <w:qFormat/>
    <w:uiPriority w:val="0"/>
    <w:rPr>
      <w:rFonts w:ascii="Arial" w:hAnsi="Arial" w:eastAsia="黑体" w:cs="Times New Roman"/>
      <w:szCs w:val="20"/>
    </w:rPr>
  </w:style>
  <w:style w:type="character" w:customStyle="1" w:styleId="64">
    <w:name w:val="副标题 Char1"/>
    <w:link w:val="29"/>
    <w:qFormat/>
    <w:uiPriority w:val="0"/>
    <w:rPr>
      <w:rFonts w:ascii="Cambria" w:hAnsi="Cambria"/>
      <w:b/>
      <w:bCs/>
      <w:kern w:val="28"/>
      <w:sz w:val="32"/>
      <w:szCs w:val="32"/>
    </w:rPr>
  </w:style>
  <w:style w:type="character" w:customStyle="1" w:styleId="65">
    <w:name w:val="标题 4 Char1"/>
    <w:link w:val="7"/>
    <w:qFormat/>
    <w:uiPriority w:val="0"/>
    <w:rPr>
      <w:rFonts w:ascii="楷体_GB2312" w:hAnsi="楷体_GB2312" w:eastAsia="宋体" w:cs="Times New Roman"/>
      <w:b/>
      <w:color w:val="000000"/>
      <w:sz w:val="21"/>
      <w:szCs w:val="28"/>
    </w:rPr>
  </w:style>
  <w:style w:type="character" w:customStyle="1" w:styleId="66">
    <w:name w:val="m_391"/>
    <w:qFormat/>
    <w:uiPriority w:val="0"/>
  </w:style>
  <w:style w:type="character" w:customStyle="1" w:styleId="67">
    <w:name w:val="日期 Char1"/>
    <w:link w:val="23"/>
    <w:qFormat/>
    <w:uiPriority w:val="0"/>
    <w:rPr>
      <w:rFonts w:eastAsia="楷体_GB2312"/>
      <w:sz w:val="32"/>
    </w:rPr>
  </w:style>
  <w:style w:type="character" w:customStyle="1" w:styleId="68">
    <w:name w:val="小标题4级 字符"/>
    <w:link w:val="69"/>
    <w:qFormat/>
    <w:uiPriority w:val="0"/>
    <w:rPr>
      <w:rFonts w:ascii="楷体_GB2312" w:hAnsi="楷体_GB2312"/>
      <w:color w:val="000000"/>
      <w:szCs w:val="24"/>
    </w:rPr>
  </w:style>
  <w:style w:type="paragraph" w:customStyle="1" w:styleId="69">
    <w:name w:val="小标题4级"/>
    <w:basedOn w:val="1"/>
    <w:link w:val="68"/>
    <w:qFormat/>
    <w:uiPriority w:val="0"/>
    <w:pPr>
      <w:widowControl/>
      <w:numPr>
        <w:ilvl w:val="0"/>
        <w:numId w:val="3"/>
      </w:numPr>
      <w:tabs>
        <w:tab w:val="left" w:pos="240"/>
      </w:tabs>
    </w:pPr>
    <w:rPr>
      <w:rFonts w:ascii="楷体_GB2312" w:hAnsi="楷体_GB2312" w:eastAsiaTheme="minorEastAsia" w:cstheme="minorBidi"/>
      <w:color w:val="000000"/>
    </w:rPr>
  </w:style>
  <w:style w:type="character" w:customStyle="1" w:styleId="70">
    <w:name w:val="标题 6 Char1"/>
    <w:link w:val="9"/>
    <w:qFormat/>
    <w:uiPriority w:val="99"/>
    <w:rPr>
      <w:rFonts w:ascii="楷体_GB2312" w:hAnsi="楷体_GB2312" w:eastAsia="宋体" w:cs="Times New Roman"/>
      <w:bCs/>
      <w:color w:val="000000"/>
      <w:sz w:val="21"/>
      <w:szCs w:val="24"/>
    </w:rPr>
  </w:style>
  <w:style w:type="character" w:customStyle="1" w:styleId="71">
    <w:name w:val="批注文字 Char"/>
    <w:qFormat/>
    <w:uiPriority w:val="0"/>
    <w:rPr>
      <w:kern w:val="2"/>
      <w:sz w:val="21"/>
    </w:rPr>
  </w:style>
  <w:style w:type="character" w:customStyle="1" w:styleId="72">
    <w:name w:val="正文缩进2字符 Char Char"/>
    <w:link w:val="73"/>
    <w:qFormat/>
    <w:uiPriority w:val="0"/>
    <w:rPr>
      <w:sz w:val="24"/>
    </w:rPr>
  </w:style>
  <w:style w:type="paragraph" w:customStyle="1" w:styleId="73">
    <w:name w:val="正文缩进2字符"/>
    <w:basedOn w:val="1"/>
    <w:link w:val="72"/>
    <w:qFormat/>
    <w:uiPriority w:val="0"/>
    <w:pPr>
      <w:ind w:firstLine="480"/>
    </w:pPr>
    <w:rPr>
      <w:rFonts w:asciiTheme="minorHAnsi" w:hAnsiTheme="minorHAnsi" w:eastAsiaTheme="minorEastAsia" w:cstheme="minorBidi"/>
      <w:sz w:val="24"/>
      <w:szCs w:val="22"/>
    </w:rPr>
  </w:style>
  <w:style w:type="character" w:customStyle="1" w:styleId="74">
    <w:name w:val="标题 5 Char1"/>
    <w:link w:val="8"/>
    <w:qFormat/>
    <w:uiPriority w:val="0"/>
    <w:rPr>
      <w:rFonts w:ascii="楷体_GB2312" w:hAnsi="Calibri" w:eastAsia="宋体" w:cs="Times New Roman"/>
      <w:b/>
      <w:bCs/>
      <w:color w:val="000000"/>
      <w:sz w:val="21"/>
      <w:szCs w:val="40"/>
    </w:rPr>
  </w:style>
  <w:style w:type="character" w:customStyle="1" w:styleId="75">
    <w:name w:val="正文文本缩进 3 Char"/>
    <w:qFormat/>
    <w:uiPriority w:val="0"/>
    <w:rPr>
      <w:rFonts w:ascii="仿宋_GB2312" w:hAnsi="宋体" w:eastAsia="仿宋_GB2312"/>
      <w:color w:val="000000"/>
      <w:kern w:val="2"/>
      <w:sz w:val="24"/>
      <w:szCs w:val="24"/>
    </w:rPr>
  </w:style>
  <w:style w:type="character" w:customStyle="1" w:styleId="76">
    <w:name w:val="小标题3级 Char"/>
    <w:link w:val="77"/>
    <w:qFormat/>
    <w:uiPriority w:val="0"/>
    <w:rPr>
      <w:rFonts w:ascii="宋体" w:hAnsi="宋体" w:cs="微软雅黑"/>
      <w:bCs/>
      <w:color w:val="000000"/>
      <w:szCs w:val="24"/>
    </w:rPr>
  </w:style>
  <w:style w:type="paragraph" w:customStyle="1" w:styleId="77">
    <w:name w:val="小标题3级"/>
    <w:basedOn w:val="78"/>
    <w:link w:val="76"/>
    <w:qFormat/>
    <w:uiPriority w:val="0"/>
    <w:pPr>
      <w:widowControl/>
      <w:numPr>
        <w:ilvl w:val="0"/>
        <w:numId w:val="4"/>
      </w:numPr>
      <w:tabs>
        <w:tab w:val="left" w:pos="105"/>
      </w:tabs>
      <w:ind w:left="0" w:firstLine="420"/>
    </w:pPr>
    <w:rPr>
      <w:rFonts w:ascii="宋体" w:hAnsi="宋体" w:cs="微软雅黑" w:eastAsiaTheme="minorEastAsia"/>
      <w:bCs/>
      <w:color w:val="000000"/>
    </w:rPr>
  </w:style>
  <w:style w:type="paragraph" w:customStyle="1" w:styleId="78">
    <w:name w:val="列出段落2"/>
    <w:basedOn w:val="1"/>
    <w:qFormat/>
    <w:uiPriority w:val="0"/>
    <w:pPr>
      <w:ind w:firstLine="420"/>
    </w:pPr>
    <w:rPr>
      <w:rFonts w:cs="Calibri"/>
    </w:rPr>
  </w:style>
  <w:style w:type="character" w:customStyle="1" w:styleId="79">
    <w:name w:val="正文文本 2 Char1"/>
    <w:link w:val="34"/>
    <w:uiPriority w:val="0"/>
    <w:rPr>
      <w:rFonts w:ascii="宋体" w:hAnsi="宋体"/>
      <w:color w:val="000000"/>
      <w:sz w:val="24"/>
      <w:szCs w:val="24"/>
    </w:rPr>
  </w:style>
  <w:style w:type="character" w:customStyle="1" w:styleId="80">
    <w:name w:val="font14zd"/>
    <w:basedOn w:val="39"/>
    <w:qFormat/>
    <w:uiPriority w:val="0"/>
  </w:style>
  <w:style w:type="character" w:customStyle="1" w:styleId="81">
    <w:name w:val="m_51"/>
    <w:qFormat/>
    <w:uiPriority w:val="0"/>
  </w:style>
  <w:style w:type="character" w:customStyle="1" w:styleId="82">
    <w:name w:val="标题 2 Char1"/>
    <w:link w:val="4"/>
    <w:qFormat/>
    <w:uiPriority w:val="0"/>
    <w:rPr>
      <w:rFonts w:ascii="微软雅黑" w:hAnsi="微软雅黑" w:eastAsia="微软雅黑" w:cs="Times New Roman"/>
      <w:b/>
      <w:bCs/>
      <w:color w:val="000000"/>
      <w:sz w:val="21"/>
    </w:rPr>
  </w:style>
  <w:style w:type="character" w:customStyle="1" w:styleId="83">
    <w:name w:val="批注框文本 Char1"/>
    <w:link w:val="26"/>
    <w:uiPriority w:val="0"/>
    <w:rPr>
      <w:sz w:val="18"/>
      <w:szCs w:val="18"/>
    </w:rPr>
  </w:style>
  <w:style w:type="character" w:customStyle="1" w:styleId="84">
    <w:name w:val="标题 7 Char1"/>
    <w:link w:val="10"/>
    <w:uiPriority w:val="0"/>
    <w:rPr>
      <w:rFonts w:ascii="Calibri" w:hAnsi="Calibri" w:eastAsia="宋体" w:cs="Times New Roman"/>
      <w:b/>
      <w:szCs w:val="20"/>
    </w:rPr>
  </w:style>
  <w:style w:type="character" w:customStyle="1" w:styleId="85">
    <w:name w:val="m_461"/>
    <w:qFormat/>
    <w:uiPriority w:val="0"/>
  </w:style>
  <w:style w:type="character" w:customStyle="1" w:styleId="86">
    <w:name w:val="m_491"/>
    <w:uiPriority w:val="0"/>
  </w:style>
  <w:style w:type="character" w:customStyle="1" w:styleId="87">
    <w:name w:val="正文文本缩进 Char1"/>
    <w:link w:val="19"/>
    <w:uiPriority w:val="0"/>
    <w:rPr>
      <w:rFonts w:ascii="宋体"/>
      <w:spacing w:val="-4"/>
      <w:sz w:val="18"/>
    </w:rPr>
  </w:style>
  <w:style w:type="character" w:customStyle="1" w:styleId="88">
    <w:name w:val="样式 标题 1合同标题卷标题H1h1Level 1 Topic HeadingH11H12H111H13H1... Char"/>
    <w:qFormat/>
    <w:uiPriority w:val="0"/>
    <w:rPr>
      <w:rFonts w:ascii="宋体" w:hAnsi="宋体" w:eastAsia="宋体"/>
      <w:b/>
      <w:bCs/>
      <w:kern w:val="44"/>
      <w:sz w:val="24"/>
      <w:szCs w:val="44"/>
      <w:lang w:val="en-US" w:eastAsia="zh-CN" w:bidi="ar-SA"/>
    </w:rPr>
  </w:style>
  <w:style w:type="character" w:customStyle="1" w:styleId="89">
    <w:name w:val="未处理的提及1"/>
    <w:unhideWhenUsed/>
    <w:uiPriority w:val="99"/>
    <w:rPr>
      <w:color w:val="605E5C"/>
      <w:shd w:val="clear" w:color="auto" w:fill="E1DFDD"/>
    </w:rPr>
  </w:style>
  <w:style w:type="character" w:customStyle="1" w:styleId="90">
    <w:name w:val="正文文本缩进 2 Char1"/>
    <w:link w:val="24"/>
    <w:uiPriority w:val="0"/>
    <w:rPr>
      <w:rFonts w:ascii="仿宋_GB2312" w:hAnsi="宋体" w:cs="Arial"/>
      <w:b/>
      <w:bCs/>
      <w:color w:val="000000"/>
      <w:sz w:val="24"/>
      <w:szCs w:val="24"/>
    </w:rPr>
  </w:style>
  <w:style w:type="character" w:customStyle="1" w:styleId="91">
    <w:name w:val="页眉 字符"/>
    <w:uiPriority w:val="0"/>
    <w:rPr>
      <w:rFonts w:eastAsia="仿宋_GB2312"/>
      <w:kern w:val="2"/>
      <w:sz w:val="18"/>
    </w:rPr>
  </w:style>
  <w:style w:type="character" w:customStyle="1" w:styleId="92">
    <w:name w:val="批注文字 Char2"/>
    <w:link w:val="17"/>
    <w:qFormat/>
    <w:uiPriority w:val="0"/>
  </w:style>
  <w:style w:type="character" w:customStyle="1" w:styleId="93">
    <w:name w:val="批注主题 Char1"/>
    <w:link w:val="36"/>
    <w:qFormat/>
    <w:uiPriority w:val="99"/>
    <w:rPr>
      <w:b/>
      <w:bCs/>
      <w:szCs w:val="24"/>
    </w:rPr>
  </w:style>
  <w:style w:type="character" w:customStyle="1" w:styleId="94">
    <w:name w:val="纯文本 Char1"/>
    <w:link w:val="22"/>
    <w:qFormat/>
    <w:uiPriority w:val="0"/>
    <w:rPr>
      <w:rFonts w:ascii="宋体" w:eastAsia="宋体"/>
      <w:sz w:val="24"/>
      <w:szCs w:val="24"/>
    </w:rPr>
  </w:style>
  <w:style w:type="character" w:customStyle="1" w:styleId="95">
    <w:name w:val="m_01"/>
    <w:qFormat/>
    <w:uiPriority w:val="0"/>
  </w:style>
  <w:style w:type="character" w:customStyle="1" w:styleId="96">
    <w:name w:val="表格正文 Char"/>
    <w:link w:val="97"/>
    <w:qFormat/>
    <w:uiPriority w:val="0"/>
    <w:rPr>
      <w:color w:val="000000"/>
      <w:szCs w:val="24"/>
      <w:lang w:val="zh-CN" w:eastAsia="zh-CN"/>
    </w:rPr>
  </w:style>
  <w:style w:type="paragraph" w:customStyle="1" w:styleId="97">
    <w:name w:val="表格正文"/>
    <w:basedOn w:val="1"/>
    <w:link w:val="96"/>
    <w:qFormat/>
    <w:uiPriority w:val="0"/>
    <w:pPr>
      <w:widowControl/>
    </w:pPr>
    <w:rPr>
      <w:rFonts w:asciiTheme="minorHAnsi" w:hAnsiTheme="minorHAnsi" w:eastAsiaTheme="minorEastAsia" w:cstheme="minorBidi"/>
      <w:color w:val="000000"/>
      <w:lang w:val="zh-CN"/>
    </w:rPr>
  </w:style>
  <w:style w:type="character" w:customStyle="1" w:styleId="98">
    <w:name w:val="标题 8 Char1"/>
    <w:link w:val="11"/>
    <w:qFormat/>
    <w:uiPriority w:val="0"/>
    <w:rPr>
      <w:rFonts w:ascii="Arial" w:hAnsi="Arial" w:eastAsia="黑体" w:cs="Times New Roman"/>
      <w:szCs w:val="20"/>
    </w:rPr>
  </w:style>
  <w:style w:type="character" w:customStyle="1" w:styleId="99">
    <w:name w:val="标题 1 Char1"/>
    <w:link w:val="3"/>
    <w:qFormat/>
    <w:uiPriority w:val="0"/>
    <w:rPr>
      <w:rFonts w:ascii="Calibri" w:hAnsi="Calibri" w:eastAsia="宋体" w:cs="Times New Roman"/>
      <w:b/>
      <w:bCs/>
      <w:kern w:val="44"/>
      <w:sz w:val="30"/>
      <w:szCs w:val="44"/>
    </w:rPr>
  </w:style>
  <w:style w:type="character" w:customStyle="1" w:styleId="100">
    <w:name w:val="正文文本 3 Char1"/>
    <w:link w:val="18"/>
    <w:qFormat/>
    <w:uiPriority w:val="0"/>
    <w:rPr>
      <w:rFonts w:hAnsi="宋体" w:eastAsia="仿宋_GB2312"/>
      <w:b/>
      <w:bCs/>
      <w:sz w:val="24"/>
    </w:rPr>
  </w:style>
  <w:style w:type="character" w:customStyle="1" w:styleId="101">
    <w:name w:val="正文文本缩进 3 Char2"/>
    <w:link w:val="32"/>
    <w:qFormat/>
    <w:uiPriority w:val="0"/>
    <w:rPr>
      <w:rFonts w:ascii="仿宋_GB2312" w:hAnsi="宋体" w:eastAsia="仿宋_GB2312"/>
      <w:color w:val="000000"/>
      <w:sz w:val="24"/>
      <w:szCs w:val="24"/>
    </w:rPr>
  </w:style>
  <w:style w:type="character" w:customStyle="1" w:styleId="102">
    <w:name w:val="m_171"/>
    <w:qFormat/>
    <w:uiPriority w:val="0"/>
  </w:style>
  <w:style w:type="paragraph" w:customStyle="1" w:styleId="103">
    <w:name w:val="Char1"/>
    <w:basedOn w:val="1"/>
    <w:qFormat/>
    <w:uiPriority w:val="0"/>
    <w:rPr>
      <w:sz w:val="24"/>
      <w:szCs w:val="20"/>
    </w:rPr>
  </w:style>
  <w:style w:type="character" w:customStyle="1" w:styleId="104">
    <w:name w:val="正文文本缩进 Char"/>
    <w:basedOn w:val="39"/>
    <w:semiHidden/>
    <w:qFormat/>
    <w:uiPriority w:val="99"/>
    <w:rPr>
      <w:rFonts w:ascii="Calibri" w:hAnsi="Calibri" w:eastAsia="宋体" w:cs="Times New Roman"/>
      <w:szCs w:val="24"/>
    </w:rPr>
  </w:style>
  <w:style w:type="paragraph" w:customStyle="1" w:styleId="105">
    <w:name w:val="xl66"/>
    <w:basedOn w:val="1"/>
    <w:qFormat/>
    <w:uiPriority w:val="0"/>
    <w:pPr>
      <w:widowControl/>
      <w:pBdr>
        <w:left w:val="single" w:color="auto" w:sz="4" w:space="0"/>
        <w:bottom w:val="single" w:color="auto" w:sz="4" w:space="0"/>
      </w:pBdr>
      <w:spacing w:before="100" w:beforeAutospacing="1" w:after="100" w:afterAutospacing="1"/>
      <w:jc w:val="center"/>
    </w:pPr>
    <w:rPr>
      <w:rFonts w:ascii="宋体" w:hAnsi="宋体"/>
      <w:kern w:val="0"/>
      <w:sz w:val="24"/>
    </w:rPr>
  </w:style>
  <w:style w:type="paragraph" w:customStyle="1" w:styleId="106">
    <w:name w:val="证文"/>
    <w:basedOn w:val="1"/>
    <w:qFormat/>
    <w:uiPriority w:val="0"/>
    <w:rPr>
      <w:sz w:val="24"/>
      <w:szCs w:val="20"/>
    </w:rPr>
  </w:style>
  <w:style w:type="character" w:customStyle="1" w:styleId="107">
    <w:name w:val="正文文本 2 Char"/>
    <w:basedOn w:val="39"/>
    <w:semiHidden/>
    <w:qFormat/>
    <w:uiPriority w:val="99"/>
    <w:rPr>
      <w:rFonts w:ascii="Calibri" w:hAnsi="Calibri" w:eastAsia="宋体" w:cs="Times New Roman"/>
      <w:szCs w:val="24"/>
    </w:rPr>
  </w:style>
  <w:style w:type="character" w:customStyle="1" w:styleId="108">
    <w:name w:val="正文文本 3 Char"/>
    <w:basedOn w:val="39"/>
    <w:semiHidden/>
    <w:qFormat/>
    <w:uiPriority w:val="99"/>
    <w:rPr>
      <w:rFonts w:ascii="Calibri" w:hAnsi="Calibri" w:eastAsia="宋体" w:cs="Times New Roman"/>
      <w:sz w:val="16"/>
      <w:szCs w:val="16"/>
    </w:rPr>
  </w:style>
  <w:style w:type="paragraph" w:customStyle="1" w:styleId="109">
    <w:name w:val="WPSOffice手动目录 1"/>
    <w:qFormat/>
    <w:uiPriority w:val="0"/>
    <w:rPr>
      <w:rFonts w:ascii="Calibri" w:hAnsi="Calibri" w:eastAsia="宋体" w:cs="Times New Roman"/>
      <w:lang w:val="en-US" w:eastAsia="zh-CN" w:bidi="ar-SA"/>
    </w:rPr>
  </w:style>
  <w:style w:type="character" w:customStyle="1" w:styleId="110">
    <w:name w:val="正文文本 Char"/>
    <w:basedOn w:val="39"/>
    <w:semiHidden/>
    <w:qFormat/>
    <w:uiPriority w:val="99"/>
    <w:rPr>
      <w:rFonts w:ascii="Calibri" w:hAnsi="Calibri" w:eastAsia="宋体" w:cs="Times New Roman"/>
      <w:szCs w:val="24"/>
    </w:rPr>
  </w:style>
  <w:style w:type="paragraph" w:customStyle="1" w:styleId="111">
    <w:name w:val="样式 标题 3 +1"/>
    <w:basedOn w:val="5"/>
    <w:qFormat/>
    <w:uiPriority w:val="0"/>
  </w:style>
  <w:style w:type="paragraph" w:customStyle="1" w:styleId="112">
    <w:name w:val="此正文"/>
    <w:basedOn w:val="1"/>
    <w:qFormat/>
    <w:uiPriority w:val="0"/>
    <w:pPr>
      <w:ind w:firstLine="200"/>
    </w:pPr>
    <w:rPr>
      <w:sz w:val="24"/>
    </w:rPr>
  </w:style>
  <w:style w:type="paragraph" w:customStyle="1" w:styleId="113">
    <w:name w:val="Table Paragraph"/>
    <w:basedOn w:val="1"/>
    <w:qFormat/>
    <w:uiPriority w:val="1"/>
    <w:rPr>
      <w:rFonts w:ascii="宋体" w:hAnsi="宋体" w:cs="宋体"/>
      <w:lang w:val="zh-CN" w:bidi="zh-CN"/>
    </w:rPr>
  </w:style>
  <w:style w:type="character" w:customStyle="1" w:styleId="114">
    <w:name w:val="正文文本缩进 3 Char1"/>
    <w:basedOn w:val="39"/>
    <w:semiHidden/>
    <w:qFormat/>
    <w:uiPriority w:val="99"/>
    <w:rPr>
      <w:rFonts w:ascii="Calibri" w:hAnsi="Calibri" w:eastAsia="宋体" w:cs="Times New Roman"/>
      <w:sz w:val="16"/>
      <w:szCs w:val="16"/>
    </w:rPr>
  </w:style>
  <w:style w:type="paragraph" w:customStyle="1" w:styleId="115">
    <w:name w:val="样式1"/>
    <w:basedOn w:val="7"/>
    <w:qFormat/>
    <w:uiPriority w:val="0"/>
  </w:style>
  <w:style w:type="paragraph" w:customStyle="1" w:styleId="116">
    <w:name w:val="正文段"/>
    <w:basedOn w:val="1"/>
    <w:qFormat/>
    <w:uiPriority w:val="0"/>
    <w:pPr>
      <w:widowControl/>
      <w:snapToGrid w:val="0"/>
      <w:spacing w:after="156" w:afterLines="50"/>
      <w:ind w:firstLine="200"/>
    </w:pPr>
    <w:rPr>
      <w:kern w:val="0"/>
      <w:sz w:val="24"/>
      <w:szCs w:val="20"/>
    </w:rPr>
  </w:style>
  <w:style w:type="paragraph" w:customStyle="1" w:styleId="117">
    <w:name w:val="列出段落1"/>
    <w:basedOn w:val="1"/>
    <w:qFormat/>
    <w:uiPriority w:val="0"/>
    <w:pPr>
      <w:ind w:firstLine="420"/>
    </w:pPr>
    <w:rPr>
      <w:szCs w:val="22"/>
    </w:rPr>
  </w:style>
  <w:style w:type="character" w:customStyle="1" w:styleId="118">
    <w:name w:val="日期 Char"/>
    <w:basedOn w:val="39"/>
    <w:semiHidden/>
    <w:qFormat/>
    <w:uiPriority w:val="99"/>
    <w:rPr>
      <w:rFonts w:ascii="Calibri" w:hAnsi="Calibri" w:eastAsia="宋体" w:cs="Times New Roman"/>
      <w:szCs w:val="24"/>
    </w:rPr>
  </w:style>
  <w:style w:type="paragraph" w:customStyle="1" w:styleId="119">
    <w:name w:val="_Style 99"/>
    <w:basedOn w:val="1"/>
    <w:next w:val="1"/>
    <w:qFormat/>
    <w:uiPriority w:val="39"/>
    <w:pPr>
      <w:ind w:left="1260"/>
      <w:jc w:val="left"/>
    </w:pPr>
    <w:rPr>
      <w:rFonts w:cs="Calibri"/>
      <w:sz w:val="18"/>
      <w:szCs w:val="18"/>
    </w:rPr>
  </w:style>
  <w:style w:type="paragraph" w:customStyle="1" w:styleId="120">
    <w:name w:val="p0"/>
    <w:basedOn w:val="1"/>
    <w:qFormat/>
    <w:uiPriority w:val="0"/>
    <w:pPr>
      <w:widowControl/>
    </w:pPr>
    <w:rPr>
      <w:rFonts w:hint="eastAsia" w:ascii="Times New Roman" w:hAnsi="Times New Roman"/>
      <w:szCs w:val="20"/>
    </w:rPr>
  </w:style>
  <w:style w:type="paragraph" w:customStyle="1" w:styleId="121">
    <w:name w:val="页脚1"/>
    <w:basedOn w:val="1"/>
    <w:qFormat/>
    <w:uiPriority w:val="0"/>
    <w:pPr>
      <w:tabs>
        <w:tab w:val="center" w:pos="4153"/>
        <w:tab w:val="right" w:pos="8306"/>
      </w:tabs>
      <w:snapToGrid w:val="0"/>
      <w:jc w:val="left"/>
    </w:pPr>
    <w:rPr>
      <w:sz w:val="18"/>
      <w:szCs w:val="18"/>
    </w:rPr>
  </w:style>
  <w:style w:type="character" w:customStyle="1" w:styleId="122">
    <w:name w:val="文档结构图 Char"/>
    <w:basedOn w:val="39"/>
    <w:link w:val="16"/>
    <w:qFormat/>
    <w:uiPriority w:val="0"/>
    <w:rPr>
      <w:rFonts w:ascii="Calibri" w:hAnsi="Calibri" w:eastAsia="宋体" w:cs="Times New Roman"/>
      <w:szCs w:val="24"/>
      <w:shd w:val="clear" w:color="auto" w:fill="000080"/>
    </w:rPr>
  </w:style>
  <w:style w:type="paragraph" w:customStyle="1" w:styleId="123">
    <w:name w:val="正文缩进1"/>
    <w:basedOn w:val="1"/>
    <w:qFormat/>
    <w:uiPriority w:val="99"/>
    <w:pPr>
      <w:ind w:firstLine="420"/>
    </w:pPr>
    <w:rPr>
      <w:rFonts w:ascii="Times New Roman" w:hAnsi="Times New Roman"/>
    </w:rPr>
  </w:style>
  <w:style w:type="paragraph" w:customStyle="1" w:styleId="124">
    <w:name w:val="f1"/>
    <w:basedOn w:val="1"/>
    <w:qFormat/>
    <w:uiPriority w:val="0"/>
    <w:pPr>
      <w:widowControl/>
      <w:spacing w:before="100" w:beforeAutospacing="1" w:after="100" w:afterAutospacing="1"/>
      <w:jc w:val="center"/>
    </w:pPr>
    <w:rPr>
      <w:b/>
      <w:bCs/>
      <w:color w:val="FF8080"/>
      <w:spacing w:val="160"/>
      <w:kern w:val="0"/>
      <w:sz w:val="80"/>
      <w:szCs w:val="80"/>
    </w:rPr>
  </w:style>
  <w:style w:type="paragraph" w:customStyle="1" w:styleId="125">
    <w:name w:val="Style 1级标题 + Left:  0&quot; First line:  0&quot;"/>
    <w:basedOn w:val="1"/>
    <w:qFormat/>
    <w:locked/>
    <w:uiPriority w:val="0"/>
    <w:pPr>
      <w:keepNext/>
      <w:widowControl/>
      <w:numPr>
        <w:ilvl w:val="0"/>
        <w:numId w:val="5"/>
      </w:numPr>
      <w:tabs>
        <w:tab w:val="clear" w:pos="360"/>
      </w:tabs>
      <w:spacing w:before="240" w:after="60"/>
      <w:ind w:left="0" w:firstLine="200"/>
      <w:contextualSpacing/>
      <w:outlineLvl w:val="0"/>
    </w:pPr>
    <w:rPr>
      <w:rFonts w:ascii="楷体_GB2312" w:hAnsi="楷体_GB2312"/>
      <w:b/>
      <w:bCs/>
      <w:snapToGrid w:val="0"/>
      <w:color w:val="000000"/>
      <w:kern w:val="28"/>
      <w:lang w:bidi="en-US"/>
    </w:rPr>
  </w:style>
  <w:style w:type="paragraph" w:customStyle="1" w:styleId="126">
    <w:name w:val="Char Char Char Char Char Char Char Char Char Char Char Char1 Char"/>
    <w:basedOn w:val="16"/>
    <w:qFormat/>
    <w:uiPriority w:val="0"/>
    <w:rPr>
      <w:sz w:val="24"/>
    </w:rPr>
  </w:style>
  <w:style w:type="paragraph" w:customStyle="1" w:styleId="127">
    <w:name w:val="TOC 标题1"/>
    <w:basedOn w:val="3"/>
    <w:next w:val="1"/>
    <w:qFormat/>
    <w:uiPriority w:val="39"/>
    <w:pPr>
      <w:widowControl/>
      <w:spacing w:before="240" w:after="0" w:line="259" w:lineRule="auto"/>
      <w:ind w:firstLine="0" w:firstLineChars="0"/>
      <w:jc w:val="left"/>
      <w:outlineLvl w:val="9"/>
    </w:pPr>
    <w:rPr>
      <w:rFonts w:ascii="等线 Light" w:hAnsi="等线 Light" w:eastAsia="等线 Light"/>
      <w:b w:val="0"/>
      <w:bCs w:val="0"/>
      <w:color w:val="2F5496"/>
      <w:kern w:val="0"/>
      <w:sz w:val="32"/>
      <w:szCs w:val="32"/>
    </w:rPr>
  </w:style>
  <w:style w:type="paragraph" w:customStyle="1" w:styleId="128">
    <w:name w:val="网格表 31"/>
    <w:basedOn w:val="3"/>
    <w:next w:val="1"/>
    <w:qFormat/>
    <w:uiPriority w:val="0"/>
    <w:pPr>
      <w:widowControl/>
      <w:spacing w:before="480" w:after="0" w:line="276" w:lineRule="auto"/>
      <w:jc w:val="left"/>
      <w:outlineLvl w:val="9"/>
    </w:pPr>
    <w:rPr>
      <w:rFonts w:ascii="Cambria" w:hAnsi="Cambria"/>
      <w:color w:val="365F91"/>
      <w:kern w:val="0"/>
      <w:sz w:val="28"/>
      <w:szCs w:val="28"/>
    </w:rPr>
  </w:style>
  <w:style w:type="character" w:customStyle="1" w:styleId="129">
    <w:name w:val="尾注文本 Char"/>
    <w:basedOn w:val="39"/>
    <w:semiHidden/>
    <w:qFormat/>
    <w:uiPriority w:val="99"/>
    <w:rPr>
      <w:rFonts w:ascii="Calibri" w:hAnsi="Calibri" w:eastAsia="宋体" w:cs="Times New Roman"/>
      <w:szCs w:val="24"/>
    </w:rPr>
  </w:style>
  <w:style w:type="paragraph" w:customStyle="1" w:styleId="130">
    <w:name w:val="样式 标题 1 + 两端对齐"/>
    <w:basedOn w:val="4"/>
    <w:next w:val="4"/>
    <w:qFormat/>
    <w:uiPriority w:val="0"/>
    <w:pPr>
      <w:spacing w:before="340" w:after="330" w:line="240" w:lineRule="auto"/>
      <w:jc w:val="center"/>
    </w:pPr>
    <w:rPr>
      <w:rFonts w:hAnsi="Times New Roman" w:eastAsia="宋体" w:cs="宋体"/>
      <w:kern w:val="44"/>
      <w:sz w:val="28"/>
    </w:rPr>
  </w:style>
  <w:style w:type="paragraph" w:customStyle="1" w:styleId="131">
    <w:name w:val="样式 标题 3 +"/>
    <w:basedOn w:val="5"/>
    <w:qFormat/>
    <w:uiPriority w:val="0"/>
  </w:style>
  <w:style w:type="character" w:customStyle="1" w:styleId="132">
    <w:name w:val="纯文本 Char"/>
    <w:basedOn w:val="39"/>
    <w:semiHidden/>
    <w:qFormat/>
    <w:uiPriority w:val="99"/>
    <w:rPr>
      <w:rFonts w:ascii="宋体" w:hAnsi="Courier New" w:eastAsia="宋体" w:cs="Courier New"/>
      <w:szCs w:val="21"/>
    </w:rPr>
  </w:style>
  <w:style w:type="paragraph" w:customStyle="1" w:styleId="133">
    <w:name w:val="默认段落字体 Para Char Char Char Char Char Char Char Char Char1 Char Char Char Char"/>
    <w:basedOn w:val="1"/>
    <w:qFormat/>
    <w:uiPriority w:val="0"/>
    <w:rPr>
      <w:sz w:val="24"/>
      <w:szCs w:val="20"/>
    </w:rPr>
  </w:style>
  <w:style w:type="paragraph" w:customStyle="1" w:styleId="134">
    <w:name w:val="big"/>
    <w:basedOn w:val="1"/>
    <w:qFormat/>
    <w:uiPriority w:val="0"/>
    <w:pPr>
      <w:widowControl/>
      <w:spacing w:before="100" w:beforeAutospacing="1" w:after="100" w:afterAutospacing="1"/>
      <w:jc w:val="left"/>
    </w:pPr>
    <w:rPr>
      <w:rFonts w:ascii="宋体" w:hAnsi="宋体"/>
      <w:kern w:val="0"/>
      <w:sz w:val="24"/>
    </w:rPr>
  </w:style>
  <w:style w:type="character" w:customStyle="1" w:styleId="135">
    <w:name w:val="副标题 Char"/>
    <w:basedOn w:val="39"/>
    <w:qFormat/>
    <w:uiPriority w:val="11"/>
    <w:rPr>
      <w:rFonts w:eastAsia="宋体" w:asciiTheme="majorHAnsi" w:hAnsiTheme="majorHAnsi" w:cstheme="majorBidi"/>
      <w:b/>
      <w:bCs/>
      <w:kern w:val="28"/>
      <w:sz w:val="32"/>
      <w:szCs w:val="32"/>
    </w:rPr>
  </w:style>
  <w:style w:type="paragraph" w:customStyle="1" w:styleId="136">
    <w:name w:val="Char"/>
    <w:basedOn w:val="1"/>
    <w:qFormat/>
    <w:uiPriority w:val="0"/>
    <w:pPr>
      <w:widowControl/>
      <w:spacing w:after="160" w:line="240" w:lineRule="exact"/>
      <w:jc w:val="left"/>
    </w:pPr>
    <w:rPr>
      <w:szCs w:val="20"/>
    </w:rPr>
  </w:style>
  <w:style w:type="paragraph" w:customStyle="1" w:styleId="137">
    <w:name w:val="xl24"/>
    <w:basedOn w:val="1"/>
    <w:qFormat/>
    <w:uiPriority w:val="0"/>
    <w:pPr>
      <w:widowControl/>
      <w:spacing w:before="100" w:beforeAutospacing="1" w:after="100" w:afterAutospacing="1"/>
      <w:jc w:val="center"/>
      <w:textAlignment w:val="center"/>
    </w:pPr>
    <w:rPr>
      <w:rFonts w:ascii="宋体" w:hAnsi="宋体"/>
      <w:kern w:val="0"/>
      <w:sz w:val="24"/>
    </w:rPr>
  </w:style>
  <w:style w:type="character" w:customStyle="1" w:styleId="138">
    <w:name w:val="批注文字 Char1"/>
    <w:basedOn w:val="39"/>
    <w:semiHidden/>
    <w:qFormat/>
    <w:uiPriority w:val="99"/>
    <w:rPr>
      <w:rFonts w:ascii="Calibri" w:hAnsi="Calibri" w:eastAsia="宋体" w:cs="Times New Roman"/>
      <w:szCs w:val="24"/>
    </w:rPr>
  </w:style>
  <w:style w:type="character" w:customStyle="1" w:styleId="139">
    <w:name w:val="批注主题 Char"/>
    <w:basedOn w:val="138"/>
    <w:semiHidden/>
    <w:qFormat/>
    <w:uiPriority w:val="99"/>
    <w:rPr>
      <w:rFonts w:ascii="Calibri" w:hAnsi="Calibri" w:eastAsia="宋体" w:cs="Times New Roman"/>
      <w:b/>
      <w:bCs/>
      <w:szCs w:val="24"/>
    </w:rPr>
  </w:style>
  <w:style w:type="paragraph" w:customStyle="1" w:styleId="140">
    <w:name w:val="Char11"/>
    <w:basedOn w:val="1"/>
    <w:qFormat/>
    <w:uiPriority w:val="0"/>
    <w:rPr>
      <w:sz w:val="24"/>
      <w:szCs w:val="20"/>
    </w:rPr>
  </w:style>
  <w:style w:type="paragraph" w:customStyle="1" w:styleId="141">
    <w:name w:val="*正文"/>
    <w:basedOn w:val="1"/>
    <w:qFormat/>
    <w:uiPriority w:val="0"/>
    <w:rPr>
      <w:rFonts w:cs="仿宋_GB2312"/>
      <w:szCs w:val="20"/>
    </w:rPr>
  </w:style>
  <w:style w:type="paragraph" w:customStyle="1" w:styleId="142">
    <w:name w:val="Char2"/>
    <w:basedOn w:val="1"/>
    <w:qFormat/>
    <w:uiPriority w:val="0"/>
    <w:rPr>
      <w:rFonts w:ascii="仿宋_GB2312" w:eastAsia="仿宋_GB2312"/>
      <w:b/>
      <w:sz w:val="32"/>
      <w:szCs w:val="32"/>
    </w:rPr>
  </w:style>
  <w:style w:type="character" w:customStyle="1" w:styleId="143">
    <w:name w:val="脚注文本 Char"/>
    <w:basedOn w:val="39"/>
    <w:semiHidden/>
    <w:qFormat/>
    <w:uiPriority w:val="99"/>
    <w:rPr>
      <w:rFonts w:ascii="Calibri" w:hAnsi="Calibri" w:eastAsia="宋体" w:cs="Times New Roman"/>
      <w:sz w:val="18"/>
      <w:szCs w:val="18"/>
    </w:rPr>
  </w:style>
  <w:style w:type="paragraph" w:customStyle="1" w:styleId="144">
    <w:name w:val="地址内"/>
    <w:basedOn w:val="1"/>
    <w:qFormat/>
    <w:uiPriority w:val="0"/>
    <w:rPr>
      <w:szCs w:val="20"/>
    </w:rPr>
  </w:style>
  <w:style w:type="paragraph" w:customStyle="1" w:styleId="145">
    <w:name w:val="修订1"/>
    <w:unhideWhenUsed/>
    <w:qFormat/>
    <w:uiPriority w:val="99"/>
    <w:rPr>
      <w:rFonts w:ascii="Calibri" w:hAnsi="Calibri" w:eastAsia="宋体" w:cs="Times New Roman"/>
      <w:kern w:val="2"/>
      <w:sz w:val="21"/>
      <w:szCs w:val="24"/>
      <w:lang w:val="en-US" w:eastAsia="zh-CN" w:bidi="ar-SA"/>
    </w:rPr>
  </w:style>
  <w:style w:type="character" w:customStyle="1" w:styleId="146">
    <w:name w:val="批注框文本 Char"/>
    <w:basedOn w:val="39"/>
    <w:semiHidden/>
    <w:qFormat/>
    <w:uiPriority w:val="99"/>
    <w:rPr>
      <w:rFonts w:ascii="Calibri" w:hAnsi="Calibri" w:eastAsia="宋体" w:cs="Times New Roman"/>
      <w:sz w:val="18"/>
      <w:szCs w:val="18"/>
    </w:rPr>
  </w:style>
  <w:style w:type="character" w:customStyle="1" w:styleId="147">
    <w:name w:val="正文文本缩进 2 Char"/>
    <w:basedOn w:val="39"/>
    <w:semiHidden/>
    <w:qFormat/>
    <w:uiPriority w:val="99"/>
    <w:rPr>
      <w:rFonts w:ascii="Calibri" w:hAnsi="Calibri" w:eastAsia="宋体" w:cs="Times New Roman"/>
      <w:szCs w:val="24"/>
    </w:rPr>
  </w:style>
  <w:style w:type="paragraph" w:customStyle="1" w:styleId="148">
    <w:name w:val="普通(网站)1"/>
    <w:basedOn w:val="1"/>
    <w:qFormat/>
    <w:uiPriority w:val="0"/>
    <w:pPr>
      <w:widowControl/>
      <w:spacing w:before="100" w:beforeAutospacing="1" w:after="100" w:afterAutospacing="1"/>
      <w:jc w:val="left"/>
    </w:pPr>
    <w:rPr>
      <w:rFonts w:ascii="宋体" w:hAnsi="宋体"/>
      <w:kern w:val="0"/>
      <w:sz w:val="24"/>
    </w:rPr>
  </w:style>
  <w:style w:type="paragraph" w:customStyle="1" w:styleId="149">
    <w:name w:val="样式2"/>
    <w:basedOn w:val="1"/>
    <w:qFormat/>
    <w:uiPriority w:val="0"/>
    <w:pPr>
      <w:numPr>
        <w:ilvl w:val="0"/>
        <w:numId w:val="6"/>
      </w:numPr>
      <w:ind w:left="0" w:firstLine="640"/>
      <w:jc w:val="left"/>
    </w:pPr>
    <w:rPr>
      <w:rFonts w:hint="eastAsia"/>
      <w:szCs w:val="20"/>
    </w:rPr>
  </w:style>
  <w:style w:type="paragraph" w:customStyle="1" w:styleId="150">
    <w:name w:val="中等深浅网格 1 - 着色 21"/>
    <w:basedOn w:val="1"/>
    <w:qFormat/>
    <w:uiPriority w:val="1"/>
    <w:pPr>
      <w:ind w:firstLine="420"/>
    </w:pPr>
    <w:rPr>
      <w:szCs w:val="22"/>
    </w:rPr>
  </w:style>
  <w:style w:type="paragraph" w:customStyle="1" w:styleId="151">
    <w:name w:val="自由格式 A"/>
    <w:qFormat/>
    <w:uiPriority w:val="0"/>
    <w:rPr>
      <w:rFonts w:ascii="Calibri" w:hAnsi="Calibri" w:eastAsia="宋体" w:cs="Times New Roman"/>
      <w:color w:val="000000"/>
      <w:sz w:val="24"/>
      <w:lang w:val="en-US" w:eastAsia="zh-CN" w:bidi="ar-SA"/>
    </w:rPr>
  </w:style>
  <w:style w:type="paragraph" w:customStyle="1" w:styleId="152">
    <w:name w:val="_正文"/>
    <w:basedOn w:val="1"/>
    <w:qFormat/>
    <w:locked/>
    <w:uiPriority w:val="0"/>
    <w:pPr>
      <w:widowControl/>
      <w:ind w:firstLine="482"/>
    </w:pPr>
    <w:rPr>
      <w:rFonts w:ascii="楷体_GB2312" w:hAnsi="楷体_GB2312"/>
      <w:color w:val="000000"/>
    </w:rPr>
  </w:style>
  <w:style w:type="paragraph" w:customStyle="1" w:styleId="153">
    <w:name w:val="Default"/>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154">
    <w:name w:val="列出段落21"/>
    <w:basedOn w:val="1"/>
    <w:qFormat/>
    <w:uiPriority w:val="34"/>
    <w:pPr>
      <w:ind w:firstLine="420"/>
    </w:pPr>
  </w:style>
  <w:style w:type="paragraph" w:customStyle="1" w:styleId="155">
    <w:name w:val="表内文字"/>
    <w:basedOn w:val="1"/>
    <w:uiPriority w:val="0"/>
    <w:pPr>
      <w:tabs>
        <w:tab w:val="left" w:pos="1418"/>
      </w:tabs>
      <w:jc w:val="center"/>
    </w:pPr>
    <w:rPr>
      <w:rFonts w:ascii="仿宋_GB2312" w:eastAsia="仿宋_GB2312"/>
      <w:spacing w:val="-20"/>
      <w:kern w:val="0"/>
      <w:sz w:val="24"/>
    </w:rPr>
  </w:style>
  <w:style w:type="paragraph" w:customStyle="1" w:styleId="156">
    <w:name w:val="表目录"/>
    <w:basedOn w:val="33"/>
    <w:qFormat/>
    <w:uiPriority w:val="0"/>
    <w:pPr>
      <w:tabs>
        <w:tab w:val="right" w:leader="dot" w:pos="8296"/>
      </w:tabs>
      <w:ind w:left="0" w:leftChars="0"/>
      <w:jc w:val="center"/>
    </w:pPr>
    <w:rPr>
      <w:b/>
    </w:rPr>
  </w:style>
  <w:style w:type="table" w:customStyle="1" w:styleId="157">
    <w:name w:val="网格表 4 - 着色 51"/>
    <w:basedOn w:val="37"/>
    <w:qFormat/>
    <w:uiPriority w:val="49"/>
    <w:rPr>
      <w:rFonts w:ascii="Calibri" w:hAnsi="Calibri" w:eastAsia="等线" w:cs="Times New Roman"/>
    </w:rPr>
    <w:tblPr>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Pr>
    <w:tblStylePr w:type="firstRow">
      <w:rPr>
        <w:b/>
        <w:bCs/>
        <w:color w:val="FFFFFF"/>
      </w:rPr>
      <w:tcPr>
        <w:tcBorders>
          <w:top w:val="single" w:color="4472C4" w:sz="4" w:space="0"/>
          <w:left w:val="single" w:color="4472C4" w:sz="4" w:space="0"/>
          <w:bottom w:val="single" w:color="4472C4" w:sz="4" w:space="0"/>
          <w:right w:val="single" w:color="4472C4" w:sz="4" w:space="0"/>
          <w:insideH w:val="nil"/>
          <w:insideV w:val="nil"/>
          <w:tl2br w:val="nil"/>
          <w:tr2bl w:val="nil"/>
        </w:tcBorders>
        <w:shd w:val="clear" w:color="auto" w:fill="4472C4"/>
      </w:tcPr>
    </w:tblStylePr>
    <w:tblStylePr w:type="lastRow">
      <w:rPr>
        <w:b/>
        <w:bCs/>
      </w:rPr>
      <w:tcPr>
        <w:tcBorders>
          <w:top w:val="double" w:color="4472C4"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D9E2F3"/>
      </w:tcPr>
    </w:tblStylePr>
    <w:tblStylePr w:type="band1Horz">
      <w:tcPr>
        <w:shd w:val="clear" w:color="auto" w:fill="D9E2F3"/>
      </w:tcPr>
    </w:tblStylePr>
  </w:style>
  <w:style w:type="table" w:customStyle="1" w:styleId="158">
    <w:name w:val="网格表 41"/>
    <w:basedOn w:val="37"/>
    <w:qFormat/>
    <w:uiPriority w:val="49"/>
    <w:rPr>
      <w:rFonts w:ascii="Calibri" w:hAnsi="Calibri" w:eastAsia="宋体" w:cs="Times New Roman"/>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color w:val="FFFFFF"/>
      </w:rPr>
      <w:tcPr>
        <w:tcBorders>
          <w:top w:val="single" w:color="000000" w:sz="4" w:space="0"/>
          <w:left w:val="single" w:color="000000" w:sz="4" w:space="0"/>
          <w:bottom w:val="single" w:color="000000" w:sz="4" w:space="0"/>
          <w:right w:val="single" w:color="000000" w:sz="4" w:space="0"/>
          <w:insideH w:val="nil"/>
          <w:insideV w:val="nil"/>
          <w:tl2br w:val="nil"/>
          <w:tr2bl w:val="nil"/>
        </w:tcBorders>
        <w:shd w:val="clear" w:color="auto" w:fill="000000"/>
      </w:tcPr>
    </w:tblStylePr>
    <w:tblStylePr w:type="lastRow">
      <w:rPr>
        <w:b/>
        <w:bCs/>
      </w:rPr>
      <w:tcPr>
        <w:tcBorders>
          <w:top w:val="double" w:color="000000"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footer3.xml" Type="http://schemas.openxmlformats.org/officeDocument/2006/relationships/footer"/><Relationship Id="rId11" Target="footer4.xml" Type="http://schemas.openxmlformats.org/officeDocument/2006/relationships/footer"/><Relationship Id="rId12" Target="footer5.xml" Type="http://schemas.openxmlformats.org/officeDocument/2006/relationships/footer"/><Relationship Id="rId13" Target="header4.xml" Type="http://schemas.openxmlformats.org/officeDocument/2006/relationships/header"/><Relationship Id="rId14" Target="footer6.xml" Type="http://schemas.openxmlformats.org/officeDocument/2006/relationships/footer"/><Relationship Id="rId15" Target="header5.xml" Type="http://schemas.openxmlformats.org/officeDocument/2006/relationships/header"/><Relationship Id="rId16" Target="footer7.xml" Type="http://schemas.openxmlformats.org/officeDocument/2006/relationships/footer"/><Relationship Id="rId17" Target="footer8.xml" Type="http://schemas.openxmlformats.org/officeDocument/2006/relationships/footer"/><Relationship Id="rId18" Target="theme/theme1.xml" Type="http://schemas.openxmlformats.org/officeDocument/2006/relationships/theme"/><Relationship Id="rId19" Target="media/image1.png" Type="http://schemas.openxmlformats.org/officeDocument/2006/relationships/image"/><Relationship Id="rId2" Target="settings.xml" Type="http://schemas.openxmlformats.org/officeDocument/2006/relationships/settings"/><Relationship Id="rId20" Target="media/image2.emf" Type="http://schemas.openxmlformats.org/officeDocument/2006/relationships/image"/><Relationship Id="rId21" Target="media/image3.png" Type="http://schemas.openxmlformats.org/officeDocument/2006/relationships/image"/><Relationship Id="rId22" Target="embeddings/oleObject1.bin" Type="http://schemas.openxmlformats.org/officeDocument/2006/relationships/oleObject"/><Relationship Id="rId23" Target="media/image4.emf" Type="http://schemas.openxmlformats.org/officeDocument/2006/relationships/image"/><Relationship Id="rId24" Target="media/image5.png" Type="http://schemas.openxmlformats.org/officeDocument/2006/relationships/image"/><Relationship Id="rId25" Target="media/image6.png" Type="http://schemas.openxmlformats.org/officeDocument/2006/relationships/image"/><Relationship Id="rId26" Target="../customXml/item1.xml" Type="http://schemas.openxmlformats.org/officeDocument/2006/relationships/customXml"/><Relationship Id="rId27" Target="numbering.xml" Type="http://schemas.openxmlformats.org/officeDocument/2006/relationships/numbering"/><Relationship Id="rId28" Target="../customXml/item2.xml" Type="http://schemas.openxmlformats.org/officeDocument/2006/relationships/customXml"/><Relationship Id="rId29" Target="fontTable.xml" Type="http://schemas.openxmlformats.org/officeDocument/2006/relationships/fontTable"/><Relationship Id="rId3" Target="footnotes.xml" Type="http://schemas.openxmlformats.org/officeDocument/2006/relationships/footnotes"/><Relationship Id="rId4" Target="endnotes.xml" Type="http://schemas.openxmlformats.org/officeDocument/2006/relationships/endnotes"/><Relationship Id="rId5" Target="header1.xml" Type="http://schemas.openxmlformats.org/officeDocument/2006/relationships/header"/><Relationship Id="rId6" Target="header2.xml" Type="http://schemas.openxmlformats.org/officeDocument/2006/relationships/header"/><Relationship Id="rId7" Target="header3.xml" Type="http://schemas.openxmlformats.org/officeDocument/2006/relationships/header"/><Relationship Id="rId8" Target="footer1.xml" Type="http://schemas.openxmlformats.org/officeDocument/2006/relationships/footer"/><Relationship Id="rId9" Target="footer2.xml" Type="http://schemas.openxmlformats.org/officeDocument/2006/relationships/footer"/></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FFB9EF-B9FD-445D-B3EE-EA5A2F8CC6F9}">
  <ds:schemaRefs/>
</ds:datastoreItem>
</file>

<file path=docProps/app.xml><?xml version="1.0" encoding="utf-8"?>
<Properties xmlns="http://schemas.openxmlformats.org/officeDocument/2006/extended-properties" xmlns:vt="http://schemas.openxmlformats.org/officeDocument/2006/docPropsVTypes">
  <Template>Normal</Template>
  <Pages>130</Pages>
  <Words>75978</Words>
  <Characters>14918</Characters>
  <Lines>124</Lines>
  <Paragraphs>181</Paragraphs>
  <TotalTime>200</TotalTime>
  <ScaleCrop>false</ScaleCrop>
  <LinksUpToDate>false</LinksUpToDate>
  <CharactersWithSpaces>90715</CharactersWithSpaces>
  <Application>WPS Office_11.1.0.10503_F1E327BC-269C-435d-A152-05C5408002CA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2021-07-22T07:42:00Z</dcterms:created>
  <dc:creator>宁波中基国际招标有限公司</dc:creator>
  <cp:lastModifiedBy>64616</cp:lastModifiedBy>
  <cp:lastPrinted>2021-07-02T04:36:00Z</cp:lastPrinted>
  <dcterms:modified xsi:type="dcterms:W3CDTF">2021-07-30T07:01:43Z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C3207F5CC1C24BE29A146C3FD2C1A1E9</vt:lpwstr>
  </property>
</Properties>
</file>