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sz w:val="32"/>
          <w:szCs w:val="32"/>
        </w:rPr>
      </w:pPr>
    </w:p>
    <w:p>
      <w:pPr>
        <w:spacing w:before="120" w:beforeLines="50"/>
        <w:rPr>
          <w:rFonts w:ascii="宋体" w:hAnsi="宋体" w:cs="宋体"/>
          <w:b/>
          <w:sz w:val="52"/>
          <w:szCs w:val="52"/>
        </w:rPr>
      </w:pPr>
    </w:p>
    <w:p>
      <w:pPr>
        <w:spacing w:before="120" w:beforeLines="50"/>
        <w:jc w:val="center"/>
        <w:rPr>
          <w:rFonts w:ascii="宋体" w:hAnsi="宋体" w:cs="宋体"/>
          <w:b/>
          <w:sz w:val="72"/>
          <w:szCs w:val="72"/>
        </w:rPr>
      </w:pPr>
      <w:r>
        <w:rPr>
          <w:rFonts w:hint="eastAsia" w:ascii="宋体" w:hAnsi="宋体" w:cs="宋体"/>
          <w:b/>
          <w:sz w:val="72"/>
          <w:szCs w:val="72"/>
        </w:rPr>
        <w:t>公开招标采购文件</w:t>
      </w:r>
    </w:p>
    <w:p>
      <w:pPr>
        <w:snapToGrid w:val="0"/>
        <w:spacing w:before="120" w:beforeLines="50" w:line="360" w:lineRule="auto"/>
        <w:rPr>
          <w:rFonts w:ascii="宋体" w:hAnsi="宋体" w:cs="宋体"/>
          <w:sz w:val="30"/>
          <w:szCs w:val="72"/>
        </w:rPr>
      </w:pPr>
    </w:p>
    <w:p>
      <w:pPr>
        <w:snapToGrid w:val="0"/>
        <w:spacing w:before="120" w:beforeLines="50" w:line="360" w:lineRule="auto"/>
        <w:rPr>
          <w:rFonts w:ascii="宋体" w:hAnsi="宋体" w:cs="宋体"/>
          <w:sz w:val="30"/>
          <w:szCs w:val="72"/>
        </w:rPr>
      </w:pPr>
    </w:p>
    <w:p>
      <w:pPr>
        <w:snapToGrid w:val="0"/>
        <w:spacing w:before="120" w:beforeLines="50" w:line="360" w:lineRule="auto"/>
        <w:rPr>
          <w:rFonts w:ascii="宋体" w:hAnsi="宋体" w:cs="宋体"/>
          <w:sz w:val="30"/>
          <w:szCs w:val="72"/>
        </w:rPr>
      </w:pPr>
    </w:p>
    <w:p>
      <w:pPr>
        <w:snapToGrid w:val="0"/>
        <w:spacing w:before="120" w:beforeLines="50" w:line="360" w:lineRule="auto"/>
        <w:rPr>
          <w:rFonts w:ascii="宋体" w:hAnsi="宋体" w:cs="宋体"/>
          <w:sz w:val="30"/>
          <w:szCs w:val="72"/>
        </w:rPr>
      </w:pPr>
    </w:p>
    <w:tbl>
      <w:tblPr>
        <w:tblStyle w:val="35"/>
        <w:tblW w:w="9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18" w:type="dxa"/>
            <w:vAlign w:val="center"/>
          </w:tcPr>
          <w:p>
            <w:pPr>
              <w:snapToGrid w:val="0"/>
              <w:jc w:val="center"/>
              <w:rPr>
                <w:rFonts w:ascii="宋体" w:hAnsi="宋体" w:cs="宋体"/>
                <w:b/>
                <w:sz w:val="34"/>
                <w:szCs w:val="32"/>
              </w:rPr>
            </w:pPr>
            <w:r>
              <w:rPr>
                <w:rFonts w:hint="eastAsia" w:ascii="宋体" w:hAnsi="宋体" w:cs="宋体"/>
                <w:b/>
                <w:sz w:val="34"/>
                <w:szCs w:val="32"/>
              </w:rPr>
              <w:t>项目编号</w:t>
            </w:r>
          </w:p>
        </w:tc>
        <w:tc>
          <w:tcPr>
            <w:tcW w:w="7555" w:type="dxa"/>
            <w:vAlign w:val="center"/>
          </w:tcPr>
          <w:p>
            <w:pPr>
              <w:pStyle w:val="19"/>
              <w:snapToGrid w:val="0"/>
              <w:spacing w:beforeLines="0" w:afterLines="0" w:line="240" w:lineRule="auto"/>
              <w:jc w:val="center"/>
              <w:rPr>
                <w:rFonts w:hAnsi="宋体" w:cs="宋体"/>
                <w:b/>
                <w:kern w:val="2"/>
                <w:sz w:val="34"/>
                <w:szCs w:val="32"/>
              </w:rPr>
            </w:pPr>
            <w:r>
              <w:rPr>
                <w:rFonts w:hint="eastAsia" w:hAnsi="宋体" w:cs="宋体"/>
                <w:b/>
                <w:kern w:val="2"/>
                <w:sz w:val="34"/>
                <w:szCs w:val="32"/>
              </w:rPr>
              <w:t>CBNB-20232004G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118" w:type="dxa"/>
            <w:vAlign w:val="center"/>
          </w:tcPr>
          <w:p>
            <w:pPr>
              <w:snapToGrid w:val="0"/>
              <w:jc w:val="center"/>
              <w:rPr>
                <w:rFonts w:ascii="宋体" w:hAnsi="宋体" w:cs="宋体"/>
                <w:b/>
                <w:sz w:val="34"/>
                <w:szCs w:val="32"/>
              </w:rPr>
            </w:pPr>
            <w:r>
              <w:rPr>
                <w:rFonts w:hint="eastAsia" w:ascii="宋体" w:hAnsi="宋体" w:cs="宋体"/>
                <w:b/>
                <w:sz w:val="34"/>
                <w:szCs w:val="32"/>
              </w:rPr>
              <w:t>项目名称</w:t>
            </w:r>
          </w:p>
        </w:tc>
        <w:tc>
          <w:tcPr>
            <w:tcW w:w="7555" w:type="dxa"/>
            <w:vAlign w:val="center"/>
          </w:tcPr>
          <w:p>
            <w:pPr>
              <w:tabs>
                <w:tab w:val="left" w:pos="459"/>
              </w:tabs>
              <w:spacing w:line="360" w:lineRule="auto"/>
              <w:ind w:left="-378" w:leftChars="-180" w:firstLine="256" w:firstLineChars="79"/>
              <w:jc w:val="center"/>
              <w:rPr>
                <w:rFonts w:hint="eastAsia" w:ascii="宋体" w:hAnsi="宋体" w:eastAsia="宋体" w:cs="宋体"/>
                <w:b/>
                <w:w w:val="95"/>
                <w:sz w:val="34"/>
                <w:szCs w:val="32"/>
                <w:lang w:eastAsia="zh-CN"/>
              </w:rPr>
            </w:pPr>
            <w:r>
              <w:rPr>
                <w:rFonts w:hint="eastAsia" w:ascii="宋体" w:hAnsi="宋体" w:cs="宋体"/>
                <w:b/>
                <w:w w:val="95"/>
                <w:sz w:val="34"/>
                <w:szCs w:val="32"/>
              </w:rPr>
              <w:t>宁波市公安局交通警察局事故（违法）拖车</w:t>
            </w:r>
          </w:p>
          <w:p>
            <w:pPr>
              <w:tabs>
                <w:tab w:val="left" w:pos="459"/>
              </w:tabs>
              <w:spacing w:line="360" w:lineRule="auto"/>
              <w:ind w:left="-378" w:leftChars="-180" w:firstLine="256" w:firstLineChars="79"/>
              <w:jc w:val="center"/>
              <w:rPr>
                <w:rFonts w:ascii="宋体" w:hAnsi="宋体" w:cs="宋体"/>
                <w:b/>
                <w:sz w:val="34"/>
                <w:szCs w:val="32"/>
              </w:rPr>
            </w:pPr>
            <w:r>
              <w:rPr>
                <w:rFonts w:hint="eastAsia" w:ascii="宋体" w:hAnsi="宋体" w:cs="宋体"/>
                <w:b/>
                <w:w w:val="95"/>
                <w:sz w:val="34"/>
                <w:szCs w:val="32"/>
              </w:rPr>
              <w:t>停车服务项目</w:t>
            </w:r>
          </w:p>
        </w:tc>
      </w:tr>
    </w:tbl>
    <w:p>
      <w:pPr>
        <w:spacing w:before="120" w:beforeLines="50"/>
        <w:rPr>
          <w:rFonts w:ascii="宋体" w:hAnsi="宋体" w:cs="宋体"/>
          <w:b/>
          <w:sz w:val="30"/>
          <w:szCs w:val="72"/>
        </w:rPr>
      </w:pPr>
    </w:p>
    <w:p>
      <w:pPr>
        <w:pStyle w:val="19"/>
        <w:snapToGrid w:val="0"/>
        <w:spacing w:beforeLines="0" w:afterLines="0" w:line="360" w:lineRule="auto"/>
        <w:rPr>
          <w:rFonts w:hAnsi="宋体" w:cs="宋体"/>
          <w:b/>
          <w:bCs/>
          <w:sz w:val="30"/>
          <w:szCs w:val="30"/>
        </w:rPr>
      </w:pPr>
    </w:p>
    <w:p>
      <w:pPr>
        <w:snapToGrid w:val="0"/>
        <w:jc w:val="center"/>
        <w:rPr>
          <w:rFonts w:ascii="宋体" w:hAnsi="宋体" w:cs="宋体"/>
          <w:b/>
          <w:sz w:val="34"/>
          <w:szCs w:val="32"/>
        </w:rPr>
      </w:pPr>
    </w:p>
    <w:p>
      <w:pPr>
        <w:pStyle w:val="44"/>
        <w:ind w:firstLine="560"/>
      </w:pPr>
    </w:p>
    <w:p>
      <w:pPr>
        <w:pStyle w:val="44"/>
        <w:ind w:firstLine="560"/>
      </w:pPr>
    </w:p>
    <w:p>
      <w:pPr>
        <w:pStyle w:val="44"/>
        <w:ind w:firstLine="560"/>
      </w:pPr>
    </w:p>
    <w:p>
      <w:pPr>
        <w:snapToGrid w:val="0"/>
        <w:spacing w:line="480" w:lineRule="auto"/>
        <w:ind w:firstLine="1707" w:firstLineChars="500"/>
        <w:jc w:val="left"/>
        <w:rPr>
          <w:rFonts w:ascii="宋体" w:hAnsi="宋体" w:cs="宋体"/>
          <w:b/>
          <w:sz w:val="34"/>
          <w:szCs w:val="32"/>
        </w:rPr>
      </w:pPr>
      <w:r>
        <w:rPr>
          <w:rFonts w:hint="eastAsia" w:ascii="宋体" w:hAnsi="宋体" w:cs="宋体"/>
          <w:b/>
          <w:sz w:val="34"/>
          <w:szCs w:val="32"/>
        </w:rPr>
        <w:t xml:space="preserve">采 </w:t>
      </w:r>
      <w:r>
        <w:rPr>
          <w:rFonts w:ascii="宋体" w:hAnsi="宋体" w:cs="宋体"/>
          <w:b/>
          <w:sz w:val="34"/>
          <w:szCs w:val="32"/>
        </w:rPr>
        <w:t xml:space="preserve">  </w:t>
      </w:r>
      <w:r>
        <w:rPr>
          <w:rFonts w:hint="eastAsia" w:ascii="宋体" w:hAnsi="宋体" w:cs="宋体"/>
          <w:b/>
          <w:sz w:val="34"/>
          <w:szCs w:val="32"/>
        </w:rPr>
        <w:t xml:space="preserve">购 </w:t>
      </w:r>
      <w:r>
        <w:rPr>
          <w:rFonts w:ascii="宋体" w:hAnsi="宋体" w:cs="宋体"/>
          <w:b/>
          <w:sz w:val="34"/>
          <w:szCs w:val="32"/>
        </w:rPr>
        <w:t xml:space="preserve"> </w:t>
      </w:r>
      <w:r>
        <w:rPr>
          <w:rFonts w:hint="eastAsia" w:ascii="宋体" w:hAnsi="宋体" w:cs="宋体"/>
          <w:b/>
          <w:sz w:val="34"/>
          <w:szCs w:val="32"/>
        </w:rPr>
        <w:t xml:space="preserve"> 人：宁波市公安局交通警察局</w:t>
      </w:r>
    </w:p>
    <w:p>
      <w:pPr>
        <w:snapToGrid w:val="0"/>
        <w:spacing w:line="480" w:lineRule="auto"/>
        <w:ind w:firstLine="1707" w:firstLineChars="500"/>
        <w:jc w:val="left"/>
        <w:rPr>
          <w:rFonts w:ascii="宋体" w:hAnsi="宋体" w:cs="宋体"/>
          <w:b/>
          <w:sz w:val="34"/>
          <w:szCs w:val="32"/>
        </w:rPr>
      </w:pPr>
      <w:r>
        <w:rPr>
          <w:rFonts w:hint="eastAsia" w:ascii="宋体" w:hAnsi="宋体" w:cs="宋体"/>
          <w:b/>
          <w:sz w:val="34"/>
          <w:szCs w:val="32"/>
        </w:rPr>
        <w:t>采购代理机构：宁波中基国际招标有限公司</w:t>
      </w:r>
    </w:p>
    <w:p>
      <w:pPr>
        <w:snapToGrid w:val="0"/>
        <w:spacing w:before="120" w:beforeLines="50" w:line="360" w:lineRule="auto"/>
        <w:jc w:val="center"/>
        <w:rPr>
          <w:rFonts w:ascii="宋体" w:hAnsi="宋体" w:cs="宋体"/>
          <w:b/>
          <w:bCs/>
          <w:sz w:val="30"/>
          <w:szCs w:val="30"/>
        </w:rPr>
      </w:pPr>
    </w:p>
    <w:p>
      <w:pPr>
        <w:snapToGrid w:val="0"/>
        <w:spacing w:before="120" w:beforeLines="50" w:line="360" w:lineRule="auto"/>
        <w:jc w:val="center"/>
        <w:rPr>
          <w:rFonts w:ascii="宋体" w:hAnsi="宋体" w:cs="宋体"/>
          <w:b/>
          <w:bCs/>
          <w:sz w:val="30"/>
          <w:szCs w:val="30"/>
        </w:rPr>
      </w:pPr>
      <w:r>
        <w:rPr>
          <w:rFonts w:hint="eastAsia" w:ascii="宋体" w:hAnsi="宋体" w:cs="宋体"/>
          <w:b/>
          <w:bCs/>
          <w:sz w:val="30"/>
          <w:szCs w:val="30"/>
        </w:rPr>
        <w:t>二〇二三年一月</w:t>
      </w:r>
    </w:p>
    <w:p>
      <w:pPr>
        <w:rPr>
          <w:rFonts w:ascii="宋体" w:hAnsi="宋体" w:cs="宋体"/>
        </w:rPr>
      </w:pPr>
    </w:p>
    <w:p>
      <w:pPr>
        <w:jc w:val="center"/>
        <w:rPr>
          <w:rFonts w:ascii="宋体" w:hAnsi="宋体" w:cs="宋体"/>
          <w:b/>
          <w:sz w:val="52"/>
          <w:szCs w:val="52"/>
        </w:rPr>
      </w:pPr>
      <w:r>
        <w:rPr>
          <w:rFonts w:hint="eastAsia" w:ascii="宋体" w:hAnsi="宋体" w:cs="宋体"/>
        </w:rPr>
        <w:br w:type="page"/>
      </w:r>
      <w:r>
        <w:rPr>
          <w:rFonts w:hint="eastAsia" w:ascii="宋体" w:hAnsi="宋体" w:cs="宋体"/>
          <w:b/>
          <w:sz w:val="52"/>
          <w:szCs w:val="52"/>
        </w:rPr>
        <w:t>目    录</w:t>
      </w:r>
    </w:p>
    <w:p>
      <w:pPr>
        <w:pStyle w:val="25"/>
        <w:tabs>
          <w:tab w:val="right" w:leader="dot" w:pos="8959"/>
        </w:tabs>
      </w:pPr>
      <w:r>
        <w:rPr>
          <w:rFonts w:hint="eastAsia" w:ascii="宋体" w:hAnsi="宋体" w:cs="宋体"/>
          <w:sz w:val="30"/>
          <w:szCs w:val="30"/>
        </w:rPr>
        <w:fldChar w:fldCharType="begin"/>
      </w:r>
      <w:r>
        <w:rPr>
          <w:rFonts w:hint="eastAsia" w:ascii="宋体" w:hAnsi="宋体" w:cs="宋体"/>
          <w:sz w:val="30"/>
          <w:szCs w:val="30"/>
        </w:rPr>
        <w:instrText xml:space="preserve"> TOC \o "1-3" \h \z \u </w:instrText>
      </w:r>
      <w:r>
        <w:rPr>
          <w:rFonts w:hint="eastAsia" w:ascii="宋体" w:hAnsi="宋体" w:cs="宋体"/>
          <w:sz w:val="30"/>
          <w:szCs w:val="30"/>
        </w:rPr>
        <w:fldChar w:fldCharType="separate"/>
      </w:r>
      <w:r>
        <w:fldChar w:fldCharType="begin"/>
      </w:r>
      <w:r>
        <w:instrText xml:space="preserve"> HYPERLINK \l "_Toc29322" </w:instrText>
      </w:r>
      <w:r>
        <w:fldChar w:fldCharType="separate"/>
      </w:r>
      <w:r>
        <w:rPr>
          <w:rFonts w:hint="eastAsia" w:ascii="宋体" w:hAnsi="宋体" w:cs="宋体"/>
        </w:rPr>
        <w:t>第一章公开招标采购公告</w:t>
      </w:r>
      <w:r>
        <w:tab/>
      </w:r>
      <w:r>
        <w:fldChar w:fldCharType="begin"/>
      </w:r>
      <w:r>
        <w:instrText xml:space="preserve"> PAGEREF _Toc29322 \h </w:instrText>
      </w:r>
      <w:r>
        <w:fldChar w:fldCharType="separate"/>
      </w:r>
      <w:r>
        <w:t>3</w:t>
      </w:r>
      <w:r>
        <w:fldChar w:fldCharType="end"/>
      </w:r>
      <w:r>
        <w:fldChar w:fldCharType="end"/>
      </w:r>
    </w:p>
    <w:p>
      <w:pPr>
        <w:pStyle w:val="25"/>
        <w:tabs>
          <w:tab w:val="right" w:leader="dot" w:pos="8959"/>
        </w:tabs>
      </w:pPr>
      <w:r>
        <w:fldChar w:fldCharType="begin"/>
      </w:r>
      <w:r>
        <w:instrText xml:space="preserve"> HYPERLINK \l "_Toc25080" </w:instrText>
      </w:r>
      <w:r>
        <w:fldChar w:fldCharType="separate"/>
      </w:r>
      <w:r>
        <w:rPr>
          <w:rFonts w:hint="eastAsia" w:ascii="宋体" w:hAnsi="宋体" w:cs="宋体"/>
          <w:bCs/>
          <w:kern w:val="44"/>
          <w:szCs w:val="44"/>
        </w:rPr>
        <w:t>第二章  招标需求</w:t>
      </w:r>
      <w:r>
        <w:tab/>
      </w:r>
      <w:r>
        <w:fldChar w:fldCharType="begin"/>
      </w:r>
      <w:r>
        <w:instrText xml:space="preserve"> PAGEREF _Toc25080 \h </w:instrText>
      </w:r>
      <w:r>
        <w:fldChar w:fldCharType="separate"/>
      </w:r>
      <w:r>
        <w:t>10</w:t>
      </w:r>
      <w:r>
        <w:fldChar w:fldCharType="end"/>
      </w:r>
      <w:r>
        <w:fldChar w:fldCharType="end"/>
      </w:r>
    </w:p>
    <w:p>
      <w:pPr>
        <w:pStyle w:val="25"/>
        <w:tabs>
          <w:tab w:val="right" w:leader="dot" w:pos="8959"/>
        </w:tabs>
        <w:ind w:firstLine="420" w:firstLineChars="200"/>
      </w:pPr>
      <w:r>
        <w:fldChar w:fldCharType="begin"/>
      </w:r>
      <w:r>
        <w:instrText xml:space="preserve"> HYPERLINK \l "_Toc1854" </w:instrText>
      </w:r>
      <w:r>
        <w:fldChar w:fldCharType="separate"/>
      </w:r>
      <w:r>
        <w:rPr>
          <w:rFonts w:hint="eastAsia" w:ascii="宋体" w:hAnsi="宋体" w:cs="宋体"/>
          <w:szCs w:val="21"/>
        </w:rPr>
        <w:t>前附表</w:t>
      </w:r>
      <w:r>
        <w:tab/>
      </w:r>
      <w:r>
        <w:fldChar w:fldCharType="begin"/>
      </w:r>
      <w:r>
        <w:instrText xml:space="preserve"> PAGEREF _Toc1854 \h </w:instrText>
      </w:r>
      <w:r>
        <w:fldChar w:fldCharType="separate"/>
      </w:r>
      <w:r>
        <w:t>10</w:t>
      </w:r>
      <w:r>
        <w:fldChar w:fldCharType="end"/>
      </w:r>
      <w:r>
        <w:fldChar w:fldCharType="end"/>
      </w:r>
    </w:p>
    <w:p>
      <w:pPr>
        <w:pStyle w:val="25"/>
        <w:tabs>
          <w:tab w:val="right" w:leader="dot" w:pos="8959"/>
        </w:tabs>
        <w:ind w:firstLine="420" w:firstLineChars="200"/>
      </w:pPr>
      <w:r>
        <w:fldChar w:fldCharType="begin"/>
      </w:r>
      <w:r>
        <w:instrText xml:space="preserve"> HYPERLINK \l "_Toc30418" </w:instrText>
      </w:r>
      <w:r>
        <w:fldChar w:fldCharType="separate"/>
      </w:r>
      <w:r>
        <w:rPr>
          <w:rFonts w:hint="eastAsia" w:ascii="宋体" w:hAnsi="宋体" w:cs="宋体"/>
          <w:szCs w:val="30"/>
        </w:rPr>
        <w:t>一</w:t>
      </w:r>
      <w:r>
        <w:rPr>
          <w:rFonts w:hint="eastAsia" w:ascii="宋体" w:hAnsi="宋体" w:cs="宋体"/>
          <w:bCs/>
          <w:szCs w:val="21"/>
        </w:rPr>
        <w:t>、商务要求</w:t>
      </w:r>
      <w:r>
        <w:tab/>
      </w:r>
      <w:r>
        <w:fldChar w:fldCharType="begin"/>
      </w:r>
      <w:r>
        <w:instrText xml:space="preserve"> PAGEREF _Toc30418 \h </w:instrText>
      </w:r>
      <w:r>
        <w:fldChar w:fldCharType="separate"/>
      </w:r>
      <w:r>
        <w:t>11</w:t>
      </w:r>
      <w:r>
        <w:fldChar w:fldCharType="end"/>
      </w:r>
      <w:r>
        <w:fldChar w:fldCharType="end"/>
      </w:r>
    </w:p>
    <w:p>
      <w:pPr>
        <w:pStyle w:val="25"/>
        <w:tabs>
          <w:tab w:val="right" w:leader="dot" w:pos="8959"/>
        </w:tabs>
        <w:ind w:firstLine="420" w:firstLineChars="200"/>
      </w:pPr>
      <w:r>
        <w:fldChar w:fldCharType="begin"/>
      </w:r>
      <w:r>
        <w:instrText xml:space="preserve"> HYPERLINK \l "_Toc12546" </w:instrText>
      </w:r>
      <w:r>
        <w:fldChar w:fldCharType="separate"/>
      </w:r>
      <w:r>
        <w:rPr>
          <w:rFonts w:hint="eastAsia" w:ascii="宋体" w:hAnsi="宋体" w:cs="宋体"/>
          <w:szCs w:val="30"/>
        </w:rPr>
        <w:t>二</w:t>
      </w:r>
      <w:r>
        <w:rPr>
          <w:rFonts w:hint="eastAsia" w:ascii="宋体" w:hAnsi="宋体" w:cs="宋体"/>
          <w:szCs w:val="21"/>
        </w:rPr>
        <w:t>、招标需求</w:t>
      </w:r>
      <w:r>
        <w:tab/>
      </w:r>
      <w:r>
        <w:fldChar w:fldCharType="begin"/>
      </w:r>
      <w:r>
        <w:instrText xml:space="preserve"> PAGEREF _Toc12546 \h </w:instrText>
      </w:r>
      <w:r>
        <w:fldChar w:fldCharType="separate"/>
      </w:r>
      <w:r>
        <w:t>1</w:t>
      </w:r>
      <w:r>
        <w:fldChar w:fldCharType="end"/>
      </w:r>
      <w:r>
        <w:fldChar w:fldCharType="end"/>
      </w:r>
    </w:p>
    <w:p>
      <w:pPr>
        <w:pStyle w:val="25"/>
        <w:tabs>
          <w:tab w:val="right" w:leader="dot" w:pos="8959"/>
        </w:tabs>
      </w:pPr>
      <w:r>
        <w:fldChar w:fldCharType="begin"/>
      </w:r>
      <w:r>
        <w:instrText xml:space="preserve"> HYPERLINK \l "_Toc8380" </w:instrText>
      </w:r>
      <w:r>
        <w:fldChar w:fldCharType="separate"/>
      </w:r>
      <w:r>
        <w:rPr>
          <w:rFonts w:hint="eastAsia" w:ascii="宋体" w:hAnsi="宋体" w:cs="宋体"/>
        </w:rPr>
        <w:t>第三章  投标人须知</w:t>
      </w:r>
      <w:r>
        <w:tab/>
      </w:r>
      <w:r>
        <w:fldChar w:fldCharType="begin"/>
      </w:r>
      <w:r>
        <w:instrText xml:space="preserve"> PAGEREF _Toc8380 \h </w:instrText>
      </w:r>
      <w:r>
        <w:fldChar w:fldCharType="separate"/>
      </w:r>
      <w:r>
        <w:t>1</w:t>
      </w:r>
      <w:r>
        <w:fldChar w:fldCharType="end"/>
      </w:r>
      <w:r>
        <w:fldChar w:fldCharType="end"/>
      </w:r>
    </w:p>
    <w:p>
      <w:pPr>
        <w:pStyle w:val="25"/>
        <w:tabs>
          <w:tab w:val="right" w:leader="dot" w:pos="8959"/>
        </w:tabs>
        <w:ind w:firstLine="420" w:firstLineChars="200"/>
      </w:pPr>
      <w:r>
        <w:fldChar w:fldCharType="begin"/>
      </w:r>
      <w:r>
        <w:instrText xml:space="preserve"> HYPERLINK \l "_Toc3168" </w:instrText>
      </w:r>
      <w:r>
        <w:fldChar w:fldCharType="separate"/>
      </w:r>
      <w:r>
        <w:rPr>
          <w:rFonts w:hint="eastAsia" w:ascii="宋体" w:hAnsi="宋体" w:cs="宋体"/>
          <w:szCs w:val="21"/>
        </w:rPr>
        <w:t>前附表</w:t>
      </w:r>
      <w:r>
        <w:tab/>
      </w:r>
      <w:r>
        <w:fldChar w:fldCharType="begin"/>
      </w:r>
      <w:r>
        <w:instrText xml:space="preserve"> PAGEREF _Toc3168 \h </w:instrText>
      </w:r>
      <w:r>
        <w:fldChar w:fldCharType="separate"/>
      </w:r>
      <w:r>
        <w:t>19</w:t>
      </w:r>
      <w:r>
        <w:fldChar w:fldCharType="end"/>
      </w:r>
      <w:r>
        <w:fldChar w:fldCharType="end"/>
      </w:r>
    </w:p>
    <w:p>
      <w:pPr>
        <w:pStyle w:val="25"/>
        <w:tabs>
          <w:tab w:val="right" w:leader="dot" w:pos="8959"/>
        </w:tabs>
        <w:ind w:firstLine="420" w:firstLineChars="200"/>
      </w:pPr>
      <w:r>
        <w:fldChar w:fldCharType="begin"/>
      </w:r>
      <w:r>
        <w:instrText xml:space="preserve"> HYPERLINK \l "_Toc6123" </w:instrText>
      </w:r>
      <w:r>
        <w:fldChar w:fldCharType="separate"/>
      </w:r>
      <w:r>
        <w:rPr>
          <w:rFonts w:hint="eastAsia" w:ascii="宋体" w:hAnsi="宋体" w:cs="宋体"/>
          <w:szCs w:val="21"/>
        </w:rPr>
        <w:t>一、 总  则</w:t>
      </w:r>
      <w:r>
        <w:tab/>
      </w:r>
      <w:r>
        <w:fldChar w:fldCharType="begin"/>
      </w:r>
      <w:r>
        <w:instrText xml:space="preserve"> PAGEREF _Toc6123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"_Toc19734" </w:instrText>
      </w:r>
      <w:r>
        <w:fldChar w:fldCharType="separate"/>
      </w:r>
      <w:r>
        <w:rPr>
          <w:rFonts w:hint="eastAsia" w:ascii="宋体" w:hAnsi="宋体" w:cs="宋体"/>
          <w:szCs w:val="21"/>
        </w:rPr>
        <w:t>（一） 适用范围</w:t>
      </w:r>
      <w:r>
        <w:tab/>
      </w:r>
      <w:r>
        <w:fldChar w:fldCharType="begin"/>
      </w:r>
      <w:r>
        <w:instrText xml:space="preserve"> PAGEREF _Toc19734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"_Toc7330" </w:instrText>
      </w:r>
      <w:r>
        <w:fldChar w:fldCharType="separate"/>
      </w:r>
      <w:r>
        <w:rPr>
          <w:rFonts w:hint="eastAsia" w:ascii="宋体" w:hAnsi="宋体" w:cs="宋体"/>
          <w:szCs w:val="21"/>
        </w:rPr>
        <w:t>（二）定义</w:t>
      </w:r>
      <w:r>
        <w:tab/>
      </w:r>
      <w:r>
        <w:fldChar w:fldCharType="begin"/>
      </w:r>
      <w:r>
        <w:instrText xml:space="preserve"> PAGEREF _Toc7330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"_Toc15744" </w:instrText>
      </w:r>
      <w:r>
        <w:fldChar w:fldCharType="separate"/>
      </w:r>
      <w:r>
        <w:rPr>
          <w:rFonts w:hint="eastAsia" w:ascii="宋体" w:hAnsi="宋体" w:cs="宋体"/>
          <w:szCs w:val="21"/>
        </w:rPr>
        <w:t>（三）招标方式</w:t>
      </w:r>
      <w:r>
        <w:tab/>
      </w:r>
      <w:r>
        <w:fldChar w:fldCharType="begin"/>
      </w:r>
      <w:r>
        <w:instrText xml:space="preserve"> PAGEREF _Toc15744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"_Toc22098" </w:instrText>
      </w:r>
      <w:r>
        <w:fldChar w:fldCharType="separate"/>
      </w:r>
      <w:r>
        <w:rPr>
          <w:rFonts w:hint="eastAsia" w:ascii="宋体" w:hAnsi="宋体" w:cs="宋体"/>
          <w:szCs w:val="21"/>
        </w:rPr>
        <w:t>（四）投标委托</w:t>
      </w:r>
      <w:r>
        <w:tab/>
      </w:r>
      <w:r>
        <w:fldChar w:fldCharType="begin"/>
      </w:r>
      <w:r>
        <w:instrText xml:space="preserve"> PAGEREF _Toc22098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"_Toc23498" </w:instrText>
      </w:r>
      <w:r>
        <w:fldChar w:fldCharType="separate"/>
      </w:r>
      <w:r>
        <w:rPr>
          <w:rFonts w:hint="eastAsia" w:ascii="宋体" w:hAnsi="宋体" w:cs="宋体"/>
          <w:szCs w:val="21"/>
        </w:rPr>
        <w:t>（五）投标费用</w:t>
      </w:r>
      <w:r>
        <w:tab/>
      </w:r>
      <w:r>
        <w:fldChar w:fldCharType="begin"/>
      </w:r>
      <w:r>
        <w:instrText xml:space="preserve"> PAGEREF _Toc23498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"_Toc21764" </w:instrText>
      </w:r>
      <w:r>
        <w:fldChar w:fldCharType="separate"/>
      </w:r>
      <w:r>
        <w:rPr>
          <w:rFonts w:hint="eastAsia" w:ascii="宋体" w:hAnsi="宋体" w:cs="宋体"/>
          <w:szCs w:val="21"/>
        </w:rPr>
        <w:t>（六）联合体投标</w:t>
      </w:r>
      <w:r>
        <w:tab/>
      </w:r>
      <w:r>
        <w:fldChar w:fldCharType="begin"/>
      </w:r>
      <w:r>
        <w:instrText xml:space="preserve"> PAGEREF _Toc21764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"_Toc8227" </w:instrText>
      </w:r>
      <w:r>
        <w:fldChar w:fldCharType="separate"/>
      </w:r>
      <w:r>
        <w:rPr>
          <w:rFonts w:hint="eastAsia" w:ascii="宋体" w:hAnsi="宋体" w:cs="宋体"/>
          <w:szCs w:val="21"/>
        </w:rPr>
        <w:t>（七）转包与分包</w:t>
      </w:r>
      <w:r>
        <w:tab/>
      </w:r>
      <w:r>
        <w:fldChar w:fldCharType="begin"/>
      </w:r>
      <w:r>
        <w:instrText xml:space="preserve"> PAGEREF _Toc8227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"_Toc24401" </w:instrText>
      </w:r>
      <w:r>
        <w:fldChar w:fldCharType="separate"/>
      </w:r>
      <w:r>
        <w:rPr>
          <w:rFonts w:hint="eastAsia" w:ascii="宋体" w:hAnsi="宋体" w:cs="宋体"/>
          <w:szCs w:val="21"/>
        </w:rPr>
        <w:t>（八）特别说明</w:t>
      </w:r>
      <w:r>
        <w:tab/>
      </w:r>
      <w:r>
        <w:fldChar w:fldCharType="begin"/>
      </w:r>
      <w:r>
        <w:instrText xml:space="preserve"> PAGEREF _Toc24401 \h </w:instrText>
      </w:r>
      <w:r>
        <w:fldChar w:fldCharType="separate"/>
      </w:r>
      <w:r>
        <w:t>22</w:t>
      </w:r>
      <w:r>
        <w:fldChar w:fldCharType="end"/>
      </w:r>
      <w:r>
        <w:fldChar w:fldCharType="end"/>
      </w:r>
    </w:p>
    <w:p>
      <w:pPr>
        <w:pStyle w:val="25"/>
        <w:tabs>
          <w:tab w:val="right" w:leader="dot" w:pos="8959"/>
        </w:tabs>
        <w:ind w:firstLine="630" w:firstLineChars="300"/>
      </w:pPr>
      <w:r>
        <w:fldChar w:fldCharType="begin"/>
      </w:r>
      <w:r>
        <w:instrText xml:space="preserve"> HYPERLINK \l "_Toc12630" </w:instrText>
      </w:r>
      <w:r>
        <w:fldChar w:fldCharType="separate"/>
      </w:r>
      <w:r>
        <w:rPr>
          <w:rFonts w:hint="eastAsia" w:ascii="宋体" w:hAnsi="宋体" w:cs="宋体"/>
          <w:szCs w:val="21"/>
        </w:rPr>
        <w:t>（九）质疑和投诉</w:t>
      </w:r>
      <w:r>
        <w:tab/>
      </w:r>
      <w:r>
        <w:fldChar w:fldCharType="begin"/>
      </w:r>
      <w:r>
        <w:instrText xml:space="preserve"> PAGEREF _Toc12630 \h </w:instrText>
      </w:r>
      <w:r>
        <w:fldChar w:fldCharType="separate"/>
      </w:r>
      <w:r>
        <w:t>23</w:t>
      </w:r>
      <w:r>
        <w:fldChar w:fldCharType="end"/>
      </w:r>
      <w:r>
        <w:fldChar w:fldCharType="end"/>
      </w:r>
    </w:p>
    <w:p>
      <w:pPr>
        <w:pStyle w:val="25"/>
        <w:tabs>
          <w:tab w:val="right" w:leader="dot" w:pos="8959"/>
        </w:tabs>
        <w:ind w:firstLine="420" w:firstLineChars="200"/>
      </w:pPr>
      <w:r>
        <w:fldChar w:fldCharType="begin"/>
      </w:r>
      <w:r>
        <w:instrText xml:space="preserve"> HYPERLINK \l "_Toc30983" </w:instrText>
      </w:r>
      <w:r>
        <w:fldChar w:fldCharType="separate"/>
      </w:r>
      <w:r>
        <w:rPr>
          <w:rFonts w:hint="eastAsia" w:ascii="宋体" w:hAnsi="宋体" w:cs="宋体"/>
          <w:szCs w:val="21"/>
        </w:rPr>
        <w:t>二、招标文件</w:t>
      </w:r>
      <w:r>
        <w:tab/>
      </w:r>
      <w:r>
        <w:fldChar w:fldCharType="begin"/>
      </w:r>
      <w:r>
        <w:instrText xml:space="preserve"> PAGEREF _Toc30983 \h </w:instrText>
      </w:r>
      <w:r>
        <w:fldChar w:fldCharType="separate"/>
      </w:r>
      <w:r>
        <w:t>23</w:t>
      </w:r>
      <w:r>
        <w:fldChar w:fldCharType="end"/>
      </w:r>
      <w:r>
        <w:fldChar w:fldCharType="end"/>
      </w:r>
    </w:p>
    <w:p>
      <w:pPr>
        <w:pStyle w:val="25"/>
        <w:tabs>
          <w:tab w:val="right" w:leader="dot" w:pos="8959"/>
        </w:tabs>
        <w:ind w:firstLine="630" w:firstLineChars="300"/>
      </w:pPr>
      <w:r>
        <w:fldChar w:fldCharType="begin"/>
      </w:r>
      <w:r>
        <w:instrText xml:space="preserve"> HYPERLINK \l "_Toc25447" </w:instrText>
      </w:r>
      <w:r>
        <w:fldChar w:fldCharType="separate"/>
      </w:r>
      <w:r>
        <w:rPr>
          <w:rFonts w:hint="eastAsia" w:ascii="宋体" w:hAnsi="宋体" w:cs="宋体"/>
          <w:szCs w:val="21"/>
        </w:rPr>
        <w:t>（一）招标文件的构成</w:t>
      </w:r>
      <w:r>
        <w:tab/>
      </w:r>
      <w:r>
        <w:fldChar w:fldCharType="begin"/>
      </w:r>
      <w:r>
        <w:instrText xml:space="preserve"> PAGEREF _Toc25447 \h </w:instrText>
      </w:r>
      <w:r>
        <w:fldChar w:fldCharType="separate"/>
      </w:r>
      <w:r>
        <w:t>24</w:t>
      </w:r>
      <w:r>
        <w:fldChar w:fldCharType="end"/>
      </w:r>
      <w:r>
        <w:fldChar w:fldCharType="end"/>
      </w:r>
    </w:p>
    <w:p>
      <w:pPr>
        <w:pStyle w:val="25"/>
        <w:tabs>
          <w:tab w:val="right" w:leader="dot" w:pos="8959"/>
        </w:tabs>
        <w:ind w:firstLine="630" w:firstLineChars="300"/>
      </w:pPr>
      <w:r>
        <w:fldChar w:fldCharType="begin"/>
      </w:r>
      <w:r>
        <w:instrText xml:space="preserve"> HYPERLINK \l "_Toc12252" </w:instrText>
      </w:r>
      <w:r>
        <w:fldChar w:fldCharType="separate"/>
      </w:r>
      <w:r>
        <w:rPr>
          <w:rFonts w:hint="eastAsia" w:ascii="宋体" w:hAnsi="宋体" w:cs="宋体"/>
          <w:szCs w:val="21"/>
        </w:rPr>
        <w:t>（二）投标人的风险</w:t>
      </w:r>
      <w:r>
        <w:tab/>
      </w:r>
      <w:r>
        <w:fldChar w:fldCharType="begin"/>
      </w:r>
      <w:r>
        <w:instrText xml:space="preserve"> PAGEREF _Toc12252 \h </w:instrText>
      </w:r>
      <w:r>
        <w:fldChar w:fldCharType="separate"/>
      </w:r>
      <w:r>
        <w:t>24</w:t>
      </w:r>
      <w:r>
        <w:fldChar w:fldCharType="end"/>
      </w:r>
      <w:r>
        <w:fldChar w:fldCharType="end"/>
      </w:r>
    </w:p>
    <w:p>
      <w:pPr>
        <w:pStyle w:val="25"/>
        <w:tabs>
          <w:tab w:val="right" w:leader="dot" w:pos="8959"/>
        </w:tabs>
        <w:ind w:firstLine="630" w:firstLineChars="300"/>
      </w:pPr>
      <w:r>
        <w:fldChar w:fldCharType="begin"/>
      </w:r>
      <w:r>
        <w:instrText xml:space="preserve"> HYPERLINK \l "_Toc30699" </w:instrText>
      </w:r>
      <w:r>
        <w:fldChar w:fldCharType="separate"/>
      </w:r>
      <w:r>
        <w:rPr>
          <w:rFonts w:hint="eastAsia" w:ascii="宋体" w:hAnsi="宋体" w:cs="宋体"/>
          <w:szCs w:val="21"/>
        </w:rPr>
        <w:t>（三）招标文件的澄清与修改</w:t>
      </w:r>
      <w:r>
        <w:tab/>
      </w:r>
      <w:r>
        <w:fldChar w:fldCharType="begin"/>
      </w:r>
      <w:r>
        <w:instrText xml:space="preserve"> PAGEREF _Toc30699 \h </w:instrText>
      </w:r>
      <w:r>
        <w:fldChar w:fldCharType="separate"/>
      </w:r>
      <w:r>
        <w:t>24</w:t>
      </w:r>
      <w:r>
        <w:fldChar w:fldCharType="end"/>
      </w:r>
      <w:r>
        <w:fldChar w:fldCharType="end"/>
      </w:r>
    </w:p>
    <w:p>
      <w:pPr>
        <w:pStyle w:val="25"/>
        <w:tabs>
          <w:tab w:val="right" w:leader="dot" w:pos="8959"/>
        </w:tabs>
        <w:ind w:firstLine="420" w:firstLineChars="200"/>
      </w:pPr>
      <w:r>
        <w:fldChar w:fldCharType="begin"/>
      </w:r>
      <w:r>
        <w:instrText xml:space="preserve"> HYPERLINK \l "_Toc26344" </w:instrText>
      </w:r>
      <w:r>
        <w:fldChar w:fldCharType="separate"/>
      </w:r>
      <w:r>
        <w:rPr>
          <w:rFonts w:hint="eastAsia" w:ascii="宋体" w:hAnsi="宋体" w:cs="宋体"/>
          <w:szCs w:val="21"/>
        </w:rPr>
        <w:t>三、投标文件的编制</w:t>
      </w:r>
      <w:r>
        <w:tab/>
      </w:r>
      <w:r>
        <w:fldChar w:fldCharType="begin"/>
      </w:r>
      <w:r>
        <w:instrText xml:space="preserve"> PAGEREF _Toc26344 \h </w:instrText>
      </w:r>
      <w:r>
        <w:fldChar w:fldCharType="separate"/>
      </w:r>
      <w:r>
        <w:t>24</w:t>
      </w:r>
      <w:r>
        <w:fldChar w:fldCharType="end"/>
      </w:r>
      <w:r>
        <w:fldChar w:fldCharType="end"/>
      </w:r>
    </w:p>
    <w:p>
      <w:pPr>
        <w:pStyle w:val="25"/>
        <w:tabs>
          <w:tab w:val="right" w:leader="dot" w:pos="8959"/>
        </w:tabs>
        <w:ind w:firstLine="630" w:firstLineChars="300"/>
      </w:pPr>
      <w:r>
        <w:fldChar w:fldCharType="begin"/>
      </w:r>
      <w:r>
        <w:instrText xml:space="preserve"> HYPERLINK \l "_Toc5670" </w:instrText>
      </w:r>
      <w:r>
        <w:fldChar w:fldCharType="separate"/>
      </w:r>
      <w:r>
        <w:rPr>
          <w:rFonts w:hint="eastAsia" w:ascii="宋体" w:hAnsi="宋体" w:cs="宋体"/>
          <w:szCs w:val="21"/>
        </w:rPr>
        <w:t>（一）投标文件的组成</w:t>
      </w:r>
      <w:r>
        <w:tab/>
      </w:r>
      <w:r>
        <w:fldChar w:fldCharType="begin"/>
      </w:r>
      <w:r>
        <w:instrText xml:space="preserve"> PAGEREF _Toc5670 \h </w:instrText>
      </w:r>
      <w:r>
        <w:fldChar w:fldCharType="separate"/>
      </w:r>
      <w:r>
        <w:t>24</w:t>
      </w:r>
      <w:r>
        <w:fldChar w:fldCharType="end"/>
      </w:r>
      <w:r>
        <w:fldChar w:fldCharType="end"/>
      </w:r>
    </w:p>
    <w:p>
      <w:pPr>
        <w:pStyle w:val="25"/>
        <w:tabs>
          <w:tab w:val="right" w:leader="dot" w:pos="8959"/>
        </w:tabs>
        <w:ind w:firstLine="630" w:firstLineChars="300"/>
      </w:pPr>
      <w:r>
        <w:fldChar w:fldCharType="begin"/>
      </w:r>
      <w:r>
        <w:instrText xml:space="preserve"> HYPERLINK \l "_Toc24250" </w:instrText>
      </w:r>
      <w:r>
        <w:fldChar w:fldCharType="separate"/>
      </w:r>
      <w:r>
        <w:rPr>
          <w:rFonts w:hint="eastAsia" w:ascii="宋体" w:hAnsi="宋体" w:cs="宋体"/>
          <w:szCs w:val="21"/>
        </w:rPr>
        <w:t>（二）投标文件的语言及计量</w:t>
      </w:r>
      <w:r>
        <w:tab/>
      </w:r>
      <w:r>
        <w:fldChar w:fldCharType="begin"/>
      </w:r>
      <w:r>
        <w:instrText xml:space="preserve"> PAGEREF _Toc24250 \h </w:instrText>
      </w:r>
      <w:r>
        <w:fldChar w:fldCharType="separate"/>
      </w:r>
      <w:r>
        <w:t>26</w:t>
      </w:r>
      <w:r>
        <w:fldChar w:fldCharType="end"/>
      </w:r>
      <w:r>
        <w:fldChar w:fldCharType="end"/>
      </w:r>
    </w:p>
    <w:p>
      <w:pPr>
        <w:pStyle w:val="25"/>
        <w:tabs>
          <w:tab w:val="right" w:leader="dot" w:pos="8959"/>
        </w:tabs>
        <w:ind w:firstLine="630" w:firstLineChars="300"/>
      </w:pPr>
      <w:r>
        <w:fldChar w:fldCharType="begin"/>
      </w:r>
      <w:r>
        <w:instrText xml:space="preserve"> HYPERLINK \l "_Toc24902" </w:instrText>
      </w:r>
      <w:r>
        <w:fldChar w:fldCharType="separate"/>
      </w:r>
      <w:r>
        <w:rPr>
          <w:rFonts w:hint="eastAsia" w:ascii="宋体" w:hAnsi="宋体" w:cs="宋体"/>
          <w:szCs w:val="21"/>
        </w:rPr>
        <w:t>（三）投标报价</w:t>
      </w:r>
      <w:r>
        <w:tab/>
      </w:r>
      <w:r>
        <w:fldChar w:fldCharType="begin"/>
      </w:r>
      <w:r>
        <w:instrText xml:space="preserve"> PAGEREF _Toc24902 \h </w:instrText>
      </w:r>
      <w:r>
        <w:fldChar w:fldCharType="separate"/>
      </w:r>
      <w:r>
        <w:t>26</w:t>
      </w:r>
      <w:r>
        <w:fldChar w:fldCharType="end"/>
      </w:r>
      <w:r>
        <w:fldChar w:fldCharType="end"/>
      </w:r>
    </w:p>
    <w:p>
      <w:pPr>
        <w:pStyle w:val="25"/>
        <w:tabs>
          <w:tab w:val="right" w:leader="dot" w:pos="8959"/>
        </w:tabs>
        <w:ind w:firstLine="630" w:firstLineChars="300"/>
      </w:pPr>
      <w:r>
        <w:fldChar w:fldCharType="begin"/>
      </w:r>
      <w:r>
        <w:instrText xml:space="preserve"> HYPERLINK \l "_Toc26432" </w:instrText>
      </w:r>
      <w:r>
        <w:fldChar w:fldCharType="separate"/>
      </w:r>
      <w:r>
        <w:rPr>
          <w:rFonts w:hint="eastAsia" w:ascii="宋体" w:hAnsi="宋体" w:cs="宋体"/>
          <w:szCs w:val="21"/>
        </w:rPr>
        <w:t>（四）投标文件的有效期</w:t>
      </w:r>
      <w:r>
        <w:tab/>
      </w:r>
      <w:r>
        <w:fldChar w:fldCharType="begin"/>
      </w:r>
      <w:r>
        <w:instrText xml:space="preserve"> PAGEREF _Toc26432 \h </w:instrText>
      </w:r>
      <w:r>
        <w:fldChar w:fldCharType="separate"/>
      </w:r>
      <w:r>
        <w:t>26</w:t>
      </w:r>
      <w:r>
        <w:fldChar w:fldCharType="end"/>
      </w:r>
      <w:r>
        <w:fldChar w:fldCharType="end"/>
      </w:r>
    </w:p>
    <w:p>
      <w:pPr>
        <w:pStyle w:val="25"/>
        <w:tabs>
          <w:tab w:val="right" w:leader="dot" w:pos="8959"/>
        </w:tabs>
        <w:ind w:firstLine="630" w:firstLineChars="300"/>
      </w:pPr>
      <w:r>
        <w:fldChar w:fldCharType="begin"/>
      </w:r>
      <w:r>
        <w:instrText xml:space="preserve"> HYPERLINK \l "_Toc1318" </w:instrText>
      </w:r>
      <w:r>
        <w:fldChar w:fldCharType="separate"/>
      </w:r>
      <w:r>
        <w:rPr>
          <w:rFonts w:hint="eastAsia" w:ascii="宋体" w:hAnsi="宋体" w:cs="宋体"/>
          <w:bCs/>
          <w:szCs w:val="21"/>
        </w:rPr>
        <w:t>（五）投标文件的签署和份数</w:t>
      </w:r>
      <w:r>
        <w:tab/>
      </w:r>
      <w:r>
        <w:fldChar w:fldCharType="begin"/>
      </w:r>
      <w:r>
        <w:instrText xml:space="preserve"> PAGEREF _Toc1318 \h </w:instrText>
      </w:r>
      <w:r>
        <w:fldChar w:fldCharType="separate"/>
      </w:r>
      <w:r>
        <w:t>26</w:t>
      </w:r>
      <w:r>
        <w:fldChar w:fldCharType="end"/>
      </w:r>
      <w:r>
        <w:fldChar w:fldCharType="end"/>
      </w:r>
    </w:p>
    <w:p>
      <w:pPr>
        <w:pStyle w:val="25"/>
        <w:tabs>
          <w:tab w:val="right" w:leader="dot" w:pos="8959"/>
        </w:tabs>
        <w:ind w:firstLine="630" w:firstLineChars="300"/>
      </w:pPr>
      <w:r>
        <w:fldChar w:fldCharType="begin"/>
      </w:r>
      <w:r>
        <w:instrText xml:space="preserve"> HYPERLINK \l "_Toc20965" </w:instrText>
      </w:r>
      <w:r>
        <w:fldChar w:fldCharType="separate"/>
      </w:r>
      <w:r>
        <w:rPr>
          <w:rFonts w:hint="eastAsia" w:ascii="宋体" w:hAnsi="宋体" w:cs="宋体"/>
          <w:szCs w:val="21"/>
        </w:rPr>
        <w:t>（六）投标文件的包装、递交、修改和撤回</w:t>
      </w:r>
      <w:r>
        <w:tab/>
      </w:r>
      <w:r>
        <w:fldChar w:fldCharType="begin"/>
      </w:r>
      <w:r>
        <w:instrText xml:space="preserve"> PAGEREF _Toc20965 \h </w:instrText>
      </w:r>
      <w:r>
        <w:fldChar w:fldCharType="separate"/>
      </w:r>
      <w:r>
        <w:t>26</w:t>
      </w:r>
      <w:r>
        <w:fldChar w:fldCharType="end"/>
      </w:r>
      <w:r>
        <w:fldChar w:fldCharType="end"/>
      </w:r>
    </w:p>
    <w:p>
      <w:pPr>
        <w:pStyle w:val="25"/>
        <w:tabs>
          <w:tab w:val="right" w:leader="dot" w:pos="8959"/>
        </w:tabs>
        <w:ind w:firstLine="630" w:firstLineChars="300"/>
      </w:pPr>
      <w:r>
        <w:fldChar w:fldCharType="begin"/>
      </w:r>
      <w:r>
        <w:instrText xml:space="preserve"> HYPERLINK \l "_Toc5764" </w:instrText>
      </w:r>
      <w:r>
        <w:fldChar w:fldCharType="separate"/>
      </w:r>
      <w:r>
        <w:rPr>
          <w:rFonts w:hint="eastAsia" w:ascii="宋体" w:hAnsi="宋体" w:cs="宋体"/>
          <w:szCs w:val="21"/>
        </w:rPr>
        <w:t>（七）投标无效的情形</w:t>
      </w:r>
      <w:r>
        <w:tab/>
      </w:r>
      <w:r>
        <w:fldChar w:fldCharType="begin"/>
      </w:r>
      <w:r>
        <w:instrText xml:space="preserve"> PAGEREF _Toc5764 \h </w:instrText>
      </w:r>
      <w:r>
        <w:fldChar w:fldCharType="separate"/>
      </w:r>
      <w:r>
        <w:t>27</w:t>
      </w:r>
      <w:r>
        <w:fldChar w:fldCharType="end"/>
      </w:r>
      <w:r>
        <w:fldChar w:fldCharType="end"/>
      </w:r>
    </w:p>
    <w:p>
      <w:pPr>
        <w:pStyle w:val="25"/>
        <w:tabs>
          <w:tab w:val="right" w:leader="dot" w:pos="8959"/>
        </w:tabs>
        <w:ind w:firstLine="420" w:firstLineChars="200"/>
      </w:pPr>
      <w:r>
        <w:fldChar w:fldCharType="begin"/>
      </w:r>
      <w:r>
        <w:instrText xml:space="preserve"> HYPERLINK \l "_Toc11654" </w:instrText>
      </w:r>
      <w:r>
        <w:fldChar w:fldCharType="separate"/>
      </w:r>
      <w:r>
        <w:rPr>
          <w:rFonts w:hint="eastAsia" w:ascii="宋体" w:hAnsi="宋体" w:cs="宋体"/>
          <w:szCs w:val="21"/>
        </w:rPr>
        <w:t>四、开标</w:t>
      </w:r>
      <w:r>
        <w:tab/>
      </w:r>
      <w:r>
        <w:fldChar w:fldCharType="begin"/>
      </w:r>
      <w:r>
        <w:instrText xml:space="preserve"> PAGEREF _Toc11654 \h </w:instrText>
      </w:r>
      <w:r>
        <w:fldChar w:fldCharType="separate"/>
      </w:r>
      <w:r>
        <w:t>27</w:t>
      </w:r>
      <w:r>
        <w:fldChar w:fldCharType="end"/>
      </w:r>
      <w:r>
        <w:fldChar w:fldCharType="end"/>
      </w:r>
    </w:p>
    <w:p>
      <w:pPr>
        <w:pStyle w:val="25"/>
        <w:tabs>
          <w:tab w:val="right" w:leader="dot" w:pos="8959"/>
        </w:tabs>
        <w:ind w:firstLine="420" w:firstLineChars="200"/>
      </w:pPr>
      <w:r>
        <w:fldChar w:fldCharType="begin"/>
      </w:r>
      <w:r>
        <w:instrText xml:space="preserve"> HYPERLINK \l "_Toc18832" </w:instrText>
      </w:r>
      <w:r>
        <w:fldChar w:fldCharType="separate"/>
      </w:r>
      <w:r>
        <w:rPr>
          <w:rFonts w:hint="eastAsia" w:ascii="宋体" w:hAnsi="宋体" w:cs="宋体"/>
          <w:bCs/>
          <w:szCs w:val="21"/>
        </w:rPr>
        <w:t>五、评标</w:t>
      </w:r>
      <w:r>
        <w:tab/>
      </w:r>
      <w:r>
        <w:fldChar w:fldCharType="begin"/>
      </w:r>
      <w:r>
        <w:instrText xml:space="preserve"> PAGEREF _Toc18832 \h </w:instrText>
      </w:r>
      <w:r>
        <w:fldChar w:fldCharType="separate"/>
      </w:r>
      <w:r>
        <w:t>27</w:t>
      </w:r>
      <w:r>
        <w:fldChar w:fldCharType="end"/>
      </w:r>
      <w:r>
        <w:fldChar w:fldCharType="end"/>
      </w:r>
    </w:p>
    <w:p>
      <w:pPr>
        <w:pStyle w:val="25"/>
        <w:tabs>
          <w:tab w:val="right" w:leader="dot" w:pos="8959"/>
        </w:tabs>
        <w:ind w:firstLine="420" w:firstLineChars="200"/>
      </w:pPr>
      <w:r>
        <w:fldChar w:fldCharType="begin"/>
      </w:r>
      <w:r>
        <w:instrText xml:space="preserve"> HYPERLINK \l "_Toc25394" </w:instrText>
      </w:r>
      <w:r>
        <w:fldChar w:fldCharType="separate"/>
      </w:r>
      <w:r>
        <w:rPr>
          <w:rFonts w:hint="eastAsia" w:ascii="宋体" w:hAnsi="宋体" w:cs="宋体"/>
          <w:bCs/>
          <w:szCs w:val="21"/>
        </w:rPr>
        <w:t>六、采购方式变更</w:t>
      </w:r>
      <w:r>
        <w:tab/>
      </w:r>
      <w:r>
        <w:fldChar w:fldCharType="begin"/>
      </w:r>
      <w:r>
        <w:instrText xml:space="preserve"> PAGEREF _Toc25394 \h </w:instrText>
      </w:r>
      <w:r>
        <w:fldChar w:fldCharType="separate"/>
      </w:r>
      <w:r>
        <w:t>28</w:t>
      </w:r>
      <w:r>
        <w:fldChar w:fldCharType="end"/>
      </w:r>
      <w:r>
        <w:fldChar w:fldCharType="end"/>
      </w:r>
    </w:p>
    <w:p>
      <w:pPr>
        <w:pStyle w:val="25"/>
        <w:tabs>
          <w:tab w:val="right" w:leader="dot" w:pos="8959"/>
        </w:tabs>
        <w:ind w:firstLine="420" w:firstLineChars="200"/>
      </w:pPr>
      <w:r>
        <w:fldChar w:fldCharType="begin"/>
      </w:r>
      <w:r>
        <w:instrText xml:space="preserve"> HYPERLINK \l "_Toc23096" </w:instrText>
      </w:r>
      <w:r>
        <w:fldChar w:fldCharType="separate"/>
      </w:r>
      <w:r>
        <w:rPr>
          <w:rFonts w:hint="eastAsia" w:ascii="宋体" w:hAnsi="宋体" w:cs="宋体"/>
          <w:bCs/>
          <w:szCs w:val="21"/>
        </w:rPr>
        <w:t>七、定标</w:t>
      </w:r>
      <w:r>
        <w:tab/>
      </w:r>
      <w:r>
        <w:fldChar w:fldCharType="begin"/>
      </w:r>
      <w:r>
        <w:instrText xml:space="preserve"> PAGEREF _Toc23096 \h </w:instrText>
      </w:r>
      <w:r>
        <w:fldChar w:fldCharType="separate"/>
      </w:r>
      <w:r>
        <w:t>28</w:t>
      </w:r>
      <w:r>
        <w:fldChar w:fldCharType="end"/>
      </w:r>
      <w:r>
        <w:fldChar w:fldCharType="end"/>
      </w:r>
    </w:p>
    <w:p>
      <w:pPr>
        <w:pStyle w:val="25"/>
        <w:tabs>
          <w:tab w:val="right" w:leader="dot" w:pos="8959"/>
        </w:tabs>
        <w:ind w:firstLine="420" w:firstLineChars="200"/>
      </w:pPr>
      <w:r>
        <w:fldChar w:fldCharType="begin"/>
      </w:r>
      <w:r>
        <w:instrText xml:space="preserve"> HYPERLINK \l "_Toc16853" </w:instrText>
      </w:r>
      <w:r>
        <w:fldChar w:fldCharType="separate"/>
      </w:r>
      <w:r>
        <w:rPr>
          <w:rFonts w:hint="eastAsia" w:ascii="宋体" w:hAnsi="宋体" w:cs="宋体"/>
          <w:bCs/>
          <w:szCs w:val="21"/>
        </w:rPr>
        <w:t>八、评标过程的监控</w:t>
      </w:r>
      <w:r>
        <w:tab/>
      </w:r>
      <w:r>
        <w:fldChar w:fldCharType="begin"/>
      </w:r>
      <w:r>
        <w:instrText xml:space="preserve"> PAGEREF _Toc16853 \h </w:instrText>
      </w:r>
      <w:r>
        <w:fldChar w:fldCharType="separate"/>
      </w:r>
      <w:r>
        <w:t>29</w:t>
      </w:r>
      <w:r>
        <w:fldChar w:fldCharType="end"/>
      </w:r>
      <w:r>
        <w:fldChar w:fldCharType="end"/>
      </w:r>
    </w:p>
    <w:p>
      <w:pPr>
        <w:pStyle w:val="25"/>
        <w:tabs>
          <w:tab w:val="right" w:leader="dot" w:pos="8959"/>
        </w:tabs>
        <w:ind w:firstLine="420" w:firstLineChars="200"/>
      </w:pPr>
      <w:r>
        <w:fldChar w:fldCharType="begin"/>
      </w:r>
      <w:r>
        <w:instrText xml:space="preserve"> HYPERLINK \l "_Toc7076" </w:instrText>
      </w:r>
      <w:r>
        <w:fldChar w:fldCharType="separate"/>
      </w:r>
      <w:r>
        <w:rPr>
          <w:rFonts w:hint="eastAsia" w:ascii="宋体" w:hAnsi="宋体" w:cs="宋体"/>
          <w:bCs/>
          <w:szCs w:val="21"/>
        </w:rPr>
        <w:t>九、合同授予</w:t>
      </w:r>
      <w:r>
        <w:tab/>
      </w:r>
      <w:r>
        <w:fldChar w:fldCharType="begin"/>
      </w:r>
      <w:r>
        <w:instrText xml:space="preserve"> PAGEREF _Toc7076 \h </w:instrText>
      </w:r>
      <w:r>
        <w:fldChar w:fldCharType="separate"/>
      </w:r>
      <w:r>
        <w:t>29</w:t>
      </w:r>
      <w:r>
        <w:fldChar w:fldCharType="end"/>
      </w:r>
      <w:r>
        <w:fldChar w:fldCharType="end"/>
      </w:r>
    </w:p>
    <w:p>
      <w:pPr>
        <w:pStyle w:val="25"/>
        <w:tabs>
          <w:tab w:val="right" w:leader="dot" w:pos="8959"/>
        </w:tabs>
        <w:ind w:firstLine="420" w:firstLineChars="200"/>
      </w:pPr>
      <w:r>
        <w:fldChar w:fldCharType="begin"/>
      </w:r>
      <w:r>
        <w:instrText xml:space="preserve"> HYPERLINK \l "_Toc14388" </w:instrText>
      </w:r>
      <w:r>
        <w:fldChar w:fldCharType="separate"/>
      </w:r>
      <w:r>
        <w:rPr>
          <w:rFonts w:hint="eastAsia" w:ascii="宋体" w:hAnsi="宋体" w:cs="宋体"/>
          <w:bCs/>
          <w:szCs w:val="21"/>
        </w:rPr>
        <w:t>十、特别说明</w:t>
      </w:r>
      <w:r>
        <w:tab/>
      </w:r>
      <w:r>
        <w:fldChar w:fldCharType="begin"/>
      </w:r>
      <w:r>
        <w:instrText xml:space="preserve"> PAGEREF _Toc14388 \h </w:instrText>
      </w:r>
      <w:r>
        <w:fldChar w:fldCharType="separate"/>
      </w:r>
      <w:r>
        <w:t>29</w:t>
      </w:r>
      <w:r>
        <w:fldChar w:fldCharType="end"/>
      </w:r>
      <w:r>
        <w:fldChar w:fldCharType="end"/>
      </w:r>
    </w:p>
    <w:p>
      <w:pPr>
        <w:pStyle w:val="25"/>
        <w:tabs>
          <w:tab w:val="right" w:leader="dot" w:pos="8959"/>
        </w:tabs>
      </w:pPr>
      <w:r>
        <w:fldChar w:fldCharType="begin"/>
      </w:r>
      <w:r>
        <w:instrText xml:space="preserve"> HYPERLINK \l "_Toc4283" </w:instrText>
      </w:r>
      <w:r>
        <w:fldChar w:fldCharType="separate"/>
      </w:r>
      <w:r>
        <w:rPr>
          <w:rFonts w:hint="eastAsia" w:ascii="宋体" w:hAnsi="宋体" w:cs="宋体"/>
        </w:rPr>
        <w:t>第四章  评标办法及评分标准</w:t>
      </w:r>
      <w:r>
        <w:tab/>
      </w:r>
      <w:r>
        <w:fldChar w:fldCharType="begin"/>
      </w:r>
      <w:r>
        <w:instrText xml:space="preserve"> PAGEREF _Toc4283 \h </w:instrText>
      </w:r>
      <w:r>
        <w:fldChar w:fldCharType="separate"/>
      </w:r>
      <w:r>
        <w:t>32</w:t>
      </w:r>
      <w:r>
        <w:fldChar w:fldCharType="end"/>
      </w:r>
      <w:r>
        <w:fldChar w:fldCharType="end"/>
      </w:r>
    </w:p>
    <w:p>
      <w:pPr>
        <w:pStyle w:val="29"/>
        <w:tabs>
          <w:tab w:val="right" w:leader="dot" w:pos="8959"/>
        </w:tabs>
        <w:ind w:left="420"/>
      </w:pPr>
      <w:r>
        <w:fldChar w:fldCharType="begin"/>
      </w:r>
      <w:r>
        <w:instrText xml:space="preserve"> HYPERLINK \l "_Toc15786" </w:instrText>
      </w:r>
      <w:r>
        <w:fldChar w:fldCharType="separate"/>
      </w:r>
      <w:r>
        <w:rPr>
          <w:rFonts w:hint="eastAsia" w:ascii="宋体" w:hAnsi="宋体" w:cs="宋体"/>
          <w:szCs w:val="21"/>
        </w:rPr>
        <w:t>一、开标程序</w:t>
      </w:r>
      <w:r>
        <w:tab/>
      </w:r>
      <w:r>
        <w:fldChar w:fldCharType="begin"/>
      </w:r>
      <w:r>
        <w:instrText xml:space="preserve"> PAGEREF _Toc15786 \h </w:instrText>
      </w:r>
      <w:r>
        <w:fldChar w:fldCharType="separate"/>
      </w:r>
      <w:r>
        <w:t>32</w:t>
      </w:r>
      <w:r>
        <w:fldChar w:fldCharType="end"/>
      </w:r>
      <w:r>
        <w:fldChar w:fldCharType="end"/>
      </w:r>
    </w:p>
    <w:p>
      <w:pPr>
        <w:pStyle w:val="29"/>
        <w:tabs>
          <w:tab w:val="right" w:leader="dot" w:pos="8959"/>
        </w:tabs>
        <w:ind w:left="420"/>
      </w:pPr>
      <w:r>
        <w:fldChar w:fldCharType="begin"/>
      </w:r>
      <w:r>
        <w:instrText xml:space="preserve"> HYPERLINK \l "_Toc20830" </w:instrText>
      </w:r>
      <w:r>
        <w:fldChar w:fldCharType="separate"/>
      </w:r>
      <w:r>
        <w:rPr>
          <w:rFonts w:hint="eastAsia" w:ascii="宋体" w:hAnsi="宋体" w:cs="宋体"/>
          <w:szCs w:val="21"/>
        </w:rPr>
        <w:t>二、评标委员会</w:t>
      </w:r>
      <w:r>
        <w:tab/>
      </w:r>
      <w:r>
        <w:fldChar w:fldCharType="begin"/>
      </w:r>
      <w:r>
        <w:instrText xml:space="preserve"> PAGEREF _Toc20830 \h </w:instrText>
      </w:r>
      <w:r>
        <w:fldChar w:fldCharType="separate"/>
      </w:r>
      <w:r>
        <w:t>32</w:t>
      </w:r>
      <w:r>
        <w:fldChar w:fldCharType="end"/>
      </w:r>
      <w:r>
        <w:fldChar w:fldCharType="end"/>
      </w:r>
    </w:p>
    <w:p>
      <w:pPr>
        <w:pStyle w:val="29"/>
        <w:tabs>
          <w:tab w:val="right" w:leader="dot" w:pos="8959"/>
        </w:tabs>
        <w:ind w:left="420"/>
      </w:pPr>
      <w:r>
        <w:fldChar w:fldCharType="begin"/>
      </w:r>
      <w:r>
        <w:instrText xml:space="preserve"> HYPERLINK \l "_Toc8899" </w:instrText>
      </w:r>
      <w:r>
        <w:fldChar w:fldCharType="separate"/>
      </w:r>
      <w:r>
        <w:rPr>
          <w:rFonts w:hint="eastAsia" w:ascii="宋体" w:hAnsi="宋体" w:cs="宋体"/>
          <w:szCs w:val="21"/>
        </w:rPr>
        <w:t>三、评标方法</w:t>
      </w:r>
      <w:r>
        <w:tab/>
      </w:r>
      <w:r>
        <w:fldChar w:fldCharType="begin"/>
      </w:r>
      <w:r>
        <w:instrText xml:space="preserve"> PAGEREF _Toc8899 \h </w:instrText>
      </w:r>
      <w:r>
        <w:fldChar w:fldCharType="separate"/>
      </w:r>
      <w:r>
        <w:t>32</w:t>
      </w:r>
      <w:r>
        <w:fldChar w:fldCharType="end"/>
      </w:r>
      <w:r>
        <w:fldChar w:fldCharType="end"/>
      </w:r>
    </w:p>
    <w:p>
      <w:pPr>
        <w:pStyle w:val="29"/>
        <w:tabs>
          <w:tab w:val="right" w:leader="dot" w:pos="8959"/>
        </w:tabs>
        <w:ind w:left="420"/>
      </w:pPr>
      <w:r>
        <w:fldChar w:fldCharType="begin"/>
      </w:r>
      <w:r>
        <w:instrText xml:space="preserve"> HYPERLINK \l "_Toc22403" </w:instrText>
      </w:r>
      <w:r>
        <w:fldChar w:fldCharType="separate"/>
      </w:r>
      <w:r>
        <w:rPr>
          <w:rFonts w:hint="eastAsia" w:ascii="宋体" w:hAnsi="宋体" w:cs="宋体"/>
          <w:szCs w:val="21"/>
        </w:rPr>
        <w:t>四、评标程序</w:t>
      </w:r>
      <w:r>
        <w:tab/>
      </w:r>
      <w:r>
        <w:fldChar w:fldCharType="begin"/>
      </w:r>
      <w:r>
        <w:instrText xml:space="preserve"> PAGEREF _Toc22403 \h </w:instrText>
      </w:r>
      <w:r>
        <w:fldChar w:fldCharType="separate"/>
      </w:r>
      <w:r>
        <w:t>33</w:t>
      </w:r>
      <w:r>
        <w:fldChar w:fldCharType="end"/>
      </w:r>
      <w:r>
        <w:fldChar w:fldCharType="end"/>
      </w:r>
    </w:p>
    <w:p>
      <w:pPr>
        <w:pStyle w:val="29"/>
        <w:tabs>
          <w:tab w:val="right" w:leader="dot" w:pos="8959"/>
        </w:tabs>
        <w:ind w:left="420"/>
      </w:pPr>
      <w:r>
        <w:fldChar w:fldCharType="begin"/>
      </w:r>
      <w:r>
        <w:instrText xml:space="preserve"> HYPERLINK \l "_Toc4908" </w:instrText>
      </w:r>
      <w:r>
        <w:fldChar w:fldCharType="separate"/>
      </w:r>
      <w:r>
        <w:rPr>
          <w:rFonts w:hint="eastAsia" w:ascii="宋体" w:hAnsi="宋体" w:cs="宋体"/>
          <w:bCs/>
          <w:szCs w:val="21"/>
        </w:rPr>
        <w:t>五、评分标准表</w:t>
      </w:r>
      <w:r>
        <w:tab/>
      </w:r>
      <w:r>
        <w:fldChar w:fldCharType="begin"/>
      </w:r>
      <w:r>
        <w:instrText xml:space="preserve"> PAGEREF _Toc4908 \h </w:instrText>
      </w:r>
      <w:r>
        <w:fldChar w:fldCharType="separate"/>
      </w:r>
      <w:r>
        <w:t>36</w:t>
      </w:r>
      <w:r>
        <w:fldChar w:fldCharType="end"/>
      </w:r>
      <w:r>
        <w:fldChar w:fldCharType="end"/>
      </w:r>
    </w:p>
    <w:p>
      <w:pPr>
        <w:pStyle w:val="25"/>
        <w:tabs>
          <w:tab w:val="right" w:leader="dot" w:pos="8959"/>
        </w:tabs>
      </w:pPr>
      <w:r>
        <w:fldChar w:fldCharType="begin"/>
      </w:r>
      <w:r>
        <w:instrText xml:space="preserve"> HYPERLINK \l "_Toc5225" </w:instrText>
      </w:r>
      <w:r>
        <w:fldChar w:fldCharType="separate"/>
      </w:r>
      <w:r>
        <w:rPr>
          <w:rFonts w:hint="eastAsia" w:ascii="宋体" w:hAnsi="宋体" w:cs="宋体"/>
        </w:rPr>
        <w:t>第五章  政府采购合同</w:t>
      </w:r>
      <w:r>
        <w:tab/>
      </w:r>
      <w:r>
        <w:fldChar w:fldCharType="begin"/>
      </w:r>
      <w:r>
        <w:instrText xml:space="preserve"> PAGEREF _Toc5225 \h </w:instrText>
      </w:r>
      <w:r>
        <w:fldChar w:fldCharType="separate"/>
      </w:r>
      <w:r>
        <w:t>46</w:t>
      </w:r>
      <w:r>
        <w:fldChar w:fldCharType="end"/>
      </w:r>
      <w:r>
        <w:fldChar w:fldCharType="end"/>
      </w:r>
    </w:p>
    <w:p>
      <w:pPr>
        <w:pStyle w:val="25"/>
        <w:tabs>
          <w:tab w:val="right" w:leader="dot" w:pos="8959"/>
        </w:tabs>
      </w:pPr>
      <w:r>
        <w:fldChar w:fldCharType="begin"/>
      </w:r>
      <w:r>
        <w:instrText xml:space="preserve"> HYPERLINK \l "_Toc14434" </w:instrText>
      </w:r>
      <w:r>
        <w:fldChar w:fldCharType="separate"/>
      </w:r>
      <w:r>
        <w:rPr>
          <w:rFonts w:hint="eastAsia" w:ascii="宋体" w:hAnsi="宋体" w:cs="宋体"/>
        </w:rPr>
        <w:t>第六章　投标文件格式</w:t>
      </w:r>
      <w:r>
        <w:tab/>
      </w:r>
      <w:r>
        <w:fldChar w:fldCharType="begin"/>
      </w:r>
      <w:r>
        <w:instrText xml:space="preserve"> PAGEREF _Toc14434 \h </w:instrText>
      </w:r>
      <w:r>
        <w:fldChar w:fldCharType="separate"/>
      </w:r>
      <w:r>
        <w:t>46</w:t>
      </w:r>
      <w:r>
        <w:fldChar w:fldCharType="end"/>
      </w:r>
      <w:r>
        <w:fldChar w:fldCharType="end"/>
      </w:r>
    </w:p>
    <w:p>
      <w:pPr>
        <w:pStyle w:val="25"/>
        <w:tabs>
          <w:tab w:val="right" w:leader="dot" w:pos="8311"/>
        </w:tabs>
        <w:rPr>
          <w:rFonts w:ascii="宋体" w:hAnsi="宋体" w:cs="宋体"/>
          <w:b/>
          <w:szCs w:val="21"/>
        </w:rPr>
      </w:pPr>
      <w:r>
        <w:rPr>
          <w:rFonts w:hint="eastAsia" w:ascii="宋体" w:hAnsi="宋体" w:cs="宋体"/>
          <w:szCs w:val="30"/>
        </w:rPr>
        <w:fldChar w:fldCharType="end"/>
      </w:r>
    </w:p>
    <w:p>
      <w:pPr>
        <w:pStyle w:val="3"/>
        <w:spacing w:before="0" w:after="0" w:line="360" w:lineRule="auto"/>
        <w:jc w:val="center"/>
        <w:rPr>
          <w:rFonts w:ascii="宋体" w:hAnsi="宋体" w:cs="宋体"/>
          <w:sz w:val="30"/>
        </w:rPr>
      </w:pPr>
      <w:r>
        <w:rPr>
          <w:rFonts w:hint="eastAsia" w:ascii="宋体" w:hAnsi="宋体" w:cs="宋体"/>
          <w:b w:val="0"/>
          <w:bCs w:val="0"/>
          <w:sz w:val="28"/>
        </w:rPr>
        <w:br w:type="page"/>
      </w:r>
      <w:bookmarkStart w:id="0" w:name="_Toc29322"/>
      <w:bookmarkStart w:id="1" w:name="_Toc460857890"/>
      <w:r>
        <w:rPr>
          <w:rFonts w:hint="eastAsia" w:ascii="宋体" w:hAnsi="宋体" w:cs="宋体"/>
          <w:sz w:val="30"/>
        </w:rPr>
        <w:t>第一章  公开招标采购公告</w:t>
      </w:r>
      <w:bookmarkEnd w:id="0"/>
      <w:bookmarkEnd w:id="1"/>
    </w:p>
    <w:p>
      <w:pPr>
        <w:rPr>
          <w:rFonts w:ascii="宋体" w:hAnsi="宋体" w:cs="宋体"/>
        </w:rPr>
      </w:pP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 xml:space="preserve">项目概况                                                    </w:t>
      </w:r>
    </w:p>
    <w:p>
      <w:pPr>
        <w:spacing w:line="360"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宁波市公安局交通警察局事故（违法）拖车停车服务项目招标项目的潜在投标人应在政府采购云平台（www.zcygov.cn）获取（下载）招标</w:t>
      </w:r>
      <w:r>
        <w:rPr>
          <w:rFonts w:hint="eastAsia" w:ascii="宋体" w:hAnsi="宋体" w:cs="宋体"/>
          <w:szCs w:val="21"/>
          <w:highlight w:val="none"/>
          <w:shd w:val="clear" w:color="auto" w:fill="FFFFFF"/>
        </w:rPr>
        <w:t>文件，并于2023年</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21</w:t>
      </w:r>
      <w:r>
        <w:rPr>
          <w:rFonts w:hint="eastAsia" w:ascii="宋体" w:hAnsi="宋体" w:cs="宋体"/>
          <w:szCs w:val="21"/>
          <w:highlight w:val="none"/>
          <w:shd w:val="clear" w:color="auto" w:fill="FFFFFF"/>
        </w:rPr>
        <w:t>日 09:</w:t>
      </w:r>
      <w:r>
        <w:rPr>
          <w:rFonts w:hint="eastAsia" w:ascii="宋体" w:hAnsi="宋体" w:cs="宋体"/>
          <w:szCs w:val="21"/>
          <w:highlight w:val="none"/>
          <w:shd w:val="clear" w:color="auto" w:fill="FFFFFF"/>
          <w:lang w:val="en-US" w:eastAsia="zh-CN"/>
        </w:rPr>
        <w:t>00</w:t>
      </w:r>
      <w:r>
        <w:rPr>
          <w:rFonts w:hint="eastAsia" w:ascii="宋体" w:hAnsi="宋体" w:cs="宋体"/>
          <w:szCs w:val="21"/>
          <w:highlight w:val="none"/>
          <w:shd w:val="clear" w:color="auto" w:fill="FFFFFF"/>
        </w:rPr>
        <w:t>（北京时间）</w:t>
      </w:r>
      <w:r>
        <w:rPr>
          <w:rFonts w:hint="eastAsia" w:ascii="宋体" w:hAnsi="宋体" w:cs="宋体"/>
          <w:szCs w:val="21"/>
          <w:shd w:val="clear" w:color="auto" w:fill="FFFFFF"/>
        </w:rPr>
        <w:t xml:space="preserve">前递交（上传）投标文件。 </w:t>
      </w:r>
    </w:p>
    <w:p>
      <w:pPr>
        <w:spacing w:line="360" w:lineRule="auto"/>
        <w:ind w:firstLine="422" w:firstLineChars="200"/>
        <w:rPr>
          <w:rFonts w:ascii="宋体" w:hAnsi="宋体" w:cs="宋体"/>
          <w:b/>
          <w:bCs/>
          <w:szCs w:val="21"/>
        </w:rPr>
      </w:pPr>
      <w:r>
        <w:rPr>
          <w:rFonts w:hint="eastAsia" w:ascii="宋体" w:hAnsi="宋体" w:cs="宋体"/>
          <w:b/>
          <w:bCs/>
          <w:szCs w:val="21"/>
        </w:rPr>
        <w:t>一、项目基本情况</w:t>
      </w:r>
    </w:p>
    <w:p>
      <w:pPr>
        <w:spacing w:line="360" w:lineRule="auto"/>
        <w:ind w:firstLine="420" w:firstLineChars="200"/>
        <w:rPr>
          <w:rFonts w:ascii="宋体" w:hAnsi="宋体" w:cs="宋体"/>
          <w:szCs w:val="21"/>
        </w:rPr>
      </w:pPr>
      <w:r>
        <w:rPr>
          <w:rFonts w:hint="eastAsia" w:ascii="宋体" w:hAnsi="宋体" w:cs="宋体"/>
          <w:szCs w:val="21"/>
        </w:rPr>
        <w:t>项目编号：CBNB-202</w:t>
      </w: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004</w:t>
      </w:r>
      <w:r>
        <w:rPr>
          <w:rFonts w:hint="eastAsia" w:ascii="宋体" w:hAnsi="宋体" w:cs="宋体"/>
          <w:szCs w:val="21"/>
        </w:rPr>
        <w:t>G </w:t>
      </w:r>
    </w:p>
    <w:p>
      <w:pPr>
        <w:spacing w:line="360" w:lineRule="auto"/>
        <w:ind w:firstLine="420" w:firstLineChars="200"/>
        <w:rPr>
          <w:rFonts w:ascii="宋体" w:hAnsi="宋体" w:cs="宋体"/>
          <w:szCs w:val="21"/>
        </w:rPr>
      </w:pPr>
      <w:r>
        <w:rPr>
          <w:rFonts w:hint="eastAsia" w:ascii="宋体" w:hAnsi="宋体" w:cs="宋体"/>
          <w:szCs w:val="21"/>
        </w:rPr>
        <w:t>项目名称：宁波市公安局交通警察局事故（违法）拖车停车服务项目</w:t>
      </w:r>
    </w:p>
    <w:p>
      <w:pPr>
        <w:spacing w:line="360" w:lineRule="auto"/>
        <w:ind w:firstLine="420" w:firstLineChars="200"/>
        <w:rPr>
          <w:rFonts w:ascii="宋体" w:hAnsi="宋体" w:cs="宋体"/>
          <w:szCs w:val="21"/>
        </w:rPr>
      </w:pPr>
      <w:r>
        <w:rPr>
          <w:rFonts w:hint="eastAsia" w:ascii="宋体" w:hAnsi="宋体" w:cs="宋体"/>
          <w:szCs w:val="21"/>
        </w:rPr>
        <w:t>预算金额（元）：15000000  </w:t>
      </w:r>
    </w:p>
    <w:p>
      <w:pPr>
        <w:spacing w:line="360" w:lineRule="auto"/>
        <w:ind w:firstLine="396" w:firstLineChars="200"/>
        <w:rPr>
          <w:rFonts w:hint="eastAsia" w:ascii="宋体" w:hAnsi="宋体" w:cs="宋体"/>
          <w:spacing w:val="-6"/>
          <w:sz w:val="21"/>
          <w:szCs w:val="21"/>
        </w:rPr>
      </w:pPr>
      <w:r>
        <w:rPr>
          <w:rFonts w:hint="eastAsia" w:ascii="宋体" w:hAnsi="宋体" w:cs="宋体"/>
          <w:spacing w:val="-6"/>
          <w:sz w:val="21"/>
          <w:szCs w:val="21"/>
        </w:rPr>
        <w:t>最高限价（元）：</w:t>
      </w:r>
    </w:p>
    <w:p>
      <w:pPr>
        <w:spacing w:line="360" w:lineRule="auto"/>
        <w:ind w:firstLine="396" w:firstLineChars="200"/>
        <w:rPr>
          <w:rFonts w:hint="eastAsia" w:ascii="宋体" w:hAnsi="宋体" w:cs="宋体"/>
          <w:spacing w:val="-6"/>
          <w:sz w:val="21"/>
          <w:szCs w:val="21"/>
        </w:rPr>
      </w:pPr>
      <w:r>
        <w:rPr>
          <w:rFonts w:hint="eastAsia" w:ascii="宋体" w:hAnsi="宋体" w:cs="宋体"/>
          <w:spacing w:val="-6"/>
          <w:sz w:val="21"/>
          <w:szCs w:val="21"/>
        </w:rPr>
        <w:t>3200000,3800000,700000,550000,530000,950000,900000,950000,600000,580000,400000,600000,420000,820000</w:t>
      </w:r>
    </w:p>
    <w:p>
      <w:pPr>
        <w:spacing w:line="360" w:lineRule="auto"/>
        <w:ind w:firstLine="420" w:firstLineChars="200"/>
        <w:rPr>
          <w:rFonts w:ascii="宋体" w:hAnsi="宋体" w:cs="宋体"/>
          <w:szCs w:val="21"/>
        </w:rPr>
      </w:pPr>
      <w:r>
        <w:rPr>
          <w:rFonts w:hint="eastAsia" w:ascii="宋体" w:hAnsi="宋体" w:cs="宋体"/>
          <w:szCs w:val="21"/>
        </w:rPr>
        <w:t>标项一：</w:t>
      </w:r>
    </w:p>
    <w:p>
      <w:pPr>
        <w:spacing w:line="360" w:lineRule="auto"/>
        <w:ind w:firstLine="420" w:firstLineChars="200"/>
        <w:rPr>
          <w:rFonts w:ascii="宋体" w:hAnsi="宋体" w:cs="宋体"/>
          <w:szCs w:val="21"/>
        </w:rPr>
      </w:pPr>
      <w:r>
        <w:rPr>
          <w:rFonts w:hint="eastAsia" w:ascii="宋体" w:hAnsi="宋体" w:cs="宋体"/>
          <w:szCs w:val="21"/>
        </w:rPr>
        <w:t>采购需求：</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标项名称:江北交警大队辖区；海曙大队一中队、二中队、三中队、南站中队辖区；鄞州大队一中队、二中队、东部新城中队辖区；快速路大队辖区等范围内的事故拖车、停车服务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预算金额（元）:3200000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江北交警大队辖区；海曙大队一中队、二中队、三中队、南站中队辖区；鄞州大队一中队、二中队、东部新城中队辖区；快速路大队辖区等范围内的事故拖车停车、服务。具体详见第二章《招标需求》 </w:t>
      </w:r>
    </w:p>
    <w:p>
      <w:pPr>
        <w:spacing w:line="360" w:lineRule="auto"/>
        <w:ind w:firstLine="420" w:firstLineChars="200"/>
        <w:rPr>
          <w:rFonts w:ascii="宋体" w:hAnsi="宋体" w:cs="宋体"/>
          <w:szCs w:val="21"/>
        </w:rPr>
      </w:pPr>
      <w:r>
        <w:rPr>
          <w:rFonts w:hint="eastAsia" w:ascii="宋体" w:hAnsi="宋体" w:cs="宋体"/>
          <w:szCs w:val="21"/>
        </w:rPr>
        <w:t>标项二：</w:t>
      </w:r>
    </w:p>
    <w:p>
      <w:pPr>
        <w:spacing w:line="360" w:lineRule="auto"/>
        <w:ind w:firstLine="420" w:firstLineChars="200"/>
        <w:rPr>
          <w:rFonts w:ascii="宋体" w:hAnsi="宋体" w:cs="宋体"/>
          <w:szCs w:val="21"/>
        </w:rPr>
      </w:pPr>
      <w:r>
        <w:rPr>
          <w:rFonts w:hint="eastAsia" w:ascii="宋体" w:hAnsi="宋体" w:cs="宋体"/>
          <w:szCs w:val="21"/>
        </w:rPr>
        <w:t>采购需求：</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标项名称:江北交警大队辖区；海曙大队一中队、二中队、三中队、南站中队辖区；鄞州大队一中队、二中队、东部新城中队辖区；快速路大队辖区等范围内的违法拖车、停车服务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预算金额（元）:3800000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江北交警大队辖区；海曙大队一中队、二中队、三中队、南站中队辖区；鄞州大队一中队、二中队、东部新城中队辖区；快速路大队辖区等范围内的违法拖车、停车服务。具体详见第二章《招标需求》 </w:t>
      </w:r>
    </w:p>
    <w:p>
      <w:pPr>
        <w:spacing w:line="360" w:lineRule="auto"/>
        <w:ind w:firstLine="420" w:firstLineChars="200"/>
        <w:rPr>
          <w:rFonts w:ascii="宋体" w:hAnsi="宋体" w:cs="宋体"/>
          <w:szCs w:val="21"/>
        </w:rPr>
      </w:pPr>
      <w:r>
        <w:rPr>
          <w:rFonts w:hint="eastAsia" w:ascii="宋体" w:hAnsi="宋体" w:cs="宋体"/>
          <w:szCs w:val="21"/>
        </w:rPr>
        <w:t>标项三：</w:t>
      </w:r>
    </w:p>
    <w:p>
      <w:pPr>
        <w:spacing w:line="360" w:lineRule="auto"/>
        <w:ind w:firstLine="420" w:firstLine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标项名称:姜山交警中队辖区事故、违法拖车、停车服务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预算金额（元）:700000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简要规格描述或项目基本概况介绍、用途：姜山交警中队辖区事故、违法拖车、停车服务。具体详见第二章《招标需求》 </w:t>
      </w:r>
    </w:p>
    <w:p>
      <w:pPr>
        <w:spacing w:line="360" w:lineRule="auto"/>
        <w:ind w:firstLine="420" w:firstLineChars="200"/>
        <w:rPr>
          <w:rFonts w:ascii="宋体" w:hAnsi="宋体" w:cs="宋体"/>
          <w:szCs w:val="21"/>
        </w:rPr>
      </w:pPr>
      <w:r>
        <w:rPr>
          <w:rFonts w:hint="eastAsia" w:ascii="宋体" w:hAnsi="宋体" w:cs="宋体"/>
          <w:szCs w:val="21"/>
        </w:rPr>
        <w:t>标项四：</w:t>
      </w:r>
    </w:p>
    <w:p>
      <w:pPr>
        <w:spacing w:line="360" w:lineRule="auto"/>
        <w:ind w:firstLine="420" w:firstLine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标项名称:横溪交警中队辖区事故、违法拖车、停车服务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预算金额（元）:550000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简要规格描述或项目基本概况介绍、用途：横溪交警中队辖区事故、违法拖车、停车服务。具体详见第二章《招标需求》 </w:t>
      </w:r>
    </w:p>
    <w:p>
      <w:pPr>
        <w:spacing w:line="360" w:lineRule="auto"/>
        <w:ind w:firstLine="420" w:firstLineChars="200"/>
        <w:rPr>
          <w:rFonts w:ascii="宋体" w:hAnsi="宋体" w:cs="宋体"/>
          <w:szCs w:val="21"/>
        </w:rPr>
      </w:pPr>
      <w:r>
        <w:rPr>
          <w:rFonts w:hint="eastAsia" w:ascii="宋体" w:hAnsi="宋体" w:cs="宋体"/>
          <w:szCs w:val="21"/>
        </w:rPr>
        <w:t>标项五：</w:t>
      </w:r>
    </w:p>
    <w:p>
      <w:pPr>
        <w:spacing w:line="360" w:lineRule="auto"/>
        <w:ind w:firstLine="420" w:firstLine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w:t>
      </w:r>
      <w:r>
        <w:rPr>
          <w:rFonts w:hint="eastAsia" w:ascii="宋体" w:hAnsi="宋体" w:cs="Arial"/>
          <w:szCs w:val="21"/>
        </w:rPr>
        <w:t>大嵩</w:t>
      </w:r>
      <w:r>
        <w:rPr>
          <w:rFonts w:hint="eastAsia" w:ascii="宋体" w:hAnsi="宋体" w:cs="宋体"/>
          <w:szCs w:val="21"/>
        </w:rPr>
        <w:t>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预算金额（元）:530000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简要规格描述或项目基本概况介绍、用途：大嵩交警中队辖区事故、违法拖车、停车服务。具体详见第二章《招标需求》 </w:t>
      </w:r>
    </w:p>
    <w:p>
      <w:pPr>
        <w:spacing w:line="360" w:lineRule="auto"/>
        <w:ind w:left="420" w:leftChars="200"/>
        <w:rPr>
          <w:rFonts w:ascii="宋体" w:hAnsi="宋体" w:cs="宋体"/>
          <w:szCs w:val="21"/>
        </w:rPr>
      </w:pPr>
      <w:r>
        <w:rPr>
          <w:rFonts w:hint="eastAsia" w:ascii="宋体" w:hAnsi="宋体" w:cs="宋体"/>
          <w:szCs w:val="21"/>
        </w:rPr>
        <w:t>标项六：</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标项名称:东吴、盛垫交警中队辖区事故、违法拖车、停车服务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预算金额（元）:950000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简要规格描述或项目基本概况介绍、用途：东吴、盛垫交警中队辖区事故、违法拖车、停车服务。具体详见第二章《招标需求》 </w:t>
      </w:r>
    </w:p>
    <w:p>
      <w:pPr>
        <w:spacing w:line="360" w:lineRule="auto"/>
        <w:ind w:left="420" w:leftChars="200"/>
        <w:rPr>
          <w:rFonts w:ascii="宋体" w:hAnsi="宋体" w:cs="宋体"/>
          <w:szCs w:val="21"/>
        </w:rPr>
      </w:pPr>
      <w:r>
        <w:rPr>
          <w:rFonts w:hint="eastAsia" w:ascii="宋体" w:hAnsi="宋体" w:cs="宋体"/>
          <w:szCs w:val="21"/>
        </w:rPr>
        <w:t>标项七：</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标项名称:下应、首南交警中队辖区事故、违法拖车、停车服务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预算金额（元）:900000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简要规格描述或项目基本概况介绍、用途：下应、首南交警中队辖区事故、违法拖车、停车服务。具体详见第二章《招标需求》</w:t>
      </w:r>
    </w:p>
    <w:p>
      <w:pPr>
        <w:spacing w:line="360" w:lineRule="auto"/>
        <w:ind w:left="420" w:leftChars="200"/>
        <w:rPr>
          <w:rFonts w:ascii="宋体" w:hAnsi="宋体" w:cs="宋体"/>
          <w:szCs w:val="21"/>
        </w:rPr>
      </w:pPr>
      <w:r>
        <w:rPr>
          <w:rFonts w:hint="eastAsia" w:ascii="宋体" w:hAnsi="宋体" w:cs="宋体"/>
          <w:szCs w:val="21"/>
        </w:rPr>
        <w:t>标项八：</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标项名称:钟公庙交警中队辖区事故、违法拖车、停车服务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预算金额（元）:950000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简要规格描述或项目基本概况介绍、用途：钟公庙交警中队辖区事故、违法拖车、停车服务。具体详见第二章《招标需求》 </w:t>
      </w:r>
    </w:p>
    <w:p>
      <w:pPr>
        <w:spacing w:line="360" w:lineRule="auto"/>
        <w:ind w:left="420" w:leftChars="200"/>
        <w:rPr>
          <w:rFonts w:ascii="宋体" w:hAnsi="宋体" w:cs="宋体"/>
          <w:szCs w:val="21"/>
        </w:rPr>
      </w:pPr>
      <w:r>
        <w:rPr>
          <w:rFonts w:hint="eastAsia" w:ascii="宋体" w:hAnsi="宋体" w:cs="宋体"/>
          <w:szCs w:val="21"/>
        </w:rPr>
        <w:t>标项九：</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标项名称:古林交警中队辖区事故、违法拖车、停车服务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预算金额（元）:600000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简要规格描述或项目基本概况介绍、用途：古林交警中队辖区事故、违法拖车、停车服务。具体详见第二章《招标需求》</w:t>
      </w:r>
    </w:p>
    <w:p>
      <w:pPr>
        <w:spacing w:line="360" w:lineRule="auto"/>
        <w:ind w:left="420" w:leftChars="200"/>
        <w:rPr>
          <w:rFonts w:ascii="宋体" w:hAnsi="宋体" w:cs="宋体"/>
          <w:szCs w:val="21"/>
        </w:rPr>
      </w:pPr>
      <w:r>
        <w:rPr>
          <w:rFonts w:hint="eastAsia" w:ascii="宋体" w:hAnsi="宋体" w:cs="宋体"/>
          <w:szCs w:val="21"/>
        </w:rPr>
        <w:t>标项十：</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标项名称:栎社交警中队辖区事故、违法拖车、停车服务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预算金额（元）:580000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简要规格描述或项目基本概况介绍、用途：栎社交警中队辖区事故、违法拖车、停车服务。具体详见第二章《招标需求》</w:t>
      </w:r>
    </w:p>
    <w:p>
      <w:pPr>
        <w:spacing w:line="360" w:lineRule="auto"/>
        <w:ind w:left="420" w:leftChars="200"/>
        <w:rPr>
          <w:rFonts w:ascii="宋体" w:hAnsi="宋体" w:cs="宋体"/>
          <w:szCs w:val="21"/>
        </w:rPr>
      </w:pPr>
      <w:r>
        <w:rPr>
          <w:rFonts w:hint="eastAsia" w:ascii="宋体" w:hAnsi="宋体" w:cs="宋体"/>
          <w:szCs w:val="21"/>
        </w:rPr>
        <w:t>标项十一：</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标项名称:集仕港交警中队辖区事故、违法拖车服务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预算金额（元）:400000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简要规格描述或项目基本概况介绍、用途：集仕港交警中队辖区事故、违法拖车服务。具体详见第二章《招标需求》 </w:t>
      </w:r>
    </w:p>
    <w:p>
      <w:pPr>
        <w:spacing w:line="360" w:lineRule="auto"/>
        <w:ind w:left="420" w:leftChars="200"/>
        <w:rPr>
          <w:rFonts w:ascii="宋体" w:hAnsi="宋体" w:cs="宋体"/>
          <w:szCs w:val="21"/>
        </w:rPr>
      </w:pPr>
      <w:r>
        <w:rPr>
          <w:rFonts w:hint="eastAsia" w:ascii="宋体" w:hAnsi="宋体" w:cs="宋体"/>
          <w:szCs w:val="21"/>
        </w:rPr>
        <w:t>标项十二：</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标项名称:高桥交警中队辖区事故、违法拖车、停车服务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预算金额（元）:600000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简要规格描述或项目基本概况介绍、用途：高桥交警中队辖区事故、违法拖车、停车服务。具体详见第二章《招标需求》 </w:t>
      </w:r>
    </w:p>
    <w:p>
      <w:pPr>
        <w:spacing w:line="360" w:lineRule="auto"/>
        <w:ind w:left="420" w:leftChars="200"/>
        <w:rPr>
          <w:rFonts w:ascii="宋体" w:hAnsi="宋体" w:cs="宋体"/>
          <w:szCs w:val="21"/>
        </w:rPr>
      </w:pPr>
      <w:r>
        <w:rPr>
          <w:rFonts w:hint="eastAsia" w:ascii="宋体" w:hAnsi="宋体" w:cs="宋体"/>
          <w:szCs w:val="21"/>
        </w:rPr>
        <w:t>标项十三：</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标项名称:鄞江交警中队辖区事故、违法拖车、停车服务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预算金额（元）:420000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简要规格描述或项目基本概况介绍、用途：鄞江交警中队辖区事故、违法拖车、停车服务。具体详见第二章《招标需求》</w:t>
      </w:r>
    </w:p>
    <w:p>
      <w:pPr>
        <w:spacing w:line="360" w:lineRule="auto"/>
        <w:ind w:left="420" w:leftChars="200"/>
        <w:rPr>
          <w:rFonts w:ascii="宋体" w:hAnsi="宋体" w:cs="宋体"/>
          <w:szCs w:val="21"/>
        </w:rPr>
      </w:pPr>
      <w:r>
        <w:rPr>
          <w:rFonts w:hint="eastAsia" w:ascii="宋体" w:hAnsi="宋体" w:cs="宋体"/>
          <w:szCs w:val="21"/>
        </w:rPr>
        <w:t>标项十四：</w:t>
      </w:r>
    </w:p>
    <w:p>
      <w:pPr>
        <w:spacing w:line="360" w:lineRule="auto"/>
        <w:ind w:left="420" w:leftChars="200"/>
        <w:rPr>
          <w:rFonts w:ascii="宋体" w:hAnsi="宋体" w:cs="宋体"/>
          <w:szCs w:val="21"/>
        </w:rPr>
      </w:pPr>
      <w:r>
        <w:rPr>
          <w:rFonts w:hint="eastAsia" w:ascii="宋体" w:hAnsi="宋体" w:cs="宋体"/>
          <w:szCs w:val="21"/>
        </w:rPr>
        <w:t>采购需求：</w:t>
      </w:r>
    </w:p>
    <w:p>
      <w:pPr>
        <w:spacing w:line="360" w:lineRule="auto"/>
        <w:ind w:left="420" w:leftChars="200"/>
        <w:rPr>
          <w:rFonts w:ascii="宋体" w:hAnsi="宋体" w:cs="宋体"/>
          <w:szCs w:val="21"/>
        </w:rPr>
      </w:pPr>
      <w:r>
        <w:rPr>
          <w:rFonts w:hint="eastAsia" w:ascii="宋体" w:hAnsi="宋体" w:cs="宋体"/>
          <w:szCs w:val="21"/>
        </w:rPr>
        <w:t>标项名称:东钱湖交警中队辖区事故、违法拖车、停车服务 </w:t>
      </w:r>
    </w:p>
    <w:p>
      <w:pPr>
        <w:spacing w:line="360" w:lineRule="auto"/>
        <w:ind w:left="420" w:leftChars="200"/>
        <w:rPr>
          <w:rFonts w:ascii="宋体" w:hAnsi="宋体" w:cs="宋体"/>
          <w:szCs w:val="21"/>
        </w:rPr>
      </w:pPr>
      <w:r>
        <w:rPr>
          <w:rFonts w:hint="eastAsia" w:ascii="宋体" w:hAnsi="宋体" w:cs="宋体"/>
          <w:szCs w:val="21"/>
        </w:rPr>
        <w:t>数量:1项  </w:t>
      </w:r>
    </w:p>
    <w:p>
      <w:pPr>
        <w:spacing w:line="360" w:lineRule="auto"/>
        <w:ind w:left="420" w:leftChars="200"/>
        <w:rPr>
          <w:rFonts w:ascii="宋体" w:hAnsi="宋体" w:cs="宋体"/>
          <w:szCs w:val="21"/>
        </w:rPr>
      </w:pPr>
      <w:r>
        <w:rPr>
          <w:rFonts w:hint="eastAsia" w:ascii="宋体" w:hAnsi="宋体" w:cs="宋体"/>
          <w:szCs w:val="21"/>
        </w:rPr>
        <w:t>预算金额（元）:820000 </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简要规格描述或项目基本概况介绍、用途：东钱湖交警中队辖区事故、违法拖车、停车服务。具体详见第二章《招标需求》</w:t>
      </w:r>
    </w:p>
    <w:p>
      <w:pPr>
        <w:spacing w:line="360" w:lineRule="auto"/>
        <w:ind w:firstLine="420" w:firstLineChars="200"/>
        <w:rPr>
          <w:rFonts w:ascii="宋体" w:hAnsi="宋体" w:cs="宋体"/>
          <w:szCs w:val="21"/>
        </w:rPr>
      </w:pPr>
      <w:r>
        <w:rPr>
          <w:rFonts w:hint="eastAsia" w:ascii="宋体" w:hAnsi="宋体" w:cs="宋体"/>
          <w:szCs w:val="21"/>
        </w:rPr>
        <w:t>备注：1、如为联合体投标的，组成联合体的成员数量不得超过2个；2、最高限价详见第二章  招标需求。 </w:t>
      </w:r>
    </w:p>
    <w:p>
      <w:pPr>
        <w:spacing w:line="360" w:lineRule="auto"/>
        <w:ind w:firstLine="420" w:firstLineChars="200"/>
        <w:rPr>
          <w:rFonts w:ascii="宋体" w:hAnsi="宋体" w:cs="宋体"/>
          <w:szCs w:val="21"/>
        </w:rPr>
      </w:pPr>
      <w:r>
        <w:rPr>
          <w:rFonts w:hint="eastAsia" w:ascii="宋体" w:hAnsi="宋体" w:cs="宋体"/>
          <w:szCs w:val="21"/>
        </w:rPr>
        <w:t>合同履约期限：标项 1，2,3,4,5,6,7,8,9,10,11,12,13,14，自合同签订生效后开始至双方合同义务完全履行后截止。</w:t>
      </w:r>
    </w:p>
    <w:p>
      <w:pPr>
        <w:spacing w:line="360" w:lineRule="auto"/>
        <w:ind w:firstLine="420" w:firstLineChars="200"/>
        <w:rPr>
          <w:rFonts w:ascii="宋体" w:hAnsi="宋体" w:cs="宋体"/>
          <w:szCs w:val="21"/>
        </w:rPr>
      </w:pPr>
      <w:r>
        <w:rPr>
          <w:rFonts w:hint="eastAsia" w:ascii="宋体" w:hAnsi="宋体" w:cs="宋体"/>
          <w:szCs w:val="21"/>
        </w:rPr>
        <w:t>本项目（是）接受联合体投标。</w:t>
      </w:r>
    </w:p>
    <w:p>
      <w:pPr>
        <w:widowControl/>
        <w:spacing w:before="75" w:after="75" w:line="360" w:lineRule="auto"/>
        <w:ind w:firstLine="420"/>
        <w:jc w:val="left"/>
        <w:rPr>
          <w:rFonts w:ascii="宋体" w:hAnsi="宋体" w:cs="宋体"/>
          <w:b/>
          <w:bCs/>
          <w:szCs w:val="21"/>
        </w:rPr>
      </w:pPr>
      <w:r>
        <w:rPr>
          <w:rFonts w:hint="eastAsia" w:ascii="宋体" w:hAnsi="宋体" w:cs="宋体"/>
          <w:b/>
          <w:bCs/>
          <w:szCs w:val="21"/>
        </w:rPr>
        <w:t>二、申请人的资格要求：</w:t>
      </w:r>
    </w:p>
    <w:p>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zCs w:val="21"/>
        </w:rPr>
      </w:pPr>
      <w:r>
        <w:rPr>
          <w:rFonts w:hint="eastAsia" w:ascii="宋体" w:hAnsi="宋体" w:cs="宋体"/>
          <w:szCs w:val="21"/>
        </w:rPr>
        <w:t>2.落实政府采购政策需满足的资格要求：无</w:t>
      </w:r>
    </w:p>
    <w:p>
      <w:pPr>
        <w:spacing w:line="360" w:lineRule="auto"/>
        <w:ind w:firstLine="420" w:firstLineChars="200"/>
        <w:rPr>
          <w:rFonts w:ascii="宋体" w:hAnsi="宋体" w:cs="宋体"/>
          <w:szCs w:val="21"/>
        </w:rPr>
      </w:pPr>
      <w:r>
        <w:rPr>
          <w:rFonts w:hint="eastAsia" w:ascii="宋体" w:hAnsi="宋体" w:cs="宋体"/>
          <w:szCs w:val="21"/>
        </w:rPr>
        <w:t>3.本项目的特定资格要求：无</w:t>
      </w:r>
    </w:p>
    <w:p>
      <w:pPr>
        <w:spacing w:line="360" w:lineRule="auto"/>
        <w:ind w:firstLine="422" w:firstLineChars="200"/>
        <w:rPr>
          <w:rFonts w:ascii="宋体" w:hAnsi="宋体" w:cs="宋体"/>
          <w:b/>
          <w:bCs/>
          <w:szCs w:val="21"/>
        </w:rPr>
      </w:pPr>
      <w:r>
        <w:rPr>
          <w:rFonts w:hint="eastAsia" w:ascii="宋体" w:hAnsi="宋体" w:cs="宋体"/>
          <w:b/>
          <w:bCs/>
          <w:szCs w:val="21"/>
        </w:rPr>
        <w:t>三、获取招标文件</w:t>
      </w:r>
    </w:p>
    <w:p>
      <w:pPr>
        <w:spacing w:line="360" w:lineRule="auto"/>
        <w:ind w:firstLine="420" w:firstLineChars="200"/>
        <w:rPr>
          <w:rFonts w:ascii="宋体" w:hAnsi="宋体" w:cs="宋体"/>
          <w:szCs w:val="21"/>
        </w:rPr>
      </w:pPr>
      <w:r>
        <w:rPr>
          <w:rFonts w:hint="eastAsia" w:ascii="宋体" w:hAnsi="宋体" w:cs="宋体"/>
          <w:szCs w:val="21"/>
        </w:rPr>
        <w:t>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日至202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日，每天上午00:00至12:00，下午12:00至23:59（北京时间，线上获取法定节假日均可，线下获取文件法定节假日除外）</w:t>
      </w:r>
    </w:p>
    <w:p>
      <w:pPr>
        <w:spacing w:line="360" w:lineRule="auto"/>
        <w:ind w:firstLine="420" w:firstLineChars="200"/>
        <w:rPr>
          <w:rFonts w:ascii="宋体" w:hAnsi="宋体" w:cs="宋体"/>
          <w:szCs w:val="21"/>
        </w:rPr>
      </w:pPr>
      <w:r>
        <w:rPr>
          <w:rFonts w:hint="eastAsia" w:ascii="宋体" w:hAnsi="宋体" w:cs="宋体"/>
          <w:szCs w:val="21"/>
        </w:rPr>
        <w:t>地点（网址）：政府采购云平台（www.zcygov.cn）  </w:t>
      </w:r>
    </w:p>
    <w:p>
      <w:pPr>
        <w:spacing w:line="360" w:lineRule="auto"/>
        <w:ind w:firstLine="420" w:firstLineChars="200"/>
        <w:rPr>
          <w:rFonts w:ascii="宋体" w:hAnsi="宋体" w:cs="宋体"/>
          <w:szCs w:val="21"/>
        </w:rPr>
      </w:pPr>
      <w:r>
        <w:rPr>
          <w:rFonts w:hint="eastAsia" w:ascii="宋体" w:hAnsi="宋体" w:cs="宋体"/>
          <w:szCs w:val="21"/>
        </w:rPr>
        <w:t>方式：在线获取</w:t>
      </w:r>
    </w:p>
    <w:p>
      <w:pPr>
        <w:spacing w:line="360" w:lineRule="auto"/>
        <w:ind w:firstLine="420" w:firstLineChars="200"/>
        <w:rPr>
          <w:rFonts w:ascii="宋体" w:hAnsi="宋体" w:cs="宋体"/>
          <w:szCs w:val="21"/>
        </w:rPr>
      </w:pPr>
      <w:r>
        <w:rPr>
          <w:rFonts w:hint="eastAsia" w:ascii="宋体" w:hAnsi="宋体" w:cs="宋体"/>
          <w:szCs w:val="21"/>
        </w:rPr>
        <w:t>1.本项目招标文件实行“政府采购云平台”在线获取，不提供招标文件纸质版。供应商获取招标文件前应先完成“政府采购云平台”的账号注册；</w:t>
      </w:r>
    </w:p>
    <w:p>
      <w:pPr>
        <w:spacing w:line="360" w:lineRule="auto"/>
        <w:ind w:firstLine="420" w:firstLineChars="200"/>
        <w:rPr>
          <w:rFonts w:ascii="宋体" w:hAnsi="宋体" w:cs="宋体"/>
          <w:szCs w:val="21"/>
        </w:rPr>
      </w:pPr>
      <w:r>
        <w:rPr>
          <w:rFonts w:hint="eastAsia" w:ascii="宋体" w:hAnsi="宋体" w:cs="宋体"/>
          <w:szCs w:val="21"/>
        </w:rPr>
        <w:t>2.潜在供应商登录政采云平台，在线申请获取招标文件（进入“项目采购”应用，在获取招标文件菜单中选择项目，申请获取招标文件；仅需浏览招标文件的供应商可点击“游客，浏览招标文件”直接下载招标文件浏览）；</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招标公告下方“游客，浏览采购文件”所下载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20" w:firstLineChars="200"/>
        <w:rPr>
          <w:rFonts w:ascii="宋体" w:hAnsi="宋体" w:cs="宋体"/>
          <w:szCs w:val="21"/>
        </w:rPr>
      </w:pPr>
      <w:r>
        <w:rPr>
          <w:rFonts w:hint="eastAsia" w:ascii="宋体" w:hAnsi="宋体" w:cs="宋体"/>
          <w:szCs w:val="21"/>
        </w:rPr>
        <w:t>注：请投标人按上述要求获取招标文件，如未在“政采云”系统内完成相关流程，引起的投标无效责任自负。  </w:t>
      </w:r>
    </w:p>
    <w:p>
      <w:pPr>
        <w:spacing w:line="360" w:lineRule="auto"/>
        <w:ind w:firstLine="420" w:firstLineChars="200"/>
        <w:rPr>
          <w:rFonts w:ascii="宋体" w:hAnsi="宋体" w:cs="宋体"/>
          <w:szCs w:val="21"/>
        </w:rPr>
      </w:pPr>
      <w:r>
        <w:rPr>
          <w:rFonts w:hint="eastAsia" w:ascii="宋体" w:hAnsi="宋体" w:cs="宋体"/>
          <w:szCs w:val="21"/>
        </w:rPr>
        <w:t>售价（元）：0 </w:t>
      </w:r>
    </w:p>
    <w:p>
      <w:pPr>
        <w:spacing w:line="360" w:lineRule="auto"/>
        <w:ind w:left="420" w:leftChars="200" w:firstLine="420" w:firstLineChars="200"/>
        <w:rPr>
          <w:rFonts w:ascii="宋体" w:hAnsi="宋体" w:cs="宋体"/>
          <w:szCs w:val="21"/>
        </w:rPr>
      </w:pPr>
    </w:p>
    <w:p>
      <w:pPr>
        <w:spacing w:line="360" w:lineRule="auto"/>
        <w:ind w:firstLine="422" w:firstLineChars="200"/>
        <w:rPr>
          <w:rFonts w:ascii="宋体" w:hAnsi="宋体" w:cs="宋体"/>
          <w:b/>
          <w:bCs/>
          <w:szCs w:val="21"/>
          <w:highlight w:val="none"/>
        </w:rPr>
      </w:pPr>
      <w:r>
        <w:rPr>
          <w:rFonts w:hint="eastAsia" w:ascii="宋体" w:hAnsi="宋体" w:cs="宋体"/>
          <w:b/>
          <w:bCs/>
          <w:szCs w:val="21"/>
        </w:rPr>
        <w:t>四、提交</w:t>
      </w:r>
      <w:r>
        <w:rPr>
          <w:rFonts w:hint="eastAsia" w:ascii="宋体" w:hAnsi="宋体" w:cs="宋体"/>
          <w:b/>
          <w:bCs/>
          <w:szCs w:val="21"/>
          <w:highlight w:val="none"/>
        </w:rPr>
        <w:t>投标文件截止时间、开标时间和地点</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提交投标文件截止时间：202</w:t>
      </w:r>
      <w:r>
        <w:rPr>
          <w:rFonts w:ascii="宋体" w:hAnsi="宋体" w:cs="宋体"/>
          <w:szCs w:val="21"/>
          <w:highlight w:val="none"/>
        </w:rPr>
        <w:t>3</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日09:</w:t>
      </w:r>
      <w:r>
        <w:rPr>
          <w:rFonts w:ascii="宋体" w:hAnsi="宋体" w:cs="宋体"/>
          <w:szCs w:val="21"/>
          <w:highlight w:val="none"/>
        </w:rPr>
        <w:t>0</w:t>
      </w:r>
      <w:r>
        <w:rPr>
          <w:rFonts w:hint="eastAsia" w:ascii="宋体" w:hAnsi="宋体" w:cs="宋体"/>
          <w:szCs w:val="21"/>
          <w:highlight w:val="none"/>
        </w:rPr>
        <w:t>0（北京时间）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投标地点（网址）：（1）“电子加密投标文件”：政府采购云平台（www.zcygov.cn）在线提交；（2）“电子备份投标文件”(采用现场递交方式）：中基招标会议中心（宁波市鄞州区天童南路666号中基大厦1楼开标室）。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开标时间：202</w:t>
      </w:r>
      <w:r>
        <w:rPr>
          <w:rFonts w:ascii="宋体" w:hAnsi="宋体" w:cs="宋体"/>
          <w:szCs w:val="21"/>
          <w:highlight w:val="none"/>
        </w:rPr>
        <w:t>3</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日09:</w:t>
      </w:r>
      <w:r>
        <w:rPr>
          <w:rFonts w:ascii="宋体" w:hAnsi="宋体" w:cs="宋体"/>
          <w:szCs w:val="21"/>
          <w:highlight w:val="none"/>
        </w:rPr>
        <w:t>0</w:t>
      </w:r>
      <w:r>
        <w:rPr>
          <w:rFonts w:hint="eastAsia" w:ascii="宋体" w:hAnsi="宋体" w:cs="宋体"/>
          <w:szCs w:val="21"/>
          <w:highlight w:val="none"/>
        </w:rPr>
        <w:t xml:space="preserve">0 </w:t>
      </w:r>
    </w:p>
    <w:p>
      <w:pPr>
        <w:spacing w:line="360" w:lineRule="auto"/>
        <w:ind w:firstLine="420" w:firstLineChars="200"/>
        <w:rPr>
          <w:rFonts w:ascii="宋体" w:hAnsi="宋体" w:cs="宋体"/>
          <w:szCs w:val="21"/>
        </w:rPr>
      </w:pPr>
      <w:r>
        <w:rPr>
          <w:rFonts w:hint="eastAsia" w:ascii="宋体" w:hAnsi="宋体" w:cs="宋体"/>
          <w:szCs w:val="21"/>
          <w:highlight w:val="none"/>
        </w:rPr>
        <w:t>开标地点（网址）：政府采购云平台（www.</w:t>
      </w:r>
      <w:r>
        <w:rPr>
          <w:rFonts w:hint="eastAsia" w:ascii="宋体" w:hAnsi="宋体" w:cs="宋体"/>
          <w:szCs w:val="21"/>
        </w:rPr>
        <w:t>zcygov.cn）   </w:t>
      </w:r>
    </w:p>
    <w:p>
      <w:pPr>
        <w:spacing w:line="360" w:lineRule="auto"/>
        <w:ind w:firstLine="422" w:firstLineChars="200"/>
        <w:rPr>
          <w:rFonts w:ascii="宋体" w:hAnsi="宋体" w:cs="宋体"/>
          <w:b/>
          <w:bCs/>
          <w:szCs w:val="21"/>
        </w:rPr>
      </w:pPr>
      <w:r>
        <w:rPr>
          <w:rFonts w:hint="eastAsia" w:ascii="宋体" w:hAnsi="宋体" w:cs="宋体"/>
          <w:b/>
          <w:bCs/>
          <w:szCs w:val="21"/>
        </w:rPr>
        <w:t>五、公告期限</w:t>
      </w:r>
    </w:p>
    <w:p>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pPr>
        <w:spacing w:line="360" w:lineRule="auto"/>
        <w:ind w:firstLine="422" w:firstLineChars="200"/>
        <w:rPr>
          <w:rFonts w:ascii="宋体" w:hAnsi="宋体" w:cs="宋体"/>
          <w:b/>
          <w:bCs/>
          <w:szCs w:val="21"/>
        </w:rPr>
      </w:pPr>
      <w:r>
        <w:rPr>
          <w:rFonts w:hint="eastAsia" w:ascii="宋体" w:hAnsi="宋体" w:cs="宋体"/>
          <w:b/>
          <w:bCs/>
          <w:szCs w:val="21"/>
        </w:rPr>
        <w:t>六、其他补充事宜</w:t>
      </w:r>
    </w:p>
    <w:p>
      <w:pPr>
        <w:spacing w:line="360" w:lineRule="auto"/>
        <w:ind w:firstLine="420" w:firstLineChars="200"/>
        <w:rPr>
          <w:rFonts w:ascii="宋体" w:hAnsi="宋体" w:cs="宋体"/>
          <w:szCs w:val="21"/>
        </w:rPr>
      </w:pPr>
      <w:r>
        <w:rPr>
          <w:rFonts w:hint="eastAsia" w:ascii="宋体" w:hAnsi="宋体" w:cs="宋体"/>
          <w:szCs w:val="21"/>
        </w:rPr>
        <w:t>1.供应商认为采购文件使自己的权益受到损害的，可以自获取采购文件之日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szCs w:val="21"/>
        </w:rPr>
      </w:pPr>
      <w:r>
        <w:rPr>
          <w:rFonts w:hint="eastAsia" w:ascii="宋体" w:hAnsi="宋体" w:cs="宋体"/>
          <w:szCs w:val="21"/>
        </w:rPr>
        <w:t>2.其他事项</w:t>
      </w:r>
    </w:p>
    <w:p>
      <w:pPr>
        <w:spacing w:line="360" w:lineRule="auto"/>
        <w:ind w:firstLine="420" w:firstLineChars="200"/>
        <w:rPr>
          <w:rFonts w:ascii="宋体" w:hAnsi="宋体" w:cs="宋体"/>
          <w:szCs w:val="21"/>
        </w:rPr>
      </w:pPr>
      <w:r>
        <w:rPr>
          <w:rFonts w:hint="eastAsia" w:ascii="宋体" w:hAnsi="宋体" w:cs="宋体"/>
          <w:szCs w:val="21"/>
        </w:rPr>
        <w:t>2.1单位负责人为同一人或者存在直接控股、管理关系的不同投标人，不得参加同一标项的投标。为本项目提供整体设计、规范编制或者项目管理、监理、检测等服务的投标人，不得再参加本项目的投标。</w:t>
      </w:r>
    </w:p>
    <w:p>
      <w:pPr>
        <w:spacing w:line="360" w:lineRule="auto"/>
        <w:ind w:firstLine="420" w:firstLineChars="200"/>
        <w:rPr>
          <w:rFonts w:ascii="宋体" w:hAnsi="宋体" w:cs="宋体"/>
          <w:szCs w:val="21"/>
        </w:rPr>
      </w:pPr>
      <w:r>
        <w:rPr>
          <w:rFonts w:hint="eastAsia" w:ascii="宋体" w:hAnsi="宋体" w:cs="宋体"/>
          <w:szCs w:val="21"/>
        </w:rPr>
        <w:t>2.2采购项目需要落实的政府采购政策：</w:t>
      </w:r>
      <w:r>
        <w:rPr>
          <w:rFonts w:hint="eastAsia" w:hAnsi="宋体" w:cs="宋体"/>
        </w:rPr>
        <w:t>执行促进小微企业发展（监狱企业、残疾人福利性单位视同小型、微型企业）政策</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2.3本次政府采购活动有关信息在浙江政府采购网公布，视同送达所有潜在投标人。</w:t>
      </w:r>
    </w:p>
    <w:p>
      <w:pPr>
        <w:spacing w:line="360" w:lineRule="auto"/>
        <w:ind w:firstLine="420" w:firstLineChars="200"/>
        <w:jc w:val="left"/>
        <w:rPr>
          <w:rFonts w:ascii="宋体" w:hAnsi="宋体" w:cs="宋体"/>
          <w:szCs w:val="21"/>
        </w:rPr>
      </w:pPr>
      <w:r>
        <w:rPr>
          <w:rFonts w:hint="eastAsia" w:ascii="宋体" w:hAnsi="宋体" w:cs="宋体"/>
          <w:szCs w:val="21"/>
        </w:rPr>
        <w:t>2.4特别提醒事项：</w:t>
      </w:r>
    </w:p>
    <w:p>
      <w:pPr>
        <w:spacing w:line="360" w:lineRule="auto"/>
        <w:ind w:firstLine="420" w:firstLineChars="200"/>
        <w:jc w:val="left"/>
        <w:rPr>
          <w:rFonts w:ascii="宋体" w:hAnsi="宋体" w:cs="宋体"/>
          <w:szCs w:val="21"/>
        </w:rPr>
      </w:pPr>
      <w:r>
        <w:rPr>
          <w:rFonts w:hint="eastAsia" w:ascii="宋体" w:hAnsi="宋体" w:cs="宋体"/>
          <w:szCs w:val="21"/>
        </w:rPr>
        <w:t>（1）供应商应于提交投标文件截止时间前将电子加密投标文件上传到政府采购云平台www.zcygov.cn，未上传电子加密投标文件，视为供应商放弃投标。</w:t>
      </w:r>
    </w:p>
    <w:p>
      <w:pPr>
        <w:spacing w:line="360" w:lineRule="auto"/>
        <w:ind w:firstLine="420" w:firstLineChars="200"/>
        <w:jc w:val="left"/>
        <w:rPr>
          <w:rFonts w:ascii="宋体" w:hAnsi="宋体" w:cs="宋体"/>
          <w:szCs w:val="21"/>
        </w:rPr>
      </w:pPr>
      <w:r>
        <w:rPr>
          <w:rFonts w:hint="eastAsia" w:ascii="宋体" w:hAnsi="宋体" w:cs="宋体"/>
          <w:szCs w:val="21"/>
        </w:rPr>
        <w:t>（2）供应商在“政府采购云平台”完成“电子加密投标文件”的上传递交之外，还可以（邮寄形式或派人现场提交，以招标代理机构联系人签收时间为准）在投标截止时间前提交以介质（U盘）存储的数据电文形式的“电子备份投标文件”（后缀格式为“.bfbs”）。</w:t>
      </w:r>
    </w:p>
    <w:p>
      <w:pPr>
        <w:spacing w:line="360" w:lineRule="auto"/>
        <w:ind w:firstLine="420" w:firstLineChars="200"/>
        <w:jc w:val="left"/>
        <w:rPr>
          <w:rFonts w:ascii="宋体" w:hAnsi="宋体" w:cs="宋体"/>
          <w:szCs w:val="21"/>
        </w:rPr>
      </w:pPr>
      <w:r>
        <w:rPr>
          <w:rFonts w:hint="eastAsia" w:ascii="宋体" w:hAnsi="宋体" w:cs="宋体"/>
          <w:szCs w:val="21"/>
        </w:rPr>
        <w:t>（3）电子招投标有关事项说明：</w:t>
      </w:r>
    </w:p>
    <w:p>
      <w:pPr>
        <w:spacing w:line="360" w:lineRule="auto"/>
        <w:ind w:firstLine="420" w:firstLineChars="200"/>
        <w:jc w:val="left"/>
        <w:rPr>
          <w:rFonts w:ascii="宋体" w:hAnsi="宋体" w:cs="宋体"/>
          <w:szCs w:val="21"/>
        </w:rPr>
      </w:pPr>
      <w:r>
        <w:rPr>
          <w:rFonts w:hint="eastAsia" w:ascii="宋体" w:hAnsi="宋体" w:cs="宋体"/>
          <w:szCs w:val="21"/>
        </w:rPr>
        <w:t>①本项目通过“浙江政府采购网（http://zfcg.czt.zj.gov.cn）”实行电子投标，供应商须安装客户端软件，并按照采购文件和电子交易平台的要求制作投标文件。</w:t>
      </w:r>
    </w:p>
    <w:p>
      <w:pPr>
        <w:spacing w:line="360" w:lineRule="auto"/>
        <w:ind w:firstLine="420" w:firstLineChars="200"/>
        <w:jc w:val="left"/>
        <w:rPr>
          <w:rFonts w:ascii="宋体" w:hAnsi="宋体" w:cs="宋体"/>
          <w:szCs w:val="21"/>
        </w:rPr>
      </w:pPr>
      <w:r>
        <w:rPr>
          <w:rFonts w:hint="eastAsia" w:ascii="宋体" w:hAnsi="宋体" w:cs="宋体"/>
          <w:szCs w:val="21"/>
        </w:rPr>
        <w:t>客户端软件下载方式：供应商可通过“浙江政府采购网-下载专区-电子交易客户端”进行下载。</w:t>
      </w:r>
    </w:p>
    <w:p>
      <w:pPr>
        <w:spacing w:line="360" w:lineRule="auto"/>
        <w:ind w:firstLine="420" w:firstLineChars="200"/>
        <w:jc w:val="left"/>
        <w:rPr>
          <w:rFonts w:ascii="宋体" w:hAnsi="宋体" w:cs="宋体"/>
          <w:szCs w:val="21"/>
        </w:rPr>
      </w:pPr>
      <w:r>
        <w:rPr>
          <w:rFonts w:hint="eastAsia" w:ascii="宋体" w:hAnsi="宋体" w:cs="宋体"/>
          <w:szCs w:val="21"/>
        </w:rPr>
        <w:t>②供应商须申领CA，CA申领及相关操作可参考“浙江政府采购网-下载专区-电子交易客户端-CA驱动和申领流程”。供应商在进行上述操作时，如遇技术问题可致电400-881-7190进行咨询。</w:t>
      </w:r>
    </w:p>
    <w:p>
      <w:pPr>
        <w:spacing w:line="360" w:lineRule="auto"/>
        <w:ind w:firstLine="420" w:firstLineChars="200"/>
        <w:jc w:val="left"/>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）疫情期间特别提醒事项：</w:t>
      </w:r>
    </w:p>
    <w:p>
      <w:pPr>
        <w:spacing w:line="360" w:lineRule="auto"/>
        <w:ind w:firstLine="420" w:firstLineChars="200"/>
        <w:jc w:val="left"/>
        <w:rPr>
          <w:rFonts w:hint="eastAsia" w:ascii="宋体" w:hAnsi="宋体" w:cs="宋体"/>
          <w:szCs w:val="21"/>
        </w:rPr>
      </w:pPr>
      <w:r>
        <w:rPr>
          <w:rFonts w:hint="eastAsia" w:ascii="宋体" w:hAnsi="宋体" w:cs="宋体"/>
          <w:szCs w:val="21"/>
        </w:rPr>
        <w:t>①采用邮寄方式提交电子备份投标文件，需按以下要求递交：</w:t>
      </w:r>
    </w:p>
    <w:p>
      <w:pPr>
        <w:spacing w:line="360" w:lineRule="auto"/>
        <w:ind w:firstLine="420" w:firstLineChars="200"/>
        <w:jc w:val="left"/>
        <w:rPr>
          <w:rFonts w:ascii="宋体" w:hAnsi="宋体" w:cs="宋体"/>
          <w:szCs w:val="21"/>
        </w:rPr>
      </w:pPr>
      <w:r>
        <w:rPr>
          <w:rFonts w:hint="eastAsia" w:ascii="宋体" w:hAnsi="宋体" w:cs="宋体"/>
          <w:szCs w:val="21"/>
        </w:rPr>
        <w:t>供应商须在投标截止日前一个工作日17:00前将电子备份投标文件邮寄至规定地点，由招标代理工作人员进行签收。各供应商自行考虑邮寄在途时间，邮寄过程中无论何种因素导致电子备份投标文件未按时递交的后果，均由供应商自行负责。电子备份投标文件递交时间以招标代理实际收到电子备份投标文件的时间为准。迟到的电子备份投标文件将被拒收。请各供应商确保密封包装在邮寄过程密封包装完好，并在邮寄包裹上注明项目名称，因邮寄过程的密封破损造成不符合开标要求的，本招标代理及招标人概不负责。</w:t>
      </w:r>
    </w:p>
    <w:p>
      <w:pPr>
        <w:spacing w:line="360" w:lineRule="auto"/>
        <w:ind w:firstLine="420" w:firstLineChars="200"/>
        <w:jc w:val="left"/>
        <w:rPr>
          <w:rFonts w:ascii="宋体" w:hAnsi="宋体" w:cs="宋体"/>
          <w:szCs w:val="21"/>
        </w:rPr>
      </w:pPr>
      <w:r>
        <w:rPr>
          <w:rFonts w:hint="eastAsia" w:ascii="宋体" w:hAnsi="宋体" w:cs="宋体"/>
          <w:szCs w:val="21"/>
        </w:rPr>
        <w:t>电子备份投标文件邮寄地址为：宁波市鄞州区天童南路666号中基大厦19楼。</w:t>
      </w:r>
    </w:p>
    <w:p>
      <w:pPr>
        <w:spacing w:line="360" w:lineRule="auto"/>
        <w:ind w:firstLine="420" w:firstLineChars="200"/>
        <w:jc w:val="left"/>
        <w:rPr>
          <w:rFonts w:ascii="宋体" w:hAnsi="宋体" w:cs="宋体"/>
          <w:szCs w:val="21"/>
        </w:rPr>
      </w:pPr>
      <w:r>
        <w:rPr>
          <w:rFonts w:hint="eastAsia" w:ascii="宋体" w:hAnsi="宋体" w:cs="宋体"/>
          <w:szCs w:val="21"/>
        </w:rPr>
        <w:t>收件人：方巧飞，联系方式：0574-87425383</w:t>
      </w:r>
    </w:p>
    <w:p>
      <w:pPr>
        <w:spacing w:line="360" w:lineRule="auto"/>
        <w:ind w:firstLine="420" w:firstLineChars="200"/>
        <w:rPr>
          <w:rFonts w:ascii="宋体" w:hAnsi="宋体" w:cs="宋体"/>
          <w:szCs w:val="21"/>
        </w:rPr>
      </w:pPr>
      <w:r>
        <w:rPr>
          <w:rFonts w:hint="eastAsia" w:ascii="宋体" w:hAnsi="宋体" w:cs="宋体"/>
          <w:szCs w:val="21"/>
        </w:rPr>
        <w:t>2.5本采购公告中二、申请人的资格要求：第1条中的“重大税收违法案件当事人名单”即为“重大税收违法失信主体”。 </w:t>
      </w:r>
    </w:p>
    <w:p>
      <w:pPr>
        <w:spacing w:line="360" w:lineRule="auto"/>
        <w:ind w:firstLine="422" w:firstLineChars="200"/>
        <w:rPr>
          <w:rFonts w:ascii="宋体" w:hAnsi="宋体" w:cs="宋体"/>
          <w:b/>
          <w:bCs/>
          <w:szCs w:val="21"/>
        </w:rPr>
      </w:pPr>
      <w:r>
        <w:rPr>
          <w:rFonts w:hint="eastAsia" w:ascii="宋体" w:hAnsi="宋体" w:cs="宋体"/>
          <w:b/>
          <w:bCs/>
          <w:szCs w:val="21"/>
        </w:rPr>
        <w:t>七、对本次招标提出询问，请按以下方式联系。</w:t>
      </w:r>
    </w:p>
    <w:p>
      <w:pPr>
        <w:widowControl/>
        <w:spacing w:before="75" w:after="75" w:line="360" w:lineRule="auto"/>
        <w:ind w:firstLine="630" w:firstLineChars="300"/>
        <w:jc w:val="left"/>
        <w:rPr>
          <w:rFonts w:ascii="宋体" w:hAnsi="宋体" w:cs="宋体"/>
          <w:kern w:val="0"/>
          <w:szCs w:val="21"/>
        </w:rPr>
      </w:pPr>
      <w:r>
        <w:rPr>
          <w:rFonts w:hint="eastAsia" w:ascii="宋体" w:hAnsi="宋体" w:cs="宋体"/>
          <w:kern w:val="0"/>
          <w:szCs w:val="21"/>
        </w:rPr>
        <w:t>1.采购人信息</w:t>
      </w:r>
    </w:p>
    <w:p>
      <w:pPr>
        <w:widowControl/>
        <w:spacing w:before="75" w:after="75" w:line="360" w:lineRule="auto"/>
        <w:jc w:val="left"/>
        <w:rPr>
          <w:rFonts w:ascii="宋体" w:hAnsi="宋体" w:cs="宋体"/>
          <w:kern w:val="0"/>
          <w:szCs w:val="21"/>
        </w:rPr>
      </w:pPr>
      <w:r>
        <w:rPr>
          <w:rFonts w:ascii="宋体" w:hAnsi="宋体" w:cs="Calibri"/>
          <w:kern w:val="0"/>
          <w:szCs w:val="21"/>
        </w:rPr>
        <w:t> </w:t>
      </w:r>
      <w:r>
        <w:rPr>
          <w:rFonts w:hint="eastAsia" w:ascii="宋体" w:hAnsi="宋体" w:cs="宋体"/>
          <w:kern w:val="0"/>
          <w:szCs w:val="21"/>
        </w:rPr>
        <w:t xml:space="preserve">   名称：</w:t>
      </w:r>
      <w:r>
        <w:rPr>
          <w:rFonts w:hint="eastAsia" w:ascii="宋体" w:hAnsi="宋体"/>
          <w:szCs w:val="21"/>
        </w:rPr>
        <w:t>宁波市公安局交通警察局</w:t>
      </w:r>
    </w:p>
    <w:p>
      <w:pPr>
        <w:widowControl/>
        <w:spacing w:before="75" w:after="75" w:line="360" w:lineRule="auto"/>
        <w:jc w:val="left"/>
        <w:rPr>
          <w:rFonts w:ascii="宋体" w:hAnsi="宋体" w:cs="宋体"/>
          <w:kern w:val="0"/>
          <w:szCs w:val="21"/>
        </w:rPr>
      </w:pPr>
      <w:r>
        <w:rPr>
          <w:rFonts w:ascii="宋体" w:hAnsi="宋体" w:cs="Calibri"/>
          <w:kern w:val="0"/>
          <w:szCs w:val="21"/>
        </w:rPr>
        <w:t>  </w:t>
      </w:r>
      <w:r>
        <w:rPr>
          <w:rFonts w:hint="eastAsia" w:ascii="宋体" w:hAnsi="宋体" w:cs="宋体"/>
          <w:kern w:val="0"/>
          <w:szCs w:val="21"/>
        </w:rPr>
        <w:t xml:space="preserve"> 地址：</w:t>
      </w:r>
      <w:r>
        <w:rPr>
          <w:rStyle w:val="132"/>
          <w:rFonts w:hint="eastAsia" w:ascii="宋体" w:hAnsi="宋体" w:cs="宋体"/>
        </w:rPr>
        <w:t>宁波市鄞州区兴宁路48号</w:t>
      </w:r>
    </w:p>
    <w:p>
      <w:pPr>
        <w:widowControl/>
        <w:spacing w:before="75" w:after="75" w:line="360" w:lineRule="auto"/>
        <w:jc w:val="left"/>
        <w:rPr>
          <w:rFonts w:ascii="宋体" w:hAnsi="宋体" w:cs="宋体"/>
          <w:kern w:val="0"/>
          <w:szCs w:val="21"/>
          <w:highlight w:val="none"/>
        </w:rPr>
      </w:pPr>
      <w:r>
        <w:rPr>
          <w:rFonts w:ascii="宋体" w:hAnsi="宋体" w:cs="Calibri"/>
          <w:kern w:val="0"/>
          <w:szCs w:val="21"/>
          <w:highlight w:val="none"/>
        </w:rPr>
        <w:t>  </w:t>
      </w:r>
      <w:r>
        <w:rPr>
          <w:rFonts w:hint="eastAsia" w:ascii="宋体" w:hAnsi="宋体" w:cs="宋体"/>
          <w:kern w:val="0"/>
          <w:szCs w:val="21"/>
          <w:highlight w:val="none"/>
        </w:rPr>
        <w:t xml:space="preserve"> 传真：/</w:t>
      </w:r>
      <w:r>
        <w:rPr>
          <w:rFonts w:ascii="宋体" w:hAnsi="宋体" w:cs="Calibri"/>
          <w:kern w:val="0"/>
          <w:szCs w:val="21"/>
          <w:highlight w:val="none"/>
        </w:rPr>
        <w:t>  </w:t>
      </w:r>
    </w:p>
    <w:p>
      <w:pPr>
        <w:widowControl/>
        <w:spacing w:before="75" w:after="75" w:line="360" w:lineRule="auto"/>
        <w:jc w:val="left"/>
        <w:rPr>
          <w:rFonts w:ascii="宋体" w:hAnsi="宋体" w:cs="宋体"/>
          <w:kern w:val="0"/>
          <w:szCs w:val="21"/>
          <w:highlight w:val="none"/>
        </w:rPr>
      </w:pPr>
      <w:r>
        <w:rPr>
          <w:rFonts w:ascii="宋体" w:hAnsi="宋体" w:cs="Calibri"/>
          <w:kern w:val="0"/>
          <w:szCs w:val="21"/>
          <w:highlight w:val="none"/>
        </w:rPr>
        <w:t>  </w:t>
      </w:r>
      <w:r>
        <w:rPr>
          <w:rFonts w:hint="eastAsia" w:ascii="宋体" w:hAnsi="宋体" w:cs="宋体"/>
          <w:kern w:val="0"/>
          <w:szCs w:val="21"/>
          <w:highlight w:val="none"/>
        </w:rPr>
        <w:t xml:space="preserve"> 项目联系人（询问）：</w:t>
      </w:r>
      <w:r>
        <w:rPr>
          <w:rFonts w:hint="eastAsia" w:ascii="宋体" w:hAnsi="宋体" w:cs="宋体"/>
          <w:szCs w:val="21"/>
          <w:highlight w:val="none"/>
        </w:rPr>
        <w:t>董警官 </w:t>
      </w:r>
      <w:r>
        <w:rPr>
          <w:rFonts w:ascii="宋体" w:hAnsi="宋体" w:cs="Calibri"/>
          <w:kern w:val="0"/>
          <w:szCs w:val="21"/>
          <w:highlight w:val="none"/>
        </w:rPr>
        <w:t> </w:t>
      </w:r>
    </w:p>
    <w:p>
      <w:pPr>
        <w:widowControl/>
        <w:spacing w:before="75" w:after="75" w:line="360" w:lineRule="auto"/>
        <w:jc w:val="left"/>
        <w:rPr>
          <w:rFonts w:ascii="宋体" w:hAnsi="宋体" w:cs="宋体"/>
          <w:kern w:val="0"/>
          <w:szCs w:val="21"/>
          <w:highlight w:val="none"/>
        </w:rPr>
      </w:pPr>
      <w:r>
        <w:rPr>
          <w:rFonts w:ascii="宋体" w:hAnsi="宋体" w:cs="Calibri"/>
          <w:kern w:val="0"/>
          <w:szCs w:val="21"/>
          <w:highlight w:val="none"/>
        </w:rPr>
        <w:t>  </w:t>
      </w:r>
      <w:r>
        <w:rPr>
          <w:rFonts w:hint="eastAsia" w:ascii="宋体" w:hAnsi="宋体" w:cs="宋体"/>
          <w:kern w:val="0"/>
          <w:szCs w:val="21"/>
          <w:highlight w:val="none"/>
        </w:rPr>
        <w:t xml:space="preserve"> 项目联系方式（询问）：</w:t>
      </w:r>
      <w:r>
        <w:rPr>
          <w:rFonts w:hint="eastAsia" w:ascii="宋体" w:hAnsi="宋体"/>
          <w:szCs w:val="21"/>
          <w:highlight w:val="none"/>
        </w:rPr>
        <w:t>0574-81981036</w:t>
      </w:r>
      <w:r>
        <w:rPr>
          <w:rFonts w:ascii="宋体" w:hAnsi="宋体" w:cs="Calibri"/>
          <w:kern w:val="0"/>
          <w:szCs w:val="21"/>
          <w:highlight w:val="none"/>
        </w:rPr>
        <w:t> </w:t>
      </w:r>
    </w:p>
    <w:p>
      <w:pPr>
        <w:widowControl/>
        <w:spacing w:before="75" w:after="75" w:line="360" w:lineRule="auto"/>
        <w:jc w:val="left"/>
        <w:rPr>
          <w:rFonts w:ascii="宋体" w:hAnsi="宋体" w:cs="宋体"/>
          <w:kern w:val="0"/>
          <w:szCs w:val="21"/>
          <w:highlight w:val="none"/>
        </w:rPr>
      </w:pPr>
      <w:r>
        <w:rPr>
          <w:rFonts w:ascii="宋体" w:hAnsi="宋体" w:cs="Calibri"/>
          <w:kern w:val="0"/>
          <w:szCs w:val="21"/>
          <w:highlight w:val="none"/>
        </w:rPr>
        <w:t>  </w:t>
      </w:r>
      <w:r>
        <w:rPr>
          <w:rFonts w:hint="eastAsia" w:ascii="宋体" w:hAnsi="宋体" w:cs="宋体"/>
          <w:kern w:val="0"/>
          <w:szCs w:val="21"/>
          <w:highlight w:val="none"/>
        </w:rPr>
        <w:t xml:space="preserve"> 质疑联系人：</w:t>
      </w:r>
      <w:r>
        <w:rPr>
          <w:rFonts w:hint="eastAsia" w:ascii="宋体" w:hAnsi="宋体" w:cs="Calibri"/>
          <w:kern w:val="0"/>
          <w:szCs w:val="21"/>
          <w:highlight w:val="none"/>
        </w:rPr>
        <w:t>张警官</w:t>
      </w:r>
    </w:p>
    <w:p>
      <w:pPr>
        <w:widowControl/>
        <w:spacing w:before="75" w:after="75" w:line="360" w:lineRule="auto"/>
        <w:jc w:val="left"/>
        <w:rPr>
          <w:rFonts w:ascii="宋体" w:hAnsi="宋体" w:cs="宋体"/>
          <w:kern w:val="0"/>
          <w:szCs w:val="21"/>
          <w:highlight w:val="none"/>
        </w:rPr>
      </w:pPr>
      <w:r>
        <w:rPr>
          <w:rFonts w:ascii="宋体" w:hAnsi="宋体" w:cs="Calibri"/>
          <w:kern w:val="0"/>
          <w:szCs w:val="21"/>
          <w:highlight w:val="none"/>
        </w:rPr>
        <w:t>  </w:t>
      </w:r>
      <w:r>
        <w:rPr>
          <w:rFonts w:hint="eastAsia" w:ascii="宋体" w:hAnsi="宋体" w:cs="宋体"/>
          <w:kern w:val="0"/>
          <w:szCs w:val="21"/>
          <w:highlight w:val="none"/>
        </w:rPr>
        <w:t xml:space="preserve"> 质疑联系方式：0574-81981067</w:t>
      </w:r>
    </w:p>
    <w:p>
      <w:pPr>
        <w:widowControl/>
        <w:spacing w:before="75" w:after="75" w:line="360" w:lineRule="auto"/>
        <w:jc w:val="left"/>
        <w:rPr>
          <w:rFonts w:ascii="宋体" w:hAnsi="宋体" w:cs="Calibri"/>
          <w:kern w:val="0"/>
          <w:szCs w:val="21"/>
          <w:highlight w:val="none"/>
        </w:rPr>
      </w:pPr>
      <w:r>
        <w:rPr>
          <w:rFonts w:ascii="宋体" w:hAnsi="宋体" w:cs="Calibri"/>
          <w:kern w:val="0"/>
          <w:szCs w:val="21"/>
          <w:highlight w:val="none"/>
        </w:rPr>
        <w:t>  </w:t>
      </w:r>
    </w:p>
    <w:p>
      <w:pPr>
        <w:widowControl/>
        <w:spacing w:before="75" w:after="75" w:line="360" w:lineRule="auto"/>
        <w:jc w:val="left"/>
        <w:rPr>
          <w:rFonts w:ascii="宋体" w:hAnsi="宋体" w:cs="Calibri"/>
          <w:kern w:val="0"/>
          <w:szCs w:val="21"/>
        </w:rPr>
      </w:pPr>
      <w:r>
        <w:rPr>
          <w:rFonts w:ascii="宋体" w:hAnsi="宋体" w:cs="Calibri"/>
          <w:kern w:val="0"/>
          <w:szCs w:val="21"/>
        </w:rPr>
        <w:t>  </w:t>
      </w:r>
      <w:r>
        <w:rPr>
          <w:rFonts w:hint="eastAsia" w:ascii="宋体" w:hAnsi="宋体" w:cs="Calibri"/>
          <w:kern w:val="0"/>
          <w:szCs w:val="21"/>
        </w:rPr>
        <w:t xml:space="preserve"> 2.采购代理机构信息</w:t>
      </w:r>
    </w:p>
    <w:p>
      <w:pPr>
        <w:widowControl/>
        <w:spacing w:before="75" w:after="75" w:line="360" w:lineRule="auto"/>
        <w:jc w:val="left"/>
        <w:rPr>
          <w:rFonts w:ascii="宋体" w:hAnsi="宋体" w:cs="Calibri"/>
          <w:kern w:val="0"/>
          <w:szCs w:val="21"/>
        </w:rPr>
      </w:pPr>
      <w:r>
        <w:rPr>
          <w:rFonts w:ascii="宋体" w:hAnsi="宋体" w:cs="Calibri"/>
          <w:kern w:val="0"/>
          <w:szCs w:val="21"/>
        </w:rPr>
        <w:t>  </w:t>
      </w:r>
      <w:r>
        <w:rPr>
          <w:rFonts w:hint="eastAsia" w:ascii="宋体" w:hAnsi="宋体" w:cs="Calibri"/>
          <w:kern w:val="0"/>
          <w:szCs w:val="21"/>
        </w:rPr>
        <w:t xml:space="preserve"> 名称：宁波中基国际招标有限公司</w:t>
      </w:r>
    </w:p>
    <w:p>
      <w:pPr>
        <w:widowControl/>
        <w:spacing w:before="75" w:after="75" w:line="360" w:lineRule="auto"/>
        <w:jc w:val="left"/>
        <w:rPr>
          <w:rFonts w:ascii="宋体" w:hAnsi="宋体" w:cs="Calibri"/>
          <w:kern w:val="0"/>
          <w:szCs w:val="21"/>
        </w:rPr>
      </w:pPr>
      <w:r>
        <w:rPr>
          <w:rFonts w:ascii="宋体" w:hAnsi="宋体" w:cs="Calibri"/>
          <w:kern w:val="0"/>
          <w:szCs w:val="21"/>
        </w:rPr>
        <w:t>  </w:t>
      </w:r>
      <w:r>
        <w:rPr>
          <w:rFonts w:hint="eastAsia" w:ascii="宋体" w:hAnsi="宋体" w:cs="Calibri"/>
          <w:kern w:val="0"/>
          <w:szCs w:val="21"/>
        </w:rPr>
        <w:t xml:space="preserve"> 地址：宁波市鄞州区天童南路666号19楼</w:t>
      </w:r>
    </w:p>
    <w:p>
      <w:pPr>
        <w:widowControl/>
        <w:spacing w:before="75" w:after="75" w:line="360" w:lineRule="auto"/>
        <w:jc w:val="left"/>
        <w:rPr>
          <w:rFonts w:ascii="宋体" w:hAnsi="宋体" w:cs="Calibri"/>
          <w:kern w:val="0"/>
          <w:szCs w:val="21"/>
        </w:rPr>
      </w:pPr>
      <w:r>
        <w:rPr>
          <w:rFonts w:ascii="宋体" w:hAnsi="宋体" w:cs="Calibri"/>
          <w:kern w:val="0"/>
          <w:szCs w:val="21"/>
        </w:rPr>
        <w:t>  </w:t>
      </w:r>
      <w:r>
        <w:rPr>
          <w:rFonts w:hint="eastAsia" w:ascii="宋体" w:hAnsi="宋体" w:cs="Calibri"/>
          <w:kern w:val="0"/>
          <w:szCs w:val="21"/>
        </w:rPr>
        <w:t xml:space="preserve"> 传真：</w:t>
      </w:r>
      <w:r>
        <w:rPr>
          <w:rFonts w:ascii="宋体" w:hAnsi="宋体" w:cs="Calibri"/>
          <w:kern w:val="0"/>
          <w:szCs w:val="21"/>
        </w:rPr>
        <w:t>0574-874253</w:t>
      </w:r>
      <w:r>
        <w:rPr>
          <w:rFonts w:hint="eastAsia" w:ascii="宋体" w:hAnsi="宋体" w:cs="Calibri"/>
          <w:kern w:val="0"/>
          <w:szCs w:val="21"/>
        </w:rPr>
        <w:t>91</w:t>
      </w:r>
    </w:p>
    <w:p>
      <w:pPr>
        <w:widowControl/>
        <w:spacing w:before="75" w:after="75" w:line="360" w:lineRule="auto"/>
        <w:jc w:val="left"/>
        <w:rPr>
          <w:rFonts w:ascii="宋体" w:hAnsi="宋体" w:cs="Calibri"/>
          <w:kern w:val="0"/>
          <w:szCs w:val="21"/>
        </w:rPr>
      </w:pPr>
      <w:r>
        <w:rPr>
          <w:rFonts w:ascii="宋体" w:hAnsi="宋体" w:cs="Calibri"/>
          <w:kern w:val="0"/>
          <w:szCs w:val="21"/>
        </w:rPr>
        <w:t>  </w:t>
      </w:r>
      <w:r>
        <w:rPr>
          <w:rFonts w:hint="eastAsia" w:ascii="宋体" w:hAnsi="宋体" w:cs="Calibri"/>
          <w:kern w:val="0"/>
          <w:szCs w:val="21"/>
        </w:rPr>
        <w:t xml:space="preserve"> 项目联系人（询问）：方巧飞</w:t>
      </w:r>
    </w:p>
    <w:p>
      <w:pPr>
        <w:widowControl/>
        <w:spacing w:before="75" w:after="75" w:line="360" w:lineRule="auto"/>
        <w:jc w:val="left"/>
        <w:rPr>
          <w:rFonts w:ascii="宋体" w:hAnsi="宋体" w:cs="Calibri"/>
          <w:kern w:val="0"/>
          <w:szCs w:val="21"/>
        </w:rPr>
      </w:pPr>
      <w:r>
        <w:rPr>
          <w:rFonts w:ascii="宋体" w:hAnsi="宋体" w:cs="Calibri"/>
          <w:kern w:val="0"/>
          <w:szCs w:val="21"/>
        </w:rPr>
        <w:t>  </w:t>
      </w:r>
      <w:r>
        <w:rPr>
          <w:rFonts w:hint="eastAsia" w:ascii="宋体" w:hAnsi="宋体" w:cs="Calibri"/>
          <w:kern w:val="0"/>
          <w:szCs w:val="21"/>
        </w:rPr>
        <w:t xml:space="preserve"> 项目联系方式（询问）：0574-87425383</w:t>
      </w:r>
      <w:r>
        <w:rPr>
          <w:rFonts w:ascii="宋体" w:hAnsi="宋体" w:cs="Calibri"/>
          <w:kern w:val="0"/>
          <w:szCs w:val="21"/>
        </w:rPr>
        <w:t> </w:t>
      </w:r>
    </w:p>
    <w:p>
      <w:pPr>
        <w:widowControl/>
        <w:spacing w:before="75" w:after="75" w:line="360" w:lineRule="auto"/>
        <w:jc w:val="left"/>
        <w:rPr>
          <w:rFonts w:ascii="宋体" w:hAnsi="宋体" w:cs="Calibri"/>
          <w:kern w:val="0"/>
          <w:szCs w:val="21"/>
        </w:rPr>
      </w:pPr>
      <w:r>
        <w:rPr>
          <w:rFonts w:ascii="宋体" w:hAnsi="宋体" w:cs="Calibri"/>
          <w:kern w:val="0"/>
          <w:szCs w:val="21"/>
        </w:rPr>
        <w:t>  </w:t>
      </w:r>
      <w:r>
        <w:rPr>
          <w:rFonts w:hint="eastAsia" w:ascii="宋体" w:hAnsi="宋体" w:cs="Calibri"/>
          <w:kern w:val="0"/>
          <w:szCs w:val="21"/>
        </w:rPr>
        <w:t xml:space="preserve"> 质疑联系人：吕勇</w:t>
      </w:r>
    </w:p>
    <w:p>
      <w:pPr>
        <w:widowControl/>
        <w:spacing w:before="75" w:after="75" w:line="360" w:lineRule="auto"/>
        <w:jc w:val="left"/>
        <w:rPr>
          <w:rFonts w:ascii="宋体" w:hAnsi="宋体" w:cs="Calibri"/>
          <w:kern w:val="0"/>
          <w:szCs w:val="21"/>
        </w:rPr>
      </w:pPr>
      <w:r>
        <w:rPr>
          <w:rFonts w:ascii="宋体" w:hAnsi="宋体" w:cs="Calibri"/>
          <w:kern w:val="0"/>
          <w:szCs w:val="21"/>
        </w:rPr>
        <w:t>  </w:t>
      </w:r>
      <w:r>
        <w:rPr>
          <w:rFonts w:hint="eastAsia" w:ascii="宋体" w:hAnsi="宋体" w:cs="Calibri"/>
          <w:kern w:val="0"/>
          <w:szCs w:val="21"/>
        </w:rPr>
        <w:t xml:space="preserve"> 质疑联系方式：0574-</w:t>
      </w:r>
      <w:r>
        <w:rPr>
          <w:rFonts w:ascii="宋体" w:hAnsi="宋体" w:cs="Calibri"/>
          <w:kern w:val="0"/>
          <w:szCs w:val="21"/>
        </w:rPr>
        <w:t>87426103</w:t>
      </w:r>
    </w:p>
    <w:p>
      <w:pPr>
        <w:widowControl/>
        <w:spacing w:before="75" w:after="75" w:line="360" w:lineRule="auto"/>
        <w:jc w:val="left"/>
        <w:rPr>
          <w:rFonts w:ascii="宋体" w:hAnsi="宋体" w:cs="Calibri"/>
          <w:kern w:val="0"/>
          <w:szCs w:val="21"/>
        </w:rPr>
      </w:pPr>
      <w:r>
        <w:rPr>
          <w:rFonts w:ascii="宋体" w:hAnsi="宋体" w:cs="Calibri"/>
          <w:kern w:val="0"/>
          <w:szCs w:val="21"/>
        </w:rPr>
        <w:t>   </w:t>
      </w:r>
    </w:p>
    <w:p>
      <w:pPr>
        <w:widowControl/>
        <w:spacing w:before="75" w:after="75" w:line="360" w:lineRule="auto"/>
        <w:jc w:val="left"/>
        <w:rPr>
          <w:rFonts w:ascii="宋体" w:hAnsi="宋体" w:cs="宋体"/>
          <w:kern w:val="0"/>
          <w:szCs w:val="21"/>
        </w:rPr>
      </w:pPr>
      <w:r>
        <w:rPr>
          <w:rFonts w:ascii="宋体" w:hAnsi="宋体" w:cs="Calibri"/>
          <w:kern w:val="0"/>
          <w:szCs w:val="21"/>
        </w:rPr>
        <w:t>  </w:t>
      </w:r>
      <w:r>
        <w:rPr>
          <w:rFonts w:hint="eastAsia" w:ascii="宋体" w:hAnsi="宋体" w:cs="宋体"/>
          <w:kern w:val="0"/>
          <w:szCs w:val="21"/>
        </w:rPr>
        <w:t xml:space="preserve"> 3.同级政府采购监督管理部门</w:t>
      </w:r>
    </w:p>
    <w:p>
      <w:pPr>
        <w:widowControl/>
        <w:spacing w:before="75" w:after="75" w:line="360" w:lineRule="auto"/>
        <w:jc w:val="left"/>
        <w:rPr>
          <w:rFonts w:ascii="宋体" w:hAnsi="宋体" w:cs="宋体"/>
          <w:kern w:val="0"/>
          <w:szCs w:val="21"/>
        </w:rPr>
      </w:pPr>
      <w:r>
        <w:rPr>
          <w:rFonts w:ascii="宋体" w:hAnsi="宋体" w:cs="Calibri"/>
          <w:kern w:val="0"/>
          <w:szCs w:val="21"/>
        </w:rPr>
        <w:t>  </w:t>
      </w:r>
      <w:r>
        <w:rPr>
          <w:rFonts w:hint="eastAsia" w:ascii="宋体" w:hAnsi="宋体" w:cs="宋体"/>
          <w:kern w:val="0"/>
          <w:szCs w:val="21"/>
        </w:rPr>
        <w:t xml:space="preserve"> 名称：宁波市政府采购管理办公室</w:t>
      </w:r>
    </w:p>
    <w:p>
      <w:pPr>
        <w:widowControl/>
        <w:spacing w:before="75" w:after="75" w:line="360" w:lineRule="auto"/>
        <w:jc w:val="left"/>
        <w:rPr>
          <w:rFonts w:ascii="宋体" w:hAnsi="宋体" w:cs="宋体"/>
          <w:kern w:val="0"/>
          <w:szCs w:val="21"/>
        </w:rPr>
      </w:pPr>
      <w:r>
        <w:rPr>
          <w:rFonts w:ascii="宋体" w:hAnsi="宋体" w:cs="Calibri"/>
          <w:kern w:val="0"/>
          <w:szCs w:val="21"/>
        </w:rPr>
        <w:t>  </w:t>
      </w:r>
      <w:r>
        <w:rPr>
          <w:rFonts w:hint="eastAsia" w:ascii="宋体" w:hAnsi="宋体" w:cs="宋体"/>
          <w:kern w:val="0"/>
          <w:szCs w:val="21"/>
        </w:rPr>
        <w:t xml:space="preserve"> 地址：宁波市海曙区中山西路1</w:t>
      </w:r>
      <w:r>
        <w:rPr>
          <w:rFonts w:ascii="宋体" w:hAnsi="宋体" w:cs="宋体"/>
          <w:kern w:val="0"/>
          <w:szCs w:val="21"/>
        </w:rPr>
        <w:t>9</w:t>
      </w:r>
      <w:r>
        <w:rPr>
          <w:rFonts w:hint="eastAsia" w:ascii="宋体" w:hAnsi="宋体" w:cs="宋体"/>
          <w:kern w:val="0"/>
          <w:szCs w:val="21"/>
        </w:rPr>
        <w:t>号</w:t>
      </w:r>
    </w:p>
    <w:p>
      <w:pPr>
        <w:widowControl/>
        <w:spacing w:before="75" w:after="75" w:line="360" w:lineRule="auto"/>
        <w:jc w:val="left"/>
        <w:rPr>
          <w:rFonts w:ascii="宋体" w:hAnsi="宋体" w:cs="宋体"/>
          <w:kern w:val="0"/>
          <w:szCs w:val="21"/>
        </w:rPr>
      </w:pPr>
      <w:r>
        <w:rPr>
          <w:rFonts w:ascii="宋体" w:hAnsi="宋体" w:cs="Calibri"/>
          <w:kern w:val="0"/>
          <w:szCs w:val="21"/>
        </w:rPr>
        <w:t>  </w:t>
      </w:r>
      <w:r>
        <w:rPr>
          <w:rFonts w:hint="eastAsia" w:ascii="宋体" w:hAnsi="宋体" w:cs="宋体"/>
          <w:kern w:val="0"/>
          <w:szCs w:val="21"/>
        </w:rPr>
        <w:t xml:space="preserve"> 传真：/</w:t>
      </w:r>
    </w:p>
    <w:p>
      <w:pPr>
        <w:widowControl/>
        <w:spacing w:before="75" w:after="75" w:line="360" w:lineRule="auto"/>
        <w:jc w:val="left"/>
        <w:rPr>
          <w:rFonts w:ascii="宋体" w:hAnsi="宋体" w:cs="宋体"/>
          <w:kern w:val="0"/>
          <w:szCs w:val="21"/>
        </w:rPr>
      </w:pPr>
      <w:r>
        <w:rPr>
          <w:rFonts w:ascii="宋体" w:hAnsi="宋体" w:cs="Calibri"/>
          <w:kern w:val="0"/>
          <w:szCs w:val="21"/>
        </w:rPr>
        <w:t>  </w:t>
      </w:r>
      <w:r>
        <w:rPr>
          <w:rFonts w:hint="eastAsia" w:ascii="宋体" w:hAnsi="宋体" w:cs="宋体"/>
          <w:kern w:val="0"/>
          <w:szCs w:val="21"/>
        </w:rPr>
        <w:t xml:space="preserve"> 联系人：李老师</w:t>
      </w:r>
    </w:p>
    <w:p>
      <w:pPr>
        <w:widowControl/>
        <w:spacing w:before="75" w:after="75" w:line="360" w:lineRule="auto"/>
        <w:jc w:val="left"/>
        <w:rPr>
          <w:rFonts w:ascii="宋体" w:hAnsi="宋体" w:cs="宋体"/>
          <w:kern w:val="0"/>
          <w:szCs w:val="21"/>
        </w:rPr>
      </w:pPr>
      <w:r>
        <w:rPr>
          <w:rFonts w:ascii="宋体" w:hAnsi="宋体" w:cs="Calibri"/>
          <w:kern w:val="0"/>
          <w:szCs w:val="21"/>
        </w:rPr>
        <w:t>  </w:t>
      </w:r>
      <w:r>
        <w:rPr>
          <w:rFonts w:hint="eastAsia" w:ascii="宋体" w:hAnsi="宋体" w:cs="宋体"/>
          <w:kern w:val="0"/>
          <w:szCs w:val="21"/>
        </w:rPr>
        <w:t xml:space="preserve"> 监督投诉电话：0574-89388042</w:t>
      </w:r>
    </w:p>
    <w:p>
      <w:pPr>
        <w:widowControl/>
        <w:spacing w:before="75" w:after="75" w:line="360" w:lineRule="auto"/>
        <w:jc w:val="left"/>
        <w:rPr>
          <w:rFonts w:ascii="宋体" w:hAnsi="宋体" w:cs="宋体"/>
          <w:kern w:val="0"/>
          <w:szCs w:val="21"/>
        </w:rPr>
      </w:pPr>
      <w:r>
        <w:rPr>
          <w:rFonts w:ascii="宋体" w:hAnsi="宋体" w:cs="Calibri"/>
          <w:kern w:val="0"/>
          <w:szCs w:val="21"/>
        </w:rPr>
        <w:t>     </w:t>
      </w:r>
    </w:p>
    <w:p>
      <w:pPr>
        <w:spacing w:line="360" w:lineRule="auto"/>
        <w:ind w:firstLine="420" w:firstLineChars="200"/>
        <w:jc w:val="center"/>
        <w:outlineLvl w:val="0"/>
        <w:rPr>
          <w:rFonts w:ascii="宋体" w:hAnsi="宋体" w:cs="宋体"/>
          <w:kern w:val="0"/>
          <w:szCs w:val="21"/>
        </w:rPr>
      </w:pPr>
      <w:bookmarkStart w:id="2" w:name="_Toc460857891"/>
      <w:bookmarkStart w:id="3" w:name="_Toc460416585"/>
    </w:p>
    <w:p>
      <w:pPr>
        <w:spacing w:line="360" w:lineRule="auto"/>
        <w:ind w:firstLine="420" w:firstLineChars="200"/>
        <w:jc w:val="left"/>
        <w:outlineLvl w:val="0"/>
        <w:rPr>
          <w:rFonts w:ascii="宋体" w:hAnsi="宋体" w:cs="宋体"/>
          <w:kern w:val="0"/>
          <w:szCs w:val="21"/>
        </w:rPr>
      </w:pPr>
      <w:r>
        <w:rPr>
          <w:rFonts w:hint="eastAsia" w:ascii="宋体" w:hAnsi="宋体" w:cs="宋体"/>
          <w:kern w:val="0"/>
          <w:szCs w:val="21"/>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20" w:firstLineChars="200"/>
        <w:jc w:val="left"/>
        <w:outlineLvl w:val="0"/>
        <w:rPr>
          <w:rFonts w:ascii="宋体" w:hAnsi="宋体" w:cs="宋体"/>
          <w:kern w:val="0"/>
          <w:szCs w:val="21"/>
        </w:rPr>
      </w:pPr>
      <w:r>
        <w:rPr>
          <w:rFonts w:hint="eastAsia" w:ascii="宋体" w:hAnsi="宋体" w:cs="宋体"/>
          <w:kern w:val="0"/>
          <w:szCs w:val="21"/>
        </w:rPr>
        <w:t>CA问题联系电话（人工）：汇信CA 400-888-4636；天谷CA 400-087-8198。</w:t>
      </w:r>
    </w:p>
    <w:p>
      <w:pPr>
        <w:spacing w:line="360" w:lineRule="auto"/>
        <w:ind w:firstLine="602" w:firstLineChars="200"/>
        <w:jc w:val="center"/>
        <w:outlineLvl w:val="0"/>
        <w:rPr>
          <w:rFonts w:ascii="宋体" w:hAnsi="宋体" w:cs="宋体"/>
        </w:rPr>
      </w:pPr>
      <w:r>
        <w:rPr>
          <w:rFonts w:hint="eastAsia" w:ascii="宋体" w:hAnsi="宋体" w:cs="宋体"/>
          <w:b/>
          <w:bCs/>
          <w:kern w:val="44"/>
          <w:sz w:val="30"/>
          <w:szCs w:val="44"/>
        </w:rPr>
        <w:br w:type="page"/>
      </w:r>
      <w:bookmarkStart w:id="4" w:name="_Toc25080"/>
      <w:r>
        <w:rPr>
          <w:rFonts w:hint="eastAsia" w:ascii="宋体" w:hAnsi="宋体" w:cs="宋体"/>
          <w:b/>
          <w:bCs/>
          <w:kern w:val="44"/>
          <w:sz w:val="30"/>
          <w:szCs w:val="44"/>
        </w:rPr>
        <w:t>第二章  招标需求</w:t>
      </w:r>
      <w:bookmarkEnd w:id="2"/>
      <w:bookmarkEnd w:id="3"/>
      <w:bookmarkEnd w:id="4"/>
    </w:p>
    <w:p>
      <w:pPr>
        <w:pStyle w:val="3"/>
        <w:spacing w:before="0" w:after="0" w:line="360" w:lineRule="auto"/>
        <w:jc w:val="center"/>
        <w:rPr>
          <w:rFonts w:ascii="宋体" w:hAnsi="宋体" w:cs="宋体"/>
          <w:sz w:val="28"/>
          <w:szCs w:val="28"/>
        </w:rPr>
      </w:pPr>
      <w:bookmarkStart w:id="5" w:name="_Toc1854"/>
      <w:bookmarkStart w:id="6" w:name="_Toc317685546"/>
      <w:bookmarkStart w:id="7" w:name="_Toc304292160"/>
      <w:bookmarkStart w:id="8" w:name="_Toc460416586"/>
      <w:bookmarkStart w:id="9" w:name="_Toc460416331"/>
      <w:bookmarkStart w:id="10" w:name="_Toc460857892"/>
      <w:bookmarkStart w:id="11" w:name="_Toc460416635"/>
      <w:r>
        <w:rPr>
          <w:rFonts w:hint="eastAsia" w:ascii="宋体" w:hAnsi="宋体" w:cs="宋体"/>
          <w:sz w:val="28"/>
          <w:szCs w:val="28"/>
        </w:rPr>
        <w:t>前附表</w:t>
      </w:r>
      <w:bookmarkEnd w:id="5"/>
    </w:p>
    <w:tbl>
      <w:tblPr>
        <w:tblStyle w:val="35"/>
        <w:tblW w:w="94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3291"/>
        <w:gridCol w:w="53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blHeader/>
          <w:jc w:val="center"/>
        </w:trPr>
        <w:tc>
          <w:tcPr>
            <w:tcW w:w="799"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宋体" w:hAnsi="宋体" w:cs="宋体"/>
                <w:b/>
                <w:szCs w:val="21"/>
              </w:rPr>
            </w:pPr>
            <w:r>
              <w:rPr>
                <w:rFonts w:hint="eastAsia" w:ascii="宋体" w:hAnsi="宋体" w:cs="宋体"/>
                <w:b/>
                <w:szCs w:val="21"/>
              </w:rPr>
              <w:t>序号</w:t>
            </w:r>
          </w:p>
        </w:tc>
        <w:tc>
          <w:tcPr>
            <w:tcW w:w="3291"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ascii="宋体" w:hAnsi="宋体" w:cs="宋体"/>
                <w:b/>
                <w:szCs w:val="21"/>
              </w:rPr>
            </w:pPr>
            <w:r>
              <w:rPr>
                <w:rFonts w:hint="eastAsia" w:ascii="宋体" w:hAnsi="宋体" w:cs="宋体"/>
                <w:b/>
                <w:szCs w:val="21"/>
              </w:rPr>
              <w:t>项目</w:t>
            </w:r>
          </w:p>
        </w:tc>
        <w:tc>
          <w:tcPr>
            <w:tcW w:w="5325" w:type="dxa"/>
            <w:tcBorders>
              <w:top w:val="single" w:color="auto" w:sz="12" w:space="0"/>
              <w:left w:val="single" w:color="auto" w:sz="4" w:space="0"/>
              <w:bottom w:val="single" w:color="auto" w:sz="6" w:space="0"/>
              <w:right w:val="single" w:color="auto" w:sz="12" w:space="0"/>
            </w:tcBorders>
            <w:vAlign w:val="center"/>
          </w:tcPr>
          <w:p>
            <w:pPr>
              <w:spacing w:line="360" w:lineRule="exact"/>
              <w:jc w:val="center"/>
              <w:rPr>
                <w:rFonts w:ascii="宋体" w:hAnsi="宋体" w:cs="宋体"/>
                <w:b/>
                <w:szCs w:val="21"/>
              </w:rPr>
            </w:pPr>
            <w:r>
              <w:rPr>
                <w:rFonts w:hint="eastAsia" w:ascii="宋体" w:hAnsi="宋体" w:cs="宋体"/>
                <w:b/>
                <w:szCs w:val="21"/>
              </w:rPr>
              <w:t>招标需求内容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1</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采购内容　</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宁波市公安局交通警察局事故（违法）拖车、停车服务项目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2</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交付或者实施的时间和地点</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详见</w:t>
            </w:r>
            <w:r>
              <w:rPr>
                <w:rFonts w:hint="eastAsia" w:ascii="宋体" w:hAnsi="宋体" w:cs="宋体"/>
                <w:bCs/>
                <w:szCs w:val="28"/>
              </w:rPr>
              <w:t>商务需求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3</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需实现的功能或者目标</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4</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执行的国家相关标准、行业标准、地方标准或者其它标准、规范</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5</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技术规格要求</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6</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物理特性要求</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7</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质量、安全要求</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8</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服务标准、期限、效率</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9</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验收标准</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详见服务需求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10</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现场踏勘</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不组织，自行前往踏勘项目现场，风险自担。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11</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演示时间及地点</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详见第四章  评标办法及评分标准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12</w:t>
            </w:r>
          </w:p>
        </w:tc>
        <w:tc>
          <w:tcPr>
            <w:tcW w:w="3291"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样品要求</w:t>
            </w:r>
          </w:p>
        </w:tc>
        <w:tc>
          <w:tcPr>
            <w:tcW w:w="5325"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99" w:type="dxa"/>
            <w:tcBorders>
              <w:top w:val="single" w:color="auto" w:sz="6" w:space="0"/>
              <w:left w:val="single" w:color="auto" w:sz="12" w:space="0"/>
              <w:bottom w:val="single" w:color="auto" w:sz="12" w:space="0"/>
              <w:right w:val="single" w:color="auto" w:sz="6" w:space="0"/>
            </w:tcBorders>
            <w:vAlign w:val="center"/>
          </w:tcPr>
          <w:p>
            <w:pPr>
              <w:spacing w:line="360" w:lineRule="exact"/>
              <w:jc w:val="center"/>
              <w:rPr>
                <w:rFonts w:ascii="宋体" w:hAnsi="宋体" w:cs="宋体"/>
                <w:szCs w:val="21"/>
              </w:rPr>
            </w:pPr>
            <w:r>
              <w:rPr>
                <w:rFonts w:hint="eastAsia" w:ascii="宋体" w:hAnsi="宋体" w:cs="宋体"/>
                <w:szCs w:val="21"/>
              </w:rPr>
              <w:t>13</w:t>
            </w:r>
          </w:p>
        </w:tc>
        <w:tc>
          <w:tcPr>
            <w:tcW w:w="3291" w:type="dxa"/>
            <w:tcBorders>
              <w:top w:val="single" w:color="auto" w:sz="6" w:space="0"/>
              <w:left w:val="single" w:color="auto" w:sz="6" w:space="0"/>
              <w:bottom w:val="single" w:color="auto" w:sz="12"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本项目的核心产品</w:t>
            </w:r>
          </w:p>
        </w:tc>
        <w:tc>
          <w:tcPr>
            <w:tcW w:w="5325" w:type="dxa"/>
            <w:tcBorders>
              <w:top w:val="single" w:color="auto" w:sz="6" w:space="0"/>
              <w:left w:val="single" w:color="auto" w:sz="4" w:space="0"/>
              <w:bottom w:val="single" w:color="auto" w:sz="12" w:space="0"/>
              <w:right w:val="single" w:color="auto" w:sz="12" w:space="0"/>
            </w:tcBorders>
            <w:vAlign w:val="center"/>
          </w:tcPr>
          <w:p>
            <w:pPr>
              <w:spacing w:line="360" w:lineRule="exact"/>
              <w:jc w:val="left"/>
              <w:rPr>
                <w:rFonts w:ascii="宋体" w:hAnsi="宋体" w:cs="宋体"/>
                <w:szCs w:val="21"/>
              </w:rPr>
            </w:pPr>
            <w:r>
              <w:rPr>
                <w:rFonts w:hint="eastAsia" w:ascii="宋体" w:hAnsi="宋体" w:cs="宋体"/>
                <w:szCs w:val="21"/>
              </w:rPr>
              <w:t>无</w:t>
            </w:r>
          </w:p>
        </w:tc>
      </w:tr>
      <w:bookmarkEnd w:id="6"/>
      <w:bookmarkEnd w:id="7"/>
    </w:tbl>
    <w:p>
      <w:pPr>
        <w:spacing w:line="360" w:lineRule="auto"/>
        <w:jc w:val="left"/>
        <w:rPr>
          <w:rFonts w:ascii="宋体" w:hAnsi="宋体" w:cs="宋体"/>
          <w:szCs w:val="21"/>
        </w:rPr>
      </w:pPr>
    </w:p>
    <w:bookmarkEnd w:id="8"/>
    <w:bookmarkEnd w:id="9"/>
    <w:bookmarkEnd w:id="10"/>
    <w:bookmarkEnd w:id="11"/>
    <w:p>
      <w:pPr>
        <w:numPr>
          <w:ilvl w:val="0"/>
          <w:numId w:val="1"/>
        </w:numPr>
        <w:outlineLvl w:val="0"/>
        <w:rPr>
          <w:rFonts w:ascii="宋体" w:hAnsi="宋体" w:cs="宋体"/>
          <w:b/>
          <w:bCs/>
          <w:kern w:val="44"/>
          <w:sz w:val="28"/>
          <w:szCs w:val="28"/>
        </w:rPr>
      </w:pPr>
      <w:bookmarkStart w:id="12" w:name="_Toc460416642"/>
      <w:bookmarkStart w:id="13" w:name="_Toc460416338"/>
      <w:bookmarkStart w:id="14" w:name="_Toc460416593"/>
      <w:r>
        <w:rPr>
          <w:rFonts w:hint="eastAsia" w:ascii="宋体" w:hAnsi="宋体" w:cs="宋体"/>
        </w:rPr>
        <w:br w:type="page"/>
      </w:r>
      <w:bookmarkStart w:id="15" w:name="_Toc30418"/>
      <w:bookmarkStart w:id="16" w:name="_Toc460857893"/>
      <w:r>
        <w:rPr>
          <w:rFonts w:hint="eastAsia" w:ascii="宋体" w:hAnsi="宋体" w:cs="宋体"/>
          <w:b/>
          <w:bCs/>
          <w:kern w:val="44"/>
          <w:sz w:val="28"/>
          <w:szCs w:val="28"/>
        </w:rPr>
        <w:t>商务要求</w:t>
      </w:r>
      <w:bookmarkEnd w:id="12"/>
      <w:bookmarkEnd w:id="13"/>
      <w:bookmarkEnd w:id="14"/>
      <w:bookmarkEnd w:id="15"/>
      <w:bookmarkEnd w:id="16"/>
    </w:p>
    <w:tbl>
      <w:tblPr>
        <w:tblStyle w:val="35"/>
        <w:tblW w:w="8931" w:type="dxa"/>
        <w:tblInd w:w="108" w:type="dxa"/>
        <w:tblLayout w:type="fixed"/>
        <w:tblCellMar>
          <w:top w:w="0" w:type="dxa"/>
          <w:left w:w="108" w:type="dxa"/>
          <w:bottom w:w="0" w:type="dxa"/>
          <w:right w:w="108" w:type="dxa"/>
        </w:tblCellMar>
      </w:tblPr>
      <w:tblGrid>
        <w:gridCol w:w="709"/>
        <w:gridCol w:w="1543"/>
        <w:gridCol w:w="6679"/>
      </w:tblGrid>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rPr>
            </w:pPr>
            <w:r>
              <w:rPr>
                <w:rFonts w:hint="eastAsia" w:ascii="宋体" w:hAnsi="宋体"/>
                <w:b/>
              </w:rPr>
              <w:t>序号</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rPr>
            </w:pPr>
            <w:r>
              <w:rPr>
                <w:rFonts w:ascii="宋体" w:hAnsi="宋体"/>
                <w:b/>
              </w:rPr>
              <w:t>项目</w:t>
            </w:r>
          </w:p>
        </w:tc>
        <w:tc>
          <w:tcPr>
            <w:tcW w:w="66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rPr>
            </w:pPr>
            <w:r>
              <w:rPr>
                <w:rFonts w:ascii="宋体" w:hAnsi="宋体"/>
                <w:b/>
              </w:rPr>
              <w:t>要求</w:t>
            </w:r>
          </w:p>
        </w:tc>
      </w:tr>
      <w:tr>
        <w:tblPrEx>
          <w:tblCellMar>
            <w:top w:w="0" w:type="dxa"/>
            <w:left w:w="108" w:type="dxa"/>
            <w:bottom w:w="0" w:type="dxa"/>
            <w:right w:w="108" w:type="dxa"/>
          </w:tblCellMar>
        </w:tblPrEx>
        <w:trPr>
          <w:trHeight w:val="95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ascii="宋体" w:hAnsi="宋体"/>
              </w:rPr>
              <w:t>1</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服务期限</w:t>
            </w:r>
          </w:p>
        </w:tc>
        <w:tc>
          <w:tcPr>
            <w:tcW w:w="66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合同签订之日起一年（期满后经招标人考核通过并书面确认，合同可续签1年，最多可续签2年）。</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ascii="宋体" w:hAnsi="宋体"/>
              </w:rPr>
              <w:t>2</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服务地点</w:t>
            </w:r>
          </w:p>
        </w:tc>
        <w:tc>
          <w:tcPr>
            <w:tcW w:w="66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rPr>
            </w:pPr>
            <w:r>
              <w:rPr>
                <w:rFonts w:hint="eastAsia" w:ascii="宋体" w:hAnsi="宋体"/>
                <w:szCs w:val="21"/>
              </w:rPr>
              <w:t>采购人指定地点。</w:t>
            </w:r>
          </w:p>
        </w:tc>
      </w:tr>
      <w:tr>
        <w:tblPrEx>
          <w:tblCellMar>
            <w:top w:w="0" w:type="dxa"/>
            <w:left w:w="108" w:type="dxa"/>
            <w:bottom w:w="0" w:type="dxa"/>
            <w:right w:w="108" w:type="dxa"/>
          </w:tblCellMar>
        </w:tblPrEx>
        <w:trPr>
          <w:trHeight w:val="5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cs="宋体"/>
                <w:b/>
                <w:szCs w:val="21"/>
              </w:rPr>
              <w:t>*</w:t>
            </w:r>
            <w:r>
              <w:rPr>
                <w:rFonts w:hint="eastAsia" w:ascii="宋体" w:hAnsi="宋体"/>
              </w:rPr>
              <w:t>3</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签订合同时间</w:t>
            </w:r>
          </w:p>
        </w:tc>
        <w:tc>
          <w:tcPr>
            <w:tcW w:w="66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rPr>
            </w:pPr>
            <w:r>
              <w:rPr>
                <w:rFonts w:hint="eastAsia" w:ascii="宋体" w:hAnsi="宋体"/>
              </w:rPr>
              <w:t>采购人在中标通知书发出之日起</w:t>
            </w:r>
            <w:r>
              <w:rPr>
                <w:rFonts w:ascii="宋体" w:hAnsi="宋体"/>
              </w:rPr>
              <w:t>30</w:t>
            </w:r>
            <w:r>
              <w:rPr>
                <w:rFonts w:hint="eastAsia" w:ascii="宋体" w:hAnsi="宋体"/>
              </w:rPr>
              <w:t>日内与中标人签订书面合同。</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4</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rPr>
              <w:t>履约保证金</w:t>
            </w:r>
          </w:p>
        </w:tc>
        <w:tc>
          <w:tcPr>
            <w:tcW w:w="667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rPr>
                <w:rFonts w:ascii="宋体" w:hAnsi="宋体"/>
              </w:rPr>
            </w:pPr>
            <w:r>
              <w:rPr>
                <w:rFonts w:hint="eastAsia" w:ascii="宋体" w:hAnsi="宋体" w:cs="宋体"/>
                <w:szCs w:val="21"/>
                <w:lang w:val="en-US" w:eastAsia="zh-CN"/>
              </w:rPr>
              <w:t>无</w:t>
            </w:r>
            <w:r>
              <w:rPr>
                <w:rFonts w:hint="eastAsia" w:ascii="宋体" w:hAnsi="宋体" w:cs="宋体"/>
                <w:szCs w:val="21"/>
              </w:rPr>
              <w:t>。</w:t>
            </w:r>
          </w:p>
        </w:tc>
      </w:tr>
      <w:tr>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r>
              <w:rPr>
                <w:rFonts w:hint="eastAsia" w:ascii="宋体" w:hAnsi="宋体"/>
              </w:rPr>
              <w:t>5</w:t>
            </w:r>
          </w:p>
        </w:tc>
        <w:tc>
          <w:tcPr>
            <w:tcW w:w="15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rPr>
            </w:pPr>
            <w:r>
              <w:rPr>
                <w:rFonts w:hint="eastAsia" w:ascii="宋体" w:hAnsi="宋体"/>
                <w:szCs w:val="21"/>
              </w:rPr>
              <w:t>付款条件</w:t>
            </w:r>
          </w:p>
        </w:tc>
        <w:tc>
          <w:tcPr>
            <w:tcW w:w="66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rPr>
            </w:pPr>
            <w:r>
              <w:rPr>
                <w:rFonts w:hint="eastAsia"/>
                <w:szCs w:val="21"/>
              </w:rPr>
              <w:t>合同期</w:t>
            </w:r>
            <w:r>
              <w:rPr>
                <w:rFonts w:hint="eastAsia" w:ascii="宋体" w:hAnsi="宋体" w:cs="宋体"/>
                <w:szCs w:val="21"/>
              </w:rPr>
              <w:t>内拖车费=实际拖车量*</w:t>
            </w:r>
            <w:r>
              <w:rPr>
                <w:rFonts w:hint="eastAsia" w:ascii="宋体" w:hAnsi="宋体" w:cs="宋体"/>
                <w:b/>
                <w:szCs w:val="21"/>
              </w:rPr>
              <w:t>市物价局车辆施救收费标准*</w:t>
            </w:r>
            <w:r>
              <w:rPr>
                <w:rFonts w:hint="eastAsia" w:ascii="宋体" w:hAnsi="宋体" w:cs="宋体"/>
                <w:szCs w:val="21"/>
              </w:rPr>
              <w:t>投标折扣系数，按实结算，按季支付；中标单位提供停车场的，停车场费用（含停车场管理人员费用、监控运维费、其他服务费等）每半年结算并支付一次。</w:t>
            </w:r>
          </w:p>
        </w:tc>
      </w:tr>
    </w:tbl>
    <w:p>
      <w:pPr>
        <w:pStyle w:val="19"/>
        <w:spacing w:before="120" w:after="120"/>
      </w:pPr>
    </w:p>
    <w:p>
      <w:bookmarkStart w:id="17" w:name="_Toc460857894"/>
      <w:bookmarkStart w:id="18" w:name="_Toc12546"/>
    </w:p>
    <w:p>
      <w:pPr>
        <w:pStyle w:val="3"/>
        <w:spacing w:before="0" w:after="0" w:line="360" w:lineRule="auto"/>
        <w:jc w:val="left"/>
        <w:rPr>
          <w:rFonts w:ascii="宋体" w:hAnsi="宋体" w:cs="宋体"/>
          <w:sz w:val="21"/>
          <w:szCs w:val="21"/>
        </w:rPr>
        <w:sectPr>
          <w:headerReference r:id="rId3" w:type="default"/>
          <w:footerReference r:id="rId4" w:type="default"/>
          <w:pgSz w:w="11907" w:h="16840"/>
          <w:pgMar w:top="1361" w:right="1474" w:bottom="1242" w:left="1474" w:header="720" w:footer="720" w:gutter="0"/>
          <w:cols w:space="720" w:num="1"/>
          <w:docGrid w:linePitch="285" w:charSpace="0"/>
        </w:sectPr>
      </w:pPr>
    </w:p>
    <w:p>
      <w:pPr>
        <w:pStyle w:val="3"/>
        <w:spacing w:before="0" w:after="0" w:line="360" w:lineRule="auto"/>
        <w:jc w:val="left"/>
        <w:rPr>
          <w:rFonts w:ascii="宋体" w:hAnsi="宋体" w:cs="宋体"/>
          <w:sz w:val="21"/>
          <w:szCs w:val="21"/>
        </w:rPr>
      </w:pPr>
      <w:r>
        <w:rPr>
          <w:rFonts w:hint="eastAsia" w:ascii="宋体" w:hAnsi="宋体" w:cs="宋体"/>
          <w:sz w:val="28"/>
          <w:szCs w:val="28"/>
        </w:rPr>
        <w:t>二、服务需求</w:t>
      </w:r>
      <w:bookmarkEnd w:id="17"/>
      <w:bookmarkEnd w:id="18"/>
      <w:bookmarkStart w:id="19" w:name="_Toc460416594"/>
      <w:bookmarkStart w:id="20" w:name="_Toc8380"/>
      <w:bookmarkStart w:id="21" w:name="_Toc460857895"/>
    </w:p>
    <w:tbl>
      <w:tblPr>
        <w:tblStyle w:val="35"/>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479"/>
        <w:gridCol w:w="1368"/>
        <w:gridCol w:w="1513"/>
        <w:gridCol w:w="120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46" w:type="dxa"/>
            <w:vAlign w:val="center"/>
          </w:tcPr>
          <w:p>
            <w:pPr>
              <w:widowControl/>
              <w:spacing w:line="276" w:lineRule="auto"/>
              <w:jc w:val="center"/>
              <w:rPr>
                <w:rFonts w:ascii="宋体" w:hAnsi="宋体" w:cs="Arial"/>
                <w:b/>
                <w:bCs/>
                <w:szCs w:val="21"/>
              </w:rPr>
            </w:pPr>
            <w:r>
              <w:rPr>
                <w:rFonts w:hint="eastAsia" w:ascii="宋体" w:hAnsi="宋体" w:cs="Arial"/>
                <w:b/>
                <w:bCs/>
                <w:szCs w:val="21"/>
              </w:rPr>
              <w:t>标项</w:t>
            </w:r>
          </w:p>
        </w:tc>
        <w:tc>
          <w:tcPr>
            <w:tcW w:w="3479" w:type="dxa"/>
            <w:vAlign w:val="center"/>
          </w:tcPr>
          <w:p>
            <w:pPr>
              <w:widowControl/>
              <w:spacing w:line="276" w:lineRule="auto"/>
              <w:jc w:val="center"/>
              <w:rPr>
                <w:rFonts w:ascii="宋体" w:hAnsi="宋体" w:cs="Arial"/>
                <w:b/>
                <w:bCs/>
                <w:szCs w:val="21"/>
              </w:rPr>
            </w:pPr>
            <w:r>
              <w:rPr>
                <w:rFonts w:hint="eastAsia" w:ascii="宋体" w:hAnsi="宋体" w:cs="Arial"/>
                <w:b/>
                <w:bCs/>
                <w:szCs w:val="21"/>
              </w:rPr>
              <w:t>采购内容</w:t>
            </w:r>
          </w:p>
        </w:tc>
        <w:tc>
          <w:tcPr>
            <w:tcW w:w="1368" w:type="dxa"/>
            <w:vAlign w:val="center"/>
          </w:tcPr>
          <w:p>
            <w:pPr>
              <w:widowControl/>
              <w:spacing w:line="276" w:lineRule="auto"/>
              <w:jc w:val="center"/>
              <w:rPr>
                <w:rFonts w:ascii="宋体" w:hAnsi="宋体" w:cs="Arial"/>
                <w:b/>
                <w:bCs/>
                <w:szCs w:val="21"/>
              </w:rPr>
            </w:pPr>
            <w:r>
              <w:rPr>
                <w:rFonts w:hint="eastAsia" w:ascii="宋体" w:hAnsi="宋体" w:cs="Arial"/>
                <w:b/>
                <w:bCs/>
                <w:szCs w:val="21"/>
              </w:rPr>
              <w:t>预算总金额（万元/年）</w:t>
            </w:r>
          </w:p>
        </w:tc>
        <w:tc>
          <w:tcPr>
            <w:tcW w:w="1513" w:type="dxa"/>
            <w:vAlign w:val="center"/>
          </w:tcPr>
          <w:p>
            <w:pPr>
              <w:widowControl/>
              <w:spacing w:line="276" w:lineRule="auto"/>
              <w:jc w:val="center"/>
              <w:rPr>
                <w:rFonts w:ascii="宋体" w:hAnsi="宋体" w:cs="Arial"/>
                <w:b/>
                <w:bCs/>
                <w:szCs w:val="21"/>
              </w:rPr>
            </w:pPr>
            <w:r>
              <w:rPr>
                <w:rFonts w:hint="eastAsia" w:ascii="宋体" w:hAnsi="宋体" w:cs="Arial"/>
                <w:b/>
                <w:bCs/>
                <w:szCs w:val="21"/>
              </w:rPr>
              <w:t>停车场预算金额/最高限价（万元/年）</w:t>
            </w:r>
          </w:p>
        </w:tc>
        <w:tc>
          <w:tcPr>
            <w:tcW w:w="1200" w:type="dxa"/>
            <w:vAlign w:val="center"/>
          </w:tcPr>
          <w:p>
            <w:pPr>
              <w:widowControl/>
              <w:spacing w:line="276" w:lineRule="auto"/>
              <w:jc w:val="center"/>
              <w:rPr>
                <w:rFonts w:ascii="宋体" w:hAnsi="宋体" w:cs="Arial"/>
                <w:b/>
                <w:bCs/>
                <w:szCs w:val="21"/>
              </w:rPr>
            </w:pPr>
            <w:r>
              <w:rPr>
                <w:rFonts w:hint="eastAsia" w:ascii="宋体" w:hAnsi="宋体" w:cs="Arial"/>
                <w:b/>
                <w:bCs/>
                <w:szCs w:val="21"/>
              </w:rPr>
              <w:t>拖车预算金额（万元/年）</w:t>
            </w:r>
          </w:p>
        </w:tc>
        <w:tc>
          <w:tcPr>
            <w:tcW w:w="1227" w:type="dxa"/>
            <w:vAlign w:val="center"/>
          </w:tcPr>
          <w:p>
            <w:pPr>
              <w:widowControl/>
              <w:spacing w:line="276" w:lineRule="auto"/>
              <w:jc w:val="center"/>
              <w:rPr>
                <w:rFonts w:ascii="宋体" w:hAnsi="宋体" w:cs="Arial"/>
                <w:b/>
                <w:bCs/>
                <w:szCs w:val="21"/>
              </w:rPr>
            </w:pPr>
            <w:r>
              <w:rPr>
                <w:rFonts w:hint="eastAsia" w:ascii="宋体" w:hAnsi="宋体" w:cs="Arial"/>
                <w:b/>
                <w:bCs/>
                <w:szCs w:val="21"/>
              </w:rPr>
              <w:t>折扣系数</w:t>
            </w:r>
          </w:p>
          <w:p>
            <w:pPr>
              <w:widowControl/>
              <w:spacing w:line="276" w:lineRule="auto"/>
              <w:jc w:val="center"/>
              <w:rPr>
                <w:rFonts w:ascii="宋体" w:hAnsi="宋体" w:cs="Arial"/>
                <w:b/>
                <w:bCs/>
                <w:szCs w:val="21"/>
              </w:rPr>
            </w:pPr>
            <w:r>
              <w:rPr>
                <w:rFonts w:hint="eastAsia" w:ascii="宋体" w:hAnsi="宋体" w:cs="Arial"/>
                <w:b/>
                <w:bCs/>
                <w:szCs w:val="21"/>
              </w:rPr>
              <w:t>最高限额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一</w:t>
            </w:r>
          </w:p>
        </w:tc>
        <w:tc>
          <w:tcPr>
            <w:tcW w:w="3479" w:type="dxa"/>
            <w:vAlign w:val="center"/>
          </w:tcPr>
          <w:p>
            <w:pPr>
              <w:widowControl/>
              <w:spacing w:line="276" w:lineRule="auto"/>
              <w:jc w:val="center"/>
              <w:rPr>
                <w:rFonts w:ascii="宋体" w:hAnsi="宋体"/>
                <w:szCs w:val="21"/>
              </w:rPr>
            </w:pPr>
            <w:r>
              <w:rPr>
                <w:rFonts w:hint="eastAsia" w:ascii="宋体" w:hAnsi="宋体" w:cs="Arial"/>
                <w:szCs w:val="21"/>
              </w:rPr>
              <w:t>江北交警大队辖区；海曙大队一中队、二中队、三中队、南站中队辖区；鄞州大队一中队、二中队、东部新城中队辖区；快速路大队辖区等范围内的事故拖车、停车服务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320</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100</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220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二</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江北交警大队辖区；海曙大队一中队、二中队、三中队、南站中队辖区；鄞州大队一中队、二中队、东部新城中队辖区；快速路大队辖区等范围内的违法拖车、停车服务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380</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100</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280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三</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姜山交警中队辖区事故、违法拖车、停车服务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70</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20</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50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四</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横溪交警中队辖区事故、违法拖车、停车服务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55</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20</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35</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五</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大嵩交警中队辖区事故、违法拖车、停车服务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53</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18</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35</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六</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东吴、盛垫交警中队辖区事故、违法拖车、停车服务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95</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15</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80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七</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下应、首南交警中队辖区事故、违法拖车、停车服务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90</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25</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65</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八</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钟公庙交警中队辖区事故、违法拖车、停车服务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95</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25</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70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九</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古林交警中队辖区事故、违法拖车、停车服务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60</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20</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40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十</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栎社交警中队辖区事故、违法拖车、停车服务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58</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18</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40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十一</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集仕港交警中队辖区事故、违法拖车服务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40</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0</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40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十二</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高桥交警中队辖区事故、违法拖车、停车服务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60</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20</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40</w:t>
            </w:r>
          </w:p>
        </w:tc>
        <w:tc>
          <w:tcPr>
            <w:tcW w:w="1227" w:type="dxa"/>
            <w:vAlign w:val="center"/>
          </w:tcPr>
          <w:p>
            <w:pPr>
              <w:widowControl/>
              <w:spacing w:line="360" w:lineRule="auto"/>
              <w:jc w:val="center"/>
              <w:rPr>
                <w:rFonts w:ascii="宋体" w:hAnsi="宋体" w:cs="Arial"/>
                <w:bCs/>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十三</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鄞江交警中队辖区事故、违法拖车、停车服务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42</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20</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22</w:t>
            </w:r>
          </w:p>
        </w:tc>
        <w:tc>
          <w:tcPr>
            <w:tcW w:w="1227" w:type="dxa"/>
            <w:vAlign w:val="center"/>
          </w:tcPr>
          <w:p>
            <w:pPr>
              <w:widowControl/>
              <w:spacing w:line="360" w:lineRule="auto"/>
              <w:jc w:val="center"/>
              <w:rPr>
                <w:rFonts w:ascii="宋体" w:hAnsi="宋体" w:cs="Arial"/>
                <w:bCs/>
                <w:color w:val="FF0000"/>
                <w:szCs w:val="21"/>
              </w:rPr>
            </w:pPr>
            <w:r>
              <w:rPr>
                <w:rFonts w:hint="eastAsia" w:ascii="宋体" w:hAnsi="宋体" w:cs="Arial"/>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6" w:type="dxa"/>
            <w:vAlign w:val="center"/>
          </w:tcPr>
          <w:p>
            <w:pPr>
              <w:widowControl/>
              <w:spacing w:line="360" w:lineRule="auto"/>
              <w:jc w:val="center"/>
              <w:rPr>
                <w:rFonts w:ascii="宋体" w:hAnsi="宋体" w:cs="Arial"/>
                <w:szCs w:val="21"/>
              </w:rPr>
            </w:pPr>
            <w:r>
              <w:rPr>
                <w:rFonts w:hint="eastAsia" w:ascii="宋体" w:hAnsi="宋体" w:cs="Arial"/>
                <w:szCs w:val="21"/>
              </w:rPr>
              <w:t>十四</w:t>
            </w:r>
          </w:p>
        </w:tc>
        <w:tc>
          <w:tcPr>
            <w:tcW w:w="3479" w:type="dxa"/>
            <w:vAlign w:val="center"/>
          </w:tcPr>
          <w:p>
            <w:pPr>
              <w:widowControl/>
              <w:spacing w:line="276" w:lineRule="auto"/>
              <w:jc w:val="center"/>
              <w:rPr>
                <w:rFonts w:ascii="宋体" w:hAnsi="宋体" w:cs="Arial"/>
                <w:szCs w:val="21"/>
              </w:rPr>
            </w:pPr>
            <w:r>
              <w:rPr>
                <w:rFonts w:hint="eastAsia" w:ascii="宋体" w:hAnsi="宋体" w:cs="Arial"/>
                <w:szCs w:val="21"/>
              </w:rPr>
              <w:t>东钱湖交警中队辖区事故、违法拖车、停车服务</w:t>
            </w:r>
          </w:p>
        </w:tc>
        <w:tc>
          <w:tcPr>
            <w:tcW w:w="1368" w:type="dxa"/>
            <w:vAlign w:val="center"/>
          </w:tcPr>
          <w:p>
            <w:pPr>
              <w:widowControl/>
              <w:spacing w:line="360" w:lineRule="auto"/>
              <w:jc w:val="center"/>
              <w:rPr>
                <w:rFonts w:ascii="宋体" w:hAnsi="宋体" w:cs="Arial"/>
                <w:bCs/>
                <w:szCs w:val="21"/>
              </w:rPr>
            </w:pPr>
            <w:r>
              <w:rPr>
                <w:rFonts w:hint="eastAsia" w:ascii="宋体" w:hAnsi="宋体" w:cs="Arial"/>
                <w:bCs/>
                <w:szCs w:val="21"/>
              </w:rPr>
              <w:t>82</w:t>
            </w:r>
          </w:p>
        </w:tc>
        <w:tc>
          <w:tcPr>
            <w:tcW w:w="1513" w:type="dxa"/>
            <w:vAlign w:val="center"/>
          </w:tcPr>
          <w:p>
            <w:pPr>
              <w:widowControl/>
              <w:spacing w:line="360" w:lineRule="auto"/>
              <w:jc w:val="center"/>
              <w:rPr>
                <w:rFonts w:ascii="宋体" w:hAnsi="宋体" w:cs="Arial"/>
                <w:bCs/>
                <w:szCs w:val="21"/>
              </w:rPr>
            </w:pPr>
            <w:r>
              <w:rPr>
                <w:rFonts w:hint="eastAsia" w:ascii="宋体" w:hAnsi="宋体" w:cs="Arial"/>
                <w:bCs/>
                <w:szCs w:val="21"/>
              </w:rPr>
              <w:t>22</w:t>
            </w:r>
          </w:p>
        </w:tc>
        <w:tc>
          <w:tcPr>
            <w:tcW w:w="1200" w:type="dxa"/>
            <w:vAlign w:val="center"/>
          </w:tcPr>
          <w:p>
            <w:pPr>
              <w:widowControl/>
              <w:spacing w:line="360" w:lineRule="auto"/>
              <w:jc w:val="center"/>
              <w:rPr>
                <w:rFonts w:ascii="宋体" w:hAnsi="宋体" w:cs="Arial"/>
                <w:bCs/>
                <w:szCs w:val="21"/>
              </w:rPr>
            </w:pPr>
            <w:r>
              <w:rPr>
                <w:rFonts w:hint="eastAsia" w:ascii="宋体" w:hAnsi="宋体" w:cs="Arial"/>
                <w:bCs/>
                <w:szCs w:val="21"/>
              </w:rPr>
              <w:t>60</w:t>
            </w:r>
          </w:p>
        </w:tc>
        <w:tc>
          <w:tcPr>
            <w:tcW w:w="1227" w:type="dxa"/>
            <w:vAlign w:val="center"/>
          </w:tcPr>
          <w:p>
            <w:pPr>
              <w:widowControl/>
              <w:spacing w:line="360" w:lineRule="auto"/>
              <w:jc w:val="center"/>
              <w:rPr>
                <w:rFonts w:ascii="宋体" w:hAnsi="宋体" w:cs="Arial"/>
                <w:bCs/>
                <w:color w:val="FF0000"/>
                <w:szCs w:val="21"/>
              </w:rPr>
            </w:pPr>
            <w:r>
              <w:rPr>
                <w:rFonts w:hint="eastAsia" w:ascii="宋体" w:hAnsi="宋体" w:cs="Arial"/>
                <w:bCs/>
                <w:szCs w:val="21"/>
              </w:rPr>
              <w:t>75%</w:t>
            </w:r>
          </w:p>
        </w:tc>
      </w:tr>
    </w:tbl>
    <w:p>
      <w:pPr>
        <w:autoSpaceDE w:val="0"/>
        <w:autoSpaceDN w:val="0"/>
        <w:adjustRightInd w:val="0"/>
        <w:spacing w:line="360" w:lineRule="auto"/>
        <w:rPr>
          <w:rFonts w:ascii="宋体" w:hAnsi="宋体" w:cs="宋体"/>
          <w:szCs w:val="21"/>
        </w:rPr>
      </w:pPr>
      <w:r>
        <w:rPr>
          <w:rFonts w:hint="eastAsia" w:ascii="宋体" w:hAnsi="宋体" w:cs="宋体"/>
          <w:szCs w:val="21"/>
        </w:rPr>
        <w:t>备注：</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1、标项六中的</w:t>
      </w:r>
      <w:r>
        <w:rPr>
          <w:rFonts w:hint="eastAsia" w:ascii="宋体" w:hAnsi="宋体" w:cs="Arial"/>
          <w:szCs w:val="21"/>
        </w:rPr>
        <w:t>东吴交警中队辖区由中队提供停车场，</w:t>
      </w:r>
      <w:r>
        <w:rPr>
          <w:rFonts w:hint="eastAsia" w:ascii="宋体" w:hAnsi="宋体" w:cs="Arial"/>
          <w:szCs w:val="21"/>
          <w:lang w:val="en-US" w:eastAsia="zh-CN"/>
        </w:rPr>
        <w:t>东吴辖区</w:t>
      </w:r>
      <w:r>
        <w:rPr>
          <w:rFonts w:hint="eastAsia" w:ascii="宋体" w:hAnsi="宋体" w:cs="Arial"/>
          <w:szCs w:val="21"/>
        </w:rPr>
        <w:t>无需报停车</w:t>
      </w:r>
      <w:r>
        <w:rPr>
          <w:rFonts w:hint="eastAsia" w:ascii="宋体" w:hAnsi="宋体" w:cs="Arial"/>
          <w:szCs w:val="21"/>
          <w:lang w:val="en-US" w:eastAsia="zh-CN"/>
        </w:rPr>
        <w:t>场服务费</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2、标项十一</w:t>
      </w:r>
      <w:r>
        <w:rPr>
          <w:rFonts w:hint="eastAsia" w:ascii="宋体" w:hAnsi="宋体" w:cs="Arial"/>
          <w:szCs w:val="21"/>
        </w:rPr>
        <w:t>集仕港交警中队辖区由中队提供停车场，无需报停车</w:t>
      </w:r>
      <w:r>
        <w:rPr>
          <w:rFonts w:hint="eastAsia" w:ascii="宋体" w:hAnsi="宋体" w:cs="Arial"/>
          <w:szCs w:val="21"/>
          <w:lang w:val="en-US" w:eastAsia="zh-CN"/>
        </w:rPr>
        <w:t>场服务费</w:t>
      </w:r>
      <w:r>
        <w:rPr>
          <w:rFonts w:hint="eastAsia" w:ascii="宋体" w:hAnsi="宋体" w:cs="Arial"/>
          <w:szCs w:val="21"/>
        </w:rPr>
        <w:t>。</w:t>
      </w:r>
    </w:p>
    <w:p>
      <w:pPr>
        <w:ind w:firstLine="420" w:firstLineChars="200"/>
        <w:rPr>
          <w:rFonts w:ascii="宋体" w:hAnsi="宋体" w:cs="宋体"/>
          <w:b/>
          <w:bCs/>
          <w:szCs w:val="21"/>
        </w:rPr>
      </w:pPr>
      <w:r>
        <w:rPr>
          <w:rFonts w:hint="eastAsia" w:ascii="宋体" w:hAnsi="宋体" w:cs="宋体"/>
          <w:szCs w:val="21"/>
        </w:rPr>
        <w:br w:type="page"/>
      </w:r>
    </w:p>
    <w:p>
      <w:pPr>
        <w:autoSpaceDE w:val="0"/>
        <w:autoSpaceDN w:val="0"/>
        <w:adjustRightInd w:val="0"/>
        <w:spacing w:line="360" w:lineRule="auto"/>
        <w:ind w:firstLine="422" w:firstLineChars="200"/>
        <w:rPr>
          <w:rFonts w:ascii="宋体" w:hAnsi="宋体" w:cs="宋体"/>
          <w:szCs w:val="21"/>
        </w:rPr>
      </w:pPr>
      <w:r>
        <w:rPr>
          <w:rFonts w:hint="eastAsia" w:ascii="宋体" w:hAnsi="宋体" w:cs="宋体"/>
          <w:b/>
          <w:bCs/>
          <w:szCs w:val="21"/>
        </w:rPr>
        <w:t>标项一：</w:t>
      </w:r>
      <w:r>
        <w:rPr>
          <w:rFonts w:hint="eastAsia" w:ascii="宋体" w:hAnsi="宋体" w:cs="Arial"/>
          <w:b/>
          <w:bCs/>
          <w:szCs w:val="21"/>
        </w:rPr>
        <w:t>江北交警大队辖区；海曙大队一中队、二中队、三中队、南站中队辖区；鄞州大队一中队、二中队、东部新城中队辖区；快速路大队辖区等范围内的事故拖车、停车服务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根据各大队勤务要求，拟订基本条件如下：</w:t>
      </w:r>
    </w:p>
    <w:p>
      <w:pPr>
        <w:autoSpaceDE w:val="0"/>
        <w:autoSpaceDN w:val="0"/>
        <w:adjustRightInd w:val="0"/>
        <w:spacing w:line="360" w:lineRule="auto"/>
        <w:ind w:firstLine="422" w:firstLineChars="200"/>
        <w:rPr>
          <w:rFonts w:ascii="宋体" w:hAnsi="宋体" w:cs="宋体"/>
          <w:b/>
          <w:szCs w:val="21"/>
        </w:rPr>
      </w:pPr>
      <w:r>
        <w:rPr>
          <w:rFonts w:hint="eastAsia" w:ascii="宋体" w:hAnsi="宋体" w:cs="宋体"/>
          <w:b/>
          <w:szCs w:val="21"/>
        </w:rPr>
        <w:t>（一）事故车辆拖车、停车服务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根据各大队勤务要求，配备车辆数量不低于：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①10辆小吨位拖车</w:t>
      </w:r>
      <w:r>
        <w:rPr>
          <w:rFonts w:hint="eastAsia" w:ascii="宋体" w:hAnsi="宋体" w:cs="宋体"/>
          <w:szCs w:val="21"/>
          <w:lang w:eastAsia="zh-CN"/>
        </w:rPr>
        <w:t>（</w:t>
      </w:r>
      <w:r>
        <w:rPr>
          <w:rFonts w:hint="eastAsia" w:ascii="宋体" w:hAnsi="宋体" w:cs="宋体"/>
          <w:szCs w:val="21"/>
          <w:lang w:val="en-US" w:eastAsia="zh-CN"/>
        </w:rPr>
        <w:t>3吨至5吨</w:t>
      </w:r>
      <w:r>
        <w:rPr>
          <w:rFonts w:hint="eastAsia" w:ascii="宋体" w:hAnsi="宋体" w:cs="宋体"/>
          <w:szCs w:val="21"/>
          <w:lang w:eastAsia="zh-CN"/>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②4辆大吨位拖车（10吨及以上）；</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③2辆常规吨位吊车（8吨至16吨）；</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④1辆大吨位吊车（25吨及以上）。</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（2）常规配备：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①交警局本级三个大队各2辆小吨位拖车连带驾驶员，应对小型车辆包括小型轿车、越野车、小型普通客车、轻型普通货车等的施救工作；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②交警局本级三个大队各1辆大吨位拖车连带驾驶员，应对中型、重型货车以及中型、大型客车的施救工作；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③交警局本级三个大队区域内配备1辆常规吨位连带驾驶员（8吨至16吨）的吊车，要求可以涵盖三区、应对普通事故的施救工作。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④交警局快速路大队区域需配备4辆小吨位拖车连带驾驶员，1辆常规吨位连带驾驶员（8吨至16吨）的吊车。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（3）应急配备（市区各大队统筹）：</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交警局本级三个大队区域内配备一辆大吨位拖车连带驾驶员和一辆大吨位吊车连带驾驶员。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应急车辆停放地点由辖区大队安排。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常规配备车辆：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海曙大队：一辆停放天一广场周边，一辆停放南站周边，其他停放海曙青林湾停车场。</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鄞州大队：一辆停放在东部中队，其他停放江东中兴北路停车场。</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江北大队：在环城北路以南，庆丰桥附近停放一辆；北环路以北停放一辆；其他车辆停放在梅林停车场。</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快速路大队：在高速宁波东出口、高速宁波北出口、高速朝阳出口停放。</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交警局本级三个大队要求24小时运转。6点到22点常规配备车辆连带驾驶员全部到位。22点到次日6点有一大一小拖车到位。</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常规配备车辆：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一级区域以中兴路、兴宁路、望京路、长春路通途路为包围圈以内包括上上述道路，要求接到指令后白天15分钟、夜间20分钟内到达事故现场实施清障救援。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二级区域以世纪大道、南外环、世纪大道、环城北路为包围圈以内除一级区域外道路，包括上述道路区域要求白天20分钟、夜间20分钟内到达事故现场实施清障救援。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三级区域除上述道路外交警局本级区域要求白天30分钟、夜间40分钟内到达事故现场实施清障救援。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应急配备车辆：交警局本级三个大队范围内白天30分钟、夜间40分钟内到达。</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①事故车辆施救完毕后，要求清理现场散落物、血迹、油渍，确保不发生二次事故的发生。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②施救过程安全防护工作，参照公安部交通事故接处警安全防护要求执行。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③严格执行交警局及各大队指挥中心指令和调度，紧急情况下可与违法清障力量相互协调，参与做好违法车辆拖离工作。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停车场地要求：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（1）每个停车场需配备专门的管理人员，管理人员具有</w:t>
      </w:r>
      <w:r>
        <w:rPr>
          <w:rFonts w:hint="eastAsia" w:ascii="宋体"/>
          <w:szCs w:val="21"/>
        </w:rPr>
        <w:t>物业管理专业大专或以上学历</w:t>
      </w:r>
      <w:r>
        <w:rPr>
          <w:rFonts w:hint="eastAsia" w:ascii="宋体" w:hAnsi="宋体" w:cs="宋体"/>
          <w:szCs w:val="21"/>
        </w:rPr>
        <w:t>。</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b/>
          <w:bCs/>
        </w:rPr>
        <w:t>投标单位需</w:t>
      </w:r>
      <w:r>
        <w:rPr>
          <w:rFonts w:hint="eastAsia" w:ascii="宋体" w:hAnsi="宋体" w:cs="宋体"/>
          <w:b/>
          <w:bCs/>
          <w:szCs w:val="21"/>
        </w:rPr>
        <w:t>在三区（海曙区、鄞州区、江北区）具备2个</w:t>
      </w:r>
      <w:r>
        <w:rPr>
          <w:rFonts w:hint="eastAsia"/>
          <w:b/>
          <w:bCs/>
        </w:rPr>
        <w:t>及</w:t>
      </w:r>
      <w:r>
        <w:rPr>
          <w:rFonts w:hint="eastAsia" w:ascii="宋体" w:hAnsi="宋体" w:cs="宋体"/>
          <w:b/>
          <w:bCs/>
          <w:szCs w:val="21"/>
        </w:rPr>
        <w:t>以上面积不小于5000平方</w:t>
      </w:r>
      <w:r>
        <w:rPr>
          <w:rFonts w:hint="eastAsia"/>
          <w:b/>
          <w:bCs/>
        </w:rPr>
        <w:t>米（</w:t>
      </w:r>
      <w:r>
        <w:rPr>
          <w:rFonts w:hint="eastAsia" w:ascii="宋体" w:hAnsi="宋体" w:cs="宋体"/>
          <w:b/>
          <w:bCs/>
          <w:szCs w:val="21"/>
        </w:rPr>
        <w:t>或1个</w:t>
      </w:r>
      <w:r>
        <w:rPr>
          <w:rFonts w:hint="eastAsia"/>
          <w:b/>
          <w:bCs/>
        </w:rPr>
        <w:t>及</w:t>
      </w:r>
      <w:r>
        <w:rPr>
          <w:rFonts w:hint="eastAsia" w:ascii="宋体" w:hAnsi="宋体" w:cs="宋体"/>
          <w:b/>
          <w:bCs/>
          <w:szCs w:val="21"/>
        </w:rPr>
        <w:t>以上面积不小于10000平方</w:t>
      </w:r>
      <w:r>
        <w:rPr>
          <w:rFonts w:hint="eastAsia"/>
          <w:b/>
          <w:bCs/>
        </w:rPr>
        <w:t>米）</w:t>
      </w:r>
      <w:r>
        <w:rPr>
          <w:rFonts w:hint="eastAsia" w:ascii="宋体" w:hAnsi="宋体" w:cs="宋体"/>
          <w:b/>
          <w:bCs/>
          <w:szCs w:val="21"/>
        </w:rPr>
        <w:t>且具有监控管理系统等科技设施完善的专用停车场（不得与社会车辆混放</w:t>
      </w:r>
      <w:r>
        <w:rPr>
          <w:rFonts w:hint="eastAsia"/>
          <w:b/>
          <w:bCs/>
        </w:rPr>
        <w:t>）</w:t>
      </w:r>
      <w:r>
        <w:rPr>
          <w:rFonts w:hint="eastAsia" w:ascii="宋体" w:hAnsi="宋体" w:cs="宋体"/>
          <w:b/>
          <w:bCs/>
          <w:szCs w:val="21"/>
        </w:rPr>
        <w:t>。【投标文件中提供自有土地证明或租赁合同或委托管理协议加盖公章（租赁合同或委托管理协议须注明土地面积）】；</w:t>
      </w:r>
    </w:p>
    <w:p>
      <w:pPr>
        <w:autoSpaceDE w:val="0"/>
        <w:autoSpaceDN w:val="0"/>
        <w:adjustRightInd w:val="0"/>
        <w:spacing w:line="360" w:lineRule="auto"/>
        <w:ind w:firstLine="422" w:firstLineChars="200"/>
        <w:rPr>
          <w:rFonts w:ascii="宋体" w:hAnsi="宋体" w:cs="宋体"/>
          <w:szCs w:val="21"/>
        </w:rPr>
      </w:pPr>
      <w:r>
        <w:rPr>
          <w:rFonts w:hint="eastAsia" w:ascii="宋体" w:hAnsi="宋体" w:cs="宋体"/>
          <w:b/>
          <w:bCs/>
          <w:szCs w:val="21"/>
        </w:rPr>
        <w:t>*</w:t>
      </w:r>
      <w:r>
        <w:rPr>
          <w:rFonts w:hint="eastAsia" w:ascii="宋体" w:hAnsi="宋体" w:cs="宋体"/>
          <w:szCs w:val="21"/>
        </w:rPr>
        <w:t>（3）</w:t>
      </w:r>
      <w:r>
        <w:rPr>
          <w:rFonts w:hint="eastAsia"/>
        </w:rPr>
        <w:t>若</w:t>
      </w:r>
      <w:r>
        <w:rPr>
          <w:rFonts w:hint="eastAsia" w:ascii="宋体" w:hAnsi="宋体" w:cs="宋体"/>
          <w:szCs w:val="21"/>
        </w:rPr>
        <w:t>投标单位在三区（海曙区、鄞州区、江北区）未同时具备2个及以上面积不小于5000平方米（</w:t>
      </w:r>
      <w:r>
        <w:rPr>
          <w:rFonts w:hint="eastAsia" w:ascii="宋体" w:hAnsi="宋体" w:cs="宋体"/>
          <w:b/>
          <w:bCs/>
          <w:szCs w:val="21"/>
        </w:rPr>
        <w:t>或1个</w:t>
      </w:r>
      <w:r>
        <w:rPr>
          <w:rFonts w:hint="eastAsia"/>
          <w:b/>
          <w:bCs/>
        </w:rPr>
        <w:t>及</w:t>
      </w:r>
      <w:r>
        <w:rPr>
          <w:rFonts w:hint="eastAsia" w:ascii="宋体" w:hAnsi="宋体" w:cs="宋体"/>
          <w:b/>
          <w:bCs/>
          <w:szCs w:val="21"/>
        </w:rPr>
        <w:t>以上面积不小于10000平方</w:t>
      </w:r>
      <w:r>
        <w:rPr>
          <w:rFonts w:hint="eastAsia"/>
          <w:b/>
          <w:bCs/>
        </w:rPr>
        <w:t>米）</w:t>
      </w:r>
      <w:r>
        <w:rPr>
          <w:rFonts w:hint="eastAsia" w:ascii="宋体" w:hAnsi="宋体" w:cs="宋体"/>
          <w:szCs w:val="21"/>
        </w:rPr>
        <w:t>和具有监控管理系统等科技设施完善的专用停车场（不得与社会车辆混放）的，则必须在投标文件中承诺中标后二十日内提供符合上述要求的停车场。（投标文件中提供承诺并加盖公章）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（二）经费结算方式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1、此次招标按照事故车辆施救和违法车辆拖离两项与中标单位分别进行经费结算；</w:t>
      </w:r>
    </w:p>
    <w:p>
      <w:pPr>
        <w:autoSpaceDE w:val="0"/>
        <w:autoSpaceDN w:val="0"/>
        <w:adjustRightInd w:val="0"/>
        <w:spacing w:line="360" w:lineRule="auto"/>
        <w:ind w:firstLine="422" w:firstLineChars="200"/>
        <w:rPr>
          <w:rFonts w:ascii="宋体" w:hAnsi="宋体" w:cs="宋体"/>
          <w:b/>
          <w:bCs/>
          <w:szCs w:val="21"/>
        </w:rPr>
      </w:pPr>
      <w:r>
        <w:rPr>
          <w:rFonts w:hint="eastAsia"/>
          <w:b/>
          <w:bCs/>
        </w:rPr>
        <w:t>*</w:t>
      </w:r>
      <w:r>
        <w:rPr>
          <w:rFonts w:hint="eastAsia" w:ascii="宋体" w:hAnsi="宋体" w:cs="宋体"/>
          <w:b/>
          <w:bCs/>
          <w:szCs w:val="21"/>
        </w:rPr>
        <w:t>2、招标文件中明确要求以年度事故施救车辆和违法拖离车辆的实际总数，每次收费标准=按市物价局车辆施救收费标准*投标折扣系数。</w:t>
      </w:r>
      <w:r>
        <w:rPr>
          <w:rFonts w:hint="eastAsia"/>
          <w:b/>
          <w:bCs/>
        </w:rPr>
        <w:t>投标人所报的</w:t>
      </w:r>
      <w:r>
        <w:rPr>
          <w:rFonts w:hint="eastAsia" w:ascii="宋体" w:hAnsi="宋体" w:cs="宋体"/>
          <w:b/>
          <w:bCs/>
          <w:szCs w:val="21"/>
        </w:rPr>
        <w:t>折扣系数≤65%；如投标折扣系数＞65%，</w:t>
      </w:r>
      <w:r>
        <w:rPr>
          <w:rFonts w:hint="eastAsia"/>
          <w:b/>
          <w:bCs/>
        </w:rPr>
        <w:t>投标文件将被视为无效</w:t>
      </w:r>
      <w:r>
        <w:rPr>
          <w:rFonts w:hint="eastAsia" w:ascii="宋体" w:hAnsi="宋体" w:cs="宋体"/>
          <w:b/>
          <w:bCs/>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w:t>
      </w:r>
      <w:r>
        <w:rPr>
          <w:rFonts w:hint="eastAsia"/>
          <w:szCs w:val="21"/>
        </w:rPr>
        <w:t>合同期</w:t>
      </w:r>
      <w:r>
        <w:rPr>
          <w:rFonts w:hint="eastAsia" w:ascii="宋体" w:hAnsi="宋体" w:cs="宋体"/>
          <w:szCs w:val="21"/>
        </w:rPr>
        <w:t>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（三）实际拖车计算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年度实际拖车数量以执勤民警**通开具的凭证为准，具体操作方法由道路秩序处、科技处指导。</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autoSpaceDE w:val="0"/>
        <w:autoSpaceDN w:val="0"/>
        <w:adjustRightInd w:val="0"/>
        <w:spacing w:line="360" w:lineRule="auto"/>
        <w:ind w:firstLine="420" w:firstLineChars="200"/>
        <w:rPr>
          <w:rFonts w:ascii="宋体" w:hAnsi="宋体" w:cs="宋体"/>
          <w:szCs w:val="21"/>
        </w:rPr>
      </w:pP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标项二：</w:t>
      </w:r>
      <w:r>
        <w:rPr>
          <w:rFonts w:hint="eastAsia" w:ascii="宋体" w:hAnsi="宋体" w:cs="Arial"/>
          <w:b/>
          <w:bCs/>
          <w:szCs w:val="21"/>
        </w:rPr>
        <w:t>江北交警大队辖区；海曙大队一中队、二中队、三中队、南站中队辖区；鄞州大队一中队、二中队、东部新城中队辖区；快速路大队辖区等范围内的违法拖车、停车服务</w:t>
      </w:r>
    </w:p>
    <w:p>
      <w:pPr>
        <w:autoSpaceDE w:val="0"/>
        <w:autoSpaceDN w:val="0"/>
        <w:adjustRightInd w:val="0"/>
        <w:spacing w:line="360" w:lineRule="auto"/>
        <w:ind w:firstLine="420" w:firstLineChars="200"/>
        <w:rPr>
          <w:b/>
        </w:rPr>
      </w:pPr>
      <w:r>
        <w:rPr>
          <w:rFonts w:hint="eastAsia" w:ascii="宋体" w:hAnsi="宋体" w:cs="宋体"/>
          <w:szCs w:val="21"/>
        </w:rPr>
        <w:t>根据各大队勤务要求，拟订基本条件如下：</w:t>
      </w:r>
    </w:p>
    <w:p>
      <w:pPr>
        <w:autoSpaceDE w:val="0"/>
        <w:autoSpaceDN w:val="0"/>
        <w:adjustRightInd w:val="0"/>
        <w:spacing w:line="360" w:lineRule="auto"/>
        <w:ind w:firstLine="422" w:firstLineChars="200"/>
        <w:rPr>
          <w:rFonts w:ascii="宋体" w:hAnsi="宋体" w:cs="宋体"/>
          <w:b/>
          <w:szCs w:val="21"/>
        </w:rPr>
      </w:pPr>
      <w:r>
        <w:rPr>
          <w:rFonts w:hint="eastAsia"/>
          <w:b/>
        </w:rPr>
        <w:t>（一）</w:t>
      </w:r>
      <w:r>
        <w:rPr>
          <w:rFonts w:hint="eastAsia" w:ascii="宋体" w:hAnsi="宋体" w:cs="宋体"/>
          <w:b/>
          <w:szCs w:val="21"/>
        </w:rPr>
        <w:t>违法车辆拖车、停车服务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1、违法车辆清障工作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根据各大队勤务要求，配备车辆数量不低于：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①10辆小吨位拖车（3吨至5吨）；</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②3辆常规吨位吊车（3吨）；</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海曙大队、鄞州大队各配备4辆小型清障车连带驾驶员、1辆3吨“随车吊”连带驾驶员；江北大队配备3辆小型清障车连带驾驶员、1辆3吨“随车吊”连带驾驶员。 </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海曙大队：一辆停放天一广场周边。一辆停放南站周边，一辆停放通途高架下，其他停放海曙青林湾停车场。</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鄞州大队：一辆停放在东部中队，一辆停放兴宁路匝道附件，其他停放江东中兴北路停车场。</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江北大队：一辆停放庆丰桥附近，一辆停放在隧道附近，其他车辆停放在梅林停车场。</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违法清障车工作时间为7:00至22:00，22点到次日7点各大队有一辆小拖车连带驾驶员到位。</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工作日各大队所有清障车高峰必须上路；夜间、节假日及重大警保卫任务、集中整治行动的清障车配备听从各大队指挥中心指令。</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（4）工作职责</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①专门用于违法清障、协助部分交通事故施救工作及确保警卫线路无故障、违停车辆。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②无条件服从交警局及各大队的指令调度。核心区范围内10分钟到达指令现场，其他地方15分钟内到达。</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2、停车场地要求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（1）每个停车场需配备专门的管理人员，管理人员具有</w:t>
      </w:r>
      <w:r>
        <w:rPr>
          <w:rFonts w:hint="eastAsia" w:ascii="宋体"/>
          <w:szCs w:val="21"/>
        </w:rPr>
        <w:t>物业管理专业大专或以上学历</w:t>
      </w:r>
      <w:r>
        <w:rPr>
          <w:rFonts w:hint="eastAsia" w:ascii="宋体" w:hAnsi="宋体" w:cs="宋体"/>
          <w:szCs w:val="21"/>
        </w:rPr>
        <w:t>。</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b/>
          <w:bCs/>
        </w:rPr>
        <w:t>投标单位需</w:t>
      </w:r>
      <w:r>
        <w:rPr>
          <w:rFonts w:hint="eastAsia" w:ascii="宋体" w:hAnsi="宋体" w:cs="宋体"/>
          <w:b/>
          <w:bCs/>
          <w:szCs w:val="21"/>
        </w:rPr>
        <w:t>在三区（海曙区、鄞州区、江北区）具备2个</w:t>
      </w:r>
      <w:r>
        <w:rPr>
          <w:rFonts w:hint="eastAsia"/>
          <w:b/>
          <w:bCs/>
        </w:rPr>
        <w:t>及</w:t>
      </w:r>
      <w:r>
        <w:rPr>
          <w:rFonts w:hint="eastAsia" w:ascii="宋体" w:hAnsi="宋体" w:cs="宋体"/>
          <w:b/>
          <w:bCs/>
          <w:szCs w:val="21"/>
        </w:rPr>
        <w:t>以上面积不小于5000平方米（或1个及以上面积不小于10000平方米）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2" w:firstLineChars="200"/>
        <w:rPr>
          <w:rFonts w:ascii="宋体" w:hAnsi="宋体" w:cs="宋体"/>
          <w:color w:val="FF0000"/>
          <w:szCs w:val="21"/>
        </w:rPr>
      </w:pPr>
      <w:r>
        <w:rPr>
          <w:rFonts w:hint="eastAsia" w:ascii="宋体" w:hAnsi="宋体" w:cs="宋体"/>
          <w:b/>
          <w:bCs/>
          <w:szCs w:val="21"/>
        </w:rPr>
        <w:t>*</w:t>
      </w:r>
      <w:r>
        <w:rPr>
          <w:rFonts w:hint="eastAsia" w:ascii="宋体" w:hAnsi="宋体" w:cs="宋体"/>
          <w:szCs w:val="21"/>
        </w:rPr>
        <w:t>（3）</w:t>
      </w:r>
      <w:r>
        <w:rPr>
          <w:rFonts w:hint="eastAsia"/>
        </w:rPr>
        <w:t>若</w:t>
      </w:r>
      <w:r>
        <w:rPr>
          <w:rFonts w:hint="eastAsia" w:ascii="宋体" w:hAnsi="宋体" w:cs="宋体"/>
          <w:szCs w:val="21"/>
        </w:rPr>
        <w:t>投标单位在三区（海曙区、鄞州区、江北区）未同时具备2个及以上面积不小于5000平方米（</w:t>
      </w:r>
      <w:r>
        <w:rPr>
          <w:rFonts w:hint="eastAsia" w:ascii="宋体" w:hAnsi="宋体" w:cs="宋体"/>
          <w:b/>
          <w:bCs/>
          <w:szCs w:val="21"/>
        </w:rPr>
        <w:t>或1个</w:t>
      </w:r>
      <w:r>
        <w:rPr>
          <w:rFonts w:hint="eastAsia"/>
          <w:b/>
          <w:bCs/>
        </w:rPr>
        <w:t>及</w:t>
      </w:r>
      <w:r>
        <w:rPr>
          <w:rFonts w:hint="eastAsia" w:ascii="宋体" w:hAnsi="宋体" w:cs="宋体"/>
          <w:b/>
          <w:bCs/>
          <w:szCs w:val="21"/>
        </w:rPr>
        <w:t>以上面积不小于10000平方</w:t>
      </w:r>
      <w:r>
        <w:rPr>
          <w:rFonts w:hint="eastAsia"/>
          <w:b/>
          <w:bCs/>
        </w:rPr>
        <w:t>米）</w:t>
      </w:r>
      <w:r>
        <w:rPr>
          <w:rFonts w:hint="eastAsia" w:ascii="宋体" w:hAnsi="宋体" w:cs="宋体"/>
          <w:szCs w:val="21"/>
        </w:rPr>
        <w:t>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（二）经费结算方式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1、此次招标按照事故车辆施救和违法车辆拖离两项与中标单位分别进行经费结算；</w:t>
      </w:r>
    </w:p>
    <w:p>
      <w:pPr>
        <w:autoSpaceDE w:val="0"/>
        <w:autoSpaceDN w:val="0"/>
        <w:adjustRightInd w:val="0"/>
        <w:spacing w:line="360" w:lineRule="auto"/>
        <w:ind w:firstLine="422" w:firstLineChars="200"/>
        <w:rPr>
          <w:rFonts w:ascii="宋体" w:hAnsi="宋体" w:cs="宋体"/>
          <w:szCs w:val="21"/>
        </w:rPr>
      </w:pPr>
      <w:r>
        <w:rPr>
          <w:rFonts w:hint="eastAsia" w:ascii="宋体" w:hAnsi="宋体" w:cs="宋体"/>
          <w:b/>
          <w:bCs/>
          <w:szCs w:val="21"/>
        </w:rPr>
        <w:t>*2、招标文件中明确要求以年度事故施救车辆和违法拖离车辆的实际总数，每次收费标准=按市物价局车辆施救收费标准*投标折扣系数。投标人所报的折扣系数≤65%；如投标折扣系数＞65%，投标文件将被视为无效。</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3、合同期限：合同签订之日起一年（具体以合同为准），（期满后经招标人考核通过并书面确认，合同可续签1年，最多可续签2年。）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4、经费结算方式为：合同期内拖车费=实际拖车量*按市物价局车辆施救收费标准*投标折扣系数，按实结算，按季支付；中标单位提供停车场的，停车场费用（含停车场管理人员费用）每半年结算并支付一次。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（三）实际拖车计算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年度实际拖车数量以执勤民警**通开具的凭证为准，具体操作方法由道路秩序处、科技处指导。</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autoSpaceDE w:val="0"/>
        <w:autoSpaceDN w:val="0"/>
        <w:adjustRightInd w:val="0"/>
        <w:spacing w:line="360" w:lineRule="auto"/>
        <w:ind w:firstLine="420" w:firstLineChars="200"/>
        <w:rPr>
          <w:rFonts w:ascii="宋体" w:hAnsi="宋体" w:cs="宋体"/>
          <w:szCs w:val="21"/>
        </w:rPr>
      </w:pPr>
    </w:p>
    <w:p>
      <w:pPr>
        <w:spacing w:line="360" w:lineRule="auto"/>
        <w:ind w:firstLine="422" w:firstLineChars="200"/>
        <w:rPr>
          <w:rFonts w:ascii="宋体" w:hAnsi="宋体" w:cs="Arial"/>
          <w:b/>
          <w:bCs/>
          <w:szCs w:val="21"/>
        </w:rPr>
      </w:pPr>
      <w:r>
        <w:rPr>
          <w:rFonts w:hint="eastAsia"/>
          <w:b/>
          <w:bCs/>
        </w:rPr>
        <w:t>标项三：</w:t>
      </w:r>
      <w:r>
        <w:rPr>
          <w:rFonts w:hint="eastAsia" w:ascii="宋体" w:hAnsi="宋体" w:cs="Arial"/>
          <w:b/>
          <w:bCs/>
          <w:szCs w:val="21"/>
        </w:rPr>
        <w:t>姜山交警中队辖区事故、违法拖车、停车服务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w:t>
      </w:r>
      <w:r>
        <w:rPr>
          <w:rFonts w:hint="eastAsia" w:ascii="宋体" w:hAnsi="宋体" w:cs="宋体"/>
          <w:szCs w:val="21"/>
          <w:lang w:val="en-US" w:eastAsia="zh-CN"/>
        </w:rPr>
        <w:t>3吨至5吨</w:t>
      </w:r>
      <w:r>
        <w:rPr>
          <w:rFonts w:hint="eastAsia" w:ascii="宋体" w:hAnsi="宋体" w:cs="宋体"/>
          <w:szCs w:val="21"/>
          <w:lang w:eastAsia="zh-CN"/>
        </w:rPr>
        <w:t>，</w:t>
      </w:r>
      <w:r>
        <w:rPr>
          <w:rFonts w:hint="eastAsia" w:ascii="宋体" w:hAnsi="宋体" w:cs="宋体"/>
          <w:szCs w:val="21"/>
        </w:rPr>
        <w:t>配不少于三名驾驶员）。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w:t>
      </w:r>
      <w:r>
        <w:rPr>
          <w:rFonts w:hint="eastAsia"/>
        </w:rPr>
        <w:t>停车场要求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（1）</w:t>
      </w:r>
      <w:r>
        <w:rPr>
          <w:rFonts w:hint="eastAsia" w:ascii="宋体" w:hAnsi="宋体" w:cs="宋体"/>
          <w:szCs w:val="21"/>
        </w:rPr>
        <w:t>每个停车场需配备专门的管理人员。</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rPr>
        <w:t>投标单位需</w:t>
      </w:r>
      <w:r>
        <w:rPr>
          <w:rFonts w:hint="eastAsia" w:ascii="宋体" w:hAnsi="宋体" w:cs="宋体"/>
          <w:b/>
          <w:bCs/>
          <w:szCs w:val="21"/>
        </w:rPr>
        <w:t>具备1个</w:t>
      </w:r>
      <w:r>
        <w:rPr>
          <w:rFonts w:hint="eastAsia" w:ascii="宋体" w:hAnsi="宋体" w:cs="宋体"/>
          <w:b/>
          <w:bCs/>
        </w:rPr>
        <w:t>及</w:t>
      </w:r>
      <w:r>
        <w:rPr>
          <w:rFonts w:hint="eastAsia" w:ascii="宋体" w:hAnsi="宋体" w:cs="宋体"/>
          <w:b/>
          <w:bCs/>
          <w:szCs w:val="21"/>
        </w:rPr>
        <w:t>以上面积不小于3500平方</w:t>
      </w:r>
      <w:r>
        <w:rPr>
          <w:rFonts w:hint="eastAsia" w:ascii="宋体" w:hAnsi="宋体" w:cs="宋体"/>
          <w:b/>
          <w:bCs/>
        </w:rPr>
        <w:t>米</w:t>
      </w:r>
      <w:r>
        <w:rPr>
          <w:rFonts w:hint="eastAsia" w:ascii="宋体" w:hAnsi="宋体" w:cs="宋体"/>
          <w:b/>
          <w:bCs/>
          <w:szCs w:val="21"/>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若投标单位未同时具备1个及以上面积不小于3500平方米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（3）合同期限：合同签订之日起一年（具体以合同为准），（期满后经招标人考核通过并书面确认，合同可续签1年，最多可续签2年。）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（4）经费结算方式为：合同期内拖车费=实际拖车量*按市物价局车辆施救收费标准*投标折扣系数，按实结算，按季支付；中标单位提供停车场的，停车场费用（含停车场管理人员费用）每半年结算并支付一次。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rPr>
          <w:rFonts w:ascii="宋体" w:hAnsi="宋体" w:cs="Arial"/>
          <w:b/>
          <w:bCs/>
          <w:szCs w:val="21"/>
        </w:rPr>
      </w:pP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标项四：横溪交警中队辖区事故、违法拖车、停车服务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w:t>
      </w:r>
      <w:r>
        <w:rPr>
          <w:rFonts w:hint="eastAsia" w:ascii="宋体" w:hAnsi="宋体" w:cs="宋体"/>
          <w:szCs w:val="21"/>
          <w:lang w:val="en-US" w:eastAsia="zh-CN"/>
        </w:rPr>
        <w:t>3吨至5吨，</w:t>
      </w:r>
      <w:r>
        <w:rPr>
          <w:rFonts w:hint="eastAsia" w:ascii="宋体" w:hAnsi="宋体" w:cs="宋体"/>
          <w:szCs w:val="21"/>
        </w:rPr>
        <w:t>配不少于三名驾驶员）。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w:t>
      </w:r>
      <w:r>
        <w:rPr>
          <w:rFonts w:hint="eastAsia"/>
        </w:rPr>
        <w:t>停车场要求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（1）</w:t>
      </w:r>
      <w:r>
        <w:rPr>
          <w:rFonts w:hint="eastAsia" w:ascii="宋体" w:hAnsi="宋体" w:cs="宋体"/>
          <w:szCs w:val="21"/>
        </w:rPr>
        <w:t>每个停车场需配备专门的管理人员。</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rPr>
        <w:t>投标单位需</w:t>
      </w:r>
      <w:r>
        <w:rPr>
          <w:rFonts w:hint="eastAsia" w:ascii="宋体" w:hAnsi="宋体" w:cs="宋体"/>
          <w:b/>
          <w:bCs/>
          <w:szCs w:val="21"/>
        </w:rPr>
        <w:t>具备1个</w:t>
      </w:r>
      <w:r>
        <w:rPr>
          <w:rFonts w:hint="eastAsia" w:ascii="宋体" w:hAnsi="宋体" w:cs="宋体"/>
          <w:b/>
          <w:bCs/>
        </w:rPr>
        <w:t>及</w:t>
      </w:r>
      <w:r>
        <w:rPr>
          <w:rFonts w:hint="eastAsia" w:ascii="宋体" w:hAnsi="宋体" w:cs="宋体"/>
          <w:b/>
          <w:bCs/>
          <w:szCs w:val="21"/>
        </w:rPr>
        <w:t>以上面积不小于3500平方</w:t>
      </w:r>
      <w:r>
        <w:rPr>
          <w:rFonts w:hint="eastAsia" w:ascii="宋体" w:hAnsi="宋体" w:cs="宋体"/>
          <w:b/>
          <w:bCs/>
        </w:rPr>
        <w:t>米</w:t>
      </w:r>
      <w:r>
        <w:rPr>
          <w:rFonts w:hint="eastAsia" w:ascii="宋体" w:hAnsi="宋体" w:cs="宋体"/>
          <w:b/>
          <w:bCs/>
          <w:szCs w:val="21"/>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w:t>
      </w:r>
      <w:r>
        <w:rPr>
          <w:rFonts w:hint="eastAsia"/>
        </w:rPr>
        <w:t>若</w:t>
      </w:r>
      <w:r>
        <w:rPr>
          <w:rFonts w:hint="eastAsia" w:ascii="宋体" w:hAnsi="宋体" w:cs="宋体"/>
          <w:szCs w:val="21"/>
        </w:rPr>
        <w:t>投标单位未同时具备1个及以上面积不小于3500平方米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（4）经费结算方式为：合同期内拖车费=实际拖车量*按市物价局车辆施救收费标准*投标折扣系数，按实结算，按季支付；中标单位提供停车场的，停车场费用（含停车场管理人员费用）每半年结算并支付一次。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rPr>
          <w:rFonts w:ascii="宋体" w:hAnsi="宋体" w:cs="Arial"/>
          <w:b/>
          <w:bCs/>
          <w:szCs w:val="21"/>
        </w:rPr>
      </w:pP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标项五：大嵩交警中队辖区事故、违法拖车、停车服务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w:t>
      </w:r>
      <w:r>
        <w:rPr>
          <w:rFonts w:hint="eastAsia" w:ascii="宋体" w:hAnsi="宋体" w:cs="宋体"/>
          <w:szCs w:val="21"/>
          <w:lang w:val="en-US" w:eastAsia="zh-CN"/>
        </w:rPr>
        <w:t>3吨至5吨，</w:t>
      </w:r>
      <w:r>
        <w:rPr>
          <w:rFonts w:hint="eastAsia" w:ascii="宋体" w:hAnsi="宋体" w:cs="宋体"/>
          <w:szCs w:val="21"/>
        </w:rPr>
        <w:t>配不少于三名驾驶员）。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w:t>
      </w:r>
      <w:r>
        <w:rPr>
          <w:rFonts w:hint="eastAsia"/>
        </w:rPr>
        <w:t>停车场要求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（1）</w:t>
      </w:r>
      <w:r>
        <w:rPr>
          <w:rFonts w:hint="eastAsia" w:ascii="宋体" w:hAnsi="宋体" w:cs="宋体"/>
          <w:szCs w:val="21"/>
        </w:rPr>
        <w:t>每个停车场需配备专门的管理人员。</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rPr>
        <w:t>投标单位需</w:t>
      </w:r>
      <w:r>
        <w:rPr>
          <w:rFonts w:hint="eastAsia" w:ascii="宋体" w:hAnsi="宋体" w:cs="宋体"/>
          <w:b/>
          <w:bCs/>
          <w:szCs w:val="21"/>
        </w:rPr>
        <w:t>具备1个</w:t>
      </w:r>
      <w:r>
        <w:rPr>
          <w:rFonts w:hint="eastAsia" w:ascii="宋体" w:hAnsi="宋体" w:cs="宋体"/>
          <w:b/>
          <w:bCs/>
        </w:rPr>
        <w:t>及</w:t>
      </w:r>
      <w:r>
        <w:rPr>
          <w:rFonts w:hint="eastAsia" w:ascii="宋体" w:hAnsi="宋体" w:cs="宋体"/>
          <w:b/>
          <w:bCs/>
          <w:szCs w:val="21"/>
        </w:rPr>
        <w:t>以上面积不小于3500平方</w:t>
      </w:r>
      <w:r>
        <w:rPr>
          <w:rFonts w:hint="eastAsia" w:ascii="宋体" w:hAnsi="宋体" w:cs="宋体"/>
          <w:b/>
          <w:bCs/>
        </w:rPr>
        <w:t>米</w:t>
      </w:r>
      <w:r>
        <w:rPr>
          <w:rFonts w:hint="eastAsia" w:ascii="宋体" w:hAnsi="宋体" w:cs="宋体"/>
          <w:b/>
          <w:bCs/>
          <w:szCs w:val="21"/>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w:t>
      </w:r>
      <w:r>
        <w:rPr>
          <w:rFonts w:hint="eastAsia"/>
        </w:rPr>
        <w:t>若</w:t>
      </w:r>
      <w:r>
        <w:rPr>
          <w:rFonts w:hint="eastAsia" w:ascii="宋体" w:hAnsi="宋体" w:cs="宋体"/>
          <w:szCs w:val="21"/>
        </w:rPr>
        <w:t>投标单位未同时具备1个及以上面积不小于3500平方米</w:t>
      </w:r>
      <w:r>
        <w:rPr>
          <w:rFonts w:hint="eastAsia"/>
        </w:rPr>
        <w:t>且</w:t>
      </w:r>
      <w:r>
        <w:rPr>
          <w:rFonts w:hint="eastAsia" w:ascii="宋体" w:hAnsi="宋体" w:cs="宋体"/>
          <w:szCs w:val="21"/>
        </w:rPr>
        <w:t>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（4）经费结算方式为：合同期内拖车费=实际拖车量*按市物价局车辆施救收费标准*投标折扣系数，按实结算，按季支付；中标单位提供停车场的，停车场费用（含停车场管理人员费用）每半年结算并支付一次。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rPr>
          <w:rFonts w:ascii="宋体" w:hAnsi="宋体" w:cs="Arial"/>
          <w:b/>
          <w:bCs/>
          <w:szCs w:val="21"/>
        </w:rPr>
      </w:pPr>
    </w:p>
    <w:p>
      <w:pPr>
        <w:autoSpaceDE w:val="0"/>
        <w:autoSpaceDN w:val="0"/>
        <w:adjustRightInd w:val="0"/>
        <w:spacing w:line="360" w:lineRule="auto"/>
        <w:ind w:firstLine="422" w:firstLineChars="200"/>
        <w:rPr>
          <w:rFonts w:ascii="宋体" w:hAnsi="宋体" w:cs="宋体"/>
          <w:b/>
          <w:bCs/>
        </w:rPr>
      </w:pPr>
      <w:r>
        <w:rPr>
          <w:rFonts w:hint="eastAsia" w:ascii="宋体" w:hAnsi="宋体" w:cs="宋体"/>
          <w:b/>
          <w:bCs/>
        </w:rPr>
        <w:t>标项六：东吴、盛垫交警中队辖区事故、违法拖车、停车服务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w:t>
      </w:r>
      <w:r>
        <w:rPr>
          <w:rFonts w:hint="eastAsia" w:ascii="宋体" w:hAnsi="宋体" w:cs="宋体"/>
          <w:szCs w:val="21"/>
          <w:lang w:val="en-US" w:eastAsia="zh-CN"/>
        </w:rPr>
        <w:t>3吨至5吨，</w:t>
      </w:r>
      <w:r>
        <w:rPr>
          <w:rFonts w:hint="eastAsia" w:ascii="宋体" w:hAnsi="宋体" w:cs="宋体"/>
          <w:szCs w:val="21"/>
        </w:rPr>
        <w:t>配不少于三名驾驶员）。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w:t>
      </w:r>
      <w:r>
        <w:rPr>
          <w:rFonts w:hint="eastAsia"/>
        </w:rPr>
        <w:t>停车场要求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（1）</w:t>
      </w:r>
      <w:r>
        <w:rPr>
          <w:rFonts w:hint="eastAsia" w:ascii="宋体" w:hAnsi="宋体" w:cs="宋体"/>
          <w:szCs w:val="21"/>
        </w:rPr>
        <w:t>每个停车场需配备专门的管理人员。</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rPr>
        <w:t>投标单位需</w:t>
      </w:r>
      <w:r>
        <w:rPr>
          <w:rFonts w:hint="eastAsia" w:ascii="宋体" w:hAnsi="宋体" w:cs="宋体"/>
          <w:b/>
          <w:bCs/>
          <w:szCs w:val="21"/>
        </w:rPr>
        <w:t>具备1个</w:t>
      </w:r>
      <w:r>
        <w:rPr>
          <w:rFonts w:hint="eastAsia" w:ascii="宋体" w:hAnsi="宋体" w:cs="宋体"/>
          <w:b/>
          <w:bCs/>
        </w:rPr>
        <w:t>及</w:t>
      </w:r>
      <w:r>
        <w:rPr>
          <w:rFonts w:hint="eastAsia" w:ascii="宋体" w:hAnsi="宋体" w:cs="宋体"/>
          <w:b/>
          <w:bCs/>
          <w:szCs w:val="21"/>
        </w:rPr>
        <w:t>以上面积不小于3500平方</w:t>
      </w:r>
      <w:r>
        <w:rPr>
          <w:rFonts w:hint="eastAsia" w:ascii="宋体" w:hAnsi="宋体" w:cs="宋体"/>
          <w:b/>
          <w:bCs/>
        </w:rPr>
        <w:t>米</w:t>
      </w:r>
      <w:r>
        <w:rPr>
          <w:rFonts w:hint="eastAsia" w:ascii="宋体" w:hAnsi="宋体" w:cs="宋体"/>
          <w:b/>
          <w:bCs/>
          <w:szCs w:val="21"/>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w:t>
      </w:r>
      <w:r>
        <w:rPr>
          <w:rFonts w:hint="eastAsia"/>
        </w:rPr>
        <w:t>若</w:t>
      </w:r>
      <w:r>
        <w:rPr>
          <w:rFonts w:hint="eastAsia" w:ascii="宋体" w:hAnsi="宋体" w:cs="宋体"/>
          <w:szCs w:val="21"/>
        </w:rPr>
        <w:t>投标单位未同时具备1个及以上面积不小于3500平方米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（4）经费结算方式为：合同期内拖车费=实际拖车量*按市物价局车辆施救收费标准*投标折扣系数，按实结算，按季支付；中标单位提供停车场的，停车场费用（含停车场管理人员费用）每半年结算并支付一次。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rPr>
          <w:rFonts w:ascii="宋体" w:hAnsi="宋体" w:cs="Arial"/>
          <w:b/>
          <w:bCs/>
          <w:szCs w:val="21"/>
        </w:rPr>
      </w:pP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标项七：下应、首南交警中队辖区事故、违法拖车、停车服务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w:t>
      </w:r>
      <w:r>
        <w:rPr>
          <w:rFonts w:hint="eastAsia" w:ascii="宋体" w:hAnsi="宋体" w:cs="宋体"/>
          <w:szCs w:val="21"/>
          <w:lang w:val="en-US" w:eastAsia="zh-CN"/>
        </w:rPr>
        <w:t>3吨至5吨，</w:t>
      </w:r>
      <w:r>
        <w:rPr>
          <w:rFonts w:hint="eastAsia" w:ascii="宋体" w:hAnsi="宋体" w:cs="宋体"/>
          <w:szCs w:val="21"/>
        </w:rPr>
        <w:t>配不少于三名驾驶员）。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w:t>
      </w:r>
      <w:r>
        <w:rPr>
          <w:rFonts w:hint="eastAsia"/>
        </w:rPr>
        <w:t>停车场要求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（1）</w:t>
      </w:r>
      <w:r>
        <w:rPr>
          <w:rFonts w:hint="eastAsia" w:ascii="宋体" w:hAnsi="宋体" w:cs="宋体"/>
          <w:szCs w:val="21"/>
        </w:rPr>
        <w:t>每个停车场需配备专门的管理人员。</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rPr>
        <w:t>投标单位需</w:t>
      </w:r>
      <w:r>
        <w:rPr>
          <w:rFonts w:hint="eastAsia" w:ascii="宋体" w:hAnsi="宋体" w:cs="宋体"/>
          <w:b/>
          <w:bCs/>
          <w:szCs w:val="21"/>
        </w:rPr>
        <w:t>具备1个</w:t>
      </w:r>
      <w:r>
        <w:rPr>
          <w:rFonts w:hint="eastAsia" w:ascii="宋体" w:hAnsi="宋体" w:cs="宋体"/>
          <w:b/>
          <w:bCs/>
        </w:rPr>
        <w:t>及</w:t>
      </w:r>
      <w:r>
        <w:rPr>
          <w:rFonts w:hint="eastAsia" w:ascii="宋体" w:hAnsi="宋体" w:cs="宋体"/>
          <w:b/>
          <w:bCs/>
          <w:szCs w:val="21"/>
        </w:rPr>
        <w:t>以上面积不小于3500平方</w:t>
      </w:r>
      <w:r>
        <w:rPr>
          <w:rFonts w:hint="eastAsia" w:ascii="宋体" w:hAnsi="宋体" w:cs="宋体"/>
          <w:b/>
          <w:bCs/>
        </w:rPr>
        <w:t>米</w:t>
      </w:r>
      <w:r>
        <w:rPr>
          <w:rFonts w:hint="eastAsia" w:ascii="宋体" w:hAnsi="宋体" w:cs="宋体"/>
          <w:b/>
          <w:bCs/>
          <w:szCs w:val="21"/>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w:t>
      </w:r>
      <w:r>
        <w:rPr>
          <w:rFonts w:hint="eastAsia"/>
        </w:rPr>
        <w:t>若</w:t>
      </w:r>
      <w:r>
        <w:rPr>
          <w:rFonts w:hint="eastAsia" w:ascii="宋体" w:hAnsi="宋体" w:cs="宋体"/>
          <w:szCs w:val="21"/>
        </w:rPr>
        <w:t>投标单位未同时具备1个及以上面积不小于3500平方米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（4）经费结算方式为：合同期内拖车费=实际拖车量*按市物价局车辆施救收费标准*投标折扣系数，按实结算，按季支付；中标单位提供停车场的，停车场费用（含停车场管理人员费用）每半年结算并支付一次。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rPr>
          <w:rFonts w:ascii="宋体" w:hAnsi="宋体" w:cs="Arial"/>
          <w:b/>
          <w:bCs/>
          <w:szCs w:val="21"/>
        </w:rPr>
      </w:pP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标项八：钟公庙交警中队辖区事故、违法拖车、停车服务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w:t>
      </w:r>
      <w:r>
        <w:rPr>
          <w:rFonts w:hint="eastAsia" w:ascii="宋体" w:hAnsi="宋体" w:cs="宋体"/>
          <w:szCs w:val="21"/>
          <w:lang w:val="en-US" w:eastAsia="zh-CN"/>
        </w:rPr>
        <w:t>3吨至5吨，</w:t>
      </w:r>
      <w:r>
        <w:rPr>
          <w:rFonts w:hint="eastAsia" w:ascii="宋体" w:hAnsi="宋体" w:cs="宋体"/>
          <w:szCs w:val="21"/>
        </w:rPr>
        <w:t>配不少于三名驾驶员）。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w:t>
      </w:r>
      <w:r>
        <w:rPr>
          <w:rFonts w:hint="eastAsia"/>
        </w:rPr>
        <w:t>停车场要求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（1）</w:t>
      </w:r>
      <w:r>
        <w:rPr>
          <w:rFonts w:hint="eastAsia" w:ascii="宋体" w:hAnsi="宋体" w:cs="宋体"/>
          <w:szCs w:val="21"/>
        </w:rPr>
        <w:t>每个停车场需配备专门的管理人员。</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rPr>
        <w:t>投标单位需</w:t>
      </w:r>
      <w:r>
        <w:rPr>
          <w:rFonts w:hint="eastAsia" w:ascii="宋体" w:hAnsi="宋体" w:cs="宋体"/>
          <w:b/>
          <w:bCs/>
          <w:szCs w:val="21"/>
        </w:rPr>
        <w:t>具备1个</w:t>
      </w:r>
      <w:r>
        <w:rPr>
          <w:rFonts w:hint="eastAsia" w:ascii="宋体" w:hAnsi="宋体" w:cs="宋体"/>
          <w:b/>
          <w:bCs/>
        </w:rPr>
        <w:t>及</w:t>
      </w:r>
      <w:r>
        <w:rPr>
          <w:rFonts w:hint="eastAsia" w:ascii="宋体" w:hAnsi="宋体" w:cs="宋体"/>
          <w:b/>
          <w:bCs/>
          <w:szCs w:val="21"/>
        </w:rPr>
        <w:t>以上面积不小于3500平方</w:t>
      </w:r>
      <w:r>
        <w:rPr>
          <w:rFonts w:hint="eastAsia" w:ascii="宋体" w:hAnsi="宋体" w:cs="宋体"/>
          <w:b/>
          <w:bCs/>
        </w:rPr>
        <w:t>米</w:t>
      </w:r>
      <w:r>
        <w:rPr>
          <w:rFonts w:hint="eastAsia" w:ascii="宋体" w:hAnsi="宋体" w:cs="宋体"/>
          <w:b/>
          <w:bCs/>
          <w:szCs w:val="21"/>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w:t>
      </w:r>
      <w:r>
        <w:rPr>
          <w:rFonts w:hint="eastAsia"/>
        </w:rPr>
        <w:t>若</w:t>
      </w:r>
      <w:r>
        <w:rPr>
          <w:rFonts w:hint="eastAsia" w:ascii="宋体" w:hAnsi="宋体" w:cs="宋体"/>
          <w:szCs w:val="21"/>
        </w:rPr>
        <w:t>投标单位未同时具备1个及以上面积不小于3500平方米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（4）经费结算方式为：合同期内拖车费=实际拖车量*按市物价局车辆施救收费标准*投标折扣系数，按实结算，按季支付；中标单位提供停车场的，停车场费用（含停车场管理人员费用）每半年结算并支付一次。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rPr>
          <w:rFonts w:ascii="宋体" w:hAnsi="宋体" w:cs="Arial"/>
          <w:b/>
          <w:bCs/>
          <w:szCs w:val="21"/>
        </w:rPr>
      </w:pPr>
    </w:p>
    <w:p>
      <w:pPr>
        <w:autoSpaceDE w:val="0"/>
        <w:autoSpaceDN w:val="0"/>
        <w:adjustRightInd w:val="0"/>
        <w:spacing w:line="360" w:lineRule="auto"/>
        <w:ind w:firstLine="422" w:firstLineChars="200"/>
        <w:rPr>
          <w:rFonts w:ascii="宋体" w:hAnsi="宋体" w:cs="宋体"/>
          <w:b/>
          <w:bCs/>
        </w:rPr>
      </w:pPr>
      <w:r>
        <w:rPr>
          <w:rFonts w:hint="eastAsia" w:ascii="宋体" w:hAnsi="宋体" w:cs="宋体"/>
          <w:b/>
          <w:bCs/>
        </w:rPr>
        <w:t>标项九：古林交警中队辖区事故、违法拖车、停车服务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w:t>
      </w:r>
      <w:r>
        <w:rPr>
          <w:rFonts w:hint="eastAsia" w:ascii="宋体" w:hAnsi="宋体" w:cs="宋体"/>
          <w:szCs w:val="21"/>
          <w:lang w:val="en-US" w:eastAsia="zh-CN"/>
        </w:rPr>
        <w:t>3吨至5吨，</w:t>
      </w:r>
      <w:r>
        <w:rPr>
          <w:rFonts w:hint="eastAsia" w:ascii="宋体" w:hAnsi="宋体" w:cs="宋体"/>
          <w:szCs w:val="21"/>
        </w:rPr>
        <w:t>配不少于三名驾驶员）。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w:t>
      </w:r>
      <w:r>
        <w:rPr>
          <w:rFonts w:hint="eastAsia"/>
        </w:rPr>
        <w:t>停车场要求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（1）</w:t>
      </w:r>
      <w:r>
        <w:rPr>
          <w:rFonts w:hint="eastAsia" w:ascii="宋体" w:hAnsi="宋体" w:cs="宋体"/>
          <w:szCs w:val="21"/>
        </w:rPr>
        <w:t>每个停车场需配备专门的管理人员。</w:t>
      </w:r>
    </w:p>
    <w:p>
      <w:pPr>
        <w:autoSpaceDE w:val="0"/>
        <w:autoSpaceDN w:val="0"/>
        <w:adjustRightInd w:val="0"/>
        <w:spacing w:line="360" w:lineRule="auto"/>
        <w:ind w:firstLine="422" w:firstLineChars="200"/>
        <w:rPr>
          <w:rFonts w:ascii="宋体" w:hAnsi="宋体" w:cs="宋体"/>
          <w:b/>
          <w:bCs/>
          <w:szCs w:val="21"/>
          <w:highlight w:val="none"/>
        </w:rPr>
      </w:pPr>
      <w:r>
        <w:rPr>
          <w:rFonts w:hint="eastAsia" w:ascii="宋体" w:hAnsi="宋体" w:cs="宋体"/>
          <w:b/>
          <w:bCs/>
          <w:szCs w:val="21"/>
        </w:rPr>
        <w:t>（2）▲</w:t>
      </w:r>
      <w:r>
        <w:rPr>
          <w:rFonts w:hint="eastAsia" w:ascii="宋体" w:hAnsi="宋体" w:cs="宋体"/>
          <w:b/>
          <w:bCs/>
        </w:rPr>
        <w:t>投标单位需在古林</w:t>
      </w:r>
      <w:r>
        <w:rPr>
          <w:rFonts w:hint="eastAsia" w:ascii="宋体" w:hAnsi="宋体" w:cs="宋体"/>
          <w:b/>
          <w:bCs/>
          <w:szCs w:val="21"/>
        </w:rPr>
        <w:t>具备1个</w:t>
      </w:r>
      <w:r>
        <w:rPr>
          <w:rFonts w:hint="eastAsia" w:ascii="宋体" w:hAnsi="宋体" w:cs="宋体"/>
          <w:b/>
          <w:bCs/>
        </w:rPr>
        <w:t>及</w:t>
      </w:r>
      <w:r>
        <w:rPr>
          <w:rFonts w:hint="eastAsia" w:ascii="宋体" w:hAnsi="宋体" w:cs="宋体"/>
          <w:b/>
          <w:bCs/>
          <w:szCs w:val="21"/>
        </w:rPr>
        <w:t>以上面积不小</w:t>
      </w:r>
      <w:r>
        <w:rPr>
          <w:rFonts w:hint="eastAsia" w:ascii="宋体" w:hAnsi="宋体" w:cs="宋体"/>
          <w:b/>
          <w:bCs/>
          <w:szCs w:val="21"/>
          <w:highlight w:val="none"/>
        </w:rPr>
        <w:t>于3000平方</w:t>
      </w:r>
      <w:r>
        <w:rPr>
          <w:rFonts w:hint="eastAsia" w:ascii="宋体" w:hAnsi="宋体" w:cs="宋体"/>
          <w:b/>
          <w:bCs/>
          <w:highlight w:val="none"/>
        </w:rPr>
        <w:t>米</w:t>
      </w:r>
      <w:r>
        <w:rPr>
          <w:rFonts w:hint="eastAsia" w:ascii="宋体" w:hAnsi="宋体" w:cs="宋体"/>
          <w:b/>
          <w:bCs/>
          <w:szCs w:val="21"/>
          <w:highlight w:val="none"/>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highlight w:val="none"/>
        </w:rPr>
        <w:t>若</w:t>
      </w:r>
      <w:r>
        <w:rPr>
          <w:rFonts w:hint="eastAsia" w:ascii="宋体" w:hAnsi="宋体" w:cs="宋体"/>
          <w:szCs w:val="21"/>
          <w:highlight w:val="none"/>
        </w:rPr>
        <w:t>投标单位未同时具备1个及以上面积不小于3000平方米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7、经费结算方式</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（3）合同期限：</w:t>
      </w:r>
      <w:r>
        <w:rPr>
          <w:rFonts w:hint="eastAsia"/>
          <w:highlight w:val="none"/>
        </w:rPr>
        <w:t>合同签订之日起</w:t>
      </w:r>
      <w:r>
        <w:rPr>
          <w:rFonts w:hint="eastAsia" w:ascii="宋体" w:hAnsi="宋体" w:cs="宋体"/>
          <w:szCs w:val="21"/>
          <w:highlight w:val="none"/>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（4）经费结算方式为：</w:t>
      </w:r>
      <w:r>
        <w:rPr>
          <w:rFonts w:hint="eastAsia"/>
          <w:szCs w:val="21"/>
          <w:highlight w:val="none"/>
        </w:rPr>
        <w:t>合同期</w:t>
      </w:r>
      <w:r>
        <w:rPr>
          <w:rFonts w:hint="eastAsia" w:ascii="宋体" w:hAnsi="宋体" w:cs="宋体"/>
          <w:szCs w:val="21"/>
          <w:highlight w:val="none"/>
        </w:rPr>
        <w:t>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8、实际拖车计算</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与中标单位合同中必须写明：施救单位不得以任何理由（保险费）向当事人收取任何费用，如有发现，一经查实将从年度费用中按下降1个百分点扣除费用。</w:t>
      </w:r>
    </w:p>
    <w:p>
      <w:pPr>
        <w:autoSpaceDE w:val="0"/>
        <w:autoSpaceDN w:val="0"/>
        <w:adjustRightInd w:val="0"/>
        <w:spacing w:line="360" w:lineRule="auto"/>
        <w:ind w:firstLine="422" w:firstLineChars="200"/>
        <w:rPr>
          <w:rFonts w:ascii="宋体" w:hAnsi="宋体" w:cs="宋体"/>
          <w:b/>
          <w:bCs/>
          <w:szCs w:val="21"/>
          <w:highlight w:val="none"/>
        </w:rPr>
      </w:pPr>
    </w:p>
    <w:p>
      <w:pPr>
        <w:autoSpaceDE w:val="0"/>
        <w:autoSpaceDN w:val="0"/>
        <w:adjustRightIn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标项十：栎社交警中队辖区事故、违法拖车、停车服务</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1、车辆配备</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根据相关中队勤务要求，配备车辆数量不低于：</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（1）3辆小吨位拖车（</w:t>
      </w:r>
      <w:r>
        <w:rPr>
          <w:rFonts w:hint="eastAsia" w:ascii="宋体" w:hAnsi="宋体" w:cs="宋体"/>
          <w:szCs w:val="21"/>
          <w:highlight w:val="none"/>
          <w:lang w:val="en-US" w:eastAsia="zh-CN"/>
        </w:rPr>
        <w:t>3吨至5吨，</w:t>
      </w:r>
      <w:r>
        <w:rPr>
          <w:rFonts w:hint="eastAsia" w:ascii="宋体" w:hAnsi="宋体" w:cs="宋体"/>
          <w:szCs w:val="21"/>
          <w:highlight w:val="none"/>
        </w:rPr>
        <w:t>配不少于三名驾驶员）。</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具体配备情况如下：</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2、停放要求</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车辆停放地点由辖区中队安排。</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3、工作时间</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要求7*24小时运转，随叫随到。</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4、响应时间</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5、操作要求</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6、</w:t>
      </w:r>
      <w:r>
        <w:rPr>
          <w:rFonts w:hint="eastAsia"/>
          <w:highlight w:val="none"/>
        </w:rPr>
        <w:t>停车场要求</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highlight w:val="none"/>
        </w:rPr>
        <w:t>（1）</w:t>
      </w:r>
      <w:r>
        <w:rPr>
          <w:rFonts w:hint="eastAsia" w:ascii="宋体" w:hAnsi="宋体" w:cs="宋体"/>
          <w:szCs w:val="21"/>
          <w:highlight w:val="none"/>
        </w:rPr>
        <w:t>每个停车场需配备专门的管理人员。</w:t>
      </w:r>
    </w:p>
    <w:p>
      <w:pPr>
        <w:autoSpaceDE w:val="0"/>
        <w:autoSpaceDN w:val="0"/>
        <w:adjustRightIn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cs="宋体"/>
          <w:b/>
          <w:bCs/>
          <w:highlight w:val="none"/>
        </w:rPr>
        <w:t>投标单位需在栎社</w:t>
      </w:r>
      <w:r>
        <w:rPr>
          <w:rFonts w:hint="eastAsia" w:ascii="宋体" w:hAnsi="宋体" w:cs="宋体"/>
          <w:b/>
          <w:bCs/>
          <w:szCs w:val="21"/>
          <w:highlight w:val="none"/>
        </w:rPr>
        <w:t>具备1个</w:t>
      </w:r>
      <w:r>
        <w:rPr>
          <w:rFonts w:hint="eastAsia" w:ascii="宋体" w:hAnsi="宋体" w:cs="宋体"/>
          <w:b/>
          <w:bCs/>
          <w:highlight w:val="none"/>
        </w:rPr>
        <w:t>及</w:t>
      </w:r>
      <w:r>
        <w:rPr>
          <w:rFonts w:hint="eastAsia" w:ascii="宋体" w:hAnsi="宋体" w:cs="宋体"/>
          <w:b/>
          <w:bCs/>
          <w:szCs w:val="21"/>
          <w:highlight w:val="none"/>
        </w:rPr>
        <w:t>以上面积不小于3000平方</w:t>
      </w:r>
      <w:r>
        <w:rPr>
          <w:rFonts w:hint="eastAsia" w:ascii="宋体" w:hAnsi="宋体" w:cs="宋体"/>
          <w:b/>
          <w:bCs/>
          <w:highlight w:val="none"/>
        </w:rPr>
        <w:t>米</w:t>
      </w:r>
      <w:r>
        <w:rPr>
          <w:rFonts w:hint="eastAsia" w:ascii="宋体" w:hAnsi="宋体" w:cs="宋体"/>
          <w:b/>
          <w:bCs/>
          <w:szCs w:val="21"/>
          <w:highlight w:val="none"/>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highlight w:val="none"/>
        </w:rPr>
        <w:t>*（3）</w:t>
      </w:r>
      <w:r>
        <w:rPr>
          <w:rFonts w:hint="eastAsia"/>
          <w:highlight w:val="none"/>
        </w:rPr>
        <w:t>若</w:t>
      </w:r>
      <w:r>
        <w:rPr>
          <w:rFonts w:hint="eastAsia" w:ascii="宋体" w:hAnsi="宋体" w:cs="宋体"/>
          <w:szCs w:val="21"/>
          <w:highlight w:val="none"/>
        </w:rPr>
        <w:t>投标单位未同时具备1个及以上面积不小于3000平方米且具有监控管理系统等科技设施完善的专用停车场（不得与社会车辆混放）的，则必须在投标文件中承</w:t>
      </w:r>
      <w:r>
        <w:rPr>
          <w:rFonts w:hint="eastAsia" w:ascii="宋体" w:hAnsi="宋体" w:cs="宋体"/>
          <w:szCs w:val="21"/>
        </w:rPr>
        <w:t>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w:t>
      </w:r>
      <w:r>
        <w:rPr>
          <w:rFonts w:hint="eastAsia"/>
          <w:szCs w:val="21"/>
        </w:rPr>
        <w:t>合同期</w:t>
      </w:r>
      <w:r>
        <w:rPr>
          <w:rFonts w:hint="eastAsia" w:ascii="宋体" w:hAnsi="宋体" w:cs="宋体"/>
          <w:szCs w:val="21"/>
        </w:rPr>
        <w:t>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autoSpaceDE w:val="0"/>
        <w:autoSpaceDN w:val="0"/>
        <w:adjustRightInd w:val="0"/>
        <w:spacing w:line="360" w:lineRule="auto"/>
        <w:ind w:firstLine="422" w:firstLineChars="200"/>
        <w:rPr>
          <w:rFonts w:ascii="宋体" w:hAnsi="宋体" w:cs="宋体"/>
          <w:b/>
          <w:bCs/>
          <w:szCs w:val="21"/>
        </w:rPr>
      </w:pPr>
    </w:p>
    <w:p>
      <w:pPr>
        <w:autoSpaceDE w:val="0"/>
        <w:autoSpaceDN w:val="0"/>
        <w:adjustRightInd w:val="0"/>
        <w:spacing w:line="360" w:lineRule="auto"/>
        <w:ind w:firstLine="422" w:firstLineChars="200"/>
        <w:rPr>
          <w:rFonts w:ascii="宋体" w:hAnsi="宋体" w:cs="Arial"/>
          <w:b/>
          <w:bCs/>
          <w:szCs w:val="21"/>
        </w:rPr>
      </w:pPr>
      <w:r>
        <w:rPr>
          <w:rFonts w:hint="eastAsia" w:ascii="宋体" w:hAnsi="宋体" w:cs="宋体"/>
          <w:b/>
          <w:bCs/>
          <w:szCs w:val="21"/>
        </w:rPr>
        <w:t>标项十一：集仕港交警中队辖区事故、违法拖车服务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（1）3辆小吨位拖车或吊车</w:t>
      </w:r>
      <w:r>
        <w:rPr>
          <w:rFonts w:hint="eastAsia" w:ascii="宋体" w:hAnsi="宋体" w:cs="宋体"/>
          <w:szCs w:val="21"/>
          <w:lang w:eastAsia="zh-CN"/>
        </w:rPr>
        <w:t>（</w:t>
      </w:r>
      <w:r>
        <w:rPr>
          <w:rFonts w:hint="eastAsia" w:ascii="宋体" w:hAnsi="宋体" w:cs="宋体"/>
          <w:szCs w:val="21"/>
          <w:lang w:val="en-US" w:eastAsia="zh-CN"/>
        </w:rPr>
        <w:t>3吨至5吨</w:t>
      </w:r>
      <w:r>
        <w:rPr>
          <w:rFonts w:hint="eastAsia" w:ascii="宋体" w:hAnsi="宋体" w:cs="宋体"/>
          <w:szCs w:val="21"/>
          <w:lang w:eastAsia="zh-CN"/>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color w:val="FF0000"/>
          <w:szCs w:val="21"/>
        </w:rPr>
      </w:pPr>
      <w:r>
        <w:rPr>
          <w:rFonts w:hint="eastAsia" w:ascii="宋体" w:hAnsi="宋体" w:cs="宋体"/>
          <w:szCs w:val="21"/>
        </w:rPr>
        <w:t>（4）经费结算方式为：</w:t>
      </w:r>
      <w:r>
        <w:rPr>
          <w:rFonts w:hint="eastAsia"/>
          <w:szCs w:val="21"/>
        </w:rPr>
        <w:t>合同期</w:t>
      </w:r>
      <w:r>
        <w:rPr>
          <w:rFonts w:hint="eastAsia" w:ascii="宋体" w:hAnsi="宋体" w:cs="宋体"/>
          <w:szCs w:val="21"/>
        </w:rPr>
        <w:t>内拖车费=实际拖车量*按市物价局车辆施救收费标准*投标折扣系数，按实结算，按季支付。</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b/>
          <w:bCs/>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autoSpaceDE w:val="0"/>
        <w:autoSpaceDN w:val="0"/>
        <w:adjustRightInd w:val="0"/>
        <w:spacing w:line="360" w:lineRule="auto"/>
        <w:ind w:firstLine="422" w:firstLineChars="200"/>
        <w:rPr>
          <w:rFonts w:ascii="宋体" w:hAnsi="宋体" w:cs="宋体"/>
          <w:b/>
          <w:bCs/>
          <w:szCs w:val="21"/>
        </w:rPr>
      </w:pPr>
    </w:p>
    <w:p>
      <w:pPr>
        <w:autoSpaceDE w:val="0"/>
        <w:autoSpaceDN w:val="0"/>
        <w:adjustRightInd w:val="0"/>
        <w:spacing w:line="360" w:lineRule="auto"/>
        <w:ind w:firstLine="422" w:firstLineChars="200"/>
        <w:rPr>
          <w:rFonts w:ascii="宋体" w:hAnsi="宋体" w:cs="Arial"/>
          <w:b/>
          <w:bCs/>
          <w:szCs w:val="21"/>
        </w:rPr>
      </w:pPr>
      <w:r>
        <w:rPr>
          <w:rFonts w:hint="eastAsia" w:ascii="宋体" w:hAnsi="宋体" w:cs="宋体"/>
          <w:b/>
          <w:bCs/>
          <w:szCs w:val="21"/>
        </w:rPr>
        <w:t>标项十二：高桥交警中队辖区事故、违法拖车、停车服务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（1）3辆小吨位拖车或吊车</w:t>
      </w:r>
      <w:r>
        <w:rPr>
          <w:rFonts w:hint="eastAsia" w:ascii="宋体" w:hAnsi="宋体" w:cs="宋体"/>
          <w:szCs w:val="21"/>
          <w:lang w:eastAsia="zh-CN"/>
        </w:rPr>
        <w:t>（</w:t>
      </w:r>
      <w:r>
        <w:rPr>
          <w:rFonts w:hint="eastAsia" w:ascii="宋体" w:hAnsi="宋体" w:cs="宋体"/>
          <w:szCs w:val="21"/>
          <w:lang w:val="en-US" w:eastAsia="zh-CN"/>
        </w:rPr>
        <w:t>3吨至5吨</w:t>
      </w:r>
      <w:r>
        <w:rPr>
          <w:rFonts w:hint="eastAsia" w:ascii="宋体" w:hAnsi="宋体" w:cs="宋体"/>
          <w:szCs w:val="21"/>
          <w:lang w:eastAsia="zh-CN"/>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rPr>
        <w:t>停车场要求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rPr>
        <w:t>（1）</w:t>
      </w:r>
      <w:r>
        <w:rPr>
          <w:rFonts w:hint="eastAsia" w:ascii="宋体" w:hAnsi="宋体" w:cs="宋体"/>
          <w:szCs w:val="21"/>
        </w:rPr>
        <w:t>每个停车场需配备专门的管理人员。</w:t>
      </w:r>
    </w:p>
    <w:p>
      <w:pPr>
        <w:autoSpaceDE w:val="0"/>
        <w:autoSpaceDN w:val="0"/>
        <w:adjustRightInd w:val="0"/>
        <w:spacing w:line="360" w:lineRule="auto"/>
        <w:ind w:firstLine="422" w:firstLineChars="200"/>
        <w:rPr>
          <w:rFonts w:ascii="宋体" w:hAnsi="宋体" w:cs="宋体"/>
          <w:b/>
          <w:bCs/>
          <w:szCs w:val="21"/>
          <w:highlight w:val="none"/>
        </w:rPr>
      </w:pPr>
      <w:r>
        <w:rPr>
          <w:rFonts w:hint="eastAsia" w:ascii="宋体" w:hAnsi="宋体" w:cs="宋体"/>
          <w:b/>
          <w:bCs/>
          <w:szCs w:val="21"/>
        </w:rPr>
        <w:t>（2）▲</w:t>
      </w:r>
      <w:r>
        <w:rPr>
          <w:rFonts w:hint="eastAsia" w:ascii="宋体" w:hAnsi="宋体" w:cs="宋体"/>
          <w:b/>
          <w:bCs/>
        </w:rPr>
        <w:t>投标单</w:t>
      </w:r>
      <w:r>
        <w:rPr>
          <w:rFonts w:hint="eastAsia"/>
          <w:b/>
          <w:bCs/>
        </w:rPr>
        <w:t>位需在高桥</w:t>
      </w:r>
      <w:r>
        <w:rPr>
          <w:rFonts w:hint="eastAsia" w:ascii="宋体" w:hAnsi="宋体" w:cs="宋体"/>
          <w:b/>
          <w:bCs/>
          <w:szCs w:val="21"/>
        </w:rPr>
        <w:t>具备1个</w:t>
      </w:r>
      <w:r>
        <w:rPr>
          <w:rFonts w:hint="eastAsia"/>
          <w:b/>
          <w:bCs/>
        </w:rPr>
        <w:t>及</w:t>
      </w:r>
      <w:r>
        <w:rPr>
          <w:rFonts w:hint="eastAsia" w:ascii="宋体" w:hAnsi="宋体" w:cs="宋体"/>
          <w:b/>
          <w:bCs/>
          <w:szCs w:val="21"/>
        </w:rPr>
        <w:t>以上面积</w:t>
      </w:r>
      <w:r>
        <w:rPr>
          <w:rFonts w:hint="eastAsia" w:ascii="宋体" w:hAnsi="宋体" w:cs="宋体"/>
          <w:b/>
          <w:bCs/>
          <w:szCs w:val="21"/>
          <w:highlight w:val="none"/>
        </w:rPr>
        <w:t>不小于3000平方</w:t>
      </w:r>
      <w:r>
        <w:rPr>
          <w:rFonts w:hint="eastAsia"/>
          <w:b/>
          <w:bCs/>
          <w:highlight w:val="none"/>
        </w:rPr>
        <w:t>米</w:t>
      </w:r>
      <w:r>
        <w:rPr>
          <w:rFonts w:hint="eastAsia" w:ascii="宋体" w:hAnsi="宋体" w:cs="宋体"/>
          <w:b/>
          <w:bCs/>
          <w:szCs w:val="21"/>
          <w:highlight w:val="none"/>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highlight w:val="none"/>
        </w:rPr>
        <w:t>若</w:t>
      </w:r>
      <w:r>
        <w:rPr>
          <w:rFonts w:hint="eastAsia" w:ascii="宋体" w:hAnsi="宋体" w:cs="宋体"/>
          <w:szCs w:val="21"/>
          <w:highlight w:val="none"/>
        </w:rPr>
        <w:t>投标单位未同时具备1个及以上面积不小于3000平方米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7、经费结算方式</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（3）合同期限：</w:t>
      </w:r>
      <w:r>
        <w:rPr>
          <w:rFonts w:hint="eastAsia"/>
          <w:highlight w:val="none"/>
        </w:rPr>
        <w:t>合同签订之日起</w:t>
      </w:r>
      <w:r>
        <w:rPr>
          <w:rFonts w:hint="eastAsia" w:ascii="宋体" w:hAnsi="宋体" w:cs="宋体"/>
          <w:szCs w:val="21"/>
          <w:highlight w:val="none"/>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color w:val="FF0000"/>
          <w:szCs w:val="21"/>
          <w:highlight w:val="none"/>
        </w:rPr>
      </w:pPr>
      <w:r>
        <w:rPr>
          <w:rFonts w:hint="eastAsia" w:ascii="宋体" w:hAnsi="宋体" w:cs="宋体"/>
          <w:szCs w:val="21"/>
          <w:highlight w:val="none"/>
        </w:rPr>
        <w:t>（4）经费结算方式为：</w:t>
      </w:r>
      <w:r>
        <w:rPr>
          <w:rFonts w:hint="eastAsia"/>
          <w:szCs w:val="21"/>
          <w:highlight w:val="none"/>
        </w:rPr>
        <w:t>合同期</w:t>
      </w:r>
      <w:r>
        <w:rPr>
          <w:rFonts w:hint="eastAsia" w:ascii="宋体" w:hAnsi="宋体" w:cs="宋体"/>
          <w:szCs w:val="21"/>
          <w:highlight w:val="none"/>
        </w:rPr>
        <w:t>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8、实际拖车计算</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与中标单位合同中必须写明：施救单位不得以任何理由（保险费）向当事人收取任何费用，如有发现，一经查实将从年度费用中按下降1个百分点扣除费用。</w:t>
      </w:r>
    </w:p>
    <w:p>
      <w:pPr>
        <w:autoSpaceDE w:val="0"/>
        <w:autoSpaceDN w:val="0"/>
        <w:adjustRightInd w:val="0"/>
        <w:spacing w:line="360" w:lineRule="auto"/>
        <w:ind w:firstLine="422" w:firstLineChars="200"/>
        <w:rPr>
          <w:rFonts w:ascii="宋体" w:hAnsi="宋体" w:cs="宋体"/>
          <w:b/>
          <w:bCs/>
          <w:szCs w:val="21"/>
          <w:highlight w:val="none"/>
        </w:rPr>
      </w:pPr>
    </w:p>
    <w:p>
      <w:pPr>
        <w:autoSpaceDE w:val="0"/>
        <w:autoSpaceDN w:val="0"/>
        <w:adjustRightIn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标项十三：鄞江交警中队辖区事故、违法拖车、停车服务</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1、车辆配备</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根据相关中队勤务要求，配备车辆数量不低于：</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（1）3辆小吨位拖车或吊车</w:t>
      </w:r>
      <w:r>
        <w:rPr>
          <w:rFonts w:hint="eastAsia" w:ascii="宋体" w:hAnsi="宋体" w:cs="宋体"/>
          <w:szCs w:val="21"/>
          <w:highlight w:val="none"/>
          <w:lang w:eastAsia="zh-CN"/>
        </w:rPr>
        <w:t>（</w:t>
      </w:r>
      <w:r>
        <w:rPr>
          <w:rFonts w:hint="eastAsia" w:ascii="宋体" w:hAnsi="宋体" w:cs="宋体"/>
          <w:szCs w:val="21"/>
          <w:highlight w:val="none"/>
          <w:lang w:val="en-US" w:eastAsia="zh-CN"/>
        </w:rPr>
        <w:t>3吨至5吨</w:t>
      </w:r>
      <w:r>
        <w:rPr>
          <w:rFonts w:hint="eastAsia" w:ascii="宋体" w:hAnsi="宋体" w:cs="宋体"/>
          <w:szCs w:val="21"/>
          <w:highlight w:val="none"/>
          <w:lang w:eastAsia="zh-CN"/>
        </w:rPr>
        <w:t>）</w:t>
      </w:r>
      <w:r>
        <w:rPr>
          <w:rFonts w:hint="eastAsia" w:ascii="宋体" w:hAnsi="宋体" w:cs="宋体"/>
          <w:szCs w:val="21"/>
          <w:highlight w:val="none"/>
        </w:rPr>
        <w:t>。</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具体配备情况如下：</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2、停放要求</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车辆停放地点由辖区中队安排。</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3、工作时间</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要求7*24小时运转，随叫随到。</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4、响应时间</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5、操作要求</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6、</w:t>
      </w:r>
      <w:r>
        <w:rPr>
          <w:rFonts w:hint="eastAsia" w:ascii="宋体" w:hAnsi="宋体" w:cs="宋体"/>
          <w:highlight w:val="none"/>
        </w:rPr>
        <w:t>停车场要求</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highlight w:val="none"/>
        </w:rPr>
        <w:t>（1）</w:t>
      </w:r>
      <w:r>
        <w:rPr>
          <w:rFonts w:hint="eastAsia" w:ascii="宋体" w:hAnsi="宋体" w:cs="宋体"/>
          <w:szCs w:val="21"/>
          <w:highlight w:val="none"/>
        </w:rPr>
        <w:t>每个停车场需配备专门的管理人员。</w:t>
      </w:r>
    </w:p>
    <w:p>
      <w:pPr>
        <w:autoSpaceDE w:val="0"/>
        <w:autoSpaceDN w:val="0"/>
        <w:adjustRightIn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cs="宋体"/>
          <w:b/>
          <w:bCs/>
          <w:highlight w:val="none"/>
        </w:rPr>
        <w:t>投标单</w:t>
      </w:r>
      <w:r>
        <w:rPr>
          <w:rFonts w:hint="eastAsia"/>
          <w:b/>
          <w:bCs/>
          <w:highlight w:val="none"/>
        </w:rPr>
        <w:t>位需</w:t>
      </w:r>
      <w:r>
        <w:rPr>
          <w:rFonts w:hint="eastAsia" w:ascii="宋体" w:hAnsi="宋体" w:cs="宋体"/>
          <w:b/>
          <w:bCs/>
          <w:szCs w:val="21"/>
          <w:highlight w:val="none"/>
        </w:rPr>
        <w:t>具备1个</w:t>
      </w:r>
      <w:r>
        <w:rPr>
          <w:rFonts w:hint="eastAsia"/>
          <w:b/>
          <w:bCs/>
          <w:highlight w:val="none"/>
        </w:rPr>
        <w:t>及</w:t>
      </w:r>
      <w:r>
        <w:rPr>
          <w:rFonts w:hint="eastAsia" w:ascii="宋体" w:hAnsi="宋体" w:cs="宋体"/>
          <w:b/>
          <w:bCs/>
          <w:szCs w:val="21"/>
          <w:highlight w:val="none"/>
        </w:rPr>
        <w:t>以上面积不小于3000平方</w:t>
      </w:r>
      <w:r>
        <w:rPr>
          <w:rFonts w:hint="eastAsia"/>
          <w:b/>
          <w:bCs/>
          <w:highlight w:val="none"/>
        </w:rPr>
        <w:t>米</w:t>
      </w:r>
      <w:r>
        <w:rPr>
          <w:rFonts w:hint="eastAsia" w:ascii="宋体" w:hAnsi="宋体" w:cs="宋体"/>
          <w:b/>
          <w:bCs/>
          <w:szCs w:val="21"/>
          <w:highlight w:val="none"/>
        </w:rPr>
        <w:t>且具有监控管理系统等科技设施完善的专用停车场（不得与社会车辆混放）。【投标文件中提供自有土地证明或租赁合同或委托管理协议加盖公章（租赁合同或委托管理协议须注明土地面积）】；集仕港交警中队辖区由中队提供停车场。</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highlight w:val="none"/>
        </w:rPr>
        <w:t>若</w:t>
      </w:r>
      <w:r>
        <w:rPr>
          <w:rFonts w:hint="eastAsia" w:ascii="宋体" w:hAnsi="宋体" w:cs="宋体"/>
          <w:szCs w:val="21"/>
          <w:highlight w:val="none"/>
        </w:rPr>
        <w:t>投标单位未同时具备1个及以上面积不小于3000平方米且具有监控管理系统等科技设施完善的专用停车场（不得与社会车辆混放）的，则必须在投标文件中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7、经费结算方式</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highlight w:val="none"/>
        </w:rPr>
        <w:t>（1）此次招标按照事故车辆施救和违法车辆拖离两项</w:t>
      </w:r>
      <w:r>
        <w:rPr>
          <w:rFonts w:hint="eastAsia" w:ascii="宋体" w:hAnsi="宋体" w:cs="宋体"/>
          <w:szCs w:val="21"/>
        </w:rPr>
        <w:t>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w:t>
      </w:r>
      <w:r>
        <w:rPr>
          <w:rFonts w:hint="eastAsia"/>
          <w:szCs w:val="21"/>
        </w:rPr>
        <w:t>合同期</w:t>
      </w:r>
      <w:r>
        <w:rPr>
          <w:rFonts w:hint="eastAsia" w:ascii="宋体" w:hAnsi="宋体" w:cs="宋体"/>
          <w:szCs w:val="21"/>
        </w:rPr>
        <w:t>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autoSpaceDE w:val="0"/>
        <w:autoSpaceDN w:val="0"/>
        <w:adjustRightInd w:val="0"/>
        <w:spacing w:line="360" w:lineRule="auto"/>
        <w:rPr>
          <w:rFonts w:ascii="宋体" w:hAnsi="宋体" w:cs="Arial"/>
          <w:b/>
          <w:bCs/>
          <w:szCs w:val="21"/>
        </w:rPr>
      </w:pPr>
    </w:p>
    <w:p>
      <w:pPr>
        <w:autoSpaceDE w:val="0"/>
        <w:autoSpaceDN w:val="0"/>
        <w:adjustRightInd w:val="0"/>
        <w:spacing w:line="360" w:lineRule="auto"/>
        <w:ind w:firstLine="422" w:firstLineChars="200"/>
        <w:rPr>
          <w:rFonts w:ascii="宋体" w:hAnsi="宋体" w:cs="宋体"/>
          <w:b/>
          <w:bCs/>
        </w:rPr>
      </w:pPr>
      <w:r>
        <w:rPr>
          <w:rFonts w:hint="eastAsia" w:ascii="宋体" w:hAnsi="宋体" w:cs="宋体"/>
          <w:b/>
          <w:bCs/>
        </w:rPr>
        <w:t>标项十四：东钱湖交警中队辖区事故、违法拖车、停车服务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1、车辆配备</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根据相关中队勤务要求，配备车辆数量不低于：</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（1）3辆小吨位拖车或吊车</w:t>
      </w:r>
      <w:r>
        <w:rPr>
          <w:rFonts w:hint="eastAsia" w:ascii="宋体" w:hAnsi="宋体" w:cs="宋体"/>
          <w:szCs w:val="21"/>
          <w:lang w:eastAsia="zh-CN"/>
        </w:rPr>
        <w:t>（</w:t>
      </w:r>
      <w:r>
        <w:rPr>
          <w:rFonts w:hint="eastAsia" w:ascii="宋体" w:hAnsi="宋体" w:cs="宋体"/>
          <w:szCs w:val="21"/>
          <w:lang w:val="en-US" w:eastAsia="zh-CN"/>
        </w:rPr>
        <w:t>3吨至5吨</w:t>
      </w:r>
      <w:r>
        <w:rPr>
          <w:rFonts w:hint="eastAsia" w:ascii="宋体" w:hAnsi="宋体" w:cs="宋体"/>
          <w:szCs w:val="21"/>
          <w:lang w:eastAsia="zh-CN"/>
        </w:rPr>
        <w:t>）</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具体配备情况如下：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2、停放要求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车辆停放地点由辖区中队安排。</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3、工作时间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要求7*24小时运转，随叫随到。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4、响应时间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要求白天30分钟、夜间40分钟内到达事故现场实施清障救援。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5、操作要求</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（1）事故车辆施救完毕后，要求清理现场散落物、血迹、油渍，确保不发生二次事故的发生。</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（2）施救过程安全防护工作，参照公安部交通事故接处警安全防护要求执行。</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（3）严格执行交警局及各大队指挥中心指令和调度，紧急情况下可与违法清障力量相互协调，参与做好违法车辆拖离工作。</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rPr>
        <w:t>6、</w:t>
      </w:r>
      <w:r>
        <w:rPr>
          <w:rFonts w:hint="eastAsia"/>
        </w:rPr>
        <w:t>停车场要求</w:t>
      </w:r>
    </w:p>
    <w:p>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highlight w:val="none"/>
        </w:rPr>
        <w:t>（1）</w:t>
      </w:r>
      <w:r>
        <w:rPr>
          <w:rFonts w:hint="eastAsia" w:ascii="宋体" w:hAnsi="宋体" w:cs="宋体"/>
          <w:szCs w:val="21"/>
          <w:highlight w:val="none"/>
        </w:rPr>
        <w:t>每个停车场需配备专门的管理人员。</w:t>
      </w:r>
    </w:p>
    <w:p>
      <w:pPr>
        <w:autoSpaceDE w:val="0"/>
        <w:autoSpaceDN w:val="0"/>
        <w:adjustRightIn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cs="宋体"/>
          <w:b/>
          <w:bCs/>
          <w:highlight w:val="none"/>
        </w:rPr>
        <w:t>投标单位需</w:t>
      </w:r>
      <w:r>
        <w:rPr>
          <w:rFonts w:hint="eastAsia" w:ascii="宋体" w:hAnsi="宋体" w:cs="宋体"/>
          <w:b/>
          <w:bCs/>
          <w:szCs w:val="21"/>
          <w:highlight w:val="none"/>
        </w:rPr>
        <w:t>具备1个</w:t>
      </w:r>
      <w:r>
        <w:rPr>
          <w:rFonts w:hint="eastAsia" w:ascii="宋体" w:hAnsi="宋体" w:cs="宋体"/>
          <w:b/>
          <w:bCs/>
          <w:highlight w:val="none"/>
        </w:rPr>
        <w:t>及</w:t>
      </w:r>
      <w:r>
        <w:rPr>
          <w:rFonts w:hint="eastAsia" w:ascii="宋体" w:hAnsi="宋体" w:cs="宋体"/>
          <w:b/>
          <w:bCs/>
          <w:szCs w:val="21"/>
          <w:highlight w:val="none"/>
        </w:rPr>
        <w:t>以上面积不小于3000平方</w:t>
      </w:r>
      <w:r>
        <w:rPr>
          <w:rFonts w:hint="eastAsia" w:ascii="宋体" w:hAnsi="宋体" w:cs="宋体"/>
          <w:b/>
          <w:bCs/>
          <w:highlight w:val="none"/>
        </w:rPr>
        <w:t>米</w:t>
      </w:r>
      <w:r>
        <w:rPr>
          <w:rFonts w:hint="eastAsia" w:ascii="宋体" w:hAnsi="宋体" w:cs="宋体"/>
          <w:b/>
          <w:bCs/>
          <w:szCs w:val="21"/>
          <w:highlight w:val="none"/>
        </w:rPr>
        <w:t>且具有监控管理系统等科技设施完善的专用停车场（不得与社会车辆混放）。【投标文件中提供自有土地证明或租赁合同或委托管理协议加盖公章（租赁合同或委托管理协议须注明土地面积）】；</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highlight w:val="none"/>
        </w:rPr>
        <w:t>*（3）</w:t>
      </w:r>
      <w:r>
        <w:rPr>
          <w:rFonts w:hint="eastAsia"/>
          <w:highlight w:val="none"/>
        </w:rPr>
        <w:t>若</w:t>
      </w:r>
      <w:r>
        <w:rPr>
          <w:rFonts w:hint="eastAsia" w:ascii="宋体" w:hAnsi="宋体" w:cs="宋体"/>
          <w:szCs w:val="21"/>
          <w:highlight w:val="none"/>
        </w:rPr>
        <w:t>投标单位未同时具备1个及以上面积不小于3000平方米且具有监控管理系统等科技设施完善的专用停车场（不得与社会车辆混放）的，则必须在投标文件中</w:t>
      </w:r>
      <w:r>
        <w:rPr>
          <w:rFonts w:hint="eastAsia" w:ascii="宋体" w:hAnsi="宋体" w:cs="宋体"/>
          <w:szCs w:val="21"/>
        </w:rPr>
        <w:t>承诺中标后二十日内提供符合上述要求的停车场。（投标文件中提供承诺并加盖公章）</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7、经费结算方式</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为确保施救预算经费的包干使用，对此次招标经费结算方式如下：</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（1）此次招标按照事故车辆施救和违法车辆拖离两项与中标单位进行经费结算；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（2）招标文件中明确要求以年度事故施救车辆和违法拖离车辆的实际总数，每次收费标准=按市物价局车辆施救收费标准*投标折扣系数。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（3）合同期限：</w:t>
      </w:r>
      <w:r>
        <w:rPr>
          <w:rFonts w:hint="eastAsia"/>
        </w:rPr>
        <w:t>合同签订之日起</w:t>
      </w:r>
      <w:r>
        <w:rPr>
          <w:rFonts w:hint="eastAsia" w:ascii="宋体" w:hAnsi="宋体" w:cs="宋体"/>
          <w:szCs w:val="21"/>
        </w:rPr>
        <w:t>一年（具体以合同为准），（期满后经招标人考核通过并书面确认，合同可续签1年，最多可续签2年。）</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（4）经费结算方式为：</w:t>
      </w:r>
      <w:r>
        <w:rPr>
          <w:rFonts w:hint="eastAsia"/>
          <w:szCs w:val="21"/>
        </w:rPr>
        <w:t>合同期</w:t>
      </w:r>
      <w:r>
        <w:rPr>
          <w:rFonts w:hint="eastAsia" w:ascii="宋体" w:hAnsi="宋体" w:cs="宋体"/>
          <w:szCs w:val="21"/>
        </w:rPr>
        <w:t>内拖车费=实际拖车量*按市物价局车辆施救收费标准*投标折扣系数，按实结算，按季支付；中标单位提供停车场的，停车场费用（含停车场管理人员费用）每半年结算并支付一次。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8、实际拖车计算</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年度实际拖车数量以执勤民警**通开具的凭证为准。</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与中标单位合同中必须写明：施救单位不得以任何理由（保险费）向当事人收取任何费用，如有发现，一经查实将从年度费用中按下降1个百分点扣除费用。</w:t>
      </w:r>
    </w:p>
    <w:p>
      <w:pPr>
        <w:rPr>
          <w:rFonts w:ascii="宋体" w:hAnsi="宋体" w:cs="宋体"/>
          <w:sz w:val="30"/>
        </w:rPr>
      </w:pPr>
      <w:r>
        <w:rPr>
          <w:rFonts w:hint="eastAsia" w:ascii="宋体" w:hAnsi="宋体" w:cs="宋体"/>
          <w:sz w:val="30"/>
        </w:rPr>
        <w:br w:type="page"/>
      </w:r>
    </w:p>
    <w:p>
      <w:pPr>
        <w:pStyle w:val="3"/>
        <w:spacing w:before="0" w:after="0" w:line="360" w:lineRule="auto"/>
        <w:ind w:firstLine="602" w:firstLineChars="200"/>
        <w:jc w:val="center"/>
        <w:rPr>
          <w:rFonts w:ascii="宋体" w:hAnsi="宋体" w:cs="宋体"/>
          <w:b w:val="0"/>
          <w:bCs w:val="0"/>
          <w:sz w:val="28"/>
        </w:rPr>
      </w:pPr>
      <w:r>
        <w:rPr>
          <w:rFonts w:hint="eastAsia" w:ascii="宋体" w:hAnsi="宋体" w:cs="宋体"/>
          <w:sz w:val="30"/>
        </w:rPr>
        <w:t>第三章  投标人须知</w:t>
      </w:r>
      <w:bookmarkEnd w:id="19"/>
      <w:bookmarkEnd w:id="20"/>
      <w:bookmarkEnd w:id="21"/>
    </w:p>
    <w:p>
      <w:pPr>
        <w:pStyle w:val="3"/>
        <w:spacing w:before="0" w:after="0" w:line="360" w:lineRule="auto"/>
        <w:jc w:val="center"/>
        <w:rPr>
          <w:rFonts w:ascii="宋体" w:hAnsi="宋体" w:cs="宋体"/>
          <w:sz w:val="21"/>
          <w:szCs w:val="21"/>
        </w:rPr>
      </w:pPr>
      <w:bookmarkStart w:id="22" w:name="_Toc460416339"/>
      <w:bookmarkStart w:id="23" w:name="_Toc460416595"/>
      <w:bookmarkStart w:id="24" w:name="_Toc3168"/>
      <w:bookmarkStart w:id="25" w:name="_Toc460416644"/>
      <w:bookmarkStart w:id="26" w:name="_Toc460857896"/>
      <w:r>
        <w:rPr>
          <w:rFonts w:hint="eastAsia" w:ascii="宋体" w:hAnsi="宋体" w:cs="宋体"/>
          <w:sz w:val="21"/>
          <w:szCs w:val="21"/>
        </w:rPr>
        <w:t>前附表</w:t>
      </w:r>
      <w:bookmarkEnd w:id="22"/>
      <w:bookmarkEnd w:id="23"/>
      <w:bookmarkEnd w:id="24"/>
      <w:bookmarkEnd w:id="25"/>
      <w:bookmarkEnd w:id="26"/>
    </w:p>
    <w:tbl>
      <w:tblPr>
        <w:tblStyle w:val="35"/>
        <w:tblW w:w="89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2" w:type="dxa"/>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7819" w:type="dxa"/>
            <w:vAlign w:val="center"/>
          </w:tcPr>
          <w:p>
            <w:pPr>
              <w:spacing w:line="400" w:lineRule="exact"/>
              <w:jc w:val="center"/>
              <w:rPr>
                <w:rFonts w:ascii="宋体" w:hAnsi="宋体" w:cs="宋体"/>
                <w:b/>
                <w:szCs w:val="21"/>
              </w:rPr>
            </w:pPr>
            <w:r>
              <w:rPr>
                <w:rFonts w:hint="eastAsia" w:ascii="宋体" w:hAnsi="宋体" w:cs="宋体"/>
                <w:b/>
                <w:szCs w:val="21"/>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7819" w:type="dxa"/>
            <w:vAlign w:val="center"/>
          </w:tcPr>
          <w:p>
            <w:pPr>
              <w:spacing w:line="400" w:lineRule="exact"/>
              <w:rPr>
                <w:rFonts w:ascii="宋体" w:hAnsi="宋体" w:cs="宋体"/>
                <w:szCs w:val="21"/>
              </w:rPr>
            </w:pPr>
            <w:r>
              <w:rPr>
                <w:rFonts w:hint="eastAsia" w:ascii="宋体" w:hAnsi="宋体" w:cs="宋体"/>
                <w:szCs w:val="21"/>
              </w:rPr>
              <w:t>项目名称：宁波市公安局交通警察局事故（违法）拖车停车服务项目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7819" w:type="dxa"/>
            <w:vAlign w:val="center"/>
          </w:tcPr>
          <w:p>
            <w:pPr>
              <w:spacing w:line="400" w:lineRule="exact"/>
              <w:rPr>
                <w:rFonts w:ascii="宋体" w:hAnsi="宋体" w:cs="宋体"/>
                <w:szCs w:val="21"/>
              </w:rPr>
            </w:pPr>
            <w:r>
              <w:rPr>
                <w:rFonts w:hint="eastAsia" w:ascii="宋体" w:hAnsi="宋体" w:cs="宋体"/>
                <w:szCs w:val="21"/>
              </w:rPr>
              <w:t>采购数量及单位：1项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7819" w:type="dxa"/>
            <w:vAlign w:val="center"/>
          </w:tcPr>
          <w:p>
            <w:pPr>
              <w:spacing w:line="400" w:lineRule="exact"/>
              <w:rPr>
                <w:rFonts w:ascii="宋体" w:hAnsi="宋体" w:cs="宋体"/>
              </w:rPr>
            </w:pPr>
            <w:r>
              <w:rPr>
                <w:rFonts w:hint="eastAsia" w:ascii="宋体" w:hAnsi="宋体" w:cs="宋体"/>
              </w:rPr>
              <w:t>投标报价及费用：</w:t>
            </w:r>
          </w:p>
          <w:p>
            <w:pPr>
              <w:spacing w:line="400" w:lineRule="exact"/>
              <w:rPr>
                <w:rFonts w:ascii="宋体" w:hAnsi="宋体" w:cs="宋体"/>
              </w:rPr>
            </w:pPr>
            <w:r>
              <w:rPr>
                <w:rFonts w:hint="eastAsia" w:ascii="宋体" w:hAnsi="宋体" w:cs="宋体"/>
              </w:rPr>
              <w:t>1、投标报价是履行合同的最终价格，投标报价是履行合同的最终价格，包含购买服务需交纳的所有税费及其他一切相关费用。投标人少报或漏报的工作量，采购人将视为已包含在投标总价中，并不予调整。</w:t>
            </w:r>
          </w:p>
          <w:p>
            <w:pPr>
              <w:spacing w:line="400" w:lineRule="exact"/>
              <w:rPr>
                <w:rFonts w:ascii="宋体" w:hAnsi="宋体" w:cs="宋体"/>
              </w:rPr>
            </w:pPr>
            <w:r>
              <w:rPr>
                <w:rFonts w:hint="eastAsia" w:ascii="宋体" w:hAnsi="宋体" w:cs="宋体"/>
                <w:b/>
                <w:bCs/>
              </w:rPr>
              <w:t>本项目拖车投标报价为按照市物价局车辆施救收费标准报投标折扣系数；停车服务投标报价为提供停车场费用、停车场人员管理服务费用、停车场监控设备运维等完成停车服务所需的所有费用</w:t>
            </w:r>
            <w:r>
              <w:rPr>
                <w:rFonts w:hint="eastAsia" w:ascii="宋体" w:hAnsi="宋体" w:cs="宋体"/>
              </w:rPr>
              <w:t>。</w:t>
            </w:r>
          </w:p>
          <w:p>
            <w:pPr>
              <w:spacing w:line="400" w:lineRule="exact"/>
              <w:rPr>
                <w:rFonts w:ascii="宋体" w:hAnsi="宋体" w:cs="宋体"/>
              </w:rPr>
            </w:pPr>
            <w:r>
              <w:rPr>
                <w:rFonts w:hint="eastAsia" w:ascii="宋体" w:hAnsi="宋体" w:cs="宋体"/>
              </w:rPr>
              <w:t>2、不论投标结果如何，投标人均应自行承担所有与投标有关的费用。</w:t>
            </w:r>
          </w:p>
          <w:p>
            <w:pPr>
              <w:spacing w:line="400" w:lineRule="exact"/>
              <w:rPr>
                <w:rFonts w:ascii="宋体" w:hAnsi="宋体" w:cs="宋体"/>
              </w:rPr>
            </w:pPr>
            <w:r>
              <w:rPr>
                <w:rFonts w:hint="eastAsia" w:ascii="宋体" w:hAnsi="宋体" w:cs="宋体"/>
              </w:rPr>
              <w:t>3、合同履行期间，中标单位的投标报价不因市场因素、政策因素和覆盖面积的变动而调整。</w:t>
            </w:r>
          </w:p>
          <w:p>
            <w:pPr>
              <w:spacing w:line="400" w:lineRule="exact"/>
              <w:rPr>
                <w:rFonts w:ascii="宋体" w:hAnsi="宋体" w:cs="宋体"/>
              </w:rPr>
            </w:pPr>
            <w:r>
              <w:rPr>
                <w:rFonts w:hint="eastAsia" w:ascii="宋体" w:hAnsi="宋体" w:cs="宋体"/>
              </w:rPr>
              <w:t>4、本项目预算金额/最高限价（折扣系数最高限额）：具体见第二章招标需求“二、服务需求”。投标报价超过预算金额的作无效标处理。</w:t>
            </w:r>
          </w:p>
          <w:p>
            <w:pPr>
              <w:spacing w:line="400" w:lineRule="exact"/>
              <w:rPr>
                <w:rFonts w:ascii="宋体" w:hAnsi="宋体" w:cs="宋体"/>
              </w:rPr>
            </w:pPr>
            <w:r>
              <w:rPr>
                <w:rFonts w:hint="eastAsia" w:ascii="宋体" w:hAnsi="宋体" w:cs="宋体"/>
              </w:rPr>
              <w:t>5、招标代理服务费的收取标准：</w:t>
            </w:r>
          </w:p>
          <w:p>
            <w:pPr>
              <w:spacing w:line="400" w:lineRule="exact"/>
              <w:rPr>
                <w:rFonts w:ascii="宋体" w:hAnsi="宋体" w:cs="宋体"/>
              </w:rPr>
            </w:pPr>
            <w:r>
              <w:rPr>
                <w:rFonts w:hint="eastAsia" w:ascii="宋体" w:hAnsi="宋体" w:cs="宋体"/>
              </w:rPr>
              <w:t>（1）宁波中基国际招标有限公司向每标项中标人分别收取招标代理服务费，具体收费金额如下：</w:t>
            </w:r>
          </w:p>
          <w:tbl>
            <w:tblPr>
              <w:tblStyle w:val="36"/>
              <w:tblW w:w="7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37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8" w:type="dxa"/>
                  <w:vAlign w:val="center"/>
                </w:tcPr>
                <w:p>
                  <w:pPr>
                    <w:widowControl/>
                    <w:jc w:val="center"/>
                    <w:rPr>
                      <w:rFonts w:ascii="宋体" w:hAnsi="宋体" w:cs="Arial"/>
                      <w:szCs w:val="21"/>
                    </w:rPr>
                  </w:pPr>
                  <w:r>
                    <w:rPr>
                      <w:rFonts w:hint="eastAsia" w:ascii="宋体" w:hAnsi="宋体" w:cs="Arial"/>
                      <w:szCs w:val="21"/>
                    </w:rPr>
                    <w:t>标项</w:t>
                  </w:r>
                </w:p>
              </w:tc>
              <w:tc>
                <w:tcPr>
                  <w:tcW w:w="5376" w:type="dxa"/>
                  <w:vAlign w:val="center"/>
                </w:tcPr>
                <w:p>
                  <w:pPr>
                    <w:widowControl/>
                    <w:jc w:val="center"/>
                    <w:rPr>
                      <w:rFonts w:ascii="宋体" w:hAnsi="宋体" w:cs="Arial"/>
                      <w:szCs w:val="21"/>
                    </w:rPr>
                  </w:pPr>
                  <w:r>
                    <w:rPr>
                      <w:rFonts w:hint="eastAsia" w:ascii="宋体" w:hAnsi="宋体" w:cs="Arial"/>
                      <w:szCs w:val="21"/>
                    </w:rPr>
                    <w:t>标项名称</w:t>
                  </w:r>
                </w:p>
              </w:tc>
              <w:tc>
                <w:tcPr>
                  <w:tcW w:w="1446" w:type="dxa"/>
                  <w:vAlign w:val="center"/>
                </w:tcPr>
                <w:p>
                  <w:pPr>
                    <w:widowControl/>
                    <w:jc w:val="center"/>
                    <w:rPr>
                      <w:rFonts w:ascii="宋体" w:hAnsi="宋体" w:cs="Arial"/>
                      <w:szCs w:val="21"/>
                    </w:rPr>
                  </w:pPr>
                  <w:r>
                    <w:rPr>
                      <w:rFonts w:hint="eastAsia" w:ascii="宋体" w:hAnsi="宋体" w:cs="Arial"/>
                      <w:szCs w:val="21"/>
                    </w:rPr>
                    <w:t>服务费金额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8" w:type="dxa"/>
                  <w:vAlign w:val="center"/>
                </w:tcPr>
                <w:p>
                  <w:pPr>
                    <w:widowControl/>
                    <w:jc w:val="center"/>
                    <w:rPr>
                      <w:rFonts w:ascii="宋体" w:hAnsi="宋体" w:cs="Arial"/>
                      <w:szCs w:val="21"/>
                    </w:rPr>
                  </w:pPr>
                  <w:r>
                    <w:rPr>
                      <w:rFonts w:hint="eastAsia" w:ascii="宋体" w:hAnsi="宋体" w:cs="Arial"/>
                      <w:szCs w:val="21"/>
                    </w:rPr>
                    <w:t>一</w:t>
                  </w:r>
                </w:p>
              </w:tc>
              <w:tc>
                <w:tcPr>
                  <w:tcW w:w="5376" w:type="dxa"/>
                  <w:vAlign w:val="center"/>
                </w:tcPr>
                <w:p>
                  <w:pPr>
                    <w:widowControl/>
                    <w:jc w:val="center"/>
                    <w:rPr>
                      <w:rFonts w:ascii="宋体" w:hAnsi="宋体" w:cs="Arial"/>
                      <w:szCs w:val="21"/>
                    </w:rPr>
                  </w:pPr>
                  <w:r>
                    <w:rPr>
                      <w:rFonts w:hint="eastAsia" w:ascii="宋体" w:hAnsi="宋体" w:cs="Arial"/>
                      <w:szCs w:val="21"/>
                    </w:rPr>
                    <w:t>江北交警大队辖区；海曙大队一中队、二中队、三中队、南站中队辖区；鄞州大队一中队、二中队、东部新城中队辖区；快速路大队辖区等范围内的事故拖车、停车服务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val="en-US" w:eastAsia="zh-CN" w:bidi="ar"/>
                    </w:rPr>
                    <w:t>38</w:t>
                  </w:r>
                  <w:r>
                    <w:rPr>
                      <w:rFonts w:hint="eastAsia" w:ascii="宋体" w:hAnsi="宋体" w:cs="宋体"/>
                      <w:color w:val="000000"/>
                      <w:kern w:val="0"/>
                      <w:szCs w:val="21"/>
                      <w:lang w:bidi="ar"/>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8" w:type="dxa"/>
                  <w:vAlign w:val="center"/>
                </w:tcPr>
                <w:p>
                  <w:pPr>
                    <w:widowControl/>
                    <w:jc w:val="center"/>
                    <w:rPr>
                      <w:rFonts w:ascii="宋体" w:hAnsi="宋体" w:cs="Arial"/>
                      <w:szCs w:val="21"/>
                    </w:rPr>
                  </w:pPr>
                  <w:r>
                    <w:rPr>
                      <w:rFonts w:hint="eastAsia" w:ascii="宋体" w:hAnsi="宋体" w:cs="Arial"/>
                      <w:szCs w:val="21"/>
                    </w:rPr>
                    <w:t>二</w:t>
                  </w:r>
                </w:p>
              </w:tc>
              <w:tc>
                <w:tcPr>
                  <w:tcW w:w="5376" w:type="dxa"/>
                  <w:vAlign w:val="center"/>
                </w:tcPr>
                <w:p>
                  <w:pPr>
                    <w:widowControl/>
                    <w:jc w:val="center"/>
                    <w:rPr>
                      <w:rFonts w:ascii="宋体" w:hAnsi="宋体" w:cs="Arial"/>
                      <w:szCs w:val="21"/>
                    </w:rPr>
                  </w:pPr>
                  <w:r>
                    <w:rPr>
                      <w:rFonts w:hint="eastAsia" w:ascii="宋体" w:hAnsi="宋体" w:cs="Arial"/>
                      <w:szCs w:val="21"/>
                    </w:rPr>
                    <w:t>江北交警大队辖区；海曙大队一中队、二中队、三中队、南站中队辖区；鄞州大队一中队、二中队、东部新城中队辖区；快速路大队辖区等范围内的违法拖车、停车服务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3</w:t>
                  </w:r>
                  <w:r>
                    <w:rPr>
                      <w:rFonts w:hint="eastAsia" w:ascii="宋体" w:hAnsi="宋体" w:cs="宋体"/>
                      <w:color w:val="000000"/>
                      <w:kern w:val="0"/>
                      <w:szCs w:val="21"/>
                      <w:lang w:val="en-US" w:eastAsia="zh-CN" w:bidi="ar"/>
                    </w:rPr>
                    <w:t>8</w:t>
                  </w:r>
                  <w:r>
                    <w:rPr>
                      <w:rFonts w:hint="eastAsia" w:ascii="宋体" w:hAnsi="宋体" w:cs="宋体"/>
                      <w:color w:val="000000"/>
                      <w:kern w:val="0"/>
                      <w:szCs w:val="21"/>
                      <w:lang w:bidi="ar"/>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8" w:type="dxa"/>
                  <w:vAlign w:val="center"/>
                </w:tcPr>
                <w:p>
                  <w:pPr>
                    <w:widowControl/>
                    <w:jc w:val="center"/>
                    <w:rPr>
                      <w:rFonts w:ascii="宋体" w:hAnsi="宋体" w:cs="Arial"/>
                      <w:szCs w:val="21"/>
                    </w:rPr>
                  </w:pPr>
                  <w:r>
                    <w:rPr>
                      <w:rFonts w:hint="eastAsia" w:ascii="宋体" w:hAnsi="宋体" w:cs="Arial"/>
                      <w:szCs w:val="21"/>
                    </w:rPr>
                    <w:t>三</w:t>
                  </w:r>
                </w:p>
              </w:tc>
              <w:tc>
                <w:tcPr>
                  <w:tcW w:w="5376" w:type="dxa"/>
                  <w:vAlign w:val="center"/>
                </w:tcPr>
                <w:p>
                  <w:pPr>
                    <w:widowControl/>
                    <w:jc w:val="center"/>
                    <w:rPr>
                      <w:rFonts w:ascii="宋体" w:hAnsi="宋体" w:cs="Arial"/>
                      <w:szCs w:val="21"/>
                    </w:rPr>
                  </w:pPr>
                  <w:r>
                    <w:rPr>
                      <w:rFonts w:hint="eastAsia" w:ascii="宋体" w:hAnsi="宋体" w:cs="Arial"/>
                      <w:szCs w:val="21"/>
                    </w:rPr>
                    <w:t>姜山交警中队辖区事故、违法拖车、停车服务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8" w:type="dxa"/>
                  <w:vAlign w:val="center"/>
                </w:tcPr>
                <w:p>
                  <w:pPr>
                    <w:widowControl/>
                    <w:jc w:val="center"/>
                    <w:rPr>
                      <w:rFonts w:ascii="宋体" w:hAnsi="宋体" w:cs="Arial"/>
                      <w:szCs w:val="21"/>
                    </w:rPr>
                  </w:pPr>
                  <w:r>
                    <w:rPr>
                      <w:rFonts w:hint="eastAsia" w:ascii="宋体" w:hAnsi="宋体" w:cs="Arial"/>
                      <w:szCs w:val="21"/>
                    </w:rPr>
                    <w:t>四</w:t>
                  </w:r>
                </w:p>
              </w:tc>
              <w:tc>
                <w:tcPr>
                  <w:tcW w:w="5376" w:type="dxa"/>
                  <w:vAlign w:val="center"/>
                </w:tcPr>
                <w:p>
                  <w:pPr>
                    <w:widowControl/>
                    <w:jc w:val="center"/>
                    <w:rPr>
                      <w:rFonts w:ascii="宋体" w:hAnsi="宋体" w:cs="Arial"/>
                      <w:szCs w:val="21"/>
                    </w:rPr>
                  </w:pPr>
                  <w:r>
                    <w:rPr>
                      <w:rFonts w:hint="eastAsia" w:ascii="宋体" w:hAnsi="宋体" w:cs="Arial"/>
                      <w:szCs w:val="21"/>
                    </w:rPr>
                    <w:t>横溪交警中队辖区事故、违法拖车、停车服务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758" w:type="dxa"/>
                  <w:vAlign w:val="center"/>
                </w:tcPr>
                <w:p>
                  <w:pPr>
                    <w:widowControl/>
                    <w:jc w:val="center"/>
                    <w:rPr>
                      <w:rFonts w:ascii="宋体" w:hAnsi="宋体" w:cs="Arial"/>
                      <w:szCs w:val="21"/>
                    </w:rPr>
                  </w:pPr>
                  <w:r>
                    <w:rPr>
                      <w:rFonts w:hint="eastAsia" w:ascii="宋体" w:hAnsi="宋体" w:cs="Arial"/>
                      <w:szCs w:val="21"/>
                    </w:rPr>
                    <w:t>五</w:t>
                  </w:r>
                </w:p>
              </w:tc>
              <w:tc>
                <w:tcPr>
                  <w:tcW w:w="5376" w:type="dxa"/>
                  <w:vAlign w:val="center"/>
                </w:tcPr>
                <w:p>
                  <w:pPr>
                    <w:widowControl/>
                    <w:jc w:val="center"/>
                    <w:rPr>
                      <w:rFonts w:ascii="宋体" w:hAnsi="宋体" w:cs="Arial"/>
                      <w:szCs w:val="21"/>
                    </w:rPr>
                  </w:pPr>
                  <w:r>
                    <w:rPr>
                      <w:rFonts w:hint="eastAsia" w:ascii="宋体" w:hAnsi="宋体" w:cs="Arial"/>
                      <w:szCs w:val="21"/>
                    </w:rPr>
                    <w:t>大嵩交警中队辖区事故、违法拖车、停车服务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8" w:type="dxa"/>
                  <w:vAlign w:val="center"/>
                </w:tcPr>
                <w:p>
                  <w:pPr>
                    <w:widowControl/>
                    <w:jc w:val="center"/>
                    <w:rPr>
                      <w:rFonts w:ascii="宋体" w:hAnsi="宋体" w:cs="Arial"/>
                      <w:szCs w:val="21"/>
                    </w:rPr>
                  </w:pPr>
                  <w:r>
                    <w:rPr>
                      <w:rFonts w:hint="eastAsia" w:ascii="宋体" w:hAnsi="宋体" w:cs="Arial"/>
                      <w:szCs w:val="21"/>
                    </w:rPr>
                    <w:t>六</w:t>
                  </w:r>
                </w:p>
              </w:tc>
              <w:tc>
                <w:tcPr>
                  <w:tcW w:w="5376" w:type="dxa"/>
                  <w:vAlign w:val="center"/>
                </w:tcPr>
                <w:p>
                  <w:pPr>
                    <w:widowControl/>
                    <w:jc w:val="center"/>
                    <w:rPr>
                      <w:rFonts w:ascii="宋体" w:hAnsi="宋体" w:cs="Arial"/>
                      <w:szCs w:val="21"/>
                    </w:rPr>
                  </w:pPr>
                  <w:r>
                    <w:rPr>
                      <w:rFonts w:hint="eastAsia" w:ascii="宋体" w:hAnsi="宋体" w:cs="Arial"/>
                      <w:szCs w:val="21"/>
                    </w:rPr>
                    <w:t>东吴、盛垫交警中队辖区事故、违法拖车、停车服务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8" w:type="dxa"/>
                  <w:vAlign w:val="center"/>
                </w:tcPr>
                <w:p>
                  <w:pPr>
                    <w:widowControl/>
                    <w:jc w:val="center"/>
                    <w:rPr>
                      <w:rFonts w:ascii="宋体" w:hAnsi="宋体" w:cs="Arial"/>
                      <w:szCs w:val="21"/>
                    </w:rPr>
                  </w:pPr>
                  <w:r>
                    <w:rPr>
                      <w:rFonts w:hint="eastAsia" w:ascii="宋体" w:hAnsi="宋体" w:cs="Arial"/>
                      <w:szCs w:val="21"/>
                    </w:rPr>
                    <w:t>七</w:t>
                  </w:r>
                </w:p>
              </w:tc>
              <w:tc>
                <w:tcPr>
                  <w:tcW w:w="5376" w:type="dxa"/>
                  <w:vAlign w:val="center"/>
                </w:tcPr>
                <w:p>
                  <w:pPr>
                    <w:widowControl/>
                    <w:jc w:val="center"/>
                    <w:rPr>
                      <w:rFonts w:ascii="宋体" w:hAnsi="宋体" w:cs="Arial"/>
                      <w:szCs w:val="21"/>
                    </w:rPr>
                  </w:pPr>
                  <w:r>
                    <w:rPr>
                      <w:rFonts w:hint="eastAsia" w:ascii="宋体" w:hAnsi="宋体" w:cs="Arial"/>
                      <w:szCs w:val="21"/>
                    </w:rPr>
                    <w:t>下应、首南交警中队辖区事故、违法拖车、停车服务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8" w:type="dxa"/>
                  <w:vAlign w:val="center"/>
                </w:tcPr>
                <w:p>
                  <w:pPr>
                    <w:widowControl/>
                    <w:jc w:val="center"/>
                    <w:rPr>
                      <w:rFonts w:ascii="宋体" w:hAnsi="宋体" w:cs="Arial"/>
                      <w:szCs w:val="21"/>
                    </w:rPr>
                  </w:pPr>
                  <w:r>
                    <w:rPr>
                      <w:rFonts w:hint="eastAsia" w:ascii="宋体" w:hAnsi="宋体" w:cs="Arial"/>
                      <w:szCs w:val="21"/>
                    </w:rPr>
                    <w:t>八</w:t>
                  </w:r>
                </w:p>
              </w:tc>
              <w:tc>
                <w:tcPr>
                  <w:tcW w:w="5376" w:type="dxa"/>
                  <w:vAlign w:val="center"/>
                </w:tcPr>
                <w:p>
                  <w:pPr>
                    <w:widowControl/>
                    <w:jc w:val="center"/>
                    <w:rPr>
                      <w:rFonts w:ascii="宋体" w:hAnsi="宋体" w:cs="Arial"/>
                      <w:szCs w:val="21"/>
                    </w:rPr>
                  </w:pPr>
                  <w:r>
                    <w:rPr>
                      <w:rFonts w:hint="eastAsia" w:ascii="宋体" w:hAnsi="宋体" w:cs="Arial"/>
                      <w:szCs w:val="21"/>
                    </w:rPr>
                    <w:t>钟公庙交警中队辖区事故、违法拖车、停车服务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8" w:type="dxa"/>
                  <w:vAlign w:val="center"/>
                </w:tcPr>
                <w:p>
                  <w:pPr>
                    <w:widowControl/>
                    <w:jc w:val="center"/>
                    <w:rPr>
                      <w:rFonts w:ascii="宋体" w:hAnsi="宋体" w:cs="Arial"/>
                      <w:szCs w:val="21"/>
                    </w:rPr>
                  </w:pPr>
                  <w:r>
                    <w:rPr>
                      <w:rFonts w:hint="eastAsia" w:ascii="宋体" w:hAnsi="宋体" w:cs="Arial"/>
                      <w:szCs w:val="21"/>
                    </w:rPr>
                    <w:t>九</w:t>
                  </w:r>
                </w:p>
              </w:tc>
              <w:tc>
                <w:tcPr>
                  <w:tcW w:w="5376" w:type="dxa"/>
                  <w:vAlign w:val="center"/>
                </w:tcPr>
                <w:p>
                  <w:pPr>
                    <w:widowControl/>
                    <w:jc w:val="center"/>
                    <w:rPr>
                      <w:rFonts w:ascii="宋体" w:hAnsi="宋体" w:cs="Arial"/>
                      <w:szCs w:val="21"/>
                    </w:rPr>
                  </w:pPr>
                  <w:r>
                    <w:rPr>
                      <w:rFonts w:hint="eastAsia" w:ascii="宋体" w:hAnsi="宋体" w:cs="Arial"/>
                      <w:szCs w:val="21"/>
                    </w:rPr>
                    <w:t>古林交警中队辖区事故、违法拖车、停车服务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8" w:type="dxa"/>
                  <w:vAlign w:val="center"/>
                </w:tcPr>
                <w:p>
                  <w:pPr>
                    <w:widowControl/>
                    <w:jc w:val="center"/>
                    <w:rPr>
                      <w:rFonts w:ascii="宋体" w:hAnsi="宋体" w:cs="Arial"/>
                      <w:szCs w:val="21"/>
                    </w:rPr>
                  </w:pPr>
                  <w:r>
                    <w:rPr>
                      <w:rFonts w:hint="eastAsia" w:ascii="宋体" w:hAnsi="宋体" w:cs="Arial"/>
                      <w:szCs w:val="21"/>
                    </w:rPr>
                    <w:t>十</w:t>
                  </w:r>
                </w:p>
              </w:tc>
              <w:tc>
                <w:tcPr>
                  <w:tcW w:w="5376" w:type="dxa"/>
                  <w:vAlign w:val="center"/>
                </w:tcPr>
                <w:p>
                  <w:pPr>
                    <w:widowControl/>
                    <w:jc w:val="center"/>
                    <w:rPr>
                      <w:rFonts w:ascii="宋体" w:hAnsi="宋体" w:cs="Arial"/>
                      <w:szCs w:val="21"/>
                    </w:rPr>
                  </w:pPr>
                  <w:r>
                    <w:rPr>
                      <w:rFonts w:hint="eastAsia" w:ascii="宋体" w:hAnsi="宋体" w:cs="Arial"/>
                      <w:szCs w:val="21"/>
                    </w:rPr>
                    <w:t>栎社交警中队辖区事故、违法拖车、停车服务</w:t>
                  </w:r>
                </w:p>
              </w:tc>
              <w:tc>
                <w:tcPr>
                  <w:tcW w:w="144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8" w:type="dxa"/>
                  <w:vAlign w:val="center"/>
                </w:tcPr>
                <w:p>
                  <w:pPr>
                    <w:widowControl/>
                    <w:jc w:val="center"/>
                    <w:rPr>
                      <w:rFonts w:ascii="宋体" w:hAnsi="宋体" w:cs="Arial"/>
                      <w:szCs w:val="21"/>
                    </w:rPr>
                  </w:pPr>
                  <w:r>
                    <w:rPr>
                      <w:rFonts w:hint="eastAsia" w:ascii="宋体" w:hAnsi="宋体" w:cs="Arial"/>
                      <w:szCs w:val="21"/>
                    </w:rPr>
                    <w:t>十一</w:t>
                  </w:r>
                </w:p>
              </w:tc>
              <w:tc>
                <w:tcPr>
                  <w:tcW w:w="5376" w:type="dxa"/>
                  <w:vAlign w:val="center"/>
                </w:tcPr>
                <w:p>
                  <w:pPr>
                    <w:widowControl/>
                    <w:jc w:val="center"/>
                    <w:rPr>
                      <w:rFonts w:ascii="宋体" w:hAnsi="宋体" w:cs="Arial"/>
                      <w:szCs w:val="21"/>
                    </w:rPr>
                  </w:pPr>
                  <w:r>
                    <w:rPr>
                      <w:rFonts w:hint="eastAsia" w:ascii="宋体" w:hAnsi="宋体" w:cs="Arial"/>
                      <w:szCs w:val="21"/>
                    </w:rPr>
                    <w:t>集仕港交警中队辖区事故、违法拖车服务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8" w:type="dxa"/>
                  <w:vAlign w:val="center"/>
                </w:tcPr>
                <w:p>
                  <w:pPr>
                    <w:widowControl/>
                    <w:jc w:val="center"/>
                    <w:rPr>
                      <w:rFonts w:ascii="宋体" w:hAnsi="宋体" w:cs="Arial"/>
                      <w:szCs w:val="21"/>
                    </w:rPr>
                  </w:pPr>
                  <w:r>
                    <w:rPr>
                      <w:rFonts w:hint="eastAsia" w:ascii="宋体" w:hAnsi="宋体" w:cs="Arial"/>
                      <w:szCs w:val="21"/>
                    </w:rPr>
                    <w:t>十二</w:t>
                  </w:r>
                </w:p>
              </w:tc>
              <w:tc>
                <w:tcPr>
                  <w:tcW w:w="5376" w:type="dxa"/>
                  <w:vAlign w:val="center"/>
                </w:tcPr>
                <w:p>
                  <w:pPr>
                    <w:widowControl/>
                    <w:jc w:val="center"/>
                    <w:rPr>
                      <w:rFonts w:ascii="宋体" w:hAnsi="宋体" w:cs="Arial"/>
                      <w:szCs w:val="21"/>
                    </w:rPr>
                  </w:pPr>
                  <w:r>
                    <w:rPr>
                      <w:rFonts w:hint="eastAsia" w:ascii="宋体" w:hAnsi="宋体" w:cs="Arial"/>
                      <w:szCs w:val="21"/>
                    </w:rPr>
                    <w:t>高桥交警中队辖区事故、违法拖车、停车服务</w:t>
                  </w:r>
                </w:p>
              </w:tc>
              <w:tc>
                <w:tcPr>
                  <w:tcW w:w="1446"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8" w:type="dxa"/>
                  <w:vAlign w:val="center"/>
                </w:tcPr>
                <w:p>
                  <w:pPr>
                    <w:widowControl/>
                    <w:jc w:val="center"/>
                    <w:rPr>
                      <w:rFonts w:ascii="宋体" w:hAnsi="宋体" w:cs="Arial"/>
                      <w:szCs w:val="21"/>
                    </w:rPr>
                  </w:pPr>
                  <w:r>
                    <w:rPr>
                      <w:rFonts w:hint="eastAsia" w:ascii="宋体" w:hAnsi="宋体" w:cs="Arial"/>
                      <w:szCs w:val="21"/>
                    </w:rPr>
                    <w:t>十三</w:t>
                  </w:r>
                </w:p>
              </w:tc>
              <w:tc>
                <w:tcPr>
                  <w:tcW w:w="5376" w:type="dxa"/>
                  <w:vAlign w:val="center"/>
                </w:tcPr>
                <w:p>
                  <w:pPr>
                    <w:widowControl/>
                    <w:jc w:val="center"/>
                    <w:rPr>
                      <w:rFonts w:ascii="宋体" w:hAnsi="宋体" w:cs="Arial"/>
                      <w:szCs w:val="21"/>
                    </w:rPr>
                  </w:pPr>
                  <w:r>
                    <w:rPr>
                      <w:rFonts w:hint="eastAsia" w:ascii="宋体" w:hAnsi="宋体" w:cs="Arial"/>
                      <w:szCs w:val="21"/>
                    </w:rPr>
                    <w:t>鄞江交警中队辖区事故、违法拖车、停车服务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8" w:type="dxa"/>
                  <w:vAlign w:val="center"/>
                </w:tcPr>
                <w:p>
                  <w:pPr>
                    <w:widowControl/>
                    <w:jc w:val="center"/>
                    <w:rPr>
                      <w:rFonts w:ascii="宋体" w:hAnsi="宋体" w:cs="Arial"/>
                      <w:szCs w:val="21"/>
                    </w:rPr>
                  </w:pPr>
                  <w:r>
                    <w:rPr>
                      <w:rFonts w:hint="eastAsia" w:ascii="宋体" w:hAnsi="宋体" w:cs="Arial"/>
                      <w:szCs w:val="21"/>
                    </w:rPr>
                    <w:t>十四</w:t>
                  </w:r>
                </w:p>
              </w:tc>
              <w:tc>
                <w:tcPr>
                  <w:tcW w:w="5376" w:type="dxa"/>
                  <w:vAlign w:val="center"/>
                </w:tcPr>
                <w:p>
                  <w:pPr>
                    <w:widowControl/>
                    <w:jc w:val="center"/>
                    <w:rPr>
                      <w:rFonts w:ascii="宋体" w:hAnsi="宋体" w:cs="Arial"/>
                      <w:szCs w:val="21"/>
                    </w:rPr>
                  </w:pPr>
                  <w:r>
                    <w:rPr>
                      <w:rFonts w:hint="eastAsia" w:ascii="宋体" w:hAnsi="宋体" w:cs="Arial"/>
                      <w:szCs w:val="21"/>
                    </w:rPr>
                    <w:t>东钱湖交警中队辖区事故、违法拖车、停车服务</w:t>
                  </w:r>
                </w:p>
              </w:tc>
              <w:tc>
                <w:tcPr>
                  <w:tcW w:w="1446" w:type="dxa"/>
                  <w:vAlign w:val="center"/>
                </w:tcPr>
                <w:p>
                  <w:pPr>
                    <w:widowControl/>
                    <w:jc w:val="center"/>
                    <w:textAlignment w:val="center"/>
                    <w:rPr>
                      <w:rFonts w:ascii="宋体" w:hAnsi="宋体" w:cs="Arial"/>
                      <w:szCs w:val="21"/>
                    </w:rPr>
                  </w:pPr>
                  <w:r>
                    <w:rPr>
                      <w:rFonts w:hint="eastAsia" w:ascii="宋体" w:hAnsi="宋体" w:cs="宋体"/>
                      <w:color w:val="000000"/>
                      <w:kern w:val="0"/>
                      <w:szCs w:val="21"/>
                      <w:lang w:bidi="ar"/>
                    </w:rPr>
                    <w:t>10000元</w:t>
                  </w:r>
                </w:p>
              </w:tc>
            </w:tr>
          </w:tbl>
          <w:p>
            <w:pPr>
              <w:spacing w:line="400" w:lineRule="exact"/>
              <w:rPr>
                <w:rFonts w:ascii="宋体" w:hAnsi="宋体" w:cs="宋体"/>
              </w:rPr>
            </w:pPr>
            <w:r>
              <w:rPr>
                <w:rFonts w:hint="eastAsia" w:ascii="宋体" w:hAnsi="宋体" w:cs="宋体"/>
              </w:rPr>
              <w:t>（2）中标人在领取中标通知书时即向本招标代理机构以现金、电汇方式支付服务费。</w:t>
            </w:r>
          </w:p>
          <w:p>
            <w:pPr>
              <w:spacing w:line="400" w:lineRule="exact"/>
              <w:rPr>
                <w:rFonts w:ascii="宋体" w:hAnsi="宋体" w:cs="宋体"/>
              </w:rPr>
            </w:pPr>
            <w:r>
              <w:rPr>
                <w:rFonts w:hint="eastAsia" w:ascii="宋体" w:hAnsi="宋体" w:cs="宋体"/>
              </w:rPr>
              <w:t>（3）中标人如未按上述规定办理，本招标代理机构有权进行追索。</w:t>
            </w:r>
          </w:p>
          <w:p>
            <w:pPr>
              <w:spacing w:line="400" w:lineRule="exact"/>
              <w:rPr>
                <w:rFonts w:ascii="宋体" w:hAnsi="宋体" w:cs="宋体"/>
              </w:rPr>
            </w:pPr>
            <w:r>
              <w:rPr>
                <w:rFonts w:hint="eastAsia" w:ascii="宋体" w:hAnsi="宋体" w:cs="宋体"/>
              </w:rPr>
              <w:t>关于本次招标的服务费均汇入以下账户：</w:t>
            </w:r>
          </w:p>
          <w:p>
            <w:pPr>
              <w:spacing w:line="400" w:lineRule="exact"/>
              <w:rPr>
                <w:rFonts w:ascii="宋体" w:hAnsi="宋体" w:cs="宋体"/>
              </w:rPr>
            </w:pPr>
            <w:r>
              <w:rPr>
                <w:rFonts w:hint="eastAsia" w:ascii="宋体" w:hAnsi="宋体" w:cs="宋体"/>
              </w:rPr>
              <w:t>开户银行： 宁波银行科技支行</w:t>
            </w:r>
          </w:p>
          <w:p>
            <w:pPr>
              <w:spacing w:line="400" w:lineRule="exact"/>
              <w:rPr>
                <w:rFonts w:ascii="宋体" w:hAnsi="宋体" w:cs="宋体"/>
              </w:rPr>
            </w:pPr>
            <w:r>
              <w:rPr>
                <w:rFonts w:hint="eastAsia" w:ascii="宋体" w:hAnsi="宋体" w:cs="宋体"/>
              </w:rPr>
              <w:t>账    号： 31010122000005488</w:t>
            </w:r>
          </w:p>
          <w:p>
            <w:pPr>
              <w:spacing w:line="400" w:lineRule="exact"/>
              <w:rPr>
                <w:rFonts w:ascii="宋体" w:hAnsi="宋体" w:cs="宋体"/>
              </w:rPr>
            </w:pPr>
            <w:r>
              <w:rPr>
                <w:rFonts w:hint="eastAsia" w:ascii="宋体" w:hAnsi="宋体" w:cs="宋体"/>
              </w:rPr>
              <w:t>户    名： 宁波中基国际招标有限公司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7819" w:type="dxa"/>
            <w:vAlign w:val="center"/>
          </w:tcPr>
          <w:p>
            <w:pPr>
              <w:spacing w:line="400" w:lineRule="exact"/>
              <w:rPr>
                <w:rFonts w:ascii="宋体" w:hAnsi="宋体" w:cs="宋体"/>
                <w:szCs w:val="21"/>
              </w:rPr>
            </w:pPr>
            <w:r>
              <w:rPr>
                <w:rFonts w:hint="eastAsia" w:ascii="宋体" w:hAnsi="宋体" w:cs="宋体"/>
                <w:szCs w:val="21"/>
              </w:rPr>
              <w:t>投标文件份数：</w:t>
            </w:r>
          </w:p>
          <w:p>
            <w:pPr>
              <w:spacing w:line="400" w:lineRule="exact"/>
              <w:rPr>
                <w:rFonts w:ascii="宋体" w:hAnsi="宋体" w:cs="宋体"/>
                <w:szCs w:val="21"/>
              </w:rPr>
            </w:pPr>
            <w:r>
              <w:rPr>
                <w:rFonts w:hint="eastAsia" w:ascii="宋体" w:hAnsi="宋体" w:cs="宋体"/>
                <w:szCs w:val="21"/>
              </w:rPr>
              <w:t>（1）上传到政府采购云平台的电子投标文件（含资格证明文件、商务技术文件、报价文件）1份。</w:t>
            </w:r>
          </w:p>
          <w:p>
            <w:pPr>
              <w:spacing w:line="400" w:lineRule="exact"/>
              <w:rPr>
                <w:rFonts w:ascii="宋体" w:hAnsi="宋体" w:cs="宋体"/>
                <w:szCs w:val="21"/>
              </w:rPr>
            </w:pPr>
            <w:r>
              <w:rPr>
                <w:rFonts w:hint="eastAsia" w:ascii="宋体" w:hAnsi="宋体" w:cs="宋体"/>
                <w:szCs w:val="21"/>
              </w:rPr>
              <w:t>（2）以U盘存储的电子备份投标文件（含资格证明文件、商务技术文件、报价文件）1份。</w:t>
            </w:r>
          </w:p>
          <w:p>
            <w:pPr>
              <w:spacing w:line="400" w:lineRule="exact"/>
              <w:rPr>
                <w:rFonts w:ascii="宋体" w:hAnsi="宋体" w:cs="宋体"/>
                <w:szCs w:val="21"/>
              </w:rPr>
            </w:pPr>
            <w:r>
              <w:rPr>
                <w:rFonts w:hint="eastAsia" w:ascii="宋体" w:hAnsi="宋体" w:cs="宋体"/>
                <w:b/>
                <w:bCs/>
                <w:szCs w:val="21"/>
              </w:rPr>
              <w:t>说明：</w:t>
            </w:r>
          </w:p>
          <w:p>
            <w:pPr>
              <w:spacing w:line="400" w:lineRule="exact"/>
              <w:rPr>
                <w:rFonts w:ascii="宋体" w:hAnsi="宋体" w:cs="宋体"/>
                <w:szCs w:val="21"/>
              </w:rPr>
            </w:pPr>
            <w:r>
              <w:rPr>
                <w:rFonts w:hint="eastAsia" w:ascii="宋体" w:hAnsi="宋体" w:cs="宋体"/>
                <w:szCs w:val="21"/>
              </w:rPr>
              <w:t>1、“电子加密投标文件”：</w:t>
            </w:r>
          </w:p>
          <w:p>
            <w:pPr>
              <w:spacing w:line="400" w:lineRule="exact"/>
              <w:rPr>
                <w:rFonts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spacing w:line="400" w:lineRule="exact"/>
              <w:rPr>
                <w:rFonts w:ascii="宋体" w:hAnsi="宋体" w:cs="宋体"/>
                <w:szCs w:val="21"/>
              </w:rPr>
            </w:pPr>
            <w:r>
              <w:rPr>
                <w:rFonts w:hint="eastAsia" w:ascii="宋体" w:hAnsi="宋体" w:cs="宋体"/>
                <w:szCs w:val="21"/>
              </w:rPr>
              <w:t>（2）供应商应先安装“政采云电子交易客户端”，并按照本招标文件和“政府采购云平台”的要求，通过“政采云电子交易客户端”编制并加密投标文件。</w:t>
            </w:r>
          </w:p>
          <w:p>
            <w:pPr>
              <w:spacing w:line="400" w:lineRule="exact"/>
              <w:rPr>
                <w:rFonts w:ascii="宋体" w:hAnsi="宋体" w:cs="宋体"/>
                <w:szCs w:val="21"/>
              </w:rPr>
            </w:pPr>
            <w:r>
              <w:rPr>
                <w:rFonts w:hint="eastAsia" w:ascii="宋体" w:hAnsi="宋体" w:cs="宋体"/>
                <w:szCs w:val="21"/>
              </w:rPr>
              <w:t>2、“电子备份投标文件”：</w:t>
            </w:r>
          </w:p>
          <w:p>
            <w:pPr>
              <w:spacing w:line="400" w:lineRule="exact"/>
              <w:rPr>
                <w:rFonts w:ascii="宋体" w:hAnsi="宋体" w:cs="宋体"/>
                <w:szCs w:val="21"/>
              </w:rPr>
            </w:pPr>
            <w:r>
              <w:rPr>
                <w:rFonts w:hint="eastAsia" w:ascii="宋体" w:hAnsi="宋体" w:cs="宋体"/>
                <w:szCs w:val="21"/>
              </w:rPr>
              <w:t>（1）“电子备份投标文件”是指与“电子加密投标文件”同时生成的数据电文形式的电子文件（后缀格式为“.bfbs”）。</w:t>
            </w:r>
          </w:p>
          <w:p>
            <w:pPr>
              <w:spacing w:line="400" w:lineRule="exact"/>
              <w:rPr>
                <w:rFonts w:ascii="宋体" w:hAnsi="宋体" w:cs="宋体"/>
                <w:szCs w:val="21"/>
              </w:rPr>
            </w:pPr>
            <w:r>
              <w:rPr>
                <w:rFonts w:hint="eastAsia" w:ascii="宋体" w:hAnsi="宋体" w:cs="宋体"/>
                <w:szCs w:val="21"/>
              </w:rPr>
              <w:t>（2）供应商可自主选择是否编制“电子备份投标文件”。</w:t>
            </w:r>
          </w:p>
          <w:p>
            <w:pPr>
              <w:spacing w:line="400" w:lineRule="exact"/>
              <w:rPr>
                <w:rFonts w:ascii="宋体" w:hAnsi="宋体" w:cs="宋体"/>
                <w:szCs w:val="21"/>
              </w:rPr>
            </w:pPr>
            <w:r>
              <w:rPr>
                <w:rFonts w:hint="eastAsia" w:ascii="宋体" w:hAnsi="宋体" w:cs="宋体"/>
                <w:szCs w:val="21"/>
              </w:rPr>
              <w:t>（3）其他方式编制的备份投标文件视为无效备份投标文件。</w:t>
            </w:r>
          </w:p>
          <w:p>
            <w:pPr>
              <w:spacing w:line="400" w:lineRule="exact"/>
              <w:rPr>
                <w:rFonts w:ascii="宋体" w:hAnsi="宋体" w:cs="宋体"/>
                <w:szCs w:val="21"/>
              </w:rPr>
            </w:pPr>
            <w:r>
              <w:rPr>
                <w:rFonts w:hint="eastAsia" w:ascii="宋体" w:hAnsi="宋体" w:cs="宋体"/>
                <w:b/>
                <w:bCs/>
                <w:szCs w:val="21"/>
              </w:rPr>
              <w:t>（4）本项目结果公示发布后，中标人须在三个工作日内向采购人（采购代理公司）提供纸质投标文件一正两副，且纸质投标文件必须与中标人在政采云上传的投标文件内容一致，纸质投标文件的一致性由中标人承担，否则由此引起的不利后果由中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7819" w:type="dxa"/>
            <w:vAlign w:val="center"/>
          </w:tcPr>
          <w:p>
            <w:pPr>
              <w:spacing w:line="400" w:lineRule="exact"/>
              <w:rPr>
                <w:rFonts w:ascii="宋体" w:hAnsi="宋体" w:cs="宋体"/>
                <w:szCs w:val="21"/>
              </w:rPr>
            </w:pPr>
            <w:r>
              <w:rPr>
                <w:rFonts w:hint="eastAsia" w:ascii="宋体" w:hAnsi="宋体" w:cs="宋体"/>
                <w:szCs w:val="21"/>
              </w:rPr>
              <w:t>投标截止时间及地点：详见第一章公开招标采购公告。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6</w:t>
            </w:r>
          </w:p>
        </w:tc>
        <w:tc>
          <w:tcPr>
            <w:tcW w:w="7819" w:type="dxa"/>
            <w:vAlign w:val="center"/>
          </w:tcPr>
          <w:p>
            <w:pPr>
              <w:spacing w:line="400" w:lineRule="exact"/>
              <w:rPr>
                <w:rFonts w:ascii="宋体" w:hAnsi="宋体" w:cs="宋体"/>
                <w:szCs w:val="21"/>
              </w:rPr>
            </w:pPr>
            <w:r>
              <w:rPr>
                <w:rFonts w:hint="eastAsia" w:ascii="宋体" w:hAnsi="宋体" w:cs="宋体"/>
                <w:szCs w:val="21"/>
              </w:rPr>
              <w:t>开标时间及地点：详见第一章公开招标采购公告。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7819" w:type="dxa"/>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评标办法及评分标准：详见第四章 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8</w:t>
            </w:r>
          </w:p>
        </w:tc>
        <w:tc>
          <w:tcPr>
            <w:tcW w:w="7819" w:type="dxa"/>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评标结果公示：评标结束后，评标结果公示于浙江政府采购网和宁波中基国际招标有限公司网站。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9</w:t>
            </w:r>
          </w:p>
        </w:tc>
        <w:tc>
          <w:tcPr>
            <w:tcW w:w="7819" w:type="dxa"/>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10</w:t>
            </w:r>
          </w:p>
        </w:tc>
        <w:tc>
          <w:tcPr>
            <w:tcW w:w="7819" w:type="dxa"/>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采购资金来源：财政资金。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*11</w:t>
            </w:r>
          </w:p>
        </w:tc>
        <w:tc>
          <w:tcPr>
            <w:tcW w:w="7819" w:type="dxa"/>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投标文件有效期：投标截止日起90天。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12</w:t>
            </w:r>
          </w:p>
        </w:tc>
        <w:tc>
          <w:tcPr>
            <w:tcW w:w="7819" w:type="dxa"/>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解释：本招标文件的解释权属于招标采购人。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2" w:type="dxa"/>
            <w:vAlign w:val="center"/>
          </w:tcPr>
          <w:p>
            <w:pPr>
              <w:spacing w:line="400" w:lineRule="exact"/>
              <w:jc w:val="center"/>
              <w:rPr>
                <w:rFonts w:ascii="宋体" w:hAnsi="宋体" w:cs="宋体"/>
                <w:szCs w:val="21"/>
              </w:rPr>
            </w:pPr>
            <w:r>
              <w:rPr>
                <w:rFonts w:hint="eastAsia" w:ascii="宋体" w:hAnsi="宋体" w:cs="宋体"/>
                <w:szCs w:val="21"/>
              </w:rPr>
              <w:t>*13</w:t>
            </w:r>
          </w:p>
        </w:tc>
        <w:tc>
          <w:tcPr>
            <w:tcW w:w="7819" w:type="dxa"/>
            <w:vAlign w:val="center"/>
          </w:tcPr>
          <w:p>
            <w:pPr>
              <w:autoSpaceDE w:val="0"/>
              <w:autoSpaceDN w:val="0"/>
              <w:spacing w:line="400" w:lineRule="exact"/>
              <w:textAlignment w:val="bottom"/>
              <w:rPr>
                <w:rFonts w:ascii="宋体" w:hAnsi="宋体" w:cs="宋体"/>
                <w:szCs w:val="21"/>
              </w:rPr>
            </w:pPr>
            <w:r>
              <w:rPr>
                <w:rFonts w:hint="eastAsia" w:ascii="宋体" w:hAnsi="宋体" w:cs="宋体"/>
                <w:szCs w:val="21"/>
              </w:rPr>
              <w:t>不同投标人的投标文件出自同一终端设备或在相同Internet主机分配地址（相同IP地址）网上报名投标的作无效标处理。</w:t>
            </w:r>
          </w:p>
        </w:tc>
      </w:tr>
    </w:tbl>
    <w:p>
      <w:pPr>
        <w:pStyle w:val="3"/>
        <w:spacing w:before="0" w:after="0" w:line="360" w:lineRule="auto"/>
        <w:rPr>
          <w:rFonts w:ascii="宋体" w:hAnsi="宋体" w:cs="宋体"/>
          <w:sz w:val="21"/>
          <w:szCs w:val="21"/>
        </w:rPr>
      </w:pPr>
      <w:r>
        <w:rPr>
          <w:rFonts w:hint="eastAsia" w:ascii="宋体" w:hAnsi="宋体" w:cs="宋体"/>
        </w:rPr>
        <w:br w:type="page"/>
      </w:r>
      <w:bookmarkStart w:id="27" w:name="_Toc460857897"/>
      <w:bookmarkStart w:id="28" w:name="_Toc6123"/>
      <w:r>
        <w:rPr>
          <w:rFonts w:hint="eastAsia" w:ascii="宋体" w:hAnsi="宋体" w:cs="宋体"/>
          <w:sz w:val="21"/>
          <w:szCs w:val="21"/>
        </w:rPr>
        <w:t>一、 总  则</w:t>
      </w:r>
      <w:bookmarkEnd w:id="27"/>
      <w:bookmarkEnd w:id="28"/>
    </w:p>
    <w:p>
      <w:pPr>
        <w:pStyle w:val="3"/>
        <w:spacing w:before="0" w:after="0" w:line="360" w:lineRule="auto"/>
        <w:ind w:firstLine="316" w:firstLineChars="150"/>
        <w:jc w:val="left"/>
        <w:rPr>
          <w:rFonts w:ascii="宋体" w:hAnsi="宋体" w:cs="宋体"/>
          <w:kern w:val="2"/>
          <w:sz w:val="21"/>
          <w:szCs w:val="21"/>
        </w:rPr>
      </w:pPr>
      <w:bookmarkStart w:id="29" w:name="_Toc460416596"/>
      <w:bookmarkStart w:id="30" w:name="_Toc460857898"/>
      <w:bookmarkStart w:id="31" w:name="_Toc460416645"/>
      <w:bookmarkStart w:id="32" w:name="_Toc19734"/>
      <w:bookmarkStart w:id="33" w:name="_Toc460416340"/>
      <w:r>
        <w:rPr>
          <w:rFonts w:hint="eastAsia" w:ascii="宋体" w:hAnsi="宋体" w:cs="宋体"/>
          <w:kern w:val="2"/>
          <w:sz w:val="21"/>
          <w:szCs w:val="21"/>
        </w:rPr>
        <w:t>（一） 适用范围</w:t>
      </w:r>
      <w:bookmarkEnd w:id="29"/>
      <w:bookmarkEnd w:id="30"/>
      <w:bookmarkEnd w:id="31"/>
      <w:bookmarkEnd w:id="32"/>
      <w:bookmarkEnd w:id="33"/>
    </w:p>
    <w:p>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w:t>
      </w:r>
      <w:r>
        <w:rPr>
          <w:rFonts w:hint="eastAsia" w:ascii="宋体" w:hAnsi="宋体" w:cs="宋体"/>
          <w:szCs w:val="21"/>
          <w:u w:val="single"/>
        </w:rPr>
        <w:t>宁波市公安局交通警察局事故（违法）拖车停车服务项目</w:t>
      </w:r>
      <w:r>
        <w:rPr>
          <w:rFonts w:hint="eastAsia" w:ascii="宋体" w:hAnsi="宋体" w:cs="宋体"/>
          <w:szCs w:val="21"/>
        </w:rPr>
        <w:t>的招标、投标、评标、定标、验收、合同履约、付款等行为（法律、法规另有规定的，从其规定）。</w:t>
      </w:r>
    </w:p>
    <w:p>
      <w:pPr>
        <w:pStyle w:val="3"/>
        <w:spacing w:before="0" w:after="0" w:line="360" w:lineRule="auto"/>
        <w:ind w:firstLine="316" w:firstLineChars="150"/>
        <w:jc w:val="left"/>
        <w:rPr>
          <w:rFonts w:ascii="宋体" w:hAnsi="宋体" w:cs="宋体"/>
          <w:kern w:val="2"/>
          <w:sz w:val="21"/>
          <w:szCs w:val="21"/>
        </w:rPr>
      </w:pPr>
      <w:bookmarkStart w:id="34" w:name="_Toc460857899"/>
      <w:bookmarkStart w:id="35" w:name="_Toc460416646"/>
      <w:bookmarkStart w:id="36" w:name="_Toc7330"/>
      <w:bookmarkStart w:id="37" w:name="_Toc460416597"/>
      <w:bookmarkStart w:id="38" w:name="_Toc460416341"/>
      <w:r>
        <w:rPr>
          <w:rFonts w:hint="eastAsia" w:ascii="宋体" w:hAnsi="宋体" w:cs="宋体"/>
          <w:kern w:val="2"/>
          <w:sz w:val="21"/>
          <w:szCs w:val="21"/>
        </w:rPr>
        <w:t>（二）定义</w:t>
      </w:r>
      <w:bookmarkEnd w:id="34"/>
      <w:bookmarkEnd w:id="35"/>
      <w:bookmarkEnd w:id="36"/>
      <w:bookmarkEnd w:id="37"/>
      <w:bookmarkEnd w:id="38"/>
    </w:p>
    <w:p>
      <w:pPr>
        <w:snapToGrid w:val="0"/>
        <w:spacing w:line="360" w:lineRule="auto"/>
        <w:ind w:firstLine="420" w:firstLineChars="200"/>
        <w:jc w:val="left"/>
        <w:rPr>
          <w:rFonts w:ascii="宋体" w:hAnsi="宋体" w:cs="宋体"/>
          <w:szCs w:val="21"/>
        </w:rPr>
      </w:pPr>
      <w:r>
        <w:rPr>
          <w:rFonts w:hint="eastAsia" w:ascii="宋体" w:hAnsi="宋体" w:cs="宋体"/>
          <w:szCs w:val="21"/>
        </w:rPr>
        <w:t>1.“采购人”系指组织本次招标的采购单位（“招标人”）。</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2.“投标人”、“供应商”系指向招标方提交投标文件的单位或个人。</w:t>
      </w:r>
    </w:p>
    <w:p>
      <w:pPr>
        <w:snapToGrid w:val="0"/>
        <w:spacing w:line="360" w:lineRule="auto"/>
        <w:ind w:firstLine="420" w:firstLineChars="200"/>
        <w:jc w:val="left"/>
        <w:rPr>
          <w:rFonts w:ascii="宋体" w:hAnsi="宋体" w:cs="宋体"/>
          <w:szCs w:val="21"/>
        </w:rPr>
      </w:pPr>
      <w:r>
        <w:rPr>
          <w:rFonts w:hint="eastAsia" w:ascii="宋体" w:hAnsi="宋体" w:cs="宋体"/>
          <w:szCs w:val="21"/>
        </w:rPr>
        <w:t>3.“产品”系指供方按招标文件规定，须向采购人提供的一切设备、保险、税金、备品备件、工具、手册及其它有关技术资料和材料。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s="宋体"/>
          <w:szCs w:val="21"/>
        </w:rPr>
      </w:pPr>
      <w:r>
        <w:rPr>
          <w:rFonts w:hint="eastAsia" w:ascii="宋体" w:hAnsi="宋体" w:cs="宋体"/>
          <w:szCs w:val="21"/>
        </w:rPr>
        <w:t>4.“服务”系指招标文件规定投标人</w:t>
      </w:r>
      <w:r>
        <w:rPr>
          <w:rFonts w:hint="eastAsia" w:ascii="宋体" w:hAnsi="宋体"/>
          <w:szCs w:val="21"/>
        </w:rPr>
        <w:t>须承担的需完成本项目所需的服务的义务</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5.“项目”系指投标人按招标文件规定向采购人提供的产品和服务。</w:t>
      </w:r>
    </w:p>
    <w:p>
      <w:pPr>
        <w:snapToGrid w:val="0"/>
        <w:spacing w:line="360" w:lineRule="auto"/>
        <w:ind w:firstLine="420" w:firstLineChars="200"/>
        <w:jc w:val="left"/>
        <w:rPr>
          <w:rFonts w:ascii="宋体" w:hAnsi="宋体" w:cs="宋体"/>
          <w:szCs w:val="21"/>
        </w:rPr>
      </w:pPr>
      <w:r>
        <w:rPr>
          <w:rFonts w:hint="eastAsia" w:ascii="宋体" w:hAnsi="宋体" w:cs="宋体"/>
          <w:szCs w:val="21"/>
        </w:rPr>
        <w:t>6.“书面形式”包括信函、传真、电报等。</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7.“*”系指实质性要求条款。</w:t>
      </w:r>
    </w:p>
    <w:p>
      <w:pPr>
        <w:pStyle w:val="3"/>
        <w:spacing w:before="0" w:after="0" w:line="360" w:lineRule="auto"/>
        <w:ind w:firstLine="316" w:firstLineChars="150"/>
        <w:jc w:val="left"/>
        <w:rPr>
          <w:rFonts w:ascii="宋体" w:hAnsi="宋体" w:cs="宋体"/>
          <w:kern w:val="2"/>
          <w:sz w:val="21"/>
          <w:szCs w:val="21"/>
        </w:rPr>
      </w:pPr>
      <w:bookmarkStart w:id="39" w:name="_Toc460857900"/>
      <w:bookmarkStart w:id="40" w:name="_Toc460416647"/>
      <w:bookmarkStart w:id="41" w:name="_Toc460416342"/>
      <w:bookmarkStart w:id="42" w:name="_Toc460416598"/>
      <w:bookmarkStart w:id="43" w:name="_Toc15744"/>
      <w:r>
        <w:rPr>
          <w:rFonts w:hint="eastAsia" w:ascii="宋体" w:hAnsi="宋体" w:cs="宋体"/>
          <w:kern w:val="2"/>
          <w:sz w:val="21"/>
          <w:szCs w:val="21"/>
        </w:rPr>
        <w:t>（三）招标方式</w:t>
      </w:r>
      <w:bookmarkEnd w:id="39"/>
      <w:bookmarkEnd w:id="40"/>
      <w:bookmarkEnd w:id="41"/>
      <w:bookmarkEnd w:id="42"/>
      <w:bookmarkEnd w:id="43"/>
    </w:p>
    <w:p>
      <w:pPr>
        <w:snapToGrid w:val="0"/>
        <w:spacing w:line="360" w:lineRule="auto"/>
        <w:ind w:firstLine="420" w:firstLineChars="200"/>
        <w:jc w:val="left"/>
        <w:rPr>
          <w:rFonts w:ascii="宋体" w:hAnsi="宋体" w:cs="宋体"/>
          <w:szCs w:val="21"/>
        </w:rPr>
      </w:pPr>
      <w:r>
        <w:rPr>
          <w:rFonts w:hint="eastAsia" w:ascii="宋体" w:hAnsi="宋体" w:cs="宋体"/>
          <w:szCs w:val="21"/>
        </w:rPr>
        <w:t>本次招标采用公开招标方式进行。</w:t>
      </w:r>
    </w:p>
    <w:p>
      <w:pPr>
        <w:pStyle w:val="3"/>
        <w:spacing w:before="0" w:after="0" w:line="360" w:lineRule="auto"/>
        <w:ind w:firstLine="316" w:firstLineChars="150"/>
        <w:jc w:val="left"/>
        <w:rPr>
          <w:rFonts w:ascii="宋体" w:hAnsi="宋体" w:cs="宋体"/>
          <w:kern w:val="2"/>
          <w:sz w:val="21"/>
          <w:szCs w:val="21"/>
        </w:rPr>
      </w:pPr>
      <w:bookmarkStart w:id="44" w:name="_Toc460416343"/>
      <w:bookmarkStart w:id="45" w:name="_Toc460416599"/>
      <w:bookmarkStart w:id="46" w:name="_Toc460857901"/>
      <w:bookmarkStart w:id="47" w:name="_Toc460416648"/>
      <w:bookmarkStart w:id="48" w:name="_Toc22098"/>
      <w:r>
        <w:rPr>
          <w:rFonts w:hint="eastAsia" w:ascii="宋体" w:hAnsi="宋体" w:cs="宋体"/>
          <w:kern w:val="2"/>
          <w:sz w:val="21"/>
          <w:szCs w:val="21"/>
        </w:rPr>
        <w:t>（四）投标委托</w:t>
      </w:r>
      <w:bookmarkEnd w:id="44"/>
      <w:bookmarkEnd w:id="45"/>
      <w:bookmarkEnd w:id="46"/>
      <w:bookmarkEnd w:id="47"/>
      <w:bookmarkEnd w:id="48"/>
    </w:p>
    <w:p>
      <w:pPr>
        <w:pStyle w:val="15"/>
        <w:snapToGrid w:val="0"/>
        <w:spacing w:line="360" w:lineRule="auto"/>
        <w:ind w:firstLine="404" w:firstLineChars="200"/>
        <w:jc w:val="left"/>
        <w:rPr>
          <w:rFonts w:hAnsi="宋体" w:cs="宋体"/>
          <w:sz w:val="21"/>
          <w:szCs w:val="21"/>
        </w:rPr>
      </w:pPr>
      <w:r>
        <w:rPr>
          <w:rFonts w:hint="eastAsia" w:hAnsi="宋体" w:cs="宋体"/>
          <w:sz w:val="21"/>
          <w:szCs w:val="21"/>
        </w:rPr>
        <w:t>投标人代表须携带有效身份证件。如投标人代表不是法定代表人，须有法定代表人出具的授权委托书（格式见第六章）。</w:t>
      </w:r>
    </w:p>
    <w:p>
      <w:pPr>
        <w:pStyle w:val="3"/>
        <w:spacing w:before="0" w:after="0" w:line="360" w:lineRule="auto"/>
        <w:ind w:firstLine="316" w:firstLineChars="150"/>
        <w:jc w:val="left"/>
        <w:rPr>
          <w:rFonts w:ascii="宋体" w:hAnsi="宋体" w:cs="宋体"/>
          <w:kern w:val="2"/>
          <w:sz w:val="21"/>
          <w:szCs w:val="21"/>
        </w:rPr>
      </w:pPr>
      <w:bookmarkStart w:id="49" w:name="_Toc460416600"/>
      <w:bookmarkStart w:id="50" w:name="_Toc460416649"/>
      <w:bookmarkStart w:id="51" w:name="_Toc460416344"/>
      <w:bookmarkStart w:id="52" w:name="_Toc460857902"/>
      <w:bookmarkStart w:id="53" w:name="_Toc23498"/>
      <w:r>
        <w:rPr>
          <w:rFonts w:hint="eastAsia" w:ascii="宋体" w:hAnsi="宋体" w:cs="宋体"/>
          <w:kern w:val="2"/>
          <w:sz w:val="21"/>
          <w:szCs w:val="21"/>
        </w:rPr>
        <w:t>（五）投标费用</w:t>
      </w:r>
      <w:bookmarkEnd w:id="49"/>
      <w:bookmarkEnd w:id="50"/>
      <w:bookmarkEnd w:id="51"/>
      <w:bookmarkEnd w:id="52"/>
      <w:bookmarkEnd w:id="53"/>
    </w:p>
    <w:p>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不论投标结果如何，投标人均应自行承担所有与投标有关的全部费用（招标文件有相反规定除外）。</w:t>
      </w:r>
    </w:p>
    <w:p>
      <w:pPr>
        <w:pStyle w:val="3"/>
        <w:spacing w:before="0" w:after="0" w:line="360" w:lineRule="auto"/>
        <w:ind w:firstLine="316" w:firstLineChars="150"/>
        <w:jc w:val="left"/>
        <w:rPr>
          <w:rFonts w:ascii="宋体" w:hAnsi="宋体" w:cs="宋体"/>
          <w:kern w:val="2"/>
          <w:sz w:val="21"/>
          <w:szCs w:val="21"/>
        </w:rPr>
      </w:pPr>
      <w:bookmarkStart w:id="54" w:name="_Toc21764"/>
      <w:bookmarkStart w:id="55" w:name="_Toc460857903"/>
      <w:r>
        <w:rPr>
          <w:rFonts w:hint="eastAsia" w:ascii="宋体" w:hAnsi="宋体" w:cs="宋体"/>
          <w:kern w:val="2"/>
          <w:sz w:val="21"/>
          <w:szCs w:val="21"/>
        </w:rPr>
        <w:t>（六）联合体投标</w:t>
      </w:r>
      <w:bookmarkEnd w:id="54"/>
      <w:bookmarkEnd w:id="55"/>
    </w:p>
    <w:p>
      <w:pPr>
        <w:snapToGrid w:val="0"/>
        <w:spacing w:line="360" w:lineRule="auto"/>
        <w:ind w:firstLine="420" w:firstLineChars="200"/>
        <w:rPr>
          <w:rFonts w:ascii="宋体" w:hAnsi="宋体" w:cs="宋体"/>
          <w:szCs w:val="21"/>
        </w:rPr>
      </w:pPr>
      <w:bookmarkStart w:id="56" w:name="_Toc460857904"/>
      <w:bookmarkStart w:id="57" w:name="_Toc8227"/>
      <w:r>
        <w:rPr>
          <w:rFonts w:hint="eastAsia" w:ascii="宋体" w:hAnsi="宋体" w:cs="宋体"/>
          <w:szCs w:val="21"/>
        </w:rPr>
        <w:t>1.本项目接受联合体投标（联合体投标的须在投标文件中提供联合体协议书），组成联合体的成员数量不得超过2个。</w:t>
      </w:r>
    </w:p>
    <w:p>
      <w:pPr>
        <w:snapToGrid w:val="0"/>
        <w:spacing w:line="360" w:lineRule="auto"/>
        <w:ind w:firstLine="420" w:firstLineChars="200"/>
        <w:rPr>
          <w:rFonts w:ascii="宋体" w:hAnsi="宋体" w:cs="宋体"/>
          <w:szCs w:val="21"/>
        </w:rPr>
      </w:pPr>
      <w:r>
        <w:rPr>
          <w:rFonts w:hint="eastAsia" w:ascii="宋体" w:hAnsi="宋体" w:cs="宋体"/>
          <w:szCs w:val="21"/>
        </w:rPr>
        <w:t>2.招标公告规定接受联合体投标的，除应符合招标公告规定的合格投标人的资格要求外，还应遵守以下规定：</w:t>
      </w:r>
    </w:p>
    <w:p>
      <w:pPr>
        <w:snapToGrid w:val="0"/>
        <w:spacing w:line="360" w:lineRule="auto"/>
        <w:ind w:firstLine="420" w:firstLineChars="200"/>
        <w:rPr>
          <w:rFonts w:ascii="宋体" w:hAnsi="宋体" w:cs="宋体"/>
          <w:szCs w:val="21"/>
        </w:rPr>
      </w:pPr>
      <w:r>
        <w:rPr>
          <w:rFonts w:hint="eastAsia" w:ascii="宋体" w:hAnsi="宋体" w:cs="宋体"/>
          <w:szCs w:val="21"/>
        </w:rPr>
        <w:t>（1）联合体各方应按招标文件提供的格式签订联合体协议书，明确联合体牵头人和各方工作内容和义务；</w:t>
      </w:r>
    </w:p>
    <w:p>
      <w:pPr>
        <w:snapToGrid w:val="0"/>
        <w:spacing w:line="360" w:lineRule="auto"/>
        <w:ind w:firstLine="420" w:firstLineChars="200"/>
        <w:rPr>
          <w:rFonts w:ascii="宋体" w:hAnsi="宋体" w:cs="宋体"/>
          <w:szCs w:val="21"/>
        </w:rPr>
      </w:pPr>
      <w:r>
        <w:rPr>
          <w:rFonts w:hint="eastAsia" w:ascii="宋体" w:hAnsi="宋体" w:cs="宋体"/>
          <w:szCs w:val="21"/>
        </w:rPr>
        <w:t>（2）联合体中有同类资质的投标人按照联合体分工承担相同工作的，应当按照资质等级较低的投标人确定联合体的资质等级。</w:t>
      </w:r>
    </w:p>
    <w:p>
      <w:pPr>
        <w:snapToGrid w:val="0"/>
        <w:spacing w:line="360" w:lineRule="auto"/>
        <w:ind w:firstLine="420" w:firstLineChars="200"/>
        <w:rPr>
          <w:rFonts w:ascii="宋体" w:hAnsi="宋体" w:cs="宋体"/>
          <w:szCs w:val="21"/>
        </w:rPr>
      </w:pPr>
      <w:r>
        <w:rPr>
          <w:rFonts w:hint="eastAsia" w:ascii="宋体" w:hAnsi="宋体" w:cs="宋体"/>
          <w:szCs w:val="21"/>
        </w:rPr>
        <w:t>（3）联合体各方不得再单独参加或者与其他投标人另外组成联合体参加同一合同项下的投标。</w:t>
      </w:r>
    </w:p>
    <w:p>
      <w:pPr>
        <w:snapToGrid w:val="0"/>
        <w:spacing w:line="360" w:lineRule="auto"/>
        <w:ind w:firstLine="420" w:firstLineChars="200"/>
        <w:rPr>
          <w:rFonts w:ascii="宋体" w:hAnsi="宋体" w:cs="宋体"/>
          <w:szCs w:val="21"/>
        </w:rPr>
      </w:pPr>
      <w:r>
        <w:rPr>
          <w:rFonts w:hint="eastAsia" w:ascii="宋体" w:hAnsi="宋体" w:cs="宋体"/>
          <w:szCs w:val="21"/>
        </w:rPr>
        <w:t>（4）联合体各方应当共同与采购人签订采购合同，就采购合同约定的事项对采购人承担连带责任。</w:t>
      </w:r>
    </w:p>
    <w:p>
      <w:pPr>
        <w:pStyle w:val="3"/>
        <w:spacing w:before="0" w:after="0" w:line="360" w:lineRule="auto"/>
        <w:ind w:firstLine="316" w:firstLineChars="150"/>
        <w:jc w:val="left"/>
        <w:rPr>
          <w:rFonts w:ascii="宋体" w:hAnsi="宋体" w:cs="宋体"/>
          <w:kern w:val="2"/>
          <w:sz w:val="21"/>
          <w:szCs w:val="21"/>
        </w:rPr>
      </w:pPr>
      <w:r>
        <w:rPr>
          <w:rFonts w:hint="eastAsia" w:ascii="宋体" w:hAnsi="宋体" w:cs="宋体"/>
          <w:kern w:val="2"/>
          <w:sz w:val="21"/>
          <w:szCs w:val="21"/>
        </w:rPr>
        <w:t>（七）转包与分包</w:t>
      </w:r>
      <w:bookmarkEnd w:id="56"/>
      <w:bookmarkEnd w:id="57"/>
    </w:p>
    <w:p>
      <w:pPr>
        <w:snapToGrid w:val="0"/>
        <w:spacing w:line="360" w:lineRule="auto"/>
        <w:ind w:firstLine="420" w:firstLineChars="200"/>
        <w:jc w:val="left"/>
        <w:rPr>
          <w:rFonts w:ascii="宋体" w:hAnsi="宋体" w:cs="宋体"/>
          <w:kern w:val="0"/>
          <w:szCs w:val="21"/>
        </w:rPr>
      </w:pPr>
      <w:bookmarkStart w:id="58" w:name="_Toc460416601"/>
      <w:bookmarkStart w:id="59" w:name="_Toc24401"/>
      <w:bookmarkStart w:id="60" w:name="_Toc460857905"/>
      <w:bookmarkStart w:id="61" w:name="_Toc460416650"/>
      <w:bookmarkStart w:id="62" w:name="_Toc460416345"/>
      <w:r>
        <w:rPr>
          <w:rFonts w:hint="eastAsia" w:ascii="宋体" w:hAnsi="宋体" w:cs="宋体"/>
          <w:kern w:val="0"/>
          <w:szCs w:val="21"/>
        </w:rPr>
        <w:t>1.本项目仅允许大型企业向一家或多家中小微企业、中型企业向一家或多家小微企业对本项目进行合理分包；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2.提供分包意向协议和中小企业声明函，小微企业须提供中小企业声明函，符合《关于促进残疾人就业政府采购政策的通知》（财库〔2017〕141号）规定的条件的残疾人福利性单位视同小型、微型企业, 并提供《残疾人福利性单位声明函》, 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分包单位须满足《中华人民共和国政府采购法》第二十二条规定；未被“信用中国”（www.creditchina.gov.cn)、中国政府采购网（www.ccgp.gov.cn）列入失信被执行人、重大税收违法案件当事人名单、政府采购严重违法失信行为记录名单，且须经采购人同意，如分包单位不具备承接分包内容所必需的设备和专业技术能力的，采购人有权拒绝分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分包单位不得再次分包，总包供应商对分包内容承担连带责任。</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4.本项目联合体投标的不允许分包。</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5.本项目不得进行转包。</w:t>
      </w:r>
    </w:p>
    <w:p>
      <w:pPr>
        <w:pStyle w:val="3"/>
        <w:spacing w:before="0" w:after="0" w:line="360" w:lineRule="auto"/>
        <w:ind w:firstLine="316" w:firstLineChars="150"/>
        <w:jc w:val="left"/>
        <w:rPr>
          <w:rFonts w:ascii="宋体" w:hAnsi="宋体" w:cs="宋体"/>
          <w:kern w:val="2"/>
          <w:sz w:val="21"/>
          <w:szCs w:val="21"/>
        </w:rPr>
      </w:pPr>
      <w:r>
        <w:rPr>
          <w:rFonts w:hint="eastAsia" w:ascii="宋体" w:hAnsi="宋体" w:cs="宋体"/>
          <w:kern w:val="2"/>
          <w:sz w:val="21"/>
          <w:szCs w:val="21"/>
        </w:rPr>
        <w:t>（八）关于分公司投标</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除银行、保险、石油石化、电力、电信、移动、联通等行业允许分公司投标外，其余法人的分支机构不允许参加投标；分公司参加投标的，分公司负责人签署的相关投标资料与本采购文件规定由法定代表人签署的文件材料具有同等效力。 </w:t>
      </w:r>
    </w:p>
    <w:p>
      <w:pPr>
        <w:pStyle w:val="3"/>
        <w:spacing w:before="0" w:after="0" w:line="360" w:lineRule="auto"/>
        <w:ind w:firstLine="316" w:firstLineChars="150"/>
        <w:jc w:val="left"/>
        <w:rPr>
          <w:rFonts w:ascii="宋体" w:hAnsi="宋体" w:cs="宋体"/>
          <w:kern w:val="2"/>
          <w:sz w:val="21"/>
          <w:szCs w:val="21"/>
        </w:rPr>
      </w:pPr>
      <w:r>
        <w:rPr>
          <w:rFonts w:hint="eastAsia" w:ascii="宋体" w:hAnsi="宋体" w:cs="宋体"/>
          <w:kern w:val="2"/>
          <w:sz w:val="21"/>
          <w:szCs w:val="21"/>
        </w:rPr>
        <w:t>（九）特别说明</w:t>
      </w:r>
      <w:bookmarkEnd w:id="58"/>
      <w:bookmarkEnd w:id="59"/>
      <w:bookmarkEnd w:id="60"/>
      <w:bookmarkEnd w:id="61"/>
      <w:bookmarkEnd w:id="62"/>
    </w:p>
    <w:p>
      <w:pPr>
        <w:pStyle w:val="19"/>
        <w:snapToGrid w:val="0"/>
        <w:spacing w:beforeLines="0" w:afterLines="0" w:line="360" w:lineRule="auto"/>
        <w:ind w:left="2" w:leftChars="1" w:firstLine="422" w:firstLineChars="200"/>
        <w:jc w:val="left"/>
        <w:rPr>
          <w:rFonts w:hAnsi="宋体" w:cs="宋体"/>
          <w:b/>
          <w:sz w:val="21"/>
          <w:szCs w:val="21"/>
        </w:rPr>
      </w:pPr>
      <w:r>
        <w:rPr>
          <w:rFonts w:hint="eastAsia" w:hAnsi="宋体" w:cs="宋体"/>
          <w:b/>
          <w:sz w:val="21"/>
          <w:szCs w:val="21"/>
        </w:rPr>
        <w:t>*1.投标人应仔细阅读招标文件的所有内容，按照招标文件的要求提交投标文件，并对所提供的全部资料的真实性承担法律责任。</w:t>
      </w:r>
    </w:p>
    <w:p>
      <w:pPr>
        <w:pStyle w:val="19"/>
        <w:snapToGrid w:val="0"/>
        <w:spacing w:beforeLines="0" w:afterLines="0" w:line="360" w:lineRule="auto"/>
        <w:ind w:left="2" w:leftChars="1" w:firstLine="422" w:firstLineChars="200"/>
        <w:jc w:val="left"/>
        <w:rPr>
          <w:rFonts w:hAnsi="宋体" w:cs="宋体"/>
          <w:b/>
          <w:sz w:val="21"/>
          <w:szCs w:val="21"/>
        </w:rPr>
      </w:pPr>
      <w:r>
        <w:rPr>
          <w:rFonts w:hint="eastAsia" w:hAnsi="宋体" w:cs="宋体"/>
          <w:b/>
          <w:sz w:val="21"/>
          <w:szCs w:val="21"/>
        </w:rPr>
        <w:t>*2.投标人在投标活动中提供任何虚假材料,其投标无效，并报监管部门查处。</w:t>
      </w:r>
    </w:p>
    <w:p>
      <w:pPr>
        <w:pStyle w:val="3"/>
        <w:spacing w:before="0" w:after="0" w:line="360" w:lineRule="auto"/>
        <w:ind w:firstLine="316" w:firstLineChars="150"/>
        <w:jc w:val="left"/>
        <w:rPr>
          <w:rFonts w:ascii="宋体" w:hAnsi="宋体" w:cs="宋体"/>
          <w:kern w:val="2"/>
          <w:sz w:val="21"/>
          <w:szCs w:val="21"/>
        </w:rPr>
      </w:pPr>
      <w:bookmarkStart w:id="63" w:name="_Toc12630"/>
      <w:bookmarkStart w:id="64" w:name="_Toc460416602"/>
      <w:bookmarkStart w:id="65" w:name="_Toc460857906"/>
      <w:bookmarkStart w:id="66" w:name="_Toc460416651"/>
      <w:bookmarkStart w:id="67" w:name="_Toc460416346"/>
      <w:r>
        <w:rPr>
          <w:rFonts w:hint="eastAsia" w:ascii="宋体" w:hAnsi="宋体" w:cs="宋体"/>
          <w:kern w:val="2"/>
          <w:sz w:val="21"/>
          <w:szCs w:val="21"/>
        </w:rPr>
        <w:t>（十）质疑和投诉</w:t>
      </w:r>
      <w:bookmarkEnd w:id="63"/>
      <w:bookmarkEnd w:id="64"/>
      <w:bookmarkEnd w:id="65"/>
      <w:bookmarkEnd w:id="66"/>
      <w:bookmarkEnd w:id="67"/>
    </w:p>
    <w:p>
      <w:pPr>
        <w:widowControl/>
        <w:spacing w:line="360" w:lineRule="auto"/>
        <w:ind w:firstLine="420" w:firstLineChars="200"/>
        <w:jc w:val="left"/>
        <w:rPr>
          <w:rFonts w:ascii="宋体" w:hAnsi="宋体"/>
          <w:bCs/>
          <w:szCs w:val="21"/>
        </w:rPr>
      </w:pPr>
      <w:bookmarkStart w:id="68" w:name="_Toc460857907"/>
      <w:bookmarkStart w:id="69" w:name="_Toc460416652"/>
      <w:bookmarkStart w:id="70" w:name="_Toc460416347"/>
      <w:r>
        <w:rPr>
          <w:rFonts w:hint="eastAsia" w:ascii="宋体" w:hAnsi="宋体" w:cs="宋体"/>
          <w:szCs w:val="21"/>
        </w:rPr>
        <w:t>1. 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r>
        <w:rPr>
          <w:rFonts w:hint="eastAsia" w:ascii="宋体" w:hAnsi="宋体"/>
          <w:bCs/>
          <w:szCs w:val="21"/>
        </w:rPr>
        <w:t>供应商应知其权益受到损害之日，是指：</w:t>
      </w:r>
    </w:p>
    <w:p>
      <w:pPr>
        <w:widowControl/>
        <w:spacing w:line="360" w:lineRule="auto"/>
        <w:ind w:firstLine="420" w:firstLineChars="200"/>
        <w:jc w:val="left"/>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pPr>
        <w:widowControl/>
        <w:spacing w:line="360" w:lineRule="auto"/>
        <w:ind w:firstLine="420" w:firstLineChars="200"/>
        <w:jc w:val="left"/>
        <w:rPr>
          <w:rFonts w:ascii="宋体" w:hAnsi="宋体"/>
          <w:bCs/>
          <w:szCs w:val="21"/>
        </w:rPr>
      </w:pPr>
      <w:r>
        <w:rPr>
          <w:rFonts w:hint="eastAsia" w:ascii="宋体" w:hAnsi="宋体"/>
          <w:bCs/>
          <w:szCs w:val="21"/>
        </w:rPr>
        <w:t>（2）对招标过程提出质疑的，为各招标程序环节结束之日。</w:t>
      </w:r>
    </w:p>
    <w:p>
      <w:pPr>
        <w:spacing w:line="360" w:lineRule="auto"/>
        <w:ind w:firstLine="420" w:firstLineChars="200"/>
        <w:rPr>
          <w:rFonts w:ascii="宋体" w:hAnsi="宋体" w:cs="宋体"/>
          <w:szCs w:val="21"/>
        </w:rPr>
      </w:pPr>
      <w:r>
        <w:rPr>
          <w:rFonts w:hint="eastAsia" w:ascii="宋体" w:hAnsi="宋体"/>
          <w:bCs/>
          <w:szCs w:val="21"/>
        </w:rPr>
        <w:t>（3）对中标结果提出质疑的，为中标结果公告期限届满之日。</w:t>
      </w:r>
    </w:p>
    <w:p>
      <w:pPr>
        <w:spacing w:line="360" w:lineRule="auto"/>
        <w:ind w:firstLine="420" w:firstLineChars="200"/>
        <w:rPr>
          <w:rFonts w:ascii="宋体" w:hAnsi="宋体" w:cs="宋体"/>
          <w:szCs w:val="21"/>
        </w:rPr>
      </w:pPr>
      <w:bookmarkStart w:id="71" w:name="_Toc30983"/>
      <w:r>
        <w:rPr>
          <w:rFonts w:hint="eastAsia" w:ascii="宋体" w:hAnsi="宋体" w:cs="宋体"/>
          <w:szCs w:val="21"/>
        </w:rPr>
        <w:t>2. 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s="宋体"/>
          <w:szCs w:val="21"/>
        </w:rPr>
      </w:pPr>
      <w:r>
        <w:rPr>
          <w:rFonts w:hint="eastAsia" w:ascii="宋体" w:hAnsi="宋体" w:cs="宋体"/>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360" w:lineRule="auto"/>
        <w:ind w:firstLine="420" w:firstLineChars="200"/>
        <w:rPr>
          <w:rFonts w:ascii="宋体" w:hAnsi="宋体" w:cs="宋体"/>
          <w:szCs w:val="21"/>
        </w:rPr>
      </w:pPr>
      <w:r>
        <w:rPr>
          <w:rFonts w:hint="eastAsia" w:ascii="宋体" w:hAnsi="宋体" w:cs="宋体"/>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pPr>
        <w:pStyle w:val="3"/>
        <w:spacing w:before="0" w:after="0" w:line="360" w:lineRule="auto"/>
        <w:ind w:firstLine="422" w:firstLineChars="200"/>
        <w:jc w:val="left"/>
        <w:rPr>
          <w:rFonts w:hAnsi="宋体" w:cs="宋体"/>
          <w:sz w:val="21"/>
          <w:szCs w:val="21"/>
        </w:rPr>
      </w:pPr>
      <w:r>
        <w:rPr>
          <w:rFonts w:hint="eastAsia" w:hAnsi="宋体" w:cs="宋体"/>
          <w:sz w:val="21"/>
          <w:szCs w:val="21"/>
        </w:rPr>
        <w:t>5. 供应商对采购人或采购代理机构的质疑答复不满意或者采购人或采购代理机构未在规定时间内作出答复的，可以在答复期满后十五个工作日内向同级采购监管部门投诉。</w:t>
      </w:r>
    </w:p>
    <w:p>
      <w:pPr>
        <w:pStyle w:val="3"/>
        <w:spacing w:before="0" w:after="0" w:line="360" w:lineRule="auto"/>
        <w:ind w:firstLine="422" w:firstLineChars="200"/>
        <w:jc w:val="left"/>
        <w:rPr>
          <w:rFonts w:ascii="宋体" w:hAnsi="宋体" w:cs="宋体"/>
          <w:sz w:val="21"/>
          <w:szCs w:val="21"/>
        </w:rPr>
      </w:pPr>
      <w:r>
        <w:rPr>
          <w:rFonts w:hint="eastAsia" w:ascii="宋体" w:hAnsi="宋体" w:cs="宋体"/>
          <w:sz w:val="21"/>
          <w:szCs w:val="21"/>
        </w:rPr>
        <w:t>二、招标文件</w:t>
      </w:r>
      <w:bookmarkEnd w:id="68"/>
      <w:bookmarkEnd w:id="69"/>
      <w:bookmarkEnd w:id="70"/>
      <w:bookmarkEnd w:id="71"/>
    </w:p>
    <w:p>
      <w:pPr>
        <w:pStyle w:val="3"/>
        <w:spacing w:before="0" w:after="0" w:line="360" w:lineRule="auto"/>
        <w:ind w:firstLine="316" w:firstLineChars="150"/>
        <w:jc w:val="left"/>
        <w:rPr>
          <w:rFonts w:ascii="宋体" w:hAnsi="宋体" w:cs="宋体"/>
          <w:sz w:val="21"/>
          <w:szCs w:val="21"/>
        </w:rPr>
      </w:pPr>
      <w:bookmarkStart w:id="72" w:name="_Toc460857908"/>
      <w:bookmarkStart w:id="73" w:name="_Toc25447"/>
      <w:r>
        <w:rPr>
          <w:rFonts w:hint="eastAsia" w:ascii="宋体" w:hAnsi="宋体" w:cs="宋体"/>
          <w:sz w:val="21"/>
          <w:szCs w:val="21"/>
        </w:rPr>
        <w:t>（一）招标文件的构成。本招标文件由以下部分组成：</w:t>
      </w:r>
      <w:bookmarkEnd w:id="72"/>
      <w:bookmarkEnd w:id="73"/>
    </w:p>
    <w:p>
      <w:pPr>
        <w:snapToGrid w:val="0"/>
        <w:spacing w:line="360" w:lineRule="auto"/>
        <w:ind w:firstLine="420" w:firstLineChars="200"/>
        <w:jc w:val="left"/>
        <w:rPr>
          <w:rFonts w:ascii="宋体" w:hAnsi="宋体" w:cs="宋体"/>
          <w:szCs w:val="21"/>
        </w:rPr>
      </w:pPr>
      <w:r>
        <w:rPr>
          <w:rFonts w:hint="eastAsia" w:ascii="宋体" w:hAnsi="宋体" w:cs="宋体"/>
          <w:szCs w:val="21"/>
        </w:rPr>
        <w:t>1.公开招标采购公告</w:t>
      </w:r>
    </w:p>
    <w:p>
      <w:pPr>
        <w:snapToGrid w:val="0"/>
        <w:spacing w:line="360" w:lineRule="auto"/>
        <w:ind w:firstLine="420" w:firstLineChars="200"/>
        <w:jc w:val="left"/>
        <w:rPr>
          <w:rFonts w:ascii="宋体" w:hAnsi="宋体" w:cs="宋体"/>
          <w:szCs w:val="21"/>
        </w:rPr>
      </w:pPr>
      <w:r>
        <w:rPr>
          <w:rFonts w:hint="eastAsia" w:ascii="宋体" w:hAnsi="宋体" w:cs="宋体"/>
          <w:szCs w:val="21"/>
        </w:rPr>
        <w:t>2.招标需求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3.投标人须知</w:t>
      </w:r>
    </w:p>
    <w:p>
      <w:pPr>
        <w:snapToGrid w:val="0"/>
        <w:spacing w:line="360" w:lineRule="auto"/>
        <w:ind w:firstLine="420" w:firstLineChars="200"/>
        <w:jc w:val="left"/>
        <w:rPr>
          <w:rFonts w:ascii="宋体" w:hAnsi="宋体" w:cs="宋体"/>
          <w:szCs w:val="21"/>
        </w:rPr>
      </w:pPr>
      <w:r>
        <w:rPr>
          <w:rFonts w:hint="eastAsia" w:ascii="宋体" w:hAnsi="宋体" w:cs="宋体"/>
          <w:szCs w:val="21"/>
        </w:rPr>
        <w:t>4.评标办法及评分标准</w:t>
      </w:r>
    </w:p>
    <w:p>
      <w:pPr>
        <w:snapToGrid w:val="0"/>
        <w:spacing w:line="360" w:lineRule="auto"/>
        <w:ind w:firstLine="420" w:firstLineChars="200"/>
        <w:jc w:val="left"/>
        <w:rPr>
          <w:rFonts w:ascii="宋体" w:hAnsi="宋体" w:cs="宋体"/>
          <w:szCs w:val="21"/>
        </w:rPr>
      </w:pPr>
      <w:r>
        <w:rPr>
          <w:rFonts w:hint="eastAsia" w:ascii="宋体" w:hAnsi="宋体" w:cs="宋体"/>
          <w:szCs w:val="21"/>
        </w:rPr>
        <w:t>5.政府采购合同主要条款</w:t>
      </w:r>
    </w:p>
    <w:p>
      <w:pPr>
        <w:snapToGrid w:val="0"/>
        <w:spacing w:line="360" w:lineRule="auto"/>
        <w:ind w:firstLine="420" w:firstLineChars="200"/>
        <w:jc w:val="left"/>
        <w:rPr>
          <w:rFonts w:ascii="宋体" w:hAnsi="宋体" w:cs="宋体"/>
          <w:szCs w:val="21"/>
        </w:rPr>
      </w:pPr>
      <w:r>
        <w:rPr>
          <w:rFonts w:hint="eastAsia" w:ascii="宋体" w:hAnsi="宋体" w:cs="宋体"/>
          <w:szCs w:val="21"/>
        </w:rPr>
        <w:t>6.投标文件格式</w:t>
      </w:r>
    </w:p>
    <w:p>
      <w:pPr>
        <w:snapToGrid w:val="0"/>
        <w:spacing w:line="360" w:lineRule="auto"/>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pPr>
        <w:pStyle w:val="3"/>
        <w:spacing w:before="0" w:after="0" w:line="360" w:lineRule="auto"/>
        <w:ind w:firstLine="316" w:firstLineChars="150"/>
        <w:jc w:val="left"/>
        <w:rPr>
          <w:rFonts w:ascii="宋体" w:hAnsi="宋体" w:cs="宋体"/>
          <w:sz w:val="21"/>
          <w:szCs w:val="21"/>
        </w:rPr>
      </w:pPr>
      <w:bookmarkStart w:id="74" w:name="_Toc460857909"/>
      <w:bookmarkStart w:id="75" w:name="_Toc12252"/>
      <w:r>
        <w:rPr>
          <w:rFonts w:hint="eastAsia" w:ascii="宋体" w:hAnsi="宋体" w:cs="宋体"/>
          <w:sz w:val="21"/>
          <w:szCs w:val="21"/>
        </w:rPr>
        <w:t>（二）投标人的风险</w:t>
      </w:r>
      <w:bookmarkEnd w:id="74"/>
      <w:bookmarkEnd w:id="75"/>
    </w:p>
    <w:p>
      <w:pPr>
        <w:pStyle w:val="28"/>
        <w:spacing w:line="360" w:lineRule="auto"/>
        <w:ind w:firstLine="420"/>
        <w:rPr>
          <w:rFonts w:ascii="宋体" w:hAnsi="宋体" w:eastAsia="宋体" w:cs="宋体"/>
          <w:color w:val="auto"/>
          <w:sz w:val="21"/>
          <w:szCs w:val="21"/>
        </w:rPr>
      </w:pPr>
      <w:r>
        <w:rPr>
          <w:rFonts w:hint="eastAsia" w:ascii="宋体" w:hAnsi="宋体" w:eastAsia="宋体" w:cs="宋体"/>
          <w:color w:val="auto"/>
          <w:sz w:val="21"/>
          <w:szCs w:val="21"/>
        </w:rPr>
        <w:t>投标人没有按照招标文件要求提供全部资料，或者投标人没有对招标文件在各方面作出实质性响应是投标人的风险，并可能导致其投标被拒绝。</w:t>
      </w:r>
    </w:p>
    <w:p>
      <w:pPr>
        <w:pStyle w:val="3"/>
        <w:spacing w:before="0" w:after="0" w:line="360" w:lineRule="auto"/>
        <w:ind w:firstLine="316" w:firstLineChars="150"/>
        <w:jc w:val="left"/>
        <w:rPr>
          <w:rFonts w:ascii="宋体" w:hAnsi="宋体" w:cs="宋体"/>
          <w:sz w:val="21"/>
          <w:szCs w:val="21"/>
        </w:rPr>
      </w:pPr>
      <w:bookmarkStart w:id="76" w:name="_Toc460857910"/>
      <w:bookmarkStart w:id="77" w:name="_Toc30699"/>
      <w:r>
        <w:rPr>
          <w:rFonts w:hint="eastAsia" w:ascii="宋体" w:hAnsi="宋体" w:cs="宋体"/>
          <w:sz w:val="21"/>
          <w:szCs w:val="21"/>
        </w:rPr>
        <w:t>（三）招标文件的澄清与修改</w:t>
      </w:r>
      <w:bookmarkEnd w:id="76"/>
      <w:bookmarkEnd w:id="77"/>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1.任何要求对《招标文件》进行澄清的投标人，应以书面或传真形式通知招标代理公司。要求澄清的问题应盖投标人公章和注明日期。招标人视情况再以书面或传真形式作出答复。</w:t>
      </w:r>
    </w:p>
    <w:p>
      <w:pPr>
        <w:pStyle w:val="13"/>
        <w:tabs>
          <w:tab w:val="left" w:pos="948"/>
        </w:tabs>
        <w:spacing w:after="0" w:line="360" w:lineRule="auto"/>
        <w:ind w:firstLine="420" w:firstLineChars="200"/>
        <w:rPr>
          <w:rFonts w:ascii="宋体" w:hAnsi="宋体" w:cs="宋体"/>
          <w:sz w:val="21"/>
          <w:szCs w:val="21"/>
        </w:rPr>
      </w:pPr>
      <w:r>
        <w:rPr>
          <w:rFonts w:hint="eastAsia" w:ascii="宋体" w:hAnsi="宋体" w:cs="宋体"/>
          <w:sz w:val="21"/>
          <w:szCs w:val="21"/>
        </w:rPr>
        <w:t>2.在投标截止时间前，采购代理机构可以对已发出的招标文件进行必要的澄清或者修改。澄清或者修改的内容可能影响投标文件编制的，采购代理机构将在投标截止时间至少 15 日前，以更正（澄清）公告形式通知所有获取招标文件的潜在投标人，不足15日的，采购代理机构将顺延提交投标文件的截止时间；澄清或者修改的内容不影响投标文件编制的，则不受 15 日的期限限制。澄清或者修改的内容为招标文件 的组成部分，对所有投标人具有约束力。</w:t>
      </w:r>
    </w:p>
    <w:p>
      <w:pPr>
        <w:pStyle w:val="3"/>
        <w:spacing w:before="0" w:after="0" w:line="360" w:lineRule="auto"/>
        <w:ind w:firstLine="316" w:firstLineChars="150"/>
        <w:jc w:val="left"/>
        <w:rPr>
          <w:rFonts w:ascii="宋体" w:hAnsi="宋体" w:cs="宋体"/>
          <w:sz w:val="21"/>
          <w:szCs w:val="21"/>
        </w:rPr>
      </w:pPr>
      <w:bookmarkStart w:id="78" w:name="_Toc460857912"/>
      <w:bookmarkStart w:id="79" w:name="_Toc460416653"/>
      <w:bookmarkStart w:id="80" w:name="_Toc460416348"/>
      <w:bookmarkStart w:id="81" w:name="_Toc26344"/>
      <w:r>
        <w:rPr>
          <w:rFonts w:hint="eastAsia" w:ascii="宋体" w:hAnsi="宋体" w:cs="宋体"/>
          <w:sz w:val="21"/>
          <w:szCs w:val="21"/>
        </w:rPr>
        <w:t>三、投标文件的编制</w:t>
      </w:r>
      <w:bookmarkEnd w:id="78"/>
      <w:bookmarkEnd w:id="79"/>
      <w:bookmarkEnd w:id="80"/>
      <w:bookmarkEnd w:id="81"/>
    </w:p>
    <w:p>
      <w:pPr>
        <w:pStyle w:val="3"/>
        <w:spacing w:before="0" w:after="0" w:line="360" w:lineRule="auto"/>
        <w:ind w:firstLine="316" w:firstLineChars="150"/>
        <w:jc w:val="left"/>
        <w:rPr>
          <w:rFonts w:ascii="宋体" w:hAnsi="宋体" w:cs="宋体"/>
          <w:sz w:val="21"/>
          <w:szCs w:val="21"/>
        </w:rPr>
      </w:pPr>
      <w:bookmarkStart w:id="82" w:name="_Toc460416654"/>
      <w:bookmarkStart w:id="83" w:name="_Toc460416349"/>
      <w:bookmarkStart w:id="84" w:name="_Toc460857913"/>
      <w:bookmarkStart w:id="85" w:name="_Toc5670"/>
      <w:r>
        <w:rPr>
          <w:rFonts w:hint="eastAsia" w:ascii="宋体" w:hAnsi="宋体" w:cs="宋体"/>
          <w:sz w:val="21"/>
          <w:szCs w:val="21"/>
        </w:rPr>
        <w:t>（一）投标文件的组成</w:t>
      </w:r>
      <w:bookmarkEnd w:id="82"/>
      <w:bookmarkEnd w:id="83"/>
      <w:bookmarkEnd w:id="84"/>
      <w:bookmarkEnd w:id="85"/>
    </w:p>
    <w:p>
      <w:pPr>
        <w:snapToGrid w:val="0"/>
        <w:spacing w:line="360" w:lineRule="auto"/>
        <w:ind w:firstLine="420" w:firstLineChars="200"/>
        <w:jc w:val="left"/>
        <w:rPr>
          <w:rFonts w:ascii="宋体" w:hAnsi="宋体" w:cs="宋体"/>
          <w:szCs w:val="21"/>
        </w:rPr>
      </w:pPr>
      <w:r>
        <w:rPr>
          <w:rFonts w:hint="eastAsia" w:ascii="宋体" w:hAnsi="宋体" w:cs="宋体"/>
          <w:szCs w:val="21"/>
        </w:rPr>
        <w:t>投标文件由资格证明文件、商务技术文件和报价文件三部分组成，电子投标文件中所须加盖公章部分均采用CA签章。（若采用联合体投标，需各方盖章的内容，牵头方可采用CA签章，其他成员单位可采用盖公章，并由牵头方统一扫描上传）。</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1．资格证明部分包括以下内容：</w:t>
      </w:r>
    </w:p>
    <w:p>
      <w:pPr>
        <w:spacing w:line="360" w:lineRule="auto"/>
        <w:ind w:firstLine="420" w:firstLineChars="200"/>
        <w:rPr>
          <w:rFonts w:ascii="宋体" w:hAnsi="宋体" w:cs="宋体"/>
          <w:szCs w:val="21"/>
        </w:rPr>
      </w:pPr>
      <w:r>
        <w:rPr>
          <w:rFonts w:hint="eastAsia" w:ascii="宋体" w:hAnsi="宋体" w:cs="宋体"/>
          <w:szCs w:val="21"/>
        </w:rPr>
        <w:t>（1）资格条件自查表(格式见附件)；</w:t>
      </w:r>
    </w:p>
    <w:p>
      <w:pPr>
        <w:spacing w:line="360" w:lineRule="auto"/>
        <w:ind w:firstLine="420" w:firstLineChars="200"/>
        <w:rPr>
          <w:rFonts w:ascii="宋体" w:hAnsi="宋体" w:cs="宋体"/>
          <w:szCs w:val="21"/>
        </w:rPr>
      </w:pPr>
      <w:r>
        <w:rPr>
          <w:rFonts w:hint="eastAsia" w:ascii="宋体" w:hAnsi="宋体" w:cs="宋体"/>
          <w:szCs w:val="21"/>
        </w:rPr>
        <w:t>（2）有效的企业法人营业执照（或事业法人登记证）、其他组织（个体工商户）的营业执照或者民办非企业单位登记证书复印件（复印件加盖公章）</w:t>
      </w:r>
      <w:r>
        <w:rPr>
          <w:rFonts w:hint="eastAsia" w:ascii="宋体" w:hAnsi="宋体" w:cs="宋体"/>
          <w:bCs/>
          <w:szCs w:val="21"/>
        </w:rPr>
        <w:t>，若为联合体投标的，则联合体各方均须提供</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（3）投标人资格声明函(格式见附件)；</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szCs w:val="21"/>
        </w:rPr>
        <w:t>联合体协议书（格式见附件）（以联合体形式投标的，提供联合协议。不以联合体形式投标的，则不需要提供）</w:t>
      </w:r>
      <w:r>
        <w:rPr>
          <w:rFonts w:hint="eastAsia" w:ascii="宋体" w:hAnsi="宋体" w:cs="宋体"/>
          <w:szCs w:val="21"/>
        </w:rPr>
        <w:t>。</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2.商务技术部分包括以下内容：</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（1）符合性自查表(格式见附件)；</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（2）供应商响应表(格式见附件)；</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（3）法定代表人的身份证明或法定代表人授权书【投标人的代表若为非法定代表人的，必须提交法定代表人授权书及</w:t>
      </w:r>
      <w:r>
        <w:rPr>
          <w:rFonts w:hint="eastAsia" w:ascii="宋体" w:hAnsi="宋体" w:cs="宋体"/>
          <w:bCs/>
          <w:szCs w:val="21"/>
        </w:rPr>
        <w:t>授权代表距开标日前六个月内任一月内投标人为其所缴纳社保证明（均加盖公章）</w:t>
      </w:r>
      <w:r>
        <w:rPr>
          <w:rFonts w:hint="eastAsia" w:ascii="宋体" w:hAnsi="宋体" w:cs="宋体"/>
          <w:szCs w:val="21"/>
        </w:rPr>
        <w:t>，格式见附件】；</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（4）投标人基本情况说明(格式见附件)；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（5）车辆配备（格式见附件）；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（6）驾驶员身份证及驾驶证复印件加盖公章（如有，请提供）；</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（7）人员配备方案（人员配备表格式见附件）；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（8）停车场配置方案；</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（9）管理制度和工作流程；</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（10）项目实施保障措施及服务质量承诺；</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（11）应急方案；</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（12）优化服务承诺；</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（13）合理化建议；</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（14）同类项目业绩表（格式见附件）；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（15）商务条款偏离表(格式见附件)；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（16）服务条款偏离表(格式见附件)；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（17）投标人认为有必要提交的其他商务技术部分文件和资料。</w:t>
      </w:r>
    </w:p>
    <w:p>
      <w:pPr>
        <w:tabs>
          <w:tab w:val="left" w:pos="42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 报价部分包括以下内容：</w:t>
      </w:r>
    </w:p>
    <w:p>
      <w:pPr>
        <w:tabs>
          <w:tab w:val="left" w:pos="42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（1）投标函 (格式见附件)；</w:t>
      </w:r>
    </w:p>
    <w:p>
      <w:pPr>
        <w:tabs>
          <w:tab w:val="left" w:pos="42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（2）开标一览表(格式见附件)；</w:t>
      </w:r>
    </w:p>
    <w:p>
      <w:pPr>
        <w:tabs>
          <w:tab w:val="left" w:pos="42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（3）投标报价明细表(格式见附件)；</w:t>
      </w:r>
    </w:p>
    <w:p>
      <w:pPr>
        <w:tabs>
          <w:tab w:val="left" w:pos="42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（4）中小企业声明函（格式见附件）；</w:t>
      </w:r>
    </w:p>
    <w:p>
      <w:pPr>
        <w:tabs>
          <w:tab w:val="left" w:pos="42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（5）残疾人福利性单位声明函（格式见附件，如有请提供）；</w:t>
      </w:r>
    </w:p>
    <w:p>
      <w:pPr>
        <w:tabs>
          <w:tab w:val="left" w:pos="420"/>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（6）中标服务费支付承诺函(格式见附件)。</w:t>
      </w:r>
    </w:p>
    <w:p>
      <w:pPr>
        <w:snapToGrid w:val="0"/>
        <w:spacing w:line="360" w:lineRule="auto"/>
        <w:ind w:firstLine="420" w:firstLineChars="200"/>
        <w:jc w:val="left"/>
        <w:rPr>
          <w:rFonts w:ascii="宋体" w:hAnsi="宋体" w:cs="宋体"/>
          <w:szCs w:val="21"/>
        </w:rPr>
      </w:pPr>
      <w:r>
        <w:rPr>
          <w:rFonts w:hint="eastAsia" w:ascii="宋体" w:hAnsi="宋体" w:cs="宋体"/>
          <w:szCs w:val="21"/>
        </w:rPr>
        <w:t>4.上述组成投标文件的各项资料中本招标文件的有规定格式的，应统一按本招标文件的规定格式填写。未有规定格式的资料，投标人应自行编制，但至少要包含以上要求的内容。</w:t>
      </w:r>
    </w:p>
    <w:p>
      <w:pPr>
        <w:snapToGrid w:val="0"/>
        <w:spacing w:line="360" w:lineRule="auto"/>
        <w:ind w:firstLine="420" w:firstLineChars="200"/>
        <w:jc w:val="left"/>
        <w:rPr>
          <w:rFonts w:ascii="宋体" w:hAnsi="宋体" w:cs="宋体"/>
          <w:szCs w:val="21"/>
        </w:rPr>
      </w:pPr>
      <w:r>
        <w:rPr>
          <w:rFonts w:hint="eastAsia" w:ascii="宋体" w:hAnsi="宋体" w:cs="宋体"/>
          <w:szCs w:val="21"/>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3"/>
        <w:spacing w:before="0" w:after="0" w:line="360" w:lineRule="auto"/>
        <w:ind w:firstLine="316" w:firstLineChars="150"/>
        <w:jc w:val="left"/>
        <w:rPr>
          <w:rFonts w:ascii="宋体" w:hAnsi="宋体" w:cs="宋体"/>
          <w:sz w:val="21"/>
          <w:szCs w:val="21"/>
        </w:rPr>
      </w:pPr>
      <w:bookmarkStart w:id="86" w:name="_Toc460857914"/>
      <w:bookmarkStart w:id="87" w:name="_Toc460416350"/>
      <w:bookmarkStart w:id="88" w:name="_Toc460416655"/>
      <w:bookmarkStart w:id="89" w:name="_Toc24250"/>
      <w:r>
        <w:rPr>
          <w:rFonts w:hint="eastAsia" w:ascii="宋体" w:hAnsi="宋体" w:cs="宋体"/>
          <w:sz w:val="21"/>
          <w:szCs w:val="21"/>
        </w:rPr>
        <w:t>（二）投标文件的语言及计量</w:t>
      </w:r>
      <w:bookmarkEnd w:id="86"/>
      <w:bookmarkEnd w:id="87"/>
      <w:bookmarkEnd w:id="88"/>
      <w:bookmarkEnd w:id="89"/>
    </w:p>
    <w:p>
      <w:pPr>
        <w:snapToGrid w:val="0"/>
        <w:spacing w:line="360" w:lineRule="auto"/>
        <w:ind w:firstLine="422" w:firstLineChars="200"/>
        <w:jc w:val="left"/>
        <w:rPr>
          <w:rFonts w:ascii="宋体" w:hAnsi="宋体" w:cs="宋体"/>
          <w:b/>
          <w:szCs w:val="21"/>
        </w:rPr>
      </w:pPr>
      <w:r>
        <w:rPr>
          <w:rFonts w:hint="eastAsia" w:ascii="宋体" w:hAnsi="宋体" w:cs="宋体"/>
          <w:b/>
          <w:szCs w:val="21"/>
        </w:rPr>
        <w:t>*1.投标文件以及投标方与招标人就有关投标事宜的所有来往函电，均应以中文汉语书写。除签名、盖章、专用名称等特殊情形外，以中文汉语以外的文字表述的投标文件视同未提供。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*2.投标计量单位，招标文件已有明确规定的，使用招标文件规定的计量单位；招标文件没有规定的，应采用中华人民共和国法定计量单位（货币单位：人民币元），否则视同未响应。</w:t>
      </w:r>
    </w:p>
    <w:p>
      <w:pPr>
        <w:pStyle w:val="3"/>
        <w:spacing w:before="0" w:after="0" w:line="360" w:lineRule="auto"/>
        <w:ind w:firstLine="316" w:firstLineChars="150"/>
        <w:jc w:val="left"/>
        <w:rPr>
          <w:rFonts w:ascii="宋体" w:hAnsi="宋体" w:cs="宋体"/>
          <w:b w:val="0"/>
          <w:szCs w:val="21"/>
        </w:rPr>
      </w:pPr>
      <w:bookmarkStart w:id="90" w:name="_Toc24902"/>
      <w:bookmarkStart w:id="91" w:name="_Toc460857915"/>
      <w:bookmarkStart w:id="92" w:name="_Toc460416656"/>
      <w:bookmarkStart w:id="93" w:name="_Toc460416351"/>
      <w:r>
        <w:rPr>
          <w:rFonts w:hint="eastAsia" w:ascii="宋体" w:hAnsi="宋体" w:cs="宋体"/>
          <w:sz w:val="21"/>
          <w:szCs w:val="21"/>
        </w:rPr>
        <w:t>（三）投标报价</w:t>
      </w:r>
      <w:bookmarkEnd w:id="90"/>
      <w:bookmarkEnd w:id="91"/>
      <w:bookmarkEnd w:id="92"/>
      <w:bookmarkEnd w:id="93"/>
    </w:p>
    <w:p>
      <w:pPr>
        <w:pStyle w:val="19"/>
        <w:snapToGrid w:val="0"/>
        <w:spacing w:beforeLines="0" w:afterLines="0" w:line="360" w:lineRule="auto"/>
        <w:ind w:firstLine="420" w:firstLineChars="200"/>
        <w:jc w:val="left"/>
        <w:rPr>
          <w:rFonts w:hAnsi="宋体" w:cs="宋体"/>
          <w:sz w:val="21"/>
          <w:szCs w:val="21"/>
        </w:rPr>
      </w:pPr>
      <w:r>
        <w:rPr>
          <w:rFonts w:hint="eastAsia" w:hAnsi="宋体" w:cs="宋体"/>
          <w:sz w:val="21"/>
          <w:szCs w:val="21"/>
        </w:rPr>
        <w:t>1.投标报价应按招标文件中相关附表格式填写。</w:t>
      </w:r>
    </w:p>
    <w:p>
      <w:pPr>
        <w:tabs>
          <w:tab w:val="left" w:pos="525"/>
        </w:tabs>
        <w:snapToGrid w:val="0"/>
        <w:spacing w:line="360" w:lineRule="auto"/>
        <w:ind w:firstLine="422" w:firstLineChars="200"/>
        <w:jc w:val="left"/>
        <w:rPr>
          <w:rFonts w:ascii="宋体" w:hAnsi="宋体" w:cs="宋体"/>
          <w:b/>
          <w:szCs w:val="21"/>
        </w:rPr>
      </w:pPr>
      <w:r>
        <w:rPr>
          <w:rFonts w:hint="eastAsia" w:ascii="宋体" w:hAnsi="宋体" w:cs="宋体"/>
          <w:b/>
          <w:szCs w:val="21"/>
        </w:rPr>
        <w:t>*2.投标文件只允许有一个报价，有选择的或有条件的报价将不予接受。</w:t>
      </w:r>
    </w:p>
    <w:p>
      <w:pPr>
        <w:pStyle w:val="3"/>
        <w:spacing w:before="0" w:after="0" w:line="360" w:lineRule="auto"/>
        <w:ind w:firstLine="316" w:firstLineChars="150"/>
        <w:jc w:val="left"/>
        <w:rPr>
          <w:rFonts w:ascii="宋体" w:hAnsi="宋体" w:cs="宋体"/>
          <w:sz w:val="21"/>
          <w:szCs w:val="21"/>
        </w:rPr>
      </w:pPr>
      <w:bookmarkStart w:id="94" w:name="_Toc460857916"/>
      <w:bookmarkStart w:id="95" w:name="_Toc26432"/>
      <w:r>
        <w:rPr>
          <w:rFonts w:hint="eastAsia" w:ascii="宋体" w:hAnsi="宋体" w:cs="宋体"/>
          <w:sz w:val="21"/>
          <w:szCs w:val="21"/>
        </w:rPr>
        <w:t>（四）投标文件的有效期</w:t>
      </w:r>
      <w:bookmarkEnd w:id="94"/>
      <w:bookmarkEnd w:id="95"/>
    </w:p>
    <w:p>
      <w:pPr>
        <w:pStyle w:val="8"/>
        <w:widowControl w:val="0"/>
        <w:tabs>
          <w:tab w:val="clear" w:pos="454"/>
        </w:tabs>
        <w:snapToGrid w:val="0"/>
        <w:spacing w:afterLines="0" w:line="360" w:lineRule="auto"/>
        <w:ind w:left="0" w:firstLine="422" w:firstLineChars="200"/>
        <w:rPr>
          <w:rFonts w:ascii="宋体" w:hAnsi="宋体" w:cs="宋体"/>
          <w:b/>
          <w:sz w:val="21"/>
          <w:szCs w:val="21"/>
        </w:rPr>
      </w:pPr>
      <w:r>
        <w:rPr>
          <w:rFonts w:hint="eastAsia" w:ascii="宋体" w:hAnsi="宋体" w:cs="宋体"/>
          <w:b/>
          <w:sz w:val="21"/>
          <w:szCs w:val="21"/>
        </w:rPr>
        <w:t>*1.自投标截止日起</w:t>
      </w:r>
      <w:r>
        <w:rPr>
          <w:rFonts w:hint="eastAsia" w:ascii="宋体" w:hAnsi="宋体" w:cs="宋体"/>
          <w:b/>
          <w:sz w:val="21"/>
          <w:szCs w:val="21"/>
          <w:u w:val="single"/>
        </w:rPr>
        <w:t>90</w:t>
      </w:r>
      <w:r>
        <w:rPr>
          <w:rFonts w:hint="eastAsia" w:ascii="宋体" w:hAnsi="宋体" w:cs="宋体"/>
          <w:b/>
          <w:sz w:val="21"/>
          <w:szCs w:val="21"/>
        </w:rPr>
        <w:t>天投标文件应保持有效。有效期不足的投标文件将被拒绝。</w:t>
      </w:r>
    </w:p>
    <w:p>
      <w:pPr>
        <w:pStyle w:val="8"/>
        <w:widowControl w:val="0"/>
        <w:tabs>
          <w:tab w:val="clear" w:pos="454"/>
        </w:tabs>
        <w:snapToGrid w:val="0"/>
        <w:spacing w:afterLines="0" w:line="360" w:lineRule="auto"/>
        <w:ind w:left="0" w:firstLine="420" w:firstLineChars="200"/>
        <w:rPr>
          <w:rFonts w:ascii="宋体" w:hAnsi="宋体" w:cs="宋体"/>
          <w:sz w:val="21"/>
          <w:szCs w:val="21"/>
        </w:rPr>
      </w:pPr>
      <w:r>
        <w:rPr>
          <w:rFonts w:hint="eastAsia" w:ascii="宋体" w:hAnsi="宋体" w:cs="宋体"/>
          <w:sz w:val="21"/>
          <w:szCs w:val="21"/>
        </w:rPr>
        <w:t>2.在特殊情况下，招标人可与投标人协商延长投标书的有效期，这种要求和答复均以书面形式进行。</w:t>
      </w:r>
    </w:p>
    <w:p>
      <w:pPr>
        <w:pStyle w:val="8"/>
        <w:widowControl w:val="0"/>
        <w:tabs>
          <w:tab w:val="clear" w:pos="454"/>
        </w:tabs>
        <w:snapToGrid w:val="0"/>
        <w:spacing w:afterLines="0" w:line="360" w:lineRule="auto"/>
        <w:ind w:left="0" w:firstLine="420" w:firstLineChars="200"/>
        <w:rPr>
          <w:rFonts w:ascii="宋体" w:hAnsi="宋体" w:cs="宋体"/>
          <w:sz w:val="21"/>
          <w:szCs w:val="21"/>
        </w:rPr>
      </w:pPr>
      <w:bookmarkStart w:id="96" w:name="_Toc460416657"/>
      <w:bookmarkStart w:id="97" w:name="_Toc460416352"/>
      <w:r>
        <w:rPr>
          <w:rFonts w:hint="eastAsia" w:ascii="宋体" w:hAnsi="宋体" w:cs="宋体"/>
          <w:sz w:val="21"/>
          <w:szCs w:val="21"/>
        </w:rPr>
        <w:t>3.投标人可拒绝接受延期要求。同意延长有效期的投标人但不能修改投标文件。</w:t>
      </w:r>
      <w:bookmarkEnd w:id="96"/>
      <w:bookmarkEnd w:id="97"/>
    </w:p>
    <w:p>
      <w:pPr>
        <w:pStyle w:val="8"/>
        <w:widowControl w:val="0"/>
        <w:tabs>
          <w:tab w:val="clear" w:pos="454"/>
        </w:tabs>
        <w:snapToGrid w:val="0"/>
        <w:spacing w:afterLines="0" w:line="360" w:lineRule="auto"/>
        <w:ind w:left="0" w:firstLine="420" w:firstLineChars="200"/>
        <w:rPr>
          <w:rFonts w:ascii="宋体" w:hAnsi="宋体" w:cs="宋体"/>
          <w:sz w:val="21"/>
          <w:szCs w:val="21"/>
        </w:rPr>
      </w:pPr>
      <w:bookmarkStart w:id="98" w:name="_Toc460416353"/>
      <w:bookmarkStart w:id="99" w:name="_Toc460416658"/>
      <w:r>
        <w:rPr>
          <w:rFonts w:hint="eastAsia" w:ascii="宋体" w:hAnsi="宋体" w:cs="宋体"/>
          <w:sz w:val="21"/>
          <w:szCs w:val="21"/>
        </w:rPr>
        <w:t>4.中标人的投标文件自开标之日起至合同履行完毕止均应保持有效。</w:t>
      </w:r>
      <w:bookmarkEnd w:id="98"/>
      <w:bookmarkEnd w:id="99"/>
    </w:p>
    <w:p>
      <w:pPr>
        <w:spacing w:line="360" w:lineRule="auto"/>
        <w:ind w:firstLine="422" w:firstLineChars="200"/>
        <w:outlineLvl w:val="0"/>
        <w:rPr>
          <w:rFonts w:ascii="宋体" w:hAnsi="宋体" w:cs="宋体"/>
          <w:b/>
          <w:bCs/>
          <w:szCs w:val="21"/>
        </w:rPr>
      </w:pPr>
      <w:bookmarkStart w:id="100" w:name="_Toc509831416"/>
      <w:bookmarkStart w:id="101" w:name="_Toc460857917"/>
      <w:bookmarkStart w:id="102" w:name="_Toc460416354"/>
      <w:bookmarkStart w:id="103" w:name="_Toc460416659"/>
      <w:bookmarkStart w:id="104" w:name="_Toc1318"/>
      <w:r>
        <w:rPr>
          <w:rFonts w:hint="eastAsia" w:ascii="宋体" w:hAnsi="宋体" w:cs="宋体"/>
          <w:b/>
          <w:bCs/>
          <w:szCs w:val="21"/>
        </w:rPr>
        <w:t>（五）</w:t>
      </w:r>
      <w:bookmarkEnd w:id="100"/>
      <w:bookmarkEnd w:id="101"/>
      <w:bookmarkEnd w:id="102"/>
      <w:bookmarkEnd w:id="103"/>
      <w:bookmarkStart w:id="105" w:name="_Toc460416355"/>
      <w:bookmarkStart w:id="106" w:name="_Toc460416660"/>
      <w:bookmarkStart w:id="107" w:name="_Toc460857918"/>
      <w:r>
        <w:rPr>
          <w:rFonts w:hint="eastAsia" w:ascii="宋体" w:hAnsi="宋体" w:cs="宋体"/>
          <w:b/>
          <w:bCs/>
          <w:szCs w:val="21"/>
        </w:rPr>
        <w:t>投标文件的签署和份数</w:t>
      </w:r>
      <w:bookmarkEnd w:id="104"/>
      <w:bookmarkEnd w:id="105"/>
      <w:bookmarkEnd w:id="106"/>
      <w:bookmarkEnd w:id="107"/>
    </w:p>
    <w:p>
      <w:pPr>
        <w:snapToGrid w:val="0"/>
        <w:spacing w:line="360" w:lineRule="auto"/>
        <w:ind w:firstLine="420" w:firstLineChars="200"/>
        <w:rPr>
          <w:rFonts w:ascii="宋体" w:hAnsi="宋体" w:cs="宋体"/>
          <w:szCs w:val="21"/>
        </w:rPr>
      </w:pPr>
      <w:r>
        <w:rPr>
          <w:rFonts w:hint="eastAsia" w:ascii="宋体" w:hAnsi="宋体" w:cs="宋体"/>
          <w:szCs w:val="21"/>
        </w:rPr>
        <w:t>1.投标人应按本招标文件规定的格式和顺序编制、装订投标文件并标注页码，投标文件内容不完整、编排混乱导致投标文件被误读、漏读或者查找不到相关内容的，是投标人的责任。</w:t>
      </w:r>
    </w:p>
    <w:p>
      <w:pPr>
        <w:tabs>
          <w:tab w:val="left" w:pos="518"/>
        </w:tabs>
        <w:adjustRightInd w:val="0"/>
        <w:snapToGrid w:val="0"/>
        <w:spacing w:line="360" w:lineRule="auto"/>
        <w:ind w:firstLine="420" w:firstLineChars="200"/>
        <w:rPr>
          <w:rFonts w:ascii="宋体" w:hAnsi="宋体" w:cs="宋体"/>
          <w:bCs/>
          <w:szCs w:val="21"/>
        </w:rPr>
      </w:pPr>
      <w:bookmarkStart w:id="108" w:name="_Toc460857919"/>
      <w:r>
        <w:rPr>
          <w:rFonts w:hint="eastAsia" w:ascii="宋体" w:hAnsi="宋体" w:cs="宋体"/>
          <w:bCs/>
          <w:szCs w:val="21"/>
        </w:rPr>
        <w:t>2.本项目实行网上投标，供应商应准备以下投标文件：</w:t>
      </w:r>
    </w:p>
    <w:p>
      <w:pPr>
        <w:tabs>
          <w:tab w:val="left" w:pos="518"/>
        </w:tabs>
        <w:adjustRightInd w:val="0"/>
        <w:snapToGrid w:val="0"/>
        <w:spacing w:line="360" w:lineRule="auto"/>
        <w:ind w:firstLine="420" w:firstLineChars="200"/>
        <w:rPr>
          <w:rFonts w:ascii="宋体" w:hAnsi="宋体" w:cs="宋体"/>
          <w:bCs/>
          <w:szCs w:val="21"/>
        </w:rPr>
      </w:pPr>
      <w:r>
        <w:rPr>
          <w:rFonts w:hint="eastAsia" w:ascii="宋体" w:hAnsi="宋体" w:cs="宋体"/>
          <w:bCs/>
          <w:szCs w:val="21"/>
        </w:rPr>
        <w:t>（1）上传到政府采购云平台的电子投标文件（含资格证明文件、商务技术文件、报价文件）1份。</w:t>
      </w:r>
    </w:p>
    <w:p>
      <w:pPr>
        <w:tabs>
          <w:tab w:val="left" w:pos="518"/>
        </w:tabs>
        <w:adjustRightInd w:val="0"/>
        <w:snapToGrid w:val="0"/>
        <w:spacing w:line="360" w:lineRule="auto"/>
        <w:ind w:firstLine="420" w:firstLineChars="200"/>
        <w:rPr>
          <w:rFonts w:ascii="宋体" w:hAnsi="宋体" w:cs="宋体"/>
          <w:bCs/>
          <w:szCs w:val="21"/>
        </w:rPr>
      </w:pPr>
      <w:r>
        <w:rPr>
          <w:rFonts w:hint="eastAsia" w:ascii="宋体" w:hAnsi="宋体" w:cs="宋体"/>
          <w:bCs/>
          <w:szCs w:val="21"/>
        </w:rPr>
        <w:t>（2）以U盘存储的电子备份投标文件（含资格证明文件、商务技术文件、报价文件）1份。</w:t>
      </w:r>
    </w:p>
    <w:p>
      <w:pPr>
        <w:tabs>
          <w:tab w:val="left" w:pos="518"/>
        </w:tabs>
        <w:adjustRightInd w:val="0"/>
        <w:snapToGrid w:val="0"/>
        <w:spacing w:line="360" w:lineRule="auto"/>
        <w:ind w:firstLine="420" w:firstLineChars="200"/>
        <w:rPr>
          <w:rFonts w:ascii="宋体" w:hAnsi="宋体" w:cs="宋体"/>
          <w:bCs/>
          <w:szCs w:val="21"/>
        </w:rPr>
      </w:pPr>
      <w:r>
        <w:rPr>
          <w:rFonts w:hint="eastAsia" w:ascii="宋体" w:hAnsi="宋体" w:cs="宋体"/>
          <w:bCs/>
          <w:szCs w:val="21"/>
        </w:rPr>
        <w:t>3.电子投标文件：供应商应根据政府采购云平台的要求及本采购文件规定的格式和顺序编制电子投标文件并进行关联定位。</w:t>
      </w:r>
    </w:p>
    <w:p>
      <w:pPr>
        <w:pStyle w:val="3"/>
        <w:spacing w:before="0" w:after="0" w:line="360" w:lineRule="auto"/>
        <w:ind w:firstLine="316" w:firstLineChars="150"/>
        <w:jc w:val="left"/>
        <w:rPr>
          <w:rFonts w:ascii="宋体" w:hAnsi="宋体" w:cs="宋体"/>
          <w:sz w:val="21"/>
          <w:szCs w:val="21"/>
        </w:rPr>
      </w:pPr>
      <w:bookmarkStart w:id="109" w:name="_Toc20965"/>
      <w:r>
        <w:rPr>
          <w:rFonts w:hint="eastAsia" w:ascii="宋体" w:hAnsi="宋体" w:cs="宋体"/>
          <w:sz w:val="21"/>
          <w:szCs w:val="21"/>
        </w:rPr>
        <w:t>（六）投标文件的包装、递交、修改和撤回</w:t>
      </w:r>
      <w:bookmarkEnd w:id="108"/>
      <w:bookmarkEnd w:id="109"/>
    </w:p>
    <w:p>
      <w:pPr>
        <w:snapToGrid w:val="0"/>
        <w:spacing w:line="360" w:lineRule="auto"/>
        <w:ind w:firstLine="420"/>
        <w:jc w:val="left"/>
        <w:rPr>
          <w:rFonts w:ascii="宋体" w:hAnsi="宋体" w:cs="宋体"/>
          <w:szCs w:val="21"/>
        </w:rPr>
      </w:pPr>
      <w:bookmarkStart w:id="110" w:name="_Toc460416356"/>
      <w:bookmarkStart w:id="111" w:name="_Toc460416661"/>
      <w:bookmarkStart w:id="112" w:name="_Toc460857920"/>
      <w:r>
        <w:rPr>
          <w:rFonts w:hint="eastAsia" w:ascii="宋体" w:hAnsi="宋体" w:cs="宋体"/>
          <w:szCs w:val="21"/>
        </w:rPr>
        <w:t>1.以U盘存储的电子备份投标文件用封袋密封后递交。</w:t>
      </w:r>
      <w:r>
        <w:rPr>
          <w:rFonts w:ascii="宋体" w:hAnsi="宋体" w:cs="宋体"/>
          <w:szCs w:val="21"/>
        </w:rPr>
        <w:t>“电子备份投标文件”应当密封包装，并在包装上标注投标项目编号、项目名称、</w:t>
      </w:r>
      <w:r>
        <w:rPr>
          <w:rFonts w:hint="eastAsia" w:ascii="宋体" w:hAnsi="宋体" w:cs="宋体"/>
          <w:szCs w:val="21"/>
        </w:rPr>
        <w:t>标段号、投标人</w:t>
      </w:r>
      <w:r>
        <w:rPr>
          <w:rFonts w:ascii="宋体" w:hAnsi="宋体" w:cs="宋体"/>
          <w:szCs w:val="21"/>
        </w:rPr>
        <w:t>名称等并加盖公章</w:t>
      </w:r>
      <w:r>
        <w:rPr>
          <w:rFonts w:hint="eastAsia" w:ascii="宋体" w:hAnsi="宋体" w:cs="宋体"/>
          <w:szCs w:val="21"/>
        </w:rPr>
        <w:t>。</w:t>
      </w:r>
    </w:p>
    <w:p>
      <w:pPr>
        <w:snapToGrid w:val="0"/>
        <w:spacing w:line="360" w:lineRule="auto"/>
        <w:ind w:firstLine="420"/>
        <w:jc w:val="left"/>
        <w:rPr>
          <w:rFonts w:ascii="宋体" w:hAnsi="宋体" w:cs="宋体"/>
          <w:szCs w:val="21"/>
        </w:rPr>
      </w:pPr>
      <w:r>
        <w:rPr>
          <w:rFonts w:hint="eastAsia" w:ascii="宋体" w:hAnsi="宋体" w:cs="宋体"/>
          <w:szCs w:val="21"/>
        </w:rPr>
        <w:t>2.未按规定密封或标记的电子备份投标文件将被拒绝，由此造成电子备份投标文件被误投或提前拆封的风险由投标人承担。</w:t>
      </w:r>
    </w:p>
    <w:p>
      <w:pPr>
        <w:snapToGrid w:val="0"/>
        <w:spacing w:line="360" w:lineRule="auto"/>
        <w:ind w:firstLine="420"/>
        <w:jc w:val="left"/>
        <w:rPr>
          <w:rFonts w:ascii="宋体" w:hAnsi="宋体" w:cs="宋体"/>
          <w:szCs w:val="21"/>
        </w:rPr>
      </w:pPr>
      <w:r>
        <w:rPr>
          <w:rFonts w:hint="eastAsia" w:ascii="宋体" w:hAnsi="宋体" w:cs="宋体"/>
          <w:szCs w:val="21"/>
        </w:rPr>
        <w:t>3. 投标人在投标截止时间之前，可以对已提交的电子备份投标文件进行修改或撤回，并书面通知招标采购单位；投标截止时间后，投标人不得撤回、修改投标文件。修改后重新递交的电子备份投标文件应当按本采购文件的要求签署、盖章和密封。</w:t>
      </w:r>
    </w:p>
    <w:p>
      <w:pPr>
        <w:snapToGrid w:val="0"/>
        <w:spacing w:line="360" w:lineRule="auto"/>
        <w:ind w:firstLine="420"/>
        <w:jc w:val="left"/>
        <w:rPr>
          <w:rFonts w:ascii="宋体" w:hAnsi="宋体" w:cs="宋体"/>
          <w:szCs w:val="21"/>
        </w:rPr>
      </w:pPr>
      <w:r>
        <w:rPr>
          <w:rFonts w:hint="eastAsia" w:ascii="宋体" w:hAnsi="宋体" w:cs="宋体"/>
          <w:szCs w:val="21"/>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pPr>
        <w:pStyle w:val="3"/>
        <w:spacing w:before="0" w:after="0" w:line="360" w:lineRule="auto"/>
        <w:ind w:firstLine="316" w:firstLineChars="150"/>
        <w:jc w:val="left"/>
        <w:rPr>
          <w:rFonts w:ascii="宋体" w:hAnsi="宋体" w:cs="宋体"/>
          <w:sz w:val="21"/>
          <w:szCs w:val="21"/>
        </w:rPr>
      </w:pPr>
      <w:bookmarkStart w:id="113" w:name="_Toc5764"/>
      <w:r>
        <w:rPr>
          <w:rFonts w:hint="eastAsia" w:ascii="宋体" w:hAnsi="宋体" w:cs="宋体"/>
          <w:sz w:val="21"/>
          <w:szCs w:val="21"/>
        </w:rPr>
        <w:t>（七）投标无效的情形</w:t>
      </w:r>
      <w:bookmarkEnd w:id="110"/>
      <w:bookmarkEnd w:id="111"/>
      <w:bookmarkEnd w:id="112"/>
      <w:bookmarkEnd w:id="113"/>
    </w:p>
    <w:p>
      <w:pPr>
        <w:snapToGrid w:val="0"/>
        <w:spacing w:line="360" w:lineRule="auto"/>
        <w:ind w:firstLine="420" w:firstLineChars="200"/>
        <w:rPr>
          <w:rFonts w:ascii="宋体" w:hAnsi="宋体" w:cs="宋体"/>
          <w:bCs/>
          <w:szCs w:val="21"/>
        </w:rPr>
      </w:pPr>
      <w:r>
        <w:rPr>
          <w:rFonts w:hint="eastAsia" w:ascii="宋体" w:hAnsi="宋体" w:cs="宋体"/>
          <w:bCs/>
          <w:szCs w:val="21"/>
        </w:rPr>
        <w:t>实质上没有响应招标文件要求的投标将被视为无效投标。投标人不得通过修正或撤消不合要求的偏离或保留从而使其投标成为实质上响应的投标。投标无效情形详见第四章《评标办法及评分标准》。</w:t>
      </w:r>
    </w:p>
    <w:p>
      <w:pPr>
        <w:pStyle w:val="3"/>
        <w:spacing w:before="0" w:after="0" w:line="360" w:lineRule="auto"/>
        <w:ind w:firstLine="316" w:firstLineChars="150"/>
        <w:jc w:val="left"/>
        <w:rPr>
          <w:rFonts w:ascii="宋体" w:hAnsi="宋体" w:cs="宋体"/>
          <w:sz w:val="21"/>
          <w:szCs w:val="21"/>
        </w:rPr>
      </w:pPr>
      <w:bookmarkStart w:id="114" w:name="_Toc460416662"/>
      <w:bookmarkStart w:id="115" w:name="_Toc460416357"/>
      <w:bookmarkStart w:id="116" w:name="_Toc460857921"/>
      <w:bookmarkStart w:id="117" w:name="_Toc11654"/>
      <w:r>
        <w:rPr>
          <w:rFonts w:hint="eastAsia" w:ascii="宋体" w:hAnsi="宋体" w:cs="宋体"/>
          <w:sz w:val="21"/>
          <w:szCs w:val="21"/>
        </w:rPr>
        <w:t>四、开标</w:t>
      </w:r>
      <w:bookmarkEnd w:id="114"/>
      <w:bookmarkEnd w:id="115"/>
      <w:bookmarkEnd w:id="116"/>
      <w:bookmarkEnd w:id="117"/>
    </w:p>
    <w:p>
      <w:pPr>
        <w:tabs>
          <w:tab w:val="left" w:pos="518"/>
        </w:tabs>
        <w:spacing w:line="360" w:lineRule="auto"/>
        <w:ind w:firstLine="420" w:firstLineChars="200"/>
        <w:rPr>
          <w:rFonts w:ascii="宋体" w:hAnsi="宋体" w:cs="宋体"/>
          <w:bCs/>
          <w:szCs w:val="21"/>
        </w:rPr>
      </w:pPr>
      <w:bookmarkStart w:id="118" w:name="_Toc460857922"/>
      <w:r>
        <w:rPr>
          <w:rFonts w:hint="eastAsia" w:ascii="宋体" w:hAnsi="宋体" w:cs="宋体"/>
          <w:bCs/>
          <w:szCs w:val="21"/>
        </w:rPr>
        <w:t>1、电子招投标开标程序：</w:t>
      </w:r>
    </w:p>
    <w:p>
      <w:pPr>
        <w:numPr>
          <w:ilvl w:val="0"/>
          <w:numId w:val="2"/>
        </w:numPr>
        <w:tabs>
          <w:tab w:val="left" w:pos="518"/>
        </w:tabs>
        <w:spacing w:line="360" w:lineRule="auto"/>
        <w:ind w:firstLine="420" w:firstLineChars="200"/>
        <w:rPr>
          <w:rFonts w:ascii="宋体" w:hAnsi="宋体" w:cs="宋体"/>
          <w:szCs w:val="21"/>
        </w:rPr>
      </w:pPr>
      <w:r>
        <w:rPr>
          <w:rFonts w:hint="eastAsia" w:ascii="宋体" w:hAnsi="宋体" w:cs="宋体"/>
          <w:szCs w:val="21"/>
        </w:rPr>
        <w:t>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pPr>
        <w:numPr>
          <w:ilvl w:val="0"/>
          <w:numId w:val="2"/>
        </w:numPr>
        <w:tabs>
          <w:tab w:val="left" w:pos="518"/>
        </w:tabs>
        <w:spacing w:line="360" w:lineRule="auto"/>
        <w:ind w:firstLine="420" w:firstLineChars="200"/>
        <w:rPr>
          <w:rFonts w:ascii="宋体" w:hAnsi="宋体" w:cs="宋体"/>
          <w:szCs w:val="21"/>
        </w:rPr>
      </w:pPr>
      <w:r>
        <w:rPr>
          <w:rFonts w:hint="eastAsia" w:ascii="宋体" w:hAnsi="宋体" w:cs="宋体"/>
          <w:szCs w:val="21"/>
        </w:rPr>
        <w:t>在政府采购云平台开启已解密供应商的</w:t>
      </w:r>
      <w:r>
        <w:rPr>
          <w:rFonts w:ascii="宋体" w:hAnsi="宋体" w:cs="宋体"/>
          <w:szCs w:val="21"/>
        </w:rPr>
        <w:t>“</w:t>
      </w:r>
      <w:r>
        <w:rPr>
          <w:rFonts w:hint="eastAsia" w:ascii="宋体" w:hAnsi="宋体" w:cs="宋体"/>
          <w:szCs w:val="21"/>
        </w:rPr>
        <w:t>资格证明文件、商务技术文件、报价文件</w:t>
      </w:r>
      <w:r>
        <w:rPr>
          <w:rFonts w:ascii="宋体" w:hAnsi="宋体" w:cs="宋体"/>
          <w:szCs w:val="21"/>
        </w:rPr>
        <w:t>”</w:t>
      </w:r>
      <w:r>
        <w:rPr>
          <w:rFonts w:hint="eastAsia" w:ascii="宋体" w:hAnsi="宋体" w:cs="宋体"/>
          <w:szCs w:val="21"/>
        </w:rPr>
        <w:t>，并做开标记录；</w:t>
      </w:r>
    </w:p>
    <w:p>
      <w:pPr>
        <w:tabs>
          <w:tab w:val="left" w:pos="518"/>
        </w:tabs>
        <w:spacing w:line="360" w:lineRule="auto"/>
        <w:ind w:firstLine="420" w:firstLineChars="200"/>
        <w:rPr>
          <w:rFonts w:ascii="宋体" w:hAnsi="宋体" w:cs="宋体"/>
          <w:szCs w:val="21"/>
        </w:rPr>
      </w:pPr>
      <w:r>
        <w:rPr>
          <w:rFonts w:hint="eastAsia" w:ascii="宋体" w:hAnsi="宋体" w:cs="宋体"/>
          <w:szCs w:val="21"/>
        </w:rPr>
        <w:t>（3）在政府采购云平台宣告评审无效供应商名单及理由；</w:t>
      </w:r>
    </w:p>
    <w:p>
      <w:pPr>
        <w:tabs>
          <w:tab w:val="left" w:pos="518"/>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）在政府采购云平台公布评审结果。</w:t>
      </w:r>
    </w:p>
    <w:p>
      <w:pPr>
        <w:tabs>
          <w:tab w:val="left" w:pos="518"/>
        </w:tabs>
        <w:spacing w:line="360" w:lineRule="auto"/>
        <w:ind w:firstLine="420" w:firstLineChars="200"/>
        <w:rPr>
          <w:rFonts w:ascii="宋体" w:hAnsi="宋体" w:cs="宋体"/>
          <w:szCs w:val="21"/>
        </w:rPr>
      </w:pPr>
      <w:r>
        <w:rPr>
          <w:rFonts w:hint="eastAsia" w:ascii="宋体" w:hAnsi="宋体" w:cs="宋体"/>
          <w:szCs w:val="21"/>
        </w:rPr>
        <w:t>（5）开标会议结束。</w:t>
      </w:r>
    </w:p>
    <w:p>
      <w:pPr>
        <w:tabs>
          <w:tab w:val="left" w:pos="518"/>
        </w:tabs>
        <w:spacing w:line="360" w:lineRule="auto"/>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pPr>
        <w:tabs>
          <w:tab w:val="left" w:pos="518"/>
        </w:tabs>
        <w:spacing w:line="360" w:lineRule="auto"/>
        <w:ind w:firstLine="420" w:firstLineChars="200"/>
        <w:rPr>
          <w:rFonts w:ascii="宋体" w:hAnsi="宋体" w:cs="宋体"/>
          <w:szCs w:val="21"/>
        </w:rPr>
      </w:pPr>
      <w:r>
        <w:rPr>
          <w:rFonts w:hint="eastAsia" w:ascii="宋体" w:hAnsi="宋体" w:cs="宋体"/>
          <w:szCs w:val="21"/>
        </w:rPr>
        <w:t>本项目原则上采用政采云</w:t>
      </w:r>
      <w:r>
        <w:rPr>
          <w:rFonts w:hint="eastAsia" w:ascii="宋体" w:hAnsi="宋体" w:cs="宋体"/>
          <w:bCs/>
          <w:szCs w:val="21"/>
        </w:rPr>
        <w:t>电子招投标开标程序</w:t>
      </w:r>
      <w:r>
        <w:rPr>
          <w:rFonts w:hint="eastAsia" w:ascii="宋体" w:hAnsi="宋体" w:cs="宋体"/>
          <w:szCs w:val="21"/>
        </w:rPr>
        <w:t>，但有以下情形之一的，按以下情况处理：</w:t>
      </w:r>
    </w:p>
    <w:p>
      <w:pPr>
        <w:tabs>
          <w:tab w:val="left" w:pos="518"/>
        </w:tabs>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w:t>
      </w:r>
      <w:r>
        <w:rPr>
          <w:rFonts w:ascii="宋体" w:hAnsi="宋体" w:cs="宋体"/>
          <w:szCs w:val="21"/>
        </w:rPr>
        <w:t>“电子加密投标文件”</w:t>
      </w:r>
      <w:r>
        <w:rPr>
          <w:rFonts w:hint="eastAsia" w:ascii="宋体" w:hAnsi="宋体" w:cs="宋体"/>
          <w:szCs w:val="21"/>
        </w:rPr>
        <w:t>无法解密或解密失败，代理机构将开启该供应商递交的以U盘存储的电子备份投标文件，上传至政采云平台项目采购模块，上传成功后，以“电子备份投标文件”参与评标，“电子加密投标文件”自动失效；在“政府采购云平台”正常运行情况下，“电子备份投标文件”无法上传至“政府采购云平台”的，视为投标文件撤回。如投标供应商未按规定递交“电子备份投标文件”的，视为投标文件撤回。</w:t>
      </w:r>
    </w:p>
    <w:p>
      <w:pPr>
        <w:tabs>
          <w:tab w:val="left" w:pos="518"/>
        </w:tabs>
        <w:spacing w:line="360" w:lineRule="auto"/>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pPr>
        <w:tabs>
          <w:tab w:val="left" w:pos="518"/>
        </w:tabs>
        <w:spacing w:line="360" w:lineRule="auto"/>
        <w:ind w:firstLine="420" w:firstLineChars="200"/>
        <w:rPr>
          <w:rFonts w:ascii="宋体" w:hAnsi="宋体" w:cs="宋体"/>
          <w:szCs w:val="21"/>
        </w:rPr>
      </w:pPr>
      <w:r>
        <w:rPr>
          <w:rFonts w:hint="eastAsia" w:ascii="宋体" w:hAnsi="宋体" w:cs="宋体"/>
          <w:szCs w:val="21"/>
        </w:rPr>
        <w:t xml:space="preserve">A.电子交易平台发生故障而无法登录访问的； </w:t>
      </w:r>
    </w:p>
    <w:p>
      <w:pPr>
        <w:tabs>
          <w:tab w:val="left" w:pos="518"/>
        </w:tabs>
        <w:spacing w:line="360" w:lineRule="auto"/>
        <w:ind w:firstLine="420" w:firstLineChars="200"/>
        <w:rPr>
          <w:rFonts w:ascii="宋体" w:hAnsi="宋体" w:cs="宋体"/>
          <w:szCs w:val="21"/>
        </w:rPr>
      </w:pPr>
      <w:r>
        <w:rPr>
          <w:rFonts w:hint="eastAsia" w:ascii="宋体" w:hAnsi="宋体" w:cs="宋体"/>
          <w:szCs w:val="21"/>
        </w:rPr>
        <w:t>B.电子交易平台应用或数据库出现错误，不能进行正常操作的；</w:t>
      </w:r>
    </w:p>
    <w:p>
      <w:pPr>
        <w:tabs>
          <w:tab w:val="left" w:pos="518"/>
        </w:tabs>
        <w:spacing w:line="360" w:lineRule="auto"/>
        <w:ind w:firstLine="420" w:firstLineChars="200"/>
        <w:rPr>
          <w:rFonts w:ascii="宋体" w:hAnsi="宋体" w:cs="宋体"/>
          <w:szCs w:val="21"/>
        </w:rPr>
      </w:pPr>
      <w:r>
        <w:rPr>
          <w:rFonts w:hint="eastAsia" w:ascii="宋体" w:hAnsi="宋体" w:cs="宋体"/>
          <w:szCs w:val="21"/>
        </w:rPr>
        <w:t>C.电子交易平台发现严重安全漏洞，有潜在泄密危险的；</w:t>
      </w:r>
    </w:p>
    <w:p>
      <w:pPr>
        <w:tabs>
          <w:tab w:val="left" w:pos="518"/>
        </w:tabs>
        <w:spacing w:line="360" w:lineRule="auto"/>
        <w:ind w:firstLine="420" w:firstLineChars="200"/>
        <w:rPr>
          <w:rFonts w:ascii="宋体" w:hAnsi="宋体" w:cs="宋体"/>
          <w:szCs w:val="21"/>
        </w:rPr>
      </w:pPr>
      <w:r>
        <w:rPr>
          <w:rFonts w:hint="eastAsia" w:ascii="宋体" w:hAnsi="宋体" w:cs="宋体"/>
          <w:szCs w:val="21"/>
        </w:rPr>
        <w:t xml:space="preserve">D.病毒发作导致不能进行正常操作的； </w:t>
      </w:r>
    </w:p>
    <w:p>
      <w:pPr>
        <w:tabs>
          <w:tab w:val="left" w:pos="518"/>
        </w:tabs>
        <w:spacing w:line="360" w:lineRule="auto"/>
        <w:ind w:firstLine="420" w:firstLineChars="200"/>
        <w:rPr>
          <w:rFonts w:ascii="宋体" w:hAnsi="宋体" w:cs="宋体"/>
          <w:szCs w:val="21"/>
        </w:rPr>
      </w:pPr>
      <w:r>
        <w:rPr>
          <w:rFonts w:hint="eastAsia" w:ascii="宋体" w:hAnsi="宋体" w:cs="宋体"/>
          <w:szCs w:val="21"/>
        </w:rPr>
        <w:t>E.其他无法保证电子交易的公平、公正和安全的情况。</w:t>
      </w:r>
    </w:p>
    <w:p>
      <w:pPr>
        <w:tabs>
          <w:tab w:val="left" w:pos="518"/>
        </w:tabs>
        <w:spacing w:line="360" w:lineRule="auto"/>
        <w:ind w:firstLine="420" w:firstLineChars="200"/>
        <w:rPr>
          <w:rFonts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出现前款规定情形，不影响采购公平、公正性的，采购人（或代理机构）可以待上述情形消除后继续组织电子交易活动，也可以决定某些环节以纸质形式进行。</w:t>
      </w:r>
    </w:p>
    <w:p>
      <w:pPr>
        <w:tabs>
          <w:tab w:val="left" w:pos="518"/>
        </w:tabs>
        <w:spacing w:line="360" w:lineRule="auto"/>
        <w:ind w:firstLine="420" w:firstLineChars="200"/>
        <w:rPr>
          <w:rFonts w:ascii="宋体" w:hAnsi="宋体" w:cs="宋体"/>
          <w:szCs w:val="21"/>
        </w:rPr>
      </w:pPr>
      <w:r>
        <w:rPr>
          <w:rFonts w:hint="eastAsia" w:ascii="宋体" w:hAnsi="宋体" w:cs="宋体"/>
          <w:szCs w:val="21"/>
        </w:rPr>
        <w:t>（3）未开启的备份投标文件现场予以退还。</w:t>
      </w:r>
    </w:p>
    <w:bookmarkEnd w:id="118"/>
    <w:p>
      <w:pPr>
        <w:spacing w:line="360" w:lineRule="auto"/>
        <w:ind w:firstLine="422" w:firstLineChars="200"/>
        <w:outlineLvl w:val="0"/>
        <w:rPr>
          <w:rFonts w:ascii="宋体" w:hAnsi="宋体" w:cs="宋体"/>
          <w:b/>
          <w:bCs/>
          <w:szCs w:val="21"/>
        </w:rPr>
      </w:pPr>
      <w:bookmarkStart w:id="119" w:name="_Toc18832"/>
      <w:bookmarkStart w:id="120" w:name="_Toc460416358"/>
      <w:bookmarkStart w:id="121" w:name="_Toc460416663"/>
      <w:bookmarkStart w:id="122" w:name="_Toc460857924"/>
      <w:r>
        <w:rPr>
          <w:rFonts w:hint="eastAsia" w:ascii="宋体" w:hAnsi="宋体" w:cs="宋体"/>
          <w:b/>
          <w:bCs/>
          <w:szCs w:val="21"/>
        </w:rPr>
        <w:t>五、评标</w:t>
      </w:r>
      <w:bookmarkEnd w:id="119"/>
      <w:bookmarkEnd w:id="120"/>
      <w:bookmarkEnd w:id="121"/>
      <w:bookmarkEnd w:id="122"/>
    </w:p>
    <w:p>
      <w:pPr>
        <w:spacing w:line="360" w:lineRule="auto"/>
        <w:ind w:firstLine="420" w:firstLineChars="200"/>
        <w:rPr>
          <w:rFonts w:ascii="宋体" w:hAnsi="宋体" w:cs="宋体"/>
          <w:szCs w:val="21"/>
        </w:rPr>
      </w:pPr>
      <w:bookmarkStart w:id="123" w:name="_Toc460857925"/>
      <w:r>
        <w:rPr>
          <w:rFonts w:hint="eastAsia" w:ascii="宋体" w:hAnsi="宋体" w:cs="宋体"/>
          <w:szCs w:val="21"/>
        </w:rPr>
        <w:t>（一）组建评标委员会</w:t>
      </w:r>
      <w:bookmarkEnd w:id="123"/>
    </w:p>
    <w:p>
      <w:pPr>
        <w:pStyle w:val="19"/>
        <w:spacing w:beforeLines="0" w:afterLines="0" w:line="360" w:lineRule="auto"/>
        <w:ind w:firstLine="420" w:firstLineChars="200"/>
        <w:rPr>
          <w:rFonts w:hAnsi="宋体" w:cs="宋体"/>
          <w:sz w:val="21"/>
          <w:szCs w:val="21"/>
        </w:rPr>
      </w:pPr>
      <w:r>
        <w:rPr>
          <w:rFonts w:hint="eastAsia" w:hAnsi="宋体" w:cs="宋体"/>
          <w:sz w:val="21"/>
          <w:szCs w:val="21"/>
        </w:rPr>
        <w:t>本项目评标委员会由政府采购评审专家和采购人代表组成。</w:t>
      </w:r>
    </w:p>
    <w:p>
      <w:pPr>
        <w:spacing w:line="360" w:lineRule="auto"/>
        <w:ind w:firstLine="420" w:firstLineChars="200"/>
        <w:rPr>
          <w:rFonts w:ascii="宋体" w:hAnsi="宋体" w:cs="宋体"/>
          <w:szCs w:val="21"/>
        </w:rPr>
      </w:pPr>
      <w:bookmarkStart w:id="124" w:name="_Toc460857926"/>
      <w:r>
        <w:rPr>
          <w:rFonts w:hint="eastAsia" w:ascii="宋体" w:hAnsi="宋体" w:cs="宋体"/>
          <w:szCs w:val="21"/>
        </w:rPr>
        <w:t>（二）评标的方式</w:t>
      </w:r>
      <w:bookmarkEnd w:id="124"/>
    </w:p>
    <w:p>
      <w:pPr>
        <w:pStyle w:val="19"/>
        <w:spacing w:beforeLines="0" w:afterLines="0" w:line="360" w:lineRule="auto"/>
        <w:ind w:firstLine="420" w:firstLineChars="200"/>
        <w:rPr>
          <w:rFonts w:hAnsi="宋体" w:cs="宋体"/>
          <w:sz w:val="21"/>
          <w:szCs w:val="21"/>
        </w:rPr>
      </w:pPr>
      <w:r>
        <w:rPr>
          <w:rFonts w:hint="eastAsia" w:hAnsi="宋体" w:cs="宋体"/>
          <w:sz w:val="21"/>
          <w:szCs w:val="21"/>
        </w:rPr>
        <w:t>本项目采用不公开方式评标，评标的依据为招标文件和投标文件。</w:t>
      </w:r>
    </w:p>
    <w:p>
      <w:pPr>
        <w:spacing w:line="360" w:lineRule="auto"/>
        <w:ind w:firstLine="420" w:firstLineChars="200"/>
        <w:rPr>
          <w:rFonts w:ascii="宋体" w:hAnsi="宋体" w:cs="宋体"/>
          <w:szCs w:val="21"/>
        </w:rPr>
      </w:pPr>
      <w:bookmarkStart w:id="125" w:name="_Toc460857927"/>
      <w:r>
        <w:rPr>
          <w:rFonts w:hint="eastAsia" w:ascii="宋体" w:hAnsi="宋体" w:cs="宋体"/>
          <w:szCs w:val="21"/>
        </w:rPr>
        <w:t>（三）评标程序</w:t>
      </w:r>
      <w:bookmarkEnd w:id="125"/>
    </w:p>
    <w:p>
      <w:pPr>
        <w:spacing w:line="360" w:lineRule="auto"/>
        <w:ind w:firstLine="422" w:firstLineChars="200"/>
        <w:rPr>
          <w:rFonts w:ascii="宋体" w:hAnsi="宋体" w:cs="宋体"/>
          <w:b/>
          <w:bCs/>
          <w:szCs w:val="21"/>
        </w:rPr>
      </w:pPr>
      <w:r>
        <w:rPr>
          <w:rFonts w:hint="eastAsia" w:ascii="宋体" w:hAnsi="宋体" w:cs="宋体"/>
          <w:b/>
          <w:bCs/>
          <w:szCs w:val="21"/>
        </w:rPr>
        <w:t>1.资格审查</w:t>
      </w:r>
    </w:p>
    <w:p>
      <w:pPr>
        <w:spacing w:line="360" w:lineRule="auto"/>
        <w:ind w:firstLine="420" w:firstLineChars="200"/>
        <w:rPr>
          <w:rFonts w:ascii="宋体" w:hAnsi="宋体" w:cs="宋体"/>
          <w:b/>
          <w:szCs w:val="21"/>
        </w:rPr>
      </w:pPr>
      <w:r>
        <w:rPr>
          <w:rFonts w:hint="eastAsia" w:ascii="宋体" w:hAnsi="宋体" w:cs="宋体"/>
          <w:szCs w:val="21"/>
        </w:rPr>
        <w:t>采购人代表和代理机构工作人员对投标人的资格进行审查。</w:t>
      </w:r>
    </w:p>
    <w:p>
      <w:pPr>
        <w:spacing w:line="360" w:lineRule="auto"/>
        <w:ind w:firstLine="422" w:firstLineChars="200"/>
        <w:rPr>
          <w:rFonts w:ascii="宋体" w:hAnsi="宋体" w:cs="宋体"/>
          <w:b/>
          <w:bCs/>
          <w:szCs w:val="21"/>
        </w:rPr>
      </w:pPr>
      <w:r>
        <w:rPr>
          <w:rFonts w:hint="eastAsia" w:ascii="宋体" w:hAnsi="宋体" w:cs="宋体"/>
          <w:b/>
          <w:bCs/>
          <w:szCs w:val="21"/>
        </w:rPr>
        <w:t>2.符合性审查与比较</w:t>
      </w:r>
    </w:p>
    <w:p>
      <w:pPr>
        <w:spacing w:line="360" w:lineRule="auto"/>
        <w:ind w:firstLine="420" w:firstLineChars="200"/>
        <w:rPr>
          <w:rFonts w:ascii="宋体" w:hAnsi="宋体" w:cs="宋体"/>
          <w:szCs w:val="21"/>
        </w:rPr>
      </w:pPr>
      <w:r>
        <w:rPr>
          <w:rFonts w:hint="eastAsia" w:ascii="宋体" w:hAnsi="宋体" w:cs="宋体"/>
          <w:szCs w:val="21"/>
        </w:rPr>
        <w:t>（1）评标委员会审查投标文件的实质性内容是否符合招标文件的实质性要求。</w:t>
      </w:r>
    </w:p>
    <w:p>
      <w:pPr>
        <w:spacing w:line="360" w:lineRule="auto"/>
        <w:ind w:firstLine="420" w:firstLineChars="200"/>
        <w:rPr>
          <w:rFonts w:ascii="宋体" w:hAnsi="宋体" w:cs="宋体"/>
          <w:szCs w:val="21"/>
        </w:rPr>
      </w:pPr>
      <w:r>
        <w:rPr>
          <w:rFonts w:hint="eastAsia" w:ascii="宋体" w:hAnsi="宋体" w:cs="宋体"/>
          <w:szCs w:val="21"/>
        </w:rPr>
        <w:t>（2）评标委员会将根据投标人的投标文件进行审查、核对,如有疑问,将对投标人进行询标，投标人要向评标委员会澄清有关问题,并最终以书面形式进行答复。</w:t>
      </w:r>
    </w:p>
    <w:p>
      <w:pPr>
        <w:spacing w:line="360" w:lineRule="auto"/>
        <w:ind w:firstLine="420" w:firstLineChars="200"/>
        <w:rPr>
          <w:rFonts w:ascii="宋体" w:hAnsi="宋体" w:cs="宋体"/>
          <w:szCs w:val="21"/>
        </w:rPr>
      </w:pPr>
      <w:r>
        <w:rPr>
          <w:rFonts w:hint="eastAsia" w:ascii="宋体" w:hAnsi="宋体" w:cs="宋体"/>
          <w:szCs w:val="21"/>
        </w:rPr>
        <w:t>投标人代表未到场或者拒绝澄清或者澄清的内容改变了投标文件的实质性内容的，评标委员会有权对该投标文件作出不利于投标人的评判。</w:t>
      </w:r>
    </w:p>
    <w:p>
      <w:pPr>
        <w:spacing w:line="360" w:lineRule="auto"/>
        <w:ind w:firstLine="420" w:firstLineChars="200"/>
        <w:rPr>
          <w:rFonts w:ascii="宋体" w:hAnsi="宋体" w:cs="宋体"/>
          <w:szCs w:val="21"/>
        </w:rPr>
      </w:pPr>
      <w:r>
        <w:rPr>
          <w:rFonts w:hint="eastAsia" w:ascii="宋体" w:hAnsi="宋体" w:cs="宋体"/>
          <w:szCs w:val="21"/>
        </w:rPr>
        <w:t>（3）各投标人的技术商务得分为所有评委的有效评分的算术平均数，对明显畸高、畸低的评分（</w:t>
      </w:r>
      <w:r>
        <w:rPr>
          <w:rFonts w:hint="eastAsia"/>
          <w:bCs/>
          <w:szCs w:val="21"/>
        </w:rPr>
        <w:t>评审小组成员个人主观打分偏离所有评审小组成员主观打分平均值30%以上的</w:t>
      </w:r>
      <w:r>
        <w:rPr>
          <w:rFonts w:hint="eastAsia" w:ascii="宋体" w:hAnsi="宋体" w:cs="宋体"/>
          <w:szCs w:val="21"/>
        </w:rPr>
        <w:t>），评审小组组长应提醒相关评审人员进行复核或书面说明理由。</w:t>
      </w:r>
    </w:p>
    <w:p>
      <w:pPr>
        <w:spacing w:line="360" w:lineRule="auto"/>
        <w:ind w:firstLine="420" w:firstLineChars="200"/>
        <w:rPr>
          <w:rFonts w:ascii="宋体" w:hAnsi="宋体" w:cs="宋体"/>
          <w:szCs w:val="21"/>
        </w:rPr>
      </w:pPr>
      <w:r>
        <w:rPr>
          <w:rFonts w:hint="eastAsia" w:ascii="宋体" w:hAnsi="宋体" w:cs="宋体"/>
          <w:szCs w:val="21"/>
        </w:rPr>
        <w:t>（4）采购代理机构工作人员协助评标委员会根据本项目的评分标准计算各投标人的商务报价得分。</w:t>
      </w:r>
    </w:p>
    <w:p>
      <w:pPr>
        <w:spacing w:line="360" w:lineRule="auto"/>
        <w:ind w:firstLine="420" w:firstLineChars="200"/>
        <w:rPr>
          <w:rFonts w:ascii="宋体" w:hAnsi="宋体" w:cs="宋体"/>
          <w:szCs w:val="21"/>
        </w:rPr>
      </w:pPr>
      <w:r>
        <w:rPr>
          <w:rFonts w:hint="eastAsia" w:ascii="宋体" w:hAnsi="宋体" w:cs="宋体"/>
          <w:szCs w:val="21"/>
        </w:rPr>
        <w:t>（5）评标委员会完成评标后,评委对各部分得分汇总,计算出本项目最终得分。评标委员会按评标原则推荐中标候选人同时起草评标报告。</w:t>
      </w:r>
    </w:p>
    <w:p>
      <w:pPr>
        <w:spacing w:line="360" w:lineRule="auto"/>
        <w:ind w:firstLine="420" w:firstLineChars="200"/>
        <w:rPr>
          <w:rFonts w:ascii="宋体" w:hAnsi="宋体" w:cs="宋体"/>
          <w:szCs w:val="21"/>
        </w:rPr>
      </w:pPr>
      <w:bookmarkStart w:id="126" w:name="_Toc460857928"/>
      <w:r>
        <w:rPr>
          <w:rFonts w:hint="eastAsia" w:ascii="宋体" w:hAnsi="宋体" w:cs="宋体"/>
          <w:szCs w:val="21"/>
        </w:rPr>
        <w:t>（四）澄清问题的形式</w:t>
      </w:r>
      <w:bookmarkEnd w:id="126"/>
    </w:p>
    <w:p>
      <w:pPr>
        <w:widowControl/>
        <w:spacing w:line="360" w:lineRule="auto"/>
        <w:ind w:firstLine="420" w:firstLineChars="200"/>
        <w:rPr>
          <w:rFonts w:ascii="宋体" w:hAnsi="宋体" w:cs="宋体"/>
          <w:szCs w:val="21"/>
        </w:rPr>
      </w:pPr>
      <w:bookmarkStart w:id="127" w:name="_Toc460857930"/>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p>
    <w:p>
      <w:pPr>
        <w:widowControl/>
        <w:spacing w:line="360" w:lineRule="auto"/>
        <w:ind w:firstLine="420" w:firstLineChars="200"/>
        <w:rPr>
          <w:rFonts w:ascii="宋体" w:hAnsi="宋体" w:cs="宋体"/>
          <w:szCs w:val="21"/>
        </w:rPr>
      </w:pPr>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p>
    <w:p>
      <w:pPr>
        <w:spacing w:line="360" w:lineRule="auto"/>
        <w:ind w:firstLine="420" w:firstLineChars="200"/>
        <w:rPr>
          <w:rFonts w:ascii="宋体" w:hAnsi="宋体" w:cs="宋体"/>
          <w:szCs w:val="21"/>
        </w:rPr>
      </w:pPr>
      <w:r>
        <w:rPr>
          <w:rFonts w:hint="eastAsia" w:ascii="宋体" w:hAnsi="宋体" w:cs="宋体"/>
          <w:szCs w:val="21"/>
        </w:rPr>
        <w:t>（五）评标原则和评标办法</w:t>
      </w:r>
      <w:bookmarkEnd w:id="127"/>
    </w:p>
    <w:p>
      <w:pPr>
        <w:pStyle w:val="19"/>
        <w:spacing w:beforeLines="0" w:afterLines="0" w:line="360" w:lineRule="auto"/>
        <w:ind w:firstLine="420" w:firstLineChars="200"/>
        <w:rPr>
          <w:rFonts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9"/>
        <w:spacing w:beforeLines="0" w:afterLines="0" w:line="360" w:lineRule="auto"/>
        <w:ind w:firstLine="420" w:firstLineChars="200"/>
        <w:rPr>
          <w:rFonts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 评标办法及评分标准》。</w:t>
      </w:r>
    </w:p>
    <w:p>
      <w:pPr>
        <w:spacing w:line="360" w:lineRule="auto"/>
        <w:ind w:firstLine="422" w:firstLineChars="200"/>
        <w:outlineLvl w:val="0"/>
        <w:rPr>
          <w:rFonts w:ascii="宋体" w:hAnsi="宋体" w:cs="宋体"/>
          <w:b/>
          <w:bCs/>
          <w:szCs w:val="21"/>
        </w:rPr>
      </w:pPr>
      <w:bookmarkStart w:id="128" w:name="_Toc460857931"/>
      <w:bookmarkStart w:id="129" w:name="_Toc25394"/>
      <w:r>
        <w:rPr>
          <w:rFonts w:hint="eastAsia" w:ascii="宋体" w:hAnsi="宋体" w:cs="宋体"/>
          <w:b/>
          <w:bCs/>
          <w:szCs w:val="21"/>
        </w:rPr>
        <w:t>六、采购方式变更</w:t>
      </w:r>
      <w:bookmarkEnd w:id="128"/>
      <w:bookmarkEnd w:id="129"/>
    </w:p>
    <w:p>
      <w:pPr>
        <w:spacing w:line="360" w:lineRule="auto"/>
        <w:ind w:firstLine="420" w:firstLineChars="200"/>
        <w:rPr>
          <w:rFonts w:ascii="宋体" w:hAnsi="宋体" w:cs="宋体"/>
          <w:szCs w:val="21"/>
        </w:rPr>
      </w:pPr>
      <w:bookmarkStart w:id="130" w:name="_Toc460857932"/>
      <w:r>
        <w:rPr>
          <w:rFonts w:hint="eastAsia" w:ascii="宋体" w:hAnsi="宋体" w:cs="宋体"/>
          <w:szCs w:val="21"/>
        </w:rPr>
        <w:t>1.政府采购的国内公开招标，采购响应截至时间至或评审期间，出现参与采购响应或者对采购文件作出实质性响应的投标人不足3家的情况，招标人有权全部或部分终止招标。</w:t>
      </w:r>
    </w:p>
    <w:p>
      <w:pPr>
        <w:spacing w:line="360" w:lineRule="auto"/>
        <w:ind w:firstLine="422" w:firstLineChars="200"/>
        <w:outlineLvl w:val="0"/>
        <w:rPr>
          <w:rFonts w:ascii="宋体" w:hAnsi="宋体" w:cs="宋体"/>
          <w:b/>
          <w:bCs/>
          <w:szCs w:val="21"/>
        </w:rPr>
      </w:pPr>
      <w:bookmarkStart w:id="131" w:name="_Toc23096"/>
      <w:r>
        <w:rPr>
          <w:rFonts w:hint="eastAsia" w:ascii="宋体" w:hAnsi="宋体" w:cs="宋体"/>
          <w:b/>
          <w:bCs/>
          <w:szCs w:val="21"/>
        </w:rPr>
        <w:t>七、定标</w:t>
      </w:r>
      <w:bookmarkEnd w:id="130"/>
      <w:bookmarkEnd w:id="131"/>
    </w:p>
    <w:p>
      <w:pPr>
        <w:spacing w:line="360" w:lineRule="auto"/>
        <w:ind w:firstLine="420" w:firstLineChars="200"/>
        <w:rPr>
          <w:rFonts w:ascii="宋体" w:hAnsi="宋体" w:cs="宋体"/>
          <w:szCs w:val="21"/>
        </w:rPr>
      </w:pPr>
      <w:bookmarkStart w:id="132" w:name="_Toc460416359"/>
      <w:bookmarkStart w:id="133" w:name="_Toc460857934"/>
      <w:bookmarkStart w:id="134" w:name="_Toc460416664"/>
      <w:r>
        <w:rPr>
          <w:rFonts w:hint="eastAsia" w:ascii="宋体" w:hAnsi="宋体" w:cs="宋体"/>
          <w:szCs w:val="21"/>
        </w:rPr>
        <w:t>1.确定中标人。采购人将根据评标委员会提交的评标报告及推荐的中标候选人，确定第一中标候选人为中标人，如排序并列，按技术得分高者为中标人，如技术得分相同，抽签确定中标人。</w:t>
      </w:r>
    </w:p>
    <w:p>
      <w:pPr>
        <w:spacing w:line="360" w:lineRule="auto"/>
        <w:ind w:firstLine="420" w:firstLineChars="200"/>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w:t>
      </w:r>
    </w:p>
    <w:p>
      <w:pPr>
        <w:spacing w:line="360" w:lineRule="auto"/>
        <w:ind w:firstLine="420" w:firstLineChars="200"/>
        <w:rPr>
          <w:rFonts w:ascii="宋体" w:hAnsi="宋体" w:cs="宋体"/>
          <w:szCs w:val="21"/>
        </w:rPr>
      </w:pPr>
      <w:r>
        <w:rPr>
          <w:rFonts w:hint="eastAsia" w:ascii="宋体" w:hAnsi="宋体" w:cs="宋体"/>
          <w:szCs w:val="21"/>
        </w:rPr>
        <w:t>3.采购代理机构自中标人确定之日起2个工作日内，在发布招标公告的网站上对中标结果进行公示，中标结果公告期限为1个工作日。</w:t>
      </w:r>
    </w:p>
    <w:p>
      <w:pPr>
        <w:spacing w:line="360" w:lineRule="auto"/>
        <w:ind w:firstLine="420" w:firstLineChars="200"/>
        <w:rPr>
          <w:rFonts w:ascii="宋体" w:hAnsi="宋体" w:cs="宋体"/>
          <w:szCs w:val="21"/>
        </w:rPr>
      </w:pPr>
      <w:r>
        <w:rPr>
          <w:rFonts w:hint="eastAsia" w:ascii="宋体" w:hAnsi="宋体" w:cs="宋体"/>
          <w:szCs w:val="21"/>
        </w:rPr>
        <w:t>4.凡发现中标人有下列行为之一的，将移交政府采购监督管理部门依法处理：</w:t>
      </w:r>
    </w:p>
    <w:p>
      <w:pPr>
        <w:spacing w:line="360" w:lineRule="auto"/>
        <w:ind w:firstLine="420" w:firstLineChars="200"/>
        <w:rPr>
          <w:rFonts w:ascii="宋体" w:hAnsi="宋体" w:cs="宋体"/>
          <w:szCs w:val="21"/>
        </w:rPr>
      </w:pPr>
      <w:r>
        <w:rPr>
          <w:rFonts w:hint="eastAsia" w:ascii="宋体" w:hAnsi="宋体" w:cs="宋体"/>
          <w:szCs w:val="21"/>
        </w:rPr>
        <w:t>(1)提供虚假材料谋取中标的；</w:t>
      </w:r>
    </w:p>
    <w:p>
      <w:pPr>
        <w:spacing w:line="360" w:lineRule="auto"/>
        <w:ind w:firstLine="420" w:firstLineChars="200"/>
        <w:rPr>
          <w:rFonts w:ascii="宋体" w:hAnsi="宋体" w:cs="宋体"/>
          <w:szCs w:val="21"/>
        </w:rPr>
      </w:pPr>
      <w:r>
        <w:rPr>
          <w:rFonts w:hint="eastAsia" w:ascii="宋体" w:hAnsi="宋体" w:cs="宋体"/>
          <w:szCs w:val="21"/>
        </w:rPr>
        <w:t>(2)采取不正当手段诋毁、排挤其他投标人的；</w:t>
      </w:r>
    </w:p>
    <w:p>
      <w:pPr>
        <w:spacing w:line="360" w:lineRule="auto"/>
        <w:ind w:firstLine="420" w:firstLineChars="200"/>
        <w:rPr>
          <w:rFonts w:ascii="宋体" w:hAnsi="宋体" w:cs="宋体"/>
          <w:szCs w:val="21"/>
        </w:rPr>
      </w:pPr>
      <w:r>
        <w:rPr>
          <w:rFonts w:hint="eastAsia" w:ascii="宋体" w:hAnsi="宋体" w:cs="宋体"/>
          <w:szCs w:val="21"/>
        </w:rPr>
        <w:t>(3)与采购人、其他投标人或者采购代理机构工作人员恶意串通的；</w:t>
      </w:r>
    </w:p>
    <w:p>
      <w:pPr>
        <w:spacing w:line="360" w:lineRule="auto"/>
        <w:ind w:firstLine="420" w:firstLineChars="200"/>
        <w:rPr>
          <w:rFonts w:ascii="宋体" w:hAnsi="宋体" w:cs="宋体"/>
          <w:szCs w:val="21"/>
        </w:rPr>
      </w:pPr>
      <w:r>
        <w:rPr>
          <w:rFonts w:hint="eastAsia" w:ascii="宋体" w:hAnsi="宋体" w:cs="宋体"/>
          <w:szCs w:val="21"/>
        </w:rPr>
        <w:t>(4)向采购人或采购代理机构人员行贿或者提供其他不正当利益的；</w:t>
      </w:r>
    </w:p>
    <w:p>
      <w:pPr>
        <w:spacing w:line="360" w:lineRule="auto"/>
        <w:ind w:firstLine="420" w:firstLineChars="200"/>
        <w:rPr>
          <w:rFonts w:ascii="宋体" w:hAnsi="宋体" w:cs="宋体"/>
          <w:szCs w:val="21"/>
        </w:rPr>
      </w:pPr>
      <w:r>
        <w:rPr>
          <w:rFonts w:hint="eastAsia" w:ascii="宋体" w:hAnsi="宋体" w:cs="宋体"/>
          <w:szCs w:val="21"/>
        </w:rPr>
        <w:t>(5)拒绝有关部门监督检查或者提供虚假情况的；</w:t>
      </w:r>
    </w:p>
    <w:p>
      <w:pPr>
        <w:spacing w:line="360" w:lineRule="auto"/>
        <w:ind w:firstLine="420" w:firstLineChars="200"/>
        <w:rPr>
          <w:rFonts w:ascii="宋体" w:hAnsi="宋体" w:cs="宋体"/>
          <w:szCs w:val="21"/>
        </w:rPr>
      </w:pPr>
      <w:r>
        <w:rPr>
          <w:rFonts w:hint="eastAsia" w:ascii="宋体" w:hAnsi="宋体" w:cs="宋体"/>
          <w:szCs w:val="21"/>
        </w:rPr>
        <w:t>(6)有法律、法规规定的其他损害采购人利益和社会公共利益情形的。</w:t>
      </w:r>
    </w:p>
    <w:p>
      <w:pPr>
        <w:spacing w:line="360" w:lineRule="auto"/>
        <w:ind w:firstLine="422" w:firstLineChars="200"/>
        <w:outlineLvl w:val="0"/>
        <w:rPr>
          <w:rFonts w:ascii="宋体" w:hAnsi="宋体" w:cs="宋体"/>
          <w:b/>
          <w:bCs/>
          <w:szCs w:val="21"/>
        </w:rPr>
      </w:pPr>
      <w:bookmarkStart w:id="135" w:name="_Toc16853"/>
      <w:r>
        <w:rPr>
          <w:rFonts w:hint="eastAsia" w:ascii="宋体" w:hAnsi="宋体" w:cs="宋体"/>
          <w:b/>
          <w:bCs/>
          <w:szCs w:val="21"/>
        </w:rPr>
        <w:t>八、评标过程的监控</w:t>
      </w:r>
      <w:bookmarkEnd w:id="135"/>
    </w:p>
    <w:p>
      <w:pPr>
        <w:spacing w:line="360" w:lineRule="auto"/>
        <w:ind w:firstLine="420" w:firstLineChars="200"/>
        <w:rPr>
          <w:rFonts w:ascii="宋体" w:hAnsi="宋体" w:cs="宋体"/>
          <w:szCs w:val="21"/>
        </w:rPr>
      </w:pPr>
      <w:r>
        <w:rPr>
          <w:rFonts w:hint="eastAsia" w:ascii="宋体" w:hAnsi="宋体" w:cs="宋体"/>
          <w:szCs w:val="21"/>
        </w:rPr>
        <w:t>1.本项目评标过程实行全程录音、录像监控，投标人在评标过程中所进行的试图影响评标结果的不公正活动，可能导致其投标被拒绝。</w:t>
      </w:r>
    </w:p>
    <w:p>
      <w:pPr>
        <w:spacing w:line="360" w:lineRule="auto"/>
        <w:ind w:firstLine="422" w:firstLineChars="200"/>
        <w:outlineLvl w:val="0"/>
        <w:rPr>
          <w:rFonts w:ascii="宋体" w:hAnsi="宋体" w:cs="宋体"/>
          <w:b/>
          <w:bCs/>
          <w:szCs w:val="21"/>
        </w:rPr>
      </w:pPr>
      <w:bookmarkStart w:id="136" w:name="_Toc7076"/>
      <w:r>
        <w:rPr>
          <w:rFonts w:hint="eastAsia" w:ascii="宋体" w:hAnsi="宋体" w:cs="宋体"/>
          <w:b/>
          <w:bCs/>
          <w:szCs w:val="21"/>
        </w:rPr>
        <w:t>九、合同授予</w:t>
      </w:r>
      <w:bookmarkEnd w:id="132"/>
      <w:bookmarkEnd w:id="133"/>
      <w:bookmarkEnd w:id="134"/>
      <w:bookmarkEnd w:id="136"/>
    </w:p>
    <w:p>
      <w:pPr>
        <w:spacing w:line="360" w:lineRule="auto"/>
        <w:ind w:firstLine="420" w:firstLineChars="200"/>
        <w:rPr>
          <w:rFonts w:ascii="宋体" w:hAnsi="宋体" w:cs="宋体"/>
          <w:szCs w:val="21"/>
        </w:rPr>
      </w:pPr>
      <w:bookmarkStart w:id="137" w:name="_Toc460857935"/>
      <w:r>
        <w:rPr>
          <w:rFonts w:hint="eastAsia" w:ascii="宋体" w:hAnsi="宋体" w:cs="宋体"/>
          <w:szCs w:val="21"/>
        </w:rPr>
        <w:t>（一）签订合同</w:t>
      </w:r>
      <w:bookmarkEnd w:id="137"/>
    </w:p>
    <w:p>
      <w:pPr>
        <w:spacing w:line="360" w:lineRule="auto"/>
        <w:ind w:firstLine="420" w:firstLineChars="200"/>
        <w:rPr>
          <w:rFonts w:ascii="宋体" w:hAnsi="宋体" w:cs="宋体"/>
          <w:szCs w:val="21"/>
        </w:rPr>
      </w:pPr>
      <w:r>
        <w:rPr>
          <w:rFonts w:hint="eastAsia" w:ascii="宋体" w:hAnsi="宋体" w:cs="宋体"/>
          <w:szCs w:val="21"/>
        </w:rPr>
        <w:t>1.采购人与中标人应当在《中标通知书》发出之日起</w:t>
      </w:r>
      <w:r>
        <w:rPr>
          <w:rFonts w:hint="eastAsia" w:ascii="宋体" w:hAnsi="宋体" w:cs="宋体"/>
          <w:b/>
          <w:szCs w:val="21"/>
          <w:u w:val="single"/>
        </w:rPr>
        <w:t>30</w:t>
      </w:r>
      <w:r>
        <w:rPr>
          <w:rFonts w:hint="eastAsia" w:ascii="宋体" w:hAnsi="宋体" w:cs="宋体"/>
          <w:szCs w:val="21"/>
        </w:rPr>
        <w:t>日内签订政府采购合同。同时，采购代理机构对合同内容进行审查，如发现与采购结果和投标承诺内容不一致的，应予以纠正。</w:t>
      </w:r>
    </w:p>
    <w:p>
      <w:pPr>
        <w:spacing w:line="360" w:lineRule="auto"/>
        <w:ind w:firstLine="420" w:firstLineChars="200"/>
        <w:rPr>
          <w:rFonts w:ascii="宋体" w:hAnsi="宋体" w:cs="宋体"/>
          <w:szCs w:val="21"/>
        </w:rPr>
      </w:pPr>
      <w:r>
        <w:rPr>
          <w:rFonts w:hint="eastAsia" w:ascii="宋体" w:hAnsi="宋体" w:cs="宋体"/>
          <w:szCs w:val="21"/>
        </w:rPr>
        <w:t>2.中标人如不遵守招标文件或投标文件各项条款的邀约与要约，或在接到中标通知书后借故拖延，拒签合同的，给采购人造成的损失的还应当予以赔偿，并取消中标资格。</w:t>
      </w:r>
    </w:p>
    <w:p>
      <w:pPr>
        <w:spacing w:line="360" w:lineRule="auto"/>
        <w:ind w:firstLine="420" w:firstLineChars="200"/>
        <w:rPr>
          <w:rFonts w:ascii="宋体" w:hAnsi="宋体" w:cs="宋体"/>
          <w:szCs w:val="21"/>
        </w:rPr>
      </w:pPr>
      <w:r>
        <w:rPr>
          <w:rFonts w:hint="eastAsia" w:ascii="宋体" w:hAnsi="宋体" w:cs="宋体"/>
          <w:szCs w:val="21"/>
        </w:rPr>
        <w:t>3.合同中卖方的约定：如中标产品为国产产品，中标人即为合同卖方；如中标产品为进口产品，外贸合同中的卖方应为中标产品的境外制造厂家或中标人指定的境外公司。</w:t>
      </w:r>
    </w:p>
    <w:p>
      <w:pPr>
        <w:spacing w:line="360" w:lineRule="auto"/>
        <w:ind w:firstLine="420" w:firstLineChars="200"/>
        <w:rPr>
          <w:rFonts w:ascii="宋体" w:hAnsi="宋体" w:cs="宋体"/>
          <w:szCs w:val="21"/>
        </w:rPr>
      </w:pPr>
      <w:r>
        <w:rPr>
          <w:rFonts w:hint="eastAsia" w:ascii="宋体" w:hAnsi="宋体" w:cs="宋体"/>
          <w:szCs w:val="21"/>
        </w:rPr>
        <w:t>4.中标人所投产品若包含进口产品，采购人有权确定并自行委托进口代理公司代理相关手续（包括但不限于签订外贸合同等）。</w:t>
      </w:r>
    </w:p>
    <w:p>
      <w:pPr>
        <w:spacing w:line="360" w:lineRule="auto"/>
        <w:ind w:firstLine="420" w:firstLineChars="200"/>
        <w:rPr>
          <w:rFonts w:ascii="宋体" w:hAnsi="宋体" w:cs="宋体"/>
          <w:szCs w:val="21"/>
        </w:rPr>
      </w:pPr>
      <w:bookmarkStart w:id="138" w:name="_Toc460857936"/>
      <w:r>
        <w:rPr>
          <w:rFonts w:hint="eastAsia" w:ascii="宋体" w:hAnsi="宋体" w:cs="宋体"/>
          <w:szCs w:val="21"/>
        </w:rPr>
        <w:t>（二）履约保证金（如有）</w:t>
      </w:r>
      <w:bookmarkEnd w:id="138"/>
    </w:p>
    <w:p>
      <w:pPr>
        <w:pStyle w:val="19"/>
        <w:spacing w:beforeLines="0" w:afterLines="0" w:line="360" w:lineRule="auto"/>
        <w:ind w:firstLine="420" w:firstLineChars="200"/>
        <w:rPr>
          <w:rFonts w:hAnsi="宋体" w:cs="宋体"/>
          <w:sz w:val="21"/>
          <w:szCs w:val="21"/>
        </w:rPr>
      </w:pPr>
      <w:r>
        <w:rPr>
          <w:rFonts w:hint="eastAsia" w:hAnsi="宋体" w:cs="宋体"/>
          <w:sz w:val="21"/>
          <w:szCs w:val="21"/>
        </w:rPr>
        <w:t>1.签订合同前，中标人应按招标文件确定的履约保证金的金额，向采购人交纳履约保证金。</w:t>
      </w:r>
    </w:p>
    <w:p>
      <w:pPr>
        <w:pStyle w:val="19"/>
        <w:spacing w:beforeLines="0" w:afterLines="0" w:line="360" w:lineRule="auto"/>
        <w:ind w:firstLine="420" w:firstLineChars="200"/>
        <w:rPr>
          <w:rFonts w:hAnsi="宋体" w:cs="宋体"/>
          <w:sz w:val="21"/>
          <w:szCs w:val="21"/>
        </w:rPr>
      </w:pPr>
      <w:r>
        <w:rPr>
          <w:rFonts w:hint="eastAsia" w:hAnsi="宋体" w:cs="宋体"/>
          <w:sz w:val="21"/>
          <w:szCs w:val="21"/>
        </w:rPr>
        <w:t>2.签订合同后，如中标人不按双方合同约定履约，则没收其全部履约保证金，履约保证金不足以赔偿损失的，按实际损失赔偿。</w:t>
      </w:r>
    </w:p>
    <w:p>
      <w:pPr>
        <w:spacing w:line="360" w:lineRule="auto"/>
        <w:ind w:firstLine="422" w:firstLineChars="200"/>
        <w:outlineLvl w:val="0"/>
        <w:rPr>
          <w:rFonts w:ascii="宋体" w:hAnsi="宋体" w:cs="宋体"/>
          <w:b/>
          <w:bCs/>
          <w:szCs w:val="21"/>
        </w:rPr>
      </w:pPr>
      <w:bookmarkStart w:id="139" w:name="_Toc14388"/>
      <w:bookmarkStart w:id="140" w:name="_Toc460857937"/>
      <w:r>
        <w:rPr>
          <w:rFonts w:hint="eastAsia" w:ascii="宋体" w:hAnsi="宋体" w:cs="宋体"/>
          <w:b/>
          <w:bCs/>
          <w:szCs w:val="21"/>
        </w:rPr>
        <w:t>十、特别说明</w:t>
      </w:r>
      <w:bookmarkEnd w:id="139"/>
      <w:bookmarkEnd w:id="140"/>
    </w:p>
    <w:p>
      <w:pPr>
        <w:spacing w:line="360" w:lineRule="auto"/>
        <w:ind w:firstLine="420" w:firstLineChars="200"/>
        <w:rPr>
          <w:rFonts w:ascii="宋体" w:hAnsi="宋体" w:cs="宋体"/>
        </w:rPr>
      </w:pPr>
      <w:r>
        <w:rPr>
          <w:rFonts w:hint="eastAsia" w:ascii="宋体" w:hAnsi="宋体" w:cs="宋体"/>
          <w:szCs w:val="21"/>
        </w:rPr>
        <w:t>1.</w:t>
      </w:r>
      <w:r>
        <w:rPr>
          <w:rFonts w:hint="eastAsia" w:ascii="宋体" w:hAnsi="宋体" w:cs="宋体"/>
        </w:rPr>
        <w:t xml:space="preserve"> 提供相同品牌产品且通过资格审查、符合性审查的不同投标人参加同一合同项下投标的，按一家投标人计算。</w:t>
      </w:r>
    </w:p>
    <w:p>
      <w:pPr>
        <w:spacing w:line="360" w:lineRule="auto"/>
        <w:ind w:firstLine="420" w:firstLineChars="200"/>
        <w:rPr>
          <w:rFonts w:ascii="宋体" w:hAnsi="宋体" w:cs="宋体"/>
        </w:rPr>
      </w:pPr>
      <w:r>
        <w:rPr>
          <w:rFonts w:hint="eastAsia" w:ascii="宋体" w:hAnsi="宋体" w:cs="宋体"/>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ascii="宋体" w:hAnsi="宋体" w:cs="宋体"/>
        </w:rPr>
      </w:pPr>
      <w:r>
        <w:rPr>
          <w:rFonts w:hint="eastAsia" w:ascii="宋体" w:hAnsi="宋体" w:cs="宋体"/>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ascii="宋体" w:hAnsi="宋体" w:cs="宋体"/>
        </w:rPr>
      </w:pPr>
      <w:r>
        <w:rPr>
          <w:rFonts w:hint="eastAsia" w:ascii="宋体" w:hAnsi="宋体" w:cs="宋体"/>
        </w:rPr>
        <w:t xml:space="preserve"> 非单一产品采购项目，投标人使用相同制造产品（相同制造产品是指采购文件中指定的“核心产品”）作为其项目的一部分，按一家投标人认定。</w:t>
      </w:r>
    </w:p>
    <w:p>
      <w:pPr>
        <w:spacing w:line="360" w:lineRule="auto"/>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rPr>
        <w:t xml:space="preserve"> 以下为中小企业政策说明</w:t>
      </w:r>
    </w:p>
    <w:p>
      <w:pPr>
        <w:spacing w:line="360" w:lineRule="auto"/>
        <w:ind w:firstLine="420" w:firstLineChars="200"/>
        <w:rPr>
          <w:rFonts w:ascii="宋体" w:hAnsi="宋体" w:cs="宋体"/>
          <w:szCs w:val="21"/>
        </w:rPr>
      </w:pPr>
      <w:r>
        <w:rPr>
          <w:rFonts w:hint="eastAsia" w:ascii="宋体" w:hAnsi="宋体" w:cs="宋体"/>
          <w:szCs w:val="21"/>
        </w:rPr>
        <w:t>2.1本项目为服务采购项目，</w:t>
      </w:r>
      <w:r>
        <w:rPr>
          <w:rFonts w:hint="eastAsia" w:ascii="宋体" w:hAnsi="宋体" w:cs="宋体"/>
          <w:szCs w:val="21"/>
          <w:u w:val="single"/>
        </w:rPr>
        <w:t xml:space="preserve"> 非 </w:t>
      </w:r>
      <w:r>
        <w:rPr>
          <w:rFonts w:hint="eastAsia" w:ascii="宋体" w:hAnsi="宋体" w:cs="宋体"/>
          <w:szCs w:val="21"/>
        </w:rPr>
        <w:t>专门面向中小企业采购。</w:t>
      </w:r>
    </w:p>
    <w:p>
      <w:pPr>
        <w:spacing w:line="360" w:lineRule="auto"/>
        <w:ind w:firstLine="420" w:firstLineChars="200"/>
        <w:rPr>
          <w:rFonts w:ascii="宋体" w:hAnsi="宋体" w:cs="宋体"/>
          <w:szCs w:val="21"/>
        </w:rPr>
      </w:pPr>
      <w:r>
        <w:rPr>
          <w:rFonts w:hint="eastAsia" w:ascii="宋体" w:hAnsi="宋体" w:cs="宋体"/>
          <w:szCs w:val="21"/>
        </w:rPr>
        <w:t>2.2本项目对应的中小企业划分标准所属行业：</w:t>
      </w:r>
      <w:r>
        <w:rPr>
          <w:rFonts w:hint="eastAsia" w:ascii="宋体" w:hAnsi="宋体" w:cs="宋体"/>
          <w:b/>
          <w:bCs/>
          <w:szCs w:val="21"/>
          <w:u w:val="single"/>
        </w:rPr>
        <w:t>租赁和商务服务业</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2.3小微企业是指中华人民共和国境内依法设立，依据国务院批准的中小企业划分标准确定的小型企业和微型企业，但与大企业的负责人为同一人，或者与大企业存在直接控股、管理关系的除外。</w:t>
      </w:r>
    </w:p>
    <w:p>
      <w:pPr>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pPr>
        <w:spacing w:line="360" w:lineRule="auto"/>
        <w:ind w:firstLine="420" w:firstLineChars="200"/>
        <w:rPr>
          <w:rFonts w:ascii="宋体" w:hAnsi="宋体" w:cs="宋体"/>
          <w:szCs w:val="21"/>
        </w:rPr>
      </w:pPr>
      <w:r>
        <w:rPr>
          <w:rFonts w:hint="eastAsia" w:ascii="宋体" w:hAnsi="宋体" w:cs="宋体"/>
          <w:szCs w:val="21"/>
        </w:rPr>
        <w:t>国务院批准的中小企业划分标准：具体见工信部联企业[2011]300号。</w:t>
      </w:r>
    </w:p>
    <w:p>
      <w:pPr>
        <w:spacing w:line="360" w:lineRule="auto"/>
        <w:ind w:firstLine="420" w:firstLineChars="200"/>
        <w:rPr>
          <w:rFonts w:ascii="宋体" w:hAnsi="宋体" w:cs="宋体"/>
          <w:szCs w:val="21"/>
        </w:rPr>
      </w:pPr>
      <w:r>
        <w:rPr>
          <w:rFonts w:hint="eastAsia" w:ascii="宋体" w:hAnsi="宋体" w:cs="宋体"/>
          <w:szCs w:val="21"/>
        </w:rPr>
        <w:t>2.4在政府采购活动中，供应商提供的货物、工程或者服务符合下列情形的，可享受小型、微型企业（以下简称小微企业）的价格扣除：</w:t>
      </w:r>
    </w:p>
    <w:p>
      <w:pPr>
        <w:spacing w:line="360" w:lineRule="auto"/>
        <w:ind w:firstLine="420" w:firstLineChars="200"/>
        <w:rPr>
          <w:rFonts w:ascii="宋体" w:hAnsi="宋体" w:cs="宋体"/>
          <w:szCs w:val="21"/>
        </w:rPr>
      </w:pPr>
      <w:r>
        <w:rPr>
          <w:rFonts w:hint="eastAsia" w:ascii="宋体" w:hAnsi="宋体" w:cs="宋体"/>
          <w:szCs w:val="21"/>
        </w:rPr>
        <w:t>（1）在货物采购项目中，货物由小微企业制造，即货物由小微企业生产且使用该小微企业商号或者注册商标；</w:t>
      </w:r>
    </w:p>
    <w:p>
      <w:pPr>
        <w:spacing w:line="360" w:lineRule="auto"/>
        <w:ind w:firstLine="420" w:firstLineChars="200"/>
        <w:rPr>
          <w:rFonts w:ascii="宋体" w:hAnsi="宋体" w:cs="宋体"/>
          <w:szCs w:val="21"/>
        </w:rPr>
      </w:pPr>
      <w:r>
        <w:rPr>
          <w:rFonts w:hint="eastAsia" w:ascii="宋体" w:hAnsi="宋体" w:cs="宋体"/>
          <w:szCs w:val="21"/>
        </w:rPr>
        <w:t>（2）在工程采购项目中，工程由小微企业承建，即工程施工单位为小微企业；</w:t>
      </w:r>
    </w:p>
    <w:p>
      <w:pPr>
        <w:spacing w:line="360" w:lineRule="auto"/>
        <w:ind w:firstLine="420" w:firstLineChars="200"/>
        <w:rPr>
          <w:rFonts w:ascii="宋体" w:hAnsi="宋体" w:cs="宋体"/>
          <w:szCs w:val="21"/>
        </w:rPr>
      </w:pPr>
      <w:r>
        <w:rPr>
          <w:rFonts w:hint="eastAsia" w:ascii="宋体" w:hAnsi="宋体" w:cs="宋体"/>
          <w:szCs w:val="21"/>
        </w:rPr>
        <w:t>（3）在服务采购项目中，服务由小微企业承接，即提供服务的人员为小微企业依照《中华人民共和国劳动合同法》订立劳动合同的从业人员。</w:t>
      </w:r>
    </w:p>
    <w:p>
      <w:pPr>
        <w:spacing w:line="360" w:lineRule="auto"/>
        <w:ind w:firstLine="420" w:firstLineChars="200"/>
        <w:rPr>
          <w:rFonts w:ascii="宋体" w:hAnsi="宋体" w:cs="宋体"/>
          <w:szCs w:val="21"/>
        </w:rPr>
      </w:pPr>
      <w:r>
        <w:rPr>
          <w:rFonts w:hint="eastAsia" w:ascii="宋体" w:hAnsi="宋体" w:cs="宋体"/>
          <w:szCs w:val="21"/>
        </w:rPr>
        <w:t>以联合体形式参加政府采购活动，联合体各方均为小微企业的，联合体视同小微企业。</w:t>
      </w:r>
    </w:p>
    <w:p>
      <w:pPr>
        <w:spacing w:line="360" w:lineRule="auto"/>
        <w:ind w:firstLine="420" w:firstLineChars="200"/>
        <w:rPr>
          <w:rFonts w:ascii="宋体" w:hAnsi="宋体" w:cs="宋体"/>
          <w:szCs w:val="21"/>
        </w:rPr>
      </w:pPr>
      <w:r>
        <w:rPr>
          <w:rFonts w:hint="eastAsia" w:ascii="宋体" w:hAnsi="宋体" w:cs="宋体"/>
          <w:szCs w:val="21"/>
        </w:rPr>
        <w:t>2.5在货物采购项目中，供应商提供的货物既有中小企业制造货物，也有大型企业制造货物的，不享受的小微企业价格扣除。</w:t>
      </w:r>
    </w:p>
    <w:p>
      <w:pPr>
        <w:spacing w:line="360" w:lineRule="auto"/>
        <w:ind w:firstLine="420" w:firstLineChars="200"/>
        <w:rPr>
          <w:rFonts w:ascii="宋体" w:hAnsi="宋体" w:cs="宋体"/>
          <w:szCs w:val="21"/>
        </w:rPr>
      </w:pPr>
      <w:r>
        <w:rPr>
          <w:rFonts w:hint="eastAsia" w:ascii="宋体" w:hAnsi="宋体" w:cs="宋体"/>
          <w:szCs w:val="21"/>
        </w:rPr>
        <w:t>2.6本项目对符合《政府采购促进中小企业发展管理办法》（财库﹝2020﹞46号）等规定的小微企业报价给予10%的扣除，用扣除后的价格参加评审。</w:t>
      </w:r>
    </w:p>
    <w:p>
      <w:pPr>
        <w:spacing w:line="360" w:lineRule="auto"/>
        <w:ind w:firstLine="420" w:firstLineChars="200"/>
        <w:rPr>
          <w:rFonts w:ascii="宋体" w:hAnsi="宋体" w:cs="宋体"/>
          <w:szCs w:val="21"/>
        </w:rPr>
      </w:pP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szCs w:val="21"/>
        </w:rPr>
      </w:pPr>
      <w:r>
        <w:rPr>
          <w:rFonts w:hint="eastAsia" w:ascii="宋体" w:hAnsi="宋体" w:cs="宋体"/>
          <w:szCs w:val="21"/>
        </w:rPr>
        <w:t>2.7小微企业应按照招标文件格式要求提供《中小企业声明函》。</w:t>
      </w:r>
    </w:p>
    <w:p>
      <w:pPr>
        <w:spacing w:line="360" w:lineRule="auto"/>
        <w:ind w:firstLine="420" w:firstLineChars="200"/>
        <w:rPr>
          <w:rFonts w:ascii="宋体" w:hAnsi="宋体" w:cs="宋体"/>
          <w:szCs w:val="21"/>
        </w:rPr>
      </w:pPr>
      <w:r>
        <w:rPr>
          <w:rFonts w:hint="eastAsia" w:ascii="宋体" w:hAnsi="宋体" w:cs="宋体"/>
          <w:szCs w:val="21"/>
        </w:rPr>
        <w:t>2.8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szCs w:val="21"/>
        </w:rPr>
      </w:pPr>
      <w:r>
        <w:rPr>
          <w:rFonts w:hint="eastAsia" w:ascii="宋体" w:hAnsi="宋体" w:cs="宋体"/>
          <w:szCs w:val="21"/>
        </w:rPr>
        <w:t>2.9根据《关于促进残疾人就业政府采购政策的通知》（财库[2017]141号）规定，在政府采购活动中，残疾人福利性单位视同小型、微型企业。残疾人福利性单位参加政府采购活动时，提供《残疾人福利性单位声明函》。</w:t>
      </w:r>
    </w:p>
    <w:p>
      <w:pPr>
        <w:spacing w:line="360" w:lineRule="auto"/>
        <w:ind w:firstLine="420" w:firstLineChars="200"/>
        <w:rPr>
          <w:rFonts w:ascii="宋体" w:hAnsi="宋体" w:cs="宋体"/>
          <w:szCs w:val="21"/>
        </w:rPr>
      </w:pPr>
      <w:r>
        <w:rPr>
          <w:rFonts w:hint="eastAsia" w:ascii="宋体" w:hAnsi="宋体" w:cs="宋体"/>
          <w:szCs w:val="21"/>
        </w:rPr>
        <w:t>2.10按规定享受扶持政策获得政府采购合同的，小微企业不得将合同分包给大中型企业，中型企业不得将合同分包给大型企业。</w:t>
      </w:r>
    </w:p>
    <w:p>
      <w:pPr>
        <w:spacing w:line="360" w:lineRule="auto"/>
        <w:ind w:firstLine="420" w:firstLineChars="200"/>
      </w:pPr>
      <w:r>
        <w:rPr>
          <w:rFonts w:hint="eastAsia" w:ascii="宋体" w:hAnsi="宋体" w:cs="宋体"/>
          <w:szCs w:val="21"/>
        </w:rPr>
        <w:t>2.11供应商按照《政府采购促进中小企业发展管理办法》（财库﹝2020﹞46号）规定提供声明函内容不实的，属于提供虚假材料谋取中标、成交，依照《中华人民共和国政府采购法》等国家有关规定追究相应责任。</w:t>
      </w:r>
    </w:p>
    <w:p>
      <w:pPr>
        <w:widowControl/>
        <w:spacing w:line="360" w:lineRule="auto"/>
        <w:ind w:firstLine="420" w:firstLineChars="200"/>
        <w:jc w:val="left"/>
        <w:rPr>
          <w:rFonts w:ascii="宋体" w:hAnsi="宋体" w:cs="宋体"/>
          <w:szCs w:val="21"/>
          <w:lang w:bidi="ar"/>
        </w:rPr>
      </w:pPr>
      <w:r>
        <w:rPr>
          <w:rFonts w:hint="eastAsia" w:ascii="宋体" w:hAnsi="宋体" w:cs="宋体"/>
          <w:szCs w:val="21"/>
        </w:rPr>
        <w:t>*2.</w:t>
      </w:r>
      <w:r>
        <w:rPr>
          <w:rFonts w:hint="eastAsia" w:ascii="宋体" w:hAnsi="宋体" w:cs="宋体"/>
          <w:szCs w:val="21"/>
          <w:lang w:bidi="ar"/>
        </w:rPr>
        <w:t>12若在开标当天如遇网络中断或受到攻击等突发性不可抗拒的事件，一时无法恢复的，可以只对中标候选人事后查询，如中标候选人为失信被执行人的，招标人将依法取消其中标候选人资格。</w:t>
      </w:r>
      <w:bookmarkStart w:id="141" w:name="_Toc29227"/>
    </w:p>
    <w:p>
      <w:pPr>
        <w:widowControl/>
        <w:spacing w:line="360" w:lineRule="auto"/>
        <w:ind w:firstLine="420" w:firstLineChars="200"/>
        <w:jc w:val="left"/>
        <w:sectPr>
          <w:footerReference r:id="rId5" w:type="default"/>
          <w:pgSz w:w="11907" w:h="16840"/>
          <w:pgMar w:top="1361" w:right="1474" w:bottom="1242" w:left="1474" w:header="720" w:footer="720" w:gutter="0"/>
          <w:pgNumType w:start="1"/>
          <w:cols w:space="720" w:num="1"/>
          <w:docGrid w:linePitch="285" w:charSpace="0"/>
        </w:sectPr>
      </w:pPr>
      <w:r>
        <w:rPr>
          <w:rFonts w:hint="eastAsia" w:ascii="宋体" w:hAnsi="宋体" w:cs="宋体"/>
          <w:szCs w:val="21"/>
          <w:lang w:bidi="ar"/>
        </w:rPr>
        <w:t>*2.13若在开标当天如遇信用中国”（www.creditchina.gov.cn)、中国政府采购网（www.ccgp.gov.cn）网络中断或受到攻击等突发性不可抗拒的事件，一时无法恢复的，可以只对中标候选人事后查询，如中标候选人为失信被执行人的，招标人将依法取消其中标候选人资格。</w:t>
      </w:r>
      <w:bookmarkEnd w:id="141"/>
    </w:p>
    <w:p>
      <w:pPr>
        <w:pStyle w:val="3"/>
        <w:spacing w:before="0" w:after="0" w:line="360" w:lineRule="auto"/>
        <w:jc w:val="center"/>
        <w:rPr>
          <w:rFonts w:ascii="宋体" w:hAnsi="宋体" w:cs="宋体"/>
          <w:b w:val="0"/>
          <w:bCs w:val="0"/>
          <w:sz w:val="28"/>
          <w:szCs w:val="28"/>
        </w:rPr>
      </w:pPr>
      <w:bookmarkStart w:id="142" w:name="_Toc4283"/>
      <w:r>
        <w:rPr>
          <w:rFonts w:hint="eastAsia" w:ascii="宋体" w:hAnsi="宋体" w:cs="宋体"/>
          <w:sz w:val="30"/>
        </w:rPr>
        <w:t>第四章  评标办法及评分标准</w:t>
      </w:r>
      <w:bookmarkEnd w:id="142"/>
    </w:p>
    <w:p>
      <w:pPr>
        <w:spacing w:line="360" w:lineRule="auto"/>
        <w:ind w:firstLine="420" w:firstLineChars="200"/>
        <w:rPr>
          <w:rFonts w:ascii="宋体" w:hAnsi="宋体" w:cs="宋体"/>
          <w:szCs w:val="21"/>
        </w:rPr>
      </w:pPr>
    </w:p>
    <w:p>
      <w:pPr>
        <w:pStyle w:val="26"/>
        <w:spacing w:before="0" w:after="0" w:line="360" w:lineRule="auto"/>
        <w:ind w:firstLine="422" w:firstLineChars="200"/>
        <w:jc w:val="both"/>
        <w:outlineLvl w:val="9"/>
        <w:rPr>
          <w:rFonts w:ascii="宋体" w:hAnsi="宋体" w:cs="宋体"/>
          <w:sz w:val="21"/>
          <w:szCs w:val="21"/>
        </w:rPr>
      </w:pPr>
      <w:bookmarkStart w:id="143" w:name="_Toc14319"/>
      <w:bookmarkStart w:id="144" w:name="_Toc495957613"/>
      <w:bookmarkStart w:id="145" w:name="_Toc493058315"/>
      <w:bookmarkStart w:id="146" w:name="_Toc481567075"/>
      <w:r>
        <w:rPr>
          <w:rFonts w:hint="eastAsia" w:ascii="宋体" w:hAnsi="宋体" w:cs="宋体"/>
          <w:sz w:val="21"/>
          <w:szCs w:val="21"/>
        </w:rPr>
        <w:t>本办法严格遵照《中华人民共和国政府采购法》、《政府采购货物和服务招标投标管理办法》、《中华人民共和国政府采购法实施条例》，结合项目所在地政府有关政府采购规定和项目的实际情况制定。</w:t>
      </w:r>
      <w:bookmarkEnd w:id="143"/>
    </w:p>
    <w:p>
      <w:pPr>
        <w:pStyle w:val="26"/>
        <w:spacing w:before="0" w:after="0" w:line="360" w:lineRule="auto"/>
        <w:ind w:firstLine="310" w:firstLineChars="147"/>
        <w:jc w:val="both"/>
        <w:rPr>
          <w:rFonts w:ascii="宋体" w:hAnsi="宋体" w:cs="宋体"/>
          <w:sz w:val="21"/>
          <w:szCs w:val="21"/>
        </w:rPr>
      </w:pPr>
      <w:bookmarkStart w:id="147" w:name="_Toc15786"/>
      <w:r>
        <w:rPr>
          <w:rFonts w:hint="eastAsia" w:ascii="宋体" w:hAnsi="宋体" w:cs="宋体"/>
          <w:sz w:val="21"/>
          <w:szCs w:val="21"/>
        </w:rPr>
        <w:t>一、开标程序</w:t>
      </w:r>
      <w:bookmarkEnd w:id="144"/>
      <w:bookmarkEnd w:id="145"/>
      <w:bookmarkEnd w:id="146"/>
      <w:bookmarkEnd w:id="147"/>
    </w:p>
    <w:p>
      <w:pPr>
        <w:spacing w:line="360" w:lineRule="auto"/>
        <w:ind w:firstLine="420" w:firstLineChars="200"/>
        <w:rPr>
          <w:rFonts w:ascii="宋体" w:hAnsi="宋体" w:cs="宋体"/>
          <w:szCs w:val="21"/>
        </w:rPr>
      </w:pPr>
      <w:bookmarkStart w:id="148" w:name="_Toc495957614"/>
      <w:bookmarkStart w:id="149" w:name="_Toc493058316"/>
      <w:bookmarkStart w:id="150" w:name="_Toc259108326"/>
      <w:bookmarkStart w:id="151" w:name="_Toc249866769"/>
      <w:r>
        <w:rPr>
          <w:rFonts w:hint="eastAsia" w:ascii="宋体" w:hAnsi="宋体" w:cs="宋体"/>
          <w:szCs w:val="21"/>
        </w:rPr>
        <w:t>详见第三章《投标人须知》“四、开标”。</w:t>
      </w:r>
    </w:p>
    <w:p>
      <w:pPr>
        <w:pStyle w:val="26"/>
        <w:spacing w:before="0" w:after="0" w:line="360" w:lineRule="auto"/>
        <w:ind w:firstLine="413" w:firstLineChars="196"/>
        <w:jc w:val="left"/>
        <w:rPr>
          <w:rFonts w:ascii="宋体" w:hAnsi="宋体" w:cs="宋体"/>
          <w:sz w:val="21"/>
          <w:szCs w:val="21"/>
        </w:rPr>
      </w:pPr>
      <w:bookmarkStart w:id="152" w:name="_Toc20830"/>
      <w:r>
        <w:rPr>
          <w:rFonts w:hint="eastAsia" w:ascii="宋体" w:hAnsi="宋体" w:cs="宋体"/>
          <w:sz w:val="21"/>
          <w:szCs w:val="21"/>
        </w:rPr>
        <w:t>二、评标委员会</w:t>
      </w:r>
      <w:bookmarkEnd w:id="148"/>
      <w:bookmarkEnd w:id="149"/>
      <w:bookmarkEnd w:id="152"/>
    </w:p>
    <w:p>
      <w:pPr>
        <w:spacing w:line="360" w:lineRule="auto"/>
        <w:ind w:firstLine="315" w:firstLineChars="150"/>
        <w:rPr>
          <w:rFonts w:ascii="宋体" w:hAnsi="宋体" w:cs="宋体"/>
          <w:szCs w:val="21"/>
        </w:rPr>
      </w:pPr>
      <w:r>
        <w:rPr>
          <w:rFonts w:hint="eastAsia" w:ascii="宋体" w:hAnsi="宋体" w:cs="宋体"/>
          <w:szCs w:val="21"/>
        </w:rPr>
        <w:t>（一）本次招标依法组建评标委员会。评标委员会由招标人代表和评审专家组成，评审专家从专家库随机抽取。</w:t>
      </w:r>
    </w:p>
    <w:p>
      <w:pPr>
        <w:spacing w:line="360" w:lineRule="auto"/>
        <w:ind w:firstLine="315" w:firstLineChars="150"/>
        <w:rPr>
          <w:rFonts w:ascii="宋体" w:hAnsi="宋体" w:cs="宋体"/>
          <w:szCs w:val="21"/>
        </w:rPr>
      </w:pPr>
      <w:r>
        <w:rPr>
          <w:rFonts w:hint="eastAsia" w:ascii="宋体" w:hAnsi="宋体" w:cs="宋体"/>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firstLineChars="150"/>
        <w:rPr>
          <w:rFonts w:ascii="宋体" w:hAnsi="宋体" w:cs="宋体"/>
          <w:szCs w:val="21"/>
        </w:rPr>
      </w:pPr>
      <w:r>
        <w:rPr>
          <w:rFonts w:hint="eastAsia" w:ascii="宋体" w:hAnsi="宋体" w:cs="宋体"/>
          <w:szCs w:val="21"/>
        </w:rPr>
        <w:t>（三）评审专家有下列情形之一的，受到邀请应主动提出回避，采购当事人也可以要求该评审专家回避：</w:t>
      </w:r>
    </w:p>
    <w:p>
      <w:pPr>
        <w:spacing w:line="360" w:lineRule="auto"/>
        <w:ind w:firstLine="420" w:firstLineChars="200"/>
        <w:rPr>
          <w:rFonts w:ascii="宋体" w:hAnsi="宋体" w:cs="宋体"/>
          <w:szCs w:val="21"/>
        </w:rPr>
      </w:pPr>
      <w:r>
        <w:rPr>
          <w:rFonts w:hint="eastAsia" w:ascii="宋体" w:hAnsi="宋体" w:cs="宋体"/>
          <w:szCs w:val="21"/>
        </w:rPr>
        <w:t>1、参加采购活动前三年内，与供应商存在劳动关系，或者担任过供应商的董事、监事，或者是供应商的控股股东或实际控制人；</w:t>
      </w:r>
    </w:p>
    <w:p>
      <w:pPr>
        <w:numPr>
          <w:ilvl w:val="0"/>
          <w:numId w:val="3"/>
        </w:numPr>
        <w:spacing w:line="360" w:lineRule="auto"/>
        <w:ind w:firstLine="420" w:firstLineChars="200"/>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pPr>
        <w:numPr>
          <w:ilvl w:val="0"/>
          <w:numId w:val="3"/>
        </w:numPr>
        <w:spacing w:line="360" w:lineRule="auto"/>
        <w:ind w:firstLine="420" w:firstLineChars="200"/>
        <w:rPr>
          <w:rFonts w:ascii="宋体" w:hAnsi="宋体" w:cs="宋体"/>
          <w:szCs w:val="21"/>
        </w:rPr>
      </w:pPr>
      <w:r>
        <w:rPr>
          <w:rFonts w:hint="eastAsia" w:ascii="宋体" w:hAnsi="宋体" w:cs="宋体"/>
          <w:szCs w:val="21"/>
        </w:rPr>
        <w:t>与供应商有其他可能影响政府采购活动公平、公正进行的关系。</w:t>
      </w:r>
    </w:p>
    <w:p>
      <w:pPr>
        <w:spacing w:line="360" w:lineRule="auto"/>
        <w:ind w:firstLine="315" w:firstLineChars="150"/>
        <w:rPr>
          <w:rFonts w:ascii="宋体" w:hAnsi="宋体" w:cs="宋体"/>
          <w:szCs w:val="21"/>
        </w:rPr>
      </w:pPr>
      <w:r>
        <w:rPr>
          <w:rFonts w:hint="eastAsia" w:ascii="宋体" w:hAnsi="宋体" w:cs="宋体"/>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315" w:firstLineChars="150"/>
        <w:rPr>
          <w:rFonts w:ascii="宋体" w:hAnsi="宋体" w:cs="宋体"/>
          <w:szCs w:val="21"/>
        </w:rPr>
      </w:pPr>
      <w:r>
        <w:rPr>
          <w:rFonts w:hint="eastAsia" w:ascii="宋体" w:hAnsi="宋体" w:cs="宋体"/>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6"/>
        <w:spacing w:before="0" w:after="0" w:line="360" w:lineRule="auto"/>
        <w:ind w:firstLine="411" w:firstLineChars="195"/>
        <w:jc w:val="both"/>
        <w:rPr>
          <w:rFonts w:ascii="宋体" w:hAnsi="宋体" w:cs="宋体"/>
          <w:sz w:val="21"/>
          <w:szCs w:val="21"/>
        </w:rPr>
      </w:pPr>
      <w:bookmarkStart w:id="153" w:name="_Toc8899"/>
      <w:bookmarkStart w:id="154" w:name="_Toc495957615"/>
      <w:bookmarkStart w:id="155" w:name="_Toc493058317"/>
      <w:bookmarkStart w:id="156" w:name="_Toc481567076"/>
      <w:r>
        <w:rPr>
          <w:rFonts w:hint="eastAsia" w:ascii="宋体" w:hAnsi="宋体" w:cs="宋体"/>
          <w:sz w:val="21"/>
          <w:szCs w:val="21"/>
        </w:rPr>
        <w:t>三、评标方法</w:t>
      </w:r>
      <w:bookmarkEnd w:id="153"/>
      <w:bookmarkEnd w:id="154"/>
      <w:bookmarkEnd w:id="155"/>
      <w:bookmarkEnd w:id="156"/>
    </w:p>
    <w:p>
      <w:pPr>
        <w:spacing w:line="360" w:lineRule="auto"/>
        <w:ind w:firstLine="420" w:firstLineChars="200"/>
        <w:rPr>
          <w:rFonts w:ascii="宋体" w:hAnsi="宋体" w:cs="宋体"/>
          <w:szCs w:val="21"/>
        </w:rPr>
      </w:pPr>
      <w:r>
        <w:rPr>
          <w:rFonts w:hint="eastAsia" w:ascii="宋体" w:hAnsi="宋体" w:cs="宋体"/>
          <w:szCs w:val="21"/>
        </w:rPr>
        <w:t>（一）本次招标项目的评标方法为：综合评分法。</w:t>
      </w:r>
    </w:p>
    <w:p>
      <w:pPr>
        <w:spacing w:line="360" w:lineRule="auto"/>
        <w:ind w:firstLine="420" w:firstLineChars="200"/>
        <w:rPr>
          <w:rFonts w:ascii="宋体" w:hAnsi="宋体" w:cs="宋体"/>
          <w:szCs w:val="21"/>
        </w:rPr>
      </w:pPr>
      <w:r>
        <w:rPr>
          <w:rFonts w:hint="eastAsia" w:ascii="宋体" w:hAnsi="宋体" w:cs="宋体"/>
          <w:szCs w:val="21"/>
        </w:rPr>
        <w:t>（二）评分权重</w:t>
      </w:r>
    </w:p>
    <w:tbl>
      <w:tblPr>
        <w:tblStyle w:val="35"/>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81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93" w:type="dxa"/>
            <w:vAlign w:val="center"/>
          </w:tcPr>
          <w:p>
            <w:pPr>
              <w:ind w:firstLine="200"/>
              <w:jc w:val="center"/>
              <w:rPr>
                <w:rFonts w:ascii="宋体" w:hAnsi="宋体" w:cs="宋体"/>
                <w:szCs w:val="21"/>
              </w:rPr>
            </w:pPr>
            <w:r>
              <w:rPr>
                <w:rFonts w:hint="eastAsia" w:ascii="宋体" w:hAnsi="宋体" w:cs="宋体"/>
                <w:szCs w:val="21"/>
              </w:rPr>
              <w:t>评分项目</w:t>
            </w:r>
          </w:p>
        </w:tc>
        <w:tc>
          <w:tcPr>
            <w:tcW w:w="2819" w:type="dxa"/>
            <w:vAlign w:val="center"/>
          </w:tcPr>
          <w:p>
            <w:pPr>
              <w:ind w:firstLine="200"/>
              <w:jc w:val="center"/>
              <w:rPr>
                <w:rFonts w:ascii="宋体" w:hAnsi="宋体" w:cs="宋体"/>
                <w:szCs w:val="21"/>
              </w:rPr>
            </w:pPr>
            <w:r>
              <w:rPr>
                <w:rFonts w:hint="eastAsia" w:ascii="宋体" w:hAnsi="宋体" w:cs="宋体"/>
                <w:szCs w:val="21"/>
              </w:rPr>
              <w:t>商务技术分（分）</w:t>
            </w:r>
          </w:p>
        </w:tc>
        <w:tc>
          <w:tcPr>
            <w:tcW w:w="2806" w:type="dxa"/>
            <w:vAlign w:val="center"/>
          </w:tcPr>
          <w:p>
            <w:pPr>
              <w:ind w:firstLine="200"/>
              <w:jc w:val="center"/>
              <w:rPr>
                <w:rFonts w:ascii="宋体" w:hAnsi="宋体" w:cs="宋体"/>
                <w:szCs w:val="21"/>
              </w:rPr>
            </w:pPr>
            <w:r>
              <w:rPr>
                <w:rFonts w:hint="eastAsia" w:ascii="宋体" w:hAnsi="宋体" w:cs="宋体"/>
                <w:szCs w:val="21"/>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393" w:type="dxa"/>
            <w:vAlign w:val="center"/>
          </w:tcPr>
          <w:p>
            <w:pPr>
              <w:ind w:firstLine="200"/>
              <w:jc w:val="center"/>
              <w:rPr>
                <w:rFonts w:ascii="宋体" w:hAnsi="宋体" w:cs="宋体"/>
                <w:szCs w:val="21"/>
              </w:rPr>
            </w:pPr>
            <w:r>
              <w:rPr>
                <w:rFonts w:hint="eastAsia" w:ascii="宋体" w:hAnsi="宋体" w:cs="宋体"/>
                <w:szCs w:val="21"/>
              </w:rPr>
              <w:t>权重</w:t>
            </w:r>
          </w:p>
        </w:tc>
        <w:tc>
          <w:tcPr>
            <w:tcW w:w="2819" w:type="dxa"/>
            <w:vAlign w:val="center"/>
          </w:tcPr>
          <w:p>
            <w:pPr>
              <w:ind w:firstLine="200"/>
              <w:jc w:val="center"/>
              <w:rPr>
                <w:rFonts w:ascii="宋体" w:hAnsi="宋体" w:cs="宋体"/>
                <w:szCs w:val="21"/>
              </w:rPr>
            </w:pPr>
            <w:r>
              <w:rPr>
                <w:rFonts w:hint="eastAsia" w:ascii="宋体" w:hAnsi="宋体" w:cs="宋体"/>
                <w:szCs w:val="21"/>
              </w:rPr>
              <w:t>80</w:t>
            </w:r>
          </w:p>
        </w:tc>
        <w:tc>
          <w:tcPr>
            <w:tcW w:w="2806" w:type="dxa"/>
            <w:vAlign w:val="center"/>
          </w:tcPr>
          <w:p>
            <w:pPr>
              <w:ind w:firstLine="200"/>
              <w:jc w:val="center"/>
              <w:rPr>
                <w:rFonts w:ascii="宋体" w:hAnsi="宋体" w:cs="宋体"/>
                <w:szCs w:val="21"/>
              </w:rPr>
            </w:pPr>
            <w:r>
              <w:rPr>
                <w:rFonts w:hint="eastAsia" w:ascii="宋体" w:hAnsi="宋体" w:cs="宋体"/>
                <w:szCs w:val="21"/>
              </w:rPr>
              <w:t>20</w:t>
            </w:r>
          </w:p>
        </w:tc>
      </w:tr>
    </w:tbl>
    <w:p>
      <w:pPr>
        <w:spacing w:line="360" w:lineRule="auto"/>
        <w:ind w:firstLine="420" w:firstLineChars="200"/>
        <w:rPr>
          <w:rFonts w:ascii="宋体" w:hAnsi="宋体" w:cs="宋体"/>
          <w:szCs w:val="21"/>
        </w:rPr>
      </w:pPr>
      <w:r>
        <w:rPr>
          <w:rFonts w:hint="eastAsia" w:ascii="宋体" w:hAnsi="宋体" w:cs="宋体"/>
          <w:szCs w:val="21"/>
        </w:rPr>
        <w:t>1、价格分采用低价优先法计算，即满足招标文件要求且参与评审价格最低为评标基准价，其价格分为满分。其他投标人的价格分按照下列公式计算：</w:t>
      </w:r>
    </w:p>
    <w:p>
      <w:pPr>
        <w:spacing w:line="360" w:lineRule="auto"/>
        <w:ind w:firstLine="420" w:firstLineChars="200"/>
        <w:rPr>
          <w:rFonts w:ascii="宋体" w:hAnsi="宋体" w:cs="宋体"/>
          <w:szCs w:val="21"/>
        </w:rPr>
      </w:pPr>
      <w:r>
        <w:rPr>
          <w:rFonts w:hint="eastAsia" w:ascii="宋体" w:hAnsi="宋体" w:cs="宋体"/>
          <w:szCs w:val="21"/>
        </w:rPr>
        <w:t>价格分=（评标基准价/投标报价）×价格权值×100</w:t>
      </w:r>
    </w:p>
    <w:p>
      <w:pPr>
        <w:spacing w:line="360" w:lineRule="auto"/>
        <w:ind w:firstLine="420" w:firstLineChars="200"/>
        <w:rPr>
          <w:rFonts w:ascii="宋体" w:hAnsi="宋体" w:cs="宋体"/>
          <w:szCs w:val="21"/>
        </w:rPr>
      </w:pPr>
      <w:r>
        <w:rPr>
          <w:rFonts w:hint="eastAsia" w:ascii="宋体" w:hAnsi="宋体" w:cs="宋体"/>
          <w:szCs w:val="21"/>
        </w:rPr>
        <w:t>2、合格投标人评标综合得分=商务技术分+</w:t>
      </w:r>
      <w:r>
        <w:rPr>
          <w:rFonts w:hint="eastAsia" w:ascii="宋体" w:hAnsi="宋体" w:cs="宋体"/>
        </w:rPr>
        <w:t>价格分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3、报价要求：本次招标设有预算价(或最高限价)，投标人报价超出预算价(或最高限价)的投标文件作无效处理。</w:t>
      </w:r>
    </w:p>
    <w:p>
      <w:pPr>
        <w:spacing w:line="360" w:lineRule="auto"/>
        <w:ind w:firstLine="420" w:firstLineChars="200"/>
        <w:rPr>
          <w:rStyle w:val="67"/>
          <w:rFonts w:ascii="宋体" w:hAnsi="宋体"/>
          <w:kern w:val="0"/>
          <w:szCs w:val="21"/>
        </w:rPr>
      </w:pPr>
      <w:r>
        <w:rPr>
          <w:rFonts w:hint="eastAsia" w:ascii="宋体" w:hAnsi="宋体" w:cs="宋体"/>
          <w:szCs w:val="21"/>
        </w:rPr>
        <w:t>4、</w:t>
      </w:r>
      <w:r>
        <w:rPr>
          <w:rFonts w:hint="eastAsia" w:ascii="宋体" w:hAnsi="宋体" w:cs="宋体"/>
          <w:kern w:val="0"/>
          <w:szCs w:val="21"/>
        </w:rPr>
        <w:t>采用综合评分法的，评标结果按评审后得分由高到低顺序排列。</w:t>
      </w:r>
      <w:r>
        <w:rPr>
          <w:rFonts w:hint="eastAsia" w:ascii="宋体" w:hAnsi="宋体" w:cs="宋体"/>
          <w:szCs w:val="21"/>
        </w:rPr>
        <w:t>得分相同的，按投标报价由低到高顺序排列。得分且投标报价相同的并列。投标文件满足采购文件全部实质性要求，且得分最高的供应商为排名第一的中标候选人，排名第二的为第二中标候选人。</w:t>
      </w:r>
    </w:p>
    <w:p>
      <w:pPr>
        <w:spacing w:line="360" w:lineRule="auto"/>
        <w:ind w:firstLine="420" w:firstLineChars="200"/>
        <w:rPr>
          <w:rFonts w:ascii="宋体" w:hAnsi="宋体" w:cs="宋体"/>
          <w:szCs w:val="21"/>
        </w:rPr>
      </w:pPr>
      <w:r>
        <w:rPr>
          <w:rFonts w:hint="eastAsia" w:ascii="宋体" w:hAnsi="宋体" w:cs="宋体"/>
          <w:szCs w:val="21"/>
        </w:rPr>
        <w:t>（三）</w:t>
      </w:r>
      <w:bookmarkStart w:id="157" w:name="_Toc481567079"/>
      <w:r>
        <w:rPr>
          <w:rFonts w:hint="eastAsia" w:ascii="宋体" w:hAnsi="宋体" w:cs="宋体"/>
          <w:szCs w:val="21"/>
        </w:rPr>
        <w:t>投标文件的澄清</w:t>
      </w:r>
      <w:bookmarkEnd w:id="157"/>
    </w:p>
    <w:p>
      <w:pPr>
        <w:spacing w:line="360" w:lineRule="auto"/>
        <w:ind w:firstLine="420" w:firstLineChars="200"/>
        <w:rPr>
          <w:rFonts w:ascii="宋体" w:hAnsi="宋体" w:cs="宋体"/>
          <w:szCs w:val="21"/>
        </w:rPr>
      </w:pPr>
      <w:r>
        <w:rPr>
          <w:rFonts w:hint="eastAsia" w:ascii="宋体" w:hAnsi="宋体" w:cs="宋体"/>
          <w:szCs w:val="21"/>
        </w:rPr>
        <w:t>1、对于投标文件中含义不明确、同类问题表述不一致或者有明显文字和计算错误的内容，评标委员会可要求投标人以书面形式作出必要的澄清、说明或者补正。</w:t>
      </w:r>
    </w:p>
    <w:p>
      <w:pPr>
        <w:spacing w:line="360" w:lineRule="auto"/>
        <w:ind w:firstLine="420" w:firstLineChars="200"/>
        <w:rPr>
          <w:rFonts w:ascii="宋体" w:hAnsi="宋体" w:cs="宋体"/>
          <w:szCs w:val="21"/>
        </w:rPr>
      </w:pPr>
      <w:r>
        <w:rPr>
          <w:rFonts w:hint="eastAsia" w:ascii="宋体" w:hAnsi="宋体" w:cs="宋体"/>
          <w:szCs w:val="21"/>
        </w:rPr>
        <w:t>2、投标人的澄清、说明或者补正应当采用书面形式，并加盖公章，或者由法定代表人或其授权代表签字确认，投标人的澄清、说明或者补正不得超出投标文件的范围或者改变投标文件的实质性内容。</w:t>
      </w:r>
    </w:p>
    <w:p>
      <w:pPr>
        <w:spacing w:line="360" w:lineRule="auto"/>
        <w:ind w:firstLine="420" w:firstLineChars="200"/>
        <w:rPr>
          <w:rFonts w:ascii="宋体" w:hAnsi="宋体" w:cs="宋体"/>
          <w:szCs w:val="21"/>
        </w:rPr>
      </w:pPr>
      <w:r>
        <w:rPr>
          <w:rFonts w:hint="eastAsia" w:ascii="宋体" w:hAnsi="宋体" w:cs="宋体"/>
          <w:szCs w:val="21"/>
        </w:rPr>
        <w:t>（四）投标文件错误修正原则</w:t>
      </w:r>
    </w:p>
    <w:p>
      <w:pPr>
        <w:pStyle w:val="123"/>
        <w:widowControl/>
        <w:spacing w:beforeLines="0" w:afterLines="0" w:line="360" w:lineRule="auto"/>
        <w:ind w:left="689"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pPr>
        <w:widowControl/>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pPr>
        <w:widowControl/>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pPr>
        <w:widowControl/>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pPr>
        <w:widowControl/>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pPr>
        <w:widowControl/>
        <w:numPr>
          <w:ilvl w:val="0"/>
          <w:numId w:val="4"/>
        </w:numPr>
        <w:spacing w:line="360" w:lineRule="auto"/>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pPr>
        <w:pStyle w:val="123"/>
        <w:widowControl/>
        <w:spacing w:beforeLines="0" w:afterLines="0" w:line="360" w:lineRule="auto"/>
        <w:ind w:firstLine="422"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pPr>
        <w:pStyle w:val="26"/>
        <w:spacing w:before="0" w:after="0" w:line="360" w:lineRule="auto"/>
        <w:ind w:firstLine="413" w:firstLineChars="196"/>
        <w:jc w:val="both"/>
        <w:rPr>
          <w:rFonts w:ascii="宋体" w:hAnsi="宋体" w:cs="宋体"/>
          <w:sz w:val="21"/>
          <w:szCs w:val="21"/>
        </w:rPr>
      </w:pPr>
      <w:bookmarkStart w:id="158" w:name="_Toc481567077"/>
      <w:bookmarkStart w:id="159" w:name="_Toc493058318"/>
      <w:bookmarkStart w:id="160" w:name="_Toc495957616"/>
      <w:bookmarkStart w:id="161" w:name="_Toc22403"/>
      <w:r>
        <w:rPr>
          <w:rFonts w:hint="eastAsia" w:ascii="宋体" w:hAnsi="宋体" w:cs="宋体"/>
          <w:sz w:val="21"/>
          <w:szCs w:val="21"/>
        </w:rPr>
        <w:t>四、评标</w:t>
      </w:r>
      <w:bookmarkEnd w:id="150"/>
      <w:bookmarkEnd w:id="151"/>
      <w:bookmarkEnd w:id="158"/>
      <w:r>
        <w:rPr>
          <w:rFonts w:hint="eastAsia" w:ascii="宋体" w:hAnsi="宋体" w:cs="宋体"/>
          <w:sz w:val="21"/>
          <w:szCs w:val="21"/>
        </w:rPr>
        <w:t>程序</w:t>
      </w:r>
      <w:bookmarkEnd w:id="159"/>
      <w:bookmarkEnd w:id="160"/>
      <w:bookmarkEnd w:id="161"/>
    </w:p>
    <w:p>
      <w:pPr>
        <w:spacing w:line="360" w:lineRule="auto"/>
        <w:ind w:firstLine="422" w:firstLineChars="200"/>
        <w:rPr>
          <w:rFonts w:ascii="宋体" w:hAnsi="宋体" w:cs="宋体"/>
          <w:b/>
          <w:szCs w:val="21"/>
        </w:rPr>
      </w:pPr>
      <w:r>
        <w:rPr>
          <w:rFonts w:hint="eastAsia" w:ascii="宋体" w:hAnsi="宋体" w:cs="宋体"/>
          <w:b/>
          <w:szCs w:val="21"/>
        </w:rPr>
        <w:t>（一）资格条件审查</w:t>
      </w:r>
    </w:p>
    <w:p>
      <w:pPr>
        <w:spacing w:line="360" w:lineRule="auto"/>
        <w:ind w:firstLine="522" w:firstLineChars="249"/>
        <w:rPr>
          <w:rFonts w:ascii="宋体" w:hAnsi="宋体" w:cs="宋体"/>
          <w:szCs w:val="21"/>
        </w:rPr>
      </w:pPr>
      <w:r>
        <w:rPr>
          <w:rFonts w:hint="eastAsia" w:ascii="宋体" w:hAnsi="宋体" w:cs="宋体"/>
          <w:szCs w:val="21"/>
        </w:rPr>
        <w:t>由招标人或代理机构对投标人的资格进行审查。</w:t>
      </w:r>
    </w:p>
    <w:tbl>
      <w:tblPr>
        <w:tblStyle w:val="35"/>
        <w:tblW w:w="87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71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521" w:type="dxa"/>
          </w:tcPr>
          <w:p>
            <w:pPr>
              <w:spacing w:line="400" w:lineRule="exact"/>
              <w:jc w:val="center"/>
              <w:rPr>
                <w:rFonts w:ascii="宋体" w:hAnsi="宋体" w:cs="宋体"/>
                <w:b/>
                <w:bCs/>
                <w:szCs w:val="21"/>
              </w:rPr>
            </w:pPr>
            <w:r>
              <w:rPr>
                <w:rFonts w:hint="eastAsia" w:ascii="宋体" w:hAnsi="宋体" w:cs="宋体"/>
                <w:b/>
                <w:bCs/>
                <w:szCs w:val="21"/>
              </w:rPr>
              <w:t>审查类别</w:t>
            </w:r>
          </w:p>
        </w:tc>
        <w:tc>
          <w:tcPr>
            <w:tcW w:w="7194" w:type="dxa"/>
          </w:tcPr>
          <w:p>
            <w:pPr>
              <w:spacing w:line="400" w:lineRule="exact"/>
              <w:jc w:val="center"/>
              <w:rPr>
                <w:rFonts w:ascii="宋体" w:hAnsi="宋体" w:cs="宋体"/>
                <w:b/>
                <w:bCs/>
                <w:szCs w:val="21"/>
              </w:rPr>
            </w:pPr>
            <w:r>
              <w:rPr>
                <w:rFonts w:hint="eastAsia" w:ascii="宋体" w:hAnsi="宋体" w:cs="宋体"/>
                <w:b/>
                <w:bCs/>
                <w:szCs w:val="21"/>
              </w:rPr>
              <w:t>审查内容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restart"/>
            <w:vAlign w:val="center"/>
          </w:tcPr>
          <w:p>
            <w:pPr>
              <w:spacing w:line="400" w:lineRule="exact"/>
              <w:rPr>
                <w:rFonts w:ascii="宋体" w:hAnsi="宋体" w:cs="宋体"/>
                <w:szCs w:val="21"/>
              </w:rPr>
            </w:pPr>
            <w:r>
              <w:rPr>
                <w:rFonts w:hint="eastAsia" w:ascii="宋体" w:hAnsi="宋体" w:cs="宋体"/>
                <w:szCs w:val="21"/>
              </w:rPr>
              <w:t>资格条件审查</w:t>
            </w:r>
          </w:p>
        </w:tc>
        <w:tc>
          <w:tcPr>
            <w:tcW w:w="7194" w:type="dxa"/>
            <w:vAlign w:val="center"/>
          </w:tcPr>
          <w:p>
            <w:pPr>
              <w:tabs>
                <w:tab w:val="left" w:pos="612"/>
              </w:tabs>
              <w:spacing w:line="400" w:lineRule="exact"/>
              <w:rPr>
                <w:rFonts w:ascii="宋体" w:hAnsi="宋体" w:cs="宋体"/>
                <w:szCs w:val="21"/>
              </w:rPr>
            </w:pPr>
            <w:r>
              <w:rPr>
                <w:rFonts w:hint="eastAsia" w:ascii="宋体" w:hAnsi="宋体" w:cs="宋体"/>
                <w:szCs w:val="21"/>
              </w:rPr>
              <w:t>1.满足《中华人民共和国政府采购法》第二十二条规定。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vAlign w:val="center"/>
          </w:tcPr>
          <w:p>
            <w:pPr>
              <w:spacing w:line="400" w:lineRule="exact"/>
              <w:rPr>
                <w:rFonts w:ascii="宋体" w:hAnsi="宋体" w:cs="宋体"/>
                <w:szCs w:val="21"/>
              </w:rPr>
            </w:pPr>
          </w:p>
        </w:tc>
        <w:tc>
          <w:tcPr>
            <w:tcW w:w="7194" w:type="dxa"/>
            <w:vAlign w:val="center"/>
          </w:tcPr>
          <w:p>
            <w:pPr>
              <w:tabs>
                <w:tab w:val="left" w:pos="612"/>
              </w:tabs>
              <w:spacing w:line="400" w:lineRule="exact"/>
              <w:rPr>
                <w:rFonts w:ascii="宋体" w:hAnsi="宋体" w:cs="宋体"/>
                <w:szCs w:val="21"/>
              </w:rPr>
            </w:pPr>
            <w:r>
              <w:rPr>
                <w:rFonts w:hint="eastAsia" w:ascii="宋体" w:hAnsi="宋体" w:cs="宋体"/>
                <w:szCs w:val="21"/>
              </w:rPr>
              <w:t>2.有效的企业法人营业执照（或事业法人登记证）、其他组织（个体工商户）的营业执照或者民办非企业单位登记证书复印件（复印件加盖公章），若为联合体投标的，则联合体各方均须提供；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tcPr>
          <w:p>
            <w:pPr>
              <w:spacing w:line="400" w:lineRule="exact"/>
              <w:rPr>
                <w:rFonts w:ascii="宋体" w:hAnsi="宋体" w:cs="宋体"/>
                <w:szCs w:val="21"/>
              </w:rPr>
            </w:pPr>
          </w:p>
        </w:tc>
        <w:tc>
          <w:tcPr>
            <w:tcW w:w="7194" w:type="dxa"/>
            <w:vAlign w:val="center"/>
          </w:tcPr>
          <w:p>
            <w:pPr>
              <w:tabs>
                <w:tab w:val="left" w:pos="612"/>
              </w:tabs>
              <w:spacing w:line="400" w:lineRule="exact"/>
              <w:rPr>
                <w:rFonts w:ascii="宋体" w:hAnsi="宋体" w:cs="宋体"/>
                <w:szCs w:val="21"/>
              </w:rPr>
            </w:pPr>
            <w:r>
              <w:rPr>
                <w:rFonts w:hint="eastAsia" w:ascii="宋体" w:hAnsi="宋体" w:cs="宋体"/>
                <w:szCs w:val="21"/>
              </w:rPr>
              <w:t>3.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tcPr>
          <w:p>
            <w:pPr>
              <w:spacing w:line="400" w:lineRule="exact"/>
              <w:rPr>
                <w:rFonts w:ascii="宋体" w:hAnsi="宋体" w:cs="宋体"/>
                <w:szCs w:val="21"/>
              </w:rPr>
            </w:pPr>
          </w:p>
        </w:tc>
        <w:tc>
          <w:tcPr>
            <w:tcW w:w="7194" w:type="dxa"/>
            <w:vAlign w:val="center"/>
          </w:tcPr>
          <w:p>
            <w:pPr>
              <w:tabs>
                <w:tab w:val="left" w:pos="612"/>
              </w:tabs>
              <w:spacing w:line="400" w:lineRule="exact"/>
              <w:rPr>
                <w:rFonts w:ascii="宋体" w:hAnsi="宋体" w:cs="宋体"/>
                <w:szCs w:val="21"/>
              </w:rPr>
            </w:pPr>
            <w:r>
              <w:rPr>
                <w:rFonts w:hint="eastAsia" w:ascii="宋体" w:hAnsi="宋体" w:cs="宋体"/>
                <w:szCs w:val="21"/>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521" w:type="dxa"/>
            <w:vMerge w:val="continue"/>
          </w:tcPr>
          <w:p>
            <w:pPr>
              <w:spacing w:line="400" w:lineRule="exact"/>
              <w:rPr>
                <w:rFonts w:ascii="宋体" w:hAnsi="宋体" w:cs="宋体"/>
                <w:szCs w:val="21"/>
              </w:rPr>
            </w:pPr>
          </w:p>
        </w:tc>
        <w:tc>
          <w:tcPr>
            <w:tcW w:w="7194" w:type="dxa"/>
            <w:vAlign w:val="center"/>
          </w:tcPr>
          <w:p>
            <w:pPr>
              <w:tabs>
                <w:tab w:val="left" w:pos="612"/>
              </w:tabs>
              <w:spacing w:line="400" w:lineRule="exact"/>
              <w:rPr>
                <w:rFonts w:ascii="宋体" w:hAnsi="宋体" w:cs="宋体"/>
                <w:szCs w:val="21"/>
              </w:rPr>
            </w:pPr>
            <w:r>
              <w:rPr>
                <w:rFonts w:hint="eastAsia" w:ascii="宋体" w:hAnsi="宋体" w:cs="宋体"/>
                <w:szCs w:val="21"/>
              </w:rPr>
              <w:t>5.本项目接受联合体投标。（以联合体形式投标的，提供联合协议。不以联合体形式投标的，则不需要提供）</w:t>
            </w:r>
          </w:p>
        </w:tc>
      </w:tr>
    </w:tbl>
    <w:p>
      <w:pPr>
        <w:spacing w:line="360" w:lineRule="auto"/>
        <w:ind w:firstLine="422" w:firstLineChars="200"/>
        <w:rPr>
          <w:rFonts w:ascii="宋体" w:hAnsi="宋体" w:cs="宋体"/>
          <w:b/>
          <w:szCs w:val="21"/>
        </w:rPr>
      </w:pPr>
      <w:r>
        <w:rPr>
          <w:rFonts w:hint="eastAsia" w:ascii="宋体" w:hAnsi="宋体" w:cs="宋体"/>
          <w:b/>
          <w:szCs w:val="21"/>
        </w:rPr>
        <w:t>（二）符合性审查</w:t>
      </w:r>
    </w:p>
    <w:p>
      <w:pPr>
        <w:spacing w:line="360" w:lineRule="auto"/>
        <w:ind w:firstLine="420" w:firstLineChars="200"/>
        <w:rPr>
          <w:rFonts w:ascii="宋体" w:hAnsi="宋体" w:cs="宋体"/>
          <w:szCs w:val="21"/>
        </w:rPr>
      </w:pPr>
      <w:r>
        <w:rPr>
          <w:rFonts w:hint="eastAsia" w:ascii="宋体" w:hAnsi="宋体" w:cs="宋体"/>
          <w:kern w:val="0"/>
          <w:szCs w:val="21"/>
        </w:rPr>
        <w:t>评标委员会应当对符合资格的投标人的投标文件进行符合性审查，以确定其是否满足招标文件的实质性要求。</w:t>
      </w:r>
    </w:p>
    <w:tbl>
      <w:tblPr>
        <w:tblStyle w:val="35"/>
        <w:tblW w:w="84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5328"/>
        <w:gridCol w:w="18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1209" w:type="dxa"/>
            <w:tcBorders>
              <w:tl2br w:val="nil"/>
              <w:tr2bl w:val="nil"/>
            </w:tcBorders>
          </w:tcPr>
          <w:p>
            <w:pPr>
              <w:snapToGrid w:val="0"/>
              <w:spacing w:line="400" w:lineRule="exact"/>
              <w:jc w:val="center"/>
              <w:rPr>
                <w:rFonts w:ascii="宋体" w:hAnsi="宋体" w:cs="宋体"/>
                <w:b/>
                <w:szCs w:val="21"/>
              </w:rPr>
            </w:pPr>
            <w:bookmarkStart w:id="162" w:name="_Toc259108323"/>
            <w:bookmarkStart w:id="163" w:name="_Toc249866767"/>
            <w:r>
              <w:rPr>
                <w:rFonts w:hint="eastAsia" w:ascii="宋体" w:hAnsi="宋体" w:cs="宋体"/>
                <w:b/>
                <w:szCs w:val="21"/>
              </w:rPr>
              <w:t>审查类别</w:t>
            </w:r>
          </w:p>
        </w:tc>
        <w:tc>
          <w:tcPr>
            <w:tcW w:w="5328" w:type="dxa"/>
            <w:tcBorders>
              <w:tl2br w:val="nil"/>
              <w:tr2bl w:val="nil"/>
            </w:tcBorders>
          </w:tcPr>
          <w:p>
            <w:pPr>
              <w:snapToGrid w:val="0"/>
              <w:spacing w:line="400" w:lineRule="exact"/>
              <w:jc w:val="center"/>
              <w:rPr>
                <w:rFonts w:ascii="宋体" w:hAnsi="宋体" w:cs="宋体"/>
                <w:b/>
                <w:szCs w:val="21"/>
              </w:rPr>
            </w:pPr>
            <w:r>
              <w:rPr>
                <w:rFonts w:hint="eastAsia" w:ascii="宋体" w:hAnsi="宋体" w:cs="宋体"/>
                <w:b/>
                <w:szCs w:val="21"/>
              </w:rPr>
              <w:t>审查内容</w:t>
            </w:r>
          </w:p>
        </w:tc>
        <w:tc>
          <w:tcPr>
            <w:tcW w:w="1887" w:type="dxa"/>
            <w:tcBorders>
              <w:tl2br w:val="nil"/>
              <w:tr2bl w:val="nil"/>
            </w:tcBorders>
          </w:tcPr>
          <w:p>
            <w:pPr>
              <w:snapToGrid w:val="0"/>
              <w:spacing w:line="400" w:lineRule="exact"/>
              <w:jc w:val="center"/>
              <w:rPr>
                <w:rFonts w:ascii="宋体" w:hAnsi="宋体" w:cs="宋体"/>
                <w:b/>
                <w:szCs w:val="21"/>
              </w:rPr>
            </w:pPr>
            <w:r>
              <w:rPr>
                <w:rFonts w:hint="eastAsia" w:ascii="宋体" w:hAnsi="宋体" w:cs="宋体"/>
                <w:b/>
                <w:bCs/>
                <w:szCs w:val="21"/>
              </w:rPr>
              <w:t>自查结论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restart"/>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符合性审查</w:t>
            </w:r>
          </w:p>
          <w:p>
            <w:pPr>
              <w:snapToGrid w:val="0"/>
              <w:spacing w:line="400" w:lineRule="exact"/>
              <w:jc w:val="center"/>
              <w:rPr>
                <w:rFonts w:ascii="宋体" w:hAnsi="宋体" w:cs="宋体"/>
                <w:szCs w:val="21"/>
              </w:rPr>
            </w:pPr>
            <w:r>
              <w:rPr>
                <w:rFonts w:hint="eastAsia" w:ascii="宋体" w:hAnsi="宋体" w:cs="宋体"/>
                <w:szCs w:val="21"/>
              </w:rPr>
              <w:t>（商务技术文件）</w:t>
            </w: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（一）按照采购文件规定要求签署或盖章；</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（二）投标文件有法定代表人签署本人姓名（或印盖本人姓名章），或签署人提供有效的法定代表人授权委托书且授权委托书填写项目齐全的；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kern w:val="0"/>
                <w:szCs w:val="21"/>
              </w:rPr>
            </w:pPr>
            <w:r>
              <w:rPr>
                <w:rFonts w:hint="eastAsia" w:ascii="宋体" w:hAnsi="宋体" w:cs="宋体"/>
                <w:szCs w:val="21"/>
              </w:rPr>
              <w:t>（三）投标有效期满足招标文件要求的；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（四）带“</w:t>
            </w:r>
            <w:r>
              <w:rPr>
                <w:rFonts w:hint="eastAsia" w:ascii="宋体" w:hAnsi="宋体"/>
              </w:rPr>
              <w:t>*</w:t>
            </w:r>
            <w:r>
              <w:rPr>
                <w:rFonts w:hint="eastAsia" w:ascii="宋体" w:hAnsi="宋体" w:cs="宋体"/>
                <w:szCs w:val="21"/>
              </w:rPr>
              <w:t>”的条款满足采购文件要求、已实质性响应采购文件要求且投标文件无采购人不能接受的附加条件的；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（五）投标文件中未含有采购人不能接受的附加条件的；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（六）投标文件提供资料不存在内容虚假的；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（七）不存在投标文件的实质性内容未使用中文表述、表述不明确、前后矛盾或者使用计量单位不符合招标文件要求的（经评标委员会认定并允许其当场更正的笔误除外）；</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（八）不存在投标文件的关键内容字迹模糊、无法辨认的，或者投标文件中经修正的内容字迹模糊难以辨认或者修改处未按规定签署、盖章的；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（九）不存在法律、法规和招标文件规定的其他无效情形；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（十）不存在未提供或未如实提供投标货物的技术参数，或者投标文件标明的响应或偏离与事实相符，或不存在虚假投标的；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（十一）投标技术方案明确，不存在一个或一个以上备选（替代）投标方案的。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（十二）商务技术文件不存在采购文件所规定的其它无效投标条款要求。</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restart"/>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符合性审查</w:t>
            </w:r>
          </w:p>
          <w:p>
            <w:pPr>
              <w:snapToGrid w:val="0"/>
              <w:spacing w:line="400" w:lineRule="exact"/>
              <w:ind w:firstLine="210" w:firstLineChars="100"/>
              <w:jc w:val="center"/>
              <w:rPr>
                <w:rFonts w:ascii="宋体" w:hAnsi="宋体" w:cs="宋体"/>
                <w:szCs w:val="21"/>
              </w:rPr>
            </w:pPr>
            <w:r>
              <w:rPr>
                <w:rFonts w:hint="eastAsia" w:ascii="宋体" w:hAnsi="宋体" w:cs="宋体"/>
                <w:szCs w:val="21"/>
              </w:rPr>
              <w:t>（报价文件）</w:t>
            </w:r>
          </w:p>
        </w:tc>
        <w:tc>
          <w:tcPr>
            <w:tcW w:w="5328" w:type="dxa"/>
            <w:tcBorders>
              <w:tl2br w:val="nil"/>
              <w:tr2bl w:val="nil"/>
            </w:tcBorders>
            <w:vAlign w:val="center"/>
          </w:tcPr>
          <w:p>
            <w:pPr>
              <w:snapToGrid w:val="0"/>
              <w:rPr>
                <w:rFonts w:ascii="宋体" w:hAnsi="宋体" w:cs="宋体"/>
                <w:szCs w:val="21"/>
              </w:rPr>
            </w:pPr>
            <w:r>
              <w:rPr>
                <w:rFonts w:hint="eastAsia" w:ascii="宋体" w:hAnsi="宋体" w:cs="宋体"/>
                <w:szCs w:val="21"/>
              </w:rPr>
              <w:t>（一）按照采购文件规定要求签署或盖章；</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rPr>
                <w:rFonts w:ascii="宋体" w:hAnsi="宋体" w:cs="宋体"/>
                <w:szCs w:val="21"/>
              </w:rPr>
            </w:pPr>
            <w:r>
              <w:rPr>
                <w:rFonts w:hint="eastAsia" w:ascii="宋体" w:hAnsi="宋体" w:cs="宋体"/>
                <w:szCs w:val="21"/>
              </w:rPr>
              <w:t>（二）采用人民币报价或者按照采购文件标明的币种报价的；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（三）不存在报价超出最高限价，或者超出采购预算金额，采购人不能支付的情形；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（四）不存在投标报价具有选择性的情形；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（五）投标报价中未出现重大缺项、漏项；</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（七）不存在法律、法规和采购文件规定的其他无效情形；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（八）报价文件不存在采购文件所规定的其它无效投标条款要求。</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bl>
    <w:p>
      <w:pPr>
        <w:spacing w:line="360" w:lineRule="auto"/>
        <w:ind w:firstLine="422" w:firstLineChars="200"/>
        <w:rPr>
          <w:rFonts w:ascii="宋体" w:hAnsi="宋体" w:cs="宋体"/>
          <w:b/>
          <w:szCs w:val="21"/>
        </w:rPr>
      </w:pPr>
      <w:r>
        <w:rPr>
          <w:rFonts w:hint="eastAsia" w:ascii="宋体" w:hAnsi="宋体" w:cs="宋体"/>
          <w:b/>
          <w:szCs w:val="21"/>
        </w:rPr>
        <w:t>（三）投标无效的情形</w:t>
      </w:r>
      <w:bookmarkEnd w:id="162"/>
      <w:bookmarkEnd w:id="163"/>
    </w:p>
    <w:p>
      <w:pPr>
        <w:spacing w:line="360" w:lineRule="auto"/>
        <w:ind w:firstLine="420" w:firstLineChars="200"/>
        <w:rPr>
          <w:rFonts w:ascii="宋体" w:hAnsi="宋体" w:cs="宋体"/>
          <w:szCs w:val="21"/>
        </w:rPr>
      </w:pPr>
      <w:r>
        <w:rPr>
          <w:rFonts w:hint="eastAsia" w:ascii="宋体" w:hAnsi="宋体" w:cs="宋体"/>
          <w:szCs w:val="21"/>
        </w:rPr>
        <w:t>没有响应招标文件实质性要求的投标将被视为无效投标。投标人不得通过修正或撤消不合要求的偏离或保留从而使其投标成为实质上响应的投标。</w:t>
      </w:r>
    </w:p>
    <w:p>
      <w:pPr>
        <w:spacing w:line="360" w:lineRule="auto"/>
        <w:ind w:firstLine="420" w:firstLineChars="200"/>
        <w:rPr>
          <w:rFonts w:ascii="宋体" w:hAnsi="宋体" w:cs="宋体"/>
          <w:szCs w:val="21"/>
        </w:rPr>
      </w:pPr>
      <w:r>
        <w:rPr>
          <w:rFonts w:hint="eastAsia" w:ascii="宋体" w:hAnsi="宋体" w:cs="宋体"/>
          <w:szCs w:val="21"/>
        </w:rPr>
        <w:t>A、在资格审查时，不具备招标文件中规定的资格要求的，或者资格证明文件不全的，或资格证明文件未按招标文件签署、盖章的，投标文件将被视为无效；</w:t>
      </w:r>
    </w:p>
    <w:p>
      <w:pPr>
        <w:spacing w:line="360" w:lineRule="auto"/>
        <w:ind w:firstLine="420" w:firstLineChars="200"/>
        <w:rPr>
          <w:rFonts w:ascii="宋体" w:hAnsi="宋体" w:cs="宋体"/>
          <w:szCs w:val="21"/>
        </w:rPr>
      </w:pPr>
      <w:r>
        <w:rPr>
          <w:rFonts w:hint="eastAsia" w:ascii="宋体" w:hAnsi="宋体" w:cs="宋体"/>
          <w:szCs w:val="21"/>
        </w:rPr>
        <w:t>B、在符合性审查时，如发现下列情形之一的，投标文件将被视为无效：</w:t>
      </w:r>
    </w:p>
    <w:p>
      <w:pPr>
        <w:spacing w:line="360" w:lineRule="auto"/>
        <w:ind w:firstLine="420" w:firstLineChars="200"/>
        <w:rPr>
          <w:rFonts w:ascii="宋体" w:hAnsi="宋体" w:cs="宋体"/>
          <w:szCs w:val="21"/>
        </w:rPr>
      </w:pPr>
      <w:r>
        <w:rPr>
          <w:rFonts w:hint="eastAsia" w:ascii="宋体" w:hAnsi="宋体" w:cs="宋体"/>
          <w:szCs w:val="21"/>
        </w:rPr>
        <w:t>（1）投标文件未按招标文件要求签署、签章的；</w:t>
      </w:r>
    </w:p>
    <w:p>
      <w:pPr>
        <w:spacing w:line="360" w:lineRule="auto"/>
        <w:ind w:firstLine="420" w:firstLineChars="200"/>
        <w:rPr>
          <w:rFonts w:ascii="宋体" w:hAnsi="宋体" w:cs="宋体"/>
          <w:szCs w:val="21"/>
        </w:rPr>
      </w:pPr>
      <w:r>
        <w:rPr>
          <w:rFonts w:hint="eastAsia" w:ascii="宋体" w:hAnsi="宋体" w:cs="宋体"/>
          <w:szCs w:val="21"/>
        </w:rPr>
        <w:t>（2）投标有效期不满足招标文件要求的；</w:t>
      </w:r>
    </w:p>
    <w:p>
      <w:pPr>
        <w:spacing w:line="360" w:lineRule="auto"/>
        <w:ind w:firstLine="420" w:firstLineChars="200"/>
        <w:rPr>
          <w:rFonts w:ascii="宋体" w:hAnsi="宋体" w:cs="宋体"/>
          <w:szCs w:val="21"/>
        </w:rPr>
      </w:pPr>
      <w:r>
        <w:rPr>
          <w:rFonts w:hint="eastAsia" w:ascii="宋体" w:hAnsi="宋体" w:cs="宋体"/>
          <w:szCs w:val="21"/>
        </w:rPr>
        <w:t>（3）明显不符合招标文件要求的，或者与招标文件中标注“*”的条款发生实质性偏离的；</w:t>
      </w:r>
    </w:p>
    <w:p>
      <w:pPr>
        <w:spacing w:line="360" w:lineRule="auto"/>
        <w:ind w:firstLine="420" w:firstLineChars="200"/>
        <w:rPr>
          <w:rFonts w:ascii="宋体" w:hAnsi="宋体" w:cs="宋体"/>
          <w:szCs w:val="21"/>
        </w:rPr>
      </w:pPr>
      <w:r>
        <w:rPr>
          <w:rFonts w:hint="eastAsia" w:ascii="宋体" w:hAnsi="宋体" w:cs="宋体"/>
          <w:szCs w:val="21"/>
        </w:rPr>
        <w:t>（4）投标文件中含有采购人不能接受的附加条件的；</w:t>
      </w:r>
    </w:p>
    <w:p>
      <w:pPr>
        <w:spacing w:line="360" w:lineRule="auto"/>
        <w:ind w:firstLine="420" w:firstLineChars="200"/>
        <w:rPr>
          <w:rFonts w:ascii="宋体" w:hAnsi="宋体" w:cs="宋体"/>
          <w:szCs w:val="21"/>
        </w:rPr>
      </w:pPr>
      <w:r>
        <w:rPr>
          <w:rFonts w:hint="eastAsia" w:ascii="宋体" w:hAnsi="宋体" w:cs="宋体"/>
          <w:szCs w:val="21"/>
        </w:rPr>
        <w:t>（5）投标文件提供资料内容虚假的；</w:t>
      </w:r>
    </w:p>
    <w:p>
      <w:pPr>
        <w:spacing w:line="360" w:lineRule="auto"/>
        <w:ind w:firstLine="420" w:firstLineChars="200"/>
        <w:rPr>
          <w:rFonts w:ascii="宋体" w:hAnsi="宋体" w:cs="宋体"/>
          <w:szCs w:val="21"/>
        </w:rPr>
      </w:pPr>
      <w:r>
        <w:rPr>
          <w:rFonts w:hint="eastAsia" w:ascii="宋体" w:hAnsi="宋体" w:cs="宋体"/>
          <w:szCs w:val="21"/>
        </w:rPr>
        <w:t>（6）投标文件的实质性内容未使用中文表述、表述不明确、前后矛盾或者使用计量单位不符合招标文件要求的（经评标委员会认定并允许其当场更正的笔误除外）；</w:t>
      </w:r>
    </w:p>
    <w:p>
      <w:pPr>
        <w:spacing w:line="360" w:lineRule="auto"/>
        <w:ind w:firstLine="420" w:firstLineChars="200"/>
        <w:rPr>
          <w:rFonts w:ascii="宋体" w:hAnsi="宋体" w:cs="宋体"/>
          <w:szCs w:val="21"/>
        </w:rPr>
      </w:pPr>
      <w:r>
        <w:rPr>
          <w:rFonts w:hint="eastAsia" w:ascii="宋体" w:hAnsi="宋体" w:cs="宋体"/>
          <w:szCs w:val="21"/>
        </w:rPr>
        <w:t xml:space="preserve">（7）投标文件的关键内容字迹模糊、无法辨认的，或者投标文件中经修正的内容字迹模糊难以辨认或者修改处未按规定签署、盖章的； </w:t>
      </w:r>
    </w:p>
    <w:p>
      <w:pPr>
        <w:spacing w:line="360" w:lineRule="auto"/>
        <w:ind w:firstLine="420" w:firstLineChars="200"/>
        <w:rPr>
          <w:rFonts w:ascii="宋体" w:hAnsi="宋体" w:cs="宋体"/>
          <w:szCs w:val="21"/>
        </w:rPr>
      </w:pPr>
      <w:r>
        <w:rPr>
          <w:rFonts w:hint="eastAsia" w:ascii="宋体" w:hAnsi="宋体" w:cs="宋体"/>
          <w:szCs w:val="21"/>
        </w:rPr>
        <w:t>（8）法律、法规和招标文件规定的其他无效情形；</w:t>
      </w:r>
    </w:p>
    <w:p>
      <w:pPr>
        <w:spacing w:line="360" w:lineRule="auto"/>
        <w:ind w:firstLine="420" w:firstLineChars="200"/>
        <w:rPr>
          <w:rFonts w:ascii="宋体" w:hAnsi="宋体" w:cs="宋体"/>
          <w:szCs w:val="21"/>
        </w:rPr>
      </w:pPr>
      <w:r>
        <w:rPr>
          <w:rFonts w:hint="eastAsia" w:ascii="宋体" w:hAnsi="宋体" w:cs="宋体"/>
          <w:szCs w:val="21"/>
        </w:rPr>
        <w:t>C、在商务技术评审，如发现下列情形之一的，将被视为无效投标文件：</w:t>
      </w:r>
    </w:p>
    <w:p>
      <w:pPr>
        <w:spacing w:line="360" w:lineRule="auto"/>
        <w:ind w:firstLine="420" w:firstLineChars="200"/>
        <w:rPr>
          <w:rFonts w:ascii="宋体" w:hAnsi="宋体" w:cs="宋体"/>
          <w:szCs w:val="21"/>
        </w:rPr>
      </w:pPr>
      <w:r>
        <w:rPr>
          <w:rFonts w:hint="eastAsia" w:ascii="宋体" w:hAnsi="宋体" w:cs="宋体"/>
          <w:szCs w:val="21"/>
        </w:rPr>
        <w:t>1、未提供或未如实提供投标货物的技术参数，或者投标文件标明的响应或偏离与事实不符或虚假投标的；</w:t>
      </w:r>
    </w:p>
    <w:p>
      <w:pPr>
        <w:spacing w:line="360" w:lineRule="auto"/>
        <w:ind w:firstLine="420" w:firstLineChars="200"/>
        <w:rPr>
          <w:rFonts w:ascii="宋体" w:hAnsi="宋体" w:cs="宋体"/>
          <w:szCs w:val="21"/>
        </w:rPr>
      </w:pPr>
      <w:r>
        <w:rPr>
          <w:rFonts w:hint="eastAsia" w:ascii="宋体" w:hAnsi="宋体" w:cs="宋体"/>
          <w:szCs w:val="21"/>
        </w:rPr>
        <w:t>2、投标技术方案不明确，存在一个或一个以上备选（替代）投标方案的；</w:t>
      </w:r>
    </w:p>
    <w:p>
      <w:pPr>
        <w:spacing w:line="360" w:lineRule="auto"/>
        <w:ind w:firstLine="420" w:firstLineChars="200"/>
        <w:rPr>
          <w:rFonts w:ascii="宋体" w:hAnsi="宋体" w:cs="宋体"/>
          <w:szCs w:val="21"/>
        </w:rPr>
      </w:pPr>
      <w:r>
        <w:rPr>
          <w:rFonts w:hint="eastAsia" w:ascii="宋体" w:hAnsi="宋体" w:cs="宋体"/>
          <w:szCs w:val="21"/>
        </w:rPr>
        <w:t>D、在报价评审时，如发现下列情形之一的，投标文件将被视为无效：</w:t>
      </w:r>
    </w:p>
    <w:p>
      <w:pPr>
        <w:spacing w:line="360" w:lineRule="auto"/>
        <w:ind w:firstLine="420" w:firstLineChars="200"/>
        <w:rPr>
          <w:rFonts w:ascii="宋体" w:hAnsi="宋体" w:cs="宋体"/>
          <w:szCs w:val="21"/>
        </w:rPr>
      </w:pPr>
      <w:r>
        <w:rPr>
          <w:rFonts w:hint="eastAsia" w:ascii="宋体" w:hAnsi="宋体" w:cs="宋体"/>
          <w:szCs w:val="21"/>
        </w:rPr>
        <w:t>1、报价超过招标文件中规定的预算金额或者最高限价的；</w:t>
      </w:r>
    </w:p>
    <w:p>
      <w:pPr>
        <w:spacing w:line="360" w:lineRule="auto"/>
        <w:ind w:firstLine="420" w:firstLineChars="200"/>
        <w:rPr>
          <w:rFonts w:ascii="宋体" w:hAnsi="宋体" w:cs="宋体"/>
          <w:szCs w:val="21"/>
        </w:rPr>
      </w:pPr>
      <w:r>
        <w:rPr>
          <w:rFonts w:hint="eastAsia" w:ascii="宋体" w:hAnsi="宋体" w:cs="宋体"/>
          <w:szCs w:val="21"/>
        </w:rPr>
        <w:t>2、未采用投标文件要求的报价形式报价的；</w:t>
      </w:r>
    </w:p>
    <w:p>
      <w:pPr>
        <w:spacing w:line="360" w:lineRule="auto"/>
        <w:ind w:firstLine="420" w:firstLineChars="200"/>
        <w:rPr>
          <w:rFonts w:ascii="宋体" w:hAnsi="宋体" w:cs="宋体"/>
          <w:szCs w:val="21"/>
        </w:rPr>
      </w:pPr>
      <w:r>
        <w:rPr>
          <w:rFonts w:hint="eastAsia" w:ascii="宋体" w:hAnsi="宋体" w:cs="宋体"/>
          <w:szCs w:val="21"/>
        </w:rPr>
        <w:t>3、投标报价具有选择性的；</w:t>
      </w:r>
    </w:p>
    <w:p>
      <w:pPr>
        <w:spacing w:line="360" w:lineRule="auto"/>
        <w:ind w:firstLine="420" w:firstLineChars="200"/>
        <w:rPr>
          <w:rFonts w:ascii="宋体" w:hAnsi="宋体" w:cs="宋体"/>
          <w:szCs w:val="21"/>
        </w:rPr>
      </w:pPr>
      <w:r>
        <w:rPr>
          <w:rFonts w:hint="eastAsia" w:ascii="宋体" w:hAnsi="宋体" w:cs="宋体"/>
          <w:szCs w:val="21"/>
        </w:rPr>
        <w:t>4、投标报价中出现重大缺项、漏项；</w:t>
      </w:r>
    </w:p>
    <w:p>
      <w:pPr>
        <w:spacing w:line="360" w:lineRule="auto"/>
        <w:ind w:firstLine="420" w:firstLineChars="200"/>
        <w:rPr>
          <w:rFonts w:ascii="宋体" w:hAnsi="宋体" w:cs="宋体"/>
          <w:szCs w:val="21"/>
        </w:rPr>
      </w:pPr>
      <w:r>
        <w:rPr>
          <w:rFonts w:hint="eastAsia" w:ascii="宋体" w:hAnsi="宋体" w:cs="宋体"/>
          <w:szCs w:val="21"/>
        </w:rPr>
        <w:t>5、评标委员会认为投标人的报价明显低于其他通过符合性审查投标人的报价，有可能影响服务质量或者不能诚信履约的，且不能在评标现场合理时间内提供相关证明材料说明其报价的合理性的。</w:t>
      </w:r>
    </w:p>
    <w:p>
      <w:pPr>
        <w:spacing w:line="360" w:lineRule="auto"/>
        <w:ind w:firstLine="422" w:firstLineChars="200"/>
        <w:outlineLvl w:val="1"/>
        <w:rPr>
          <w:rFonts w:ascii="宋体" w:hAnsi="宋体" w:cs="宋体"/>
          <w:b/>
          <w:bCs/>
          <w:szCs w:val="21"/>
        </w:rPr>
      </w:pPr>
      <w:bookmarkStart w:id="164" w:name="_Toc4908"/>
      <w:r>
        <w:rPr>
          <w:rFonts w:hint="eastAsia" w:ascii="宋体" w:hAnsi="宋体" w:cs="宋体"/>
          <w:b/>
          <w:bCs/>
          <w:szCs w:val="21"/>
        </w:rPr>
        <w:t>五、</w:t>
      </w:r>
      <w:bookmarkStart w:id="165" w:name="_Hlk119483010"/>
      <w:r>
        <w:rPr>
          <w:rFonts w:hint="eastAsia" w:ascii="宋体" w:hAnsi="宋体" w:cs="宋体"/>
          <w:b/>
          <w:bCs/>
          <w:szCs w:val="21"/>
        </w:rPr>
        <w:t>评分标准表</w:t>
      </w:r>
      <w:bookmarkEnd w:id="164"/>
      <w:bookmarkStart w:id="166" w:name="_Toc460857944"/>
    </w:p>
    <w:p>
      <w:pPr>
        <w:spacing w:line="360" w:lineRule="auto"/>
        <w:ind w:firstLine="420" w:firstLineChars="200"/>
        <w:rPr>
          <w:rFonts w:ascii="宋体" w:hAnsi="宋体" w:cs="宋体"/>
          <w:szCs w:val="21"/>
        </w:rPr>
      </w:pPr>
      <w:r>
        <w:rPr>
          <w:rFonts w:hint="eastAsia" w:ascii="宋体" w:hAnsi="宋体" w:cs="宋体"/>
          <w:szCs w:val="21"/>
        </w:rPr>
        <w:t>标项一：江北交警大队辖区；海曙大队一中队、二中队、三中队、南站中队辖区；鄞州大队一中队、二中队、东部新城中队辖区；快速路大队辖区等范围内的事故拖车、停车服务</w:t>
      </w:r>
    </w:p>
    <w:tbl>
      <w:tblPr>
        <w:tblStyle w:val="35"/>
        <w:tblW w:w="98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393"/>
        <w:gridCol w:w="6148"/>
        <w:gridCol w:w="69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评分内容及标准</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分值</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价格分20分</w:t>
            </w: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Arial"/>
                <w:szCs w:val="21"/>
              </w:rPr>
              <w:t>拖车服务</w:t>
            </w:r>
            <w:r>
              <w:rPr>
                <w:rFonts w:hint="eastAsia" w:ascii="宋体" w:hAnsi="宋体" w:cs="宋体"/>
                <w:szCs w:val="21"/>
              </w:rPr>
              <w:t>（15分）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Arial"/>
                <w:szCs w:val="21"/>
              </w:rPr>
              <w:t>拖车服务</w:t>
            </w:r>
            <w:r>
              <w:rPr>
                <w:rFonts w:hint="eastAsia" w:ascii="宋体" w:hAnsi="宋体" w:cs="宋体"/>
                <w:szCs w:val="21"/>
              </w:rPr>
              <w:t>：</w:t>
            </w:r>
          </w:p>
          <w:p>
            <w:pPr>
              <w:tabs>
                <w:tab w:val="left" w:pos="0"/>
              </w:tabs>
              <w:adjustRightInd w:val="0"/>
              <w:textAlignment w:val="baseline"/>
              <w:rPr>
                <w:rFonts w:hint="eastAsia" w:ascii="宋体" w:hAnsi="宋体" w:eastAsia="宋体" w:cs="宋体"/>
                <w:szCs w:val="21"/>
                <w:lang w:val="en-US" w:eastAsia="zh-CN"/>
              </w:rPr>
            </w:pPr>
            <w:r>
              <w:rPr>
                <w:rFonts w:hint="eastAsia" w:ascii="宋体" w:hAnsi="宋体" w:cs="宋体"/>
                <w:szCs w:val="21"/>
              </w:rPr>
              <w:t>小微企业的参与评审的价格=投标折扣系数*</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价格折扣率（如有</w:t>
            </w:r>
            <w:r>
              <w:rPr>
                <w:rFonts w:hint="eastAsia" w:ascii="宋体" w:hAnsi="宋体" w:cs="宋体"/>
                <w:szCs w:val="21"/>
              </w:rPr>
              <w:t>）</w:t>
            </w:r>
            <w:r>
              <w:rPr>
                <w:rFonts w:hint="eastAsia" w:ascii="宋体" w:hAnsi="宋体" w:cs="宋体"/>
                <w:szCs w:val="21"/>
                <w:lang w:eastAsia="zh-CN"/>
              </w:rPr>
              <w:t>】</w:t>
            </w:r>
          </w:p>
          <w:p>
            <w:pPr>
              <w:tabs>
                <w:tab w:val="left" w:pos="0"/>
              </w:tabs>
              <w:adjustRightInd w:val="0"/>
              <w:textAlignment w:val="baseline"/>
              <w:rPr>
                <w:rFonts w:ascii="宋体" w:hAnsi="宋体" w:cs="宋体"/>
                <w:szCs w:val="21"/>
              </w:rPr>
            </w:pPr>
            <w:r>
              <w:rPr>
                <w:rFonts w:hint="eastAsia" w:ascii="宋体" w:hAnsi="宋体" w:cs="宋体"/>
                <w:szCs w:val="21"/>
              </w:rPr>
              <w:t>非小微企业的参与评审价格=投标折扣系数</w:t>
            </w:r>
          </w:p>
          <w:p>
            <w:pPr>
              <w:tabs>
                <w:tab w:val="left" w:pos="0"/>
              </w:tabs>
              <w:adjustRightInd w:val="0"/>
              <w:textAlignment w:val="baseline"/>
              <w:rPr>
                <w:rFonts w:ascii="宋体" w:hAnsi="宋体" w:cs="宋体"/>
                <w:szCs w:val="21"/>
              </w:rPr>
            </w:pPr>
            <w:r>
              <w:rPr>
                <w:rFonts w:hint="eastAsia" w:ascii="宋体" w:hAnsi="宋体" w:cs="宋体"/>
                <w:szCs w:val="21"/>
              </w:rPr>
              <w:t>评标基准价＝有效投标中最低的参与评审价格</w:t>
            </w:r>
          </w:p>
          <w:p>
            <w:pPr>
              <w:tabs>
                <w:tab w:val="left" w:pos="0"/>
              </w:tabs>
              <w:adjustRightInd w:val="0"/>
              <w:textAlignment w:val="baseline"/>
              <w:rPr>
                <w:rFonts w:ascii="宋体" w:hAnsi="宋体" w:cs="宋体"/>
                <w:szCs w:val="21"/>
              </w:rPr>
            </w:pPr>
            <w:r>
              <w:rPr>
                <w:rFonts w:hint="eastAsia" w:ascii="宋体" w:hAnsi="宋体" w:cs="宋体"/>
                <w:szCs w:val="21"/>
              </w:rPr>
              <w:t>评标基准价的价格分为满分15分，其他供应商的价格分统一按照下列公式计算：</w:t>
            </w:r>
          </w:p>
          <w:p>
            <w:pPr>
              <w:tabs>
                <w:tab w:val="left" w:pos="0"/>
              </w:tabs>
              <w:adjustRightInd w:val="0"/>
              <w:textAlignment w:val="baseline"/>
              <w:rPr>
                <w:rFonts w:ascii="宋体" w:hAnsi="宋体" w:cs="宋体"/>
                <w:szCs w:val="21"/>
              </w:rPr>
            </w:pPr>
            <w:r>
              <w:rPr>
                <w:rFonts w:hint="eastAsia" w:ascii="宋体" w:hAnsi="宋体" w:cs="宋体"/>
                <w:szCs w:val="21"/>
              </w:rPr>
              <w:t>投标报价得分=（评标基准价/参与评审的价格）×15×100%。</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Arial"/>
                <w:szCs w:val="21"/>
              </w:rPr>
              <w:t>停车服务</w:t>
            </w:r>
            <w:r>
              <w:rPr>
                <w:rFonts w:hint="eastAsia" w:ascii="宋体" w:hAnsi="宋体" w:cs="宋体"/>
                <w:szCs w:val="21"/>
              </w:rPr>
              <w:t>（5分）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Arial"/>
                <w:szCs w:val="21"/>
              </w:rPr>
              <w:t>停车服务</w:t>
            </w:r>
            <w:r>
              <w:rPr>
                <w:rFonts w:hint="eastAsia" w:ascii="宋体" w:hAnsi="宋体" w:cs="宋体"/>
                <w:szCs w:val="21"/>
              </w:rPr>
              <w:t>：</w:t>
            </w:r>
          </w:p>
          <w:p>
            <w:pPr>
              <w:tabs>
                <w:tab w:val="left" w:pos="0"/>
              </w:tabs>
              <w:adjustRightInd w:val="0"/>
              <w:textAlignment w:val="baseline"/>
              <w:rPr>
                <w:rFonts w:ascii="宋体" w:hAnsi="宋体" w:cs="宋体"/>
                <w:szCs w:val="21"/>
              </w:rPr>
            </w:pPr>
            <w:r>
              <w:rPr>
                <w:rFonts w:hint="eastAsia" w:ascii="宋体" w:hAnsi="宋体" w:cs="宋体"/>
                <w:szCs w:val="21"/>
              </w:rPr>
              <w:t>小微企业的参与评审的价格=投标报价*</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价格折扣率（如有</w:t>
            </w:r>
            <w:r>
              <w:rPr>
                <w:rFonts w:hint="eastAsia" w:ascii="宋体" w:hAnsi="宋体" w:cs="宋体"/>
                <w:szCs w:val="21"/>
              </w:rPr>
              <w:t>）</w:t>
            </w:r>
            <w:r>
              <w:rPr>
                <w:rFonts w:hint="eastAsia" w:ascii="宋体" w:hAnsi="宋体" w:cs="宋体"/>
                <w:szCs w:val="21"/>
                <w:lang w:eastAsia="zh-CN"/>
              </w:rPr>
              <w:t>】</w:t>
            </w:r>
          </w:p>
          <w:p>
            <w:pPr>
              <w:tabs>
                <w:tab w:val="left" w:pos="0"/>
              </w:tabs>
              <w:adjustRightInd w:val="0"/>
              <w:textAlignment w:val="baseline"/>
              <w:rPr>
                <w:rFonts w:ascii="宋体" w:hAnsi="宋体" w:cs="宋体"/>
                <w:szCs w:val="21"/>
              </w:rPr>
            </w:pPr>
            <w:r>
              <w:rPr>
                <w:rFonts w:hint="eastAsia" w:ascii="宋体" w:hAnsi="宋体" w:cs="宋体"/>
                <w:szCs w:val="21"/>
              </w:rPr>
              <w:t>非小微企业的参与评审价格=投标报价</w:t>
            </w:r>
          </w:p>
          <w:p>
            <w:pPr>
              <w:tabs>
                <w:tab w:val="left" w:pos="0"/>
              </w:tabs>
              <w:adjustRightInd w:val="0"/>
              <w:textAlignment w:val="baseline"/>
              <w:rPr>
                <w:rFonts w:ascii="宋体" w:hAnsi="宋体" w:cs="宋体"/>
                <w:szCs w:val="21"/>
              </w:rPr>
            </w:pPr>
            <w:r>
              <w:rPr>
                <w:rFonts w:hint="eastAsia" w:ascii="宋体" w:hAnsi="宋体" w:cs="宋体"/>
                <w:szCs w:val="21"/>
              </w:rPr>
              <w:t>评标基准价＝有效标中最低的参与评审价格</w:t>
            </w:r>
          </w:p>
          <w:p>
            <w:pPr>
              <w:tabs>
                <w:tab w:val="left" w:pos="0"/>
              </w:tabs>
              <w:adjustRightInd w:val="0"/>
              <w:textAlignment w:val="baseline"/>
              <w:rPr>
                <w:rFonts w:ascii="宋体" w:hAnsi="宋体" w:cs="宋体"/>
                <w:szCs w:val="21"/>
              </w:rPr>
            </w:pPr>
            <w:r>
              <w:rPr>
                <w:rFonts w:hint="eastAsia" w:ascii="宋体" w:hAnsi="宋体" w:cs="宋体"/>
                <w:szCs w:val="21"/>
              </w:rPr>
              <w:t>评标基准价的价格分为满分5分，其他供应商的价格分统一按照下列公式计算：</w:t>
            </w:r>
          </w:p>
          <w:p>
            <w:pPr>
              <w:tabs>
                <w:tab w:val="left" w:pos="0"/>
              </w:tabs>
              <w:adjustRightInd w:val="0"/>
              <w:textAlignment w:val="baseline"/>
              <w:rPr>
                <w:rFonts w:ascii="宋体" w:hAnsi="宋体" w:cs="宋体"/>
                <w:szCs w:val="21"/>
              </w:rPr>
            </w:pPr>
            <w:r>
              <w:rPr>
                <w:rFonts w:hint="eastAsia" w:ascii="宋体" w:hAnsi="宋体" w:cs="宋体"/>
                <w:szCs w:val="21"/>
              </w:rPr>
              <w:t>投标报价得分=（评标基准价/参与评审的价格）×5×100%。</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w:t>
            </w:r>
          </w:p>
          <w:p>
            <w:pPr>
              <w:jc w:val="center"/>
              <w:rPr>
                <w:rFonts w:ascii="宋体" w:hAnsi="宋体" w:cs="宋体"/>
                <w:szCs w:val="21"/>
              </w:rPr>
            </w:pPr>
            <w:r>
              <w:rPr>
                <w:rFonts w:hint="eastAsia" w:ascii="宋体" w:hAnsi="宋体" w:cs="宋体"/>
                <w:szCs w:val="21"/>
              </w:rPr>
              <w:t>技术分</w:t>
            </w:r>
          </w:p>
          <w:p>
            <w:pPr>
              <w:jc w:val="center"/>
              <w:rPr>
                <w:rFonts w:ascii="宋体" w:hAnsi="宋体" w:cs="宋体"/>
                <w:szCs w:val="21"/>
              </w:rPr>
            </w:pPr>
            <w:r>
              <w:rPr>
                <w:rFonts w:hint="eastAsia" w:ascii="宋体" w:hAnsi="宋体" w:cs="宋体"/>
                <w:szCs w:val="21"/>
              </w:rPr>
              <w:t>80分</w:t>
            </w:r>
          </w:p>
        </w:tc>
        <w:tc>
          <w:tcPr>
            <w:tcW w:w="1393"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车辆配备（12分）（投标文件中提供车辆行驶证复印件。如所投车辆为租赁车辆则需同时提供车辆租赁协议及车辆行驶证复印件加盖公章）</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根据投标人拟投入本项目小吨位拖车配备情况进行评议。</w:t>
            </w:r>
          </w:p>
          <w:p>
            <w:pPr>
              <w:tabs>
                <w:tab w:val="left" w:pos="0"/>
              </w:tabs>
              <w:adjustRightInd w:val="0"/>
              <w:textAlignment w:val="baseline"/>
              <w:rPr>
                <w:rFonts w:ascii="宋体" w:hAnsi="宋体" w:cs="宋体"/>
                <w:szCs w:val="21"/>
              </w:rPr>
            </w:pPr>
            <w:r>
              <w:rPr>
                <w:rFonts w:hint="eastAsia" w:ascii="宋体" w:hAnsi="宋体" w:cs="宋体"/>
                <w:szCs w:val="21"/>
              </w:rPr>
              <w:t>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根据投标人拟投入本项目大吨位拖车配备情况进行评议。</w:t>
            </w:r>
          </w:p>
          <w:p>
            <w:pPr>
              <w:tabs>
                <w:tab w:val="left" w:pos="0"/>
              </w:tabs>
              <w:adjustRightInd w:val="0"/>
              <w:textAlignment w:val="baseline"/>
              <w:rPr>
                <w:rFonts w:ascii="宋体" w:hAnsi="宋体" w:cs="宋体"/>
                <w:szCs w:val="21"/>
              </w:rPr>
            </w:pPr>
            <w:r>
              <w:rPr>
                <w:rFonts w:hint="eastAsia" w:ascii="宋体" w:hAnsi="宋体" w:cs="宋体"/>
                <w:szCs w:val="21"/>
              </w:rPr>
              <w:t>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根据投标人拟投入本项目常规吨位吊车配备情况进行评议。</w:t>
            </w:r>
          </w:p>
          <w:p>
            <w:pPr>
              <w:tabs>
                <w:tab w:val="left" w:pos="0"/>
              </w:tabs>
              <w:adjustRightInd w:val="0"/>
              <w:textAlignment w:val="baseline"/>
              <w:rPr>
                <w:rFonts w:ascii="宋体" w:hAnsi="宋体" w:cs="宋体"/>
                <w:szCs w:val="21"/>
              </w:rPr>
            </w:pPr>
            <w:r>
              <w:rPr>
                <w:rFonts w:hint="eastAsia" w:ascii="宋体" w:hAnsi="宋体" w:cs="宋体"/>
                <w:szCs w:val="21"/>
              </w:rPr>
              <w:t>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根据投标人拟投入本项目大吨位吊车配备情况进行评议。</w:t>
            </w:r>
          </w:p>
          <w:p>
            <w:pPr>
              <w:tabs>
                <w:tab w:val="left" w:pos="0"/>
              </w:tabs>
              <w:adjustRightInd w:val="0"/>
              <w:textAlignment w:val="baseline"/>
              <w:rPr>
                <w:rFonts w:ascii="宋体" w:hAnsi="宋体" w:cs="宋体"/>
                <w:szCs w:val="21"/>
              </w:rPr>
            </w:pPr>
            <w:r>
              <w:rPr>
                <w:rFonts w:hint="eastAsia" w:ascii="宋体" w:hAnsi="宋体" w:cs="宋体"/>
                <w:szCs w:val="21"/>
              </w:rPr>
              <w:t>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响应时间</w:t>
            </w:r>
          </w:p>
          <w:p>
            <w:pPr>
              <w:autoSpaceDE w:val="0"/>
              <w:autoSpaceDN w:val="0"/>
              <w:adjustRightInd w:val="0"/>
              <w:jc w:val="center"/>
              <w:rPr>
                <w:rFonts w:ascii="宋体" w:hAnsi="宋体" w:cs="宋体"/>
                <w:kern w:val="0"/>
                <w:szCs w:val="21"/>
              </w:rPr>
            </w:pPr>
            <w:r>
              <w:rPr>
                <w:rFonts w:hint="eastAsia" w:ascii="宋体" w:hAnsi="宋体" w:cs="宋体"/>
                <w:kern w:val="0"/>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响应时间满足或优于第二章招标需求中“二、服务需求”的得3分；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驾驶员分数</w:t>
            </w:r>
          </w:p>
          <w:p>
            <w:pPr>
              <w:autoSpaceDE w:val="0"/>
              <w:autoSpaceDN w:val="0"/>
              <w:adjustRightInd w:val="0"/>
              <w:jc w:val="center"/>
              <w:rPr>
                <w:rFonts w:ascii="宋体" w:hAnsi="宋体" w:cs="宋体"/>
                <w:szCs w:val="21"/>
              </w:rPr>
            </w:pPr>
            <w:r>
              <w:rPr>
                <w:rFonts w:hint="eastAsia" w:ascii="宋体" w:hAnsi="宋体" w:cs="宋体"/>
                <w:szCs w:val="21"/>
              </w:rPr>
              <w:t>（6分）</w:t>
            </w:r>
          </w:p>
        </w:tc>
        <w:tc>
          <w:tcPr>
            <w:tcW w:w="6148" w:type="dxa"/>
            <w:tcBorders>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投标人拟派本项目驾驶员具有A照驾驶证，每提供一人得2分，最高6分（投标文件中提供身份证及驾驶证复印件加盖公章）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管理人员</w:t>
            </w:r>
          </w:p>
          <w:p>
            <w:pPr>
              <w:autoSpaceDE w:val="0"/>
              <w:autoSpaceDN w:val="0"/>
              <w:adjustRightInd w:val="0"/>
              <w:jc w:val="center"/>
              <w:rPr>
                <w:rFonts w:ascii="宋体" w:hAnsi="宋体" w:cs="宋体"/>
                <w:szCs w:val="21"/>
              </w:rPr>
            </w:pPr>
            <w:r>
              <w:rPr>
                <w:rFonts w:hint="eastAsia" w:ascii="宋体" w:hAnsi="宋体" w:cs="宋体"/>
                <w:szCs w:val="21"/>
              </w:rPr>
              <w:t>（6分）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停车场管理人员具有管理专业大专及以上学历的每个得3分，最高得6分。（投标文件中提供人员证书复印件加盖公章）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5"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szCs w:val="21"/>
              </w:rPr>
              <w:t>人员配备方案（6分）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根据投标人拟投入本项目</w:t>
            </w:r>
            <w:r>
              <w:rPr>
                <w:rFonts w:hint="eastAsia" w:ascii="宋体" w:hAnsi="宋体" w:cs="宋体"/>
                <w:szCs w:val="21"/>
              </w:rPr>
              <w:t>驾驶员情况进行评议。</w:t>
            </w:r>
          </w:p>
          <w:p>
            <w:pPr>
              <w:jc w:val="left"/>
              <w:rPr>
                <w:rFonts w:ascii="宋体" w:hAnsi="宋体" w:cs="宋体"/>
                <w:szCs w:val="21"/>
              </w:rPr>
            </w:pPr>
            <w:r>
              <w:rPr>
                <w:rFonts w:hint="eastAsia" w:ascii="宋体"/>
                <w:szCs w:val="21"/>
              </w:rPr>
              <w:t>配备充分、合理的得3分</w:t>
            </w:r>
            <w:r>
              <w:rPr>
                <w:rFonts w:hint="eastAsia" w:ascii="宋体" w:hAnsi="宋体" w:cs="宋体"/>
                <w:szCs w:val="21"/>
              </w:rPr>
              <w:t>；</w:t>
            </w:r>
          </w:p>
          <w:p>
            <w:pPr>
              <w:jc w:val="left"/>
              <w:rPr>
                <w:rFonts w:ascii="宋体" w:hAnsi="宋体" w:cs="宋体"/>
                <w:szCs w:val="21"/>
              </w:rPr>
            </w:pPr>
            <w:r>
              <w:rPr>
                <w:rFonts w:hint="eastAsia" w:ascii="宋体"/>
                <w:szCs w:val="21"/>
              </w:rPr>
              <w:t>较充分、较合理的得2分</w:t>
            </w:r>
            <w:r>
              <w:rPr>
                <w:rFonts w:hint="eastAsia" w:ascii="宋体" w:hAnsi="宋体" w:cs="宋体"/>
                <w:szCs w:val="21"/>
              </w:rPr>
              <w:t>；</w:t>
            </w:r>
          </w:p>
          <w:p>
            <w:pPr>
              <w:jc w:val="left"/>
              <w:rPr>
                <w:rFonts w:ascii="宋体" w:hAnsi="宋体" w:cs="宋体"/>
                <w:szCs w:val="21"/>
              </w:rPr>
            </w:pPr>
            <w:r>
              <w:rPr>
                <w:rFonts w:hint="eastAsia" w:ascii="宋体"/>
                <w:szCs w:val="21"/>
              </w:rPr>
              <w:t>不充分、不合理的得1分</w:t>
            </w:r>
            <w:r>
              <w:rPr>
                <w:rFonts w:hint="eastAsia" w:ascii="宋体" w:hAnsi="宋体" w:cs="宋体"/>
                <w:szCs w:val="21"/>
              </w:rPr>
              <w:t>；</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5"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根据投标人拟投入本项目</w:t>
            </w:r>
            <w:r>
              <w:rPr>
                <w:rFonts w:hint="eastAsia" w:ascii="宋体" w:hAnsi="宋体" w:cs="宋体"/>
                <w:szCs w:val="21"/>
              </w:rPr>
              <w:t>停车场管理</w:t>
            </w:r>
            <w:r>
              <w:rPr>
                <w:rFonts w:hint="eastAsia" w:ascii="宋体"/>
                <w:szCs w:val="21"/>
              </w:rPr>
              <w:t>人员</w:t>
            </w:r>
            <w:r>
              <w:rPr>
                <w:rFonts w:hint="eastAsia" w:ascii="宋体" w:hAnsi="宋体" w:cs="宋体"/>
                <w:szCs w:val="21"/>
              </w:rPr>
              <w:t>情况进行评议。</w:t>
            </w:r>
          </w:p>
          <w:p>
            <w:pPr>
              <w:jc w:val="left"/>
              <w:rPr>
                <w:rFonts w:ascii="宋体" w:hAnsi="宋体" w:cs="宋体"/>
                <w:szCs w:val="21"/>
              </w:rPr>
            </w:pPr>
            <w:r>
              <w:rPr>
                <w:rFonts w:hint="eastAsia" w:ascii="宋体"/>
                <w:szCs w:val="21"/>
              </w:rPr>
              <w:t>配备充分、合理的得3分</w:t>
            </w:r>
            <w:r>
              <w:rPr>
                <w:rFonts w:hint="eastAsia" w:ascii="宋体" w:hAnsi="宋体" w:cs="宋体"/>
                <w:szCs w:val="21"/>
              </w:rPr>
              <w:t>；</w:t>
            </w:r>
          </w:p>
          <w:p>
            <w:pPr>
              <w:jc w:val="left"/>
              <w:rPr>
                <w:rFonts w:ascii="宋体" w:hAnsi="宋体" w:cs="宋体"/>
                <w:szCs w:val="21"/>
              </w:rPr>
            </w:pPr>
            <w:r>
              <w:rPr>
                <w:rFonts w:hint="eastAsia" w:ascii="宋体"/>
                <w:szCs w:val="21"/>
              </w:rPr>
              <w:t>较充分、较合理的得2分</w:t>
            </w:r>
            <w:r>
              <w:rPr>
                <w:rFonts w:hint="eastAsia" w:ascii="宋体" w:hAnsi="宋体" w:cs="宋体"/>
                <w:szCs w:val="21"/>
              </w:rPr>
              <w:t>；</w:t>
            </w:r>
          </w:p>
          <w:p>
            <w:pPr>
              <w:jc w:val="left"/>
              <w:rPr>
                <w:rFonts w:ascii="宋体" w:hAnsi="宋体" w:cs="宋体"/>
                <w:szCs w:val="21"/>
              </w:rPr>
            </w:pPr>
            <w:r>
              <w:rPr>
                <w:rFonts w:hint="eastAsia" w:ascii="宋体"/>
                <w:szCs w:val="21"/>
              </w:rPr>
              <w:t>不充分、不合理的得1分</w:t>
            </w:r>
            <w:r>
              <w:rPr>
                <w:rFonts w:hint="eastAsia" w:ascii="宋体" w:hAnsi="宋体" w:cs="宋体"/>
                <w:szCs w:val="21"/>
              </w:rPr>
              <w:t>；</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top w:val="single" w:color="auto" w:sz="4" w:space="0"/>
              <w:left w:val="single" w:color="auto" w:sz="4" w:space="0"/>
              <w:right w:val="single" w:color="auto" w:sz="4" w:space="0"/>
            </w:tcBorders>
            <w:vAlign w:val="center"/>
          </w:tcPr>
          <w:p>
            <w:pPr>
              <w:jc w:val="center"/>
              <w:rPr>
                <w:rFonts w:ascii="宋体"/>
                <w:szCs w:val="21"/>
              </w:rPr>
            </w:pPr>
            <w:r>
              <w:rPr>
                <w:rFonts w:hint="eastAsia" w:ascii="宋体"/>
                <w:szCs w:val="21"/>
              </w:rPr>
              <w:t>停车场</w:t>
            </w:r>
          </w:p>
          <w:p>
            <w:pPr>
              <w:jc w:val="center"/>
              <w:rPr>
                <w:rFonts w:ascii="宋体" w:hAnsi="宋体" w:cs="宋体"/>
                <w:szCs w:val="21"/>
              </w:rPr>
            </w:pPr>
            <w:r>
              <w:rPr>
                <w:rFonts w:hint="eastAsia" w:ascii="宋体"/>
                <w:szCs w:val="21"/>
              </w:rPr>
              <w:t>（11分）</w:t>
            </w:r>
          </w:p>
        </w:tc>
        <w:tc>
          <w:tcPr>
            <w:tcW w:w="6148"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textAlignment w:val="baseline"/>
              <w:rPr>
                <w:rFonts w:ascii="宋体"/>
                <w:szCs w:val="21"/>
              </w:rPr>
            </w:pPr>
            <w:r>
              <w:rPr>
                <w:rFonts w:hint="eastAsia" w:ascii="宋体"/>
                <w:szCs w:val="21"/>
              </w:rPr>
              <w:t>评委根据投标人提供的停车场地配套设施情况的综合评议，</w:t>
            </w:r>
          </w:p>
          <w:p>
            <w:pPr>
              <w:tabs>
                <w:tab w:val="left" w:pos="0"/>
              </w:tabs>
              <w:adjustRightInd w:val="0"/>
              <w:textAlignment w:val="baseline"/>
              <w:rPr>
                <w:rFonts w:ascii="宋体" w:hAnsi="宋体" w:cs="宋体"/>
                <w:szCs w:val="21"/>
              </w:rPr>
            </w:pPr>
            <w:r>
              <w:rPr>
                <w:rFonts w:hint="eastAsia" w:ascii="宋体"/>
                <w:szCs w:val="21"/>
              </w:rPr>
              <w:t>设施完善，符合</w:t>
            </w:r>
            <w:r>
              <w:rPr>
                <w:rFonts w:hint="eastAsia" w:ascii="宋体" w:hAnsi="宋体" w:cs="宋体"/>
                <w:szCs w:val="21"/>
              </w:rPr>
              <w:t>第二章招标需求中“二、服务需求”的得3分；</w:t>
            </w:r>
          </w:p>
          <w:p>
            <w:pPr>
              <w:jc w:val="left"/>
              <w:rPr>
                <w:rFonts w:ascii="宋体" w:hAnsi="宋体" w:cs="宋体"/>
                <w:szCs w:val="21"/>
              </w:rPr>
            </w:pPr>
            <w:r>
              <w:rPr>
                <w:rFonts w:hint="eastAsia" w:ascii="宋体"/>
                <w:szCs w:val="21"/>
              </w:rPr>
              <w:t>设施较完善，基本符合</w:t>
            </w:r>
            <w:r>
              <w:rPr>
                <w:rFonts w:hint="eastAsia" w:ascii="宋体" w:hAnsi="宋体" w:cs="宋体"/>
                <w:szCs w:val="21"/>
              </w:rPr>
              <w:t>第二章招标需求中“二、服务需求”的得2分；</w:t>
            </w:r>
          </w:p>
          <w:p>
            <w:pPr>
              <w:jc w:val="left"/>
              <w:rPr>
                <w:rFonts w:ascii="宋体" w:hAnsi="宋体" w:cs="宋体"/>
                <w:szCs w:val="21"/>
              </w:rPr>
            </w:pPr>
            <w:r>
              <w:rPr>
                <w:rFonts w:hint="eastAsia" w:ascii="宋体" w:hAnsi="宋体" w:cs="宋体"/>
                <w:szCs w:val="21"/>
              </w:rPr>
              <w:t>设施不完善、不符合第二章招标需求中“二、服务需求”的得1分；</w:t>
            </w:r>
          </w:p>
          <w:p>
            <w:pPr>
              <w:jc w:val="left"/>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textAlignment w:val="baseline"/>
              <w:rPr>
                <w:rFonts w:ascii="宋体"/>
                <w:szCs w:val="21"/>
              </w:rPr>
            </w:pPr>
            <w:r>
              <w:rPr>
                <w:rFonts w:hint="eastAsia" w:ascii="宋体"/>
                <w:szCs w:val="21"/>
              </w:rPr>
              <w:t>评委根据投标人提供的停车场地配置情况的综合评议，</w:t>
            </w:r>
          </w:p>
          <w:p>
            <w:pPr>
              <w:tabs>
                <w:tab w:val="left" w:pos="0"/>
              </w:tabs>
              <w:adjustRightInd w:val="0"/>
              <w:textAlignment w:val="baseline"/>
              <w:rPr>
                <w:rFonts w:ascii="宋体" w:hAnsi="宋体" w:cs="宋体"/>
                <w:szCs w:val="21"/>
              </w:rPr>
            </w:pPr>
            <w:r>
              <w:rPr>
                <w:rFonts w:hint="eastAsia" w:ascii="宋体"/>
                <w:szCs w:val="21"/>
              </w:rPr>
              <w:t>配置合理</w:t>
            </w:r>
            <w:r>
              <w:rPr>
                <w:rFonts w:hint="eastAsia" w:ascii="宋体" w:hAnsi="宋体" w:cs="宋体"/>
                <w:szCs w:val="21"/>
              </w:rPr>
              <w:t>的得3分；</w:t>
            </w:r>
          </w:p>
          <w:p>
            <w:pPr>
              <w:jc w:val="left"/>
              <w:rPr>
                <w:rFonts w:ascii="宋体" w:hAnsi="宋体" w:cs="宋体"/>
                <w:szCs w:val="21"/>
              </w:rPr>
            </w:pPr>
            <w:r>
              <w:rPr>
                <w:rFonts w:hint="eastAsia" w:ascii="宋体"/>
                <w:szCs w:val="21"/>
              </w:rPr>
              <w:t>配置基本合理</w:t>
            </w:r>
            <w:r>
              <w:rPr>
                <w:rFonts w:hint="eastAsia" w:ascii="宋体" w:hAnsi="宋体" w:cs="宋体"/>
                <w:szCs w:val="21"/>
              </w:rPr>
              <w:t>的得2分；</w:t>
            </w:r>
          </w:p>
          <w:p>
            <w:pPr>
              <w:jc w:val="left"/>
              <w:rPr>
                <w:rFonts w:ascii="宋体" w:hAnsi="宋体" w:cs="宋体"/>
                <w:szCs w:val="21"/>
              </w:rPr>
            </w:pPr>
            <w:r>
              <w:rPr>
                <w:rFonts w:hint="eastAsia" w:ascii="宋体"/>
                <w:szCs w:val="21"/>
              </w:rPr>
              <w:t>配置不合理</w:t>
            </w:r>
            <w:r>
              <w:rPr>
                <w:rFonts w:hint="eastAsia" w:ascii="宋体" w:hAnsi="宋体" w:cs="宋体"/>
                <w:szCs w:val="21"/>
              </w:rPr>
              <w:t>的得1分；</w:t>
            </w:r>
          </w:p>
          <w:p>
            <w:pPr>
              <w:jc w:val="left"/>
              <w:rPr>
                <w:rFonts w:ascii="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rPr>
              <w:t>满足</w:t>
            </w:r>
            <w:r>
              <w:rPr>
                <w:rFonts w:hint="eastAsia" w:ascii="宋体"/>
                <w:szCs w:val="21"/>
              </w:rPr>
              <w:t>招标文件第二章招标需求中打“</w:t>
            </w:r>
            <w:r>
              <w:rPr>
                <w:rFonts w:hint="eastAsia" w:ascii="宋体" w:hAnsi="宋体" w:cs="宋体"/>
                <w:szCs w:val="21"/>
              </w:rPr>
              <w:t>▲</w:t>
            </w:r>
            <w:r>
              <w:rPr>
                <w:rFonts w:hint="eastAsia" w:ascii="宋体"/>
                <w:szCs w:val="21"/>
              </w:rPr>
              <w:t>”条款要求的得5分；</w:t>
            </w:r>
          </w:p>
          <w:p>
            <w:pPr>
              <w:jc w:val="left"/>
              <w:rPr>
                <w:rFonts w:ascii="宋体" w:hAnsi="宋体" w:cs="宋体"/>
                <w:szCs w:val="21"/>
              </w:rPr>
            </w:pPr>
            <w:r>
              <w:rPr>
                <w:rFonts w:hint="eastAsia" w:ascii="宋体"/>
                <w:szCs w:val="21"/>
              </w:rPr>
              <w:t>不满足得0分。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top w:val="single" w:color="auto" w:sz="4" w:space="0"/>
              <w:left w:val="single" w:color="auto" w:sz="4" w:space="0"/>
              <w:right w:val="single" w:color="auto" w:sz="4" w:space="0"/>
            </w:tcBorders>
            <w:vAlign w:val="center"/>
          </w:tcPr>
          <w:p>
            <w:pPr>
              <w:jc w:val="center"/>
              <w:rPr>
                <w:rFonts w:ascii="宋体"/>
                <w:szCs w:val="21"/>
              </w:rPr>
            </w:pPr>
            <w:r>
              <w:rPr>
                <w:rFonts w:hint="eastAsia" w:ascii="宋体"/>
                <w:szCs w:val="21"/>
              </w:rPr>
              <w:t>管理制度和工作流程</w:t>
            </w:r>
          </w:p>
          <w:p>
            <w:pPr>
              <w:jc w:val="center"/>
              <w:rPr>
                <w:rFonts w:ascii="宋体" w:hAnsi="宋体" w:cs="宋体"/>
                <w:szCs w:val="21"/>
              </w:rPr>
            </w:pPr>
            <w:r>
              <w:rPr>
                <w:rFonts w:hint="eastAsia" w:ascii="宋体"/>
                <w:szCs w:val="21"/>
              </w:rPr>
              <w:t>（12分）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拖车施救方案规范的得3分；</w:t>
            </w:r>
          </w:p>
          <w:p>
            <w:pPr>
              <w:jc w:val="left"/>
              <w:rPr>
                <w:rFonts w:ascii="宋体"/>
                <w:szCs w:val="21"/>
              </w:rPr>
            </w:pPr>
            <w:r>
              <w:rPr>
                <w:rFonts w:hint="eastAsia" w:ascii="宋体"/>
                <w:szCs w:val="21"/>
              </w:rPr>
              <w:t>基本规范的得2分；</w:t>
            </w:r>
          </w:p>
          <w:p>
            <w:pPr>
              <w:jc w:val="left"/>
              <w:rPr>
                <w:rFonts w:ascii="宋体"/>
                <w:szCs w:val="21"/>
              </w:rPr>
            </w:pPr>
            <w:r>
              <w:rPr>
                <w:rFonts w:hint="eastAsia" w:ascii="宋体"/>
                <w:szCs w:val="21"/>
              </w:rPr>
              <w:t>不规范的得1分；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拖车施救方案合理的得3分；</w:t>
            </w:r>
          </w:p>
          <w:p>
            <w:pPr>
              <w:jc w:val="left"/>
              <w:rPr>
                <w:rFonts w:ascii="宋体"/>
                <w:szCs w:val="21"/>
              </w:rPr>
            </w:pPr>
            <w:r>
              <w:rPr>
                <w:rFonts w:hint="eastAsia" w:ascii="宋体"/>
                <w:szCs w:val="21"/>
              </w:rPr>
              <w:t>基本合理的得2分；</w:t>
            </w:r>
          </w:p>
          <w:p>
            <w:pPr>
              <w:jc w:val="left"/>
              <w:rPr>
                <w:rFonts w:ascii="宋体"/>
                <w:szCs w:val="21"/>
              </w:rPr>
            </w:pPr>
            <w:r>
              <w:rPr>
                <w:rFonts w:hint="eastAsia" w:ascii="宋体"/>
                <w:szCs w:val="21"/>
              </w:rPr>
              <w:t>不合理的得1分；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停车场管理制度规范的得3分；</w:t>
            </w:r>
          </w:p>
          <w:p>
            <w:pPr>
              <w:jc w:val="left"/>
              <w:rPr>
                <w:rFonts w:ascii="宋体"/>
                <w:szCs w:val="21"/>
              </w:rPr>
            </w:pPr>
            <w:r>
              <w:rPr>
                <w:rFonts w:hint="eastAsia" w:ascii="宋体"/>
                <w:szCs w:val="21"/>
              </w:rPr>
              <w:t>基本规范的得2分；</w:t>
            </w:r>
          </w:p>
          <w:p>
            <w:pPr>
              <w:jc w:val="left"/>
              <w:rPr>
                <w:rFonts w:ascii="宋体"/>
                <w:szCs w:val="21"/>
              </w:rPr>
            </w:pPr>
            <w:r>
              <w:rPr>
                <w:rFonts w:hint="eastAsia" w:ascii="宋体"/>
                <w:szCs w:val="21"/>
              </w:rPr>
              <w:t>不规范的得1分；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停车场管理制度合理的得3分；</w:t>
            </w:r>
          </w:p>
          <w:p>
            <w:pPr>
              <w:jc w:val="left"/>
              <w:rPr>
                <w:rFonts w:ascii="宋体"/>
                <w:szCs w:val="21"/>
              </w:rPr>
            </w:pPr>
            <w:r>
              <w:rPr>
                <w:rFonts w:hint="eastAsia" w:ascii="宋体"/>
                <w:szCs w:val="21"/>
              </w:rPr>
              <w:t>基本合理的得2分；</w:t>
            </w:r>
          </w:p>
          <w:p>
            <w:pPr>
              <w:jc w:val="left"/>
              <w:rPr>
                <w:rFonts w:ascii="宋体"/>
                <w:szCs w:val="21"/>
              </w:rPr>
            </w:pPr>
            <w:r>
              <w:rPr>
                <w:rFonts w:hint="eastAsia" w:ascii="宋体"/>
                <w:szCs w:val="21"/>
              </w:rPr>
              <w:t>不合理的得1分；</w:t>
            </w:r>
          </w:p>
          <w:p>
            <w:pPr>
              <w:jc w:val="left"/>
              <w:rPr>
                <w:rFonts w:asciiTheme="minorEastAsia" w:hAnsiTheme="minorEastAsia" w:eastAsiaTheme="minorEastAsia"/>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szCs w:val="21"/>
              </w:rPr>
              <w:t>项目实施保障措施及服务质量承诺（9分）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项目实施保障措施可实施性强的得3分；</w:t>
            </w:r>
          </w:p>
          <w:p>
            <w:pPr>
              <w:jc w:val="left"/>
              <w:rPr>
                <w:rFonts w:ascii="宋体"/>
                <w:szCs w:val="21"/>
              </w:rPr>
            </w:pPr>
            <w:r>
              <w:rPr>
                <w:rFonts w:hint="eastAsia" w:ascii="宋体"/>
                <w:szCs w:val="21"/>
              </w:rPr>
              <w:t>可实施性较强的得2分；</w:t>
            </w:r>
          </w:p>
          <w:p>
            <w:pPr>
              <w:jc w:val="left"/>
              <w:rPr>
                <w:rFonts w:ascii="宋体"/>
                <w:szCs w:val="21"/>
              </w:rPr>
            </w:pPr>
            <w:r>
              <w:rPr>
                <w:rFonts w:hint="eastAsia" w:ascii="宋体"/>
                <w:szCs w:val="21"/>
              </w:rPr>
              <w:t>不具备实施性的得1分；</w:t>
            </w:r>
          </w:p>
          <w:p>
            <w:pPr>
              <w:jc w:val="left"/>
              <w:rPr>
                <w:rFonts w:ascii="宋体" w:hAnsi="宋体" w:cs="宋体"/>
                <w:kern w:val="0"/>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项目实施保障措施完善的得3分；</w:t>
            </w:r>
          </w:p>
          <w:p>
            <w:pPr>
              <w:jc w:val="left"/>
              <w:rPr>
                <w:rFonts w:ascii="宋体"/>
                <w:szCs w:val="21"/>
              </w:rPr>
            </w:pPr>
            <w:r>
              <w:rPr>
                <w:rFonts w:hint="eastAsia" w:ascii="宋体"/>
                <w:szCs w:val="21"/>
              </w:rPr>
              <w:t>较完善的得2分；</w:t>
            </w:r>
          </w:p>
          <w:p>
            <w:pPr>
              <w:jc w:val="left"/>
              <w:rPr>
                <w:rFonts w:ascii="宋体"/>
                <w:szCs w:val="21"/>
              </w:rPr>
            </w:pPr>
            <w:r>
              <w:rPr>
                <w:rFonts w:hint="eastAsia" w:ascii="宋体"/>
                <w:szCs w:val="21"/>
              </w:rPr>
              <w:t>不完善的得1分；</w:t>
            </w:r>
          </w:p>
          <w:p>
            <w:pPr>
              <w:jc w:val="left"/>
              <w:rPr>
                <w:rFonts w:ascii="宋体" w:hAnsi="宋体" w:cs="宋体"/>
                <w:kern w:val="0"/>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服务质量承诺合理的得3分；</w:t>
            </w:r>
          </w:p>
          <w:p>
            <w:pPr>
              <w:jc w:val="left"/>
              <w:rPr>
                <w:rFonts w:ascii="宋体"/>
                <w:szCs w:val="21"/>
              </w:rPr>
            </w:pPr>
            <w:r>
              <w:rPr>
                <w:rFonts w:hint="eastAsia" w:ascii="宋体"/>
                <w:szCs w:val="21"/>
              </w:rPr>
              <w:t>服务质量承诺较合理的得2分；</w:t>
            </w:r>
          </w:p>
          <w:p>
            <w:pPr>
              <w:jc w:val="left"/>
              <w:rPr>
                <w:rFonts w:ascii="宋体"/>
                <w:szCs w:val="21"/>
              </w:rPr>
            </w:pPr>
            <w:r>
              <w:rPr>
                <w:rFonts w:hint="eastAsia" w:ascii="宋体"/>
                <w:szCs w:val="21"/>
              </w:rPr>
              <w:t>服务质量承诺不合理的得1分；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left w:val="single" w:color="auto" w:sz="4" w:space="0"/>
              <w:right w:val="single" w:color="auto" w:sz="4" w:space="0"/>
            </w:tcBorders>
            <w:vAlign w:val="center"/>
          </w:tcPr>
          <w:p>
            <w:pPr>
              <w:jc w:val="center"/>
              <w:rPr>
                <w:rFonts w:ascii="宋体"/>
                <w:szCs w:val="21"/>
              </w:rPr>
            </w:pPr>
            <w:r>
              <w:rPr>
                <w:rFonts w:hint="eastAsia" w:ascii="宋体"/>
                <w:szCs w:val="21"/>
              </w:rPr>
              <w:t>应急方案</w:t>
            </w:r>
          </w:p>
          <w:p>
            <w:pPr>
              <w:jc w:val="center"/>
              <w:rPr>
                <w:rFonts w:ascii="宋体"/>
                <w:szCs w:val="21"/>
              </w:rPr>
            </w:pPr>
            <w:r>
              <w:rPr>
                <w:rFonts w:hint="eastAsia" w:ascii="宋体"/>
                <w:szCs w:val="21"/>
              </w:rPr>
              <w:t>（4分）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应急方案针对性强的得2分；</w:t>
            </w:r>
          </w:p>
          <w:p>
            <w:pPr>
              <w:jc w:val="left"/>
              <w:rPr>
                <w:rFonts w:ascii="宋体"/>
                <w:szCs w:val="21"/>
              </w:rPr>
            </w:pPr>
            <w:r>
              <w:rPr>
                <w:rFonts w:hint="eastAsia" w:ascii="宋体"/>
                <w:szCs w:val="21"/>
              </w:rPr>
              <w:t>针对性较强的得1.5分；</w:t>
            </w:r>
          </w:p>
          <w:p>
            <w:pPr>
              <w:jc w:val="left"/>
              <w:rPr>
                <w:rFonts w:ascii="宋体"/>
                <w:szCs w:val="21"/>
              </w:rPr>
            </w:pPr>
            <w:r>
              <w:rPr>
                <w:rFonts w:hint="eastAsia" w:ascii="宋体"/>
                <w:szCs w:val="21"/>
              </w:rPr>
              <w:t>针对性不强的1分；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应急方案可行性强的得2分；</w:t>
            </w:r>
          </w:p>
          <w:p>
            <w:pPr>
              <w:jc w:val="left"/>
              <w:rPr>
                <w:rFonts w:ascii="宋体"/>
                <w:szCs w:val="21"/>
              </w:rPr>
            </w:pPr>
            <w:r>
              <w:rPr>
                <w:rFonts w:hint="eastAsia" w:ascii="宋体"/>
                <w:szCs w:val="21"/>
              </w:rPr>
              <w:t>可行性较强的得1.5分；</w:t>
            </w:r>
          </w:p>
          <w:p>
            <w:pPr>
              <w:jc w:val="left"/>
              <w:rPr>
                <w:rFonts w:ascii="宋体"/>
                <w:szCs w:val="21"/>
              </w:rPr>
            </w:pPr>
            <w:r>
              <w:rPr>
                <w:rFonts w:hint="eastAsia" w:ascii="宋体"/>
                <w:szCs w:val="21"/>
              </w:rPr>
              <w:t>可行性不强的1分；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szCs w:val="21"/>
              </w:rPr>
              <w:t>优化服务承诺（3分）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优化服务承诺可实施性强、针对性强的得3分；</w:t>
            </w:r>
          </w:p>
          <w:p>
            <w:pPr>
              <w:jc w:val="left"/>
              <w:rPr>
                <w:rFonts w:ascii="宋体"/>
                <w:szCs w:val="21"/>
              </w:rPr>
            </w:pPr>
            <w:r>
              <w:rPr>
                <w:rFonts w:hint="eastAsia" w:ascii="宋体"/>
                <w:szCs w:val="21"/>
              </w:rPr>
              <w:t>可实施性较强、针对性较强的得2分；</w:t>
            </w:r>
          </w:p>
          <w:p>
            <w:pPr>
              <w:jc w:val="left"/>
              <w:rPr>
                <w:rFonts w:ascii="宋体"/>
                <w:szCs w:val="21"/>
              </w:rPr>
            </w:pPr>
            <w:r>
              <w:rPr>
                <w:rFonts w:hint="eastAsia" w:ascii="宋体"/>
                <w:szCs w:val="21"/>
              </w:rPr>
              <w:t>基本可行的得1分；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项目业绩</w:t>
            </w:r>
          </w:p>
          <w:p>
            <w:pPr>
              <w:jc w:val="center"/>
              <w:rPr>
                <w:rFonts w:ascii="宋体" w:hAnsi="宋体" w:cs="宋体"/>
                <w:szCs w:val="21"/>
              </w:rPr>
            </w:pPr>
            <w:r>
              <w:rPr>
                <w:rFonts w:hint="eastAsia" w:ascii="宋体" w:hAnsi="宋体" w:cs="宋体"/>
                <w:szCs w:val="21"/>
              </w:rPr>
              <w:t>（2分）</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201</w:t>
            </w:r>
            <w:r>
              <w:rPr>
                <w:rFonts w:ascii="宋体" w:hAnsi="宋体" w:cs="宋体"/>
                <w:szCs w:val="21"/>
              </w:rPr>
              <w:t>9</w:t>
            </w:r>
            <w:r>
              <w:rPr>
                <w:rFonts w:hint="eastAsia" w:ascii="宋体" w:hAnsi="宋体" w:cs="宋体"/>
                <w:szCs w:val="21"/>
              </w:rPr>
              <w:t>年</w:t>
            </w:r>
            <w:r>
              <w:rPr>
                <w:rFonts w:ascii="宋体" w:hAnsi="宋体" w:cs="宋体"/>
                <w:szCs w:val="21"/>
              </w:rPr>
              <w:t>12</w:t>
            </w:r>
            <w:r>
              <w:rPr>
                <w:rFonts w:hint="eastAsia" w:ascii="宋体" w:hAnsi="宋体" w:cs="宋体"/>
                <w:szCs w:val="21"/>
              </w:rPr>
              <w:t>月1日（以合同签订时间为准）至今，投标人具有的同类项目业绩，</w:t>
            </w:r>
            <w:r>
              <w:rPr>
                <w:rFonts w:hint="eastAsia" w:ascii="宋体"/>
                <w:szCs w:val="21"/>
              </w:rPr>
              <w:t>每提供一份业绩合同得1分，满分2分</w:t>
            </w:r>
            <w:r>
              <w:rPr>
                <w:rFonts w:hint="eastAsia" w:ascii="宋体" w:hAnsi="宋体" w:cs="宋体"/>
                <w:szCs w:val="21"/>
              </w:rPr>
              <w:t>。</w:t>
            </w:r>
          </w:p>
          <w:p>
            <w:pPr>
              <w:rPr>
                <w:rFonts w:ascii="宋体" w:hAnsi="宋体" w:cs="宋体"/>
                <w:b/>
                <w:bCs/>
                <w:szCs w:val="21"/>
              </w:rPr>
            </w:pPr>
            <w:r>
              <w:rPr>
                <w:rFonts w:hint="eastAsia" w:ascii="宋体" w:hAnsi="宋体" w:cs="宋体"/>
                <w:szCs w:val="21"/>
              </w:rPr>
              <w:t>注：提供业绩合同复印件并加盖公章。若为联合体投标的，联合体任意一方提供的均可。</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商务需求</w:t>
            </w:r>
          </w:p>
          <w:p>
            <w:pPr>
              <w:jc w:val="center"/>
              <w:rPr>
                <w:rFonts w:ascii="宋体" w:hAnsi="宋体" w:cs="宋体"/>
                <w:szCs w:val="21"/>
              </w:rPr>
            </w:pPr>
            <w:r>
              <w:rPr>
                <w:rFonts w:hint="eastAsia" w:ascii="宋体" w:hAnsi="宋体" w:cs="宋体"/>
                <w:szCs w:val="21"/>
              </w:rPr>
              <w:t>响应情况</w:t>
            </w:r>
          </w:p>
          <w:p>
            <w:pPr>
              <w:jc w:val="center"/>
              <w:rPr>
                <w:rFonts w:ascii="宋体" w:hAnsi="宋体" w:cs="宋体"/>
                <w:szCs w:val="21"/>
              </w:rPr>
            </w:pPr>
            <w:r>
              <w:rPr>
                <w:rFonts w:hint="eastAsia" w:ascii="宋体" w:hAnsi="宋体" w:cs="宋体"/>
                <w:szCs w:val="21"/>
              </w:rPr>
              <w:t>（6分）</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根据投标人针对“第二章 招标需求”中“一、商务要求”（除标注*条款外）的响应情况进行评审，完全响应的得6分，若有负偏离的，每负偏离一项扣2分。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3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合计</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100</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w:t>
            </w:r>
          </w:p>
        </w:tc>
      </w:tr>
      <w:bookmarkEnd w:id="165"/>
    </w:tbl>
    <w:p>
      <w:pPr>
        <w:pStyle w:val="3"/>
        <w:spacing w:before="0" w:after="0" w:line="360" w:lineRule="auto"/>
        <w:ind w:firstLine="420" w:firstLineChars="200"/>
        <w:jc w:val="left"/>
        <w:rPr>
          <w:rFonts w:ascii="宋体" w:hAnsi="宋体" w:cs="宋体"/>
          <w:b w:val="0"/>
          <w:bCs w:val="0"/>
          <w:kern w:val="2"/>
          <w:sz w:val="21"/>
          <w:szCs w:val="21"/>
        </w:rPr>
      </w:pPr>
    </w:p>
    <w:p>
      <w:pPr>
        <w:pStyle w:val="3"/>
        <w:spacing w:before="0" w:after="0" w:line="360" w:lineRule="auto"/>
        <w:ind w:firstLine="420" w:firstLineChars="200"/>
        <w:jc w:val="left"/>
        <w:rPr>
          <w:rFonts w:ascii="宋体" w:hAnsi="宋体" w:cs="宋体"/>
          <w:b w:val="0"/>
          <w:bCs w:val="0"/>
          <w:kern w:val="2"/>
          <w:sz w:val="21"/>
          <w:szCs w:val="21"/>
        </w:rPr>
      </w:pPr>
      <w:r>
        <w:rPr>
          <w:rFonts w:hint="eastAsia" w:ascii="宋体" w:hAnsi="宋体" w:cs="宋体"/>
          <w:b w:val="0"/>
          <w:bCs w:val="0"/>
          <w:kern w:val="2"/>
          <w:sz w:val="21"/>
          <w:szCs w:val="21"/>
        </w:rPr>
        <w:t>标项二：江北交警大队辖区；海曙大队一中队、二中队、三中队、南站中队辖区；鄞州大队一中队、二中队、东部新城中队辖区；快速路大队辖区等范围内的违法拖车、停车服务</w:t>
      </w:r>
    </w:p>
    <w:tbl>
      <w:tblPr>
        <w:tblStyle w:val="35"/>
        <w:tblW w:w="98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393"/>
        <w:gridCol w:w="6148"/>
        <w:gridCol w:w="69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评分内容及标准</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分值</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价格分20分</w:t>
            </w: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拖车服务</w:t>
            </w:r>
          </w:p>
          <w:p>
            <w:pPr>
              <w:autoSpaceDE w:val="0"/>
              <w:autoSpaceDN w:val="0"/>
              <w:adjustRightInd w:val="0"/>
              <w:jc w:val="center"/>
              <w:rPr>
                <w:rFonts w:ascii="宋体" w:hAnsi="宋体" w:cs="宋体"/>
                <w:szCs w:val="21"/>
              </w:rPr>
            </w:pPr>
            <w:r>
              <w:rPr>
                <w:rFonts w:hint="eastAsia" w:ascii="宋体" w:hAnsi="宋体" w:cs="宋体"/>
                <w:szCs w:val="21"/>
              </w:rPr>
              <w:t>（15分）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rPr>
              <w:t>拖车服务</w:t>
            </w:r>
            <w:r>
              <w:rPr>
                <w:rFonts w:hint="eastAsia" w:ascii="宋体" w:hAnsi="宋体" w:cs="宋体"/>
                <w:szCs w:val="21"/>
              </w:rPr>
              <w:t>：</w:t>
            </w:r>
          </w:p>
          <w:p>
            <w:pPr>
              <w:tabs>
                <w:tab w:val="left" w:pos="0"/>
              </w:tabs>
              <w:adjustRightInd w:val="0"/>
              <w:textAlignment w:val="baseline"/>
              <w:rPr>
                <w:rFonts w:ascii="宋体" w:hAnsi="宋体" w:cs="宋体"/>
                <w:szCs w:val="21"/>
              </w:rPr>
            </w:pPr>
            <w:r>
              <w:rPr>
                <w:rFonts w:hint="eastAsia" w:ascii="宋体" w:hAnsi="宋体" w:cs="宋体"/>
                <w:szCs w:val="21"/>
              </w:rPr>
              <w:t>小微企业的参与评审的价格=投标折扣系数*</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价格折扣率（如有</w:t>
            </w:r>
            <w:r>
              <w:rPr>
                <w:rFonts w:hint="eastAsia" w:ascii="宋体" w:hAnsi="宋体" w:cs="宋体"/>
                <w:szCs w:val="21"/>
              </w:rPr>
              <w:t>）</w:t>
            </w:r>
            <w:r>
              <w:rPr>
                <w:rFonts w:hint="eastAsia" w:ascii="宋体" w:hAnsi="宋体" w:cs="宋体"/>
                <w:szCs w:val="21"/>
                <w:lang w:eastAsia="zh-CN"/>
              </w:rPr>
              <w:t>】</w:t>
            </w:r>
          </w:p>
          <w:p>
            <w:pPr>
              <w:tabs>
                <w:tab w:val="left" w:pos="0"/>
              </w:tabs>
              <w:adjustRightInd w:val="0"/>
              <w:textAlignment w:val="baseline"/>
              <w:rPr>
                <w:rFonts w:ascii="宋体" w:hAnsi="宋体" w:cs="宋体"/>
                <w:szCs w:val="21"/>
              </w:rPr>
            </w:pPr>
            <w:r>
              <w:rPr>
                <w:rFonts w:hint="eastAsia" w:ascii="宋体" w:hAnsi="宋体" w:cs="宋体"/>
                <w:szCs w:val="21"/>
              </w:rPr>
              <w:t>非小微企业的参与评审价格=投标折扣系数</w:t>
            </w:r>
          </w:p>
          <w:p>
            <w:pPr>
              <w:tabs>
                <w:tab w:val="left" w:pos="0"/>
              </w:tabs>
              <w:adjustRightInd w:val="0"/>
              <w:textAlignment w:val="baseline"/>
              <w:rPr>
                <w:rFonts w:ascii="宋体" w:hAnsi="宋体" w:cs="宋体"/>
                <w:szCs w:val="21"/>
              </w:rPr>
            </w:pPr>
            <w:r>
              <w:rPr>
                <w:rFonts w:hint="eastAsia" w:ascii="宋体" w:hAnsi="宋体" w:cs="宋体"/>
                <w:szCs w:val="21"/>
              </w:rPr>
              <w:t>评标基准价＝有效投标中最低的参与评审价格</w:t>
            </w:r>
          </w:p>
          <w:p>
            <w:pPr>
              <w:tabs>
                <w:tab w:val="left" w:pos="0"/>
              </w:tabs>
              <w:adjustRightInd w:val="0"/>
              <w:textAlignment w:val="baseline"/>
              <w:rPr>
                <w:rFonts w:ascii="宋体" w:hAnsi="宋体" w:cs="宋体"/>
                <w:szCs w:val="21"/>
              </w:rPr>
            </w:pPr>
            <w:r>
              <w:rPr>
                <w:rFonts w:hint="eastAsia" w:ascii="宋体" w:hAnsi="宋体" w:cs="宋体"/>
                <w:szCs w:val="21"/>
              </w:rPr>
              <w:t>评标基准价的价格分为满分15分，其他供应商的价格分统一按照下列公式计算：</w:t>
            </w:r>
          </w:p>
          <w:p>
            <w:pPr>
              <w:tabs>
                <w:tab w:val="left" w:pos="0"/>
              </w:tabs>
              <w:adjustRightInd w:val="0"/>
              <w:textAlignment w:val="baseline"/>
              <w:rPr>
                <w:rFonts w:ascii="宋体" w:hAnsi="宋体" w:cs="宋体"/>
                <w:szCs w:val="21"/>
              </w:rPr>
            </w:pPr>
            <w:r>
              <w:rPr>
                <w:rFonts w:hint="eastAsia" w:ascii="宋体" w:hAnsi="宋体" w:cs="宋体"/>
                <w:szCs w:val="21"/>
              </w:rPr>
              <w:t>投标报价得分=（评标基准价/参与评审的价格）×15×100%。</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停车服务</w:t>
            </w:r>
          </w:p>
          <w:p>
            <w:pPr>
              <w:autoSpaceDE w:val="0"/>
              <w:autoSpaceDN w:val="0"/>
              <w:adjustRightInd w:val="0"/>
              <w:jc w:val="center"/>
              <w:rPr>
                <w:rFonts w:ascii="宋体" w:hAnsi="宋体" w:cs="宋体"/>
                <w:szCs w:val="21"/>
              </w:rPr>
            </w:pPr>
            <w:r>
              <w:rPr>
                <w:rFonts w:hint="eastAsia" w:ascii="宋体" w:hAnsi="宋体" w:cs="宋体"/>
                <w:szCs w:val="21"/>
              </w:rPr>
              <w:t>（5分）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停车服务：</w:t>
            </w:r>
          </w:p>
          <w:p>
            <w:pPr>
              <w:tabs>
                <w:tab w:val="left" w:pos="0"/>
              </w:tabs>
              <w:adjustRightInd w:val="0"/>
              <w:textAlignment w:val="baseline"/>
              <w:rPr>
                <w:rFonts w:ascii="宋体" w:hAnsi="宋体" w:cs="宋体"/>
                <w:szCs w:val="21"/>
              </w:rPr>
            </w:pPr>
            <w:r>
              <w:rPr>
                <w:rFonts w:hint="eastAsia" w:ascii="宋体" w:hAnsi="宋体" w:cs="宋体"/>
                <w:szCs w:val="21"/>
              </w:rPr>
              <w:t>小微企业的参与评审的价格=投标报价*</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价格折扣率（如有</w:t>
            </w:r>
            <w:r>
              <w:rPr>
                <w:rFonts w:hint="eastAsia" w:ascii="宋体" w:hAnsi="宋体" w:cs="宋体"/>
                <w:szCs w:val="21"/>
              </w:rPr>
              <w:t>）</w:t>
            </w:r>
            <w:r>
              <w:rPr>
                <w:rFonts w:hint="eastAsia" w:ascii="宋体" w:hAnsi="宋体" w:cs="宋体"/>
                <w:szCs w:val="21"/>
                <w:lang w:eastAsia="zh-CN"/>
              </w:rPr>
              <w:t>】</w:t>
            </w:r>
          </w:p>
          <w:p>
            <w:pPr>
              <w:tabs>
                <w:tab w:val="left" w:pos="0"/>
              </w:tabs>
              <w:adjustRightInd w:val="0"/>
              <w:textAlignment w:val="baseline"/>
              <w:rPr>
                <w:rFonts w:ascii="宋体" w:hAnsi="宋体" w:cs="宋体"/>
                <w:szCs w:val="21"/>
              </w:rPr>
            </w:pPr>
            <w:r>
              <w:rPr>
                <w:rFonts w:hint="eastAsia" w:ascii="宋体" w:hAnsi="宋体" w:cs="宋体"/>
                <w:szCs w:val="21"/>
              </w:rPr>
              <w:t>非小微企业的参与评审价格=投标报价</w:t>
            </w:r>
          </w:p>
          <w:p>
            <w:pPr>
              <w:tabs>
                <w:tab w:val="left" w:pos="0"/>
              </w:tabs>
              <w:adjustRightInd w:val="0"/>
              <w:textAlignment w:val="baseline"/>
              <w:rPr>
                <w:rFonts w:ascii="宋体" w:hAnsi="宋体" w:cs="宋体"/>
                <w:szCs w:val="21"/>
              </w:rPr>
            </w:pPr>
            <w:r>
              <w:rPr>
                <w:rFonts w:hint="eastAsia" w:ascii="宋体" w:hAnsi="宋体" w:cs="宋体"/>
                <w:szCs w:val="21"/>
              </w:rPr>
              <w:t>评标基准价＝有效标中最低的参与评审价格</w:t>
            </w:r>
          </w:p>
          <w:p>
            <w:pPr>
              <w:tabs>
                <w:tab w:val="left" w:pos="0"/>
              </w:tabs>
              <w:adjustRightInd w:val="0"/>
              <w:textAlignment w:val="baseline"/>
              <w:rPr>
                <w:rFonts w:ascii="宋体" w:hAnsi="宋体" w:cs="宋体"/>
                <w:szCs w:val="21"/>
              </w:rPr>
            </w:pPr>
            <w:r>
              <w:rPr>
                <w:rFonts w:hint="eastAsia" w:ascii="宋体" w:hAnsi="宋体" w:cs="宋体"/>
                <w:szCs w:val="21"/>
              </w:rPr>
              <w:t>评标基准价的价格分为满分5分，其他供应商的价格分统一按照下列公式计算：</w:t>
            </w:r>
          </w:p>
          <w:p>
            <w:pPr>
              <w:tabs>
                <w:tab w:val="left" w:pos="0"/>
              </w:tabs>
              <w:adjustRightInd w:val="0"/>
              <w:textAlignment w:val="baseline"/>
              <w:rPr>
                <w:rFonts w:ascii="宋体" w:hAnsi="宋体" w:cs="宋体"/>
                <w:szCs w:val="21"/>
              </w:rPr>
            </w:pPr>
            <w:r>
              <w:rPr>
                <w:rFonts w:hint="eastAsia" w:ascii="宋体" w:hAnsi="宋体" w:cs="宋体"/>
                <w:szCs w:val="21"/>
              </w:rPr>
              <w:t>投标报价得分=（评标基准价/参与评审的价格）×5×100%。</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89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w:t>
            </w:r>
          </w:p>
          <w:p>
            <w:pPr>
              <w:jc w:val="center"/>
              <w:rPr>
                <w:rFonts w:ascii="宋体" w:hAnsi="宋体" w:cs="宋体"/>
                <w:szCs w:val="21"/>
              </w:rPr>
            </w:pPr>
            <w:r>
              <w:rPr>
                <w:rFonts w:hint="eastAsia" w:ascii="宋体" w:hAnsi="宋体" w:cs="宋体"/>
                <w:szCs w:val="21"/>
              </w:rPr>
              <w:t>技术分</w:t>
            </w:r>
          </w:p>
          <w:p>
            <w:pPr>
              <w:jc w:val="center"/>
              <w:rPr>
                <w:rFonts w:ascii="宋体" w:hAnsi="宋体" w:cs="宋体"/>
                <w:szCs w:val="21"/>
              </w:rPr>
            </w:pPr>
            <w:r>
              <w:rPr>
                <w:rFonts w:hint="eastAsia" w:ascii="宋体" w:hAnsi="宋体" w:cs="宋体"/>
                <w:szCs w:val="21"/>
              </w:rPr>
              <w:t>80分</w:t>
            </w:r>
          </w:p>
        </w:tc>
        <w:tc>
          <w:tcPr>
            <w:tcW w:w="1393"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车辆配备（6分）（投标文件中提供车辆行驶证复印件。如所投车辆为租赁车辆则需同时提供车辆租赁协议及车辆行驶证复印件加盖公章）</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根据投标人拟投入本项目小吨位拖车配备情况进行评议。</w:t>
            </w:r>
          </w:p>
          <w:p>
            <w:pPr>
              <w:tabs>
                <w:tab w:val="left" w:pos="0"/>
              </w:tabs>
              <w:adjustRightInd w:val="0"/>
              <w:textAlignment w:val="baseline"/>
              <w:rPr>
                <w:rFonts w:ascii="宋体" w:hAnsi="宋体" w:cs="宋体"/>
                <w:szCs w:val="21"/>
              </w:rPr>
            </w:pPr>
            <w:r>
              <w:rPr>
                <w:rFonts w:hint="eastAsia" w:ascii="宋体" w:hAnsi="宋体" w:cs="宋体"/>
                <w:szCs w:val="21"/>
              </w:rPr>
              <w:t>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根据投标人拟投入本项目常规吨位吊车配备情况进行评议。</w:t>
            </w:r>
          </w:p>
          <w:p>
            <w:pPr>
              <w:tabs>
                <w:tab w:val="left" w:pos="0"/>
              </w:tabs>
              <w:adjustRightInd w:val="0"/>
              <w:textAlignment w:val="baseline"/>
              <w:rPr>
                <w:rFonts w:ascii="宋体" w:hAnsi="宋体" w:cs="宋体"/>
                <w:szCs w:val="21"/>
              </w:rPr>
            </w:pPr>
            <w:r>
              <w:rPr>
                <w:rFonts w:hint="eastAsia" w:ascii="宋体" w:hAnsi="宋体" w:cs="宋体"/>
                <w:szCs w:val="21"/>
              </w:rPr>
              <w:t>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工作时间</w:t>
            </w:r>
          </w:p>
          <w:p>
            <w:pPr>
              <w:autoSpaceDE w:val="0"/>
              <w:autoSpaceDN w:val="0"/>
              <w:adjustRightInd w:val="0"/>
              <w:jc w:val="center"/>
              <w:rPr>
                <w:rFonts w:ascii="宋体" w:hAnsi="宋体" w:cs="宋体"/>
                <w:kern w:val="0"/>
                <w:szCs w:val="21"/>
              </w:rPr>
            </w:pPr>
            <w:r>
              <w:rPr>
                <w:rFonts w:hint="eastAsia" w:ascii="宋体" w:hAnsi="宋体" w:cs="宋体"/>
                <w:kern w:val="0"/>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工作时间满足或优于第二章招标需求中“二、服务需求”的得3分；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驾驶员分数</w:t>
            </w:r>
          </w:p>
          <w:p>
            <w:pPr>
              <w:autoSpaceDE w:val="0"/>
              <w:autoSpaceDN w:val="0"/>
              <w:adjustRightInd w:val="0"/>
              <w:jc w:val="center"/>
              <w:rPr>
                <w:rFonts w:ascii="宋体" w:hAnsi="宋体" w:cs="宋体"/>
                <w:szCs w:val="21"/>
              </w:rPr>
            </w:pPr>
            <w:r>
              <w:rPr>
                <w:rFonts w:hint="eastAsia" w:ascii="宋体" w:hAnsi="宋体" w:cs="宋体"/>
                <w:szCs w:val="21"/>
              </w:rPr>
              <w:t>（6分）</w:t>
            </w:r>
          </w:p>
        </w:tc>
        <w:tc>
          <w:tcPr>
            <w:tcW w:w="6148" w:type="dxa"/>
            <w:tcBorders>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投标人拟派本项目驾驶员具有B照及以上驾驶证，每提供一人得2分，最高6分（投标文件中提供身份证及驾驶证复印件加盖公章）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管理人员</w:t>
            </w:r>
          </w:p>
          <w:p>
            <w:pPr>
              <w:autoSpaceDE w:val="0"/>
              <w:autoSpaceDN w:val="0"/>
              <w:adjustRightInd w:val="0"/>
              <w:jc w:val="center"/>
              <w:rPr>
                <w:rFonts w:ascii="宋体" w:hAnsi="宋体" w:cs="宋体"/>
                <w:szCs w:val="21"/>
              </w:rPr>
            </w:pPr>
            <w:r>
              <w:rPr>
                <w:rFonts w:hint="eastAsia" w:ascii="宋体" w:hAnsi="宋体" w:cs="宋体"/>
                <w:szCs w:val="21"/>
              </w:rPr>
              <w:t>（6分）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停车场管理人员具有业管理专业大专及以上学历的每个得3分，最高得6分。（投标文件中提供人员证书复印件加盖公章）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5"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szCs w:val="21"/>
              </w:rPr>
              <w:t>人员配备方案（6分）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根据投标人拟投入本项目</w:t>
            </w:r>
            <w:r>
              <w:rPr>
                <w:rFonts w:hint="eastAsia" w:ascii="宋体" w:hAnsi="宋体" w:cs="宋体"/>
                <w:szCs w:val="21"/>
              </w:rPr>
              <w:t>驾驶员情况进行评议。</w:t>
            </w:r>
          </w:p>
          <w:p>
            <w:pPr>
              <w:jc w:val="left"/>
              <w:rPr>
                <w:rFonts w:ascii="宋体" w:hAnsi="宋体" w:cs="宋体"/>
                <w:szCs w:val="21"/>
              </w:rPr>
            </w:pPr>
            <w:r>
              <w:rPr>
                <w:rFonts w:hint="eastAsia" w:ascii="宋体"/>
                <w:szCs w:val="21"/>
              </w:rPr>
              <w:t>配备充分、合理的得3分</w:t>
            </w:r>
            <w:r>
              <w:rPr>
                <w:rFonts w:hint="eastAsia" w:ascii="宋体" w:hAnsi="宋体" w:cs="宋体"/>
                <w:szCs w:val="21"/>
              </w:rPr>
              <w:t>；</w:t>
            </w:r>
          </w:p>
          <w:p>
            <w:pPr>
              <w:jc w:val="left"/>
              <w:rPr>
                <w:rFonts w:ascii="宋体" w:hAnsi="宋体" w:cs="宋体"/>
                <w:szCs w:val="21"/>
              </w:rPr>
            </w:pPr>
            <w:r>
              <w:rPr>
                <w:rFonts w:hint="eastAsia" w:ascii="宋体"/>
                <w:szCs w:val="21"/>
              </w:rPr>
              <w:t>较充分、较合理的得2分</w:t>
            </w:r>
            <w:r>
              <w:rPr>
                <w:rFonts w:hint="eastAsia" w:ascii="宋体" w:hAnsi="宋体" w:cs="宋体"/>
                <w:szCs w:val="21"/>
              </w:rPr>
              <w:t>；</w:t>
            </w:r>
          </w:p>
          <w:p>
            <w:pPr>
              <w:jc w:val="left"/>
              <w:rPr>
                <w:rFonts w:ascii="宋体" w:hAnsi="宋体" w:cs="宋体"/>
                <w:szCs w:val="21"/>
              </w:rPr>
            </w:pPr>
            <w:r>
              <w:rPr>
                <w:rFonts w:hint="eastAsia" w:ascii="宋体"/>
                <w:szCs w:val="21"/>
              </w:rPr>
              <w:t>不充分、不合理的得1分</w:t>
            </w:r>
            <w:r>
              <w:rPr>
                <w:rFonts w:hint="eastAsia" w:ascii="宋体" w:hAnsi="宋体" w:cs="宋体"/>
                <w:szCs w:val="21"/>
              </w:rPr>
              <w:t>；</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5"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根据投标人拟投入本项目</w:t>
            </w:r>
            <w:r>
              <w:rPr>
                <w:rFonts w:hint="eastAsia" w:ascii="宋体" w:hAnsi="宋体" w:cs="宋体"/>
                <w:szCs w:val="21"/>
              </w:rPr>
              <w:t>停车场管理</w:t>
            </w:r>
            <w:r>
              <w:rPr>
                <w:rFonts w:hint="eastAsia" w:ascii="宋体"/>
                <w:szCs w:val="21"/>
              </w:rPr>
              <w:t>人员</w:t>
            </w:r>
            <w:r>
              <w:rPr>
                <w:rFonts w:hint="eastAsia" w:ascii="宋体" w:hAnsi="宋体" w:cs="宋体"/>
                <w:szCs w:val="21"/>
              </w:rPr>
              <w:t>情况进行评议。</w:t>
            </w:r>
          </w:p>
          <w:p>
            <w:pPr>
              <w:jc w:val="left"/>
              <w:rPr>
                <w:rFonts w:ascii="宋体" w:hAnsi="宋体" w:cs="宋体"/>
                <w:szCs w:val="21"/>
              </w:rPr>
            </w:pPr>
            <w:r>
              <w:rPr>
                <w:rFonts w:hint="eastAsia" w:ascii="宋体"/>
                <w:szCs w:val="21"/>
              </w:rPr>
              <w:t>配备充分、合理的得3分</w:t>
            </w:r>
            <w:r>
              <w:rPr>
                <w:rFonts w:hint="eastAsia" w:ascii="宋体" w:hAnsi="宋体" w:cs="宋体"/>
                <w:szCs w:val="21"/>
              </w:rPr>
              <w:t>；</w:t>
            </w:r>
          </w:p>
          <w:p>
            <w:pPr>
              <w:jc w:val="left"/>
              <w:rPr>
                <w:rFonts w:ascii="宋体" w:hAnsi="宋体" w:cs="宋体"/>
                <w:szCs w:val="21"/>
              </w:rPr>
            </w:pPr>
            <w:r>
              <w:rPr>
                <w:rFonts w:hint="eastAsia" w:ascii="宋体"/>
                <w:szCs w:val="21"/>
              </w:rPr>
              <w:t>较充分、较合理的得2分</w:t>
            </w:r>
            <w:r>
              <w:rPr>
                <w:rFonts w:hint="eastAsia" w:ascii="宋体" w:hAnsi="宋体" w:cs="宋体"/>
                <w:szCs w:val="21"/>
              </w:rPr>
              <w:t>；</w:t>
            </w:r>
          </w:p>
          <w:p>
            <w:pPr>
              <w:jc w:val="left"/>
              <w:rPr>
                <w:rFonts w:ascii="宋体" w:hAnsi="宋体" w:cs="宋体"/>
                <w:szCs w:val="21"/>
              </w:rPr>
            </w:pPr>
            <w:r>
              <w:rPr>
                <w:rFonts w:hint="eastAsia" w:ascii="宋体"/>
                <w:szCs w:val="21"/>
              </w:rPr>
              <w:t>不充分、不合理的得1分</w:t>
            </w:r>
            <w:r>
              <w:rPr>
                <w:rFonts w:hint="eastAsia" w:ascii="宋体" w:hAnsi="宋体" w:cs="宋体"/>
                <w:szCs w:val="21"/>
              </w:rPr>
              <w:t>；</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top w:val="single" w:color="auto" w:sz="4" w:space="0"/>
              <w:left w:val="single" w:color="auto" w:sz="4" w:space="0"/>
              <w:right w:val="single" w:color="auto" w:sz="4" w:space="0"/>
            </w:tcBorders>
            <w:vAlign w:val="center"/>
          </w:tcPr>
          <w:p>
            <w:pPr>
              <w:jc w:val="center"/>
              <w:rPr>
                <w:rFonts w:ascii="宋体"/>
                <w:szCs w:val="21"/>
              </w:rPr>
            </w:pPr>
            <w:r>
              <w:rPr>
                <w:rFonts w:hint="eastAsia" w:ascii="宋体"/>
                <w:szCs w:val="21"/>
              </w:rPr>
              <w:t>停车场</w:t>
            </w:r>
          </w:p>
          <w:p>
            <w:pPr>
              <w:jc w:val="center"/>
              <w:rPr>
                <w:rFonts w:ascii="宋体" w:hAnsi="宋体" w:cs="宋体"/>
                <w:szCs w:val="21"/>
              </w:rPr>
            </w:pPr>
            <w:r>
              <w:rPr>
                <w:rFonts w:hint="eastAsia" w:ascii="宋体"/>
                <w:szCs w:val="21"/>
              </w:rPr>
              <w:t>（11分）</w:t>
            </w:r>
          </w:p>
        </w:tc>
        <w:tc>
          <w:tcPr>
            <w:tcW w:w="6148"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textAlignment w:val="baseline"/>
              <w:rPr>
                <w:rFonts w:ascii="宋体"/>
                <w:szCs w:val="21"/>
              </w:rPr>
            </w:pPr>
            <w:r>
              <w:rPr>
                <w:rFonts w:hint="eastAsia" w:ascii="宋体"/>
                <w:szCs w:val="21"/>
              </w:rPr>
              <w:t>评委根据投标人提供的停车场地配套设施情况的综合评议，</w:t>
            </w:r>
          </w:p>
          <w:p>
            <w:pPr>
              <w:tabs>
                <w:tab w:val="left" w:pos="0"/>
              </w:tabs>
              <w:adjustRightInd w:val="0"/>
              <w:textAlignment w:val="baseline"/>
              <w:rPr>
                <w:rFonts w:ascii="宋体" w:hAnsi="宋体" w:cs="宋体"/>
                <w:szCs w:val="21"/>
              </w:rPr>
            </w:pPr>
            <w:r>
              <w:rPr>
                <w:rFonts w:hint="eastAsia" w:ascii="宋体"/>
                <w:szCs w:val="21"/>
              </w:rPr>
              <w:t>设施完善，符合</w:t>
            </w:r>
            <w:r>
              <w:rPr>
                <w:rFonts w:hint="eastAsia" w:ascii="宋体" w:hAnsi="宋体" w:cs="宋体"/>
                <w:szCs w:val="21"/>
              </w:rPr>
              <w:t>第二章招标需求中“二、服务需求”的得3分；</w:t>
            </w:r>
          </w:p>
          <w:p>
            <w:pPr>
              <w:jc w:val="left"/>
              <w:rPr>
                <w:rFonts w:ascii="宋体" w:hAnsi="宋体" w:cs="宋体"/>
                <w:szCs w:val="21"/>
              </w:rPr>
            </w:pPr>
            <w:r>
              <w:rPr>
                <w:rFonts w:hint="eastAsia" w:ascii="宋体"/>
                <w:szCs w:val="21"/>
              </w:rPr>
              <w:t>设施较完善，基本符合</w:t>
            </w:r>
            <w:r>
              <w:rPr>
                <w:rFonts w:hint="eastAsia" w:ascii="宋体" w:hAnsi="宋体" w:cs="宋体"/>
                <w:szCs w:val="21"/>
              </w:rPr>
              <w:t>第二章招标需求中“二、服务需求”的得2分；</w:t>
            </w:r>
          </w:p>
          <w:p>
            <w:pPr>
              <w:jc w:val="left"/>
              <w:rPr>
                <w:rFonts w:ascii="宋体" w:hAnsi="宋体" w:cs="宋体"/>
                <w:szCs w:val="21"/>
              </w:rPr>
            </w:pPr>
            <w:r>
              <w:rPr>
                <w:rFonts w:hint="eastAsia" w:ascii="宋体" w:hAnsi="宋体" w:cs="宋体"/>
                <w:szCs w:val="21"/>
              </w:rPr>
              <w:t>设施不完善、不符合第二章招标需求中“二、服务需求”的得1分；</w:t>
            </w:r>
          </w:p>
          <w:p>
            <w:pPr>
              <w:jc w:val="left"/>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textAlignment w:val="baseline"/>
              <w:rPr>
                <w:rFonts w:ascii="宋体"/>
                <w:szCs w:val="21"/>
              </w:rPr>
            </w:pPr>
            <w:r>
              <w:rPr>
                <w:rFonts w:hint="eastAsia" w:ascii="宋体"/>
                <w:szCs w:val="21"/>
              </w:rPr>
              <w:t>评委根据投标人提供的停车场地配置情况的综合评议，</w:t>
            </w:r>
          </w:p>
          <w:p>
            <w:pPr>
              <w:tabs>
                <w:tab w:val="left" w:pos="0"/>
              </w:tabs>
              <w:adjustRightInd w:val="0"/>
              <w:textAlignment w:val="baseline"/>
              <w:rPr>
                <w:rFonts w:ascii="宋体" w:hAnsi="宋体" w:cs="宋体"/>
                <w:szCs w:val="21"/>
              </w:rPr>
            </w:pPr>
            <w:r>
              <w:rPr>
                <w:rFonts w:hint="eastAsia" w:ascii="宋体"/>
                <w:szCs w:val="21"/>
              </w:rPr>
              <w:t>配置合理</w:t>
            </w:r>
            <w:r>
              <w:rPr>
                <w:rFonts w:hint="eastAsia" w:ascii="宋体" w:hAnsi="宋体" w:cs="宋体"/>
                <w:szCs w:val="21"/>
              </w:rPr>
              <w:t>的得3分；</w:t>
            </w:r>
          </w:p>
          <w:p>
            <w:pPr>
              <w:jc w:val="left"/>
              <w:rPr>
                <w:rFonts w:ascii="宋体" w:hAnsi="宋体" w:cs="宋体"/>
                <w:szCs w:val="21"/>
              </w:rPr>
            </w:pPr>
            <w:r>
              <w:rPr>
                <w:rFonts w:hint="eastAsia" w:ascii="宋体"/>
                <w:szCs w:val="21"/>
              </w:rPr>
              <w:t>配置基本合理</w:t>
            </w:r>
            <w:r>
              <w:rPr>
                <w:rFonts w:hint="eastAsia" w:ascii="宋体" w:hAnsi="宋体" w:cs="宋体"/>
                <w:szCs w:val="21"/>
              </w:rPr>
              <w:t>的得2分；</w:t>
            </w:r>
          </w:p>
          <w:p>
            <w:pPr>
              <w:jc w:val="left"/>
              <w:rPr>
                <w:rFonts w:ascii="宋体" w:hAnsi="宋体" w:cs="宋体"/>
                <w:szCs w:val="21"/>
              </w:rPr>
            </w:pPr>
            <w:r>
              <w:rPr>
                <w:rFonts w:hint="eastAsia" w:ascii="宋体"/>
                <w:szCs w:val="21"/>
              </w:rPr>
              <w:t>配置不合理</w:t>
            </w:r>
            <w:r>
              <w:rPr>
                <w:rFonts w:hint="eastAsia" w:ascii="宋体" w:hAnsi="宋体" w:cs="宋体"/>
                <w:szCs w:val="21"/>
              </w:rPr>
              <w:t>的得1分；</w:t>
            </w:r>
          </w:p>
          <w:p>
            <w:pPr>
              <w:jc w:val="left"/>
              <w:rPr>
                <w:rFonts w:ascii="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rPr>
              <w:t>满足</w:t>
            </w:r>
            <w:r>
              <w:rPr>
                <w:rFonts w:hint="eastAsia" w:ascii="宋体"/>
                <w:szCs w:val="21"/>
              </w:rPr>
              <w:t>招标文件第二章招标需求中打“</w:t>
            </w:r>
            <w:r>
              <w:rPr>
                <w:rFonts w:hint="eastAsia" w:ascii="宋体" w:hAnsi="宋体" w:cs="宋体"/>
                <w:szCs w:val="21"/>
              </w:rPr>
              <w:t>▲</w:t>
            </w:r>
            <w:r>
              <w:rPr>
                <w:rFonts w:hint="eastAsia" w:ascii="宋体"/>
                <w:szCs w:val="21"/>
              </w:rPr>
              <w:t>”符号要求的得5分，不满足得0分。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top w:val="single" w:color="auto" w:sz="4" w:space="0"/>
              <w:left w:val="single" w:color="auto" w:sz="4" w:space="0"/>
              <w:right w:val="single" w:color="auto" w:sz="4" w:space="0"/>
            </w:tcBorders>
            <w:vAlign w:val="center"/>
          </w:tcPr>
          <w:p>
            <w:pPr>
              <w:jc w:val="center"/>
              <w:rPr>
                <w:rFonts w:ascii="宋体"/>
                <w:szCs w:val="21"/>
              </w:rPr>
            </w:pPr>
            <w:r>
              <w:rPr>
                <w:rFonts w:hint="eastAsia" w:ascii="宋体"/>
                <w:szCs w:val="21"/>
              </w:rPr>
              <w:t>管理制度和工作流程</w:t>
            </w:r>
          </w:p>
          <w:p>
            <w:pPr>
              <w:jc w:val="center"/>
              <w:rPr>
                <w:rFonts w:ascii="宋体" w:hAnsi="宋体" w:cs="宋体"/>
                <w:szCs w:val="21"/>
              </w:rPr>
            </w:pPr>
            <w:r>
              <w:rPr>
                <w:rFonts w:hint="eastAsia" w:ascii="宋体"/>
                <w:szCs w:val="21"/>
              </w:rPr>
              <w:t>（16分）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违法车辆拖车方案规范的得3分；</w:t>
            </w:r>
          </w:p>
          <w:p>
            <w:pPr>
              <w:jc w:val="left"/>
              <w:rPr>
                <w:rFonts w:ascii="宋体"/>
                <w:szCs w:val="21"/>
              </w:rPr>
            </w:pPr>
            <w:r>
              <w:rPr>
                <w:rFonts w:hint="eastAsia" w:ascii="宋体"/>
                <w:szCs w:val="21"/>
              </w:rPr>
              <w:t>基本规范的得2分；</w:t>
            </w:r>
          </w:p>
          <w:p>
            <w:pPr>
              <w:jc w:val="left"/>
              <w:rPr>
                <w:rFonts w:ascii="宋体"/>
                <w:szCs w:val="21"/>
              </w:rPr>
            </w:pPr>
            <w:r>
              <w:rPr>
                <w:rFonts w:hint="eastAsia" w:ascii="宋体"/>
                <w:szCs w:val="21"/>
              </w:rPr>
              <w:t>不规范的得1分；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违法车辆拖车方案合理的得3分；</w:t>
            </w:r>
          </w:p>
          <w:p>
            <w:pPr>
              <w:jc w:val="left"/>
              <w:rPr>
                <w:rFonts w:ascii="宋体"/>
                <w:szCs w:val="21"/>
              </w:rPr>
            </w:pPr>
            <w:r>
              <w:rPr>
                <w:rFonts w:hint="eastAsia" w:ascii="宋体"/>
                <w:szCs w:val="21"/>
              </w:rPr>
              <w:t>基本合理的得2分；</w:t>
            </w:r>
          </w:p>
          <w:p>
            <w:pPr>
              <w:jc w:val="left"/>
              <w:rPr>
                <w:rFonts w:ascii="宋体"/>
                <w:szCs w:val="21"/>
              </w:rPr>
            </w:pPr>
            <w:r>
              <w:rPr>
                <w:rFonts w:hint="eastAsia" w:ascii="宋体"/>
                <w:szCs w:val="21"/>
              </w:rPr>
              <w:t>不合理的得1分；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违法车辆“停放要求”满足招标文件第二章招标需求中“二、服务需求”的得2分；</w:t>
            </w:r>
          </w:p>
          <w:p>
            <w:pPr>
              <w:jc w:val="left"/>
              <w:rPr>
                <w:rFonts w:ascii="宋体"/>
                <w:szCs w:val="21"/>
              </w:rPr>
            </w:pPr>
            <w:r>
              <w:rPr>
                <w:rFonts w:hint="eastAsia" w:ascii="宋体"/>
                <w:szCs w:val="21"/>
              </w:rPr>
              <w:t>基本满足招标文件第二章招标需求中“二、服务需求”的得1.5分；</w:t>
            </w:r>
          </w:p>
          <w:p>
            <w:pPr>
              <w:jc w:val="left"/>
              <w:rPr>
                <w:rFonts w:ascii="宋体"/>
                <w:szCs w:val="21"/>
              </w:rPr>
            </w:pPr>
            <w:r>
              <w:rPr>
                <w:rFonts w:hint="eastAsia" w:ascii="宋体"/>
                <w:szCs w:val="21"/>
              </w:rPr>
              <w:t>不满足招标文件第二章招标需求中“二、服务需求”的得1分；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违法车辆清障工作中的“工作时间”满足招标文件第二章招标需求中“二、服务需求”的得2分；</w:t>
            </w:r>
          </w:p>
          <w:p>
            <w:pPr>
              <w:jc w:val="left"/>
              <w:rPr>
                <w:rFonts w:ascii="宋体"/>
                <w:szCs w:val="21"/>
              </w:rPr>
            </w:pPr>
            <w:r>
              <w:rPr>
                <w:rFonts w:hint="eastAsia" w:ascii="宋体"/>
                <w:szCs w:val="21"/>
              </w:rPr>
              <w:t>基本满足招标文件第二章招标需求中“二、服务需求”的得1.5分；</w:t>
            </w:r>
          </w:p>
          <w:p>
            <w:pPr>
              <w:jc w:val="left"/>
              <w:rPr>
                <w:rFonts w:ascii="宋体"/>
                <w:szCs w:val="21"/>
              </w:rPr>
            </w:pPr>
            <w:r>
              <w:rPr>
                <w:rFonts w:hint="eastAsia" w:ascii="宋体"/>
                <w:szCs w:val="21"/>
              </w:rPr>
              <w:t>不满足招标文件第二章招标需求中“二、服务需求”的得1分；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停车场管理制度规范的得3分；</w:t>
            </w:r>
          </w:p>
          <w:p>
            <w:pPr>
              <w:jc w:val="left"/>
              <w:rPr>
                <w:rFonts w:ascii="宋体"/>
                <w:szCs w:val="21"/>
              </w:rPr>
            </w:pPr>
            <w:r>
              <w:rPr>
                <w:rFonts w:hint="eastAsia" w:ascii="宋体"/>
                <w:szCs w:val="21"/>
              </w:rPr>
              <w:t>基本规范的得2分；</w:t>
            </w:r>
          </w:p>
          <w:p>
            <w:pPr>
              <w:jc w:val="left"/>
              <w:rPr>
                <w:rFonts w:ascii="宋体"/>
                <w:szCs w:val="21"/>
              </w:rPr>
            </w:pPr>
            <w:r>
              <w:rPr>
                <w:rFonts w:hint="eastAsia" w:ascii="宋体"/>
                <w:szCs w:val="21"/>
              </w:rPr>
              <w:t>不规范的得1分；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停车场管理制度合理的得3分；</w:t>
            </w:r>
          </w:p>
          <w:p>
            <w:pPr>
              <w:jc w:val="left"/>
              <w:rPr>
                <w:rFonts w:ascii="宋体"/>
                <w:szCs w:val="21"/>
              </w:rPr>
            </w:pPr>
            <w:r>
              <w:rPr>
                <w:rFonts w:hint="eastAsia" w:ascii="宋体"/>
                <w:szCs w:val="21"/>
              </w:rPr>
              <w:t>基本合理的得2分；</w:t>
            </w:r>
          </w:p>
          <w:p>
            <w:pPr>
              <w:jc w:val="left"/>
              <w:rPr>
                <w:rFonts w:ascii="宋体"/>
                <w:szCs w:val="21"/>
              </w:rPr>
            </w:pPr>
            <w:r>
              <w:rPr>
                <w:rFonts w:hint="eastAsia" w:ascii="宋体"/>
                <w:szCs w:val="21"/>
              </w:rPr>
              <w:t>不合理的得1分；</w:t>
            </w:r>
          </w:p>
          <w:p>
            <w:pPr>
              <w:jc w:val="left"/>
              <w:rPr>
                <w:rFonts w:asciiTheme="minorEastAsia" w:hAnsiTheme="minorEastAsia" w:eastAsiaTheme="minorEastAsia"/>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szCs w:val="21"/>
              </w:rPr>
              <w:t>项目实施保障措施及服务质量承诺（9分）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项目实施保障措施可实施性强的得3分；</w:t>
            </w:r>
          </w:p>
          <w:p>
            <w:pPr>
              <w:jc w:val="left"/>
              <w:rPr>
                <w:rFonts w:ascii="宋体"/>
                <w:szCs w:val="21"/>
              </w:rPr>
            </w:pPr>
            <w:r>
              <w:rPr>
                <w:rFonts w:hint="eastAsia" w:ascii="宋体"/>
                <w:szCs w:val="21"/>
              </w:rPr>
              <w:t>可实施性较强的得2分；</w:t>
            </w:r>
          </w:p>
          <w:p>
            <w:pPr>
              <w:jc w:val="left"/>
              <w:rPr>
                <w:rFonts w:ascii="宋体"/>
                <w:szCs w:val="21"/>
              </w:rPr>
            </w:pPr>
            <w:r>
              <w:rPr>
                <w:rFonts w:hint="eastAsia" w:ascii="宋体"/>
                <w:szCs w:val="21"/>
              </w:rPr>
              <w:t>不具备实施性的得1分；</w:t>
            </w:r>
          </w:p>
          <w:p>
            <w:pPr>
              <w:jc w:val="left"/>
              <w:rPr>
                <w:rFonts w:ascii="宋体" w:hAnsi="宋体" w:cs="宋体"/>
                <w:kern w:val="0"/>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项目实施保障措施完善的得3分；</w:t>
            </w:r>
          </w:p>
          <w:p>
            <w:pPr>
              <w:jc w:val="left"/>
              <w:rPr>
                <w:rFonts w:ascii="宋体"/>
                <w:szCs w:val="21"/>
              </w:rPr>
            </w:pPr>
            <w:r>
              <w:rPr>
                <w:rFonts w:hint="eastAsia" w:ascii="宋体"/>
                <w:szCs w:val="21"/>
              </w:rPr>
              <w:t>较完善的得2分；</w:t>
            </w:r>
          </w:p>
          <w:p>
            <w:pPr>
              <w:jc w:val="left"/>
              <w:rPr>
                <w:rFonts w:ascii="宋体"/>
                <w:szCs w:val="21"/>
              </w:rPr>
            </w:pPr>
            <w:r>
              <w:rPr>
                <w:rFonts w:hint="eastAsia" w:ascii="宋体"/>
                <w:szCs w:val="21"/>
              </w:rPr>
              <w:t>不完善的得1分；</w:t>
            </w:r>
          </w:p>
          <w:p>
            <w:pPr>
              <w:jc w:val="left"/>
              <w:rPr>
                <w:rFonts w:ascii="宋体" w:hAnsi="宋体" w:cs="宋体"/>
                <w:kern w:val="0"/>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服务质量承诺合理的得3分；</w:t>
            </w:r>
          </w:p>
          <w:p>
            <w:pPr>
              <w:jc w:val="left"/>
              <w:rPr>
                <w:rFonts w:ascii="宋体"/>
                <w:szCs w:val="21"/>
              </w:rPr>
            </w:pPr>
            <w:r>
              <w:rPr>
                <w:rFonts w:hint="eastAsia" w:ascii="宋体"/>
                <w:szCs w:val="21"/>
              </w:rPr>
              <w:t>服务质量承诺较合理的得2分；</w:t>
            </w:r>
          </w:p>
          <w:p>
            <w:pPr>
              <w:jc w:val="left"/>
              <w:rPr>
                <w:rFonts w:ascii="宋体"/>
                <w:szCs w:val="21"/>
              </w:rPr>
            </w:pPr>
            <w:r>
              <w:rPr>
                <w:rFonts w:hint="eastAsia" w:ascii="宋体"/>
                <w:szCs w:val="21"/>
              </w:rPr>
              <w:t>服务质量承诺不合理的得1分；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left w:val="single" w:color="auto" w:sz="4" w:space="0"/>
              <w:right w:val="single" w:color="auto" w:sz="4" w:space="0"/>
            </w:tcBorders>
            <w:vAlign w:val="center"/>
          </w:tcPr>
          <w:p>
            <w:pPr>
              <w:jc w:val="center"/>
              <w:rPr>
                <w:rFonts w:ascii="宋体"/>
                <w:szCs w:val="21"/>
              </w:rPr>
            </w:pPr>
            <w:r>
              <w:rPr>
                <w:rFonts w:hint="eastAsia" w:ascii="宋体"/>
                <w:szCs w:val="21"/>
              </w:rPr>
              <w:t>应急方案</w:t>
            </w:r>
          </w:p>
          <w:p>
            <w:pPr>
              <w:jc w:val="center"/>
              <w:rPr>
                <w:rFonts w:ascii="宋体"/>
                <w:szCs w:val="21"/>
              </w:rPr>
            </w:pPr>
            <w:r>
              <w:rPr>
                <w:rFonts w:hint="eastAsia" w:ascii="宋体"/>
                <w:szCs w:val="21"/>
              </w:rPr>
              <w:t>（6分）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应急方案针对性强的得3分；</w:t>
            </w:r>
          </w:p>
          <w:p>
            <w:pPr>
              <w:jc w:val="left"/>
              <w:rPr>
                <w:rFonts w:ascii="宋体"/>
                <w:szCs w:val="21"/>
              </w:rPr>
            </w:pPr>
            <w:r>
              <w:rPr>
                <w:rFonts w:hint="eastAsia" w:ascii="宋体"/>
                <w:szCs w:val="21"/>
              </w:rPr>
              <w:t>针对性较强的得2分；</w:t>
            </w:r>
          </w:p>
          <w:p>
            <w:pPr>
              <w:jc w:val="left"/>
              <w:rPr>
                <w:rFonts w:ascii="宋体"/>
                <w:szCs w:val="21"/>
              </w:rPr>
            </w:pPr>
            <w:r>
              <w:rPr>
                <w:rFonts w:hint="eastAsia" w:ascii="宋体"/>
                <w:szCs w:val="21"/>
              </w:rPr>
              <w:t>针对性不强的1分；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应急方案可行性强的得3分；</w:t>
            </w:r>
          </w:p>
          <w:p>
            <w:pPr>
              <w:jc w:val="left"/>
              <w:rPr>
                <w:rFonts w:ascii="宋体"/>
                <w:szCs w:val="21"/>
              </w:rPr>
            </w:pPr>
            <w:r>
              <w:rPr>
                <w:rFonts w:hint="eastAsia" w:ascii="宋体"/>
                <w:szCs w:val="21"/>
              </w:rPr>
              <w:t>可行性较强的得2分；</w:t>
            </w:r>
          </w:p>
          <w:p>
            <w:pPr>
              <w:jc w:val="left"/>
              <w:rPr>
                <w:rFonts w:ascii="宋体"/>
                <w:szCs w:val="21"/>
              </w:rPr>
            </w:pPr>
            <w:r>
              <w:rPr>
                <w:rFonts w:hint="eastAsia" w:ascii="宋体"/>
                <w:szCs w:val="21"/>
              </w:rPr>
              <w:t>可行性不强的1分；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szCs w:val="21"/>
              </w:rPr>
              <w:t>优化服务承诺（3分）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优化服务承诺可实施性强、针对性强的得3分；</w:t>
            </w:r>
          </w:p>
          <w:p>
            <w:pPr>
              <w:jc w:val="left"/>
              <w:rPr>
                <w:rFonts w:ascii="宋体"/>
                <w:szCs w:val="21"/>
              </w:rPr>
            </w:pPr>
            <w:r>
              <w:rPr>
                <w:rFonts w:hint="eastAsia" w:ascii="宋体"/>
                <w:szCs w:val="21"/>
              </w:rPr>
              <w:t>可实施性较强、针对性较强的得2分；</w:t>
            </w:r>
          </w:p>
          <w:p>
            <w:pPr>
              <w:jc w:val="left"/>
              <w:rPr>
                <w:rFonts w:ascii="宋体"/>
                <w:szCs w:val="21"/>
              </w:rPr>
            </w:pPr>
            <w:r>
              <w:rPr>
                <w:rFonts w:hint="eastAsia" w:ascii="宋体"/>
                <w:szCs w:val="21"/>
              </w:rPr>
              <w:t>基本可行的得1分；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项目业绩</w:t>
            </w:r>
          </w:p>
          <w:p>
            <w:pPr>
              <w:jc w:val="center"/>
              <w:rPr>
                <w:rFonts w:ascii="宋体" w:hAnsi="宋体" w:cs="宋体"/>
                <w:szCs w:val="21"/>
              </w:rPr>
            </w:pPr>
            <w:r>
              <w:rPr>
                <w:rFonts w:hint="eastAsia" w:ascii="宋体" w:hAnsi="宋体" w:cs="宋体"/>
                <w:szCs w:val="21"/>
              </w:rPr>
              <w:t>（2分）</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201</w:t>
            </w:r>
            <w:r>
              <w:rPr>
                <w:rFonts w:ascii="宋体" w:hAnsi="宋体" w:cs="宋体"/>
                <w:szCs w:val="21"/>
              </w:rPr>
              <w:t>9</w:t>
            </w:r>
            <w:r>
              <w:rPr>
                <w:rFonts w:hint="eastAsia" w:ascii="宋体" w:hAnsi="宋体" w:cs="宋体"/>
                <w:szCs w:val="21"/>
              </w:rPr>
              <w:t>年</w:t>
            </w:r>
            <w:r>
              <w:rPr>
                <w:rFonts w:ascii="宋体" w:hAnsi="宋体" w:cs="宋体"/>
                <w:szCs w:val="21"/>
              </w:rPr>
              <w:t>12</w:t>
            </w:r>
            <w:r>
              <w:rPr>
                <w:rFonts w:hint="eastAsia" w:ascii="宋体" w:hAnsi="宋体" w:cs="宋体"/>
                <w:szCs w:val="21"/>
              </w:rPr>
              <w:t>月1日（以合同签订时间为准）至今，投标人具有的同类项目业绩，</w:t>
            </w:r>
            <w:r>
              <w:rPr>
                <w:rFonts w:hint="eastAsia" w:ascii="宋体"/>
                <w:szCs w:val="21"/>
              </w:rPr>
              <w:t>每提供一份业绩合同得1分，满分2分</w:t>
            </w:r>
            <w:r>
              <w:rPr>
                <w:rFonts w:hint="eastAsia" w:ascii="宋体" w:hAnsi="宋体" w:cs="宋体"/>
                <w:szCs w:val="21"/>
              </w:rPr>
              <w:t>。</w:t>
            </w:r>
          </w:p>
          <w:p>
            <w:pPr>
              <w:rPr>
                <w:rFonts w:ascii="宋体" w:hAnsi="宋体" w:cs="宋体"/>
                <w:b/>
                <w:bCs/>
                <w:szCs w:val="21"/>
              </w:rPr>
            </w:pPr>
            <w:r>
              <w:rPr>
                <w:rFonts w:hint="eastAsia" w:ascii="宋体" w:hAnsi="宋体" w:cs="宋体"/>
                <w:szCs w:val="21"/>
              </w:rPr>
              <w:t>注：提供业绩合同复印件并加盖公章。若为联合体投标的，联合体任意一方提供的均可。</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商务需求</w:t>
            </w:r>
          </w:p>
          <w:p>
            <w:pPr>
              <w:jc w:val="center"/>
              <w:rPr>
                <w:rFonts w:ascii="宋体" w:hAnsi="宋体" w:cs="宋体"/>
                <w:szCs w:val="21"/>
              </w:rPr>
            </w:pPr>
            <w:r>
              <w:rPr>
                <w:rFonts w:hint="eastAsia" w:ascii="宋体" w:hAnsi="宋体" w:cs="宋体"/>
                <w:szCs w:val="21"/>
              </w:rPr>
              <w:t>响应情况</w:t>
            </w:r>
          </w:p>
          <w:p>
            <w:pPr>
              <w:jc w:val="center"/>
              <w:rPr>
                <w:rFonts w:ascii="宋体" w:hAnsi="宋体" w:cs="宋体"/>
                <w:szCs w:val="21"/>
              </w:rPr>
            </w:pPr>
            <w:r>
              <w:rPr>
                <w:rFonts w:hint="eastAsia" w:ascii="宋体" w:hAnsi="宋体" w:cs="宋体"/>
                <w:szCs w:val="21"/>
              </w:rPr>
              <w:t>（6分）</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根据投标人针对“第二章 招标需求”中“一、商务要求”（除标注*条款外）的响应情况进行评审，完全响应的得6分，若有负偏离的，每负偏离一项扣2分。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3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合计</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100</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w:t>
            </w:r>
          </w:p>
        </w:tc>
      </w:tr>
    </w:tbl>
    <w:p>
      <w:pPr>
        <w:pStyle w:val="3"/>
        <w:spacing w:before="0" w:after="0" w:line="360" w:lineRule="auto"/>
        <w:ind w:firstLine="420" w:firstLineChars="200"/>
        <w:jc w:val="left"/>
        <w:rPr>
          <w:rFonts w:ascii="宋体" w:hAnsi="宋体" w:cs="宋体"/>
          <w:b w:val="0"/>
          <w:bCs w:val="0"/>
          <w:kern w:val="2"/>
          <w:sz w:val="21"/>
          <w:szCs w:val="21"/>
        </w:rPr>
      </w:pPr>
    </w:p>
    <w:p>
      <w:pPr>
        <w:pStyle w:val="3"/>
        <w:spacing w:before="0" w:after="0" w:line="360" w:lineRule="auto"/>
        <w:ind w:firstLine="420" w:firstLineChars="200"/>
        <w:jc w:val="left"/>
        <w:rPr>
          <w:rFonts w:hint="eastAsia" w:ascii="宋体" w:hAnsi="宋体" w:cs="宋体"/>
          <w:b w:val="0"/>
          <w:bCs w:val="0"/>
          <w:kern w:val="2"/>
          <w:sz w:val="21"/>
          <w:szCs w:val="21"/>
        </w:rPr>
      </w:pPr>
      <w:r>
        <w:rPr>
          <w:rFonts w:hint="eastAsia" w:ascii="宋体" w:hAnsi="宋体" w:cs="宋体"/>
          <w:b w:val="0"/>
          <w:bCs w:val="0"/>
          <w:kern w:val="2"/>
          <w:sz w:val="21"/>
          <w:szCs w:val="21"/>
        </w:rPr>
        <w:t>标项三、标项四、标项五、标项六、标项七、标项八、标项九、标项十、标项十二、标项十三、标项十四：</w:t>
      </w:r>
    </w:p>
    <w:tbl>
      <w:tblPr>
        <w:tblStyle w:val="35"/>
        <w:tblW w:w="98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393"/>
        <w:gridCol w:w="6148"/>
        <w:gridCol w:w="69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评分内容及标准</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分值</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价格分20分</w:t>
            </w: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Arial"/>
                <w:szCs w:val="21"/>
              </w:rPr>
              <w:t>拖车服务</w:t>
            </w:r>
          </w:p>
          <w:p>
            <w:pPr>
              <w:autoSpaceDE w:val="0"/>
              <w:autoSpaceDN w:val="0"/>
              <w:adjustRightInd w:val="0"/>
              <w:jc w:val="center"/>
              <w:rPr>
                <w:rFonts w:ascii="宋体" w:hAnsi="宋体" w:cs="宋体"/>
                <w:szCs w:val="21"/>
              </w:rPr>
            </w:pPr>
            <w:r>
              <w:rPr>
                <w:rFonts w:hint="eastAsia" w:ascii="宋体" w:hAnsi="宋体" w:cs="宋体"/>
                <w:szCs w:val="21"/>
              </w:rPr>
              <w:t>（15分）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拖车服务：</w:t>
            </w:r>
          </w:p>
          <w:p>
            <w:pPr>
              <w:tabs>
                <w:tab w:val="left" w:pos="0"/>
              </w:tabs>
              <w:adjustRightInd w:val="0"/>
              <w:textAlignment w:val="baseline"/>
              <w:rPr>
                <w:rFonts w:ascii="宋体" w:hAnsi="宋体" w:cs="宋体"/>
                <w:szCs w:val="21"/>
              </w:rPr>
            </w:pPr>
            <w:r>
              <w:rPr>
                <w:rFonts w:hint="eastAsia" w:ascii="宋体" w:hAnsi="宋体" w:cs="宋体"/>
                <w:szCs w:val="21"/>
              </w:rPr>
              <w:t>小微企业的参与评审的价格=投标折扣系数*（</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价格折扣率（如有</w:t>
            </w:r>
            <w:r>
              <w:rPr>
                <w:rFonts w:hint="eastAsia" w:ascii="宋体" w:hAnsi="宋体" w:cs="宋体"/>
                <w:szCs w:val="21"/>
              </w:rPr>
              <w:t>）</w:t>
            </w:r>
            <w:r>
              <w:rPr>
                <w:rFonts w:hint="eastAsia" w:ascii="宋体" w:hAnsi="宋体" w:cs="宋体"/>
                <w:szCs w:val="21"/>
                <w:lang w:eastAsia="zh-CN"/>
              </w:rPr>
              <w:t>】</w:t>
            </w:r>
          </w:p>
          <w:p>
            <w:pPr>
              <w:tabs>
                <w:tab w:val="left" w:pos="0"/>
              </w:tabs>
              <w:adjustRightInd w:val="0"/>
              <w:textAlignment w:val="baseline"/>
              <w:rPr>
                <w:rFonts w:ascii="宋体" w:hAnsi="宋体" w:cs="宋体"/>
                <w:szCs w:val="21"/>
              </w:rPr>
            </w:pPr>
            <w:r>
              <w:rPr>
                <w:rFonts w:hint="eastAsia" w:ascii="宋体" w:hAnsi="宋体" w:cs="宋体"/>
                <w:szCs w:val="21"/>
              </w:rPr>
              <w:t>非小微企业的参与评审价格=投标折扣系数</w:t>
            </w:r>
          </w:p>
          <w:p>
            <w:pPr>
              <w:tabs>
                <w:tab w:val="left" w:pos="0"/>
              </w:tabs>
              <w:adjustRightInd w:val="0"/>
              <w:textAlignment w:val="baseline"/>
              <w:rPr>
                <w:rFonts w:ascii="宋体" w:hAnsi="宋体" w:cs="宋体"/>
                <w:szCs w:val="21"/>
              </w:rPr>
            </w:pPr>
            <w:r>
              <w:rPr>
                <w:rFonts w:hint="eastAsia" w:ascii="宋体" w:hAnsi="宋体" w:cs="宋体"/>
                <w:szCs w:val="21"/>
              </w:rPr>
              <w:t>评标基准价＝有效投标中最低的参与评审价格</w:t>
            </w:r>
          </w:p>
          <w:p>
            <w:pPr>
              <w:tabs>
                <w:tab w:val="left" w:pos="0"/>
              </w:tabs>
              <w:adjustRightInd w:val="0"/>
              <w:textAlignment w:val="baseline"/>
              <w:rPr>
                <w:rFonts w:ascii="宋体" w:hAnsi="宋体" w:cs="宋体"/>
                <w:szCs w:val="21"/>
              </w:rPr>
            </w:pPr>
            <w:r>
              <w:rPr>
                <w:rFonts w:hint="eastAsia" w:ascii="宋体" w:hAnsi="宋体" w:cs="宋体"/>
                <w:szCs w:val="21"/>
              </w:rPr>
              <w:t>评标基准价的价格分为满分15分，其他供应商的价格分统一按照下列公式计算：</w:t>
            </w:r>
          </w:p>
          <w:p>
            <w:pPr>
              <w:tabs>
                <w:tab w:val="left" w:pos="0"/>
              </w:tabs>
              <w:adjustRightInd w:val="0"/>
              <w:textAlignment w:val="baseline"/>
              <w:rPr>
                <w:rFonts w:ascii="宋体" w:hAnsi="宋体" w:cs="宋体"/>
                <w:szCs w:val="21"/>
              </w:rPr>
            </w:pPr>
            <w:r>
              <w:rPr>
                <w:rFonts w:hint="eastAsia" w:ascii="宋体" w:hAnsi="宋体" w:cs="宋体"/>
                <w:szCs w:val="21"/>
              </w:rPr>
              <w:t>投标报价得分=（评标基准价/参与评审的价格）×15×100%。</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停车服务</w:t>
            </w:r>
          </w:p>
          <w:p>
            <w:pPr>
              <w:autoSpaceDE w:val="0"/>
              <w:autoSpaceDN w:val="0"/>
              <w:adjustRightInd w:val="0"/>
              <w:jc w:val="center"/>
              <w:rPr>
                <w:rFonts w:ascii="宋体" w:hAnsi="宋体" w:cs="宋体"/>
                <w:szCs w:val="21"/>
              </w:rPr>
            </w:pPr>
            <w:r>
              <w:rPr>
                <w:rFonts w:hint="eastAsia" w:ascii="宋体" w:hAnsi="宋体" w:cs="宋体"/>
                <w:szCs w:val="21"/>
              </w:rPr>
              <w:t>（5分）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停车服务：</w:t>
            </w:r>
          </w:p>
          <w:p>
            <w:pPr>
              <w:tabs>
                <w:tab w:val="left" w:pos="0"/>
              </w:tabs>
              <w:adjustRightInd w:val="0"/>
              <w:textAlignment w:val="baseline"/>
              <w:rPr>
                <w:rFonts w:ascii="宋体" w:hAnsi="宋体" w:cs="宋体"/>
                <w:szCs w:val="21"/>
              </w:rPr>
            </w:pPr>
            <w:r>
              <w:rPr>
                <w:rFonts w:hint="eastAsia" w:ascii="宋体" w:hAnsi="宋体" w:cs="宋体"/>
                <w:szCs w:val="21"/>
              </w:rPr>
              <w:t>小微企业的参与评审的价格=投标报价*</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价格折扣率（如有</w:t>
            </w:r>
            <w:r>
              <w:rPr>
                <w:rFonts w:hint="eastAsia" w:ascii="宋体" w:hAnsi="宋体" w:cs="宋体"/>
                <w:szCs w:val="21"/>
              </w:rPr>
              <w:t>）</w:t>
            </w:r>
            <w:r>
              <w:rPr>
                <w:rFonts w:hint="eastAsia" w:ascii="宋体" w:hAnsi="宋体" w:cs="宋体"/>
                <w:szCs w:val="21"/>
                <w:lang w:eastAsia="zh-CN"/>
              </w:rPr>
              <w:t>】</w:t>
            </w:r>
          </w:p>
          <w:p>
            <w:pPr>
              <w:tabs>
                <w:tab w:val="left" w:pos="0"/>
              </w:tabs>
              <w:adjustRightInd w:val="0"/>
              <w:textAlignment w:val="baseline"/>
              <w:rPr>
                <w:rFonts w:ascii="宋体" w:hAnsi="宋体" w:cs="宋体"/>
                <w:szCs w:val="21"/>
              </w:rPr>
            </w:pPr>
            <w:r>
              <w:rPr>
                <w:rFonts w:hint="eastAsia" w:ascii="宋体" w:hAnsi="宋体" w:cs="宋体"/>
                <w:szCs w:val="21"/>
              </w:rPr>
              <w:t>非小微企业的参与评审价格=投标报价</w:t>
            </w:r>
          </w:p>
          <w:p>
            <w:pPr>
              <w:tabs>
                <w:tab w:val="left" w:pos="0"/>
              </w:tabs>
              <w:adjustRightInd w:val="0"/>
              <w:textAlignment w:val="baseline"/>
              <w:rPr>
                <w:rFonts w:ascii="宋体" w:hAnsi="宋体" w:cs="宋体"/>
                <w:szCs w:val="21"/>
              </w:rPr>
            </w:pPr>
            <w:r>
              <w:rPr>
                <w:rFonts w:hint="eastAsia" w:ascii="宋体" w:hAnsi="宋体" w:cs="宋体"/>
                <w:szCs w:val="21"/>
              </w:rPr>
              <w:t>评标基准价＝有效标中最低的参与评审价格</w:t>
            </w:r>
          </w:p>
          <w:p>
            <w:pPr>
              <w:tabs>
                <w:tab w:val="left" w:pos="0"/>
              </w:tabs>
              <w:adjustRightInd w:val="0"/>
              <w:textAlignment w:val="baseline"/>
              <w:rPr>
                <w:rFonts w:ascii="宋体" w:hAnsi="宋体" w:cs="宋体"/>
                <w:szCs w:val="21"/>
              </w:rPr>
            </w:pPr>
            <w:r>
              <w:rPr>
                <w:rFonts w:hint="eastAsia" w:ascii="宋体" w:hAnsi="宋体" w:cs="宋体"/>
                <w:szCs w:val="21"/>
              </w:rPr>
              <w:t>评标基准价的价格分为满分5分，其他供应商的价格分统一按照下列公式计算：</w:t>
            </w:r>
          </w:p>
          <w:p>
            <w:pPr>
              <w:tabs>
                <w:tab w:val="left" w:pos="0"/>
              </w:tabs>
              <w:adjustRightInd w:val="0"/>
              <w:textAlignment w:val="baseline"/>
              <w:rPr>
                <w:rFonts w:ascii="宋体" w:hAnsi="宋体" w:cs="宋体"/>
                <w:szCs w:val="21"/>
              </w:rPr>
            </w:pPr>
            <w:r>
              <w:rPr>
                <w:rFonts w:hint="eastAsia" w:ascii="宋体" w:hAnsi="宋体" w:cs="宋体"/>
                <w:szCs w:val="21"/>
              </w:rPr>
              <w:t>投标报价得分=（评标基准价/参与评审的价格）×5×100%。</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商务技术分</w:t>
            </w:r>
          </w:p>
          <w:p>
            <w:pPr>
              <w:jc w:val="center"/>
              <w:rPr>
                <w:rFonts w:ascii="宋体" w:hAnsi="宋体" w:cs="宋体"/>
                <w:szCs w:val="21"/>
              </w:rPr>
            </w:pPr>
            <w:r>
              <w:rPr>
                <w:rFonts w:hint="eastAsia" w:ascii="宋体" w:hAnsi="宋体" w:cs="宋体"/>
                <w:szCs w:val="21"/>
              </w:rPr>
              <w:t>80分</w:t>
            </w: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车辆配备</w:t>
            </w:r>
          </w:p>
          <w:p>
            <w:pPr>
              <w:autoSpaceDE w:val="0"/>
              <w:autoSpaceDN w:val="0"/>
              <w:adjustRightInd w:val="0"/>
              <w:jc w:val="center"/>
              <w:rPr>
                <w:rFonts w:ascii="宋体" w:hAnsi="宋体" w:cs="宋体"/>
                <w:szCs w:val="21"/>
              </w:rPr>
            </w:pPr>
            <w:r>
              <w:rPr>
                <w:rFonts w:hint="eastAsia" w:ascii="宋体" w:hAnsi="宋体" w:cs="宋体"/>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根据投标人拟投入本项目小吨位拖车配备情况进行评议。</w:t>
            </w:r>
          </w:p>
          <w:p>
            <w:pPr>
              <w:tabs>
                <w:tab w:val="left" w:pos="0"/>
              </w:tabs>
              <w:adjustRightInd w:val="0"/>
              <w:textAlignment w:val="baseline"/>
              <w:rPr>
                <w:rFonts w:ascii="宋体" w:hAnsi="宋体" w:cs="宋体"/>
                <w:szCs w:val="21"/>
              </w:rPr>
            </w:pPr>
            <w:r>
              <w:rPr>
                <w:rFonts w:hint="eastAsia" w:ascii="宋体" w:hAnsi="宋体" w:cs="宋体"/>
                <w:szCs w:val="21"/>
              </w:rPr>
              <w:t>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p>
            <w:pPr>
              <w:tabs>
                <w:tab w:val="left" w:pos="0"/>
              </w:tabs>
              <w:adjustRightInd w:val="0"/>
              <w:textAlignment w:val="baseline"/>
              <w:rPr>
                <w:rFonts w:ascii="宋体" w:hAnsi="宋体" w:cs="宋体"/>
                <w:szCs w:val="21"/>
              </w:rPr>
            </w:pPr>
            <w:r>
              <w:rPr>
                <w:rFonts w:hint="eastAsia" w:ascii="宋体" w:hAnsi="宋体" w:cs="宋体"/>
                <w:szCs w:val="21"/>
              </w:rPr>
              <w:t>（投标文件中提供车辆行驶证复印件。如所投车辆为租赁车辆则需同时提供车辆租赁协议及车辆行驶证复印件加盖公章）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工作时间</w:t>
            </w:r>
          </w:p>
          <w:p>
            <w:pPr>
              <w:autoSpaceDE w:val="0"/>
              <w:autoSpaceDN w:val="0"/>
              <w:adjustRightInd w:val="0"/>
              <w:jc w:val="center"/>
              <w:rPr>
                <w:rFonts w:ascii="宋体" w:hAnsi="宋体" w:cs="宋体"/>
                <w:szCs w:val="21"/>
              </w:rPr>
            </w:pPr>
            <w:r>
              <w:rPr>
                <w:rFonts w:hint="eastAsia" w:ascii="宋体" w:hAnsi="宋体" w:cs="宋体"/>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工作时间满足或优于第二章招标需求中“二、服务需求”的得3分；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响应时间</w:t>
            </w:r>
          </w:p>
          <w:p>
            <w:pPr>
              <w:autoSpaceDE w:val="0"/>
              <w:autoSpaceDN w:val="0"/>
              <w:adjustRightInd w:val="0"/>
              <w:jc w:val="center"/>
              <w:rPr>
                <w:rFonts w:ascii="宋体" w:hAnsi="宋体" w:cs="宋体"/>
                <w:kern w:val="0"/>
                <w:szCs w:val="21"/>
              </w:rPr>
            </w:pPr>
            <w:r>
              <w:rPr>
                <w:rFonts w:hint="eastAsia" w:ascii="宋体" w:hAnsi="宋体" w:cs="宋体"/>
                <w:kern w:val="0"/>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kern w:val="0"/>
                <w:szCs w:val="21"/>
              </w:rPr>
              <w:t>响应</w:t>
            </w:r>
            <w:r>
              <w:rPr>
                <w:rFonts w:hint="eastAsia" w:ascii="宋体" w:hAnsi="宋体" w:cs="宋体"/>
                <w:szCs w:val="21"/>
              </w:rPr>
              <w:t>时间满足或优于第二章招标需求中“二、服务需求”的得3分；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操作要求</w:t>
            </w:r>
          </w:p>
          <w:p>
            <w:pPr>
              <w:autoSpaceDE w:val="0"/>
              <w:autoSpaceDN w:val="0"/>
              <w:adjustRightInd w:val="0"/>
              <w:jc w:val="center"/>
              <w:rPr>
                <w:rFonts w:ascii="宋体" w:hAnsi="宋体" w:cs="宋体"/>
                <w:kern w:val="0"/>
                <w:szCs w:val="21"/>
              </w:rPr>
            </w:pPr>
            <w:r>
              <w:rPr>
                <w:rFonts w:hint="eastAsia" w:ascii="宋体" w:hAnsi="宋体" w:cs="宋体"/>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操作要求满足或优于第二章招标需求中“二、服务需求”的得3分；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驾驶员分数</w:t>
            </w:r>
          </w:p>
          <w:p>
            <w:pPr>
              <w:autoSpaceDE w:val="0"/>
              <w:autoSpaceDN w:val="0"/>
              <w:adjustRightInd w:val="0"/>
              <w:jc w:val="center"/>
              <w:rPr>
                <w:rFonts w:ascii="宋体" w:hAnsi="宋体" w:cs="宋体"/>
                <w:szCs w:val="21"/>
              </w:rPr>
            </w:pPr>
            <w:r>
              <w:rPr>
                <w:rFonts w:hint="eastAsia" w:ascii="宋体" w:hAnsi="宋体" w:cs="宋体"/>
                <w:szCs w:val="21"/>
              </w:rPr>
              <w:t>（6分）</w:t>
            </w:r>
          </w:p>
        </w:tc>
        <w:tc>
          <w:tcPr>
            <w:tcW w:w="6148" w:type="dxa"/>
            <w:tcBorders>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投标人拟派本项目驾驶员具有C照及以上驾驶证，每提供一人得2分，最高6分（投标文件中提供身份证及驾驶证复印件加盖公章）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管理人员</w:t>
            </w:r>
          </w:p>
          <w:p>
            <w:pPr>
              <w:autoSpaceDE w:val="0"/>
              <w:autoSpaceDN w:val="0"/>
              <w:adjustRightInd w:val="0"/>
              <w:jc w:val="center"/>
              <w:rPr>
                <w:rFonts w:ascii="宋体" w:hAnsi="宋体" w:cs="宋体"/>
                <w:szCs w:val="21"/>
              </w:rPr>
            </w:pPr>
            <w:r>
              <w:rPr>
                <w:rFonts w:hint="eastAsia" w:ascii="宋体" w:hAnsi="宋体" w:cs="宋体"/>
                <w:szCs w:val="21"/>
              </w:rPr>
              <w:t>（7分）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停车场管理人员具有业管理专业大专及以上学历的每个得3.5分，最高得7分。（投标文件中提供人员证书复印件加盖公章）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7</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5"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szCs w:val="21"/>
              </w:rPr>
              <w:t>人员配备方案（6分）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根据投标人拟投入本项目</w:t>
            </w:r>
            <w:r>
              <w:rPr>
                <w:rFonts w:hint="eastAsia" w:ascii="宋体" w:hAnsi="宋体" w:cs="宋体"/>
                <w:szCs w:val="21"/>
              </w:rPr>
              <w:t>驾驶员情况进行评议。</w:t>
            </w:r>
          </w:p>
          <w:p>
            <w:pPr>
              <w:jc w:val="left"/>
              <w:rPr>
                <w:rFonts w:ascii="宋体" w:hAnsi="宋体" w:cs="宋体"/>
                <w:szCs w:val="21"/>
              </w:rPr>
            </w:pPr>
            <w:r>
              <w:rPr>
                <w:rFonts w:hint="eastAsia" w:ascii="宋体"/>
                <w:szCs w:val="21"/>
              </w:rPr>
              <w:t>配备充分、合理的得3分</w:t>
            </w:r>
            <w:r>
              <w:rPr>
                <w:rFonts w:hint="eastAsia" w:ascii="宋体" w:hAnsi="宋体" w:cs="宋体"/>
                <w:szCs w:val="21"/>
              </w:rPr>
              <w:t>；</w:t>
            </w:r>
          </w:p>
          <w:p>
            <w:pPr>
              <w:jc w:val="left"/>
              <w:rPr>
                <w:rFonts w:ascii="宋体" w:hAnsi="宋体" w:cs="宋体"/>
                <w:szCs w:val="21"/>
              </w:rPr>
            </w:pPr>
            <w:r>
              <w:rPr>
                <w:rFonts w:hint="eastAsia" w:ascii="宋体"/>
                <w:szCs w:val="21"/>
              </w:rPr>
              <w:t>较充分、较合理的得2分</w:t>
            </w:r>
            <w:r>
              <w:rPr>
                <w:rFonts w:hint="eastAsia" w:ascii="宋体" w:hAnsi="宋体" w:cs="宋体"/>
                <w:szCs w:val="21"/>
              </w:rPr>
              <w:t>；</w:t>
            </w:r>
          </w:p>
          <w:p>
            <w:pPr>
              <w:jc w:val="left"/>
              <w:rPr>
                <w:rFonts w:ascii="宋体" w:hAnsi="宋体" w:cs="宋体"/>
                <w:szCs w:val="21"/>
              </w:rPr>
            </w:pPr>
            <w:r>
              <w:rPr>
                <w:rFonts w:hint="eastAsia" w:ascii="宋体"/>
                <w:szCs w:val="21"/>
              </w:rPr>
              <w:t>不充分、不合理的得1分</w:t>
            </w:r>
            <w:r>
              <w:rPr>
                <w:rFonts w:hint="eastAsia" w:ascii="宋体" w:hAnsi="宋体" w:cs="宋体"/>
                <w:szCs w:val="21"/>
              </w:rPr>
              <w:t>；</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5"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根据投标人拟投入本项目</w:t>
            </w:r>
            <w:r>
              <w:rPr>
                <w:rFonts w:hint="eastAsia" w:ascii="宋体" w:hAnsi="宋体" w:cs="宋体"/>
                <w:szCs w:val="21"/>
              </w:rPr>
              <w:t>停车场管理</w:t>
            </w:r>
            <w:r>
              <w:rPr>
                <w:rFonts w:hint="eastAsia" w:ascii="宋体"/>
                <w:szCs w:val="21"/>
              </w:rPr>
              <w:t>人员</w:t>
            </w:r>
            <w:r>
              <w:rPr>
                <w:rFonts w:hint="eastAsia" w:ascii="宋体" w:hAnsi="宋体" w:cs="宋体"/>
                <w:szCs w:val="21"/>
              </w:rPr>
              <w:t>情况进行评议。</w:t>
            </w:r>
          </w:p>
          <w:p>
            <w:pPr>
              <w:jc w:val="left"/>
              <w:rPr>
                <w:rFonts w:ascii="宋体" w:hAnsi="宋体" w:cs="宋体"/>
                <w:szCs w:val="21"/>
              </w:rPr>
            </w:pPr>
            <w:r>
              <w:rPr>
                <w:rFonts w:hint="eastAsia" w:ascii="宋体"/>
                <w:szCs w:val="21"/>
              </w:rPr>
              <w:t>配备充分、合理的得3分</w:t>
            </w:r>
            <w:r>
              <w:rPr>
                <w:rFonts w:hint="eastAsia" w:ascii="宋体" w:hAnsi="宋体" w:cs="宋体"/>
                <w:szCs w:val="21"/>
              </w:rPr>
              <w:t>；</w:t>
            </w:r>
          </w:p>
          <w:p>
            <w:pPr>
              <w:jc w:val="left"/>
              <w:rPr>
                <w:rFonts w:ascii="宋体" w:hAnsi="宋体" w:cs="宋体"/>
                <w:szCs w:val="21"/>
              </w:rPr>
            </w:pPr>
            <w:r>
              <w:rPr>
                <w:rFonts w:hint="eastAsia" w:ascii="宋体"/>
                <w:szCs w:val="21"/>
              </w:rPr>
              <w:t>较充分、较合理的得2分</w:t>
            </w:r>
            <w:r>
              <w:rPr>
                <w:rFonts w:hint="eastAsia" w:ascii="宋体" w:hAnsi="宋体" w:cs="宋体"/>
                <w:szCs w:val="21"/>
              </w:rPr>
              <w:t>；</w:t>
            </w:r>
          </w:p>
          <w:p>
            <w:pPr>
              <w:jc w:val="left"/>
              <w:rPr>
                <w:rFonts w:ascii="宋体" w:hAnsi="宋体" w:cs="宋体"/>
                <w:szCs w:val="21"/>
              </w:rPr>
            </w:pPr>
            <w:r>
              <w:rPr>
                <w:rFonts w:hint="eastAsia" w:ascii="宋体"/>
                <w:szCs w:val="21"/>
              </w:rPr>
              <w:t>不充分、不合理的得1分</w:t>
            </w:r>
            <w:r>
              <w:rPr>
                <w:rFonts w:hint="eastAsia" w:ascii="宋体" w:hAnsi="宋体" w:cs="宋体"/>
                <w:szCs w:val="21"/>
              </w:rPr>
              <w:t>；</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top w:val="single" w:color="auto" w:sz="4" w:space="0"/>
              <w:left w:val="single" w:color="auto" w:sz="4" w:space="0"/>
              <w:right w:val="single" w:color="auto" w:sz="4" w:space="0"/>
            </w:tcBorders>
            <w:vAlign w:val="center"/>
          </w:tcPr>
          <w:p>
            <w:pPr>
              <w:jc w:val="center"/>
              <w:rPr>
                <w:rFonts w:ascii="宋体"/>
                <w:szCs w:val="21"/>
              </w:rPr>
            </w:pPr>
            <w:r>
              <w:rPr>
                <w:rFonts w:hint="eastAsia" w:ascii="宋体"/>
                <w:szCs w:val="21"/>
              </w:rPr>
              <w:t>停车场</w:t>
            </w:r>
          </w:p>
          <w:p>
            <w:pPr>
              <w:jc w:val="center"/>
              <w:rPr>
                <w:rFonts w:ascii="宋体" w:hAnsi="宋体" w:cs="宋体"/>
                <w:szCs w:val="21"/>
              </w:rPr>
            </w:pPr>
            <w:r>
              <w:rPr>
                <w:rFonts w:hint="eastAsia" w:ascii="宋体"/>
                <w:szCs w:val="21"/>
              </w:rPr>
              <w:t>（11分）</w:t>
            </w:r>
          </w:p>
        </w:tc>
        <w:tc>
          <w:tcPr>
            <w:tcW w:w="6148"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textAlignment w:val="baseline"/>
              <w:rPr>
                <w:rFonts w:ascii="宋体"/>
                <w:szCs w:val="21"/>
              </w:rPr>
            </w:pPr>
            <w:r>
              <w:rPr>
                <w:rFonts w:hint="eastAsia" w:ascii="宋体"/>
                <w:szCs w:val="21"/>
              </w:rPr>
              <w:t>评委根据投标人提供的停车场地配套设施情况的综合评议，</w:t>
            </w:r>
          </w:p>
          <w:p>
            <w:pPr>
              <w:tabs>
                <w:tab w:val="left" w:pos="0"/>
              </w:tabs>
              <w:adjustRightInd w:val="0"/>
              <w:textAlignment w:val="baseline"/>
              <w:rPr>
                <w:rFonts w:ascii="宋体" w:hAnsi="宋体" w:cs="宋体"/>
                <w:szCs w:val="21"/>
              </w:rPr>
            </w:pPr>
            <w:r>
              <w:rPr>
                <w:rFonts w:hint="eastAsia" w:ascii="宋体"/>
                <w:szCs w:val="21"/>
              </w:rPr>
              <w:t>设施完善，符合</w:t>
            </w:r>
            <w:r>
              <w:rPr>
                <w:rFonts w:hint="eastAsia" w:ascii="宋体" w:hAnsi="宋体" w:cs="宋体"/>
                <w:szCs w:val="21"/>
              </w:rPr>
              <w:t>第二章招标需求中“二、服务需求”的得3分；</w:t>
            </w:r>
          </w:p>
          <w:p>
            <w:pPr>
              <w:jc w:val="left"/>
              <w:rPr>
                <w:rFonts w:ascii="宋体" w:hAnsi="宋体" w:cs="宋体"/>
                <w:szCs w:val="21"/>
              </w:rPr>
            </w:pPr>
            <w:r>
              <w:rPr>
                <w:rFonts w:hint="eastAsia" w:ascii="宋体"/>
                <w:szCs w:val="21"/>
              </w:rPr>
              <w:t>设施较完善，基本符合</w:t>
            </w:r>
            <w:r>
              <w:rPr>
                <w:rFonts w:hint="eastAsia" w:ascii="宋体" w:hAnsi="宋体" w:cs="宋体"/>
                <w:szCs w:val="21"/>
              </w:rPr>
              <w:t>第二章招标需求中“二、服务需求”的得2分；</w:t>
            </w:r>
          </w:p>
          <w:p>
            <w:pPr>
              <w:jc w:val="left"/>
              <w:rPr>
                <w:rFonts w:ascii="宋体" w:hAnsi="宋体" w:cs="宋体"/>
                <w:szCs w:val="21"/>
              </w:rPr>
            </w:pPr>
            <w:r>
              <w:rPr>
                <w:rFonts w:hint="eastAsia" w:ascii="宋体" w:hAnsi="宋体" w:cs="宋体"/>
                <w:szCs w:val="21"/>
              </w:rPr>
              <w:t>设施不完善、不符合第二章招标需求中“二、服务需求”的得1分；</w:t>
            </w:r>
          </w:p>
          <w:p>
            <w:pPr>
              <w:jc w:val="left"/>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textAlignment w:val="baseline"/>
              <w:rPr>
                <w:rFonts w:ascii="宋体"/>
                <w:szCs w:val="21"/>
              </w:rPr>
            </w:pPr>
            <w:r>
              <w:rPr>
                <w:rFonts w:hint="eastAsia" w:ascii="宋体"/>
                <w:szCs w:val="21"/>
              </w:rPr>
              <w:t>评委根据投标人提供的停车场地配置情况的综合评议，</w:t>
            </w:r>
          </w:p>
          <w:p>
            <w:pPr>
              <w:tabs>
                <w:tab w:val="left" w:pos="0"/>
              </w:tabs>
              <w:adjustRightInd w:val="0"/>
              <w:textAlignment w:val="baseline"/>
              <w:rPr>
                <w:rFonts w:ascii="宋体" w:hAnsi="宋体" w:cs="宋体"/>
                <w:szCs w:val="21"/>
              </w:rPr>
            </w:pPr>
            <w:r>
              <w:rPr>
                <w:rFonts w:hint="eastAsia" w:ascii="宋体"/>
                <w:szCs w:val="21"/>
              </w:rPr>
              <w:t>配置合理</w:t>
            </w:r>
            <w:r>
              <w:rPr>
                <w:rFonts w:hint="eastAsia" w:ascii="宋体" w:hAnsi="宋体" w:cs="宋体"/>
                <w:szCs w:val="21"/>
              </w:rPr>
              <w:t>的得3分；</w:t>
            </w:r>
          </w:p>
          <w:p>
            <w:pPr>
              <w:jc w:val="left"/>
              <w:rPr>
                <w:rFonts w:ascii="宋体" w:hAnsi="宋体" w:cs="宋体"/>
                <w:szCs w:val="21"/>
              </w:rPr>
            </w:pPr>
            <w:r>
              <w:rPr>
                <w:rFonts w:hint="eastAsia" w:ascii="宋体"/>
                <w:szCs w:val="21"/>
              </w:rPr>
              <w:t>配置基本合理</w:t>
            </w:r>
            <w:r>
              <w:rPr>
                <w:rFonts w:hint="eastAsia" w:ascii="宋体" w:hAnsi="宋体" w:cs="宋体"/>
                <w:szCs w:val="21"/>
              </w:rPr>
              <w:t>的得2分；</w:t>
            </w:r>
          </w:p>
          <w:p>
            <w:pPr>
              <w:jc w:val="left"/>
              <w:rPr>
                <w:rFonts w:ascii="宋体" w:hAnsi="宋体" w:cs="宋体"/>
                <w:szCs w:val="21"/>
              </w:rPr>
            </w:pPr>
            <w:r>
              <w:rPr>
                <w:rFonts w:hint="eastAsia" w:ascii="宋体"/>
                <w:szCs w:val="21"/>
              </w:rPr>
              <w:t>配置不合理</w:t>
            </w:r>
            <w:r>
              <w:rPr>
                <w:rFonts w:hint="eastAsia" w:ascii="宋体" w:hAnsi="宋体" w:cs="宋体"/>
                <w:szCs w:val="21"/>
              </w:rPr>
              <w:t>的得1分；</w:t>
            </w:r>
          </w:p>
          <w:p>
            <w:pPr>
              <w:jc w:val="left"/>
              <w:rPr>
                <w:rFonts w:ascii="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rPr>
              <w:t>满足</w:t>
            </w:r>
            <w:r>
              <w:rPr>
                <w:rFonts w:hint="eastAsia" w:ascii="宋体"/>
                <w:szCs w:val="21"/>
              </w:rPr>
              <w:t>招标文件第二章招标需求中打“</w:t>
            </w:r>
            <w:r>
              <w:rPr>
                <w:rFonts w:hint="eastAsia" w:ascii="宋体" w:hAnsi="宋体" w:cs="宋体"/>
                <w:szCs w:val="21"/>
              </w:rPr>
              <w:t>▲</w:t>
            </w:r>
            <w:r>
              <w:rPr>
                <w:rFonts w:hint="eastAsia" w:ascii="宋体"/>
                <w:szCs w:val="21"/>
              </w:rPr>
              <w:t>”符号要求的得5分，不满足得0分。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top w:val="single" w:color="auto" w:sz="4" w:space="0"/>
              <w:left w:val="single" w:color="auto" w:sz="4" w:space="0"/>
              <w:right w:val="single" w:color="auto" w:sz="4" w:space="0"/>
            </w:tcBorders>
            <w:vAlign w:val="center"/>
          </w:tcPr>
          <w:p>
            <w:pPr>
              <w:jc w:val="center"/>
              <w:rPr>
                <w:rFonts w:ascii="宋体"/>
                <w:szCs w:val="21"/>
              </w:rPr>
            </w:pPr>
            <w:r>
              <w:rPr>
                <w:rFonts w:hint="eastAsia" w:ascii="宋体"/>
                <w:szCs w:val="21"/>
              </w:rPr>
              <w:t>管理制度和工作流程</w:t>
            </w:r>
          </w:p>
          <w:p>
            <w:pPr>
              <w:jc w:val="center"/>
              <w:rPr>
                <w:rFonts w:ascii="宋体" w:hAnsi="宋体" w:cs="宋体"/>
                <w:szCs w:val="21"/>
              </w:rPr>
            </w:pPr>
            <w:r>
              <w:rPr>
                <w:rFonts w:hint="eastAsia" w:ascii="宋体"/>
                <w:szCs w:val="21"/>
              </w:rPr>
              <w:t>（12分）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违法车辆拖车方案规范的得3分；</w:t>
            </w:r>
          </w:p>
          <w:p>
            <w:pPr>
              <w:jc w:val="left"/>
              <w:rPr>
                <w:rFonts w:ascii="宋体"/>
                <w:szCs w:val="21"/>
              </w:rPr>
            </w:pPr>
            <w:r>
              <w:rPr>
                <w:rFonts w:hint="eastAsia" w:ascii="宋体"/>
                <w:szCs w:val="21"/>
              </w:rPr>
              <w:t>基本规范的得2分；</w:t>
            </w:r>
          </w:p>
          <w:p>
            <w:pPr>
              <w:jc w:val="left"/>
              <w:rPr>
                <w:rFonts w:ascii="宋体"/>
                <w:szCs w:val="21"/>
              </w:rPr>
            </w:pPr>
            <w:r>
              <w:rPr>
                <w:rFonts w:hint="eastAsia" w:ascii="宋体"/>
                <w:szCs w:val="21"/>
              </w:rPr>
              <w:t>不规范的得1分；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违法车辆拖车方案合理的得3分；</w:t>
            </w:r>
          </w:p>
          <w:p>
            <w:pPr>
              <w:jc w:val="left"/>
              <w:rPr>
                <w:rFonts w:ascii="宋体"/>
                <w:szCs w:val="21"/>
              </w:rPr>
            </w:pPr>
            <w:r>
              <w:rPr>
                <w:rFonts w:hint="eastAsia" w:ascii="宋体"/>
                <w:szCs w:val="21"/>
              </w:rPr>
              <w:t>基本合理的得2分；</w:t>
            </w:r>
          </w:p>
          <w:p>
            <w:pPr>
              <w:jc w:val="left"/>
              <w:rPr>
                <w:rFonts w:ascii="宋体"/>
                <w:szCs w:val="21"/>
              </w:rPr>
            </w:pPr>
            <w:r>
              <w:rPr>
                <w:rFonts w:hint="eastAsia" w:ascii="宋体"/>
                <w:szCs w:val="21"/>
              </w:rPr>
              <w:t>不合理的得1分；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停车场管理制度规范的得3分；</w:t>
            </w:r>
          </w:p>
          <w:p>
            <w:pPr>
              <w:jc w:val="left"/>
              <w:rPr>
                <w:rFonts w:ascii="宋体"/>
                <w:szCs w:val="21"/>
              </w:rPr>
            </w:pPr>
            <w:r>
              <w:rPr>
                <w:rFonts w:hint="eastAsia" w:ascii="宋体"/>
                <w:szCs w:val="21"/>
              </w:rPr>
              <w:t>基本规范的得2分；</w:t>
            </w:r>
          </w:p>
          <w:p>
            <w:pPr>
              <w:jc w:val="left"/>
              <w:rPr>
                <w:rFonts w:ascii="宋体"/>
                <w:szCs w:val="21"/>
              </w:rPr>
            </w:pPr>
            <w:r>
              <w:rPr>
                <w:rFonts w:hint="eastAsia" w:ascii="宋体"/>
                <w:szCs w:val="21"/>
              </w:rPr>
              <w:t>不规范的得1分；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停车场管理制度合理的得3分；</w:t>
            </w:r>
          </w:p>
          <w:p>
            <w:pPr>
              <w:jc w:val="left"/>
              <w:rPr>
                <w:rFonts w:ascii="宋体"/>
                <w:szCs w:val="21"/>
              </w:rPr>
            </w:pPr>
            <w:r>
              <w:rPr>
                <w:rFonts w:hint="eastAsia" w:ascii="宋体"/>
                <w:szCs w:val="21"/>
              </w:rPr>
              <w:t>基本合理的得2分；</w:t>
            </w:r>
          </w:p>
          <w:p>
            <w:pPr>
              <w:jc w:val="left"/>
              <w:rPr>
                <w:rFonts w:ascii="宋体"/>
                <w:szCs w:val="21"/>
              </w:rPr>
            </w:pPr>
            <w:r>
              <w:rPr>
                <w:rFonts w:hint="eastAsia" w:ascii="宋体"/>
                <w:szCs w:val="21"/>
              </w:rPr>
              <w:t>不合理的得1分；</w:t>
            </w:r>
          </w:p>
          <w:p>
            <w:pPr>
              <w:jc w:val="left"/>
              <w:rPr>
                <w:rFonts w:asciiTheme="minorEastAsia" w:hAnsiTheme="minorEastAsia" w:eastAsiaTheme="minorEastAsia"/>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szCs w:val="21"/>
              </w:rPr>
              <w:t>项目实施保障措施及服务质量承诺（9分）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项目实施保障措施可实施性强的得3分；</w:t>
            </w:r>
          </w:p>
          <w:p>
            <w:pPr>
              <w:jc w:val="left"/>
              <w:rPr>
                <w:rFonts w:ascii="宋体"/>
                <w:szCs w:val="21"/>
              </w:rPr>
            </w:pPr>
            <w:r>
              <w:rPr>
                <w:rFonts w:hint="eastAsia" w:ascii="宋体"/>
                <w:szCs w:val="21"/>
              </w:rPr>
              <w:t>可实施性较强的得2分；</w:t>
            </w:r>
          </w:p>
          <w:p>
            <w:pPr>
              <w:jc w:val="left"/>
              <w:rPr>
                <w:rFonts w:ascii="宋体"/>
                <w:szCs w:val="21"/>
              </w:rPr>
            </w:pPr>
            <w:r>
              <w:rPr>
                <w:rFonts w:hint="eastAsia" w:ascii="宋体"/>
                <w:szCs w:val="21"/>
              </w:rPr>
              <w:t>不具备实施性的得1分；</w:t>
            </w:r>
          </w:p>
          <w:p>
            <w:pPr>
              <w:jc w:val="left"/>
              <w:rPr>
                <w:rFonts w:ascii="宋体" w:hAnsi="宋体" w:cs="宋体"/>
                <w:kern w:val="0"/>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项目实施保障措施完善的得3分；</w:t>
            </w:r>
          </w:p>
          <w:p>
            <w:pPr>
              <w:jc w:val="left"/>
              <w:rPr>
                <w:rFonts w:ascii="宋体"/>
                <w:szCs w:val="21"/>
              </w:rPr>
            </w:pPr>
            <w:r>
              <w:rPr>
                <w:rFonts w:hint="eastAsia" w:ascii="宋体"/>
                <w:szCs w:val="21"/>
              </w:rPr>
              <w:t>较完善的得2分；</w:t>
            </w:r>
          </w:p>
          <w:p>
            <w:pPr>
              <w:jc w:val="left"/>
              <w:rPr>
                <w:rFonts w:ascii="宋体"/>
                <w:szCs w:val="21"/>
              </w:rPr>
            </w:pPr>
            <w:r>
              <w:rPr>
                <w:rFonts w:hint="eastAsia" w:ascii="宋体"/>
                <w:szCs w:val="21"/>
              </w:rPr>
              <w:t>不完善的得1分；</w:t>
            </w:r>
          </w:p>
          <w:p>
            <w:pPr>
              <w:jc w:val="left"/>
              <w:rPr>
                <w:rFonts w:ascii="宋体" w:hAnsi="宋体" w:cs="宋体"/>
                <w:kern w:val="0"/>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服务质量承诺合理的得3分；</w:t>
            </w:r>
          </w:p>
          <w:p>
            <w:pPr>
              <w:jc w:val="left"/>
              <w:rPr>
                <w:rFonts w:ascii="宋体"/>
                <w:szCs w:val="21"/>
              </w:rPr>
            </w:pPr>
            <w:r>
              <w:rPr>
                <w:rFonts w:hint="eastAsia" w:ascii="宋体"/>
                <w:szCs w:val="21"/>
              </w:rPr>
              <w:t>服务质量承诺较合理的得2分；</w:t>
            </w:r>
          </w:p>
          <w:p>
            <w:pPr>
              <w:jc w:val="left"/>
              <w:rPr>
                <w:rFonts w:ascii="宋体"/>
                <w:szCs w:val="21"/>
              </w:rPr>
            </w:pPr>
            <w:r>
              <w:rPr>
                <w:rFonts w:hint="eastAsia" w:ascii="宋体"/>
                <w:szCs w:val="21"/>
              </w:rPr>
              <w:t>服务质量承诺不合理的得1分；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left w:val="single" w:color="auto" w:sz="4" w:space="0"/>
              <w:right w:val="single" w:color="auto" w:sz="4" w:space="0"/>
            </w:tcBorders>
            <w:vAlign w:val="center"/>
          </w:tcPr>
          <w:p>
            <w:pPr>
              <w:jc w:val="center"/>
              <w:rPr>
                <w:rFonts w:ascii="宋体"/>
                <w:szCs w:val="21"/>
              </w:rPr>
            </w:pPr>
            <w:r>
              <w:rPr>
                <w:rFonts w:hint="eastAsia" w:ascii="宋体"/>
                <w:szCs w:val="21"/>
              </w:rPr>
              <w:t>应急方案</w:t>
            </w:r>
          </w:p>
          <w:p>
            <w:pPr>
              <w:jc w:val="center"/>
              <w:rPr>
                <w:rFonts w:ascii="宋体"/>
                <w:szCs w:val="21"/>
              </w:rPr>
            </w:pPr>
            <w:r>
              <w:rPr>
                <w:rFonts w:hint="eastAsia" w:ascii="宋体"/>
                <w:szCs w:val="21"/>
              </w:rPr>
              <w:t>（6分）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应急方案针对性强的得3分；</w:t>
            </w:r>
          </w:p>
          <w:p>
            <w:pPr>
              <w:jc w:val="left"/>
              <w:rPr>
                <w:rFonts w:ascii="宋体"/>
                <w:szCs w:val="21"/>
              </w:rPr>
            </w:pPr>
            <w:r>
              <w:rPr>
                <w:rFonts w:hint="eastAsia" w:ascii="宋体"/>
                <w:szCs w:val="21"/>
              </w:rPr>
              <w:t>针对性较强的得2分；</w:t>
            </w:r>
          </w:p>
          <w:p>
            <w:pPr>
              <w:jc w:val="left"/>
              <w:rPr>
                <w:rFonts w:ascii="宋体"/>
                <w:szCs w:val="21"/>
              </w:rPr>
            </w:pPr>
            <w:r>
              <w:rPr>
                <w:rFonts w:hint="eastAsia" w:ascii="宋体"/>
                <w:szCs w:val="21"/>
              </w:rPr>
              <w:t>针对性不强的1分；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应急方案可行性强的得3分；</w:t>
            </w:r>
          </w:p>
          <w:p>
            <w:pPr>
              <w:jc w:val="left"/>
              <w:rPr>
                <w:rFonts w:ascii="宋体"/>
                <w:szCs w:val="21"/>
              </w:rPr>
            </w:pPr>
            <w:r>
              <w:rPr>
                <w:rFonts w:hint="eastAsia" w:ascii="宋体"/>
                <w:szCs w:val="21"/>
              </w:rPr>
              <w:t>可行性较强的得2分；</w:t>
            </w:r>
          </w:p>
          <w:p>
            <w:pPr>
              <w:jc w:val="left"/>
              <w:rPr>
                <w:rFonts w:ascii="宋体"/>
                <w:szCs w:val="21"/>
              </w:rPr>
            </w:pPr>
            <w:r>
              <w:rPr>
                <w:rFonts w:hint="eastAsia" w:ascii="宋体"/>
                <w:szCs w:val="21"/>
              </w:rPr>
              <w:t>可行性不强的1分；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szCs w:val="21"/>
              </w:rPr>
              <w:t>优化服务承诺（3分）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优化服务承诺可实施性强、针对性强的得3分，可实施性较强、针对性较强的得2分，基本可行的得1分，未提供不得分。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项目业绩</w:t>
            </w:r>
          </w:p>
          <w:p>
            <w:pPr>
              <w:jc w:val="center"/>
              <w:rPr>
                <w:rFonts w:ascii="宋体" w:hAnsi="宋体" w:cs="宋体"/>
                <w:szCs w:val="21"/>
              </w:rPr>
            </w:pPr>
            <w:r>
              <w:rPr>
                <w:rFonts w:hint="eastAsia" w:ascii="宋体" w:hAnsi="宋体" w:cs="宋体"/>
                <w:szCs w:val="21"/>
              </w:rPr>
              <w:t>（2分）</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201</w:t>
            </w:r>
            <w:r>
              <w:rPr>
                <w:rFonts w:ascii="宋体" w:hAnsi="宋体" w:cs="宋体"/>
                <w:szCs w:val="21"/>
              </w:rPr>
              <w:t>9</w:t>
            </w:r>
            <w:r>
              <w:rPr>
                <w:rFonts w:hint="eastAsia" w:ascii="宋体" w:hAnsi="宋体" w:cs="宋体"/>
                <w:szCs w:val="21"/>
              </w:rPr>
              <w:t>年</w:t>
            </w:r>
            <w:r>
              <w:rPr>
                <w:rFonts w:ascii="宋体" w:hAnsi="宋体" w:cs="宋体"/>
                <w:szCs w:val="21"/>
              </w:rPr>
              <w:t>12</w:t>
            </w:r>
            <w:r>
              <w:rPr>
                <w:rFonts w:hint="eastAsia" w:ascii="宋体" w:hAnsi="宋体" w:cs="宋体"/>
                <w:szCs w:val="21"/>
              </w:rPr>
              <w:t>月1日（以合同签订时间为准）至今，投标人具有的同类项目业绩，</w:t>
            </w:r>
            <w:r>
              <w:rPr>
                <w:rFonts w:hint="eastAsia" w:ascii="宋体"/>
                <w:szCs w:val="21"/>
              </w:rPr>
              <w:t>每提供一份业绩合同得1分，满分2分</w:t>
            </w:r>
            <w:r>
              <w:rPr>
                <w:rFonts w:hint="eastAsia" w:ascii="宋体" w:hAnsi="宋体" w:cs="宋体"/>
                <w:szCs w:val="21"/>
              </w:rPr>
              <w:t>。</w:t>
            </w:r>
          </w:p>
          <w:p>
            <w:pPr>
              <w:rPr>
                <w:rFonts w:ascii="宋体" w:hAnsi="宋体" w:cs="宋体"/>
                <w:b/>
                <w:bCs/>
                <w:szCs w:val="21"/>
              </w:rPr>
            </w:pPr>
            <w:r>
              <w:rPr>
                <w:rFonts w:hint="eastAsia" w:ascii="宋体" w:hAnsi="宋体" w:cs="宋体"/>
                <w:szCs w:val="21"/>
              </w:rPr>
              <w:t>注：提供业绩合同复印件并加盖公章。若为联合体投标的，联合体任意一方提供的均可。</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商务需求</w:t>
            </w:r>
          </w:p>
          <w:p>
            <w:pPr>
              <w:jc w:val="center"/>
              <w:rPr>
                <w:rFonts w:ascii="宋体" w:hAnsi="宋体" w:cs="宋体"/>
                <w:szCs w:val="21"/>
              </w:rPr>
            </w:pPr>
            <w:r>
              <w:rPr>
                <w:rFonts w:hint="eastAsia" w:ascii="宋体" w:hAnsi="宋体" w:cs="宋体"/>
                <w:szCs w:val="21"/>
              </w:rPr>
              <w:t>响应情况</w:t>
            </w:r>
          </w:p>
          <w:p>
            <w:pPr>
              <w:jc w:val="center"/>
              <w:rPr>
                <w:rFonts w:ascii="宋体" w:hAnsi="宋体" w:cs="宋体"/>
                <w:szCs w:val="21"/>
              </w:rPr>
            </w:pPr>
            <w:r>
              <w:rPr>
                <w:rFonts w:hint="eastAsia" w:ascii="宋体" w:hAnsi="宋体" w:cs="宋体"/>
                <w:szCs w:val="21"/>
              </w:rPr>
              <w:t>（6分）</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根据投标人针对“第二章 招标需求”中“一、商务要求”（除标注*条款外）的响应情况进行评审，完全响应的得6分，若有负偏离的，每负偏离一项扣2分。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6</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3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合计</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100</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w:t>
            </w:r>
          </w:p>
        </w:tc>
      </w:tr>
    </w:tbl>
    <w:p>
      <w:pPr>
        <w:pStyle w:val="3"/>
        <w:spacing w:before="0" w:after="0" w:line="360" w:lineRule="auto"/>
        <w:rPr>
          <w:rFonts w:hint="eastAsia" w:ascii="宋体"/>
          <w:b w:val="0"/>
          <w:kern w:val="2"/>
          <w:sz w:val="21"/>
          <w:szCs w:val="21"/>
        </w:rPr>
      </w:pPr>
    </w:p>
    <w:p>
      <w:pPr>
        <w:pStyle w:val="3"/>
        <w:spacing w:before="0" w:after="0" w:line="360" w:lineRule="auto"/>
        <w:rPr>
          <w:rFonts w:ascii="宋体"/>
          <w:b w:val="0"/>
          <w:kern w:val="2"/>
          <w:sz w:val="21"/>
          <w:szCs w:val="21"/>
        </w:rPr>
      </w:pPr>
      <w:r>
        <w:rPr>
          <w:rFonts w:hint="eastAsia" w:ascii="宋体"/>
          <w:b w:val="0"/>
          <w:kern w:val="2"/>
          <w:sz w:val="21"/>
          <w:szCs w:val="21"/>
        </w:rPr>
        <w:t>标项十一：集仕港交警中队辖区事故、违法拖车服务</w:t>
      </w:r>
    </w:p>
    <w:tbl>
      <w:tblPr>
        <w:tblStyle w:val="35"/>
        <w:tblW w:w="98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393"/>
        <w:gridCol w:w="6148"/>
        <w:gridCol w:w="69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评分内容及标准</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分值</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价格分20分</w:t>
            </w: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Arial"/>
                <w:szCs w:val="21"/>
              </w:rPr>
              <w:t>拖车服务</w:t>
            </w:r>
          </w:p>
          <w:p>
            <w:pPr>
              <w:autoSpaceDE w:val="0"/>
              <w:autoSpaceDN w:val="0"/>
              <w:adjustRightIn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拖车服务：</w:t>
            </w:r>
          </w:p>
          <w:p>
            <w:pPr>
              <w:tabs>
                <w:tab w:val="left" w:pos="0"/>
              </w:tabs>
              <w:adjustRightInd w:val="0"/>
              <w:textAlignment w:val="baseline"/>
              <w:rPr>
                <w:rFonts w:ascii="宋体" w:hAnsi="宋体" w:cs="宋体"/>
                <w:szCs w:val="21"/>
              </w:rPr>
            </w:pPr>
            <w:r>
              <w:rPr>
                <w:rFonts w:hint="eastAsia" w:ascii="宋体" w:hAnsi="宋体" w:cs="宋体"/>
                <w:szCs w:val="21"/>
              </w:rPr>
              <w:t>小微企业的参与评审的价格=投标折扣系数*</w:t>
            </w:r>
            <w:r>
              <w:rPr>
                <w:rFonts w:hint="eastAsia" w:ascii="宋体" w:hAnsi="宋体" w:cs="宋体"/>
                <w:szCs w:val="21"/>
                <w:lang w:eastAsia="zh-CN"/>
              </w:rPr>
              <w:t>【</w:t>
            </w:r>
            <w:r>
              <w:rPr>
                <w:rFonts w:hint="eastAsia" w:ascii="宋体" w:hAnsi="宋体" w:cs="宋体"/>
                <w:szCs w:val="21"/>
              </w:rPr>
              <w:t>（1-</w:t>
            </w:r>
            <w:r>
              <w:rPr>
                <w:rFonts w:hint="eastAsia" w:ascii="宋体" w:hAnsi="宋体" w:cs="宋体"/>
                <w:szCs w:val="21"/>
                <w:lang w:val="en-US" w:eastAsia="zh-CN"/>
              </w:rPr>
              <w:t>价格折扣率（如有</w:t>
            </w:r>
            <w:r>
              <w:rPr>
                <w:rFonts w:hint="eastAsia" w:ascii="宋体" w:hAnsi="宋体" w:cs="宋体"/>
                <w:szCs w:val="21"/>
              </w:rPr>
              <w:t>）</w:t>
            </w:r>
            <w:r>
              <w:rPr>
                <w:rFonts w:hint="eastAsia" w:ascii="宋体" w:hAnsi="宋体" w:cs="宋体"/>
                <w:szCs w:val="21"/>
                <w:lang w:eastAsia="zh-CN"/>
              </w:rPr>
              <w:t>】</w:t>
            </w:r>
          </w:p>
          <w:p>
            <w:pPr>
              <w:tabs>
                <w:tab w:val="left" w:pos="0"/>
              </w:tabs>
              <w:adjustRightInd w:val="0"/>
              <w:textAlignment w:val="baseline"/>
              <w:rPr>
                <w:rFonts w:ascii="宋体" w:hAnsi="宋体" w:cs="宋体"/>
                <w:szCs w:val="21"/>
              </w:rPr>
            </w:pPr>
            <w:r>
              <w:rPr>
                <w:rFonts w:hint="eastAsia" w:ascii="宋体" w:hAnsi="宋体" w:cs="宋体"/>
                <w:szCs w:val="21"/>
              </w:rPr>
              <w:t>非小微企业的参与评审价格=投标折扣系数</w:t>
            </w:r>
          </w:p>
          <w:p>
            <w:pPr>
              <w:tabs>
                <w:tab w:val="left" w:pos="0"/>
              </w:tabs>
              <w:adjustRightInd w:val="0"/>
              <w:textAlignment w:val="baseline"/>
              <w:rPr>
                <w:rFonts w:ascii="宋体" w:hAnsi="宋体" w:cs="宋体"/>
                <w:szCs w:val="21"/>
              </w:rPr>
            </w:pPr>
            <w:r>
              <w:rPr>
                <w:rFonts w:hint="eastAsia" w:ascii="宋体" w:hAnsi="宋体" w:cs="宋体"/>
                <w:szCs w:val="21"/>
              </w:rPr>
              <w:t>评标基准价＝有效投标中最低的参与评审价格</w:t>
            </w:r>
          </w:p>
          <w:p>
            <w:pPr>
              <w:tabs>
                <w:tab w:val="left" w:pos="0"/>
              </w:tabs>
              <w:adjustRightInd w:val="0"/>
              <w:textAlignment w:val="baseline"/>
              <w:rPr>
                <w:rFonts w:ascii="宋体" w:hAnsi="宋体" w:cs="宋体"/>
                <w:szCs w:val="21"/>
              </w:rPr>
            </w:pPr>
            <w:r>
              <w:rPr>
                <w:rFonts w:hint="eastAsia" w:ascii="宋体" w:hAnsi="宋体" w:cs="宋体"/>
                <w:szCs w:val="21"/>
              </w:rPr>
              <w:t>评标基准价的价格分为满分</w:t>
            </w:r>
            <w:r>
              <w:rPr>
                <w:rFonts w:hint="eastAsia" w:ascii="宋体" w:hAnsi="宋体" w:cs="宋体"/>
                <w:szCs w:val="21"/>
                <w:lang w:val="en-US" w:eastAsia="zh-CN"/>
              </w:rPr>
              <w:t>20</w:t>
            </w:r>
            <w:r>
              <w:rPr>
                <w:rFonts w:hint="eastAsia" w:ascii="宋体" w:hAnsi="宋体" w:cs="宋体"/>
                <w:szCs w:val="21"/>
              </w:rPr>
              <w:t>分，其他供应商的价格分统一按照下列公式计算：</w:t>
            </w:r>
          </w:p>
          <w:p>
            <w:pPr>
              <w:tabs>
                <w:tab w:val="left" w:pos="0"/>
              </w:tabs>
              <w:adjustRightInd w:val="0"/>
              <w:textAlignment w:val="baseline"/>
              <w:rPr>
                <w:rFonts w:ascii="宋体" w:hAnsi="宋体" w:cs="宋体"/>
                <w:szCs w:val="21"/>
              </w:rPr>
            </w:pPr>
            <w:r>
              <w:rPr>
                <w:rFonts w:hint="eastAsia" w:ascii="宋体" w:hAnsi="宋体" w:cs="宋体"/>
                <w:szCs w:val="21"/>
              </w:rPr>
              <w:t>投标报价得分=（评标基准价/参与评审的价格）×</w:t>
            </w:r>
            <w:r>
              <w:rPr>
                <w:rFonts w:hint="eastAsia" w:ascii="宋体" w:hAnsi="宋体" w:cs="宋体"/>
                <w:szCs w:val="21"/>
                <w:lang w:val="en-US" w:eastAsia="zh-CN"/>
              </w:rPr>
              <w:t>20</w:t>
            </w:r>
            <w:r>
              <w:rPr>
                <w:rFonts w:hint="eastAsia" w:ascii="宋体" w:hAnsi="宋体" w:cs="宋体"/>
                <w:szCs w:val="21"/>
              </w:rPr>
              <w:t>×100%。</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商务技术分</w:t>
            </w:r>
          </w:p>
          <w:p>
            <w:pPr>
              <w:jc w:val="center"/>
              <w:rPr>
                <w:rFonts w:ascii="宋体" w:hAnsi="宋体" w:cs="宋体"/>
                <w:szCs w:val="21"/>
              </w:rPr>
            </w:pPr>
            <w:r>
              <w:rPr>
                <w:rFonts w:hint="eastAsia" w:ascii="宋体" w:hAnsi="宋体" w:cs="宋体"/>
                <w:szCs w:val="21"/>
              </w:rPr>
              <w:t>80分</w:t>
            </w: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车辆配备</w:t>
            </w:r>
          </w:p>
          <w:p>
            <w:pPr>
              <w:autoSpaceDE w:val="0"/>
              <w:autoSpaceDN w:val="0"/>
              <w:adjustRightInd w:val="0"/>
              <w:jc w:val="center"/>
              <w:rPr>
                <w:rFonts w:ascii="宋体" w:hAnsi="宋体" w:cs="宋体"/>
                <w:szCs w:val="21"/>
              </w:rPr>
            </w:pPr>
            <w:r>
              <w:rPr>
                <w:rFonts w:hint="eastAsia" w:ascii="宋体" w:hAnsi="宋体" w:cs="宋体"/>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根据投标人拟投入本项目小吨位拖车配备情况进行评议。</w:t>
            </w:r>
          </w:p>
          <w:p>
            <w:pPr>
              <w:tabs>
                <w:tab w:val="left" w:pos="0"/>
              </w:tabs>
              <w:adjustRightInd w:val="0"/>
              <w:textAlignment w:val="baseline"/>
              <w:rPr>
                <w:rFonts w:ascii="宋体" w:hAnsi="宋体" w:cs="宋体"/>
                <w:szCs w:val="21"/>
              </w:rPr>
            </w:pPr>
            <w:r>
              <w:rPr>
                <w:rFonts w:hint="eastAsia" w:ascii="宋体" w:hAnsi="宋体" w:cs="宋体"/>
                <w:szCs w:val="21"/>
              </w:rPr>
              <w:t>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p>
            <w:pPr>
              <w:tabs>
                <w:tab w:val="left" w:pos="0"/>
              </w:tabs>
              <w:adjustRightInd w:val="0"/>
              <w:textAlignment w:val="baseline"/>
              <w:rPr>
                <w:rFonts w:ascii="宋体" w:hAnsi="宋体" w:cs="宋体"/>
                <w:szCs w:val="21"/>
              </w:rPr>
            </w:pPr>
            <w:r>
              <w:rPr>
                <w:rFonts w:hint="eastAsia" w:ascii="宋体" w:hAnsi="宋体" w:cs="宋体"/>
                <w:szCs w:val="21"/>
              </w:rPr>
              <w:t>（投标文件中提供车辆行驶证复印件。如所投车辆为租赁车辆则需同时提供车辆租赁协议及车辆行驶证复印件加盖公章）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工作时间</w:t>
            </w:r>
          </w:p>
          <w:p>
            <w:pPr>
              <w:autoSpaceDE w:val="0"/>
              <w:autoSpaceDN w:val="0"/>
              <w:adjustRightInd w:val="0"/>
              <w:jc w:val="center"/>
              <w:rPr>
                <w:rFonts w:ascii="宋体" w:hAnsi="宋体" w:cs="宋体"/>
                <w:szCs w:val="21"/>
              </w:rPr>
            </w:pPr>
            <w:r>
              <w:rPr>
                <w:rFonts w:hint="eastAsia" w:ascii="宋体" w:hAnsi="宋体" w:cs="宋体"/>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工作时间满足或优于第二章招标需求中“二、服务需求”的得3分；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响应时间</w:t>
            </w:r>
          </w:p>
          <w:p>
            <w:pPr>
              <w:autoSpaceDE w:val="0"/>
              <w:autoSpaceDN w:val="0"/>
              <w:adjustRightInd w:val="0"/>
              <w:jc w:val="center"/>
              <w:rPr>
                <w:rFonts w:ascii="宋体" w:hAnsi="宋体" w:cs="宋体"/>
                <w:kern w:val="0"/>
                <w:szCs w:val="21"/>
              </w:rPr>
            </w:pPr>
            <w:r>
              <w:rPr>
                <w:rFonts w:hint="eastAsia" w:ascii="宋体" w:hAnsi="宋体" w:cs="宋体"/>
                <w:kern w:val="0"/>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kern w:val="0"/>
                <w:szCs w:val="21"/>
              </w:rPr>
              <w:t>响应</w:t>
            </w:r>
            <w:r>
              <w:rPr>
                <w:rFonts w:hint="eastAsia" w:ascii="宋体" w:hAnsi="宋体" w:cs="宋体"/>
                <w:szCs w:val="21"/>
              </w:rPr>
              <w:t>时间满足或优于第二章招标需求中“二、服务需求”的得3分；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操作要求</w:t>
            </w:r>
          </w:p>
          <w:p>
            <w:pPr>
              <w:autoSpaceDE w:val="0"/>
              <w:autoSpaceDN w:val="0"/>
              <w:adjustRightInd w:val="0"/>
              <w:jc w:val="center"/>
              <w:rPr>
                <w:rFonts w:ascii="宋体" w:hAnsi="宋体" w:cs="宋体"/>
                <w:kern w:val="0"/>
                <w:szCs w:val="21"/>
              </w:rPr>
            </w:pPr>
            <w:r>
              <w:rPr>
                <w:rFonts w:hint="eastAsia" w:ascii="宋体" w:hAnsi="宋体" w:cs="宋体"/>
                <w:szCs w:val="21"/>
              </w:rPr>
              <w:t>（3分）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操作要求满足或优于第二章招标需求中“二、服务需求”的得3分；</w:t>
            </w:r>
          </w:p>
          <w:p>
            <w:pPr>
              <w:tabs>
                <w:tab w:val="left" w:pos="0"/>
              </w:tabs>
              <w:adjustRightInd w:val="0"/>
              <w:textAlignment w:val="baseline"/>
              <w:rPr>
                <w:rFonts w:ascii="宋体" w:hAnsi="宋体" w:cs="宋体"/>
                <w:szCs w:val="21"/>
              </w:rPr>
            </w:pPr>
            <w:r>
              <w:rPr>
                <w:rFonts w:hint="eastAsia" w:ascii="宋体" w:hAnsi="宋体" w:cs="宋体"/>
                <w:szCs w:val="21"/>
              </w:rPr>
              <w:t>基本满足第二章招标需求中“二、服务需求”的得2分；</w:t>
            </w:r>
          </w:p>
          <w:p>
            <w:pPr>
              <w:tabs>
                <w:tab w:val="left" w:pos="0"/>
              </w:tabs>
              <w:adjustRightInd w:val="0"/>
              <w:textAlignment w:val="baseline"/>
              <w:rPr>
                <w:rFonts w:ascii="宋体" w:hAnsi="宋体" w:cs="宋体"/>
                <w:szCs w:val="21"/>
              </w:rPr>
            </w:pPr>
            <w:r>
              <w:rPr>
                <w:rFonts w:hint="eastAsia" w:ascii="宋体" w:hAnsi="宋体" w:cs="宋体"/>
                <w:szCs w:val="21"/>
              </w:rPr>
              <w:t>不满足第二章招标需求中“二、服务需求”的得1分；</w:t>
            </w:r>
          </w:p>
          <w:p>
            <w:pPr>
              <w:tabs>
                <w:tab w:val="left" w:pos="0"/>
              </w:tabs>
              <w:adjustRightInd w:val="0"/>
              <w:textAlignment w:val="baseline"/>
              <w:rPr>
                <w:rFonts w:ascii="宋体" w:hAnsi="宋体" w:cs="宋体"/>
                <w:szCs w:val="21"/>
              </w:rPr>
            </w:pPr>
            <w:r>
              <w:rPr>
                <w:rFonts w:hint="eastAsia" w:ascii="宋体" w:hAnsi="宋体" w:cs="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驾驶员分数</w:t>
            </w:r>
          </w:p>
          <w:p>
            <w:pPr>
              <w:autoSpaceDE w:val="0"/>
              <w:autoSpaceDN w:val="0"/>
              <w:adjustRightInd w:val="0"/>
              <w:jc w:val="center"/>
              <w:rPr>
                <w:rFonts w:ascii="宋体" w:hAnsi="宋体" w:cs="宋体"/>
                <w:szCs w:val="21"/>
              </w:rPr>
            </w:pPr>
            <w:r>
              <w:rPr>
                <w:rFonts w:hint="eastAsia" w:ascii="宋体" w:hAnsi="宋体" w:cs="宋体"/>
                <w:szCs w:val="21"/>
              </w:rPr>
              <w:t>（12分）</w:t>
            </w:r>
          </w:p>
        </w:tc>
        <w:tc>
          <w:tcPr>
            <w:tcW w:w="6148" w:type="dxa"/>
            <w:tcBorders>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投标人拟派本项目驾驶员具有C照及以上驾驶证，每提供一人得4分，最高12分（投标文件中提供身份证及驾驶证复印件加盖公章）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管理人员</w:t>
            </w:r>
          </w:p>
          <w:p>
            <w:pPr>
              <w:autoSpaceDE w:val="0"/>
              <w:autoSpaceDN w:val="0"/>
              <w:adjustRightInd w:val="0"/>
              <w:jc w:val="center"/>
              <w:rPr>
                <w:rFonts w:ascii="宋体" w:hAnsi="宋体" w:cs="宋体"/>
                <w:szCs w:val="21"/>
              </w:rPr>
            </w:pPr>
            <w:r>
              <w:rPr>
                <w:rFonts w:hint="eastAsia" w:ascii="宋体" w:hAnsi="宋体" w:cs="宋体"/>
                <w:szCs w:val="21"/>
              </w:rPr>
              <w:t>（12分）</w:t>
            </w:r>
          </w:p>
        </w:tc>
        <w:tc>
          <w:tcPr>
            <w:tcW w:w="6148" w:type="dxa"/>
            <w:tcBorders>
              <w:top w:val="single" w:color="auto" w:sz="4" w:space="0"/>
              <w:left w:val="single" w:color="auto" w:sz="4" w:space="0"/>
              <w:right w:val="single" w:color="auto" w:sz="4" w:space="0"/>
            </w:tcBorders>
            <w:vAlign w:val="center"/>
          </w:tcPr>
          <w:p>
            <w:pPr>
              <w:tabs>
                <w:tab w:val="left" w:pos="0"/>
              </w:tabs>
              <w:adjustRightInd w:val="0"/>
              <w:textAlignment w:val="baseline"/>
              <w:rPr>
                <w:rFonts w:ascii="宋体" w:hAnsi="宋体" w:cs="宋体"/>
                <w:szCs w:val="21"/>
              </w:rPr>
            </w:pPr>
            <w:r>
              <w:rPr>
                <w:rFonts w:hint="eastAsia" w:ascii="宋体" w:hAnsi="宋体" w:cs="宋体"/>
                <w:szCs w:val="21"/>
              </w:rPr>
              <w:t>停车场管理人员具有业管理专业大专及以上学历的每个得6分，最高得12分。（投标文件中提供人员证书复印件加盖公章）</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12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5" w:type="dxa"/>
            <w:vMerge w:val="continue"/>
            <w:tcBorders>
              <w:left w:val="single" w:color="auto" w:sz="4" w:space="0"/>
              <w:right w:val="single" w:color="auto" w:sz="4" w:space="0"/>
            </w:tcBorders>
            <w:vAlign w:val="center"/>
          </w:tcPr>
          <w:p>
            <w:pPr>
              <w:autoSpaceDE w:val="0"/>
              <w:autoSpaceDN w:val="0"/>
              <w:adjustRightInd w:val="0"/>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szCs w:val="21"/>
              </w:rPr>
              <w:t>人员配备方案（3分）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根据投标人拟投入本项目</w:t>
            </w:r>
            <w:r>
              <w:rPr>
                <w:rFonts w:hint="eastAsia" w:ascii="宋体" w:hAnsi="宋体" w:cs="宋体"/>
                <w:szCs w:val="21"/>
              </w:rPr>
              <w:t>驾驶员情况进行评议。</w:t>
            </w:r>
          </w:p>
          <w:p>
            <w:pPr>
              <w:jc w:val="left"/>
              <w:rPr>
                <w:rFonts w:ascii="宋体" w:hAnsi="宋体" w:cs="宋体"/>
                <w:szCs w:val="21"/>
              </w:rPr>
            </w:pPr>
            <w:r>
              <w:rPr>
                <w:rFonts w:hint="eastAsia" w:ascii="宋体"/>
                <w:szCs w:val="21"/>
              </w:rPr>
              <w:t>配备充分、合理的得3分</w:t>
            </w:r>
            <w:r>
              <w:rPr>
                <w:rFonts w:hint="eastAsia" w:ascii="宋体" w:hAnsi="宋体" w:cs="宋体"/>
                <w:szCs w:val="21"/>
              </w:rPr>
              <w:t>；</w:t>
            </w:r>
          </w:p>
          <w:p>
            <w:pPr>
              <w:jc w:val="left"/>
              <w:rPr>
                <w:rFonts w:ascii="宋体" w:hAnsi="宋体" w:cs="宋体"/>
                <w:szCs w:val="21"/>
              </w:rPr>
            </w:pPr>
            <w:r>
              <w:rPr>
                <w:rFonts w:hint="eastAsia" w:ascii="宋体"/>
                <w:szCs w:val="21"/>
              </w:rPr>
              <w:t>较充分、较合理的得2分</w:t>
            </w:r>
            <w:r>
              <w:rPr>
                <w:rFonts w:hint="eastAsia" w:ascii="宋体" w:hAnsi="宋体" w:cs="宋体"/>
                <w:szCs w:val="21"/>
              </w:rPr>
              <w:t>；</w:t>
            </w:r>
          </w:p>
          <w:p>
            <w:pPr>
              <w:jc w:val="left"/>
              <w:rPr>
                <w:rFonts w:ascii="宋体" w:hAnsi="宋体" w:cs="宋体"/>
                <w:szCs w:val="21"/>
              </w:rPr>
            </w:pPr>
            <w:r>
              <w:rPr>
                <w:rFonts w:hint="eastAsia" w:ascii="宋体"/>
                <w:szCs w:val="21"/>
              </w:rPr>
              <w:t>不充分、不合理的得1分</w:t>
            </w:r>
            <w:r>
              <w:rPr>
                <w:rFonts w:hint="eastAsia" w:ascii="宋体" w:hAnsi="宋体" w:cs="宋体"/>
                <w:szCs w:val="21"/>
              </w:rPr>
              <w:t>；</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top w:val="single" w:color="auto" w:sz="4" w:space="0"/>
              <w:left w:val="single" w:color="auto" w:sz="4" w:space="0"/>
              <w:right w:val="single" w:color="auto" w:sz="4" w:space="0"/>
            </w:tcBorders>
            <w:vAlign w:val="center"/>
          </w:tcPr>
          <w:p>
            <w:pPr>
              <w:jc w:val="center"/>
              <w:rPr>
                <w:rFonts w:ascii="宋体"/>
                <w:szCs w:val="21"/>
              </w:rPr>
            </w:pPr>
            <w:r>
              <w:rPr>
                <w:rFonts w:hint="eastAsia" w:ascii="宋体"/>
                <w:szCs w:val="21"/>
              </w:rPr>
              <w:t>管理制度和工作流程</w:t>
            </w:r>
          </w:p>
          <w:p>
            <w:pPr>
              <w:jc w:val="center"/>
              <w:rPr>
                <w:rFonts w:ascii="宋体" w:hAnsi="宋体" w:cs="宋体"/>
                <w:szCs w:val="21"/>
              </w:rPr>
            </w:pPr>
            <w:r>
              <w:rPr>
                <w:rFonts w:hint="eastAsia" w:ascii="宋体"/>
                <w:szCs w:val="21"/>
              </w:rPr>
              <w:t>（12分）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违法车辆拖车方案规范的得3分；</w:t>
            </w:r>
          </w:p>
          <w:p>
            <w:pPr>
              <w:jc w:val="left"/>
              <w:rPr>
                <w:rFonts w:ascii="宋体"/>
                <w:szCs w:val="21"/>
              </w:rPr>
            </w:pPr>
            <w:r>
              <w:rPr>
                <w:rFonts w:hint="eastAsia" w:ascii="宋体"/>
                <w:szCs w:val="21"/>
              </w:rPr>
              <w:t>基本规范的得2分；</w:t>
            </w:r>
          </w:p>
          <w:p>
            <w:pPr>
              <w:jc w:val="left"/>
              <w:rPr>
                <w:rFonts w:ascii="宋体"/>
                <w:szCs w:val="21"/>
              </w:rPr>
            </w:pPr>
            <w:r>
              <w:rPr>
                <w:rFonts w:hint="eastAsia" w:ascii="宋体"/>
                <w:szCs w:val="21"/>
              </w:rPr>
              <w:t>不规范的得1分；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违法车辆拖车方案合理的得3分；</w:t>
            </w:r>
          </w:p>
          <w:p>
            <w:pPr>
              <w:jc w:val="left"/>
              <w:rPr>
                <w:rFonts w:ascii="宋体"/>
                <w:szCs w:val="21"/>
              </w:rPr>
            </w:pPr>
            <w:r>
              <w:rPr>
                <w:rFonts w:hint="eastAsia" w:ascii="宋体"/>
                <w:szCs w:val="21"/>
              </w:rPr>
              <w:t>基本合理的得2分；</w:t>
            </w:r>
          </w:p>
          <w:p>
            <w:pPr>
              <w:jc w:val="left"/>
              <w:rPr>
                <w:rFonts w:ascii="宋体"/>
                <w:szCs w:val="21"/>
              </w:rPr>
            </w:pPr>
            <w:r>
              <w:rPr>
                <w:rFonts w:hint="eastAsia" w:ascii="宋体"/>
                <w:szCs w:val="21"/>
              </w:rPr>
              <w:t>不合理的得1分；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停车场管理制度规范的得3分；</w:t>
            </w:r>
          </w:p>
          <w:p>
            <w:pPr>
              <w:jc w:val="left"/>
              <w:rPr>
                <w:rFonts w:ascii="宋体"/>
                <w:szCs w:val="21"/>
              </w:rPr>
            </w:pPr>
            <w:r>
              <w:rPr>
                <w:rFonts w:hint="eastAsia" w:ascii="宋体"/>
                <w:szCs w:val="21"/>
              </w:rPr>
              <w:t>基本规范的得2分；</w:t>
            </w:r>
          </w:p>
          <w:p>
            <w:pPr>
              <w:jc w:val="left"/>
              <w:rPr>
                <w:rFonts w:ascii="宋体"/>
                <w:szCs w:val="21"/>
              </w:rPr>
            </w:pPr>
            <w:r>
              <w:rPr>
                <w:rFonts w:hint="eastAsia" w:ascii="宋体"/>
                <w:szCs w:val="21"/>
              </w:rPr>
              <w:t>不规范的得1分；</w:t>
            </w:r>
          </w:p>
          <w:p>
            <w:pPr>
              <w:jc w:val="left"/>
              <w:rPr>
                <w:rFonts w:ascii="宋体" w:hAnsi="宋体" w:cs="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停车场管理制度合理的得3分；</w:t>
            </w:r>
          </w:p>
          <w:p>
            <w:pPr>
              <w:jc w:val="left"/>
              <w:rPr>
                <w:rFonts w:ascii="宋体"/>
                <w:szCs w:val="21"/>
              </w:rPr>
            </w:pPr>
            <w:r>
              <w:rPr>
                <w:rFonts w:hint="eastAsia" w:ascii="宋体"/>
                <w:szCs w:val="21"/>
              </w:rPr>
              <w:t>基本合理的得2分；</w:t>
            </w:r>
          </w:p>
          <w:p>
            <w:pPr>
              <w:jc w:val="left"/>
              <w:rPr>
                <w:rFonts w:ascii="宋体"/>
                <w:szCs w:val="21"/>
              </w:rPr>
            </w:pPr>
            <w:r>
              <w:rPr>
                <w:rFonts w:hint="eastAsia" w:ascii="宋体"/>
                <w:szCs w:val="21"/>
              </w:rPr>
              <w:t>不合理的得1分；</w:t>
            </w:r>
          </w:p>
          <w:p>
            <w:pPr>
              <w:jc w:val="left"/>
              <w:rPr>
                <w:rFonts w:asciiTheme="minorEastAsia" w:hAnsiTheme="minorEastAsia" w:eastAsiaTheme="minorEastAsia"/>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left w:val="single" w:color="auto" w:sz="4" w:space="0"/>
              <w:right w:val="single" w:color="auto" w:sz="4" w:space="0"/>
            </w:tcBorders>
            <w:vAlign w:val="center"/>
          </w:tcPr>
          <w:p>
            <w:pPr>
              <w:jc w:val="center"/>
              <w:rPr>
                <w:rFonts w:ascii="宋体" w:hAnsi="宋体" w:cs="宋体"/>
                <w:szCs w:val="21"/>
              </w:rPr>
            </w:pPr>
            <w:r>
              <w:rPr>
                <w:rFonts w:hint="eastAsia" w:ascii="宋体"/>
                <w:szCs w:val="21"/>
              </w:rPr>
              <w:t>项目实施保障措施及服务质量承诺（9分）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项目实施保障措施可实施性强的得3分；</w:t>
            </w:r>
          </w:p>
          <w:p>
            <w:pPr>
              <w:jc w:val="left"/>
              <w:rPr>
                <w:rFonts w:ascii="宋体"/>
                <w:szCs w:val="21"/>
              </w:rPr>
            </w:pPr>
            <w:r>
              <w:rPr>
                <w:rFonts w:hint="eastAsia" w:ascii="宋体"/>
                <w:szCs w:val="21"/>
              </w:rPr>
              <w:t>可实施性较强的得2分；</w:t>
            </w:r>
          </w:p>
          <w:p>
            <w:pPr>
              <w:jc w:val="left"/>
              <w:rPr>
                <w:rFonts w:ascii="宋体"/>
                <w:szCs w:val="21"/>
              </w:rPr>
            </w:pPr>
            <w:r>
              <w:rPr>
                <w:rFonts w:hint="eastAsia" w:ascii="宋体"/>
                <w:szCs w:val="21"/>
              </w:rPr>
              <w:t>不具备实施性的得1分；</w:t>
            </w:r>
          </w:p>
          <w:p>
            <w:pPr>
              <w:jc w:val="left"/>
              <w:rPr>
                <w:rFonts w:ascii="宋体" w:hAnsi="宋体" w:cs="宋体"/>
                <w:kern w:val="0"/>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项目实施保障措施完善的得3分；</w:t>
            </w:r>
          </w:p>
          <w:p>
            <w:pPr>
              <w:jc w:val="left"/>
              <w:rPr>
                <w:rFonts w:ascii="宋体"/>
                <w:szCs w:val="21"/>
              </w:rPr>
            </w:pPr>
            <w:r>
              <w:rPr>
                <w:rFonts w:hint="eastAsia" w:ascii="宋体"/>
                <w:szCs w:val="21"/>
              </w:rPr>
              <w:t>较完善的得2分；</w:t>
            </w:r>
          </w:p>
          <w:p>
            <w:pPr>
              <w:jc w:val="left"/>
              <w:rPr>
                <w:rFonts w:ascii="宋体"/>
                <w:szCs w:val="21"/>
              </w:rPr>
            </w:pPr>
            <w:r>
              <w:rPr>
                <w:rFonts w:hint="eastAsia" w:ascii="宋体"/>
                <w:szCs w:val="21"/>
              </w:rPr>
              <w:t>不完善的得1分；</w:t>
            </w:r>
          </w:p>
          <w:p>
            <w:pPr>
              <w:jc w:val="left"/>
              <w:rPr>
                <w:rFonts w:ascii="宋体" w:hAnsi="宋体" w:cs="宋体"/>
                <w:kern w:val="0"/>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服务质量承诺合理的得3分；</w:t>
            </w:r>
          </w:p>
          <w:p>
            <w:pPr>
              <w:jc w:val="left"/>
              <w:rPr>
                <w:rFonts w:ascii="宋体"/>
                <w:szCs w:val="21"/>
              </w:rPr>
            </w:pPr>
            <w:r>
              <w:rPr>
                <w:rFonts w:hint="eastAsia" w:ascii="宋体"/>
                <w:szCs w:val="21"/>
              </w:rPr>
              <w:t>服务质量承诺较合理的得2分；</w:t>
            </w:r>
          </w:p>
          <w:p>
            <w:pPr>
              <w:jc w:val="left"/>
              <w:rPr>
                <w:rFonts w:ascii="宋体"/>
                <w:szCs w:val="21"/>
              </w:rPr>
            </w:pPr>
            <w:r>
              <w:rPr>
                <w:rFonts w:hint="eastAsia" w:ascii="宋体"/>
                <w:szCs w:val="21"/>
              </w:rPr>
              <w:t>服务质量承诺不合理的得1分；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restart"/>
            <w:tcBorders>
              <w:left w:val="single" w:color="auto" w:sz="4" w:space="0"/>
              <w:right w:val="single" w:color="auto" w:sz="4" w:space="0"/>
            </w:tcBorders>
            <w:vAlign w:val="center"/>
          </w:tcPr>
          <w:p>
            <w:pPr>
              <w:jc w:val="center"/>
              <w:rPr>
                <w:rFonts w:ascii="宋体"/>
                <w:szCs w:val="21"/>
              </w:rPr>
            </w:pPr>
            <w:r>
              <w:rPr>
                <w:rFonts w:hint="eastAsia" w:ascii="宋体"/>
                <w:szCs w:val="21"/>
              </w:rPr>
              <w:t>应急方案</w:t>
            </w:r>
          </w:p>
          <w:p>
            <w:pPr>
              <w:jc w:val="center"/>
              <w:rPr>
                <w:rFonts w:ascii="宋体"/>
                <w:szCs w:val="21"/>
              </w:rPr>
            </w:pPr>
            <w:r>
              <w:rPr>
                <w:rFonts w:hint="eastAsia" w:ascii="宋体"/>
                <w:szCs w:val="21"/>
              </w:rPr>
              <w:t>（6分）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应急方案针对性强的得3分；</w:t>
            </w:r>
          </w:p>
          <w:p>
            <w:pPr>
              <w:jc w:val="left"/>
              <w:rPr>
                <w:rFonts w:ascii="宋体"/>
                <w:szCs w:val="21"/>
              </w:rPr>
            </w:pPr>
            <w:r>
              <w:rPr>
                <w:rFonts w:hint="eastAsia" w:ascii="宋体"/>
                <w:szCs w:val="21"/>
              </w:rPr>
              <w:t>针对性较强的得2分；</w:t>
            </w:r>
          </w:p>
          <w:p>
            <w:pPr>
              <w:jc w:val="left"/>
              <w:rPr>
                <w:rFonts w:ascii="宋体"/>
                <w:szCs w:val="21"/>
              </w:rPr>
            </w:pPr>
            <w:r>
              <w:rPr>
                <w:rFonts w:hint="eastAsia" w:ascii="宋体"/>
                <w:szCs w:val="21"/>
              </w:rPr>
              <w:t>针对性不强的1分；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vMerge w:val="continue"/>
            <w:tcBorders>
              <w:left w:val="single" w:color="auto" w:sz="4" w:space="0"/>
              <w:bottom w:val="single" w:color="auto" w:sz="4" w:space="0"/>
              <w:right w:val="single" w:color="auto" w:sz="4" w:space="0"/>
            </w:tcBorders>
            <w:vAlign w:val="center"/>
          </w:tcPr>
          <w:p>
            <w:pPr>
              <w:jc w:val="center"/>
              <w:rPr>
                <w:rFonts w:ascii="宋体"/>
                <w:szCs w:val="21"/>
              </w:rPr>
            </w:pP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应急方案可行性强的得3分；</w:t>
            </w:r>
          </w:p>
          <w:p>
            <w:pPr>
              <w:jc w:val="left"/>
              <w:rPr>
                <w:rFonts w:ascii="宋体"/>
                <w:szCs w:val="21"/>
              </w:rPr>
            </w:pPr>
            <w:r>
              <w:rPr>
                <w:rFonts w:hint="eastAsia" w:ascii="宋体"/>
                <w:szCs w:val="21"/>
              </w:rPr>
              <w:t>可行性较强的得2分；</w:t>
            </w:r>
          </w:p>
          <w:p>
            <w:pPr>
              <w:jc w:val="left"/>
              <w:rPr>
                <w:rFonts w:ascii="宋体"/>
                <w:szCs w:val="21"/>
              </w:rPr>
            </w:pPr>
            <w:r>
              <w:rPr>
                <w:rFonts w:hint="eastAsia" w:ascii="宋体"/>
                <w:szCs w:val="21"/>
              </w:rPr>
              <w:t>可行性不强的1分；</w:t>
            </w:r>
          </w:p>
          <w:p>
            <w:pPr>
              <w:jc w:val="left"/>
              <w:rPr>
                <w:rFonts w:ascii="宋体"/>
                <w:szCs w:val="21"/>
              </w:rPr>
            </w:pPr>
            <w:r>
              <w:rPr>
                <w:rFonts w:hint="eastAsia" w:ascii="宋体"/>
                <w:szCs w:val="21"/>
              </w:rPr>
              <w:t>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szCs w:val="21"/>
              </w:rPr>
              <w:t>优化服务承诺（3分）</w:t>
            </w:r>
          </w:p>
        </w:tc>
        <w:tc>
          <w:tcPr>
            <w:tcW w:w="61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szCs w:val="21"/>
              </w:rPr>
              <w:t>优化服务承诺可实施性强、针对性强的得3分，可实施性较强、针对性较强的得2分，基本可行的得1分，未提供不得分。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3</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项目业绩</w:t>
            </w:r>
          </w:p>
          <w:p>
            <w:pPr>
              <w:jc w:val="center"/>
              <w:rPr>
                <w:rFonts w:ascii="宋体" w:hAnsi="宋体" w:cs="宋体"/>
                <w:szCs w:val="21"/>
              </w:rPr>
            </w:pPr>
            <w:r>
              <w:rPr>
                <w:rFonts w:hint="eastAsia" w:ascii="宋体" w:hAnsi="宋体" w:cs="宋体"/>
                <w:szCs w:val="21"/>
              </w:rPr>
              <w:t>（2分）</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201</w:t>
            </w:r>
            <w:r>
              <w:rPr>
                <w:rFonts w:ascii="宋体" w:hAnsi="宋体" w:cs="宋体"/>
                <w:szCs w:val="21"/>
              </w:rPr>
              <w:t>9</w:t>
            </w:r>
            <w:r>
              <w:rPr>
                <w:rFonts w:hint="eastAsia" w:ascii="宋体" w:hAnsi="宋体" w:cs="宋体"/>
                <w:szCs w:val="21"/>
              </w:rPr>
              <w:t>年</w:t>
            </w:r>
            <w:r>
              <w:rPr>
                <w:rFonts w:ascii="宋体" w:hAnsi="宋体" w:cs="宋体"/>
                <w:szCs w:val="21"/>
              </w:rPr>
              <w:t>12</w:t>
            </w:r>
            <w:r>
              <w:rPr>
                <w:rFonts w:hint="eastAsia" w:ascii="宋体" w:hAnsi="宋体" w:cs="宋体"/>
                <w:szCs w:val="21"/>
              </w:rPr>
              <w:t>月1日（以合同签订时间为准）至今，投标人具有的同类项目业绩，</w:t>
            </w:r>
            <w:r>
              <w:rPr>
                <w:rFonts w:hint="eastAsia" w:ascii="宋体"/>
                <w:szCs w:val="21"/>
              </w:rPr>
              <w:t>每提供一份业绩合同得1分，满分2分</w:t>
            </w:r>
            <w:r>
              <w:rPr>
                <w:rFonts w:hint="eastAsia" w:ascii="宋体" w:hAnsi="宋体" w:cs="宋体"/>
                <w:szCs w:val="21"/>
              </w:rPr>
              <w:t>。</w:t>
            </w:r>
          </w:p>
          <w:p>
            <w:pPr>
              <w:rPr>
                <w:rFonts w:ascii="宋体" w:hAnsi="宋体" w:cs="宋体"/>
                <w:b/>
                <w:bCs/>
                <w:szCs w:val="21"/>
              </w:rPr>
            </w:pPr>
            <w:r>
              <w:rPr>
                <w:rFonts w:hint="eastAsia" w:ascii="宋体" w:hAnsi="宋体" w:cs="宋体"/>
                <w:szCs w:val="21"/>
              </w:rPr>
              <w:t>注：提供业绩合同复印件并加盖公章。若为联合体投标的，联合体任意一方提供的均可。</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5"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商务需求</w:t>
            </w:r>
          </w:p>
          <w:p>
            <w:pPr>
              <w:jc w:val="center"/>
              <w:rPr>
                <w:rFonts w:ascii="宋体" w:hAnsi="宋体" w:cs="宋体"/>
                <w:szCs w:val="21"/>
              </w:rPr>
            </w:pPr>
            <w:r>
              <w:rPr>
                <w:rFonts w:hint="eastAsia" w:ascii="宋体" w:hAnsi="宋体" w:cs="宋体"/>
                <w:szCs w:val="21"/>
              </w:rPr>
              <w:t>响应情况</w:t>
            </w:r>
          </w:p>
          <w:p>
            <w:pPr>
              <w:jc w:val="center"/>
              <w:rPr>
                <w:rFonts w:ascii="宋体" w:hAnsi="宋体" w:cs="宋体"/>
                <w:szCs w:val="21"/>
              </w:rPr>
            </w:pPr>
            <w:r>
              <w:rPr>
                <w:rFonts w:hint="eastAsia" w:ascii="宋体" w:hAnsi="宋体" w:cs="宋体"/>
                <w:szCs w:val="21"/>
              </w:rPr>
              <w:t>（9分）</w:t>
            </w:r>
          </w:p>
        </w:tc>
        <w:tc>
          <w:tcPr>
            <w:tcW w:w="61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根据投标人针对“第二章 招标需求”中“一、商务要求”（除标注*条款外）的响应情况进行评审，完全响应的得9分，若有负偏离的，每负偏离一项扣3分。</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9</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3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合计</w:t>
            </w:r>
          </w:p>
        </w:tc>
        <w:tc>
          <w:tcPr>
            <w:tcW w:w="6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100</w:t>
            </w:r>
          </w:p>
        </w:tc>
        <w:tc>
          <w:tcPr>
            <w:tcW w:w="7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szCs w:val="21"/>
              </w:rPr>
            </w:pPr>
            <w:r>
              <w:rPr>
                <w:rFonts w:hint="eastAsia" w:ascii="宋体" w:hAnsi="宋体" w:cs="宋体"/>
                <w:b/>
                <w:bCs/>
                <w:szCs w:val="21"/>
              </w:rPr>
              <w:t>/</w:t>
            </w:r>
          </w:p>
        </w:tc>
      </w:tr>
    </w:tbl>
    <w:p>
      <w:pPr>
        <w:pStyle w:val="3"/>
        <w:spacing w:before="0" w:after="0" w:line="360" w:lineRule="auto"/>
        <w:rPr>
          <w:rFonts w:hint="eastAsia" w:ascii="宋体"/>
          <w:b w:val="0"/>
          <w:kern w:val="2"/>
          <w:sz w:val="21"/>
          <w:szCs w:val="21"/>
        </w:rPr>
      </w:pPr>
    </w:p>
    <w:p>
      <w:pPr>
        <w:pStyle w:val="3"/>
        <w:spacing w:before="0" w:after="0" w:line="360" w:lineRule="auto"/>
        <w:jc w:val="center"/>
        <w:rPr>
          <w:rFonts w:ascii="宋体" w:hAnsi="宋体" w:cs="宋体"/>
          <w:sz w:val="30"/>
        </w:rPr>
      </w:pPr>
      <w:r>
        <w:rPr>
          <w:rFonts w:hint="eastAsia" w:ascii="宋体"/>
          <w:b w:val="0"/>
          <w:kern w:val="2"/>
          <w:sz w:val="21"/>
          <w:szCs w:val="21"/>
        </w:rPr>
        <w:br w:type="page"/>
      </w:r>
      <w:bookmarkStart w:id="167" w:name="_Toc5225"/>
      <w:r>
        <w:rPr>
          <w:rFonts w:hint="eastAsia" w:ascii="宋体" w:hAnsi="宋体" w:cs="宋体"/>
          <w:sz w:val="30"/>
        </w:rPr>
        <w:t>第五章  政府采购合同</w:t>
      </w:r>
      <w:bookmarkEnd w:id="166"/>
      <w:bookmarkEnd w:id="167"/>
    </w:p>
    <w:p>
      <w:pPr>
        <w:rPr>
          <w:rFonts w:ascii="宋体" w:hAnsi="宋体" w:cs="宋体"/>
        </w:rPr>
      </w:pPr>
      <w:bookmarkStart w:id="168" w:name="_Toc460857945"/>
      <w:bookmarkStart w:id="169" w:name="_Toc460857947"/>
    </w:p>
    <w:p>
      <w:pPr>
        <w:snapToGrid w:val="0"/>
        <w:spacing w:before="120" w:beforeLines="50" w:after="120" w:afterLines="50" w:line="360" w:lineRule="auto"/>
        <w:jc w:val="center"/>
        <w:rPr>
          <w:rFonts w:ascii="宋体" w:hAnsi="宋体"/>
          <w:b/>
          <w:bCs/>
          <w:sz w:val="30"/>
          <w:szCs w:val="32"/>
        </w:rPr>
      </w:pPr>
      <w:bookmarkStart w:id="170" w:name="_Toc14434"/>
      <w:r>
        <w:rPr>
          <w:rFonts w:hint="eastAsia" w:ascii="宋体" w:hAnsi="宋体"/>
          <w:b/>
          <w:sz w:val="30"/>
          <w:szCs w:val="32"/>
        </w:rPr>
        <w:t>浙江省政府采购合同指引（服务）</w:t>
      </w:r>
    </w:p>
    <w:p>
      <w:pPr>
        <w:pStyle w:val="19"/>
        <w:snapToGrid w:val="0"/>
        <w:spacing w:before="120" w:after="120" w:line="360" w:lineRule="auto"/>
        <w:rPr>
          <w:rFonts w:hAnsi="宋体"/>
          <w:sz w:val="21"/>
          <w:szCs w:val="21"/>
        </w:rPr>
      </w:pPr>
      <w:r>
        <w:rPr>
          <w:rFonts w:hAnsi="宋体"/>
          <w:sz w:val="21"/>
          <w:szCs w:val="21"/>
        </w:rPr>
        <w:t>项目名称：                                     项目编号：</w:t>
      </w:r>
    </w:p>
    <w:p>
      <w:pPr>
        <w:pStyle w:val="19"/>
        <w:snapToGrid w:val="0"/>
        <w:spacing w:before="120" w:after="120" w:line="360" w:lineRule="auto"/>
        <w:rPr>
          <w:rFonts w:hAnsi="宋体"/>
          <w:sz w:val="21"/>
          <w:szCs w:val="21"/>
        </w:rPr>
      </w:pPr>
      <w:r>
        <w:rPr>
          <w:rFonts w:hAnsi="宋体"/>
          <w:sz w:val="21"/>
          <w:szCs w:val="21"/>
        </w:rPr>
        <w:t>甲方：</w:t>
      </w:r>
    </w:p>
    <w:p>
      <w:pPr>
        <w:pStyle w:val="19"/>
        <w:snapToGrid w:val="0"/>
        <w:spacing w:before="120" w:after="120" w:line="360" w:lineRule="auto"/>
        <w:rPr>
          <w:rFonts w:hAnsi="宋体"/>
          <w:sz w:val="21"/>
          <w:szCs w:val="21"/>
        </w:rPr>
      </w:pPr>
      <w:r>
        <w:rPr>
          <w:rFonts w:hAnsi="宋体"/>
          <w:sz w:val="21"/>
          <w:szCs w:val="21"/>
        </w:rPr>
        <w:t>乙方：</w:t>
      </w:r>
    </w:p>
    <w:p>
      <w:pPr>
        <w:spacing w:line="360" w:lineRule="auto"/>
        <w:rPr>
          <w:rFonts w:ascii="宋体" w:hAnsi="宋体" w:cs="宋体"/>
          <w:szCs w:val="21"/>
        </w:rPr>
      </w:pPr>
      <w:r>
        <w:rPr>
          <w:rFonts w:hAnsi="宋体"/>
          <w:b/>
          <w:szCs w:val="21"/>
        </w:rPr>
        <w:t xml:space="preserve">  </w:t>
      </w:r>
      <w:r>
        <w:rPr>
          <w:rFonts w:hint="eastAsia" w:hAnsi="宋体"/>
          <w:b/>
          <w:szCs w:val="21"/>
        </w:rPr>
        <w:t xml:space="preserve">  </w:t>
      </w:r>
      <w:r>
        <w:rPr>
          <w:rFonts w:hint="eastAsia" w:ascii="宋体" w:hAnsi="宋体" w:cs="宋体"/>
          <w:szCs w:val="21"/>
        </w:rPr>
        <w:t xml:space="preserve">根据宁波市公安局交通警察局事故违法拖车及停车场费用服务项目公开招标结果，甲乙双方就 </w:t>
      </w:r>
      <w:r>
        <w:rPr>
          <w:rFonts w:hint="eastAsia" w:ascii="宋体" w:hAnsi="宋体" w:cs="宋体"/>
          <w:szCs w:val="21"/>
          <w:u w:val="single"/>
        </w:rPr>
        <w:t>（标项名称）</w:t>
      </w:r>
      <w:r>
        <w:rPr>
          <w:rFonts w:hint="eastAsia" w:ascii="宋体" w:hAnsi="宋体" w:cs="宋体"/>
          <w:szCs w:val="21"/>
        </w:rPr>
        <w:t>签订本合同。</w:t>
      </w:r>
    </w:p>
    <w:p>
      <w:pPr>
        <w:spacing w:line="360" w:lineRule="auto"/>
        <w:ind w:firstLine="420" w:firstLineChars="200"/>
        <w:rPr>
          <w:rFonts w:ascii="宋体" w:hAnsi="宋体" w:cs="宋体"/>
          <w:szCs w:val="21"/>
        </w:rPr>
      </w:pPr>
      <w:r>
        <w:rPr>
          <w:rFonts w:hint="eastAsia" w:ascii="宋体" w:hAnsi="宋体" w:cs="宋体"/>
          <w:szCs w:val="21"/>
        </w:rPr>
        <w:t>一、服务事项</w:t>
      </w:r>
    </w:p>
    <w:p>
      <w:pPr>
        <w:spacing w:line="360" w:lineRule="auto"/>
        <w:ind w:firstLine="420" w:firstLineChars="200"/>
        <w:rPr>
          <w:rFonts w:ascii="宋体" w:hAnsi="宋体" w:cs="宋体"/>
          <w:szCs w:val="21"/>
        </w:rPr>
      </w:pPr>
      <w:r>
        <w:rPr>
          <w:rFonts w:hint="eastAsia" w:ascii="宋体" w:hAnsi="宋体" w:cs="宋体"/>
          <w:szCs w:val="21"/>
        </w:rPr>
        <w:t>（一）乙方根据甲方指令，对</w:t>
      </w:r>
      <w:r>
        <w:rPr>
          <w:rFonts w:hint="eastAsia" w:ascii="宋体" w:hAnsi="宋体" w:cs="宋体"/>
          <w:szCs w:val="21"/>
          <w:u w:val="single"/>
        </w:rPr>
        <w:t xml:space="preserve">       </w:t>
      </w:r>
      <w:r>
        <w:rPr>
          <w:rFonts w:hint="eastAsia" w:ascii="宋体" w:hAnsi="宋体" w:cs="宋体"/>
          <w:szCs w:val="21"/>
        </w:rPr>
        <w:t>范围内的违法车辆，提供365天24小时全天候的车辆拖移道路清障服务。</w:t>
      </w:r>
    </w:p>
    <w:p>
      <w:pPr>
        <w:spacing w:line="360" w:lineRule="auto"/>
        <w:ind w:firstLine="420" w:firstLineChars="200"/>
        <w:rPr>
          <w:rFonts w:ascii="宋体" w:hAnsi="宋体" w:cs="宋体"/>
          <w:szCs w:val="21"/>
        </w:rPr>
      </w:pPr>
      <w:r>
        <w:rPr>
          <w:rFonts w:hint="eastAsia" w:ascii="宋体" w:hAnsi="宋体" w:cs="宋体"/>
          <w:szCs w:val="21"/>
        </w:rPr>
        <w:t>（二）上述大队管辖区域拖移的车辆由乙方提供不少于</w:t>
      </w:r>
      <w:r>
        <w:rPr>
          <w:rFonts w:hint="eastAsia" w:ascii="宋体" w:hAnsi="宋体" w:cs="宋体"/>
          <w:szCs w:val="21"/>
          <w:u w:val="single"/>
        </w:rPr>
        <w:t xml:space="preserve">  </w:t>
      </w:r>
      <w:r>
        <w:rPr>
          <w:rFonts w:hint="eastAsia" w:ascii="宋体" w:hAnsi="宋体" w:cs="宋体"/>
          <w:szCs w:val="21"/>
        </w:rPr>
        <w:t>个停车场地，供各大队的拖移车辆进行停放并派人进行管理。</w:t>
      </w:r>
    </w:p>
    <w:p>
      <w:pPr>
        <w:spacing w:line="360" w:lineRule="auto"/>
        <w:ind w:firstLine="420" w:firstLineChars="200"/>
        <w:rPr>
          <w:rFonts w:ascii="宋体" w:hAnsi="宋体" w:cs="宋体"/>
          <w:szCs w:val="21"/>
        </w:rPr>
      </w:pPr>
      <w:r>
        <w:rPr>
          <w:rFonts w:hint="eastAsia" w:ascii="宋体" w:hAnsi="宋体" w:cs="宋体"/>
          <w:szCs w:val="21"/>
        </w:rPr>
        <w:t>(三）乙方需做好涉案车辆进出场扫码维护工作，同时做好涉案车辆与非涉案车辆台账登记工作（包括电脑录入及手工记录），做到帐实相符。</w:t>
      </w:r>
    </w:p>
    <w:p>
      <w:pPr>
        <w:spacing w:line="360" w:lineRule="auto"/>
        <w:ind w:firstLine="420" w:firstLineChars="200"/>
        <w:rPr>
          <w:rFonts w:ascii="宋体" w:hAnsi="宋体" w:cs="宋体"/>
          <w:szCs w:val="21"/>
        </w:rPr>
      </w:pPr>
      <w:r>
        <w:rPr>
          <w:rFonts w:hint="eastAsia" w:ascii="宋体" w:hAnsi="宋体" w:cs="宋体"/>
          <w:szCs w:val="21"/>
        </w:rPr>
        <w:t>二、移车方式和服务期限</w:t>
      </w:r>
    </w:p>
    <w:p>
      <w:pPr>
        <w:spacing w:line="360" w:lineRule="auto"/>
        <w:ind w:firstLine="420" w:firstLineChars="200"/>
        <w:rPr>
          <w:rFonts w:ascii="宋体" w:hAnsi="宋体" w:cs="宋体"/>
          <w:b/>
          <w:szCs w:val="21"/>
        </w:rPr>
      </w:pPr>
      <w:r>
        <w:rPr>
          <w:rFonts w:hint="eastAsia" w:ascii="宋体" w:hAnsi="宋体" w:cs="宋体"/>
          <w:szCs w:val="21"/>
        </w:rPr>
        <w:t>（一）移车方式：原则上应当通过专用拖车方式移车，在确保安全和不破坏车辆痕迹的情况下可以通过驾车移动方式。</w:t>
      </w:r>
    </w:p>
    <w:p>
      <w:pPr>
        <w:spacing w:line="360" w:lineRule="auto"/>
        <w:ind w:firstLine="420" w:firstLineChars="200"/>
        <w:rPr>
          <w:rFonts w:ascii="宋体" w:hAnsi="宋体" w:cs="宋体"/>
          <w:b/>
          <w:szCs w:val="21"/>
        </w:rPr>
      </w:pPr>
      <w:r>
        <w:rPr>
          <w:rFonts w:hint="eastAsia" w:ascii="宋体" w:hAnsi="宋体" w:cs="宋体"/>
          <w:szCs w:val="21"/>
        </w:rPr>
        <w:t>（二）服务期限：自2023年 月 日起至   年    月   日止</w:t>
      </w:r>
    </w:p>
    <w:p>
      <w:pPr>
        <w:spacing w:line="360" w:lineRule="auto"/>
        <w:rPr>
          <w:rFonts w:ascii="宋体" w:hAnsi="宋体" w:cs="宋体"/>
          <w:szCs w:val="21"/>
        </w:rPr>
      </w:pPr>
      <w:r>
        <w:rPr>
          <w:rFonts w:hint="eastAsia" w:ascii="宋体" w:hAnsi="宋体" w:cs="宋体"/>
          <w:b/>
          <w:szCs w:val="21"/>
        </w:rPr>
        <w:t xml:space="preserve">    </w:t>
      </w:r>
      <w:r>
        <w:rPr>
          <w:rFonts w:hint="eastAsia" w:ascii="宋体" w:hAnsi="宋体" w:cs="宋体"/>
          <w:szCs w:val="21"/>
        </w:rPr>
        <w:t>三、收费标准及结算方式</w:t>
      </w:r>
    </w:p>
    <w:p>
      <w:pPr>
        <w:spacing w:line="360" w:lineRule="auto"/>
        <w:ind w:firstLine="420" w:firstLineChars="200"/>
        <w:rPr>
          <w:rFonts w:ascii="宋体" w:hAnsi="宋体" w:cs="宋体"/>
          <w:b/>
          <w:szCs w:val="21"/>
        </w:rPr>
      </w:pPr>
      <w:r>
        <w:rPr>
          <w:rFonts w:hint="eastAsia" w:ascii="宋体" w:hAnsi="宋体" w:cs="宋体"/>
          <w:szCs w:val="21"/>
        </w:rPr>
        <w:t>（一）车辆拖移收费标准：按照宁波市物价局甬价费（2012）104号文件收费标准下浮</w:t>
      </w:r>
      <w:r>
        <w:rPr>
          <w:rFonts w:hint="eastAsia" w:ascii="宋体" w:hAnsi="宋体" w:cs="宋体"/>
          <w:szCs w:val="21"/>
          <w:u w:val="single"/>
        </w:rPr>
        <w:t xml:space="preserve">    </w:t>
      </w:r>
      <w:r>
        <w:rPr>
          <w:rFonts w:hint="eastAsia" w:ascii="宋体" w:hAnsi="宋体" w:cs="宋体"/>
          <w:szCs w:val="21"/>
        </w:rPr>
        <w:t>%计辆结算。</w:t>
      </w:r>
    </w:p>
    <w:p>
      <w:pPr>
        <w:spacing w:line="360" w:lineRule="auto"/>
        <w:ind w:firstLine="420" w:firstLineChars="200"/>
        <w:rPr>
          <w:rFonts w:ascii="宋体" w:hAnsi="宋体" w:cs="宋体"/>
          <w:szCs w:val="21"/>
        </w:rPr>
      </w:pPr>
      <w:r>
        <w:rPr>
          <w:rFonts w:hint="eastAsia" w:ascii="宋体" w:hAnsi="宋体" w:cs="宋体"/>
          <w:szCs w:val="21"/>
        </w:rPr>
        <w:t>（二）车辆拖移费用结算方式：</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b/>
          <w:szCs w:val="21"/>
        </w:rPr>
      </w:pPr>
      <w:r>
        <w:rPr>
          <w:rFonts w:hint="eastAsia" w:ascii="宋体" w:hAnsi="宋体" w:cs="宋体"/>
          <w:szCs w:val="21"/>
        </w:rPr>
        <w:t>（三）停车场管理费用：</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b/>
          <w:szCs w:val="21"/>
        </w:rPr>
      </w:pPr>
      <w:r>
        <w:rPr>
          <w:rFonts w:hint="eastAsia" w:ascii="宋体" w:hAnsi="宋体" w:cs="宋体"/>
          <w:szCs w:val="21"/>
        </w:rPr>
        <w:t>（四）停车场管理费结算方式：停车场费用（含停车场管理人员费用）每半年结算并支付一次。</w:t>
      </w:r>
    </w:p>
    <w:p>
      <w:pPr>
        <w:spacing w:line="360" w:lineRule="auto"/>
        <w:ind w:firstLine="420" w:firstLineChars="200"/>
        <w:rPr>
          <w:rFonts w:ascii="宋体" w:hAnsi="宋体" w:cs="宋体"/>
          <w:b/>
          <w:szCs w:val="21"/>
        </w:rPr>
      </w:pPr>
      <w:r>
        <w:rPr>
          <w:rFonts w:hint="eastAsia" w:ascii="宋体" w:hAnsi="宋体" w:cs="宋体"/>
          <w:szCs w:val="21"/>
        </w:rPr>
        <w:t>（五）乙方账户：</w:t>
      </w:r>
    </w:p>
    <w:p>
      <w:pPr>
        <w:pStyle w:val="111"/>
        <w:spacing w:line="360" w:lineRule="auto"/>
        <w:ind w:left="720" w:firstLine="0" w:firstLineChars="0"/>
        <w:rPr>
          <w:rFonts w:ascii="宋体" w:hAnsi="宋体" w:cs="宋体"/>
          <w:szCs w:val="21"/>
        </w:rPr>
      </w:pPr>
      <w:r>
        <w:rPr>
          <w:rFonts w:hint="eastAsia" w:ascii="宋体" w:hAnsi="宋体" w:cs="宋体"/>
          <w:szCs w:val="21"/>
        </w:rPr>
        <w:t xml:space="preserve">开户名称： </w:t>
      </w:r>
    </w:p>
    <w:p>
      <w:pPr>
        <w:pStyle w:val="111"/>
        <w:spacing w:line="360" w:lineRule="auto"/>
        <w:ind w:left="720" w:firstLine="0" w:firstLineChars="0"/>
        <w:rPr>
          <w:rFonts w:ascii="宋体" w:hAnsi="宋体" w:cs="宋体"/>
          <w:szCs w:val="21"/>
        </w:rPr>
      </w:pPr>
      <w:r>
        <w:rPr>
          <w:rFonts w:hint="eastAsia" w:ascii="宋体" w:hAnsi="宋体" w:cs="宋体"/>
          <w:szCs w:val="21"/>
        </w:rPr>
        <w:t xml:space="preserve">开户行： </w:t>
      </w:r>
    </w:p>
    <w:p>
      <w:pPr>
        <w:pStyle w:val="111"/>
        <w:spacing w:line="360" w:lineRule="auto"/>
        <w:ind w:left="720" w:firstLine="0" w:firstLineChars="0"/>
        <w:rPr>
          <w:rFonts w:ascii="宋体" w:hAnsi="宋体" w:cs="宋体"/>
          <w:szCs w:val="21"/>
        </w:rPr>
      </w:pPr>
      <w:r>
        <w:rPr>
          <w:rFonts w:hint="eastAsia" w:ascii="宋体" w:hAnsi="宋体" w:cs="宋体"/>
          <w:szCs w:val="21"/>
        </w:rPr>
        <w:t xml:space="preserve">开户账户： </w:t>
      </w:r>
    </w:p>
    <w:p>
      <w:pPr>
        <w:pStyle w:val="111"/>
        <w:spacing w:line="360" w:lineRule="auto"/>
        <w:rPr>
          <w:rFonts w:ascii="宋体" w:hAnsi="宋体" w:cs="宋体"/>
          <w:szCs w:val="21"/>
        </w:rPr>
      </w:pPr>
      <w:r>
        <w:rPr>
          <w:rFonts w:hint="eastAsia" w:ascii="宋体" w:hAnsi="宋体" w:cs="宋体"/>
          <w:szCs w:val="21"/>
        </w:rPr>
        <w:t>四、甲方的权利和义务</w:t>
      </w:r>
    </w:p>
    <w:p>
      <w:pPr>
        <w:spacing w:line="360" w:lineRule="auto"/>
        <w:ind w:firstLine="420" w:firstLineChars="200"/>
        <w:rPr>
          <w:rFonts w:ascii="宋体" w:hAnsi="宋体" w:cs="宋体"/>
          <w:szCs w:val="21"/>
        </w:rPr>
      </w:pPr>
      <w:r>
        <w:rPr>
          <w:rFonts w:hint="eastAsia" w:ascii="宋体" w:hAnsi="宋体" w:cs="宋体"/>
          <w:szCs w:val="21"/>
        </w:rPr>
        <w:t>（一）甲方要求乙方提供车辆施救服务时，可以采用口头或任一通信方式向乙方下达明确指令。指令内容包括但不限于：车辆所在地、车辆车牌、车辆颜色、型号、要求排除故障的方式等。</w:t>
      </w:r>
    </w:p>
    <w:p>
      <w:pPr>
        <w:spacing w:line="360" w:lineRule="auto"/>
        <w:ind w:firstLine="420" w:firstLineChars="200"/>
        <w:rPr>
          <w:rFonts w:ascii="宋体" w:hAnsi="宋体" w:cs="宋体"/>
          <w:szCs w:val="21"/>
        </w:rPr>
      </w:pPr>
      <w:r>
        <w:rPr>
          <w:rFonts w:hint="eastAsia" w:ascii="宋体" w:hAnsi="宋体" w:cs="宋体"/>
          <w:szCs w:val="21"/>
        </w:rPr>
        <w:t>（二）如车辆所在位置不明，或甲方认为有必要由乙方直接与车辆人员联系的，甲方可直接提供乙方车辆人员联系方式。</w:t>
      </w:r>
    </w:p>
    <w:p>
      <w:pPr>
        <w:spacing w:line="360" w:lineRule="auto"/>
        <w:ind w:firstLine="420" w:firstLineChars="200"/>
        <w:rPr>
          <w:rFonts w:ascii="宋体" w:hAnsi="宋体" w:cs="宋体"/>
          <w:szCs w:val="21"/>
        </w:rPr>
      </w:pPr>
      <w:r>
        <w:rPr>
          <w:rFonts w:hint="eastAsia" w:ascii="宋体" w:hAnsi="宋体" w:cs="宋体"/>
          <w:szCs w:val="21"/>
        </w:rPr>
        <w:t>（三）移车过程中，甲方应派人在现场。</w:t>
      </w:r>
    </w:p>
    <w:p>
      <w:pPr>
        <w:spacing w:line="360" w:lineRule="auto"/>
        <w:ind w:firstLine="420" w:firstLineChars="200"/>
        <w:rPr>
          <w:rFonts w:ascii="宋体" w:hAnsi="宋体" w:cs="宋体"/>
          <w:szCs w:val="21"/>
        </w:rPr>
      </w:pPr>
      <w:r>
        <w:rPr>
          <w:rFonts w:hint="eastAsia" w:ascii="宋体" w:hAnsi="宋体" w:cs="宋体"/>
          <w:szCs w:val="21"/>
        </w:rPr>
        <w:t>（四）乙方接到甲方的服务指令后，如甲方取消服务，应及时通知乙方。</w:t>
      </w:r>
    </w:p>
    <w:p>
      <w:pPr>
        <w:spacing w:line="360" w:lineRule="auto"/>
        <w:ind w:firstLine="367" w:firstLineChars="175"/>
        <w:jc w:val="left"/>
        <w:rPr>
          <w:rFonts w:ascii="宋体" w:hAnsi="宋体" w:cs="宋体"/>
          <w:szCs w:val="21"/>
        </w:rPr>
      </w:pPr>
      <w:r>
        <w:rPr>
          <w:rFonts w:hint="eastAsia" w:ascii="宋体" w:hAnsi="宋体" w:cs="宋体"/>
          <w:szCs w:val="21"/>
        </w:rPr>
        <w:t>（五）甲方对乙方实施的被委托业务、服务质量进行指导及监督。</w:t>
      </w:r>
    </w:p>
    <w:p>
      <w:pPr>
        <w:spacing w:line="360" w:lineRule="auto"/>
        <w:ind w:firstLine="367" w:firstLineChars="175"/>
        <w:jc w:val="left"/>
        <w:rPr>
          <w:rFonts w:ascii="宋体" w:hAnsi="宋体" w:cs="宋体"/>
          <w:szCs w:val="21"/>
        </w:rPr>
      </w:pPr>
      <w:r>
        <w:rPr>
          <w:rFonts w:hint="eastAsia" w:ascii="宋体" w:hAnsi="宋体" w:cs="宋体"/>
          <w:szCs w:val="21"/>
        </w:rPr>
        <w:t>（六）甲方对乙方拖离的事故车辆和违法车辆拥有知情权和调查权，但不干涉乙方的合法经营自主权。</w:t>
      </w:r>
    </w:p>
    <w:p>
      <w:pPr>
        <w:spacing w:line="360" w:lineRule="auto"/>
        <w:ind w:left="666" w:leftChars="267" w:hanging="105" w:hangingChars="50"/>
        <w:jc w:val="left"/>
        <w:rPr>
          <w:rFonts w:ascii="宋体" w:hAnsi="宋体" w:cs="宋体"/>
          <w:szCs w:val="21"/>
        </w:rPr>
      </w:pPr>
      <w:r>
        <w:rPr>
          <w:rFonts w:hint="eastAsia" w:ascii="宋体" w:hAnsi="宋体" w:cs="宋体"/>
          <w:szCs w:val="21"/>
        </w:rPr>
        <w:t>（七）甲方应当按照合同支付拖车施救及停车服务费用。</w:t>
      </w:r>
    </w:p>
    <w:p>
      <w:pPr>
        <w:spacing w:line="360" w:lineRule="auto"/>
        <w:ind w:firstLine="420" w:firstLineChars="200"/>
        <w:rPr>
          <w:rFonts w:ascii="宋体" w:hAnsi="宋体" w:cs="宋体"/>
          <w:szCs w:val="21"/>
        </w:rPr>
      </w:pPr>
      <w:r>
        <w:rPr>
          <w:rFonts w:hint="eastAsia" w:ascii="宋体" w:hAnsi="宋体" w:cs="宋体"/>
          <w:szCs w:val="21"/>
        </w:rPr>
        <w:t>五、乙方的权利与义务</w:t>
      </w:r>
    </w:p>
    <w:p>
      <w:pPr>
        <w:spacing w:line="360" w:lineRule="auto"/>
        <w:ind w:firstLine="420" w:firstLineChars="200"/>
        <w:rPr>
          <w:rFonts w:ascii="宋体" w:hAnsi="宋体" w:cs="宋体"/>
          <w:b/>
          <w:szCs w:val="21"/>
        </w:rPr>
      </w:pPr>
      <w:r>
        <w:rPr>
          <w:rFonts w:hint="eastAsia" w:ascii="宋体" w:hAnsi="宋体" w:cs="宋体"/>
          <w:szCs w:val="21"/>
        </w:rPr>
        <w:t>（一）乙方的经营行为必须严格遵守国家的相关法律法规。</w:t>
      </w:r>
    </w:p>
    <w:p>
      <w:pPr>
        <w:spacing w:line="360" w:lineRule="auto"/>
        <w:ind w:firstLine="420" w:firstLineChars="200"/>
        <w:rPr>
          <w:rFonts w:ascii="宋体" w:hAnsi="宋体" w:cs="宋体"/>
          <w:b/>
          <w:szCs w:val="21"/>
        </w:rPr>
      </w:pPr>
      <w:r>
        <w:rPr>
          <w:rFonts w:hint="eastAsia" w:ascii="宋体" w:hAnsi="宋体" w:cs="宋体"/>
          <w:szCs w:val="21"/>
        </w:rPr>
        <w:t>（二）乙方自主接受甲方的监督和指导，加强从业人员管理，提高服务质量，维护甲方形象。</w:t>
      </w:r>
    </w:p>
    <w:p>
      <w:pPr>
        <w:spacing w:line="360" w:lineRule="auto"/>
        <w:ind w:firstLine="420" w:firstLineChars="200"/>
        <w:rPr>
          <w:rFonts w:ascii="宋体" w:hAnsi="宋体" w:cs="宋体"/>
          <w:b/>
          <w:szCs w:val="21"/>
        </w:rPr>
      </w:pPr>
      <w:r>
        <w:rPr>
          <w:rFonts w:hint="eastAsia" w:ascii="宋体" w:hAnsi="宋体" w:cs="宋体"/>
          <w:szCs w:val="21"/>
        </w:rPr>
        <w:t>（三）乙方应当建立24小时值班值勤制度，接到甲方指令，应当及时迅速赶赴现场，在现场与车辆人员的身份进行必要的验证，在确认符合甲方的身份证明条件后提供服务，现场清障工作应当做到安全快速高效，不破坏事故车辆痕迹和损坏被拖车辆。</w:t>
      </w:r>
    </w:p>
    <w:p>
      <w:pPr>
        <w:spacing w:line="360" w:lineRule="auto"/>
        <w:ind w:firstLine="420" w:firstLineChars="200"/>
        <w:rPr>
          <w:rFonts w:ascii="宋体" w:hAnsi="宋体" w:cs="宋体"/>
          <w:b/>
          <w:szCs w:val="21"/>
        </w:rPr>
      </w:pPr>
      <w:r>
        <w:rPr>
          <w:rFonts w:hint="eastAsia" w:ascii="宋体" w:hAnsi="宋体" w:cs="宋体"/>
          <w:szCs w:val="21"/>
        </w:rPr>
        <w:t>（四）乙方需提示涉案车辆人员看管好随车物品，并妥善保管扣留、扣押至停车场的涉案车辆。</w:t>
      </w:r>
    </w:p>
    <w:p>
      <w:pPr>
        <w:spacing w:line="360" w:lineRule="auto"/>
        <w:ind w:firstLine="420" w:firstLineChars="200"/>
        <w:rPr>
          <w:rFonts w:ascii="宋体" w:hAnsi="宋体" w:cs="宋体"/>
          <w:b/>
          <w:szCs w:val="21"/>
        </w:rPr>
      </w:pPr>
      <w:r>
        <w:rPr>
          <w:rFonts w:hint="eastAsia" w:ascii="宋体" w:hAnsi="宋体" w:cs="宋体"/>
          <w:szCs w:val="21"/>
        </w:rPr>
        <w:t>（五）乙方在移车清障过程中造成人身伤亡和财物损失的，由乙方承担相应的赔偿责任。</w:t>
      </w:r>
    </w:p>
    <w:p>
      <w:pPr>
        <w:spacing w:line="360" w:lineRule="auto"/>
        <w:ind w:firstLine="420" w:firstLineChars="200"/>
        <w:rPr>
          <w:rFonts w:ascii="宋体" w:hAnsi="宋体" w:cs="宋体"/>
          <w:b/>
          <w:szCs w:val="21"/>
        </w:rPr>
      </w:pPr>
      <w:r>
        <w:rPr>
          <w:rFonts w:hint="eastAsia" w:ascii="宋体" w:hAnsi="宋体" w:cs="宋体"/>
          <w:szCs w:val="21"/>
        </w:rPr>
        <w:t>（六）乙方违规向当事人收取的拖车施救费，造成当事人投诉的，乙方应当无条件退还给当事人违规收取的移车施救费，并主动有 效消除投诉对甲方造成的影响。</w:t>
      </w:r>
    </w:p>
    <w:p>
      <w:pPr>
        <w:spacing w:line="360" w:lineRule="auto"/>
        <w:ind w:firstLine="420" w:firstLineChars="200"/>
        <w:rPr>
          <w:rFonts w:ascii="宋体" w:hAnsi="宋体" w:cs="宋体"/>
          <w:b/>
          <w:szCs w:val="21"/>
        </w:rPr>
      </w:pPr>
      <w:r>
        <w:rPr>
          <w:rFonts w:hint="eastAsia" w:ascii="宋体" w:hAnsi="宋体" w:cs="宋体"/>
          <w:szCs w:val="21"/>
        </w:rPr>
        <w:t>（七）甲方因交通警保卫（如政府性的重大活动交通组织、交通警卫、自然灾害、政府性应急工作等）工作，需要乙方上路待命提供疏导救援服务的，乙方应当提供服务，甲方可帮助乙方申请相关政府性补贴。</w:t>
      </w:r>
    </w:p>
    <w:p>
      <w:pPr>
        <w:spacing w:line="360" w:lineRule="auto"/>
        <w:ind w:firstLine="422" w:firstLineChars="200"/>
        <w:rPr>
          <w:rFonts w:ascii="宋体" w:hAnsi="宋体" w:cs="宋体"/>
          <w:b/>
          <w:szCs w:val="21"/>
        </w:rPr>
      </w:pPr>
      <w:r>
        <w:rPr>
          <w:rFonts w:hint="eastAsia" w:ascii="宋体" w:hAnsi="宋体" w:cs="宋体"/>
          <w:b/>
          <w:szCs w:val="21"/>
        </w:rPr>
        <w:t>六、违约责任</w:t>
      </w:r>
    </w:p>
    <w:p>
      <w:pPr>
        <w:spacing w:line="360" w:lineRule="auto"/>
        <w:ind w:firstLine="420" w:firstLineChars="200"/>
        <w:rPr>
          <w:rFonts w:ascii="宋体" w:hAnsi="宋体" w:cs="宋体"/>
          <w:b/>
          <w:szCs w:val="21"/>
        </w:rPr>
      </w:pPr>
      <w:r>
        <w:rPr>
          <w:rFonts w:hint="eastAsia" w:ascii="宋体" w:hAnsi="宋体" w:cs="宋体"/>
          <w:szCs w:val="21"/>
        </w:rPr>
        <w:t>（一）因乙方违反本合同有关规定，给甲方造成不良社会影响的，甲方有权责令乙方进行整改；给甲方造成恶劣影响的，并且乙方仍未整改的，甲方有权解除合同。</w:t>
      </w:r>
    </w:p>
    <w:p>
      <w:pPr>
        <w:spacing w:line="360" w:lineRule="auto"/>
        <w:ind w:firstLine="420" w:firstLineChars="200"/>
        <w:rPr>
          <w:rFonts w:ascii="宋体" w:hAnsi="宋体" w:cs="宋体"/>
          <w:b/>
          <w:szCs w:val="21"/>
        </w:rPr>
      </w:pPr>
      <w:r>
        <w:rPr>
          <w:rFonts w:hint="eastAsia" w:ascii="宋体" w:hAnsi="宋体" w:cs="宋体"/>
          <w:szCs w:val="21"/>
        </w:rPr>
        <w:t>（二）甲方未及时足额支付乙方施救费用的，乙方有权即时停止拖车服务。</w:t>
      </w:r>
    </w:p>
    <w:p>
      <w:pPr>
        <w:spacing w:line="360" w:lineRule="auto"/>
        <w:ind w:firstLine="420" w:firstLineChars="200"/>
        <w:rPr>
          <w:rFonts w:ascii="宋体" w:hAnsi="宋体" w:cs="宋体"/>
          <w:szCs w:val="21"/>
        </w:rPr>
      </w:pPr>
      <w:r>
        <w:rPr>
          <w:rFonts w:hint="eastAsia" w:ascii="宋体" w:hAnsi="宋体" w:cs="宋体"/>
          <w:szCs w:val="21"/>
        </w:rPr>
        <w:t>（三）在合同期限内，甲乙双方均不得将约定的委托事项转包给第三方，违约方将承担由此产生的各项损失。</w:t>
      </w:r>
    </w:p>
    <w:p>
      <w:pPr>
        <w:spacing w:line="360" w:lineRule="auto"/>
        <w:ind w:firstLine="420" w:firstLineChars="200"/>
        <w:rPr>
          <w:rFonts w:ascii="宋体" w:hAnsi="宋体" w:cs="宋体"/>
          <w:szCs w:val="21"/>
        </w:rPr>
      </w:pPr>
      <w:r>
        <w:rPr>
          <w:rFonts w:hint="eastAsia" w:ascii="宋体" w:hAnsi="宋体" w:cs="宋体"/>
          <w:szCs w:val="21"/>
        </w:rPr>
        <w:t>（四）拖车费结算清单经中队、大队审核后上报交警局，如在审核过程中发现多报、虚报、错报的、责成问题单位重新上报。在一个上报周期差错在3起以上（含3起），大队有权提前解除合同。</w:t>
      </w:r>
    </w:p>
    <w:p>
      <w:pPr>
        <w:spacing w:line="360" w:lineRule="auto"/>
        <w:ind w:firstLine="420" w:firstLineChars="200"/>
        <w:rPr>
          <w:rFonts w:ascii="宋体" w:hAnsi="宋体" w:cs="宋体"/>
          <w:b/>
          <w:szCs w:val="21"/>
        </w:rPr>
      </w:pPr>
      <w:r>
        <w:rPr>
          <w:rFonts w:hint="eastAsia" w:ascii="宋体" w:hAnsi="宋体" w:cs="宋体"/>
          <w:szCs w:val="21"/>
        </w:rPr>
        <w:t>（五）在本合同履行期限内，如因国家法律、法规、政府政策变化而导致本合同无法履行或部分不能履行，甲乙双方协商处理和调整本合同的相关内容，以保证双方的合法权益不受损害。</w:t>
      </w:r>
    </w:p>
    <w:p>
      <w:pPr>
        <w:spacing w:line="360" w:lineRule="auto"/>
        <w:ind w:firstLine="422" w:firstLineChars="200"/>
        <w:rPr>
          <w:rFonts w:ascii="宋体" w:hAnsi="宋体" w:cs="宋体"/>
          <w:b/>
          <w:szCs w:val="21"/>
        </w:rPr>
      </w:pPr>
      <w:r>
        <w:rPr>
          <w:rFonts w:hint="eastAsia" w:ascii="宋体" w:hAnsi="宋体" w:cs="宋体"/>
          <w:b/>
          <w:szCs w:val="21"/>
        </w:rPr>
        <w:t>七、合同生效条件、终止条件</w:t>
      </w:r>
    </w:p>
    <w:p>
      <w:pPr>
        <w:spacing w:line="360" w:lineRule="auto"/>
        <w:ind w:firstLine="420" w:firstLineChars="200"/>
        <w:rPr>
          <w:rFonts w:ascii="宋体" w:hAnsi="宋体" w:cs="宋体"/>
          <w:b/>
          <w:szCs w:val="21"/>
        </w:rPr>
      </w:pPr>
      <w:r>
        <w:rPr>
          <w:rFonts w:hint="eastAsia" w:ascii="宋体" w:hAnsi="宋体" w:cs="宋体"/>
          <w:szCs w:val="21"/>
        </w:rPr>
        <w:t>本合同经双方签字盖章后生效，如甲乙双方签订时所根据的具体政策等客观情况发生重大变化，经双方协商一致，施救费用按时结算后，可终止本合同。</w:t>
      </w:r>
    </w:p>
    <w:p>
      <w:pPr>
        <w:spacing w:line="360" w:lineRule="auto"/>
        <w:ind w:firstLine="422" w:firstLineChars="200"/>
        <w:rPr>
          <w:rFonts w:ascii="宋体" w:hAnsi="宋体" w:cs="宋体"/>
          <w:b/>
          <w:szCs w:val="21"/>
        </w:rPr>
      </w:pPr>
      <w:r>
        <w:rPr>
          <w:rFonts w:hint="eastAsia" w:ascii="宋体" w:hAnsi="宋体" w:cs="宋体"/>
          <w:b/>
          <w:szCs w:val="21"/>
        </w:rPr>
        <w:t>八、其他事项</w:t>
      </w:r>
    </w:p>
    <w:p>
      <w:pPr>
        <w:spacing w:line="360" w:lineRule="auto"/>
        <w:ind w:firstLine="420" w:firstLineChars="200"/>
        <w:rPr>
          <w:rFonts w:ascii="宋体" w:hAnsi="宋体" w:cs="宋体"/>
          <w:b/>
          <w:szCs w:val="21"/>
        </w:rPr>
      </w:pPr>
      <w:r>
        <w:rPr>
          <w:rFonts w:hint="eastAsia" w:ascii="宋体" w:hAnsi="宋体" w:cs="宋体"/>
          <w:szCs w:val="21"/>
        </w:rPr>
        <w:t>（一）本合同未尽事宜，经双方协商一致，可另行订立补充合同，补充合同与本合同具有同等法律效力。补充合同与本合同不一致的，以补充合同为准。</w:t>
      </w:r>
    </w:p>
    <w:p>
      <w:pPr>
        <w:spacing w:line="360" w:lineRule="auto"/>
        <w:ind w:firstLine="420" w:firstLineChars="200"/>
        <w:rPr>
          <w:rFonts w:ascii="宋体" w:hAnsi="宋体" w:cs="宋体"/>
          <w:b/>
          <w:szCs w:val="21"/>
        </w:rPr>
      </w:pPr>
      <w:r>
        <w:rPr>
          <w:rFonts w:hint="eastAsia" w:ascii="宋体" w:hAnsi="宋体" w:cs="宋体"/>
          <w:szCs w:val="21"/>
        </w:rPr>
        <w:t>（二）本合同到期时，同等条件下，乙方享有此拖车服务的优先签约权。</w:t>
      </w:r>
    </w:p>
    <w:p>
      <w:pPr>
        <w:spacing w:line="360" w:lineRule="auto"/>
        <w:ind w:firstLine="420" w:firstLineChars="200"/>
        <w:rPr>
          <w:rFonts w:ascii="宋体" w:hAnsi="宋体" w:cs="宋体"/>
          <w:b/>
          <w:szCs w:val="21"/>
        </w:rPr>
      </w:pPr>
      <w:r>
        <w:rPr>
          <w:rFonts w:hint="eastAsia" w:ascii="宋体" w:hAnsi="宋体" w:cs="宋体"/>
          <w:szCs w:val="21"/>
        </w:rPr>
        <w:t>（三）本合同履行中发生争议，由双方协商解决，协商不成，可向人民法院起诉。</w:t>
      </w:r>
    </w:p>
    <w:p>
      <w:pPr>
        <w:spacing w:line="360" w:lineRule="auto"/>
        <w:ind w:firstLine="420" w:firstLineChars="200"/>
        <w:rPr>
          <w:rFonts w:ascii="宋体" w:hAnsi="宋体" w:cs="宋体"/>
          <w:b/>
          <w:szCs w:val="21"/>
        </w:rPr>
      </w:pPr>
      <w:r>
        <w:rPr>
          <w:rFonts w:hint="eastAsia" w:ascii="宋体" w:hAnsi="宋体" w:cs="宋体"/>
          <w:szCs w:val="21"/>
        </w:rPr>
        <w:t>（四）本合同一式</w:t>
      </w:r>
      <w:r>
        <w:rPr>
          <w:rFonts w:hint="eastAsia" w:ascii="宋体" w:hAnsi="宋体" w:cs="宋体"/>
          <w:szCs w:val="21"/>
          <w:u w:val="single"/>
        </w:rPr>
        <w:t xml:space="preserve">    </w:t>
      </w:r>
      <w:r>
        <w:rPr>
          <w:rFonts w:hint="eastAsia" w:ascii="宋体" w:hAnsi="宋体" w:cs="宋体"/>
          <w:szCs w:val="21"/>
        </w:rPr>
        <w:t>份，甲方执</w:t>
      </w:r>
      <w:r>
        <w:rPr>
          <w:rFonts w:hint="eastAsia" w:ascii="宋体" w:hAnsi="宋体" w:cs="宋体"/>
          <w:szCs w:val="21"/>
          <w:u w:val="single"/>
        </w:rPr>
        <w:t xml:space="preserve">    </w:t>
      </w:r>
      <w:r>
        <w:rPr>
          <w:rFonts w:hint="eastAsia" w:ascii="宋体" w:hAnsi="宋体" w:cs="宋体"/>
          <w:szCs w:val="21"/>
        </w:rPr>
        <w:t>份，乙方执</w:t>
      </w:r>
      <w:r>
        <w:rPr>
          <w:rFonts w:hint="eastAsia" w:ascii="宋体" w:hAnsi="宋体" w:cs="宋体"/>
          <w:szCs w:val="21"/>
          <w:u w:val="single"/>
        </w:rPr>
        <w:t xml:space="preserve">    </w:t>
      </w:r>
      <w:r>
        <w:rPr>
          <w:rFonts w:hint="eastAsia" w:ascii="宋体" w:hAnsi="宋体" w:cs="宋体"/>
          <w:szCs w:val="21"/>
        </w:rPr>
        <w:t>份。</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甲方（公章）：                       乙方（公章）：</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签字：                              签字：</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签订日期：  年  月  日               签订日期： 年  月  日</w:t>
      </w:r>
    </w:p>
    <w:p>
      <w:pPr>
        <w:rPr>
          <w:b/>
          <w:sz w:val="30"/>
          <w:szCs w:val="32"/>
        </w:rPr>
      </w:pPr>
    </w:p>
    <w:p>
      <w:pPr>
        <w:rPr>
          <w:b/>
          <w:sz w:val="30"/>
          <w:szCs w:val="32"/>
        </w:rPr>
      </w:pPr>
      <w:r>
        <w:rPr>
          <w:b/>
          <w:sz w:val="30"/>
          <w:szCs w:val="32"/>
        </w:rPr>
        <w:br w:type="page"/>
      </w:r>
    </w:p>
    <w:p>
      <w:pPr>
        <w:snapToGrid w:val="0"/>
        <w:jc w:val="center"/>
        <w:rPr>
          <w:b/>
          <w:sz w:val="30"/>
          <w:szCs w:val="32"/>
        </w:rPr>
      </w:pPr>
      <w:r>
        <w:rPr>
          <w:b/>
          <w:sz w:val="30"/>
          <w:szCs w:val="32"/>
        </w:rPr>
        <w:t>廉政合同</w:t>
      </w:r>
    </w:p>
    <w:p>
      <w:pPr>
        <w:snapToGrid w:val="0"/>
        <w:jc w:val="center"/>
        <w:rPr>
          <w:sz w:val="28"/>
          <w:szCs w:val="28"/>
        </w:rPr>
      </w:pPr>
    </w:p>
    <w:p>
      <w:pPr>
        <w:spacing w:line="360" w:lineRule="auto"/>
        <w:ind w:firstLine="525" w:firstLineChars="250"/>
      </w:pPr>
      <w:r>
        <w:t>依据《中华人民共和国招</w:t>
      </w:r>
      <w:r>
        <w:rPr>
          <w:rFonts w:hint="eastAsia"/>
        </w:rPr>
        <w:t>标</w:t>
      </w:r>
      <w:r>
        <w:t>投标法》和《中华人民共和国政府采购法》以及有关廉政建设的规定，为做好本项目建设中的党风廉政建设，保证项目建设高效优质，保证建设资金的安全和有效使用以及投资效益，（以下称甲方）和（以下称乙方），特订立如下合同。</w:t>
      </w:r>
    </w:p>
    <w:p>
      <w:pPr>
        <w:spacing w:line="360" w:lineRule="auto"/>
        <w:ind w:firstLine="525" w:firstLineChars="250"/>
      </w:pPr>
      <w:r>
        <w:t>第一条甲乙双方的权利和义务</w:t>
      </w:r>
    </w:p>
    <w:p>
      <w:pPr>
        <w:spacing w:line="360" w:lineRule="auto"/>
        <w:ind w:firstLine="525" w:firstLineChars="250"/>
      </w:pPr>
      <w:r>
        <w:t>（一）严格遵守党和国家、省市有关法律法规及行业的有关规定。</w:t>
      </w:r>
    </w:p>
    <w:p>
      <w:pPr>
        <w:spacing w:line="360" w:lineRule="auto"/>
        <w:ind w:firstLine="525" w:firstLineChars="250"/>
      </w:pPr>
      <w:r>
        <w:t>（二）严格执行的合同文件，自觉按合同办事。</w:t>
      </w:r>
    </w:p>
    <w:p>
      <w:pPr>
        <w:spacing w:line="360" w:lineRule="auto"/>
        <w:ind w:firstLine="525" w:firstLineChars="250"/>
      </w:pPr>
      <w:r>
        <w:t>（三）双方的业务活动坚持公开、公正、诚信、透明的原则（除法律认定的商业秘密和合同文件另有规定之外），不得损害国家和集体利益，违反工程建设管理规章制度。</w:t>
      </w:r>
    </w:p>
    <w:p>
      <w:pPr>
        <w:spacing w:line="360" w:lineRule="auto"/>
        <w:ind w:firstLine="525" w:firstLineChars="250"/>
      </w:pPr>
      <w:r>
        <w:t>（四）建立健全廉政制度，开展廉政教育，公布举报电话，监督并认真查处违法违纪行为。</w:t>
      </w:r>
    </w:p>
    <w:p>
      <w:pPr>
        <w:spacing w:line="360" w:lineRule="auto"/>
        <w:ind w:firstLine="525" w:firstLineChars="250"/>
      </w:pPr>
      <w:r>
        <w:t>（五）发现对方在业务活动中有违反廉政规定的行为，有及时提醒对方纠正的权利和义务。</w:t>
      </w:r>
    </w:p>
    <w:p>
      <w:pPr>
        <w:spacing w:line="360" w:lineRule="auto"/>
        <w:ind w:firstLine="525" w:firstLineChars="250"/>
      </w:pPr>
      <w:r>
        <w:t>（六）发现对严重违反本合同义务条款的行为，有向其上级有关部门举报、建议给予处理并要求告知处理结果的权利。</w:t>
      </w:r>
    </w:p>
    <w:p>
      <w:pPr>
        <w:spacing w:line="360" w:lineRule="auto"/>
        <w:ind w:firstLine="525" w:firstLineChars="250"/>
      </w:pPr>
      <w:r>
        <w:t>第二条甲方的义务</w:t>
      </w:r>
    </w:p>
    <w:p>
      <w:pPr>
        <w:spacing w:line="360" w:lineRule="auto"/>
        <w:ind w:firstLine="525" w:firstLineChars="250"/>
      </w:pPr>
      <w:r>
        <w:t>（一）甲方及其工作人员不得索要或接受乙方的礼金、有价证券和贵重物品，不得在乙方报销任何应由甲方或个人支付的费用等。</w:t>
      </w:r>
    </w:p>
    <w:p>
      <w:pPr>
        <w:spacing w:line="360" w:lineRule="auto"/>
        <w:ind w:firstLine="525" w:firstLineChars="250"/>
      </w:pPr>
      <w:r>
        <w:t>（二）甲方工作人员不得参加乙方安排的超标准宴请和娱乐活动；不得接受乙方提供的通讯工具、交通工具和高档办公用品等。</w:t>
      </w:r>
    </w:p>
    <w:p>
      <w:pPr>
        <w:spacing w:line="360" w:lineRule="auto"/>
        <w:ind w:firstLine="525" w:firstLineChars="250"/>
      </w:pPr>
      <w:r>
        <w:t>（三）甲方及其工作人员不得要求或者接受乙方为其房装修、婚丧嫁娶活动、配偶子女的工作安排以及出国出境、旅游等提供方便等。</w:t>
      </w:r>
    </w:p>
    <w:p>
      <w:pPr>
        <w:spacing w:line="360" w:lineRule="auto"/>
        <w:ind w:firstLine="525" w:firstLineChars="250"/>
      </w:pPr>
      <w:r>
        <w:t>（四）甲方工作人员的配偶、子女不得从事与甲方工程有关的材料设备供应、工程分包、劳务等经济活动等。</w:t>
      </w:r>
    </w:p>
    <w:p>
      <w:pPr>
        <w:spacing w:line="360" w:lineRule="auto"/>
        <w:ind w:firstLine="525" w:firstLineChars="250"/>
      </w:pPr>
      <w:r>
        <w:t>（五）甲方及其工作人员不得以任何理由向乙方推荐分包单位，不得要求乙方购买合同规定外的材料和设备。</w:t>
      </w:r>
    </w:p>
    <w:p>
      <w:pPr>
        <w:spacing w:line="360" w:lineRule="auto"/>
        <w:ind w:firstLine="525" w:firstLineChars="250"/>
      </w:pPr>
      <w:r>
        <w:t>第三条乙方义务</w:t>
      </w:r>
    </w:p>
    <w:p>
      <w:pPr>
        <w:spacing w:line="360" w:lineRule="auto"/>
        <w:ind w:firstLine="525" w:firstLineChars="250"/>
      </w:pPr>
      <w:r>
        <w:t>（一）乙方不得以任何理由向甲方及其工作人员行贿或馈赠礼金、有价证券、贵重礼品。</w:t>
      </w:r>
    </w:p>
    <w:p>
      <w:pPr>
        <w:spacing w:line="360" w:lineRule="auto"/>
        <w:ind w:firstLine="525" w:firstLineChars="250"/>
      </w:pPr>
      <w:r>
        <w:t>（二）乙方不得以任何名义向甲方及其工作人员报销应由甲方单位或个人支付的任何费用。</w:t>
      </w:r>
    </w:p>
    <w:p>
      <w:pPr>
        <w:spacing w:line="360" w:lineRule="auto"/>
        <w:ind w:firstLine="525" w:firstLineChars="250"/>
      </w:pPr>
      <w:r>
        <w:t>（三）乙方不得以任何理由安排甲方工作人员参加超标准宴请及娱乐活动。</w:t>
      </w:r>
    </w:p>
    <w:p>
      <w:pPr>
        <w:spacing w:line="360" w:lineRule="auto"/>
        <w:ind w:firstLine="525" w:firstLineChars="250"/>
      </w:pPr>
      <w:r>
        <w:t>（四）乙方不得为甲方单位和个人购置或提供通讯工具、交通工具和高档办公用品等。</w:t>
      </w:r>
    </w:p>
    <w:p>
      <w:pPr>
        <w:spacing w:line="360" w:lineRule="auto"/>
        <w:ind w:firstLine="525" w:firstLineChars="250"/>
      </w:pPr>
      <w:r>
        <w:t>第四条违约责任</w:t>
      </w:r>
    </w:p>
    <w:p>
      <w:pPr>
        <w:spacing w:line="360" w:lineRule="auto"/>
        <w:ind w:firstLine="525" w:firstLineChars="250"/>
      </w:pPr>
      <w:r>
        <w:t>（一）甲方及其工作人员违反本合同第一、二条，按管理权限，依据有关规定给予党纪、政纪或组织处理；涉嫌犯罪的，移交司法机关追究刑事责任；给乙方单位造成经济损失的，应予以赔偿。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525" w:firstLineChars="250"/>
      </w:pPr>
      <w:r>
        <w:t>（二）乙方及其工作人员违反本合同第一、三条，按管理权限，依据有关规定给予党纪、政纪或组织处理；给甲方单位造成经济损失的，应予以赔偿；情节严重的，甲方建议行业主管部门给予乙方一至三年内不得进入其主管行业的处罚。</w:t>
      </w:r>
    </w:p>
    <w:p>
      <w:pPr>
        <w:spacing w:line="360" w:lineRule="auto"/>
        <w:ind w:firstLine="525" w:firstLineChars="250"/>
      </w:pPr>
      <w:r>
        <w:t>第五条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360" w:lineRule="auto"/>
        <w:ind w:firstLine="525" w:firstLineChars="250"/>
      </w:pPr>
      <w:r>
        <w:t>第六条本合同有效期为甲乙双方签署之日起至该项目服务期满止。</w:t>
      </w:r>
    </w:p>
    <w:p>
      <w:pPr>
        <w:spacing w:line="360" w:lineRule="auto"/>
        <w:ind w:firstLine="525" w:firstLineChars="250"/>
      </w:pPr>
      <w:r>
        <w:t>第七条本合同甲、乙双方各执一份，送交双方监督单位一份。</w:t>
      </w:r>
    </w:p>
    <w:p>
      <w:pPr>
        <w:spacing w:line="360" w:lineRule="auto"/>
        <w:ind w:firstLine="525" w:firstLineChars="250"/>
      </w:pPr>
    </w:p>
    <w:p>
      <w:pPr>
        <w:spacing w:line="360" w:lineRule="auto"/>
        <w:ind w:firstLine="525" w:firstLineChars="250"/>
      </w:pPr>
    </w:p>
    <w:p>
      <w:pPr>
        <w:tabs>
          <w:tab w:val="left" w:pos="5106"/>
        </w:tabs>
        <w:spacing w:line="360" w:lineRule="auto"/>
        <w:ind w:firstLine="525" w:firstLineChars="250"/>
        <w:jc w:val="left"/>
      </w:pPr>
      <w:r>
        <w:t>甲方单位：（盖章）</w:t>
      </w:r>
      <w:r>
        <w:tab/>
      </w:r>
      <w:r>
        <w:t>乙方单位：（盖章）</w:t>
      </w:r>
    </w:p>
    <w:p>
      <w:pPr>
        <w:tabs>
          <w:tab w:val="left" w:pos="5106"/>
        </w:tabs>
        <w:spacing w:line="360" w:lineRule="auto"/>
        <w:ind w:firstLine="525" w:firstLineChars="250"/>
        <w:jc w:val="left"/>
      </w:pPr>
    </w:p>
    <w:p>
      <w:pPr>
        <w:tabs>
          <w:tab w:val="left" w:pos="5106"/>
        </w:tabs>
        <w:spacing w:line="360" w:lineRule="auto"/>
        <w:ind w:firstLine="525" w:firstLineChars="250"/>
        <w:jc w:val="left"/>
      </w:pPr>
      <w:r>
        <w:t>法定代表人：</w:t>
      </w:r>
      <w:r>
        <w:tab/>
      </w:r>
      <w:r>
        <w:t>法定代表人：</w:t>
      </w:r>
      <w:r>
        <w:tab/>
      </w:r>
    </w:p>
    <w:p>
      <w:pPr>
        <w:tabs>
          <w:tab w:val="left" w:pos="5106"/>
        </w:tabs>
        <w:spacing w:line="360" w:lineRule="auto"/>
        <w:ind w:firstLine="525" w:firstLineChars="250"/>
        <w:jc w:val="left"/>
      </w:pPr>
    </w:p>
    <w:p>
      <w:pPr>
        <w:widowControl/>
        <w:ind w:firstLine="945" w:firstLineChars="450"/>
        <w:jc w:val="left"/>
      </w:pPr>
      <w:r>
        <w:t>年</w:t>
      </w:r>
      <w:r>
        <w:rPr>
          <w:rFonts w:hint="eastAsia"/>
          <w:lang w:val="en-US" w:eastAsia="zh-CN"/>
        </w:rPr>
        <w:t xml:space="preserve">   </w:t>
      </w:r>
      <w:r>
        <w:t>月</w:t>
      </w:r>
      <w:r>
        <w:rPr>
          <w:rFonts w:hint="eastAsia"/>
          <w:lang w:val="en-US" w:eastAsia="zh-CN"/>
        </w:rPr>
        <w:t xml:space="preserve">    </w:t>
      </w:r>
      <w:r>
        <w:t>日</w:t>
      </w:r>
      <w:r>
        <w:tab/>
      </w:r>
      <w:r>
        <w:rPr>
          <w:rFonts w:hint="eastAsia"/>
        </w:rPr>
        <w:t xml:space="preserve">             </w:t>
      </w:r>
      <w:r>
        <w:rPr>
          <w:rFonts w:hint="eastAsia"/>
          <w:lang w:val="en-US" w:eastAsia="zh-CN"/>
        </w:rPr>
        <w:t xml:space="preserve">      </w:t>
      </w:r>
      <w:r>
        <w:rPr>
          <w:rFonts w:hint="eastAsia"/>
        </w:rPr>
        <w:t xml:space="preserve">              </w:t>
      </w:r>
      <w:r>
        <w:t>年</w:t>
      </w:r>
      <w:r>
        <w:rPr>
          <w:rFonts w:hint="eastAsia"/>
        </w:rPr>
        <w:t xml:space="preserve">    </w:t>
      </w:r>
      <w:r>
        <w:t>月</w:t>
      </w:r>
      <w:r>
        <w:rPr>
          <w:rFonts w:hint="eastAsia"/>
        </w:rPr>
        <w:t xml:space="preserve">   </w:t>
      </w:r>
      <w:r>
        <w:t>日</w:t>
      </w:r>
    </w:p>
    <w:p>
      <w:pPr>
        <w:spacing w:before="120" w:beforeLines="50" w:after="120" w:afterLines="50" w:line="360" w:lineRule="auto"/>
        <w:rPr>
          <w:spacing w:val="-4"/>
          <w:kern w:val="0"/>
          <w:sz w:val="24"/>
          <w:szCs w:val="21"/>
        </w:rPr>
      </w:pPr>
    </w:p>
    <w:p/>
    <w:p>
      <w:pPr>
        <w:widowControl/>
        <w:ind w:firstLine="945" w:firstLineChars="450"/>
        <w:jc w:val="left"/>
      </w:pPr>
    </w:p>
    <w:p>
      <w:pPr>
        <w:spacing w:line="380" w:lineRule="exact"/>
        <w:ind w:left="360"/>
        <w:rPr>
          <w:rFonts w:ascii="宋体" w:hAnsi="宋体"/>
          <w:szCs w:val="21"/>
        </w:rPr>
      </w:pPr>
    </w:p>
    <w:p>
      <w:pPr>
        <w:widowControl/>
        <w:spacing w:line="360" w:lineRule="auto"/>
        <w:jc w:val="left"/>
        <w:rPr>
          <w:rFonts w:ascii="宋体" w:hAnsi="宋体" w:cs="宋体"/>
          <w:spacing w:val="-4"/>
          <w:kern w:val="0"/>
          <w:szCs w:val="21"/>
        </w:rPr>
      </w:pPr>
    </w:p>
    <w:p>
      <w:pPr>
        <w:rPr>
          <w:rFonts w:ascii="宋体" w:hAnsi="宋体" w:cs="宋体"/>
          <w:sz w:val="30"/>
        </w:rPr>
      </w:pPr>
      <w:r>
        <w:rPr>
          <w:rFonts w:ascii="宋体" w:hAnsi="宋体" w:cs="宋体"/>
          <w:sz w:val="30"/>
        </w:rPr>
        <w:br w:type="page"/>
      </w:r>
    </w:p>
    <w:p>
      <w:pPr>
        <w:pStyle w:val="19"/>
        <w:snapToGrid w:val="0"/>
        <w:spacing w:before="120" w:after="120" w:line="360" w:lineRule="auto"/>
        <w:jc w:val="center"/>
        <w:rPr>
          <w:rFonts w:ascii="Tahoma" w:hAnsi="Tahoma" w:cs="Tahoma"/>
          <w:color w:val="000000"/>
        </w:rPr>
      </w:pPr>
      <w:r>
        <w:rPr>
          <w:rFonts w:hint="eastAsia" w:hAnsi="宋体"/>
          <w:b/>
          <w:bCs/>
          <w:kern w:val="44"/>
          <w:sz w:val="32"/>
          <w:szCs w:val="32"/>
        </w:rPr>
        <w:t>关于调整车辆救援服务收费标准的复函</w:t>
      </w:r>
    </w:p>
    <w:p>
      <w:pPr>
        <w:widowControl/>
        <w:spacing w:line="360" w:lineRule="auto"/>
        <w:jc w:val="center"/>
        <w:rPr>
          <w:rFonts w:ascii="Tahoma" w:hAnsi="Tahoma" w:cs="Tahoma"/>
          <w:color w:val="000000"/>
          <w:kern w:val="0"/>
          <w:sz w:val="24"/>
        </w:rPr>
      </w:pPr>
      <w:r>
        <w:rPr>
          <w:rFonts w:ascii="Tahoma" w:hAnsi="Tahoma" w:cs="Tahoma"/>
          <w:color w:val="000000"/>
          <w:kern w:val="0"/>
          <w:sz w:val="24"/>
        </w:rPr>
        <w:t> 甬价费〔2012〕104号</w:t>
      </w:r>
    </w:p>
    <w:p>
      <w:pPr>
        <w:widowControl/>
        <w:spacing w:line="360" w:lineRule="auto"/>
        <w:jc w:val="left"/>
        <w:rPr>
          <w:rFonts w:ascii="Tahoma" w:hAnsi="Tahoma" w:cs="Tahoma"/>
          <w:color w:val="000000"/>
          <w:kern w:val="0"/>
          <w:sz w:val="24"/>
        </w:rPr>
      </w:pP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宁波公运车辆急救有限公司：</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你公司《关于调整车辆施救服务费标准的请示》（甬车辆急救〔2012〕16号）收悉。根据企业运行成本情况，经研究决定适当调整车辆救援服务收费标准，具体复函如下：</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一、调整后的车辆救援服务收费标准见附件。</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二、救援车辆到达现场因故而未实施救援服务的，其服务费按规定标准减半收取。</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三、车辆救援服务费已包含10公里调车里程。对被救援车辆拖至指定地点距离超过10公里的，可收取拖车作业费，收费标准为：20座（含）以下客车和2吨（含）以下货车每车公里5元；20座以上至39座（含）以下客车和2吨以上至10吨以下货车每车公里10元；40座（含）以上客车和10吨（含）以上货车每车每公里15元。</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四、被救援车辆装载的货物需要过驳于其他运输车辆的，其装卸费另行加收，收费标准由双方协商确定。</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五、过路、过桥（隧道）通行费由被救援方承担。</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六、高速公路上的车辆救援服务收费按省物价局有关规定执行。</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七、在进行车辆救援服务时应事先将救援服务有关收费标准等事项告知当事人。</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本复函自2012年11月1日起执行，市物价局《关于适当调整车辆施救服务费标准的复函》（甬价费〔2006〕141号）同时废止。</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xml:space="preserve">                                                                                                       宁波市物价局     </w:t>
      </w:r>
    </w:p>
    <w:p>
      <w:pPr>
        <w:widowControl/>
        <w:spacing w:line="360" w:lineRule="auto"/>
        <w:ind w:firstLine="4620" w:firstLineChars="2200"/>
        <w:jc w:val="left"/>
        <w:rPr>
          <w:rFonts w:ascii="宋体" w:hAnsi="宋体" w:cs="宋体"/>
          <w:color w:val="000000"/>
          <w:kern w:val="0"/>
          <w:sz w:val="24"/>
        </w:rPr>
      </w:pPr>
      <w:r>
        <w:rPr>
          <w:rFonts w:hint="eastAsia" w:ascii="宋体" w:hAnsi="宋体" w:cs="宋体"/>
          <w:color w:val="000000"/>
          <w:kern w:val="0"/>
          <w:szCs w:val="21"/>
        </w:rPr>
        <w:t>2012年10月18日</w:t>
      </w: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 w:val="24"/>
        </w:rPr>
      </w:pP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br w:type="page"/>
      </w:r>
      <w:r>
        <w:rPr>
          <w:rFonts w:hint="eastAsia" w:ascii="宋体" w:hAnsi="宋体" w:cs="宋体"/>
          <w:color w:val="000000"/>
          <w:kern w:val="0"/>
          <w:szCs w:val="21"/>
        </w:rPr>
        <w:t>附件          </w:t>
      </w:r>
    </w:p>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车辆救援服务收费标准</w:t>
      </w:r>
    </w:p>
    <w:tbl>
      <w:tblPr>
        <w:tblStyle w:val="3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453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40" w:type="dxa"/>
            <w:gridSpan w:val="2"/>
            <w:vAlign w:val="center"/>
          </w:tcPr>
          <w:p>
            <w:pPr>
              <w:widowControl/>
              <w:spacing w:line="360" w:lineRule="auto"/>
              <w:jc w:val="center"/>
              <w:rPr>
                <w:rFonts w:ascii="宋体" w:hAnsi="宋体" w:cs="宋体"/>
                <w:color w:val="2E2E2E"/>
                <w:kern w:val="0"/>
                <w:szCs w:val="21"/>
              </w:rPr>
            </w:pPr>
            <w:r>
              <w:rPr>
                <w:rFonts w:hint="eastAsia" w:ascii="宋体" w:hAnsi="宋体" w:cs="宋体"/>
                <w:b/>
                <w:bCs/>
                <w:color w:val="2E2E2E"/>
                <w:kern w:val="0"/>
                <w:szCs w:val="21"/>
              </w:rPr>
              <w:t>项   目</w:t>
            </w:r>
          </w:p>
        </w:tc>
        <w:tc>
          <w:tcPr>
            <w:tcW w:w="2910" w:type="dxa"/>
            <w:vAlign w:val="center"/>
          </w:tcPr>
          <w:p>
            <w:pPr>
              <w:widowControl/>
              <w:spacing w:line="360" w:lineRule="auto"/>
              <w:jc w:val="left"/>
              <w:rPr>
                <w:rFonts w:ascii="宋体" w:hAnsi="宋体" w:cs="宋体"/>
                <w:color w:val="2E2E2E"/>
                <w:kern w:val="0"/>
                <w:szCs w:val="21"/>
              </w:rPr>
            </w:pPr>
            <w:r>
              <w:rPr>
                <w:rFonts w:hint="eastAsia" w:ascii="宋体" w:hAnsi="宋体" w:cs="宋体"/>
                <w:b/>
                <w:bCs/>
                <w:color w:val="2E2E2E"/>
                <w:kern w:val="0"/>
                <w:szCs w:val="21"/>
              </w:rPr>
              <w:t>收费标准（元/车次）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restart"/>
            <w:vAlign w:val="center"/>
          </w:tcPr>
          <w:p>
            <w:pPr>
              <w:widowControl/>
              <w:spacing w:line="360" w:lineRule="auto"/>
              <w:jc w:val="center"/>
              <w:rPr>
                <w:rFonts w:ascii="宋体" w:hAnsi="宋体" w:cs="宋体"/>
                <w:color w:val="2E2E2E"/>
                <w:kern w:val="0"/>
                <w:szCs w:val="21"/>
              </w:rPr>
            </w:pPr>
          </w:p>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拖</w:t>
            </w:r>
          </w:p>
          <w:p>
            <w:pPr>
              <w:widowControl/>
              <w:spacing w:line="360" w:lineRule="auto"/>
              <w:jc w:val="center"/>
              <w:rPr>
                <w:rFonts w:ascii="宋体" w:hAnsi="宋体" w:cs="宋体"/>
                <w:color w:val="2E2E2E"/>
                <w:kern w:val="0"/>
                <w:szCs w:val="21"/>
              </w:rPr>
            </w:pPr>
          </w:p>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车</w:t>
            </w: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电动自行车</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continue"/>
            <w:vAlign w:val="center"/>
          </w:tcPr>
          <w:p>
            <w:pPr>
              <w:widowControl/>
              <w:spacing w:line="360" w:lineRule="auto"/>
              <w:jc w:val="center"/>
              <w:rPr>
                <w:rFonts w:ascii="宋体" w:hAnsi="宋体" w:cs="宋体"/>
                <w:color w:val="2E2E2E"/>
                <w:kern w:val="0"/>
                <w:szCs w:val="21"/>
              </w:rPr>
            </w:pP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二、三轮机动车</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continue"/>
            <w:vAlign w:val="center"/>
          </w:tcPr>
          <w:p>
            <w:pPr>
              <w:widowControl/>
              <w:spacing w:line="360" w:lineRule="auto"/>
              <w:jc w:val="center"/>
              <w:rPr>
                <w:rFonts w:ascii="宋体" w:hAnsi="宋体" w:cs="宋体"/>
                <w:color w:val="2E2E2E"/>
                <w:kern w:val="0"/>
                <w:szCs w:val="21"/>
              </w:rPr>
            </w:pP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拖拉机</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continue"/>
            <w:vAlign w:val="center"/>
          </w:tcPr>
          <w:p>
            <w:pPr>
              <w:widowControl/>
              <w:spacing w:line="360" w:lineRule="auto"/>
              <w:jc w:val="center"/>
              <w:rPr>
                <w:rFonts w:ascii="宋体" w:hAnsi="宋体" w:cs="宋体"/>
                <w:color w:val="2E2E2E"/>
                <w:kern w:val="0"/>
                <w:szCs w:val="21"/>
              </w:rPr>
            </w:pP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20座（含）以下客车和2吨（含）以下货车</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continue"/>
            <w:vAlign w:val="center"/>
          </w:tcPr>
          <w:p>
            <w:pPr>
              <w:widowControl/>
              <w:spacing w:line="360" w:lineRule="auto"/>
              <w:jc w:val="center"/>
              <w:rPr>
                <w:rFonts w:ascii="宋体" w:hAnsi="宋体" w:cs="宋体"/>
                <w:color w:val="2E2E2E"/>
                <w:kern w:val="0"/>
                <w:szCs w:val="21"/>
              </w:rPr>
            </w:pP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20座以上至39座（含）以下客车和2吨以上至10吨以下货车</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continue"/>
            <w:vAlign w:val="center"/>
          </w:tcPr>
          <w:p>
            <w:pPr>
              <w:widowControl/>
              <w:spacing w:line="360" w:lineRule="auto"/>
              <w:jc w:val="center"/>
              <w:rPr>
                <w:rFonts w:ascii="宋体" w:hAnsi="宋体" w:cs="宋体"/>
                <w:color w:val="2E2E2E"/>
                <w:kern w:val="0"/>
                <w:szCs w:val="21"/>
              </w:rPr>
            </w:pP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40座（含）以上客车和10吨（含）以上货车</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restart"/>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吊</w:t>
            </w:r>
          </w:p>
          <w:p>
            <w:pPr>
              <w:widowControl/>
              <w:spacing w:line="360" w:lineRule="auto"/>
              <w:jc w:val="center"/>
              <w:rPr>
                <w:rFonts w:ascii="宋体" w:hAnsi="宋体" w:cs="宋体"/>
                <w:color w:val="2E2E2E"/>
                <w:kern w:val="0"/>
                <w:szCs w:val="21"/>
              </w:rPr>
            </w:pPr>
          </w:p>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车</w:t>
            </w: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20座（含）以下客车和2吨（含）以下货车</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continue"/>
            <w:vAlign w:val="center"/>
          </w:tcPr>
          <w:p>
            <w:pPr>
              <w:widowControl/>
              <w:spacing w:line="360" w:lineRule="auto"/>
              <w:jc w:val="center"/>
              <w:rPr>
                <w:rFonts w:ascii="宋体" w:hAnsi="宋体" w:cs="宋体"/>
                <w:color w:val="2E2E2E"/>
                <w:kern w:val="0"/>
                <w:szCs w:val="21"/>
              </w:rPr>
            </w:pP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20座以上至39座（含）以下客车和2吨以上至10吨以下货车</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10" w:type="dxa"/>
            <w:vMerge w:val="continue"/>
            <w:vAlign w:val="center"/>
          </w:tcPr>
          <w:p>
            <w:pPr>
              <w:widowControl/>
              <w:spacing w:line="360" w:lineRule="auto"/>
              <w:jc w:val="center"/>
              <w:rPr>
                <w:rFonts w:ascii="宋体" w:hAnsi="宋体" w:cs="宋体"/>
                <w:color w:val="2E2E2E"/>
                <w:kern w:val="0"/>
                <w:szCs w:val="21"/>
              </w:rPr>
            </w:pPr>
          </w:p>
        </w:tc>
        <w:tc>
          <w:tcPr>
            <w:tcW w:w="453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40座（含）以上客车和10吨（含）以上货车</w:t>
            </w:r>
          </w:p>
        </w:tc>
        <w:tc>
          <w:tcPr>
            <w:tcW w:w="2910" w:type="dxa"/>
            <w:vAlign w:val="center"/>
          </w:tcPr>
          <w:p>
            <w:pPr>
              <w:widowControl/>
              <w:spacing w:line="360" w:lineRule="auto"/>
              <w:jc w:val="center"/>
              <w:rPr>
                <w:rFonts w:ascii="宋体" w:hAnsi="宋体" w:cs="宋体"/>
                <w:color w:val="2E2E2E"/>
                <w:kern w:val="0"/>
                <w:szCs w:val="21"/>
              </w:rPr>
            </w:pPr>
            <w:r>
              <w:rPr>
                <w:rFonts w:hint="eastAsia" w:ascii="宋体" w:hAnsi="宋体" w:cs="宋体"/>
                <w:color w:val="2E2E2E"/>
                <w:kern w:val="0"/>
                <w:szCs w:val="21"/>
              </w:rPr>
              <w:t>1300</w:t>
            </w:r>
          </w:p>
        </w:tc>
      </w:tr>
    </w:tbl>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注：1、对电动自行车、二、三轮机动车和拖拉机等进行救援服务的，只收取拖车服务费，不再加收其他费用。</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2、对装运国家规定的易燃易爆及危险物品的车辆进行救援的，其服务费按不同车型收费标准加收10%。</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3、夜间（晚上8：00至次晨6：00，以车辆救援起始时间为准）急救允许按不同车型收费标准上浮20%。</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4、深度在5米以上（不含5米）的吊车作业按不同车型收费标准加收20%。</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5、对事故车辆需动用2台吊车同时作业的，按不同车型收费标准同时收费。</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6、车辆救援需动用25吨及以上吊车的，其服务费由双方协商确定。</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 </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抄送：省物价局，市公安局，市交通委，市物价监督检查局，海曙区、江东区、江北区发展改革局，六区二岛经济发展局。</w:t>
      </w:r>
    </w:p>
    <w:p>
      <w:pPr>
        <w:widowControl/>
        <w:spacing w:line="360" w:lineRule="auto"/>
        <w:ind w:firstLine="5460" w:firstLineChars="2600"/>
        <w:jc w:val="left"/>
        <w:rPr>
          <w:rFonts w:ascii="宋体" w:hAnsi="宋体" w:cs="宋体"/>
          <w:color w:val="000000"/>
          <w:kern w:val="0"/>
          <w:szCs w:val="21"/>
        </w:rPr>
      </w:pPr>
      <w:r>
        <w:rPr>
          <w:rFonts w:hint="eastAsia" w:ascii="宋体" w:hAnsi="宋体" w:cs="宋体"/>
          <w:color w:val="000000"/>
          <w:kern w:val="0"/>
          <w:szCs w:val="21"/>
        </w:rPr>
        <w:t xml:space="preserve">宁波市物价局办公室  </w:t>
      </w:r>
    </w:p>
    <w:p>
      <w:pPr>
        <w:pStyle w:val="2"/>
        <w:ind w:firstLine="5460" w:firstLineChars="2600"/>
        <w:sectPr>
          <w:headerReference r:id="rId6" w:type="default"/>
          <w:footerReference r:id="rId7" w:type="default"/>
          <w:pgSz w:w="11907" w:h="16840"/>
          <w:pgMar w:top="1361" w:right="1474" w:bottom="1242" w:left="1474" w:header="720" w:footer="720" w:gutter="0"/>
          <w:cols w:space="720" w:num="1"/>
          <w:docGrid w:linePitch="285" w:charSpace="0"/>
        </w:sectPr>
      </w:pPr>
      <w:r>
        <w:rPr>
          <w:rFonts w:hint="eastAsia" w:ascii="宋体" w:hAnsi="宋体" w:cs="宋体"/>
          <w:color w:val="000000"/>
          <w:kern w:val="0"/>
          <w:szCs w:val="21"/>
        </w:rPr>
        <w:t>2012年10月18日印发</w:t>
      </w:r>
      <w:r>
        <w:rPr>
          <w:rFonts w:hint="eastAsia" w:ascii="宋体" w:hAnsi="宋体" w:cs="宋体"/>
          <w:szCs w:val="21"/>
        </w:rPr>
        <w:br w:type="page"/>
      </w:r>
    </w:p>
    <w:p>
      <w:pPr>
        <w:pStyle w:val="3"/>
        <w:spacing w:before="0" w:after="0" w:line="360" w:lineRule="auto"/>
        <w:jc w:val="center"/>
        <w:rPr>
          <w:rFonts w:ascii="宋体" w:hAnsi="宋体" w:cs="宋体"/>
          <w:b w:val="0"/>
          <w:bCs w:val="0"/>
          <w:sz w:val="28"/>
          <w:szCs w:val="28"/>
        </w:rPr>
      </w:pPr>
      <w:r>
        <w:rPr>
          <w:rFonts w:hint="eastAsia" w:ascii="宋体" w:hAnsi="宋体" w:cs="宋体"/>
          <w:sz w:val="30"/>
        </w:rPr>
        <w:t>第六章　投标文件格式</w:t>
      </w:r>
      <w:bookmarkEnd w:id="168"/>
      <w:bookmarkEnd w:id="170"/>
    </w:p>
    <w:p>
      <w:pPr>
        <w:adjustRightInd w:val="0"/>
        <w:snapToGrid w:val="0"/>
        <w:jc w:val="left"/>
        <w:rPr>
          <w:rFonts w:ascii="宋体" w:hAnsi="宋体" w:cs="宋体"/>
          <w:b/>
        </w:rPr>
      </w:pPr>
      <w:bookmarkStart w:id="171" w:name="_Toc460857946"/>
    </w:p>
    <w:p>
      <w:pPr>
        <w:snapToGrid w:val="0"/>
        <w:spacing w:before="120" w:beforeLines="50" w:after="50"/>
        <w:rPr>
          <w:rFonts w:ascii="宋体"/>
          <w:b/>
          <w:szCs w:val="21"/>
        </w:rPr>
      </w:pPr>
      <w:r>
        <w:rPr>
          <w:rFonts w:hint="eastAsia" w:ascii="宋体"/>
          <w:b/>
          <w:szCs w:val="21"/>
        </w:rPr>
        <w:t>电子备份投标文件的外包装封面格式（可选用）：</w:t>
      </w:r>
    </w:p>
    <w:p>
      <w:pPr>
        <w:snapToGrid w:val="0"/>
        <w:spacing w:before="120" w:beforeLines="50" w:after="50"/>
        <w:rPr>
          <w:rFonts w:ascii="宋体"/>
          <w:b/>
          <w:szCs w:val="21"/>
        </w:rPr>
      </w:pPr>
    </w:p>
    <w:p>
      <w:pPr>
        <w:snapToGrid w:val="0"/>
        <w:spacing w:before="120" w:beforeLines="50" w:after="50"/>
        <w:rPr>
          <w:rFonts w:ascii="宋体"/>
          <w:b/>
          <w:bCs/>
          <w:szCs w:val="21"/>
        </w:rPr>
      </w:pPr>
      <w:r>
        <w:rPr>
          <w:rFonts w:hint="eastAsia" w:ascii="宋体"/>
          <w:b/>
          <w:bCs/>
          <w:szCs w:val="21"/>
        </w:rPr>
        <w:t>外包装格式：</w:t>
      </w:r>
    </w:p>
    <w:p>
      <w:pPr>
        <w:snapToGrid w:val="0"/>
        <w:spacing w:before="120" w:beforeLines="50" w:after="50"/>
        <w:jc w:val="center"/>
        <w:rPr>
          <w:rFonts w:ascii="宋体"/>
          <w:bCs/>
          <w:szCs w:val="21"/>
        </w:rPr>
      </w:pPr>
      <w:r>
        <w:rPr>
          <w:rFonts w:hint="eastAsia" w:ascii="宋体"/>
          <w:bCs/>
          <w:szCs w:val="21"/>
        </w:rPr>
        <w:t>电子备份投标文件</w:t>
      </w:r>
    </w:p>
    <w:p>
      <w:pPr>
        <w:snapToGrid w:val="0"/>
        <w:spacing w:before="120" w:beforeLines="50" w:after="50"/>
        <w:ind w:firstLine="945" w:firstLineChars="450"/>
        <w:rPr>
          <w:rFonts w:ascii="宋体"/>
          <w:bCs/>
          <w:szCs w:val="21"/>
        </w:rPr>
      </w:pPr>
    </w:p>
    <w:p>
      <w:pPr>
        <w:snapToGrid w:val="0"/>
        <w:spacing w:before="120" w:beforeLines="50" w:after="50"/>
        <w:ind w:firstLine="945" w:firstLineChars="450"/>
        <w:rPr>
          <w:rFonts w:ascii="宋体"/>
          <w:bCs/>
          <w:szCs w:val="21"/>
        </w:rPr>
      </w:pPr>
      <w:r>
        <w:rPr>
          <w:rFonts w:hint="eastAsia" w:ascii="宋体"/>
          <w:bCs/>
          <w:szCs w:val="21"/>
        </w:rPr>
        <w:t xml:space="preserve">项目名称： </w:t>
      </w:r>
    </w:p>
    <w:p>
      <w:pPr>
        <w:snapToGrid w:val="0"/>
        <w:spacing w:before="120" w:beforeLines="50" w:after="50"/>
        <w:ind w:firstLine="420" w:firstLineChars="200"/>
        <w:rPr>
          <w:rFonts w:ascii="宋体"/>
          <w:bCs/>
          <w:szCs w:val="21"/>
        </w:rPr>
      </w:pPr>
      <w:r>
        <w:rPr>
          <w:rFonts w:hint="eastAsia" w:ascii="宋体"/>
          <w:bCs/>
          <w:szCs w:val="21"/>
        </w:rPr>
        <w:t xml:space="preserve">     项目编号： </w:t>
      </w:r>
    </w:p>
    <w:p>
      <w:pPr>
        <w:snapToGrid w:val="0"/>
        <w:spacing w:before="120" w:beforeLines="50" w:after="50"/>
        <w:ind w:firstLine="945" w:firstLineChars="450"/>
        <w:rPr>
          <w:rFonts w:ascii="宋体"/>
          <w:bCs/>
          <w:szCs w:val="21"/>
        </w:rPr>
      </w:pPr>
      <w:r>
        <w:rPr>
          <w:rFonts w:hint="eastAsia" w:ascii="宋体"/>
          <w:bCs/>
          <w:szCs w:val="21"/>
        </w:rPr>
        <w:t>标项号：</w:t>
      </w:r>
    </w:p>
    <w:p>
      <w:pPr>
        <w:snapToGrid w:val="0"/>
        <w:spacing w:before="120" w:beforeLines="50" w:after="50"/>
        <w:ind w:firstLine="945" w:firstLineChars="450"/>
        <w:rPr>
          <w:rFonts w:ascii="宋体"/>
          <w:bCs/>
          <w:szCs w:val="21"/>
        </w:rPr>
      </w:pPr>
      <w:r>
        <w:rPr>
          <w:rFonts w:ascii="宋体"/>
          <w:bCs/>
          <w:szCs w:val="21"/>
        </w:rPr>
        <w:t>供应商</w:t>
      </w:r>
      <w:r>
        <w:rPr>
          <w:rFonts w:hint="eastAsia" w:ascii="宋体"/>
          <w:bCs/>
          <w:szCs w:val="21"/>
        </w:rPr>
        <w:t>名称（加盖公章）：</w:t>
      </w:r>
    </w:p>
    <w:p>
      <w:pPr>
        <w:snapToGrid w:val="0"/>
        <w:spacing w:before="120" w:beforeLines="50" w:after="50"/>
        <w:ind w:firstLine="945" w:firstLineChars="450"/>
        <w:rPr>
          <w:rFonts w:ascii="宋体"/>
          <w:bCs/>
          <w:szCs w:val="21"/>
        </w:rPr>
      </w:pPr>
      <w:r>
        <w:rPr>
          <w:rFonts w:ascii="宋体"/>
          <w:bCs/>
          <w:szCs w:val="21"/>
        </w:rPr>
        <w:t>供应商</w:t>
      </w:r>
      <w:r>
        <w:rPr>
          <w:rFonts w:hint="eastAsia" w:ascii="宋体"/>
          <w:bCs/>
          <w:szCs w:val="21"/>
        </w:rPr>
        <w:t>地址：</w:t>
      </w:r>
    </w:p>
    <w:p>
      <w:pPr>
        <w:snapToGrid w:val="0"/>
        <w:spacing w:before="120" w:beforeLines="50" w:after="50"/>
        <w:ind w:firstLine="945" w:firstLineChars="450"/>
        <w:rPr>
          <w:rFonts w:ascii="宋体"/>
          <w:bCs/>
          <w:szCs w:val="21"/>
        </w:rPr>
      </w:pPr>
      <w:r>
        <w:rPr>
          <w:rFonts w:hint="eastAsia" w:ascii="宋体"/>
          <w:bCs/>
          <w:szCs w:val="21"/>
        </w:rPr>
        <w:t>开标前不得启封</w:t>
      </w:r>
    </w:p>
    <w:p>
      <w:pPr>
        <w:snapToGrid w:val="0"/>
        <w:spacing w:before="120" w:beforeLines="50" w:after="50"/>
        <w:ind w:firstLine="3570" w:firstLineChars="1700"/>
        <w:rPr>
          <w:rFonts w:ascii="宋体"/>
          <w:bCs/>
          <w:szCs w:val="21"/>
        </w:rPr>
      </w:pPr>
    </w:p>
    <w:p>
      <w:pPr>
        <w:snapToGrid w:val="0"/>
        <w:spacing w:before="120" w:beforeLines="50" w:after="50"/>
        <w:jc w:val="center"/>
        <w:rPr>
          <w:rFonts w:ascii="宋体"/>
          <w:bCs/>
          <w:szCs w:val="21"/>
        </w:rPr>
      </w:pPr>
      <w:r>
        <w:rPr>
          <w:rFonts w:hint="eastAsia" w:ascii="宋体"/>
          <w:bCs/>
          <w:szCs w:val="21"/>
        </w:rPr>
        <w:t xml:space="preserve">                        年  月  日</w:t>
      </w:r>
    </w:p>
    <w:p>
      <w:pPr>
        <w:snapToGrid w:val="0"/>
        <w:spacing w:before="120" w:beforeLines="50" w:after="50"/>
        <w:jc w:val="center"/>
        <w:rPr>
          <w:rFonts w:ascii="宋体"/>
          <w:bCs/>
          <w:szCs w:val="21"/>
        </w:rPr>
      </w:pPr>
    </w:p>
    <w:p>
      <w:pPr>
        <w:snapToGrid w:val="0"/>
        <w:spacing w:before="120" w:beforeLines="50" w:after="50"/>
        <w:jc w:val="center"/>
        <w:rPr>
          <w:rFonts w:ascii="宋体"/>
          <w:bCs/>
          <w:szCs w:val="21"/>
        </w:rPr>
      </w:pPr>
    </w:p>
    <w:p>
      <w:pPr>
        <w:snapToGrid w:val="0"/>
        <w:spacing w:before="120" w:beforeLines="50" w:after="50"/>
        <w:rPr>
          <w:rFonts w:ascii="宋体" w:hAnsi="宋体" w:cs="宋体"/>
          <w:b/>
          <w:bCs/>
          <w:sz w:val="24"/>
        </w:rPr>
        <w:sectPr>
          <w:pgSz w:w="11906" w:h="16838"/>
          <w:pgMar w:top="1474" w:right="1417" w:bottom="1247" w:left="1797" w:header="851" w:footer="850" w:gutter="0"/>
          <w:cols w:space="720" w:num="1"/>
          <w:docGrid w:linePitch="602" w:charSpace="0"/>
        </w:sectPr>
      </w:pPr>
      <w:r>
        <w:rPr>
          <w:rFonts w:hint="eastAsia" w:ascii="宋体"/>
          <w:bCs/>
          <w:szCs w:val="21"/>
        </w:rPr>
        <w:t>备注：若联合体参加投标，投标人盖章处盖联合牵头人公章。</w:t>
      </w:r>
    </w:p>
    <w:p>
      <w:pPr>
        <w:snapToGrid w:val="0"/>
        <w:spacing w:line="360" w:lineRule="auto"/>
        <w:jc w:val="left"/>
        <w:rPr>
          <w:rFonts w:ascii="宋体" w:hAnsi="宋体" w:cs="宋体"/>
          <w:b/>
          <w:szCs w:val="21"/>
        </w:rPr>
      </w:pPr>
      <w:r>
        <w:rPr>
          <w:rFonts w:hint="eastAsia" w:ascii="宋体" w:hAnsi="宋体" w:cs="宋体"/>
          <w:b/>
          <w:szCs w:val="21"/>
        </w:rPr>
        <w:t>1．资格证明部分包括以下内容：</w:t>
      </w:r>
    </w:p>
    <w:p>
      <w:pPr>
        <w:spacing w:line="360" w:lineRule="auto"/>
        <w:ind w:firstLine="420" w:firstLineChars="200"/>
        <w:rPr>
          <w:rFonts w:ascii="宋体" w:hAnsi="宋体" w:cs="宋体"/>
          <w:szCs w:val="21"/>
        </w:rPr>
      </w:pPr>
      <w:r>
        <w:rPr>
          <w:rFonts w:hint="eastAsia" w:ascii="宋体" w:hAnsi="宋体" w:cs="宋体"/>
          <w:szCs w:val="21"/>
        </w:rPr>
        <w:t>（1）资格条件自查表(格式见附件)；</w:t>
      </w:r>
    </w:p>
    <w:p>
      <w:pPr>
        <w:spacing w:line="360" w:lineRule="auto"/>
        <w:ind w:firstLine="420" w:firstLineChars="200"/>
        <w:rPr>
          <w:rFonts w:ascii="宋体" w:hAnsi="宋体" w:cs="宋体"/>
          <w:szCs w:val="21"/>
        </w:rPr>
      </w:pPr>
      <w:r>
        <w:rPr>
          <w:rFonts w:hint="eastAsia" w:ascii="宋体" w:hAnsi="宋体" w:cs="宋体"/>
          <w:szCs w:val="21"/>
        </w:rPr>
        <w:t>（2）有效的企业法人营业执照（或事业法人登记证）、其他组织（个体工商户）的营业执照或者民办非企业单位登记证书复印件（复印件加盖公章）</w:t>
      </w:r>
      <w:r>
        <w:rPr>
          <w:rFonts w:hint="eastAsia" w:ascii="宋体" w:hAnsi="宋体" w:cs="宋体"/>
          <w:bCs/>
          <w:szCs w:val="21"/>
        </w:rPr>
        <w:t>，若为联合体投标的，则联合体各方均须提供</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（3）投标人资格声明函(格式见附件)；</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szCs w:val="21"/>
        </w:rPr>
        <w:t>联合体协议书（格式见附件）（以联合体形式投标的，提供联合协议。不以联合体形式投标的，则不需要提供）</w:t>
      </w:r>
      <w:r>
        <w:rPr>
          <w:rFonts w:hint="eastAsia" w:ascii="宋体" w:hAnsi="宋体" w:cs="宋体"/>
          <w:szCs w:val="21"/>
        </w:rPr>
        <w:t>。</w:t>
      </w:r>
    </w:p>
    <w:p>
      <w:pPr>
        <w:snapToGrid w:val="0"/>
        <w:spacing w:line="360" w:lineRule="auto"/>
        <w:jc w:val="left"/>
        <w:rPr>
          <w:rFonts w:ascii="宋体" w:hAnsi="宋体" w:cs="宋体"/>
          <w:b/>
          <w:szCs w:val="21"/>
        </w:rPr>
        <w:sectPr>
          <w:pgSz w:w="11907" w:h="16840"/>
          <w:pgMar w:top="1361" w:right="1474" w:bottom="1242" w:left="1474" w:header="720" w:footer="720" w:gutter="0"/>
          <w:cols w:space="720" w:num="1"/>
          <w:docGrid w:linePitch="285" w:charSpace="0"/>
        </w:sectPr>
      </w:pPr>
    </w:p>
    <w:p>
      <w:pPr>
        <w:snapToGrid w:val="0"/>
        <w:rPr>
          <w:rFonts w:ascii="宋体" w:hAnsi="宋体" w:cs="宋体"/>
          <w:szCs w:val="21"/>
        </w:rPr>
      </w:pPr>
      <w:r>
        <w:rPr>
          <w:rFonts w:hint="eastAsia" w:ascii="宋体" w:hAnsi="宋体" w:cs="宋体"/>
          <w:b/>
        </w:rPr>
        <w:t>格式一</w:t>
      </w:r>
      <w:r>
        <w:rPr>
          <w:rFonts w:hint="eastAsia" w:ascii="宋体" w:hAnsi="宋体" w:cs="宋体"/>
          <w:b/>
          <w:bCs/>
          <w:szCs w:val="21"/>
        </w:rPr>
        <w:t>：资格条件自查表</w:t>
      </w:r>
    </w:p>
    <w:p>
      <w:pPr>
        <w:jc w:val="center"/>
        <w:rPr>
          <w:rFonts w:ascii="宋体" w:hAnsi="宋体" w:cs="宋体"/>
          <w:b/>
          <w:sz w:val="32"/>
          <w:szCs w:val="32"/>
        </w:rPr>
      </w:pPr>
      <w:r>
        <w:rPr>
          <w:rFonts w:hint="eastAsia" w:ascii="宋体" w:hAnsi="宋体" w:cs="宋体"/>
          <w:b/>
          <w:sz w:val="32"/>
          <w:szCs w:val="32"/>
        </w:rPr>
        <w:t>资格条件自查表</w:t>
      </w:r>
    </w:p>
    <w:tbl>
      <w:tblPr>
        <w:tblStyle w:val="35"/>
        <w:tblW w:w="89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31"/>
        <w:gridCol w:w="4461"/>
        <w:gridCol w:w="1410"/>
        <w:gridCol w:w="2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05" w:hRule="atLeast"/>
          <w:jc w:val="center"/>
        </w:trPr>
        <w:tc>
          <w:tcPr>
            <w:tcW w:w="831" w:type="dxa"/>
            <w:vAlign w:val="center"/>
          </w:tcPr>
          <w:p>
            <w:pPr>
              <w:adjustRightInd w:val="0"/>
              <w:snapToGrid w:val="0"/>
              <w:jc w:val="center"/>
              <w:rPr>
                <w:rFonts w:ascii="宋体" w:hAnsi="宋体" w:cs="宋体"/>
                <w:szCs w:val="21"/>
              </w:rPr>
            </w:pPr>
            <w:r>
              <w:rPr>
                <w:rStyle w:val="38"/>
                <w:rFonts w:hint="eastAsia" w:ascii="宋体" w:hAnsi="宋体" w:cs="宋体"/>
                <w:szCs w:val="21"/>
              </w:rPr>
              <w:t>评审内容</w:t>
            </w:r>
          </w:p>
        </w:tc>
        <w:tc>
          <w:tcPr>
            <w:tcW w:w="4461" w:type="dxa"/>
            <w:vAlign w:val="center"/>
          </w:tcPr>
          <w:p>
            <w:pPr>
              <w:adjustRightInd w:val="0"/>
              <w:snapToGrid w:val="0"/>
              <w:jc w:val="center"/>
              <w:rPr>
                <w:rFonts w:ascii="宋体" w:hAnsi="宋体" w:cs="宋体"/>
                <w:szCs w:val="21"/>
              </w:rPr>
            </w:pPr>
            <w:r>
              <w:rPr>
                <w:rStyle w:val="38"/>
                <w:rFonts w:hint="eastAsia" w:ascii="宋体" w:hAnsi="宋体" w:cs="宋体"/>
                <w:szCs w:val="21"/>
              </w:rPr>
              <w:t>采购文件要求</w:t>
            </w:r>
          </w:p>
        </w:tc>
        <w:tc>
          <w:tcPr>
            <w:tcW w:w="1410" w:type="dxa"/>
            <w:vAlign w:val="center"/>
          </w:tcPr>
          <w:p>
            <w:pPr>
              <w:adjustRightInd w:val="0"/>
              <w:snapToGrid w:val="0"/>
              <w:jc w:val="center"/>
              <w:rPr>
                <w:rFonts w:ascii="宋体" w:hAnsi="宋体" w:cs="宋体"/>
                <w:szCs w:val="21"/>
              </w:rPr>
            </w:pPr>
            <w:r>
              <w:rPr>
                <w:rStyle w:val="38"/>
                <w:rFonts w:hint="eastAsia" w:ascii="宋体" w:hAnsi="宋体" w:cs="宋体"/>
                <w:szCs w:val="21"/>
              </w:rPr>
              <w:t>自查结论</w:t>
            </w:r>
          </w:p>
        </w:tc>
        <w:tc>
          <w:tcPr>
            <w:tcW w:w="2231" w:type="dxa"/>
            <w:vAlign w:val="center"/>
          </w:tcPr>
          <w:p>
            <w:pPr>
              <w:adjustRightInd w:val="0"/>
              <w:snapToGrid w:val="0"/>
              <w:jc w:val="center"/>
              <w:rPr>
                <w:rFonts w:ascii="宋体" w:hAnsi="宋体" w:cs="宋体"/>
                <w:szCs w:val="21"/>
              </w:rPr>
            </w:pPr>
            <w:r>
              <w:rPr>
                <w:rStyle w:val="38"/>
                <w:rFonts w:hint="eastAsia" w:ascii="宋体" w:hAnsi="宋体" w:cs="宋体"/>
                <w:szCs w:val="21"/>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 w:hRule="atLeast"/>
          <w:jc w:val="center"/>
        </w:trPr>
        <w:tc>
          <w:tcPr>
            <w:tcW w:w="831" w:type="dxa"/>
            <w:vMerge w:val="restart"/>
            <w:vAlign w:val="center"/>
          </w:tcPr>
          <w:p>
            <w:pPr>
              <w:pStyle w:val="127"/>
              <w:adjustRightInd w:val="0"/>
              <w:snapToGrid w:val="0"/>
              <w:spacing w:before="0" w:beforeAutospacing="0" w:after="0" w:afterAutospacing="0"/>
              <w:jc w:val="center"/>
              <w:rPr>
                <w:rFonts w:cs="宋体"/>
                <w:b/>
                <w:sz w:val="21"/>
                <w:szCs w:val="21"/>
              </w:rPr>
            </w:pPr>
            <w:r>
              <w:rPr>
                <w:rFonts w:hint="eastAsia" w:cs="宋体"/>
                <w:b/>
                <w:sz w:val="21"/>
                <w:szCs w:val="21"/>
              </w:rPr>
              <w:t>资</w:t>
            </w:r>
          </w:p>
          <w:p>
            <w:pPr>
              <w:pStyle w:val="127"/>
              <w:adjustRightInd w:val="0"/>
              <w:snapToGrid w:val="0"/>
              <w:spacing w:before="0" w:beforeAutospacing="0" w:after="0" w:afterAutospacing="0"/>
              <w:jc w:val="center"/>
              <w:rPr>
                <w:rFonts w:cs="宋体"/>
                <w:b/>
                <w:sz w:val="21"/>
                <w:szCs w:val="21"/>
              </w:rPr>
            </w:pPr>
            <w:r>
              <w:rPr>
                <w:rFonts w:hint="eastAsia" w:cs="宋体"/>
                <w:b/>
                <w:sz w:val="21"/>
                <w:szCs w:val="21"/>
              </w:rPr>
              <w:t>格</w:t>
            </w:r>
          </w:p>
          <w:p>
            <w:pPr>
              <w:pStyle w:val="127"/>
              <w:adjustRightInd w:val="0"/>
              <w:snapToGrid w:val="0"/>
              <w:spacing w:before="0" w:beforeAutospacing="0" w:after="0" w:afterAutospacing="0"/>
              <w:jc w:val="center"/>
              <w:rPr>
                <w:rFonts w:cs="宋体"/>
                <w:b/>
                <w:sz w:val="21"/>
                <w:szCs w:val="21"/>
              </w:rPr>
            </w:pPr>
            <w:r>
              <w:rPr>
                <w:rFonts w:hint="eastAsia" w:cs="宋体"/>
                <w:b/>
                <w:sz w:val="21"/>
                <w:szCs w:val="21"/>
              </w:rPr>
              <w:t>性</w:t>
            </w:r>
          </w:p>
          <w:p>
            <w:pPr>
              <w:pStyle w:val="127"/>
              <w:adjustRightInd w:val="0"/>
              <w:snapToGrid w:val="0"/>
              <w:spacing w:before="0" w:beforeAutospacing="0" w:after="0" w:afterAutospacing="0"/>
              <w:jc w:val="center"/>
              <w:rPr>
                <w:rFonts w:cs="宋体"/>
                <w:b/>
                <w:sz w:val="21"/>
                <w:szCs w:val="21"/>
              </w:rPr>
            </w:pPr>
            <w:r>
              <w:rPr>
                <w:rFonts w:hint="eastAsia" w:cs="宋体"/>
                <w:b/>
                <w:sz w:val="21"/>
                <w:szCs w:val="21"/>
              </w:rPr>
              <w:t>审</w:t>
            </w:r>
          </w:p>
          <w:p>
            <w:pPr>
              <w:pStyle w:val="127"/>
              <w:adjustRightInd w:val="0"/>
              <w:snapToGrid w:val="0"/>
              <w:spacing w:before="0" w:beforeAutospacing="0" w:after="0" w:afterAutospacing="0"/>
              <w:jc w:val="center"/>
              <w:rPr>
                <w:rFonts w:cs="宋体"/>
                <w:b/>
                <w:sz w:val="21"/>
                <w:szCs w:val="21"/>
              </w:rPr>
            </w:pPr>
            <w:r>
              <w:rPr>
                <w:rFonts w:hint="eastAsia" w:cs="宋体"/>
                <w:b/>
                <w:sz w:val="21"/>
                <w:szCs w:val="21"/>
              </w:rPr>
              <w:t>查</w:t>
            </w:r>
          </w:p>
        </w:tc>
        <w:tc>
          <w:tcPr>
            <w:tcW w:w="4461" w:type="dxa"/>
            <w:vAlign w:val="center"/>
          </w:tcPr>
          <w:p>
            <w:pPr>
              <w:adjustRightInd w:val="0"/>
              <w:snapToGrid w:val="0"/>
              <w:rPr>
                <w:rFonts w:ascii="宋体" w:hAnsi="宋体" w:cs="宋体"/>
                <w:szCs w:val="21"/>
              </w:rPr>
            </w:pPr>
            <w:r>
              <w:rPr>
                <w:rFonts w:hint="eastAsia" w:ascii="宋体" w:hAnsi="宋体" w:cs="宋体"/>
                <w:szCs w:val="21"/>
              </w:rPr>
              <w:t>1.</w:t>
            </w:r>
            <w:r>
              <w:rPr>
                <w:rFonts w:hint="eastAsia" w:ascii="宋体" w:hAnsi="宋体" w:cs="宋体"/>
                <w:kern w:val="0"/>
                <w:szCs w:val="21"/>
              </w:rPr>
              <w:t>满足《中华人民共和国政府采购法》第二十二条规定。</w:t>
            </w:r>
          </w:p>
        </w:tc>
        <w:tc>
          <w:tcPr>
            <w:tcW w:w="1410" w:type="dxa"/>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2231"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pStyle w:val="127"/>
              <w:adjustRightInd w:val="0"/>
              <w:snapToGrid w:val="0"/>
              <w:spacing w:before="0" w:beforeAutospacing="0" w:after="0" w:afterAutospacing="0"/>
              <w:jc w:val="center"/>
              <w:rPr>
                <w:rFonts w:cs="宋体"/>
                <w:b/>
                <w:sz w:val="21"/>
                <w:szCs w:val="21"/>
              </w:rPr>
            </w:pPr>
          </w:p>
        </w:tc>
        <w:tc>
          <w:tcPr>
            <w:tcW w:w="4461" w:type="dxa"/>
            <w:vAlign w:val="center"/>
          </w:tcPr>
          <w:p>
            <w:pPr>
              <w:rPr>
                <w:rFonts w:ascii="宋体" w:hAnsi="宋体" w:cs="宋体"/>
                <w:szCs w:val="21"/>
              </w:rPr>
            </w:pPr>
            <w:r>
              <w:rPr>
                <w:rFonts w:hint="eastAsia" w:ascii="宋体" w:hAnsi="宋体" w:cs="宋体"/>
                <w:szCs w:val="21"/>
              </w:rPr>
              <w:t>2.有效的企业法人营业执照（或事业法人登记证）、其他组织（个体工商户）的营业执照或者民办非企业单位登记证书复印件（复印件加盖公章），若为联合体投标的，则联合体各方均须提供；</w:t>
            </w:r>
          </w:p>
        </w:tc>
        <w:tc>
          <w:tcPr>
            <w:tcW w:w="1410" w:type="dxa"/>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2231"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252" w:hRule="atLeast"/>
          <w:jc w:val="center"/>
        </w:trPr>
        <w:tc>
          <w:tcPr>
            <w:tcW w:w="831" w:type="dxa"/>
            <w:vMerge w:val="continue"/>
            <w:vAlign w:val="center"/>
          </w:tcPr>
          <w:p>
            <w:pPr>
              <w:adjustRightInd w:val="0"/>
              <w:snapToGrid w:val="0"/>
              <w:rPr>
                <w:rFonts w:ascii="宋体" w:hAnsi="宋体" w:cs="宋体"/>
                <w:szCs w:val="21"/>
              </w:rPr>
            </w:pPr>
          </w:p>
        </w:tc>
        <w:tc>
          <w:tcPr>
            <w:tcW w:w="4461" w:type="dxa"/>
            <w:vAlign w:val="center"/>
          </w:tcPr>
          <w:p>
            <w:pPr>
              <w:adjustRightInd w:val="0"/>
              <w:snapToGrid w:val="0"/>
              <w:rPr>
                <w:rFonts w:ascii="宋体" w:hAnsi="宋体" w:cs="宋体"/>
                <w:szCs w:val="21"/>
              </w:rPr>
            </w:pPr>
            <w:r>
              <w:rPr>
                <w:rFonts w:hint="eastAsia" w:ascii="宋体" w:hAnsi="宋体" w:cs="宋体"/>
                <w:szCs w:val="21"/>
              </w:rPr>
              <w:t>3.</w:t>
            </w:r>
            <w:r>
              <w:rPr>
                <w:rFonts w:hint="eastAsia" w:ascii="宋体" w:hAnsi="宋体" w:cs="宋体"/>
              </w:rPr>
              <w:t xml:space="preserve"> 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r>
              <w:rPr>
                <w:rFonts w:hint="eastAsia" w:ascii="宋体" w:hAnsi="宋体" w:cs="宋体"/>
                <w:bCs/>
                <w:szCs w:val="21"/>
              </w:rPr>
              <w:t>。</w:t>
            </w:r>
          </w:p>
        </w:tc>
        <w:tc>
          <w:tcPr>
            <w:tcW w:w="1410" w:type="dxa"/>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2231"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adjustRightInd w:val="0"/>
              <w:snapToGrid w:val="0"/>
              <w:rPr>
                <w:rFonts w:ascii="宋体" w:hAnsi="宋体" w:cs="宋体"/>
                <w:szCs w:val="21"/>
              </w:rPr>
            </w:pPr>
          </w:p>
        </w:tc>
        <w:tc>
          <w:tcPr>
            <w:tcW w:w="4461" w:type="dxa"/>
            <w:vAlign w:val="center"/>
          </w:tcPr>
          <w:p>
            <w:pPr>
              <w:adjustRightInd w:val="0"/>
              <w:snapToGrid w:val="0"/>
              <w:rPr>
                <w:rFonts w:ascii="宋体" w:hAnsi="宋体" w:cs="宋体"/>
                <w:szCs w:val="21"/>
              </w:rPr>
            </w:pPr>
            <w:r>
              <w:rPr>
                <w:rFonts w:hint="eastAsia" w:ascii="宋体" w:hAnsi="宋体" w:cs="宋体"/>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1410" w:type="dxa"/>
            <w:vAlign w:val="center"/>
          </w:tcPr>
          <w:p>
            <w:pPr>
              <w:adjustRightInd w:val="0"/>
              <w:snapToGrid w:val="0"/>
              <w:rPr>
                <w:rFonts w:ascii="宋体" w:hAnsi="宋体" w:cs="宋体"/>
                <w:szCs w:val="21"/>
              </w:rPr>
            </w:pPr>
            <w:r>
              <w:rPr>
                <w:rFonts w:hint="eastAsia" w:ascii="宋体" w:hAnsi="宋体" w:cs="宋体"/>
                <w:szCs w:val="21"/>
              </w:rPr>
              <w:t>□通过</w:t>
            </w:r>
          </w:p>
          <w:p>
            <w:pPr>
              <w:adjustRightInd w:val="0"/>
              <w:snapToGrid w:val="0"/>
              <w:rPr>
                <w:rFonts w:ascii="宋体" w:hAnsi="宋体" w:cs="宋体"/>
                <w:szCs w:val="21"/>
              </w:rPr>
            </w:pPr>
            <w:r>
              <w:rPr>
                <w:rFonts w:hint="eastAsia" w:ascii="宋体" w:hAnsi="宋体" w:cs="宋体"/>
                <w:szCs w:val="21"/>
              </w:rPr>
              <w:t>□不通过</w:t>
            </w:r>
          </w:p>
        </w:tc>
        <w:tc>
          <w:tcPr>
            <w:tcW w:w="2231"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 w:hRule="atLeast"/>
          <w:jc w:val="center"/>
        </w:trPr>
        <w:tc>
          <w:tcPr>
            <w:tcW w:w="831" w:type="dxa"/>
            <w:vMerge w:val="continue"/>
            <w:vAlign w:val="center"/>
          </w:tcPr>
          <w:p>
            <w:pPr>
              <w:adjustRightInd w:val="0"/>
              <w:snapToGrid w:val="0"/>
              <w:rPr>
                <w:rFonts w:ascii="宋体" w:hAnsi="宋体" w:cs="宋体"/>
                <w:szCs w:val="21"/>
              </w:rPr>
            </w:pPr>
          </w:p>
        </w:tc>
        <w:tc>
          <w:tcPr>
            <w:tcW w:w="4461" w:type="dxa"/>
            <w:vAlign w:val="center"/>
          </w:tcPr>
          <w:p>
            <w:pPr>
              <w:adjustRightInd w:val="0"/>
              <w:snapToGrid w:val="0"/>
              <w:rPr>
                <w:rFonts w:ascii="宋体" w:hAnsi="宋体" w:cs="宋体"/>
              </w:rPr>
            </w:pPr>
            <w:r>
              <w:rPr>
                <w:rFonts w:hint="eastAsia" w:ascii="宋体" w:hAnsi="宋体" w:cs="宋体"/>
                <w:szCs w:val="21"/>
              </w:rPr>
              <w:t>5.本项目接受联合体投标。（</w:t>
            </w:r>
            <w:r>
              <w:rPr>
                <w:rFonts w:hint="eastAsia" w:ascii="宋体" w:hAnsi="宋体"/>
                <w:szCs w:val="21"/>
              </w:rPr>
              <w:t>以联合体形式投标的，提供联合协议。不以联合体形式投标的，则不需要提供）</w:t>
            </w:r>
          </w:p>
        </w:tc>
        <w:tc>
          <w:tcPr>
            <w:tcW w:w="1410" w:type="dxa"/>
            <w:vAlign w:val="center"/>
          </w:tcPr>
          <w:p>
            <w:pPr>
              <w:adjustRightInd w:val="0"/>
              <w:snapToGrid w:val="0"/>
              <w:rPr>
                <w:rFonts w:ascii="宋体" w:hAnsi="宋体" w:cs="宋体"/>
                <w:szCs w:val="21"/>
              </w:rPr>
            </w:pPr>
          </w:p>
        </w:tc>
        <w:tc>
          <w:tcPr>
            <w:tcW w:w="2231" w:type="dxa"/>
            <w:vAlign w:val="center"/>
          </w:tcPr>
          <w:p>
            <w:pPr>
              <w:adjustRightInd w:val="0"/>
              <w:snapToGrid w:val="0"/>
              <w:jc w:val="center"/>
              <w:rPr>
                <w:rFonts w:ascii="宋体" w:hAnsi="宋体" w:cs="宋体"/>
                <w:szCs w:val="21"/>
              </w:rPr>
            </w:pPr>
          </w:p>
        </w:tc>
      </w:tr>
    </w:tbl>
    <w:p>
      <w:pPr>
        <w:snapToGrid w:val="0"/>
        <w:rPr>
          <w:rFonts w:ascii="宋体" w:hAnsi="宋体" w:cs="宋体"/>
          <w:b/>
        </w:rPr>
      </w:pPr>
      <w:r>
        <w:rPr>
          <w:rFonts w:hint="eastAsia" w:ascii="宋体" w:hAnsi="宋体" w:cs="宋体"/>
          <w:b/>
          <w:szCs w:val="21"/>
        </w:rPr>
        <w:t xml:space="preserve">备注：资格条件自查表将作为供应商有效性审查的重要内容之一，供应商必须严格按照其内容及序列要求在投标文件中对应如实提供，对资格性审查文件的任何缺漏和不符合项将会直接导致投标无效！ </w:t>
      </w:r>
    </w:p>
    <w:p>
      <w:pPr>
        <w:rPr>
          <w:rFonts w:ascii="宋体" w:hAnsi="宋体" w:cs="宋体"/>
          <w:b/>
        </w:rPr>
      </w:pPr>
      <w:r>
        <w:rPr>
          <w:rFonts w:hint="eastAsia" w:ascii="宋体" w:hAnsi="宋体" w:cs="宋体"/>
          <w:b/>
        </w:rPr>
        <w:br w:type="page"/>
      </w:r>
      <w:r>
        <w:rPr>
          <w:rFonts w:hint="eastAsia" w:ascii="宋体" w:hAnsi="宋体" w:cs="宋体"/>
          <w:b/>
        </w:rPr>
        <w:t>格式二：</w:t>
      </w:r>
      <w:r>
        <w:rPr>
          <w:rFonts w:hint="eastAsia" w:ascii="宋体" w:hAnsi="宋体" w:cs="宋体"/>
          <w:b/>
          <w:szCs w:val="21"/>
        </w:rPr>
        <w:t>投标人资格声明函</w:t>
      </w:r>
    </w:p>
    <w:p>
      <w:pPr>
        <w:jc w:val="center"/>
        <w:outlineLvl w:val="2"/>
        <w:rPr>
          <w:rFonts w:ascii="宋体" w:hAnsi="宋体" w:cs="宋体"/>
          <w:b/>
          <w:sz w:val="28"/>
          <w:szCs w:val="28"/>
        </w:rPr>
      </w:pPr>
      <w:bookmarkStart w:id="172" w:name="_Toc275865606"/>
    </w:p>
    <w:p>
      <w:pPr>
        <w:jc w:val="center"/>
        <w:rPr>
          <w:rFonts w:ascii="宋体" w:hAnsi="宋体" w:cs="宋体"/>
          <w:b/>
          <w:sz w:val="32"/>
          <w:szCs w:val="32"/>
        </w:rPr>
      </w:pPr>
      <w:r>
        <w:rPr>
          <w:rFonts w:hint="eastAsia" w:ascii="宋体" w:hAnsi="宋体" w:cs="宋体"/>
          <w:b/>
          <w:sz w:val="32"/>
          <w:szCs w:val="32"/>
        </w:rPr>
        <w:t>投标人资格声明函</w:t>
      </w:r>
      <w:bookmarkEnd w:id="172"/>
    </w:p>
    <w:p>
      <w:pPr>
        <w:rPr>
          <w:rFonts w:ascii="宋体" w:hAnsi="宋体" w:cs="宋体"/>
          <w:b/>
        </w:rPr>
      </w:pPr>
    </w:p>
    <w:p>
      <w:pPr>
        <w:rPr>
          <w:rFonts w:ascii="宋体" w:hAnsi="宋体" w:cs="宋体"/>
          <w:b/>
        </w:rPr>
      </w:pPr>
      <w:r>
        <w:rPr>
          <w:rFonts w:hint="eastAsia" w:ascii="宋体" w:hAnsi="宋体" w:cs="宋体"/>
          <w:b/>
        </w:rPr>
        <w:t>宁波中基国际招标有限公司：</w:t>
      </w:r>
    </w:p>
    <w:p>
      <w:pPr>
        <w:widowControl/>
        <w:snapToGrid w:val="0"/>
        <w:spacing w:before="120" w:beforeLines="50" w:after="100" w:afterAutospacing="1" w:line="360" w:lineRule="auto"/>
        <w:ind w:firstLine="424" w:firstLineChars="202"/>
        <w:jc w:val="left"/>
        <w:rPr>
          <w:szCs w:val="21"/>
        </w:rPr>
      </w:pPr>
      <w:r>
        <w:rPr>
          <w:rFonts w:hint="eastAsia" w:ascii="宋体" w:hAnsi="宋体" w:cs="宋体"/>
          <w:kern w:val="0"/>
          <w:szCs w:val="21"/>
        </w:rPr>
        <w:t>关于</w:t>
      </w:r>
      <w:r>
        <w:rPr>
          <w:rFonts w:hint="eastAsia" w:ascii="宋体" w:hAnsi="宋体" w:cs="宋体"/>
          <w:kern w:val="0"/>
          <w:szCs w:val="21"/>
          <w:u w:val="single"/>
        </w:rPr>
        <w:t xml:space="preserve">                    </w:t>
      </w:r>
      <w:r>
        <w:rPr>
          <w:rFonts w:hint="eastAsia" w:ascii="宋体" w:hAnsi="宋体" w:cs="宋体"/>
          <w:kern w:val="0"/>
          <w:szCs w:val="21"/>
        </w:rPr>
        <w:t>项目（项目编号：</w:t>
      </w:r>
      <w:r>
        <w:rPr>
          <w:rFonts w:hint="eastAsia" w:ascii="宋体" w:hAnsi="宋体" w:cs="宋体"/>
          <w:kern w:val="0"/>
          <w:szCs w:val="21"/>
          <w:u w:val="single"/>
        </w:rPr>
        <w:t>　　　</w:t>
      </w:r>
      <w:r>
        <w:rPr>
          <w:rFonts w:hint="eastAsia" w:ascii="宋体" w:hAnsi="宋体" w:cs="宋体"/>
          <w:kern w:val="0"/>
          <w:szCs w:val="21"/>
        </w:rPr>
        <w:t>），我方愿意参加投标，并声明：</w:t>
      </w:r>
    </w:p>
    <w:p>
      <w:pPr>
        <w:widowControl/>
        <w:snapToGrid w:val="0"/>
        <w:spacing w:before="100" w:beforeAutospacing="1" w:after="100" w:afterAutospacing="1" w:line="360" w:lineRule="auto"/>
        <w:ind w:firstLine="424" w:firstLineChars="202"/>
        <w:jc w:val="left"/>
        <w:rPr>
          <w:szCs w:val="21"/>
        </w:rPr>
      </w:pPr>
      <w:r>
        <w:rPr>
          <w:rFonts w:hint="eastAsia" w:ascii="宋体" w:hAnsi="宋体" w:cs="宋体"/>
          <w:bCs/>
          <w:kern w:val="0"/>
          <w:szCs w:val="21"/>
        </w:rPr>
        <w:t>1、</w:t>
      </w:r>
      <w:r>
        <w:rPr>
          <w:rFonts w:hint="eastAsia" w:ascii="宋体" w:hAnsi="宋体" w:cs="宋体"/>
          <w:kern w:val="0"/>
          <w:szCs w:val="21"/>
        </w:rPr>
        <w:t>我方具备</w:t>
      </w:r>
      <w:r>
        <w:rPr>
          <w:rFonts w:hint="eastAsia" w:ascii="宋体" w:hAnsi="宋体" w:cs="宋体"/>
          <w:bCs/>
          <w:kern w:val="0"/>
          <w:szCs w:val="21"/>
        </w:rPr>
        <w:t>《中华人民共和国政府采购法》第二十二条规定资格条件：</w:t>
      </w:r>
    </w:p>
    <w:p>
      <w:pPr>
        <w:widowControl/>
        <w:snapToGrid w:val="0"/>
        <w:spacing w:before="100" w:beforeAutospacing="1" w:after="100" w:afterAutospacing="1" w:line="360" w:lineRule="auto"/>
        <w:ind w:firstLine="424" w:firstLineChars="202"/>
        <w:jc w:val="left"/>
        <w:rPr>
          <w:szCs w:val="21"/>
        </w:rPr>
      </w:pPr>
      <w:r>
        <w:rPr>
          <w:rFonts w:hint="eastAsia" w:ascii="宋体" w:hAnsi="宋体" w:cs="宋体"/>
          <w:bCs/>
          <w:kern w:val="0"/>
          <w:szCs w:val="21"/>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widowControl/>
        <w:snapToGrid w:val="0"/>
        <w:spacing w:before="100" w:beforeAutospacing="1" w:after="100" w:afterAutospacing="1" w:line="360" w:lineRule="auto"/>
        <w:ind w:firstLine="424" w:firstLineChars="202"/>
        <w:jc w:val="left"/>
        <w:rPr>
          <w:szCs w:val="21"/>
        </w:rPr>
      </w:pPr>
      <w:r>
        <w:rPr>
          <w:rFonts w:hint="eastAsia" w:ascii="宋体" w:hAnsi="宋体" w:cs="宋体"/>
          <w:kern w:val="0"/>
          <w:szCs w:val="21"/>
        </w:rPr>
        <w:t>2、我方的单位负责人与所参投的本采购项目的其他投标人的单位负责人不为同一人且与其他投标人之间不存在直接控股、管理关系。</w:t>
      </w:r>
    </w:p>
    <w:p>
      <w:pPr>
        <w:widowControl/>
        <w:snapToGrid w:val="0"/>
        <w:spacing w:before="100" w:beforeAutospacing="1" w:after="100" w:afterAutospacing="1" w:line="360" w:lineRule="auto"/>
        <w:ind w:firstLine="424" w:firstLineChars="202"/>
        <w:jc w:val="left"/>
        <w:rPr>
          <w:szCs w:val="21"/>
        </w:rPr>
      </w:pPr>
      <w:r>
        <w:rPr>
          <w:rFonts w:hint="eastAsia" w:ascii="宋体" w:hAnsi="宋体" w:cs="宋体"/>
          <w:kern w:val="0"/>
          <w:szCs w:val="21"/>
        </w:rPr>
        <w:t>3、我方不是本采购项目提供整体设计、规范编制或者项目管理、监理、检测等服务的供应商。</w:t>
      </w:r>
    </w:p>
    <w:p>
      <w:pPr>
        <w:widowControl/>
        <w:snapToGrid w:val="0"/>
        <w:spacing w:before="100" w:beforeAutospacing="1" w:after="100" w:afterAutospacing="1" w:line="360" w:lineRule="auto"/>
        <w:ind w:firstLine="424" w:firstLineChars="202"/>
        <w:jc w:val="left"/>
        <w:rPr>
          <w:szCs w:val="21"/>
        </w:rPr>
      </w:pPr>
      <w:r>
        <w:rPr>
          <w:rFonts w:hint="eastAsia" w:ascii="宋体" w:hAnsi="宋体" w:cs="宋体"/>
          <w:kern w:val="0"/>
          <w:szCs w:val="21"/>
        </w:rPr>
        <w:t>4、我方</w:t>
      </w:r>
      <w:r>
        <w:rPr>
          <w:rFonts w:hint="eastAsia" w:ascii="宋体" w:hAnsi="宋体" w:cs="宋体"/>
          <w:bCs/>
          <w:kern w:val="0"/>
          <w:szCs w:val="21"/>
        </w:rPr>
        <w:t>未被“信用中国”（www.creditchina.gov.cn)、中国政府采购网（www.ccgp.gov.cn）列入失信被执行人、重大税收违法案件当事人名单、政府采购严重违法失信行为记录名单。</w:t>
      </w:r>
    </w:p>
    <w:p>
      <w:pPr>
        <w:widowControl/>
        <w:snapToGrid w:val="0"/>
        <w:spacing w:before="100" w:beforeAutospacing="1" w:after="100" w:afterAutospacing="1" w:line="360" w:lineRule="auto"/>
        <w:ind w:firstLine="424" w:firstLineChars="202"/>
        <w:jc w:val="left"/>
        <w:rPr>
          <w:szCs w:val="21"/>
        </w:rPr>
      </w:pPr>
      <w:r>
        <w:rPr>
          <w:rFonts w:hint="eastAsia" w:ascii="宋体" w:hAnsi="宋体" w:cs="宋体"/>
          <w:bCs/>
          <w:kern w:val="0"/>
          <w:szCs w:val="21"/>
        </w:rPr>
        <w:t>我方对上述声明的真实性负责。</w:t>
      </w:r>
      <w:r>
        <w:rPr>
          <w:rFonts w:hint="eastAsia" w:ascii="宋体" w:hAnsi="宋体" w:cs="宋体"/>
          <w:kern w:val="0"/>
          <w:szCs w:val="21"/>
        </w:rPr>
        <w:t>本次招标采购活动中，如有违法、违规、弄虚作假行为，所造成的损失、不良后果及法律责任，一律由我方承担。</w:t>
      </w:r>
    </w:p>
    <w:p>
      <w:pPr>
        <w:spacing w:line="360" w:lineRule="auto"/>
        <w:ind w:firstLine="420"/>
        <w:rPr>
          <w:rFonts w:ascii="宋体" w:hAnsi="宋体"/>
          <w:b/>
        </w:rPr>
      </w:pPr>
    </w:p>
    <w:p>
      <w:pPr>
        <w:spacing w:line="360" w:lineRule="auto"/>
        <w:ind w:firstLine="420"/>
        <w:rPr>
          <w:rFonts w:ascii="宋体" w:hAnsi="宋体"/>
          <w:b/>
        </w:rPr>
      </w:pPr>
    </w:p>
    <w:p>
      <w:pPr>
        <w:spacing w:line="360" w:lineRule="auto"/>
        <w:ind w:firstLine="420"/>
        <w:rPr>
          <w:rFonts w:ascii="宋体" w:hAnsi="宋体"/>
          <w:b/>
        </w:rPr>
      </w:pPr>
      <w:r>
        <w:rPr>
          <w:rFonts w:hint="eastAsia" w:ascii="宋体" w:hAnsi="宋体"/>
          <w:b/>
        </w:rPr>
        <w:t>特此声明！</w:t>
      </w:r>
    </w:p>
    <w:p>
      <w:pPr>
        <w:snapToGrid w:val="0"/>
        <w:spacing w:before="120" w:beforeLines="50" w:line="360" w:lineRule="auto"/>
        <w:ind w:firstLine="424" w:firstLineChars="202"/>
        <w:rPr>
          <w:rFonts w:ascii="宋体" w:hAnsi="宋体" w:cs="宋体"/>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sectPr>
          <w:pgSz w:w="11907" w:h="16840"/>
          <w:pgMar w:top="1361" w:right="1474" w:bottom="1242" w:left="1474" w:header="720" w:footer="720" w:gutter="0"/>
          <w:cols w:space="720" w:num="1"/>
          <w:docGrid w:linePitch="285" w:charSpace="0"/>
        </w:sectPr>
      </w:pPr>
      <w:r>
        <w:rPr>
          <w:rFonts w:hint="eastAsia" w:ascii="宋体"/>
          <w:bCs/>
          <w:szCs w:val="21"/>
        </w:rPr>
        <w:t>备注：若联合体参加投标，投标人盖章处盖联合牵头人公章。</w:t>
      </w:r>
    </w:p>
    <w:p>
      <w:pPr>
        <w:pStyle w:val="34"/>
        <w:spacing w:line="360" w:lineRule="auto"/>
        <w:ind w:firstLine="0"/>
        <w:rPr>
          <w:rFonts w:ascii="宋体" w:hAnsi="宋体" w:cs="宋体"/>
          <w:b/>
          <w:kern w:val="2"/>
          <w:szCs w:val="24"/>
        </w:rPr>
      </w:pPr>
      <w:r>
        <w:rPr>
          <w:rFonts w:hint="eastAsia" w:ascii="宋体" w:hAnsi="宋体" w:cs="宋体"/>
          <w:b/>
        </w:rPr>
        <w:t>格式三：</w:t>
      </w:r>
      <w:r>
        <w:rPr>
          <w:rFonts w:hint="eastAsia" w:ascii="宋体" w:hAnsi="宋体" w:cs="宋体"/>
          <w:b/>
          <w:kern w:val="2"/>
          <w:szCs w:val="24"/>
        </w:rPr>
        <w:t>联合体协议书</w:t>
      </w:r>
    </w:p>
    <w:p>
      <w:pPr>
        <w:spacing w:line="360" w:lineRule="auto"/>
        <w:jc w:val="center"/>
        <w:rPr>
          <w:b/>
          <w:bCs/>
          <w:sz w:val="28"/>
          <w:szCs w:val="22"/>
        </w:rPr>
      </w:pPr>
      <w:r>
        <w:rPr>
          <w:rFonts w:hint="eastAsia"/>
          <w:b/>
          <w:bCs/>
          <w:sz w:val="28"/>
          <w:szCs w:val="22"/>
        </w:rPr>
        <w:t>联合体协议书</w:t>
      </w:r>
    </w:p>
    <w:p>
      <w:pPr>
        <w:spacing w:line="400" w:lineRule="atLeast"/>
        <w:ind w:firstLine="360"/>
        <w:rPr>
          <w:szCs w:val="21"/>
        </w:rPr>
      </w:pPr>
      <w:r>
        <w:rPr>
          <w:rFonts w:hint="eastAsia"/>
          <w:szCs w:val="21"/>
          <w:u w:val="single"/>
        </w:rPr>
        <w:t>(所有成员单位名称)</w:t>
      </w:r>
      <w:r>
        <w:rPr>
          <w:rFonts w:hint="eastAsia"/>
          <w:szCs w:val="21"/>
        </w:rPr>
        <w:t>自愿组成联合体，共同参加</w:t>
      </w:r>
      <w:r>
        <w:rPr>
          <w:rFonts w:hint="eastAsia"/>
          <w:szCs w:val="21"/>
          <w:u w:val="single"/>
        </w:rPr>
        <w:t>(项目名称)</w:t>
      </w:r>
      <w:r>
        <w:rPr>
          <w:rFonts w:hint="eastAsia"/>
          <w:szCs w:val="21"/>
        </w:rPr>
        <w:t>磋商。现就联合体磋商事宜订立如下协议。</w:t>
      </w:r>
    </w:p>
    <w:p>
      <w:pPr>
        <w:spacing w:line="400" w:lineRule="atLeast"/>
        <w:ind w:firstLine="390"/>
        <w:rPr>
          <w:szCs w:val="21"/>
        </w:rPr>
      </w:pPr>
      <w:r>
        <w:rPr>
          <w:rFonts w:hint="eastAsia"/>
          <w:szCs w:val="21"/>
        </w:rPr>
        <w:t>1.</w:t>
      </w:r>
      <w:r>
        <w:rPr>
          <w:rFonts w:hint="eastAsia"/>
          <w:szCs w:val="21"/>
          <w:u w:val="single"/>
        </w:rPr>
        <w:t>(某成员单位名称)</w:t>
      </w:r>
      <w:r>
        <w:rPr>
          <w:rFonts w:hint="eastAsia"/>
          <w:szCs w:val="21"/>
        </w:rPr>
        <w:t>为牵头单位。</w:t>
      </w:r>
    </w:p>
    <w:p>
      <w:pPr>
        <w:spacing w:line="400" w:lineRule="atLeast"/>
        <w:ind w:firstLine="390"/>
        <w:rPr>
          <w:szCs w:val="21"/>
        </w:rPr>
      </w:pPr>
      <w:r>
        <w:rPr>
          <w:rFonts w:hint="eastAsia"/>
          <w:szCs w:val="21"/>
        </w:rPr>
        <w:t>2.联合体牵头单位合法代表联合体各成员负责本采购项目响应文件编制和合同谈判活动，代表联合体提交和接收相关的资料、信息及指示，处理与之有关的一切事务，并负责合同实施阶段的主办、组织和协调工作。</w:t>
      </w:r>
    </w:p>
    <w:p>
      <w:pPr>
        <w:spacing w:line="400" w:lineRule="atLeast"/>
        <w:ind w:firstLine="390"/>
        <w:rPr>
          <w:szCs w:val="21"/>
        </w:rPr>
      </w:pPr>
      <w:r>
        <w:rPr>
          <w:rFonts w:hint="eastAsia"/>
          <w:szCs w:val="21"/>
        </w:rPr>
        <w:t>3.联合体将严格按照采购文件的各项要求，递交响应文件，履行合同，并对外承担连带责任。</w:t>
      </w:r>
    </w:p>
    <w:p>
      <w:pPr>
        <w:topLinePunct/>
        <w:spacing w:line="400" w:lineRule="atLeast"/>
        <w:ind w:firstLine="420" w:firstLineChars="200"/>
        <w:rPr>
          <w:szCs w:val="21"/>
        </w:rPr>
      </w:pPr>
      <w:r>
        <w:rPr>
          <w:rFonts w:hint="eastAsia"/>
          <w:szCs w:val="21"/>
        </w:rPr>
        <w:t>4.联合体牵头单位代表联合体签署磋商响应文件，联合体牵头单位的所有承诺均认为代表了联合体各成员。</w:t>
      </w:r>
    </w:p>
    <w:p>
      <w:pPr>
        <w:topLinePunct/>
        <w:spacing w:line="400" w:lineRule="atLeast"/>
        <w:ind w:firstLine="420" w:firstLineChars="200"/>
        <w:rPr>
          <w:szCs w:val="21"/>
        </w:rPr>
      </w:pPr>
      <w:r>
        <w:rPr>
          <w:rFonts w:hint="eastAsia"/>
          <w:szCs w:val="21"/>
        </w:rPr>
        <w:t>5.联合体各成员单位内部的职责分工如下：</w:t>
      </w:r>
      <w:r>
        <w:rPr>
          <w:rFonts w:hint="eastAsia"/>
          <w:szCs w:val="21"/>
          <w:u w:val="single"/>
        </w:rPr>
        <w:t>(牵头单位名称)</w:t>
      </w:r>
      <w:r>
        <w:rPr>
          <w:rFonts w:hint="eastAsia"/>
          <w:szCs w:val="21"/>
        </w:rPr>
        <w:t>承担工作，</w:t>
      </w:r>
      <w:r>
        <w:rPr>
          <w:rFonts w:hint="eastAsia"/>
        </w:rPr>
        <w:t>所承担工作的金额占到联合体协议总金额的</w:t>
      </w:r>
      <w:r>
        <w:rPr>
          <w:rFonts w:hint="eastAsia"/>
          <w:u w:val="single"/>
        </w:rPr>
        <w:t xml:space="preserve">   </w:t>
      </w:r>
      <w:r>
        <w:rPr>
          <w:rFonts w:hint="eastAsia"/>
        </w:rPr>
        <w:t>%</w:t>
      </w:r>
      <w:r>
        <w:rPr>
          <w:rFonts w:hint="eastAsia"/>
          <w:szCs w:val="21"/>
        </w:rPr>
        <w:t>；</w:t>
      </w:r>
      <w:r>
        <w:rPr>
          <w:rFonts w:hint="eastAsia"/>
          <w:szCs w:val="21"/>
          <w:u w:val="single"/>
        </w:rPr>
        <w:t>(成员一名称)</w:t>
      </w:r>
      <w:r>
        <w:rPr>
          <w:rFonts w:hint="eastAsia"/>
          <w:szCs w:val="21"/>
        </w:rPr>
        <w:t>承担工作，</w:t>
      </w:r>
      <w:r>
        <w:rPr>
          <w:rFonts w:hint="eastAsia"/>
        </w:rPr>
        <w:t>所承担工作的金额占到联合体协议总金额的</w:t>
      </w:r>
      <w:r>
        <w:rPr>
          <w:rFonts w:hint="eastAsia"/>
          <w:u w:val="single"/>
        </w:rPr>
        <w:t xml:space="preserve">   </w:t>
      </w:r>
      <w:r>
        <w:rPr>
          <w:rFonts w:hint="eastAsia"/>
        </w:rPr>
        <w:t>%</w:t>
      </w:r>
      <w:r>
        <w:rPr>
          <w:rFonts w:hint="eastAsia"/>
          <w:szCs w:val="21"/>
        </w:rPr>
        <w:t>。</w:t>
      </w:r>
    </w:p>
    <w:p>
      <w:pPr>
        <w:topLinePunct/>
        <w:spacing w:line="400" w:lineRule="atLeast"/>
        <w:ind w:firstLine="420" w:firstLineChars="200"/>
        <w:rPr>
          <w:szCs w:val="21"/>
        </w:rPr>
      </w:pPr>
      <w:r>
        <w:rPr>
          <w:rFonts w:hint="eastAsia"/>
          <w:szCs w:val="21"/>
        </w:rPr>
        <w:t>6.小型、微型企业的协议合同金额</w:t>
      </w:r>
      <w:r>
        <w:rPr>
          <w:rFonts w:hint="eastAsia"/>
          <w:szCs w:val="21"/>
          <w:u w:val="single"/>
        </w:rPr>
        <w:t>（填写：是/否）</w:t>
      </w:r>
      <w:r>
        <w:rPr>
          <w:rFonts w:hint="eastAsia"/>
          <w:szCs w:val="21"/>
        </w:rPr>
        <w:t>占到联合体协议合同总金额30％以上。响应工作和联合体在成交后工作实施过程中的有关费用按各自承担的工作量分摊。</w:t>
      </w:r>
    </w:p>
    <w:p>
      <w:pPr>
        <w:spacing w:line="400" w:lineRule="atLeast"/>
        <w:ind w:firstLine="420" w:firstLineChars="200"/>
        <w:rPr>
          <w:szCs w:val="21"/>
        </w:rPr>
      </w:pPr>
      <w:r>
        <w:rPr>
          <w:rFonts w:hint="eastAsia"/>
          <w:szCs w:val="21"/>
        </w:rPr>
        <w:t>7.本协议书自签署之日起生效，合同履行完毕后自动失效。</w:t>
      </w:r>
    </w:p>
    <w:p>
      <w:pPr>
        <w:spacing w:line="400" w:lineRule="atLeast"/>
        <w:ind w:firstLine="420" w:firstLineChars="200"/>
        <w:rPr>
          <w:szCs w:val="21"/>
        </w:rPr>
      </w:pPr>
      <w:r>
        <w:rPr>
          <w:rFonts w:hint="eastAsia"/>
          <w:szCs w:val="21"/>
        </w:rPr>
        <w:t>8.本协议书一式份，联合体成员和采购人各执一份。</w:t>
      </w:r>
    </w:p>
    <w:p>
      <w:pPr>
        <w:spacing w:line="400" w:lineRule="atLeast"/>
        <w:ind w:firstLine="420" w:firstLineChars="200"/>
        <w:rPr>
          <w:szCs w:val="21"/>
        </w:rPr>
      </w:pPr>
    </w:p>
    <w:p>
      <w:pPr>
        <w:topLinePunct/>
        <w:spacing w:line="400" w:lineRule="atLeast"/>
        <w:ind w:firstLine="411" w:firstLineChars="196"/>
        <w:rPr>
          <w:szCs w:val="21"/>
        </w:rPr>
      </w:pPr>
      <w:r>
        <w:rPr>
          <w:rFonts w:hint="eastAsia"/>
          <w:szCs w:val="21"/>
        </w:rPr>
        <w:t>牵头单位名称：(盖单位章)</w:t>
      </w:r>
    </w:p>
    <w:p>
      <w:pPr>
        <w:topLinePunct/>
        <w:spacing w:line="400" w:lineRule="atLeast"/>
        <w:ind w:firstLine="411" w:firstLineChars="196"/>
        <w:rPr>
          <w:szCs w:val="21"/>
        </w:rPr>
      </w:pPr>
      <w:r>
        <w:rPr>
          <w:rFonts w:hint="eastAsia"/>
          <w:szCs w:val="21"/>
        </w:rPr>
        <w:t>法定代表人：(签字)</w:t>
      </w:r>
    </w:p>
    <w:p>
      <w:pPr>
        <w:topLinePunct/>
        <w:spacing w:line="400" w:lineRule="atLeast"/>
        <w:ind w:firstLine="411" w:firstLineChars="196"/>
        <w:rPr>
          <w:szCs w:val="21"/>
        </w:rPr>
      </w:pPr>
    </w:p>
    <w:p>
      <w:pPr>
        <w:topLinePunct/>
        <w:spacing w:line="400" w:lineRule="atLeast"/>
        <w:ind w:firstLine="411" w:firstLineChars="196"/>
        <w:rPr>
          <w:szCs w:val="21"/>
        </w:rPr>
      </w:pPr>
      <w:r>
        <w:rPr>
          <w:rFonts w:hint="eastAsia"/>
          <w:szCs w:val="21"/>
        </w:rPr>
        <w:t>成员一名称：(盖单位章)</w:t>
      </w:r>
    </w:p>
    <w:p>
      <w:pPr>
        <w:topLinePunct/>
        <w:spacing w:line="400" w:lineRule="atLeast"/>
        <w:ind w:firstLine="411" w:firstLineChars="196"/>
        <w:rPr>
          <w:szCs w:val="21"/>
        </w:rPr>
      </w:pPr>
      <w:r>
        <w:rPr>
          <w:rFonts w:hint="eastAsia"/>
          <w:szCs w:val="21"/>
        </w:rPr>
        <w:t>法定代表人：(签字)</w:t>
      </w:r>
    </w:p>
    <w:p>
      <w:pPr>
        <w:topLinePunct/>
        <w:spacing w:line="400" w:lineRule="atLeast"/>
        <w:ind w:firstLine="411" w:firstLineChars="196"/>
        <w:rPr>
          <w:szCs w:val="21"/>
        </w:rPr>
      </w:pPr>
    </w:p>
    <w:p>
      <w:pPr>
        <w:spacing w:line="440" w:lineRule="exact"/>
        <w:jc w:val="center"/>
        <w:rPr>
          <w:szCs w:val="21"/>
        </w:rPr>
      </w:pPr>
      <w:r>
        <w:rPr>
          <w:rFonts w:hint="eastAsia"/>
          <w:szCs w:val="21"/>
        </w:rPr>
        <w:t xml:space="preserve">  年        月       日</w:t>
      </w:r>
    </w:p>
    <w:p>
      <w:pPr>
        <w:rPr>
          <w:szCs w:val="21"/>
        </w:rPr>
      </w:pPr>
    </w:p>
    <w:p>
      <w:pPr>
        <w:rPr>
          <w:szCs w:val="21"/>
        </w:rPr>
      </w:pPr>
    </w:p>
    <w:p>
      <w:pPr>
        <w:spacing w:line="360" w:lineRule="auto"/>
        <w:rPr>
          <w:b/>
          <w:szCs w:val="21"/>
        </w:rPr>
      </w:pPr>
      <w:r>
        <w:rPr>
          <w:rFonts w:hint="eastAsia"/>
          <w:szCs w:val="21"/>
        </w:rPr>
        <w:t>注：采用联合体形式投标的投标人必须提供联合体协议书；如单独投标无须提供“联合体协议书”。</w:t>
      </w:r>
    </w:p>
    <w:p/>
    <w:p>
      <w:pPr>
        <w:snapToGrid w:val="0"/>
        <w:spacing w:line="360" w:lineRule="auto"/>
        <w:jc w:val="left"/>
        <w:rPr>
          <w:rFonts w:ascii="宋体"/>
          <w:szCs w:val="21"/>
        </w:rPr>
      </w:pPr>
    </w:p>
    <w:p>
      <w:pPr>
        <w:snapToGrid w:val="0"/>
        <w:spacing w:line="360" w:lineRule="auto"/>
        <w:jc w:val="left"/>
        <w:rPr>
          <w:rFonts w:ascii="宋体"/>
          <w:szCs w:val="21"/>
        </w:rPr>
      </w:pPr>
    </w:p>
    <w:p>
      <w:pPr>
        <w:snapToGrid w:val="0"/>
        <w:spacing w:line="360" w:lineRule="auto"/>
        <w:jc w:val="left"/>
        <w:rPr>
          <w:rFonts w:ascii="宋体"/>
          <w:szCs w:val="21"/>
        </w:rPr>
      </w:pPr>
    </w:p>
    <w:p>
      <w:pPr>
        <w:snapToGrid w:val="0"/>
        <w:spacing w:line="360" w:lineRule="auto"/>
        <w:jc w:val="left"/>
        <w:rPr>
          <w:rFonts w:ascii="宋体" w:hAnsi="宋体" w:cs="宋体"/>
          <w:b/>
          <w:szCs w:val="21"/>
        </w:rPr>
        <w:sectPr>
          <w:pgSz w:w="11907" w:h="16840"/>
          <w:pgMar w:top="1361" w:right="1474" w:bottom="1242" w:left="1474" w:header="720" w:footer="720" w:gutter="0"/>
          <w:cols w:space="720" w:num="1"/>
          <w:docGrid w:linePitch="285" w:charSpace="0"/>
        </w:sectPr>
      </w:pPr>
    </w:p>
    <w:p>
      <w:pPr>
        <w:snapToGrid w:val="0"/>
        <w:spacing w:line="360" w:lineRule="auto"/>
        <w:jc w:val="left"/>
        <w:rPr>
          <w:rFonts w:ascii="宋体" w:hAnsi="宋体" w:cs="宋体"/>
          <w:b/>
          <w:szCs w:val="21"/>
        </w:rPr>
      </w:pPr>
      <w:r>
        <w:rPr>
          <w:rFonts w:hint="eastAsia" w:ascii="宋体" w:hAnsi="宋体" w:cs="宋体"/>
          <w:b/>
          <w:szCs w:val="21"/>
        </w:rPr>
        <w:t>2.商务技术部分包括以下内容：</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（1）符合性自查表(格式见附件)；</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（2）供应商响应表(格式见附件)；</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（3）法定代表人的身份证明或法定代表人授权书【投标人的代表若为非法定代表人的，必须提交法定代表人授权书及</w:t>
      </w:r>
      <w:r>
        <w:rPr>
          <w:rFonts w:hint="eastAsia" w:ascii="宋体" w:hAnsi="宋体" w:cs="宋体"/>
          <w:bCs/>
          <w:szCs w:val="21"/>
        </w:rPr>
        <w:t>授权代表距开标日前六个月内任一月内投标人为其所缴纳社保证明（均加盖公章）</w:t>
      </w:r>
      <w:r>
        <w:rPr>
          <w:rFonts w:hint="eastAsia" w:ascii="宋体" w:hAnsi="宋体" w:cs="宋体"/>
          <w:szCs w:val="21"/>
        </w:rPr>
        <w:t>，格式见附件】；</w:t>
      </w:r>
    </w:p>
    <w:p>
      <w:pPr>
        <w:tabs>
          <w:tab w:val="left" w:pos="518"/>
        </w:tabs>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（4）投标人基本情况说明(格式见附件)；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（5）车辆配备（格式见附件）；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（6）驾驶员身份证及驾驶证复印件加盖公章（如有，请提供）；</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（7）人员配备方案（人员配备表格式见附件）；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（8）停车场配置方案；</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（9）管理制度和工作流程；</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（10）项目实施保障措施及服务质量承诺；</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（11）应急方案；</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（12）优化服务承诺；</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（13）合理化建议；</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（14）同类项目业绩表（格式见附件）；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（15）商务条款偏离表(格式见附件)；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（16）服务条款偏离表(格式见附件)；</w:t>
      </w:r>
    </w:p>
    <w:p>
      <w:pPr>
        <w:tabs>
          <w:tab w:val="left" w:pos="0"/>
        </w:tabs>
        <w:snapToGrid w:val="0"/>
        <w:spacing w:line="360" w:lineRule="auto"/>
        <w:ind w:firstLine="420" w:firstLineChars="200"/>
        <w:jc w:val="left"/>
        <w:rPr>
          <w:rFonts w:ascii="宋体" w:hAnsi="宋体" w:cs="宋体"/>
          <w:szCs w:val="21"/>
        </w:rPr>
      </w:pPr>
      <w:r>
        <w:rPr>
          <w:rFonts w:hint="eastAsia" w:ascii="宋体" w:hAnsi="宋体" w:cs="宋体"/>
          <w:szCs w:val="21"/>
        </w:rPr>
        <w:t>（17）投标人认为有必要提交的其他商务技术部分文件和资料。</w:t>
      </w:r>
    </w:p>
    <w:p>
      <w:pPr>
        <w:spacing w:line="360" w:lineRule="auto"/>
        <w:rPr>
          <w:rFonts w:ascii="宋体" w:hAnsi="宋体" w:cs="宋体"/>
          <w:szCs w:val="21"/>
        </w:rPr>
      </w:pPr>
    </w:p>
    <w:p>
      <w:pPr>
        <w:snapToGrid w:val="0"/>
        <w:spacing w:before="120" w:beforeLines="50" w:line="360" w:lineRule="auto"/>
        <w:ind w:firstLine="424" w:firstLineChars="202"/>
        <w:rPr>
          <w:rFonts w:ascii="宋体" w:hAnsi="宋体" w:cs="宋体"/>
          <w:szCs w:val="21"/>
        </w:rPr>
      </w:pPr>
    </w:p>
    <w:p>
      <w:pPr>
        <w:widowControl/>
        <w:spacing w:line="360" w:lineRule="auto"/>
        <w:jc w:val="left"/>
        <w:rPr>
          <w:rFonts w:ascii="宋体" w:hAnsi="宋体" w:cs="宋体"/>
          <w:b/>
          <w:szCs w:val="21"/>
        </w:rPr>
      </w:pPr>
      <w:r>
        <w:rPr>
          <w:rFonts w:hint="eastAsia" w:hAnsi="宋体" w:cs="宋体"/>
        </w:rPr>
        <w:br w:type="page"/>
      </w:r>
      <w:bookmarkEnd w:id="169"/>
      <w:bookmarkEnd w:id="171"/>
      <w:r>
        <w:rPr>
          <w:rFonts w:hint="eastAsia" w:hAnsi="宋体" w:cs="宋体"/>
          <w:b/>
        </w:rPr>
        <w:t>格式四：</w:t>
      </w:r>
      <w:r>
        <w:rPr>
          <w:rFonts w:hint="eastAsia" w:ascii="宋体" w:hAnsi="宋体" w:cs="宋体"/>
          <w:b/>
          <w:szCs w:val="21"/>
        </w:rPr>
        <w:t>符合性自查表</w:t>
      </w:r>
    </w:p>
    <w:p>
      <w:pPr>
        <w:jc w:val="center"/>
        <w:rPr>
          <w:rFonts w:ascii="宋体" w:hAnsi="宋体" w:cs="宋体"/>
          <w:b/>
          <w:sz w:val="32"/>
          <w:szCs w:val="32"/>
        </w:rPr>
      </w:pPr>
      <w:r>
        <w:rPr>
          <w:rFonts w:hint="eastAsia" w:ascii="宋体" w:hAnsi="宋体" w:cs="宋体"/>
          <w:b/>
          <w:sz w:val="32"/>
          <w:szCs w:val="32"/>
        </w:rPr>
        <w:t>符合性自查表</w:t>
      </w:r>
    </w:p>
    <w:tbl>
      <w:tblPr>
        <w:tblStyle w:val="35"/>
        <w:tblW w:w="84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5328"/>
        <w:gridCol w:w="18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1209" w:type="dxa"/>
            <w:tcBorders>
              <w:tl2br w:val="nil"/>
              <w:tr2bl w:val="nil"/>
            </w:tcBorders>
          </w:tcPr>
          <w:p>
            <w:pPr>
              <w:snapToGrid w:val="0"/>
              <w:spacing w:line="400" w:lineRule="exact"/>
              <w:jc w:val="center"/>
              <w:rPr>
                <w:rFonts w:ascii="宋体" w:hAnsi="宋体" w:cs="宋体"/>
                <w:b/>
                <w:szCs w:val="21"/>
              </w:rPr>
            </w:pPr>
            <w:r>
              <w:rPr>
                <w:rFonts w:hint="eastAsia" w:ascii="宋体" w:hAnsi="宋体" w:cs="宋体"/>
                <w:b/>
                <w:szCs w:val="21"/>
              </w:rPr>
              <w:t>审查类别</w:t>
            </w:r>
          </w:p>
        </w:tc>
        <w:tc>
          <w:tcPr>
            <w:tcW w:w="5328" w:type="dxa"/>
            <w:tcBorders>
              <w:tl2br w:val="nil"/>
              <w:tr2bl w:val="nil"/>
            </w:tcBorders>
          </w:tcPr>
          <w:p>
            <w:pPr>
              <w:snapToGrid w:val="0"/>
              <w:spacing w:line="400" w:lineRule="exact"/>
              <w:jc w:val="center"/>
              <w:rPr>
                <w:rFonts w:ascii="宋体" w:hAnsi="宋体" w:cs="宋体"/>
                <w:b/>
                <w:szCs w:val="21"/>
              </w:rPr>
            </w:pPr>
            <w:r>
              <w:rPr>
                <w:rFonts w:hint="eastAsia" w:ascii="宋体" w:hAnsi="宋体" w:cs="宋体"/>
                <w:b/>
                <w:szCs w:val="21"/>
              </w:rPr>
              <w:t>审查内容</w:t>
            </w:r>
          </w:p>
        </w:tc>
        <w:tc>
          <w:tcPr>
            <w:tcW w:w="1887" w:type="dxa"/>
            <w:tcBorders>
              <w:tl2br w:val="nil"/>
              <w:tr2bl w:val="nil"/>
            </w:tcBorders>
          </w:tcPr>
          <w:p>
            <w:pPr>
              <w:snapToGrid w:val="0"/>
              <w:spacing w:line="400" w:lineRule="exact"/>
              <w:jc w:val="center"/>
              <w:rPr>
                <w:rFonts w:ascii="宋体" w:hAnsi="宋体" w:cs="宋体"/>
                <w:b/>
                <w:szCs w:val="21"/>
              </w:rPr>
            </w:pPr>
            <w:r>
              <w:rPr>
                <w:rFonts w:hint="eastAsia" w:ascii="宋体" w:hAnsi="宋体" w:cs="宋体"/>
                <w:b/>
                <w:bCs/>
                <w:szCs w:val="21"/>
              </w:rPr>
              <w:t>自查结论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restart"/>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符合性审查</w:t>
            </w:r>
          </w:p>
          <w:p>
            <w:pPr>
              <w:snapToGrid w:val="0"/>
              <w:spacing w:line="400" w:lineRule="exact"/>
              <w:jc w:val="center"/>
              <w:rPr>
                <w:rFonts w:ascii="宋体" w:hAnsi="宋体" w:cs="宋体"/>
                <w:szCs w:val="21"/>
              </w:rPr>
            </w:pPr>
            <w:r>
              <w:rPr>
                <w:rFonts w:hint="eastAsia" w:ascii="宋体" w:hAnsi="宋体" w:cs="宋体"/>
                <w:szCs w:val="21"/>
              </w:rPr>
              <w:t>（商务技术文件）</w:t>
            </w: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（一）按照采购文件规定要求签署或盖章；</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（二）投标文件有法定代表人签署本人姓名（或印盖本人姓名章），或签署人提供有效的法定代表人授权委托书且授权委托书填写项目齐全的；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kern w:val="0"/>
                <w:szCs w:val="21"/>
              </w:rPr>
            </w:pPr>
            <w:r>
              <w:rPr>
                <w:rFonts w:hint="eastAsia" w:ascii="宋体" w:hAnsi="宋体" w:cs="宋体"/>
                <w:szCs w:val="21"/>
              </w:rPr>
              <w:t>（三）投标有效期满足招标文件要求的；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（四）带“</w:t>
            </w:r>
            <w:r>
              <w:rPr>
                <w:rFonts w:hint="eastAsia" w:ascii="宋体" w:hAnsi="宋体"/>
              </w:rPr>
              <w:t>*</w:t>
            </w:r>
            <w:r>
              <w:rPr>
                <w:rFonts w:hint="eastAsia" w:ascii="宋体" w:hAnsi="宋体" w:cs="宋体"/>
                <w:szCs w:val="21"/>
              </w:rPr>
              <w:t>”的条款满足采购文件要求、已实质性响应采购文件要求且投标文件无采购人不能接受的附加条件的；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（五）投标文件中未含有采购人不能接受的附加条件的；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（六）投标文件提供资料不存在内容虚假的；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（七）不存在投标文件的实质性内容未使用中文表述、表述不明确、前后矛盾或者使用计量单位不符合招标文件要求的（经评标委员会认定并允许其当场更正的笔误除外）；</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（八）不存在投标文件的关键内容字迹模糊、无法辨认的，或者投标文件中经修正的内容字迹模糊难以辨认或者修改处未按规定签署、盖章的；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（九）不存在法律、法规和招标文件规定的其他无效情形；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tabs>
                <w:tab w:val="left" w:pos="612"/>
              </w:tabs>
              <w:snapToGrid w:val="0"/>
              <w:spacing w:line="400" w:lineRule="exact"/>
              <w:rPr>
                <w:rFonts w:ascii="宋体" w:hAnsi="宋体" w:cs="宋体"/>
                <w:szCs w:val="21"/>
              </w:rPr>
            </w:pPr>
            <w:r>
              <w:rPr>
                <w:rFonts w:hint="eastAsia" w:ascii="宋体" w:hAnsi="宋体" w:cs="宋体"/>
                <w:szCs w:val="21"/>
              </w:rPr>
              <w:t>（十）不存在未提供或未如实提供投标货物的技术参数，或者投标文件标明的响应或偏离与事实相符，或不存在虚假投标的；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（十一）投标技术方案明确，不存在一个或一个以上备选（替代）投标方案的。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vAlign w:val="center"/>
          </w:tcPr>
          <w:p>
            <w:pPr>
              <w:snapToGrid w:val="0"/>
              <w:spacing w:line="400" w:lineRule="exact"/>
              <w:jc w:val="center"/>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（十二）商务技术文件不存在采购文件所规定的其它无效投标条款要求。</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restart"/>
            <w:tcBorders>
              <w:tl2br w:val="nil"/>
              <w:tr2bl w:val="nil"/>
            </w:tcBorders>
            <w:vAlign w:val="center"/>
          </w:tcPr>
          <w:p>
            <w:pPr>
              <w:snapToGrid w:val="0"/>
              <w:spacing w:line="400" w:lineRule="exact"/>
              <w:jc w:val="center"/>
              <w:rPr>
                <w:rFonts w:ascii="宋体" w:hAnsi="宋体" w:cs="宋体"/>
                <w:szCs w:val="21"/>
              </w:rPr>
            </w:pPr>
            <w:r>
              <w:rPr>
                <w:rFonts w:hint="eastAsia" w:ascii="宋体" w:hAnsi="宋体" w:cs="宋体"/>
                <w:szCs w:val="21"/>
              </w:rPr>
              <w:t>符合性审查</w:t>
            </w:r>
          </w:p>
          <w:p>
            <w:pPr>
              <w:snapToGrid w:val="0"/>
              <w:spacing w:line="400" w:lineRule="exact"/>
              <w:ind w:firstLine="210" w:firstLineChars="100"/>
              <w:jc w:val="center"/>
              <w:rPr>
                <w:rFonts w:ascii="宋体" w:hAnsi="宋体" w:cs="宋体"/>
                <w:szCs w:val="21"/>
              </w:rPr>
            </w:pPr>
            <w:r>
              <w:rPr>
                <w:rFonts w:hint="eastAsia" w:ascii="宋体" w:hAnsi="宋体" w:cs="宋体"/>
                <w:szCs w:val="21"/>
              </w:rPr>
              <w:t>（报价文件）</w:t>
            </w:r>
          </w:p>
        </w:tc>
        <w:tc>
          <w:tcPr>
            <w:tcW w:w="5328" w:type="dxa"/>
            <w:tcBorders>
              <w:tl2br w:val="nil"/>
              <w:tr2bl w:val="nil"/>
            </w:tcBorders>
            <w:vAlign w:val="center"/>
          </w:tcPr>
          <w:p>
            <w:pPr>
              <w:snapToGrid w:val="0"/>
              <w:rPr>
                <w:rFonts w:ascii="宋体" w:hAnsi="宋体" w:cs="宋体"/>
                <w:szCs w:val="21"/>
              </w:rPr>
            </w:pPr>
            <w:r>
              <w:rPr>
                <w:rFonts w:hint="eastAsia" w:ascii="宋体" w:hAnsi="宋体" w:cs="宋体"/>
                <w:szCs w:val="21"/>
              </w:rPr>
              <w:t>（一）按照采购文件规定要求签署或盖章；</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rPr>
                <w:rFonts w:ascii="宋体" w:hAnsi="宋体" w:cs="宋体"/>
                <w:szCs w:val="21"/>
              </w:rPr>
            </w:pPr>
            <w:r>
              <w:rPr>
                <w:rFonts w:hint="eastAsia" w:ascii="宋体" w:hAnsi="宋体" w:cs="宋体"/>
                <w:szCs w:val="21"/>
              </w:rPr>
              <w:t>（二）采用人民币报价或者按照采购文件标明的币种报价的；</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（三）不存在报价超出最高限价，或者超出采购预算金额，采购人不能支付的情形；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（四）不存在投标报价具有选择性的情形；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（五）投标报价中未出现重大缺项、漏项；</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（七）不存在法律、法规和采购文件规定的其他无效情形；</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9" w:type="dxa"/>
            <w:vMerge w:val="continue"/>
            <w:tcBorders>
              <w:tl2br w:val="nil"/>
              <w:tr2bl w:val="nil"/>
            </w:tcBorders>
          </w:tcPr>
          <w:p>
            <w:pPr>
              <w:snapToGrid w:val="0"/>
              <w:spacing w:line="400" w:lineRule="exact"/>
              <w:ind w:firstLine="210" w:firstLineChars="100"/>
              <w:rPr>
                <w:rFonts w:ascii="宋体" w:hAnsi="宋体" w:cs="宋体"/>
                <w:szCs w:val="21"/>
              </w:rPr>
            </w:pPr>
          </w:p>
        </w:tc>
        <w:tc>
          <w:tcPr>
            <w:tcW w:w="5328" w:type="dxa"/>
            <w:tcBorders>
              <w:tl2br w:val="nil"/>
              <w:tr2bl w:val="nil"/>
            </w:tcBorders>
            <w:vAlign w:val="center"/>
          </w:tcPr>
          <w:p>
            <w:pPr>
              <w:snapToGrid w:val="0"/>
              <w:spacing w:line="400" w:lineRule="exact"/>
              <w:rPr>
                <w:rFonts w:ascii="宋体" w:hAnsi="宋体" w:cs="宋体"/>
                <w:szCs w:val="21"/>
              </w:rPr>
            </w:pPr>
            <w:r>
              <w:rPr>
                <w:rFonts w:hint="eastAsia" w:ascii="宋体" w:hAnsi="宋体" w:cs="宋体"/>
                <w:szCs w:val="21"/>
              </w:rPr>
              <w:t>（八）报价文件不存在采购文件所规定的其它无效投标条款要求。</w:t>
            </w:r>
          </w:p>
        </w:tc>
        <w:tc>
          <w:tcPr>
            <w:tcW w:w="1887" w:type="dxa"/>
            <w:tcBorders>
              <w:tl2br w:val="nil"/>
              <w:tr2bl w:val="nil"/>
            </w:tcBorders>
            <w:vAlign w:val="center"/>
          </w:tcPr>
          <w:p>
            <w:pPr>
              <w:adjustRightInd w:val="0"/>
              <w:snapToGrid w:val="0"/>
              <w:rPr>
                <w:rFonts w:ascii="宋体" w:hAnsi="宋体" w:cs="宋体"/>
                <w:szCs w:val="21"/>
              </w:rPr>
            </w:pP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r>
    </w:tbl>
    <w:p>
      <w:pPr>
        <w:snapToGrid w:val="0"/>
        <w:spacing w:line="360" w:lineRule="auto"/>
        <w:rPr>
          <w:rFonts w:ascii="宋体" w:hAnsi="宋体" w:cs="宋体"/>
          <w:b/>
          <w:szCs w:val="21"/>
        </w:rPr>
      </w:pPr>
      <w:r>
        <w:rPr>
          <w:rFonts w:hint="eastAsia" w:ascii="宋体" w:hAnsi="宋体" w:cs="宋体"/>
          <w:b/>
          <w:szCs w:val="21"/>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pPr>
        <w:spacing w:line="360" w:lineRule="auto"/>
        <w:jc w:val="left"/>
        <w:rPr>
          <w:rFonts w:ascii="宋体" w:hAnsi="宋体" w:cs="宋体"/>
          <w:b/>
          <w:szCs w:val="21"/>
        </w:rPr>
      </w:pPr>
      <w:r>
        <w:rPr>
          <w:rFonts w:hint="eastAsia" w:ascii="宋体" w:hAnsi="宋体" w:cs="宋体"/>
          <w:b/>
        </w:rPr>
        <w:br w:type="page"/>
      </w:r>
      <w:r>
        <w:rPr>
          <w:rFonts w:hint="eastAsia" w:ascii="宋体" w:hAnsi="宋体" w:cs="宋体"/>
          <w:b/>
        </w:rPr>
        <w:t>格式五：</w:t>
      </w:r>
      <w:r>
        <w:rPr>
          <w:rFonts w:hint="eastAsia" w:ascii="宋体" w:hAnsi="宋体" w:cs="宋体"/>
          <w:b/>
          <w:szCs w:val="21"/>
        </w:rPr>
        <w:t>供应商响应表</w:t>
      </w:r>
    </w:p>
    <w:p>
      <w:pPr>
        <w:jc w:val="center"/>
        <w:rPr>
          <w:rFonts w:ascii="宋体" w:hAnsi="宋体" w:cs="宋体"/>
          <w:b/>
          <w:sz w:val="32"/>
          <w:szCs w:val="32"/>
        </w:rPr>
      </w:pPr>
      <w:r>
        <w:rPr>
          <w:rFonts w:hint="eastAsia" w:ascii="宋体" w:hAnsi="宋体" w:cs="宋体"/>
          <w:b/>
          <w:sz w:val="32"/>
          <w:szCs w:val="32"/>
        </w:rPr>
        <w:t>供应商响应表</w:t>
      </w:r>
    </w:p>
    <w:p>
      <w:pPr>
        <w:rPr>
          <w:rFonts w:ascii="宋体" w:hAnsi="宋体" w:cs="宋体"/>
        </w:rPr>
      </w:pPr>
    </w:p>
    <w:tbl>
      <w:tblPr>
        <w:tblStyle w:val="35"/>
        <w:tblW w:w="8436"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5"/>
        <w:gridCol w:w="4621"/>
        <w:gridCol w:w="1460"/>
        <w:gridCol w:w="1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895" w:type="dxa"/>
            <w:vAlign w:val="center"/>
          </w:tcPr>
          <w:p>
            <w:pPr>
              <w:jc w:val="center"/>
              <w:rPr>
                <w:rFonts w:ascii="宋体" w:hAnsi="宋体" w:cs="宋体"/>
              </w:rPr>
            </w:pPr>
            <w:r>
              <w:rPr>
                <w:rFonts w:hint="eastAsia" w:ascii="宋体" w:hAnsi="宋体" w:cs="宋体"/>
              </w:rPr>
              <w:t>序号</w:t>
            </w:r>
          </w:p>
        </w:tc>
        <w:tc>
          <w:tcPr>
            <w:tcW w:w="4621" w:type="dxa"/>
            <w:vAlign w:val="center"/>
          </w:tcPr>
          <w:p>
            <w:pPr>
              <w:jc w:val="center"/>
              <w:rPr>
                <w:rFonts w:ascii="宋体" w:hAnsi="宋体" w:cs="宋体"/>
              </w:rPr>
            </w:pPr>
            <w:r>
              <w:rPr>
                <w:rFonts w:hint="eastAsia" w:ascii="宋体" w:hAnsi="宋体" w:cs="宋体"/>
              </w:rPr>
              <w:t>评审内容</w:t>
            </w:r>
          </w:p>
        </w:tc>
        <w:tc>
          <w:tcPr>
            <w:tcW w:w="1460" w:type="dxa"/>
            <w:vAlign w:val="center"/>
          </w:tcPr>
          <w:p>
            <w:pPr>
              <w:jc w:val="center"/>
              <w:rPr>
                <w:rFonts w:ascii="宋体" w:hAnsi="宋体" w:cs="宋体"/>
              </w:rPr>
            </w:pPr>
            <w:r>
              <w:rPr>
                <w:rFonts w:hint="eastAsia" w:ascii="宋体" w:hAnsi="宋体" w:cs="宋体"/>
              </w:rPr>
              <w:t>自评分</w:t>
            </w:r>
          </w:p>
        </w:tc>
        <w:tc>
          <w:tcPr>
            <w:tcW w:w="1460" w:type="dxa"/>
            <w:vAlign w:val="center"/>
          </w:tcPr>
          <w:p>
            <w:pPr>
              <w:jc w:val="center"/>
              <w:rPr>
                <w:rFonts w:ascii="宋体" w:hAnsi="宋体" w:cs="宋体"/>
              </w:rPr>
            </w:pPr>
            <w:r>
              <w:rPr>
                <w:rFonts w:hint="eastAsia" w:ascii="宋体" w:hAnsi="宋体" w:cs="宋体"/>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895" w:type="dxa"/>
            <w:vAlign w:val="center"/>
          </w:tcPr>
          <w:p>
            <w:pPr>
              <w:rPr>
                <w:rFonts w:ascii="宋体" w:hAnsi="宋体" w:cs="宋体"/>
              </w:rPr>
            </w:pPr>
          </w:p>
        </w:tc>
        <w:tc>
          <w:tcPr>
            <w:tcW w:w="4621" w:type="dxa"/>
            <w:vAlign w:val="center"/>
          </w:tcPr>
          <w:p>
            <w:pPr>
              <w:rPr>
                <w:rFonts w:ascii="宋体" w:hAnsi="宋体" w:cs="宋体"/>
              </w:rPr>
            </w:pPr>
          </w:p>
        </w:tc>
        <w:tc>
          <w:tcPr>
            <w:tcW w:w="1460" w:type="dxa"/>
            <w:vAlign w:val="center"/>
          </w:tcPr>
          <w:p>
            <w:pPr>
              <w:jc w:val="center"/>
              <w:rPr>
                <w:rFonts w:ascii="宋体" w:hAnsi="宋体" w:cs="宋体"/>
              </w:rPr>
            </w:pPr>
          </w:p>
        </w:tc>
        <w:tc>
          <w:tcPr>
            <w:tcW w:w="1460" w:type="dxa"/>
            <w:vAlign w:val="center"/>
          </w:tcPr>
          <w:p>
            <w:pPr>
              <w:jc w:val="center"/>
              <w:rPr>
                <w:rFonts w:ascii="宋体" w:hAnsi="宋体" w:cs="宋体"/>
              </w:rPr>
            </w:pPr>
            <w:r>
              <w:rPr>
                <w:rFonts w:hint="eastAsia" w:ascii="宋体" w:hAnsi="宋体" w:cs="宋体"/>
              </w:rPr>
              <w:t>见（  ）页</w:t>
            </w:r>
          </w:p>
        </w:tc>
      </w:tr>
    </w:tbl>
    <w:p>
      <w:pPr>
        <w:rPr>
          <w:rFonts w:ascii="宋体" w:hAnsi="宋体" w:cs="宋体"/>
          <w:b/>
        </w:rPr>
      </w:pPr>
      <w:r>
        <w:rPr>
          <w:rFonts w:hint="eastAsia" w:ascii="宋体" w:hAnsi="宋体" w:cs="宋体"/>
          <w:b/>
        </w:rPr>
        <w:t>注：根据评分标准内容逐条填写，除价格分外。</w:t>
      </w:r>
    </w:p>
    <w:p>
      <w:pPr>
        <w:rPr>
          <w:rFonts w:ascii="宋体" w:hAnsi="宋体" w:cs="宋体"/>
        </w:rPr>
      </w:pPr>
    </w:p>
    <w:p>
      <w:pPr>
        <w:spacing w:line="360" w:lineRule="auto"/>
        <w:jc w:val="left"/>
        <w:rPr>
          <w:rFonts w:ascii="宋体" w:hAnsi="宋体" w:cs="宋体"/>
          <w:szCs w:val="21"/>
        </w:rPr>
      </w:pPr>
      <w:r>
        <w:rPr>
          <w:rFonts w:hint="eastAsia" w:ascii="宋体" w:hAnsi="宋体" w:cs="宋体"/>
          <w:szCs w:val="21"/>
        </w:rPr>
        <w:br w:type="page"/>
      </w:r>
      <w:r>
        <w:rPr>
          <w:rFonts w:hint="eastAsia" w:ascii="宋体" w:hAnsi="宋体" w:cs="宋体"/>
          <w:b/>
        </w:rPr>
        <w:t>格式六：</w:t>
      </w:r>
      <w:r>
        <w:rPr>
          <w:rFonts w:hint="eastAsia" w:ascii="宋体" w:hAnsi="宋体" w:cs="宋体"/>
          <w:b/>
          <w:szCs w:val="21"/>
        </w:rPr>
        <w:t>法定代表人的身份证明</w:t>
      </w:r>
    </w:p>
    <w:p>
      <w:pPr>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法定代表人身份证明</w:t>
      </w:r>
    </w:p>
    <w:p>
      <w:pPr>
        <w:spacing w:line="480" w:lineRule="auto"/>
        <w:jc w:val="center"/>
        <w:rPr>
          <w:rFonts w:ascii="宋体" w:hAnsi="宋体" w:cs="宋体"/>
          <w:bCs/>
          <w:sz w:val="24"/>
        </w:rPr>
      </w:pPr>
    </w:p>
    <w:p>
      <w:pPr>
        <w:spacing w:line="480" w:lineRule="auto"/>
        <w:jc w:val="center"/>
        <w:rPr>
          <w:rFonts w:ascii="宋体" w:hAnsi="宋体" w:cs="宋体"/>
          <w:b/>
          <w:sz w:val="24"/>
        </w:rPr>
      </w:pPr>
      <w:r>
        <w:rPr>
          <w:rFonts w:hint="eastAsia" w:ascii="宋体" w:hAnsi="宋体" w:cs="宋体"/>
          <w:bCs/>
          <w:sz w:val="24"/>
        </w:rPr>
        <w:t>（法定代表人不来投标的，此表不用）</w:t>
      </w:r>
    </w:p>
    <w:p>
      <w:pPr>
        <w:spacing w:line="480" w:lineRule="auto"/>
        <w:ind w:firstLine="420" w:firstLineChars="200"/>
        <w:rPr>
          <w:rFonts w:ascii="宋体" w:hAnsi="宋体" w:cs="宋体"/>
          <w:szCs w:val="21"/>
        </w:rPr>
      </w:pPr>
    </w:p>
    <w:p>
      <w:pPr>
        <w:widowControl/>
        <w:spacing w:line="360" w:lineRule="auto"/>
        <w:rPr>
          <w:rFonts w:ascii="Arial" w:hAnsi="Arial"/>
          <w:szCs w:val="21"/>
        </w:rPr>
      </w:pPr>
      <w:r>
        <w:rPr>
          <w:rFonts w:hint="eastAsia" w:ascii="Arial" w:hAnsi="Arial"/>
          <w:szCs w:val="21"/>
        </w:rPr>
        <w:t>单位名称：</w:t>
      </w:r>
      <w:r>
        <w:rPr>
          <w:rFonts w:hint="eastAsia" w:ascii="Arial" w:hAnsi="Arial"/>
          <w:szCs w:val="21"/>
          <w:u w:val="single"/>
        </w:rPr>
        <w:t xml:space="preserve">                                                                     </w:t>
      </w:r>
    </w:p>
    <w:p>
      <w:pPr>
        <w:widowControl/>
        <w:spacing w:line="360" w:lineRule="auto"/>
        <w:rPr>
          <w:rFonts w:ascii="Arial" w:hAnsi="Arial"/>
          <w:szCs w:val="21"/>
        </w:rPr>
      </w:pPr>
      <w:r>
        <w:rPr>
          <w:rFonts w:hint="eastAsia" w:ascii="Arial" w:hAnsi="Arial"/>
          <w:szCs w:val="21"/>
        </w:rPr>
        <w:t>地    址：</w:t>
      </w:r>
      <w:r>
        <w:rPr>
          <w:rFonts w:hint="eastAsia" w:ascii="Arial" w:hAnsi="Arial"/>
          <w:szCs w:val="21"/>
          <w:u w:val="single"/>
        </w:rPr>
        <w:t xml:space="preserve">                                                                     </w:t>
      </w:r>
    </w:p>
    <w:p>
      <w:pPr>
        <w:widowControl/>
        <w:spacing w:line="360" w:lineRule="auto"/>
        <w:rPr>
          <w:rFonts w:ascii="Arial" w:hAnsi="Arial"/>
          <w:szCs w:val="21"/>
        </w:rPr>
      </w:pPr>
      <w:r>
        <w:rPr>
          <w:rFonts w:hint="eastAsia" w:ascii="Arial" w:hAnsi="Arial"/>
          <w:szCs w:val="21"/>
        </w:rPr>
        <w:t>姓    名：</w:t>
      </w:r>
      <w:r>
        <w:rPr>
          <w:rFonts w:hint="eastAsia" w:ascii="Arial" w:hAnsi="Arial"/>
          <w:szCs w:val="21"/>
          <w:u w:val="single"/>
        </w:rPr>
        <w:t xml:space="preserve">                              </w:t>
      </w:r>
      <w:r>
        <w:rPr>
          <w:rFonts w:hint="eastAsia" w:ascii="Arial" w:hAnsi="Arial"/>
          <w:szCs w:val="21"/>
        </w:rPr>
        <w:t xml:space="preserve"> 性    别：</w:t>
      </w:r>
      <w:r>
        <w:rPr>
          <w:rFonts w:hint="eastAsia" w:ascii="Arial" w:hAnsi="Arial"/>
          <w:szCs w:val="21"/>
          <w:u w:val="single"/>
        </w:rPr>
        <w:t xml:space="preserve">                            </w:t>
      </w:r>
    </w:p>
    <w:p>
      <w:pPr>
        <w:widowControl/>
        <w:spacing w:line="360" w:lineRule="auto"/>
        <w:rPr>
          <w:rFonts w:ascii="Arial" w:hAnsi="Arial"/>
          <w:szCs w:val="21"/>
          <w:u w:val="single"/>
        </w:rPr>
      </w:pPr>
      <w:r>
        <w:rPr>
          <w:rFonts w:hint="eastAsia" w:ascii="Arial" w:hAnsi="Arial"/>
          <w:szCs w:val="21"/>
        </w:rPr>
        <w:t>年    龄：</w:t>
      </w:r>
      <w:r>
        <w:rPr>
          <w:rFonts w:hint="eastAsia" w:ascii="Arial" w:hAnsi="Arial"/>
          <w:szCs w:val="21"/>
          <w:u w:val="single"/>
        </w:rPr>
        <w:t xml:space="preserve">                              </w:t>
      </w:r>
      <w:r>
        <w:rPr>
          <w:rFonts w:hint="eastAsia" w:ascii="Arial" w:hAnsi="Arial"/>
          <w:szCs w:val="21"/>
        </w:rPr>
        <w:t xml:space="preserve"> 职    务：</w:t>
      </w:r>
      <w:r>
        <w:rPr>
          <w:rFonts w:hint="eastAsia" w:ascii="Arial" w:hAnsi="Arial"/>
          <w:szCs w:val="21"/>
          <w:u w:val="single"/>
        </w:rPr>
        <w:t xml:space="preserve">                            </w:t>
      </w:r>
    </w:p>
    <w:p>
      <w:pPr>
        <w:widowControl/>
        <w:spacing w:line="360" w:lineRule="auto"/>
        <w:rPr>
          <w:rFonts w:ascii="Arial" w:hAnsi="Arial"/>
          <w:szCs w:val="21"/>
        </w:rPr>
      </w:pPr>
      <w:r>
        <w:rPr>
          <w:rFonts w:hint="eastAsia" w:ascii="Arial" w:hAnsi="Arial"/>
          <w:szCs w:val="21"/>
        </w:rPr>
        <w:t>身份证号码：</w:t>
      </w:r>
      <w:r>
        <w:rPr>
          <w:rFonts w:hint="eastAsia" w:ascii="Arial" w:hAnsi="Arial"/>
          <w:szCs w:val="21"/>
          <w:u w:val="single"/>
        </w:rPr>
        <w:t xml:space="preserve">                                                                   </w:t>
      </w:r>
    </w:p>
    <w:p>
      <w:pPr>
        <w:widowControl/>
        <w:spacing w:line="360" w:lineRule="auto"/>
        <w:rPr>
          <w:rFonts w:ascii="Arial" w:hAnsi="Arial"/>
          <w:szCs w:val="21"/>
        </w:rPr>
      </w:pPr>
      <w:r>
        <w:rPr>
          <w:rFonts w:hint="eastAsia" w:ascii="Arial" w:hAnsi="Arial"/>
          <w:szCs w:val="21"/>
        </w:rPr>
        <w:t xml:space="preserve">    系</w:t>
      </w:r>
      <w:r>
        <w:rPr>
          <w:rFonts w:hint="eastAsia" w:ascii="Arial" w:hAnsi="Arial"/>
          <w:szCs w:val="21"/>
          <w:u w:val="single"/>
        </w:rPr>
        <w:t xml:space="preserve">              </w:t>
      </w:r>
      <w:r>
        <w:rPr>
          <w:rFonts w:hint="eastAsia" w:ascii="Arial" w:hAnsi="Arial"/>
          <w:szCs w:val="21"/>
        </w:rPr>
        <w:t xml:space="preserve"> （投标人名称）的法定代表人。</w:t>
      </w:r>
    </w:p>
    <w:p>
      <w:pPr>
        <w:widowControl/>
        <w:spacing w:line="360" w:lineRule="auto"/>
        <w:rPr>
          <w:rFonts w:ascii="Arial" w:hAnsi="Arial"/>
          <w:szCs w:val="21"/>
        </w:rPr>
      </w:pPr>
      <w:r>
        <w:rPr>
          <w:rFonts w:hint="eastAsia" w:ascii="Arial" w:hAnsi="Arial"/>
          <w:szCs w:val="21"/>
        </w:rPr>
        <w:t xml:space="preserve">    特此证明。</w:t>
      </w:r>
    </w:p>
    <w:p>
      <w:pPr>
        <w:widowControl/>
        <w:spacing w:line="360" w:lineRule="auto"/>
        <w:rPr>
          <w:rFonts w:ascii="Arial" w:hAnsi="Arial"/>
          <w:szCs w:val="21"/>
        </w:rPr>
      </w:pPr>
    </w:p>
    <w:p>
      <w:pPr>
        <w:widowControl/>
        <w:spacing w:line="360" w:lineRule="auto"/>
        <w:rPr>
          <w:rFonts w:ascii="Arial" w:hAnsi="Arial"/>
          <w:szCs w:val="21"/>
        </w:rPr>
      </w:pPr>
      <w:r>
        <w:rPr>
          <w:rFonts w:hint="eastAsia" w:ascii="Arial" w:hAnsi="Arial"/>
          <w:szCs w:val="21"/>
        </w:rPr>
        <w:t>后附法定代表人身份证正反面复印件，加盖公章。</w:t>
      </w:r>
    </w:p>
    <w:p>
      <w:pPr>
        <w:widowControl/>
        <w:spacing w:line="360" w:lineRule="auto"/>
        <w:rPr>
          <w:rFonts w:ascii="Arial" w:hAnsi="Arial"/>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spacing w:line="360" w:lineRule="auto"/>
        <w:rPr>
          <w:rFonts w:ascii="宋体" w:hAnsi="宋体" w:cs="宋体"/>
          <w:b/>
          <w:szCs w:val="21"/>
        </w:rPr>
      </w:pPr>
    </w:p>
    <w:p>
      <w:pPr>
        <w:spacing w:line="360" w:lineRule="auto"/>
        <w:rPr>
          <w:rFonts w:ascii="宋体" w:hAnsi="宋体" w:cs="宋体"/>
          <w:b/>
          <w:szCs w:val="21"/>
        </w:rPr>
      </w:pPr>
    </w:p>
    <w:p>
      <w:pPr>
        <w:rPr>
          <w:rFonts w:ascii="宋体" w:hAnsi="宋体" w:cs="宋体"/>
        </w:rPr>
      </w:pPr>
    </w:p>
    <w:p>
      <w:pPr>
        <w:jc w:val="left"/>
        <w:rPr>
          <w:rFonts w:ascii="宋体" w:hAnsi="宋体" w:cs="宋体"/>
          <w:b/>
          <w:sz w:val="32"/>
          <w:szCs w:val="32"/>
        </w:rPr>
      </w:pPr>
    </w:p>
    <w:p>
      <w:pPr>
        <w:rPr>
          <w:rFonts w:ascii="宋体" w:hAnsi="宋体" w:cs="宋体"/>
          <w:b/>
          <w:szCs w:val="21"/>
        </w:rPr>
      </w:pPr>
      <w:r>
        <w:rPr>
          <w:rFonts w:hint="eastAsia" w:ascii="宋体" w:hAnsi="宋体" w:cs="宋体"/>
          <w:szCs w:val="21"/>
        </w:rPr>
        <w:br w:type="page"/>
      </w:r>
      <w:r>
        <w:rPr>
          <w:rFonts w:hint="eastAsia" w:ascii="宋体" w:hAnsi="宋体" w:cs="宋体"/>
          <w:b/>
          <w:szCs w:val="21"/>
        </w:rPr>
        <w:t>格式七：法定代表人授权书</w:t>
      </w:r>
    </w:p>
    <w:p>
      <w:pPr>
        <w:jc w:val="center"/>
        <w:rPr>
          <w:rFonts w:ascii="宋体" w:hAnsi="宋体" w:cs="宋体"/>
          <w:b/>
          <w:sz w:val="32"/>
          <w:szCs w:val="32"/>
        </w:rPr>
      </w:pPr>
      <w:r>
        <w:rPr>
          <w:rFonts w:hint="eastAsia" w:ascii="宋体" w:hAnsi="宋体" w:cs="宋体"/>
          <w:b/>
          <w:sz w:val="32"/>
          <w:szCs w:val="32"/>
        </w:rPr>
        <w:t>法定代表人授权委托书</w:t>
      </w:r>
    </w:p>
    <w:p>
      <w:pPr>
        <w:jc w:val="center"/>
        <w:rPr>
          <w:rFonts w:ascii="宋体" w:hAnsi="宋体" w:cs="宋体"/>
          <w:bCs/>
          <w:sz w:val="24"/>
        </w:rPr>
      </w:pPr>
    </w:p>
    <w:p>
      <w:pPr>
        <w:jc w:val="center"/>
        <w:rPr>
          <w:rFonts w:ascii="宋体" w:hAnsi="宋体" w:cs="宋体"/>
          <w:b/>
          <w:sz w:val="32"/>
          <w:szCs w:val="32"/>
        </w:rPr>
      </w:pPr>
      <w:r>
        <w:rPr>
          <w:rFonts w:hint="eastAsia" w:ascii="宋体" w:hAnsi="宋体" w:cs="宋体"/>
          <w:bCs/>
          <w:sz w:val="24"/>
        </w:rPr>
        <w:t>（法定代表人来投标的，此表不用）</w:t>
      </w:r>
    </w:p>
    <w:p>
      <w:pPr>
        <w:snapToGrid w:val="0"/>
        <w:spacing w:line="360" w:lineRule="auto"/>
        <w:rPr>
          <w:rFonts w:ascii="宋体" w:hAnsi="宋体" w:cs="宋体"/>
          <w:bCs/>
          <w:sz w:val="24"/>
        </w:rPr>
      </w:pPr>
    </w:p>
    <w:p>
      <w:pPr>
        <w:snapToGrid w:val="0"/>
        <w:spacing w:line="360" w:lineRule="auto"/>
        <w:rPr>
          <w:rFonts w:ascii="宋体" w:hAnsi="宋体" w:cs="宋体"/>
          <w:bCs/>
          <w:szCs w:val="21"/>
        </w:rPr>
      </w:pPr>
    </w:p>
    <w:p>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（采购单位名称）</w:t>
      </w:r>
      <w:r>
        <w:rPr>
          <w:rFonts w:hint="eastAsia" w:ascii="宋体" w:hAnsi="宋体" w:cs="宋体"/>
          <w:szCs w:val="21"/>
        </w:rPr>
        <w:t>：</w:t>
      </w:r>
    </w:p>
    <w:p>
      <w:pPr>
        <w:snapToGrid w:val="0"/>
        <w:spacing w:line="360" w:lineRule="auto"/>
        <w:ind w:firstLine="525" w:firstLineChars="25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（姓名）</w:t>
      </w:r>
      <w:r>
        <w:rPr>
          <w:rFonts w:hint="eastAsia" w:ascii="宋体" w:hAnsi="宋体" w:cs="宋体"/>
          <w:szCs w:val="21"/>
        </w:rPr>
        <w:t>系</w:t>
      </w:r>
      <w:r>
        <w:rPr>
          <w:rFonts w:hint="eastAsia" w:ascii="宋体" w:hAnsi="宋体" w:cs="宋体"/>
          <w:szCs w:val="21"/>
          <w:u w:val="single"/>
        </w:rPr>
        <w:t>（供应商名称）</w:t>
      </w:r>
      <w:r>
        <w:rPr>
          <w:rFonts w:hint="eastAsia" w:ascii="宋体" w:hAnsi="宋体" w:cs="宋体"/>
          <w:szCs w:val="21"/>
        </w:rPr>
        <w:t>的法定代表人，现授权委托本单位在职职工</w:t>
      </w:r>
      <w:r>
        <w:rPr>
          <w:rFonts w:hint="eastAsia" w:ascii="宋体" w:hAnsi="宋体" w:cs="宋体"/>
          <w:szCs w:val="21"/>
          <w:u w:val="single"/>
        </w:rPr>
        <w:t xml:space="preserve"> （姓名）</w:t>
      </w:r>
      <w:r>
        <w:rPr>
          <w:rFonts w:hint="eastAsia" w:ascii="宋体" w:hAnsi="宋体" w:cs="宋体"/>
          <w:szCs w:val="21"/>
        </w:rPr>
        <w:t>以我方的名义参加</w:t>
      </w:r>
      <w:r>
        <w:rPr>
          <w:rFonts w:hint="eastAsia" w:ascii="宋体" w:hAnsi="宋体" w:cs="宋体"/>
          <w:szCs w:val="21"/>
          <w:u w:val="single"/>
        </w:rPr>
        <w:t xml:space="preserve">            （项目名称） </w:t>
      </w:r>
      <w:r>
        <w:rPr>
          <w:rFonts w:hint="eastAsia" w:ascii="宋体" w:hAns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u w:val="single"/>
        </w:rPr>
      </w:pPr>
      <w:r>
        <w:rPr>
          <w:rFonts w:hint="eastAsia" w:ascii="宋体" w:hAnsi="宋体" w:cs="宋体"/>
          <w:szCs w:val="21"/>
        </w:rPr>
        <w:t>被授权人（签字或盖章）：                 法定代表人（签字或盖章）：</w:t>
      </w:r>
    </w:p>
    <w:p>
      <w:pPr>
        <w:snapToGrid w:val="0"/>
        <w:spacing w:line="360" w:lineRule="auto"/>
        <w:ind w:firstLine="840" w:firstLineChars="400"/>
        <w:rPr>
          <w:rFonts w:ascii="宋体" w:hAnsi="宋体" w:cs="宋体"/>
          <w:szCs w:val="21"/>
        </w:rPr>
      </w:pPr>
      <w:r>
        <w:rPr>
          <w:rFonts w:hint="eastAsia" w:ascii="宋体" w:hAnsi="宋体" w:cs="宋体"/>
          <w:szCs w:val="21"/>
        </w:rPr>
        <w:t>职务：                          职务：</w:t>
      </w:r>
    </w:p>
    <w:p>
      <w:pPr>
        <w:snapToGrid w:val="0"/>
        <w:spacing w:line="360" w:lineRule="auto"/>
      </w:pPr>
      <w:r>
        <w:rPr>
          <w:rFonts w:hint="eastAsia" w:ascii="宋体" w:hAnsi="宋体" w:cs="宋体"/>
          <w:szCs w:val="21"/>
        </w:rPr>
        <w:t>被授权人身份证号码：</w:t>
      </w:r>
    </w:p>
    <w:p>
      <w:pPr>
        <w:snapToGrid w:val="0"/>
        <w:spacing w:line="360" w:lineRule="auto"/>
        <w:rPr>
          <w:rFonts w:ascii="宋体" w:hAnsi="宋体" w:cs="宋体"/>
          <w:szCs w:val="21"/>
        </w:rPr>
      </w:pPr>
      <w:r>
        <w:rPr>
          <w:rFonts w:hint="eastAsia" w:ascii="宋体" w:hAnsi="宋体" w:cs="宋体"/>
          <w:szCs w:val="21"/>
        </w:rPr>
        <w:t>被授权人手机号码：</w:t>
      </w:r>
    </w:p>
    <w:p>
      <w:pPr>
        <w:snapToGrid w:val="0"/>
        <w:spacing w:line="360" w:lineRule="auto"/>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ind w:firstLine="103" w:firstLineChars="49"/>
        <w:rPr>
          <w:rFonts w:ascii="宋体" w:hAnsi="宋体" w:cs="宋体"/>
          <w:b/>
          <w:szCs w:val="21"/>
        </w:rPr>
      </w:pPr>
      <w:r>
        <w:rPr>
          <w:rFonts w:hint="eastAsia" w:ascii="宋体" w:hAnsi="宋体" w:cs="宋体"/>
          <w:b/>
          <w:szCs w:val="21"/>
        </w:rPr>
        <w:t>附：法定代表人身份证复印件（正反面）、授权代表身份证复印件及距开标日前六个月内任一月投标人为其所缴纳社保证明（均加盖公章）</w:t>
      </w:r>
    </w:p>
    <w:p>
      <w:pPr>
        <w:widowControl/>
        <w:jc w:val="left"/>
        <w:rPr>
          <w:rFonts w:ascii="宋体" w:hAnsi="宋体" w:cs="宋体"/>
          <w:b/>
          <w:szCs w:val="21"/>
        </w:rPr>
      </w:pPr>
    </w:p>
    <w:p>
      <w:pPr>
        <w:widowControl/>
        <w:jc w:val="left"/>
        <w:rPr>
          <w:rFonts w:ascii="宋体" w:hAnsi="宋体" w:cs="宋体"/>
          <w:b/>
          <w:szCs w:val="21"/>
        </w:rPr>
      </w:pPr>
    </w:p>
    <w:p>
      <w:pPr>
        <w:widowControl/>
        <w:jc w:val="left"/>
        <w:rPr>
          <w:rFonts w:ascii="宋体" w:hAnsi="宋体" w:cs="宋体"/>
          <w:b/>
          <w:szCs w:val="21"/>
        </w:rPr>
      </w:pPr>
    </w:p>
    <w:p>
      <w:pPr>
        <w:snapToGrid w:val="0"/>
        <w:spacing w:before="120" w:beforeLines="50" w:after="50"/>
        <w:rPr>
          <w:rFonts w:ascii="宋体" w:hAnsi="宋体" w:cs="宋体"/>
          <w:b/>
        </w:rPr>
      </w:pPr>
      <w:r>
        <w:rPr>
          <w:rFonts w:hint="eastAsia" w:ascii="宋体"/>
          <w:bCs/>
          <w:szCs w:val="21"/>
        </w:rPr>
        <w:t>备注：若联合体参加投标，投标人盖章处盖联合牵头人公章。法定代表人签字处由牵头人单位法定代表人签字。</w:t>
      </w:r>
      <w:r>
        <w:rPr>
          <w:rFonts w:hint="eastAsia" w:ascii="宋体" w:hAnsi="宋体" w:cs="宋体"/>
          <w:b/>
          <w:szCs w:val="21"/>
        </w:rPr>
        <w:br w:type="page"/>
      </w:r>
      <w:r>
        <w:rPr>
          <w:rFonts w:hint="eastAsia" w:ascii="宋体" w:hAnsi="宋体" w:cs="宋体"/>
          <w:b/>
          <w:szCs w:val="21"/>
        </w:rPr>
        <w:t>格式八：投标人基本情况说明</w:t>
      </w:r>
    </w:p>
    <w:p>
      <w:pPr>
        <w:spacing w:line="360" w:lineRule="auto"/>
        <w:jc w:val="center"/>
        <w:rPr>
          <w:rFonts w:ascii="宋体" w:hAnsi="宋体" w:cs="宋体"/>
          <w:b/>
          <w:szCs w:val="21"/>
        </w:rPr>
      </w:pPr>
      <w:bookmarkStart w:id="173" w:name="_Toc14746861"/>
      <w:bookmarkStart w:id="174" w:name="_Toc479927873"/>
      <w:bookmarkStart w:id="175" w:name="_Toc483379796"/>
      <w:bookmarkStart w:id="176" w:name="_Toc488936100"/>
      <w:bookmarkStart w:id="177" w:name="_Toc225223761"/>
      <w:bookmarkStart w:id="178" w:name="_Toc110393361"/>
    </w:p>
    <w:p>
      <w:pPr>
        <w:spacing w:before="120" w:after="120"/>
        <w:jc w:val="center"/>
        <w:rPr>
          <w:rFonts w:ascii="宋体" w:hAnsi="宋体" w:cs="宋体"/>
          <w:b/>
          <w:bCs/>
          <w:spacing w:val="20"/>
          <w:sz w:val="24"/>
        </w:rPr>
      </w:pPr>
      <w:r>
        <w:rPr>
          <w:rFonts w:hint="eastAsia" w:ascii="宋体" w:hAnsi="宋体" w:cs="宋体"/>
          <w:b/>
          <w:bCs/>
          <w:spacing w:val="20"/>
          <w:sz w:val="24"/>
        </w:rPr>
        <w:t>投标人基本情况说明</w:t>
      </w:r>
      <w:bookmarkEnd w:id="173"/>
      <w:bookmarkEnd w:id="174"/>
      <w:bookmarkEnd w:id="175"/>
      <w:bookmarkEnd w:id="176"/>
      <w:bookmarkEnd w:id="177"/>
      <w:bookmarkEnd w:id="178"/>
    </w:p>
    <w:tbl>
      <w:tblPr>
        <w:tblStyle w:val="35"/>
        <w:tblW w:w="9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单位名称</w:t>
            </w:r>
          </w:p>
        </w:tc>
        <w:tc>
          <w:tcPr>
            <w:tcW w:w="3675" w:type="dxa"/>
            <w:gridSpan w:val="3"/>
            <w:vAlign w:val="center"/>
          </w:tcPr>
          <w:p>
            <w:pPr>
              <w:spacing w:line="360" w:lineRule="auto"/>
              <w:jc w:val="center"/>
              <w:rPr>
                <w:rFonts w:ascii="宋体" w:hAnsi="宋体" w:cs="宋体"/>
                <w:szCs w:val="21"/>
              </w:rPr>
            </w:pPr>
          </w:p>
        </w:tc>
        <w:tc>
          <w:tcPr>
            <w:tcW w:w="1785" w:type="dxa"/>
            <w:vAlign w:val="center"/>
          </w:tcPr>
          <w:p>
            <w:pPr>
              <w:spacing w:line="360" w:lineRule="auto"/>
              <w:jc w:val="center"/>
              <w:rPr>
                <w:rFonts w:ascii="宋体" w:hAnsi="宋体" w:cs="宋体"/>
                <w:szCs w:val="21"/>
              </w:rPr>
            </w:pPr>
            <w:r>
              <w:rPr>
                <w:rFonts w:hint="eastAsia" w:ascii="宋体" w:hAnsi="宋体" w:cs="宋体"/>
                <w:szCs w:val="21"/>
              </w:rPr>
              <w:t>组织机构代码</w:t>
            </w:r>
          </w:p>
        </w:tc>
        <w:tc>
          <w:tcPr>
            <w:tcW w:w="2234"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注册地址</w:t>
            </w:r>
          </w:p>
        </w:tc>
        <w:tc>
          <w:tcPr>
            <w:tcW w:w="3675" w:type="dxa"/>
            <w:gridSpan w:val="3"/>
            <w:vAlign w:val="center"/>
          </w:tcPr>
          <w:p>
            <w:pPr>
              <w:spacing w:line="360" w:lineRule="auto"/>
              <w:jc w:val="center"/>
              <w:rPr>
                <w:rFonts w:ascii="宋体" w:hAnsi="宋体" w:cs="宋体"/>
                <w:szCs w:val="21"/>
              </w:rPr>
            </w:pPr>
          </w:p>
        </w:tc>
        <w:tc>
          <w:tcPr>
            <w:tcW w:w="1785" w:type="dxa"/>
            <w:vAlign w:val="center"/>
          </w:tcPr>
          <w:p>
            <w:pPr>
              <w:spacing w:line="360" w:lineRule="auto"/>
              <w:jc w:val="center"/>
              <w:rPr>
                <w:rFonts w:ascii="宋体" w:hAnsi="宋体" w:cs="宋体"/>
                <w:szCs w:val="21"/>
              </w:rPr>
            </w:pPr>
            <w:r>
              <w:rPr>
                <w:rFonts w:hint="eastAsia" w:ascii="宋体" w:hAnsi="宋体" w:cs="宋体"/>
                <w:szCs w:val="21"/>
              </w:rPr>
              <w:t>注册登记号</w:t>
            </w:r>
          </w:p>
        </w:tc>
        <w:tc>
          <w:tcPr>
            <w:tcW w:w="2234"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经营地址</w:t>
            </w:r>
          </w:p>
        </w:tc>
        <w:tc>
          <w:tcPr>
            <w:tcW w:w="3675" w:type="dxa"/>
            <w:gridSpan w:val="3"/>
            <w:vAlign w:val="center"/>
          </w:tcPr>
          <w:p>
            <w:pPr>
              <w:spacing w:line="360" w:lineRule="auto"/>
              <w:jc w:val="center"/>
              <w:rPr>
                <w:rFonts w:ascii="宋体" w:hAnsi="宋体" w:cs="宋体"/>
                <w:szCs w:val="21"/>
              </w:rPr>
            </w:pPr>
          </w:p>
        </w:tc>
        <w:tc>
          <w:tcPr>
            <w:tcW w:w="1785" w:type="dxa"/>
            <w:vAlign w:val="center"/>
          </w:tcPr>
          <w:p>
            <w:pPr>
              <w:spacing w:line="360" w:lineRule="auto"/>
              <w:jc w:val="center"/>
              <w:rPr>
                <w:rFonts w:ascii="宋体" w:hAnsi="宋体" w:cs="宋体"/>
                <w:spacing w:val="30"/>
                <w:szCs w:val="21"/>
              </w:rPr>
            </w:pPr>
            <w:r>
              <w:rPr>
                <w:rFonts w:hint="eastAsia" w:ascii="宋体" w:hAnsi="宋体" w:cs="宋体"/>
                <w:szCs w:val="21"/>
              </w:rPr>
              <w:t>税务登记证号</w:t>
            </w:r>
          </w:p>
        </w:tc>
        <w:tc>
          <w:tcPr>
            <w:tcW w:w="2234"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单位性质</w:t>
            </w:r>
          </w:p>
        </w:tc>
        <w:tc>
          <w:tcPr>
            <w:tcW w:w="3675" w:type="dxa"/>
            <w:gridSpan w:val="3"/>
            <w:vAlign w:val="center"/>
          </w:tcPr>
          <w:p>
            <w:pPr>
              <w:pStyle w:val="99"/>
              <w:widowControl w:val="0"/>
              <w:spacing w:before="0" w:beforeAutospacing="0" w:after="0" w:afterAutospacing="0" w:line="360" w:lineRule="auto"/>
              <w:ind w:left="1320" w:hanging="480"/>
              <w:rPr>
                <w:rFonts w:ascii="宋体" w:hAnsi="宋体" w:eastAsia="宋体" w:cs="宋体"/>
                <w:kern w:val="2"/>
                <w:sz w:val="21"/>
                <w:szCs w:val="21"/>
              </w:rPr>
            </w:pPr>
          </w:p>
        </w:tc>
        <w:tc>
          <w:tcPr>
            <w:tcW w:w="1785" w:type="dxa"/>
            <w:vAlign w:val="center"/>
          </w:tcPr>
          <w:p>
            <w:pPr>
              <w:spacing w:line="360" w:lineRule="auto"/>
              <w:jc w:val="center"/>
              <w:rPr>
                <w:rFonts w:ascii="宋体" w:hAnsi="宋体" w:cs="宋体"/>
                <w:spacing w:val="34"/>
                <w:szCs w:val="21"/>
              </w:rPr>
            </w:pPr>
            <w:r>
              <w:rPr>
                <w:rFonts w:hint="eastAsia" w:ascii="宋体" w:hAnsi="宋体" w:cs="宋体"/>
                <w:spacing w:val="34"/>
                <w:szCs w:val="21"/>
              </w:rPr>
              <w:t>注册资本</w:t>
            </w:r>
          </w:p>
        </w:tc>
        <w:tc>
          <w:tcPr>
            <w:tcW w:w="2234"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经营范围</w:t>
            </w:r>
          </w:p>
        </w:tc>
        <w:tc>
          <w:tcPr>
            <w:tcW w:w="3675" w:type="dxa"/>
            <w:gridSpan w:val="3"/>
            <w:vAlign w:val="center"/>
          </w:tcPr>
          <w:p>
            <w:pPr>
              <w:spacing w:line="360" w:lineRule="auto"/>
              <w:jc w:val="center"/>
              <w:rPr>
                <w:rFonts w:ascii="宋体" w:hAnsi="宋体" w:cs="宋体"/>
                <w:szCs w:val="21"/>
              </w:rPr>
            </w:pPr>
          </w:p>
        </w:tc>
        <w:tc>
          <w:tcPr>
            <w:tcW w:w="1785" w:type="dxa"/>
            <w:vAlign w:val="center"/>
          </w:tcPr>
          <w:p>
            <w:pPr>
              <w:spacing w:line="360" w:lineRule="auto"/>
              <w:jc w:val="center"/>
              <w:rPr>
                <w:rFonts w:ascii="宋体" w:hAnsi="宋体" w:cs="宋体"/>
                <w:szCs w:val="21"/>
              </w:rPr>
            </w:pPr>
            <w:r>
              <w:rPr>
                <w:rFonts w:hint="eastAsia" w:ascii="宋体" w:hAnsi="宋体" w:cs="宋体"/>
                <w:szCs w:val="21"/>
              </w:rPr>
              <w:t>营业期限</w:t>
            </w:r>
          </w:p>
        </w:tc>
        <w:tc>
          <w:tcPr>
            <w:tcW w:w="2234" w:type="dxa"/>
            <w:vAlign w:val="center"/>
          </w:tcPr>
          <w:p>
            <w:pPr>
              <w:spacing w:line="360" w:lineRule="auto"/>
              <w:jc w:val="center"/>
              <w:rPr>
                <w:rFonts w:ascii="宋体" w:hAnsi="宋体" w:cs="宋体"/>
                <w:szCs w:val="21"/>
              </w:rPr>
            </w:pPr>
            <w:r>
              <w:rPr>
                <w:rFonts w:hint="eastAsia" w:ascii="宋体" w:hAnsi="宋体" w:cs="宋体"/>
                <w:szCs w:val="21"/>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资质情况</w:t>
            </w:r>
          </w:p>
        </w:tc>
        <w:tc>
          <w:tcPr>
            <w:tcW w:w="7694" w:type="dxa"/>
            <w:gridSpan w:val="5"/>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员工数量</w:t>
            </w:r>
          </w:p>
        </w:tc>
        <w:tc>
          <w:tcPr>
            <w:tcW w:w="7694" w:type="dxa"/>
            <w:gridSpan w:val="5"/>
            <w:vAlign w:val="center"/>
          </w:tcPr>
          <w:p>
            <w:pPr>
              <w:spacing w:line="360" w:lineRule="auto"/>
              <w:rPr>
                <w:rFonts w:ascii="宋体" w:hAnsi="宋体" w:cs="宋体"/>
                <w:szCs w:val="21"/>
              </w:rPr>
            </w:pPr>
            <w:r>
              <w:rPr>
                <w:rFonts w:hint="eastAsia" w:ascii="宋体" w:hAnsi="宋体" w:cs="宋体"/>
                <w:szCs w:val="21"/>
              </w:rPr>
              <w:t>共人，其中，高级职称人，中级职称人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联系电话</w:t>
            </w:r>
          </w:p>
        </w:tc>
        <w:tc>
          <w:tcPr>
            <w:tcW w:w="3675" w:type="dxa"/>
            <w:gridSpan w:val="3"/>
            <w:vAlign w:val="center"/>
          </w:tcPr>
          <w:p>
            <w:pPr>
              <w:spacing w:line="360" w:lineRule="auto"/>
              <w:jc w:val="center"/>
              <w:rPr>
                <w:rFonts w:ascii="宋体" w:hAnsi="宋体" w:cs="宋体"/>
                <w:szCs w:val="21"/>
              </w:rPr>
            </w:pPr>
          </w:p>
        </w:tc>
        <w:tc>
          <w:tcPr>
            <w:tcW w:w="1785" w:type="dxa"/>
            <w:vAlign w:val="center"/>
          </w:tcPr>
          <w:p>
            <w:pPr>
              <w:spacing w:line="360" w:lineRule="auto"/>
              <w:jc w:val="center"/>
              <w:rPr>
                <w:rFonts w:ascii="宋体" w:hAnsi="宋体" w:cs="宋体"/>
                <w:szCs w:val="21"/>
              </w:rPr>
            </w:pPr>
            <w:r>
              <w:rPr>
                <w:rFonts w:hint="eastAsia" w:ascii="宋体" w:hAnsi="宋体" w:cs="宋体"/>
                <w:szCs w:val="21"/>
              </w:rPr>
              <w:t>传真</w:t>
            </w:r>
          </w:p>
        </w:tc>
        <w:tc>
          <w:tcPr>
            <w:tcW w:w="2234"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主要业绩</w:t>
            </w:r>
          </w:p>
        </w:tc>
        <w:tc>
          <w:tcPr>
            <w:tcW w:w="7694" w:type="dxa"/>
            <w:gridSpan w:val="5"/>
            <w:vAlign w:val="center"/>
          </w:tcPr>
          <w:p>
            <w:pPr>
              <w:spacing w:line="360" w:lineRule="auto"/>
              <w:rPr>
                <w:rFonts w:ascii="宋体" w:hAnsi="宋体" w:cs="宋体"/>
                <w:szCs w:val="21"/>
              </w:rPr>
            </w:pPr>
          </w:p>
          <w:p>
            <w:pPr>
              <w:spacing w:line="360" w:lineRule="auto"/>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64" w:type="dxa"/>
            <w:gridSpan w:val="6"/>
            <w:vAlign w:val="center"/>
          </w:tcPr>
          <w:p>
            <w:pPr>
              <w:spacing w:line="360" w:lineRule="auto"/>
              <w:jc w:val="center"/>
              <w:rPr>
                <w:rFonts w:ascii="宋体" w:hAnsi="宋体" w:cs="宋体"/>
                <w:szCs w:val="21"/>
              </w:rPr>
            </w:pPr>
            <w:r>
              <w:rPr>
                <w:rFonts w:hint="eastAsia" w:ascii="宋体" w:hAnsi="宋体" w:cs="宋体"/>
                <w:szCs w:val="21"/>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姓  名</w:t>
            </w:r>
          </w:p>
        </w:tc>
        <w:tc>
          <w:tcPr>
            <w:tcW w:w="3675" w:type="dxa"/>
            <w:gridSpan w:val="3"/>
            <w:vAlign w:val="center"/>
          </w:tcPr>
          <w:p>
            <w:pPr>
              <w:spacing w:line="360" w:lineRule="auto"/>
              <w:jc w:val="center"/>
              <w:rPr>
                <w:rFonts w:ascii="宋体" w:hAnsi="宋体" w:cs="宋体"/>
                <w:szCs w:val="21"/>
              </w:rPr>
            </w:pPr>
          </w:p>
        </w:tc>
        <w:tc>
          <w:tcPr>
            <w:tcW w:w="1785" w:type="dxa"/>
            <w:vAlign w:val="center"/>
          </w:tcPr>
          <w:p>
            <w:pPr>
              <w:spacing w:line="360" w:lineRule="auto"/>
              <w:jc w:val="center"/>
              <w:rPr>
                <w:rFonts w:ascii="宋体" w:hAnsi="宋体" w:cs="宋体"/>
                <w:szCs w:val="21"/>
              </w:rPr>
            </w:pPr>
            <w:r>
              <w:rPr>
                <w:rFonts w:hint="eastAsia" w:ascii="宋体" w:hAnsi="宋体" w:cs="宋体"/>
                <w:szCs w:val="21"/>
              </w:rPr>
              <w:t>身份证号码</w:t>
            </w:r>
          </w:p>
        </w:tc>
        <w:tc>
          <w:tcPr>
            <w:tcW w:w="2234"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70" w:type="dxa"/>
            <w:vAlign w:val="center"/>
          </w:tcPr>
          <w:p>
            <w:pPr>
              <w:spacing w:line="360" w:lineRule="auto"/>
              <w:jc w:val="center"/>
              <w:rPr>
                <w:rFonts w:ascii="宋体" w:hAnsi="宋体" w:cs="宋体"/>
                <w:szCs w:val="21"/>
              </w:rPr>
            </w:pPr>
            <w:r>
              <w:rPr>
                <w:rFonts w:hint="eastAsia" w:ascii="宋体" w:hAnsi="宋体" w:cs="宋体"/>
                <w:szCs w:val="21"/>
              </w:rPr>
              <w:t>职  务</w:t>
            </w:r>
          </w:p>
        </w:tc>
        <w:tc>
          <w:tcPr>
            <w:tcW w:w="1680" w:type="dxa"/>
            <w:vAlign w:val="center"/>
          </w:tcPr>
          <w:p>
            <w:pPr>
              <w:spacing w:line="360" w:lineRule="auto"/>
              <w:jc w:val="center"/>
              <w:rPr>
                <w:rFonts w:ascii="宋体" w:hAnsi="宋体" w:cs="宋体"/>
                <w:szCs w:val="21"/>
              </w:rPr>
            </w:pPr>
          </w:p>
        </w:tc>
        <w:tc>
          <w:tcPr>
            <w:tcW w:w="1050" w:type="dxa"/>
            <w:vAlign w:val="center"/>
          </w:tcPr>
          <w:p>
            <w:pPr>
              <w:spacing w:line="360" w:lineRule="auto"/>
              <w:jc w:val="center"/>
              <w:rPr>
                <w:rFonts w:ascii="宋体" w:hAnsi="宋体" w:cs="宋体"/>
                <w:szCs w:val="21"/>
              </w:rPr>
            </w:pPr>
            <w:r>
              <w:rPr>
                <w:rFonts w:hint="eastAsia" w:ascii="宋体" w:hAnsi="宋体" w:cs="宋体"/>
                <w:szCs w:val="21"/>
              </w:rPr>
              <w:t>职   称</w:t>
            </w:r>
          </w:p>
        </w:tc>
        <w:tc>
          <w:tcPr>
            <w:tcW w:w="945" w:type="dxa"/>
            <w:vAlign w:val="center"/>
          </w:tcPr>
          <w:p>
            <w:pPr>
              <w:spacing w:line="360" w:lineRule="auto"/>
              <w:jc w:val="center"/>
              <w:rPr>
                <w:rFonts w:ascii="宋体" w:hAnsi="宋体" w:cs="宋体"/>
                <w:szCs w:val="21"/>
              </w:rPr>
            </w:pPr>
          </w:p>
        </w:tc>
        <w:tc>
          <w:tcPr>
            <w:tcW w:w="1785" w:type="dxa"/>
            <w:vAlign w:val="center"/>
          </w:tcPr>
          <w:p>
            <w:pPr>
              <w:spacing w:line="360" w:lineRule="auto"/>
              <w:jc w:val="center"/>
              <w:rPr>
                <w:rFonts w:ascii="宋体" w:hAnsi="宋体" w:cs="宋体"/>
                <w:szCs w:val="21"/>
              </w:rPr>
            </w:pPr>
            <w:r>
              <w:rPr>
                <w:rFonts w:hint="eastAsia" w:ascii="宋体" w:hAnsi="宋体" w:cs="宋体"/>
                <w:szCs w:val="21"/>
              </w:rPr>
              <w:t>学    历</w:t>
            </w:r>
          </w:p>
        </w:tc>
        <w:tc>
          <w:tcPr>
            <w:tcW w:w="2234"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9164" w:type="dxa"/>
            <w:gridSpan w:val="6"/>
          </w:tcPr>
          <w:p>
            <w:pPr>
              <w:spacing w:line="360" w:lineRule="auto"/>
              <w:rPr>
                <w:rFonts w:ascii="宋体" w:hAnsi="宋体" w:cs="宋体"/>
                <w:szCs w:val="21"/>
              </w:rPr>
            </w:pPr>
            <w:r>
              <w:rPr>
                <w:rFonts w:hint="eastAsia" w:ascii="宋体" w:hAnsi="宋体" w:cs="宋体"/>
                <w:szCs w:val="21"/>
              </w:rPr>
              <w:t>备注:</w:t>
            </w:r>
          </w:p>
        </w:tc>
      </w:tr>
    </w:tbl>
    <w:p>
      <w:pPr>
        <w:spacing w:line="360" w:lineRule="auto"/>
        <w:rPr>
          <w:rFonts w:ascii="宋体" w:hAnsi="宋体" w:cs="宋体"/>
          <w:b/>
          <w:szCs w:val="21"/>
        </w:rPr>
      </w:pPr>
      <w:r>
        <w:rPr>
          <w:rFonts w:hint="eastAsia" w:ascii="宋体" w:hAnsi="宋体" w:cs="宋体"/>
          <w:b/>
          <w:szCs w:val="21"/>
        </w:rPr>
        <w:t>兹证明上述声明是真实、正确的，并提供了全部能提供的资料和数据，我们同意遵照贵方要求出示有关证明文件。</w:t>
      </w:r>
    </w:p>
    <w:p>
      <w:pPr>
        <w:spacing w:line="360" w:lineRule="auto"/>
        <w:rPr>
          <w:rFonts w:ascii="宋体" w:hAnsi="宋体" w:cs="宋体"/>
          <w:b/>
        </w:rPr>
      </w:pPr>
    </w:p>
    <w:p>
      <w:pPr>
        <w:spacing w:line="360" w:lineRule="auto"/>
        <w:rPr>
          <w:rFonts w:ascii="宋体" w:hAnsi="宋体" w:cs="宋体"/>
          <w:b/>
        </w:rPr>
      </w:pPr>
    </w:p>
    <w:p>
      <w:pPr>
        <w:rPr>
          <w:rFonts w:ascii="宋体" w:hAnsi="宋体" w:cs="宋体"/>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rPr>
          <w:rFonts w:ascii="宋体" w:hAnsi="宋体" w:cs="宋体"/>
          <w:szCs w:val="21"/>
        </w:rPr>
      </w:pPr>
    </w:p>
    <w:p>
      <w:pPr>
        <w:spacing w:line="360" w:lineRule="auto"/>
        <w:ind w:firstLine="103" w:firstLineChars="49"/>
        <w:rPr>
          <w:rFonts w:ascii="宋体" w:hAnsi="宋体" w:cs="宋体"/>
          <w:b/>
          <w:szCs w:val="21"/>
        </w:rPr>
      </w:pPr>
    </w:p>
    <w:p>
      <w:pPr>
        <w:snapToGrid w:val="0"/>
        <w:spacing w:line="360" w:lineRule="auto"/>
        <w:rPr>
          <w:rFonts w:ascii="宋体" w:hAnsi="宋体" w:cs="宋体"/>
          <w:szCs w:val="21"/>
        </w:rPr>
      </w:pPr>
    </w:p>
    <w:p>
      <w:pPr>
        <w:spacing w:line="360" w:lineRule="auto"/>
        <w:rPr>
          <w:rFonts w:ascii="宋体" w:hAnsi="宋体" w:cs="宋体"/>
          <w:sz w:val="24"/>
          <w:szCs w:val="21"/>
        </w:rPr>
        <w:sectPr>
          <w:pgSz w:w="11907" w:h="16840"/>
          <w:pgMar w:top="1361" w:right="1474" w:bottom="1242" w:left="1474" w:header="720" w:footer="720" w:gutter="0"/>
          <w:cols w:space="720" w:num="1"/>
          <w:docGrid w:linePitch="285" w:charSpace="0"/>
        </w:sectPr>
      </w:pPr>
    </w:p>
    <w:p>
      <w:pPr>
        <w:rPr>
          <w:rFonts w:ascii="宋体" w:hAnsi="宋体" w:cs="宋体"/>
          <w:b/>
          <w:szCs w:val="21"/>
        </w:rPr>
      </w:pPr>
      <w:bookmarkStart w:id="179" w:name="_Toc434566544"/>
      <w:bookmarkStart w:id="180" w:name="_Toc303892571"/>
      <w:bookmarkStart w:id="181" w:name="_Toc97372570"/>
      <w:bookmarkStart w:id="182" w:name="_Toc460857951"/>
      <w:r>
        <w:rPr>
          <w:rFonts w:hint="eastAsia" w:ascii="宋体" w:hAnsi="宋体" w:cs="宋体"/>
          <w:b/>
          <w:szCs w:val="21"/>
        </w:rPr>
        <w:t>格式九：投标人基本情况说明</w:t>
      </w:r>
    </w:p>
    <w:p>
      <w:pPr>
        <w:pStyle w:val="32"/>
        <w:widowControl w:val="0"/>
        <w:spacing w:beforeAutospacing="0" w:afterAutospacing="0" w:line="360" w:lineRule="auto"/>
        <w:jc w:val="center"/>
        <w:rPr>
          <w:rFonts w:hAnsi="宋体" w:cs="宋体"/>
          <w:b/>
        </w:rPr>
      </w:pPr>
      <w:r>
        <w:rPr>
          <w:rFonts w:hint="eastAsia" w:hAnsi="宋体" w:cs="宋体"/>
          <w:b/>
        </w:rPr>
        <w:t>车辆配备表</w:t>
      </w:r>
    </w:p>
    <w:p>
      <w:pPr>
        <w:pStyle w:val="32"/>
        <w:widowControl w:val="0"/>
        <w:spacing w:beforeAutospacing="0" w:afterAutospacing="0" w:line="360" w:lineRule="auto"/>
        <w:jc w:val="both"/>
        <w:rPr>
          <w:rFonts w:ascii="宋体" w:hAnsi="宋体" w:cs="宋体"/>
          <w:b/>
          <w:sz w:val="21"/>
          <w:szCs w:val="21"/>
        </w:rPr>
      </w:pPr>
      <w:r>
        <w:rPr>
          <w:rFonts w:hint="eastAsia" w:ascii="宋体" w:hAnsi="宋体" w:cs="宋体"/>
          <w:spacing w:val="-4"/>
          <w:kern w:val="2"/>
          <w:sz w:val="21"/>
          <w:szCs w:val="21"/>
        </w:rPr>
        <w:t>项目名称：                            项目编号：                    标项：</w:t>
      </w:r>
    </w:p>
    <w:tbl>
      <w:tblPr>
        <w:tblStyle w:val="35"/>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640"/>
        <w:gridCol w:w="1338"/>
        <w:gridCol w:w="220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48" w:type="dxa"/>
            <w:vAlign w:val="center"/>
          </w:tcPr>
          <w:p>
            <w:pPr>
              <w:jc w:val="center"/>
              <w:rPr>
                <w:rFonts w:ascii="宋体" w:hAnsi="宋体"/>
                <w:bCs/>
              </w:rPr>
            </w:pPr>
            <w:r>
              <w:rPr>
                <w:rFonts w:hint="eastAsia" w:ascii="宋体" w:hAnsi="宋体"/>
                <w:bCs/>
              </w:rPr>
              <w:t>序号</w:t>
            </w:r>
          </w:p>
        </w:tc>
        <w:tc>
          <w:tcPr>
            <w:tcW w:w="2640" w:type="dxa"/>
            <w:vAlign w:val="center"/>
          </w:tcPr>
          <w:p>
            <w:pPr>
              <w:jc w:val="center"/>
              <w:rPr>
                <w:rFonts w:ascii="宋体" w:hAnsi="宋体"/>
                <w:bCs/>
              </w:rPr>
            </w:pPr>
            <w:r>
              <w:rPr>
                <w:rFonts w:hint="eastAsia" w:ascii="宋体" w:hAnsi="宋体"/>
                <w:bCs/>
              </w:rPr>
              <w:t>车牌号码</w:t>
            </w:r>
          </w:p>
        </w:tc>
        <w:tc>
          <w:tcPr>
            <w:tcW w:w="1338" w:type="dxa"/>
            <w:vAlign w:val="center"/>
          </w:tcPr>
          <w:p>
            <w:pPr>
              <w:jc w:val="center"/>
              <w:rPr>
                <w:rFonts w:ascii="宋体" w:hAnsi="宋体"/>
                <w:bCs/>
              </w:rPr>
            </w:pPr>
            <w:r>
              <w:rPr>
                <w:rFonts w:hint="eastAsia" w:ascii="宋体" w:hAnsi="宋体"/>
                <w:bCs/>
              </w:rPr>
              <w:t>车辆类型</w:t>
            </w:r>
          </w:p>
        </w:tc>
        <w:tc>
          <w:tcPr>
            <w:tcW w:w="2205" w:type="dxa"/>
            <w:vAlign w:val="center"/>
          </w:tcPr>
          <w:p>
            <w:pPr>
              <w:jc w:val="center"/>
              <w:rPr>
                <w:rFonts w:ascii="宋体" w:hAnsi="宋体"/>
                <w:bCs/>
              </w:rPr>
            </w:pPr>
            <w:r>
              <w:rPr>
                <w:rFonts w:hint="eastAsia" w:ascii="宋体" w:hAnsi="宋体"/>
                <w:bCs/>
              </w:rPr>
              <w:t>车辆登记证号码</w:t>
            </w:r>
          </w:p>
        </w:tc>
        <w:tc>
          <w:tcPr>
            <w:tcW w:w="1226" w:type="dxa"/>
            <w:vAlign w:val="center"/>
          </w:tcPr>
          <w:p>
            <w:pPr>
              <w:jc w:val="center"/>
              <w:rPr>
                <w:rFonts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48" w:type="dxa"/>
            <w:vAlign w:val="center"/>
          </w:tcPr>
          <w:p>
            <w:pPr>
              <w:jc w:val="center"/>
              <w:rPr>
                <w:rFonts w:ascii="宋体" w:hAnsi="宋体"/>
                <w:bCs/>
              </w:rPr>
            </w:pPr>
          </w:p>
        </w:tc>
        <w:tc>
          <w:tcPr>
            <w:tcW w:w="2640" w:type="dxa"/>
            <w:vAlign w:val="center"/>
          </w:tcPr>
          <w:p>
            <w:pPr>
              <w:jc w:val="center"/>
              <w:rPr>
                <w:rFonts w:ascii="宋体" w:hAnsi="宋体"/>
                <w:bCs/>
              </w:rPr>
            </w:pPr>
          </w:p>
        </w:tc>
        <w:tc>
          <w:tcPr>
            <w:tcW w:w="1338" w:type="dxa"/>
            <w:vAlign w:val="center"/>
          </w:tcPr>
          <w:p>
            <w:pPr>
              <w:jc w:val="center"/>
              <w:rPr>
                <w:rFonts w:ascii="宋体" w:hAnsi="宋体"/>
                <w:bCs/>
              </w:rPr>
            </w:pPr>
          </w:p>
        </w:tc>
        <w:tc>
          <w:tcPr>
            <w:tcW w:w="2205" w:type="dxa"/>
            <w:vAlign w:val="center"/>
          </w:tcPr>
          <w:p>
            <w:pPr>
              <w:jc w:val="center"/>
              <w:rPr>
                <w:rFonts w:ascii="宋体" w:hAnsi="宋体"/>
                <w:bCs/>
              </w:rPr>
            </w:pPr>
          </w:p>
        </w:tc>
        <w:tc>
          <w:tcPr>
            <w:tcW w:w="1226" w:type="dxa"/>
            <w:vAlign w:val="center"/>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648" w:type="dxa"/>
          </w:tcPr>
          <w:p>
            <w:pPr>
              <w:rPr>
                <w:rFonts w:ascii="宋体" w:hAnsi="宋体"/>
              </w:rPr>
            </w:pPr>
          </w:p>
        </w:tc>
        <w:tc>
          <w:tcPr>
            <w:tcW w:w="2640" w:type="dxa"/>
          </w:tcPr>
          <w:p>
            <w:pPr>
              <w:rPr>
                <w:rFonts w:ascii="宋体" w:hAnsi="宋体"/>
              </w:rPr>
            </w:pPr>
          </w:p>
        </w:tc>
        <w:tc>
          <w:tcPr>
            <w:tcW w:w="1338" w:type="dxa"/>
          </w:tcPr>
          <w:p>
            <w:pPr>
              <w:rPr>
                <w:rFonts w:ascii="宋体" w:hAnsi="宋体"/>
              </w:rPr>
            </w:pPr>
          </w:p>
        </w:tc>
        <w:tc>
          <w:tcPr>
            <w:tcW w:w="2205" w:type="dxa"/>
          </w:tcPr>
          <w:p>
            <w:pPr>
              <w:rPr>
                <w:rFonts w:ascii="宋体" w:hAnsi="宋体"/>
              </w:rPr>
            </w:pPr>
          </w:p>
        </w:tc>
        <w:tc>
          <w:tcPr>
            <w:tcW w:w="122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648" w:type="dxa"/>
          </w:tcPr>
          <w:p>
            <w:pPr>
              <w:rPr>
                <w:rFonts w:ascii="宋体" w:hAnsi="宋体"/>
              </w:rPr>
            </w:pPr>
          </w:p>
        </w:tc>
        <w:tc>
          <w:tcPr>
            <w:tcW w:w="2640" w:type="dxa"/>
          </w:tcPr>
          <w:p>
            <w:pPr>
              <w:rPr>
                <w:rFonts w:ascii="宋体" w:hAnsi="宋体"/>
              </w:rPr>
            </w:pPr>
          </w:p>
        </w:tc>
        <w:tc>
          <w:tcPr>
            <w:tcW w:w="1338" w:type="dxa"/>
          </w:tcPr>
          <w:p>
            <w:pPr>
              <w:rPr>
                <w:rFonts w:ascii="宋体" w:hAnsi="宋体"/>
              </w:rPr>
            </w:pPr>
          </w:p>
        </w:tc>
        <w:tc>
          <w:tcPr>
            <w:tcW w:w="2205" w:type="dxa"/>
          </w:tcPr>
          <w:p>
            <w:pPr>
              <w:rPr>
                <w:rFonts w:ascii="宋体" w:hAnsi="宋体"/>
              </w:rPr>
            </w:pPr>
          </w:p>
        </w:tc>
        <w:tc>
          <w:tcPr>
            <w:tcW w:w="1226"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648" w:type="dxa"/>
          </w:tcPr>
          <w:p>
            <w:pPr>
              <w:rPr>
                <w:rFonts w:ascii="宋体" w:hAnsi="宋体"/>
              </w:rPr>
            </w:pPr>
          </w:p>
        </w:tc>
        <w:tc>
          <w:tcPr>
            <w:tcW w:w="2640" w:type="dxa"/>
          </w:tcPr>
          <w:p>
            <w:pPr>
              <w:rPr>
                <w:rFonts w:ascii="宋体" w:hAnsi="宋体"/>
              </w:rPr>
            </w:pPr>
          </w:p>
        </w:tc>
        <w:tc>
          <w:tcPr>
            <w:tcW w:w="1338" w:type="dxa"/>
          </w:tcPr>
          <w:p>
            <w:pPr>
              <w:rPr>
                <w:rFonts w:ascii="宋体" w:hAnsi="宋体"/>
              </w:rPr>
            </w:pPr>
          </w:p>
        </w:tc>
        <w:tc>
          <w:tcPr>
            <w:tcW w:w="2205" w:type="dxa"/>
          </w:tcPr>
          <w:p>
            <w:pPr>
              <w:rPr>
                <w:rFonts w:ascii="宋体" w:hAnsi="宋体"/>
              </w:rPr>
            </w:pPr>
          </w:p>
        </w:tc>
        <w:tc>
          <w:tcPr>
            <w:tcW w:w="1226" w:type="dxa"/>
          </w:tcPr>
          <w:p>
            <w:pPr>
              <w:rPr>
                <w:rFonts w:ascii="宋体" w:hAnsi="宋体"/>
              </w:rPr>
            </w:pPr>
          </w:p>
        </w:tc>
      </w:tr>
    </w:tbl>
    <w:p>
      <w:pPr>
        <w:pStyle w:val="32"/>
        <w:widowControl w:val="0"/>
        <w:spacing w:beforeAutospacing="0" w:afterAutospacing="0" w:line="360" w:lineRule="auto"/>
        <w:ind w:firstLine="301"/>
        <w:jc w:val="both"/>
        <w:rPr>
          <w:rFonts w:ascii="宋体" w:hAnsi="宋体" w:cs="宋体"/>
          <w:kern w:val="2"/>
          <w:sz w:val="21"/>
          <w:szCs w:val="21"/>
        </w:rPr>
      </w:pPr>
      <w:r>
        <w:rPr>
          <w:rFonts w:hint="eastAsia" w:ascii="宋体" w:hAnsi="宋体" w:cs="宋体"/>
          <w:kern w:val="2"/>
          <w:sz w:val="21"/>
          <w:szCs w:val="21"/>
        </w:rPr>
        <w:t>注：1、表格不够用时可自行扩展。</w:t>
      </w:r>
    </w:p>
    <w:p>
      <w:pPr>
        <w:pStyle w:val="32"/>
        <w:widowControl w:val="0"/>
        <w:spacing w:beforeAutospacing="0" w:afterAutospacing="0" w:line="360" w:lineRule="auto"/>
        <w:ind w:firstLine="301"/>
        <w:jc w:val="both"/>
        <w:rPr>
          <w:rFonts w:ascii="宋体" w:hAnsi="宋体" w:cs="宋体"/>
          <w:kern w:val="2"/>
          <w:sz w:val="21"/>
          <w:szCs w:val="21"/>
        </w:rPr>
      </w:pPr>
      <w:r>
        <w:rPr>
          <w:rFonts w:hint="eastAsia" w:ascii="宋体" w:hAnsi="宋体" w:cs="宋体"/>
          <w:kern w:val="2"/>
          <w:sz w:val="21"/>
          <w:szCs w:val="21"/>
        </w:rPr>
        <w:t>2、后附评分标准表要求提供的证明材料。</w:t>
      </w:r>
    </w:p>
    <w:p>
      <w:pPr>
        <w:widowControl/>
        <w:spacing w:line="360" w:lineRule="auto"/>
        <w:jc w:val="lef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widowControl/>
        <w:jc w:val="left"/>
        <w:rPr>
          <w:rFonts w:ascii="宋体" w:hAnsi="宋体" w:cs="宋体"/>
          <w:szCs w:val="21"/>
        </w:rPr>
      </w:pPr>
    </w:p>
    <w:p>
      <w:pPr>
        <w:rPr>
          <w:rFonts w:ascii="宋体" w:hAnsi="宋体" w:cs="宋体"/>
          <w:b/>
        </w:rPr>
      </w:pPr>
      <w:r>
        <w:rPr>
          <w:rFonts w:hint="eastAsia" w:ascii="宋体" w:hAnsi="宋体" w:cs="宋体"/>
          <w:b/>
        </w:rPr>
        <w:br w:type="page"/>
      </w:r>
    </w:p>
    <w:p>
      <w:pPr>
        <w:widowControl/>
        <w:jc w:val="left"/>
        <w:rPr>
          <w:rFonts w:ascii="宋体" w:hAnsi="宋体" w:cs="宋体"/>
          <w:b/>
          <w:szCs w:val="21"/>
        </w:rPr>
      </w:pPr>
      <w:r>
        <w:rPr>
          <w:rFonts w:hint="eastAsia" w:ascii="宋体" w:hAnsi="宋体" w:cs="宋体"/>
          <w:b/>
        </w:rPr>
        <w:t>格式十：</w:t>
      </w:r>
      <w:r>
        <w:rPr>
          <w:rFonts w:hint="eastAsia" w:ascii="宋体" w:hAnsi="宋体" w:cs="宋体"/>
          <w:b/>
          <w:szCs w:val="21"/>
        </w:rPr>
        <w:t>人员配备表</w:t>
      </w:r>
    </w:p>
    <w:p>
      <w:pPr>
        <w:widowControl/>
        <w:spacing w:line="360" w:lineRule="auto"/>
        <w:jc w:val="left"/>
        <w:rPr>
          <w:rFonts w:ascii="宋体" w:hAnsi="宋体" w:cs="宋体"/>
          <w:b/>
        </w:rPr>
      </w:pPr>
    </w:p>
    <w:p>
      <w:pPr>
        <w:pStyle w:val="32"/>
        <w:widowControl w:val="0"/>
        <w:spacing w:beforeAutospacing="0" w:afterAutospacing="0" w:line="360" w:lineRule="auto"/>
        <w:jc w:val="center"/>
        <w:rPr>
          <w:rFonts w:hAnsi="宋体" w:cs="宋体"/>
          <w:b/>
        </w:rPr>
      </w:pPr>
      <w:r>
        <w:rPr>
          <w:rFonts w:hint="eastAsia" w:hAnsi="宋体" w:cs="宋体"/>
          <w:b/>
        </w:rPr>
        <w:t>人员配备表</w:t>
      </w:r>
    </w:p>
    <w:p>
      <w:pPr>
        <w:pStyle w:val="32"/>
        <w:widowControl w:val="0"/>
        <w:spacing w:beforeAutospacing="0" w:afterAutospacing="0" w:line="360" w:lineRule="auto"/>
        <w:jc w:val="both"/>
        <w:rPr>
          <w:rFonts w:ascii="宋体" w:hAnsi="宋体" w:cs="宋体"/>
          <w:b/>
          <w:sz w:val="21"/>
          <w:szCs w:val="21"/>
        </w:rPr>
      </w:pPr>
      <w:r>
        <w:rPr>
          <w:rFonts w:hint="eastAsia" w:ascii="宋体" w:hAnsi="宋体" w:cs="宋体"/>
          <w:spacing w:val="-4"/>
          <w:kern w:val="2"/>
          <w:sz w:val="21"/>
          <w:szCs w:val="21"/>
        </w:rPr>
        <w:t>项目名称：                      项目编号：                     标项：</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51"/>
        <w:gridCol w:w="686"/>
        <w:gridCol w:w="746"/>
        <w:gridCol w:w="853"/>
        <w:gridCol w:w="1884"/>
        <w:gridCol w:w="1499"/>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jc w:val="center"/>
              <w:rPr>
                <w:rFonts w:ascii="宋体" w:hAnsi="宋体"/>
                <w:bCs/>
              </w:rPr>
            </w:pPr>
            <w:r>
              <w:rPr>
                <w:rFonts w:hint="eastAsia" w:ascii="宋体" w:hAnsi="宋体"/>
                <w:bCs/>
              </w:rPr>
              <w:t>部门</w:t>
            </w:r>
          </w:p>
        </w:tc>
        <w:tc>
          <w:tcPr>
            <w:tcW w:w="1251" w:type="dxa"/>
          </w:tcPr>
          <w:p>
            <w:pPr>
              <w:jc w:val="center"/>
              <w:rPr>
                <w:rFonts w:ascii="宋体" w:hAnsi="宋体"/>
                <w:bCs/>
              </w:rPr>
            </w:pPr>
            <w:r>
              <w:rPr>
                <w:rFonts w:hint="eastAsia" w:ascii="宋体" w:hAnsi="宋体"/>
                <w:bCs/>
              </w:rPr>
              <w:t>岗位或工种</w:t>
            </w:r>
          </w:p>
        </w:tc>
        <w:tc>
          <w:tcPr>
            <w:tcW w:w="686" w:type="dxa"/>
            <w:vAlign w:val="center"/>
          </w:tcPr>
          <w:p>
            <w:pPr>
              <w:jc w:val="center"/>
              <w:rPr>
                <w:rFonts w:ascii="宋体" w:hAnsi="宋体"/>
                <w:bCs/>
              </w:rPr>
            </w:pPr>
            <w:r>
              <w:rPr>
                <w:rFonts w:hint="eastAsia" w:ascii="宋体" w:hAnsi="宋体"/>
                <w:bCs/>
              </w:rPr>
              <w:t>姓名</w:t>
            </w:r>
          </w:p>
        </w:tc>
        <w:tc>
          <w:tcPr>
            <w:tcW w:w="746" w:type="dxa"/>
            <w:vAlign w:val="center"/>
          </w:tcPr>
          <w:p>
            <w:pPr>
              <w:jc w:val="center"/>
              <w:rPr>
                <w:rFonts w:ascii="宋体" w:hAnsi="宋体"/>
                <w:bCs/>
              </w:rPr>
            </w:pPr>
            <w:r>
              <w:rPr>
                <w:rFonts w:hint="eastAsia" w:ascii="宋体" w:hAnsi="宋体"/>
                <w:bCs/>
              </w:rPr>
              <w:t>年龄</w:t>
            </w:r>
          </w:p>
        </w:tc>
        <w:tc>
          <w:tcPr>
            <w:tcW w:w="853" w:type="dxa"/>
            <w:vAlign w:val="center"/>
          </w:tcPr>
          <w:p>
            <w:pPr>
              <w:jc w:val="center"/>
              <w:rPr>
                <w:rFonts w:ascii="宋体" w:hAnsi="宋体"/>
                <w:bCs/>
              </w:rPr>
            </w:pPr>
            <w:r>
              <w:rPr>
                <w:rFonts w:hint="eastAsia" w:ascii="宋体" w:hAnsi="宋体"/>
                <w:bCs/>
              </w:rPr>
              <w:t>学</w:t>
            </w:r>
          </w:p>
          <w:p>
            <w:pPr>
              <w:jc w:val="center"/>
              <w:rPr>
                <w:rFonts w:ascii="宋体" w:hAnsi="宋体"/>
                <w:bCs/>
              </w:rPr>
            </w:pPr>
            <w:r>
              <w:rPr>
                <w:rFonts w:hint="eastAsia" w:ascii="宋体" w:hAnsi="宋体"/>
                <w:bCs/>
              </w:rPr>
              <w:t>历</w:t>
            </w:r>
          </w:p>
        </w:tc>
        <w:tc>
          <w:tcPr>
            <w:tcW w:w="1884" w:type="dxa"/>
            <w:vAlign w:val="center"/>
          </w:tcPr>
          <w:p>
            <w:pPr>
              <w:jc w:val="center"/>
              <w:rPr>
                <w:rFonts w:ascii="宋体" w:hAnsi="宋体"/>
                <w:bCs/>
              </w:rPr>
            </w:pPr>
            <w:r>
              <w:rPr>
                <w:rFonts w:hint="eastAsia" w:ascii="宋体" w:hAnsi="宋体"/>
                <w:bCs/>
              </w:rPr>
              <w:t>身份证号码</w:t>
            </w:r>
          </w:p>
        </w:tc>
        <w:tc>
          <w:tcPr>
            <w:tcW w:w="1499" w:type="dxa"/>
            <w:vAlign w:val="center"/>
          </w:tcPr>
          <w:p>
            <w:pPr>
              <w:jc w:val="center"/>
              <w:rPr>
                <w:rFonts w:ascii="宋体" w:hAnsi="宋体"/>
                <w:bCs/>
              </w:rPr>
            </w:pPr>
            <w:r>
              <w:rPr>
                <w:rFonts w:hint="eastAsia" w:ascii="宋体" w:hAnsi="宋体"/>
                <w:bCs/>
              </w:rPr>
              <w:t>工作资历</w:t>
            </w:r>
          </w:p>
        </w:tc>
        <w:tc>
          <w:tcPr>
            <w:tcW w:w="828" w:type="dxa"/>
            <w:vAlign w:val="center"/>
          </w:tcPr>
          <w:p>
            <w:pPr>
              <w:jc w:val="center"/>
              <w:rPr>
                <w:rFonts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81" w:type="dxa"/>
            <w:vMerge w:val="restart"/>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81" w:type="dxa"/>
            <w:vMerge w:val="restart"/>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81" w:type="dxa"/>
            <w:vMerge w:val="restart"/>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81" w:type="dxa"/>
            <w:vMerge w:val="continue"/>
          </w:tcPr>
          <w:p>
            <w:pPr>
              <w:rPr>
                <w:rFonts w:ascii="宋体" w:hAnsi="宋体"/>
              </w:rPr>
            </w:pPr>
          </w:p>
        </w:tc>
        <w:tc>
          <w:tcPr>
            <w:tcW w:w="1251" w:type="dxa"/>
          </w:tcPr>
          <w:p>
            <w:pPr>
              <w:rPr>
                <w:rFonts w:ascii="宋体" w:hAnsi="宋体"/>
              </w:rPr>
            </w:pPr>
          </w:p>
        </w:tc>
        <w:tc>
          <w:tcPr>
            <w:tcW w:w="686" w:type="dxa"/>
          </w:tcPr>
          <w:p>
            <w:pPr>
              <w:rPr>
                <w:rFonts w:ascii="宋体" w:hAnsi="宋体"/>
              </w:rPr>
            </w:pPr>
          </w:p>
        </w:tc>
        <w:tc>
          <w:tcPr>
            <w:tcW w:w="746" w:type="dxa"/>
          </w:tcPr>
          <w:p>
            <w:pPr>
              <w:rPr>
                <w:rFonts w:ascii="宋体" w:hAnsi="宋体"/>
              </w:rPr>
            </w:pPr>
          </w:p>
        </w:tc>
        <w:tc>
          <w:tcPr>
            <w:tcW w:w="853" w:type="dxa"/>
          </w:tcPr>
          <w:p>
            <w:pPr>
              <w:rPr>
                <w:rFonts w:ascii="宋体" w:hAnsi="宋体"/>
              </w:rPr>
            </w:pPr>
          </w:p>
        </w:tc>
        <w:tc>
          <w:tcPr>
            <w:tcW w:w="1884" w:type="dxa"/>
          </w:tcPr>
          <w:p>
            <w:pPr>
              <w:rPr>
                <w:rFonts w:ascii="宋体" w:hAnsi="宋体"/>
              </w:rPr>
            </w:pPr>
          </w:p>
        </w:tc>
        <w:tc>
          <w:tcPr>
            <w:tcW w:w="1499" w:type="dxa"/>
          </w:tcPr>
          <w:p>
            <w:pPr>
              <w:rPr>
                <w:rFonts w:ascii="宋体" w:hAnsi="宋体"/>
              </w:rPr>
            </w:pPr>
          </w:p>
        </w:tc>
        <w:tc>
          <w:tcPr>
            <w:tcW w:w="828" w:type="dxa"/>
          </w:tcPr>
          <w:p>
            <w:pPr>
              <w:rPr>
                <w:rFonts w:ascii="宋体" w:hAnsi="宋体"/>
              </w:rPr>
            </w:pPr>
          </w:p>
        </w:tc>
      </w:tr>
    </w:tbl>
    <w:p>
      <w:pPr>
        <w:pStyle w:val="32"/>
        <w:widowControl w:val="0"/>
        <w:spacing w:beforeAutospacing="0" w:afterAutospacing="0" w:line="360" w:lineRule="auto"/>
        <w:ind w:firstLine="301"/>
        <w:jc w:val="both"/>
        <w:rPr>
          <w:rFonts w:ascii="宋体" w:hAnsi="宋体" w:cs="宋体"/>
          <w:kern w:val="2"/>
          <w:sz w:val="21"/>
          <w:szCs w:val="21"/>
        </w:rPr>
      </w:pPr>
      <w:r>
        <w:rPr>
          <w:rFonts w:hint="eastAsia" w:ascii="宋体" w:hAnsi="宋体" w:cs="宋体"/>
          <w:kern w:val="2"/>
          <w:sz w:val="21"/>
          <w:szCs w:val="21"/>
        </w:rPr>
        <w:t>注：1、表格不够用时可自行扩展。</w:t>
      </w:r>
    </w:p>
    <w:p>
      <w:pPr>
        <w:pStyle w:val="32"/>
        <w:widowControl w:val="0"/>
        <w:spacing w:beforeAutospacing="0" w:afterAutospacing="0" w:line="360" w:lineRule="auto"/>
        <w:ind w:firstLine="301"/>
        <w:jc w:val="both"/>
        <w:rPr>
          <w:rFonts w:ascii="宋体" w:hAnsi="宋体" w:cs="宋体"/>
          <w:kern w:val="2"/>
          <w:sz w:val="21"/>
          <w:szCs w:val="21"/>
        </w:rPr>
      </w:pPr>
      <w:r>
        <w:rPr>
          <w:rFonts w:hint="eastAsia" w:ascii="宋体" w:hAnsi="宋体" w:cs="宋体"/>
          <w:kern w:val="2"/>
          <w:sz w:val="21"/>
          <w:szCs w:val="21"/>
        </w:rPr>
        <w:t>2、后附评分标准表要求提供的证明材料。</w:t>
      </w:r>
    </w:p>
    <w:p>
      <w:pPr>
        <w:widowControl/>
        <w:spacing w:line="360" w:lineRule="auto"/>
        <w:jc w:val="lef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widowControl/>
        <w:jc w:val="left"/>
        <w:rPr>
          <w:rFonts w:ascii="宋体" w:hAnsi="宋体" w:cs="宋体"/>
          <w:szCs w:val="21"/>
        </w:rPr>
      </w:pPr>
    </w:p>
    <w:p>
      <w:pPr>
        <w:tabs>
          <w:tab w:val="left" w:pos="606"/>
        </w:tabs>
        <w:rPr>
          <w:rFonts w:ascii="宋体" w:hAnsi="宋体" w:cs="宋体"/>
          <w:szCs w:val="21"/>
        </w:rPr>
      </w:pPr>
    </w:p>
    <w:p>
      <w:pPr>
        <w:tabs>
          <w:tab w:val="left" w:pos="606"/>
        </w:tabs>
        <w:rPr>
          <w:rFonts w:ascii="宋体" w:hAnsi="宋体" w:cs="宋体"/>
          <w:szCs w:val="21"/>
        </w:rPr>
      </w:pPr>
    </w:p>
    <w:p>
      <w:pPr>
        <w:rPr>
          <w:rFonts w:ascii="宋体" w:hAnsi="宋体" w:cs="宋体"/>
          <w:b/>
        </w:rPr>
      </w:pPr>
      <w:r>
        <w:rPr>
          <w:rFonts w:hint="eastAsia" w:ascii="宋体" w:hAnsi="宋体" w:cs="宋体"/>
          <w:b/>
        </w:rPr>
        <w:br w:type="page"/>
      </w:r>
    </w:p>
    <w:p>
      <w:pPr>
        <w:rPr>
          <w:rFonts w:ascii="宋体" w:hAnsi="宋体" w:cs="宋体"/>
          <w:b/>
        </w:rPr>
      </w:pPr>
      <w:r>
        <w:rPr>
          <w:rFonts w:hint="eastAsia" w:ascii="宋体" w:hAnsi="宋体" w:cs="宋体"/>
          <w:b/>
        </w:rPr>
        <w:t>格式十一：</w:t>
      </w:r>
      <w:bookmarkEnd w:id="179"/>
      <w:bookmarkEnd w:id="180"/>
      <w:bookmarkEnd w:id="181"/>
      <w:bookmarkEnd w:id="182"/>
      <w:r>
        <w:rPr>
          <w:rFonts w:hint="eastAsia" w:ascii="宋体" w:hAnsi="宋体" w:cs="宋体"/>
          <w:b/>
          <w:szCs w:val="21"/>
        </w:rPr>
        <w:t>同类项目业绩表</w:t>
      </w:r>
    </w:p>
    <w:p>
      <w:pPr>
        <w:spacing w:line="360" w:lineRule="auto"/>
        <w:rPr>
          <w:rFonts w:ascii="宋体" w:hAnsi="宋体" w:cs="宋体"/>
          <w:u w:val="single"/>
        </w:rPr>
      </w:pPr>
    </w:p>
    <w:p>
      <w:pPr>
        <w:spacing w:before="120" w:after="120"/>
        <w:jc w:val="center"/>
        <w:rPr>
          <w:rFonts w:ascii="宋体" w:hAnsi="宋体" w:cs="宋体"/>
          <w:b/>
          <w:bCs/>
          <w:spacing w:val="20"/>
          <w:sz w:val="24"/>
        </w:rPr>
      </w:pPr>
      <w:r>
        <w:rPr>
          <w:rFonts w:hint="eastAsia" w:ascii="宋体" w:hAnsi="宋体" w:cs="宋体"/>
          <w:b/>
          <w:bCs/>
          <w:spacing w:val="20"/>
          <w:sz w:val="24"/>
        </w:rPr>
        <w:t>同类项目业绩表</w:t>
      </w:r>
    </w:p>
    <w:p>
      <w:pPr>
        <w:rPr>
          <w:rFonts w:ascii="宋体" w:hAnsi="宋体" w:cs="宋体"/>
          <w:sz w:val="28"/>
        </w:rPr>
      </w:pPr>
    </w:p>
    <w:p>
      <w:pPr>
        <w:pStyle w:val="32"/>
        <w:widowControl w:val="0"/>
        <w:spacing w:beforeAutospacing="0" w:afterAutospacing="0" w:line="360" w:lineRule="auto"/>
        <w:jc w:val="both"/>
        <w:rPr>
          <w:rFonts w:ascii="宋体" w:hAnsi="宋体" w:cs="宋体"/>
          <w:szCs w:val="21"/>
        </w:rPr>
      </w:pPr>
      <w:r>
        <w:rPr>
          <w:rFonts w:hint="eastAsia" w:ascii="宋体" w:hAnsi="宋体" w:cs="宋体"/>
          <w:spacing w:val="-4"/>
          <w:kern w:val="2"/>
          <w:sz w:val="21"/>
          <w:szCs w:val="21"/>
        </w:rPr>
        <w:t>项目名称：                      项目编号：                     标项：</w:t>
      </w:r>
    </w:p>
    <w:tbl>
      <w:tblPr>
        <w:tblStyle w:val="35"/>
        <w:tblW w:w="88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Layout w:type="fixed"/>
        <w:tblCellMar>
          <w:top w:w="0" w:type="dxa"/>
          <w:left w:w="108" w:type="dxa"/>
          <w:bottom w:w="0" w:type="dxa"/>
          <w:right w:w="108" w:type="dxa"/>
        </w:tblCellMar>
      </w:tblPr>
      <w:tblGrid>
        <w:gridCol w:w="605"/>
        <w:gridCol w:w="1758"/>
        <w:gridCol w:w="2028"/>
        <w:gridCol w:w="1143"/>
        <w:gridCol w:w="1260"/>
        <w:gridCol w:w="20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605" w:hRule="atLeast"/>
          <w:jc w:val="center"/>
        </w:trPr>
        <w:tc>
          <w:tcPr>
            <w:tcW w:w="605" w:type="dxa"/>
            <w:tcMar>
              <w:left w:w="0" w:type="dxa"/>
              <w:right w:w="0" w:type="dxa"/>
            </w:tcMar>
            <w:vAlign w:val="center"/>
          </w:tcPr>
          <w:p>
            <w:pPr>
              <w:spacing w:line="0" w:lineRule="atLeast"/>
              <w:ind w:left="-115" w:right="-107"/>
              <w:jc w:val="center"/>
              <w:rPr>
                <w:rFonts w:ascii="宋体" w:hAnsi="宋体" w:cs="宋体"/>
                <w:szCs w:val="21"/>
              </w:rPr>
            </w:pPr>
            <w:r>
              <w:rPr>
                <w:rFonts w:hint="eastAsia" w:ascii="宋体" w:hAnsi="宋体" w:cs="宋体"/>
                <w:szCs w:val="21"/>
              </w:rPr>
              <w:t>序号</w:t>
            </w:r>
          </w:p>
        </w:tc>
        <w:tc>
          <w:tcPr>
            <w:tcW w:w="1758" w:type="dxa"/>
            <w:tcMar>
              <w:left w:w="0" w:type="dxa"/>
              <w:right w:w="0" w:type="dxa"/>
            </w:tcMar>
            <w:vAlign w:val="center"/>
          </w:tcPr>
          <w:p>
            <w:pPr>
              <w:spacing w:line="0" w:lineRule="atLeast"/>
              <w:jc w:val="center"/>
              <w:rPr>
                <w:rFonts w:ascii="宋体" w:hAnsi="宋体" w:cs="宋体"/>
                <w:szCs w:val="21"/>
              </w:rPr>
            </w:pPr>
            <w:r>
              <w:rPr>
                <w:rFonts w:hint="eastAsia" w:ascii="宋体" w:hAnsi="宋体" w:cs="宋体"/>
                <w:szCs w:val="21"/>
              </w:rPr>
              <w:t>项目名称</w:t>
            </w:r>
          </w:p>
        </w:tc>
        <w:tc>
          <w:tcPr>
            <w:tcW w:w="2028" w:type="dxa"/>
            <w:tcMar>
              <w:left w:w="0" w:type="dxa"/>
              <w:right w:w="0" w:type="dxa"/>
            </w:tcMar>
            <w:vAlign w:val="center"/>
          </w:tcPr>
          <w:p>
            <w:pPr>
              <w:spacing w:line="0" w:lineRule="atLeast"/>
              <w:ind w:left="-115" w:right="-107"/>
              <w:jc w:val="center"/>
              <w:rPr>
                <w:rFonts w:ascii="宋体" w:hAnsi="宋体" w:cs="宋体"/>
                <w:szCs w:val="21"/>
              </w:rPr>
            </w:pPr>
            <w:r>
              <w:rPr>
                <w:rFonts w:hint="eastAsia" w:ascii="宋体" w:hAnsi="宋体" w:cs="宋体"/>
                <w:szCs w:val="21"/>
              </w:rPr>
              <w:t>用户名称</w:t>
            </w:r>
          </w:p>
        </w:tc>
        <w:tc>
          <w:tcPr>
            <w:tcW w:w="1143" w:type="dxa"/>
            <w:tcMar>
              <w:left w:w="0" w:type="dxa"/>
              <w:right w:w="0" w:type="dxa"/>
            </w:tcMar>
            <w:vAlign w:val="center"/>
          </w:tcPr>
          <w:p>
            <w:pPr>
              <w:spacing w:line="0" w:lineRule="atLeast"/>
              <w:ind w:left="-115" w:right="-107"/>
              <w:jc w:val="center"/>
              <w:rPr>
                <w:rFonts w:ascii="宋体" w:hAnsi="宋体" w:cs="宋体"/>
                <w:szCs w:val="21"/>
              </w:rPr>
            </w:pPr>
            <w:r>
              <w:rPr>
                <w:rFonts w:hint="eastAsia" w:ascii="宋体" w:hAnsi="宋体" w:cs="宋体"/>
                <w:szCs w:val="21"/>
              </w:rPr>
              <w:t>合同金额</w:t>
            </w:r>
          </w:p>
        </w:tc>
        <w:tc>
          <w:tcPr>
            <w:tcW w:w="1260" w:type="dxa"/>
            <w:tcMar>
              <w:left w:w="0" w:type="dxa"/>
              <w:right w:w="0" w:type="dxa"/>
            </w:tcMar>
            <w:vAlign w:val="center"/>
          </w:tcPr>
          <w:p>
            <w:pPr>
              <w:spacing w:line="0" w:lineRule="atLeast"/>
              <w:ind w:left="-115" w:right="-107"/>
              <w:jc w:val="center"/>
              <w:rPr>
                <w:rFonts w:ascii="宋体" w:hAnsi="宋体" w:cs="宋体"/>
                <w:szCs w:val="21"/>
              </w:rPr>
            </w:pPr>
            <w:r>
              <w:rPr>
                <w:rFonts w:hint="eastAsia" w:ascii="宋体" w:hAnsi="宋体" w:cs="宋体"/>
                <w:szCs w:val="21"/>
              </w:rPr>
              <w:t>合同签订时间</w:t>
            </w:r>
          </w:p>
        </w:tc>
        <w:tc>
          <w:tcPr>
            <w:tcW w:w="2052" w:type="dxa"/>
            <w:tcMar>
              <w:left w:w="0" w:type="dxa"/>
              <w:right w:w="0" w:type="dxa"/>
            </w:tcMar>
            <w:vAlign w:val="center"/>
          </w:tcPr>
          <w:p>
            <w:pPr>
              <w:spacing w:line="0" w:lineRule="atLeast"/>
              <w:ind w:left="-115" w:right="-107"/>
              <w:jc w:val="center"/>
              <w:rPr>
                <w:rFonts w:ascii="宋体" w:hAnsi="宋体" w:cs="宋体"/>
                <w:szCs w:val="21"/>
              </w:rPr>
            </w:pPr>
            <w:r>
              <w:rPr>
                <w:rFonts w:hint="eastAsia" w:ascii="宋体" w:hAnsi="宋体" w:cs="宋体"/>
                <w:szCs w:val="21"/>
              </w:rPr>
              <w:t>联系人/电话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2" w:space="0"/>
          </w:tblBorders>
          <w:tblCellMar>
            <w:top w:w="0" w:type="dxa"/>
            <w:left w:w="108" w:type="dxa"/>
            <w:bottom w:w="0" w:type="dxa"/>
            <w:right w:w="108" w:type="dxa"/>
          </w:tblCellMar>
        </w:tblPrEx>
        <w:trPr>
          <w:trHeight w:val="718" w:hRule="atLeast"/>
          <w:jc w:val="center"/>
        </w:trPr>
        <w:tc>
          <w:tcPr>
            <w:tcW w:w="605" w:type="dxa"/>
            <w:tcMar>
              <w:left w:w="0" w:type="dxa"/>
              <w:right w:w="0" w:type="dxa"/>
            </w:tcMar>
            <w:vAlign w:val="center"/>
          </w:tcPr>
          <w:p>
            <w:pPr>
              <w:spacing w:line="0" w:lineRule="atLeast"/>
              <w:jc w:val="center"/>
              <w:rPr>
                <w:rFonts w:ascii="宋体" w:hAnsi="宋体" w:cs="宋体"/>
                <w:szCs w:val="21"/>
              </w:rPr>
            </w:pPr>
          </w:p>
        </w:tc>
        <w:tc>
          <w:tcPr>
            <w:tcW w:w="1758" w:type="dxa"/>
            <w:tcMar>
              <w:left w:w="0" w:type="dxa"/>
              <w:right w:w="0" w:type="dxa"/>
            </w:tcMar>
            <w:vAlign w:val="center"/>
          </w:tcPr>
          <w:p>
            <w:pPr>
              <w:spacing w:line="0" w:lineRule="atLeast"/>
              <w:jc w:val="center"/>
              <w:rPr>
                <w:rFonts w:ascii="宋体" w:hAnsi="宋体" w:cs="宋体"/>
                <w:szCs w:val="21"/>
              </w:rPr>
            </w:pPr>
          </w:p>
        </w:tc>
        <w:tc>
          <w:tcPr>
            <w:tcW w:w="2028" w:type="dxa"/>
            <w:tcMar>
              <w:left w:w="0" w:type="dxa"/>
              <w:right w:w="0" w:type="dxa"/>
            </w:tcMar>
            <w:vAlign w:val="center"/>
          </w:tcPr>
          <w:p>
            <w:pPr>
              <w:spacing w:line="0" w:lineRule="atLeast"/>
              <w:jc w:val="center"/>
              <w:rPr>
                <w:rFonts w:ascii="宋体" w:hAnsi="宋体" w:cs="宋体"/>
                <w:szCs w:val="21"/>
              </w:rPr>
            </w:pPr>
          </w:p>
        </w:tc>
        <w:tc>
          <w:tcPr>
            <w:tcW w:w="1143" w:type="dxa"/>
            <w:tcMar>
              <w:left w:w="0" w:type="dxa"/>
              <w:right w:w="0" w:type="dxa"/>
            </w:tcMar>
            <w:vAlign w:val="center"/>
          </w:tcPr>
          <w:p>
            <w:pPr>
              <w:spacing w:line="0" w:lineRule="atLeast"/>
              <w:jc w:val="center"/>
              <w:rPr>
                <w:rFonts w:ascii="宋体" w:hAnsi="宋体" w:cs="宋体"/>
                <w:szCs w:val="21"/>
              </w:rPr>
            </w:pPr>
          </w:p>
        </w:tc>
        <w:tc>
          <w:tcPr>
            <w:tcW w:w="1260" w:type="dxa"/>
            <w:tcMar>
              <w:left w:w="0" w:type="dxa"/>
              <w:right w:w="0" w:type="dxa"/>
            </w:tcMar>
            <w:vAlign w:val="center"/>
          </w:tcPr>
          <w:p>
            <w:pPr>
              <w:spacing w:line="0" w:lineRule="atLeast"/>
              <w:jc w:val="center"/>
              <w:rPr>
                <w:rFonts w:ascii="宋体" w:hAnsi="宋体" w:cs="宋体"/>
                <w:szCs w:val="21"/>
              </w:rPr>
            </w:pPr>
          </w:p>
        </w:tc>
        <w:tc>
          <w:tcPr>
            <w:tcW w:w="2052" w:type="dxa"/>
            <w:tcMar>
              <w:left w:w="0" w:type="dxa"/>
              <w:right w:w="0" w:type="dxa"/>
            </w:tcMar>
            <w:vAlign w:val="center"/>
          </w:tcPr>
          <w:p>
            <w:pPr>
              <w:spacing w:line="0" w:lineRule="atLeast"/>
              <w:jc w:val="center"/>
              <w:rPr>
                <w:rFonts w:ascii="宋体" w:hAnsi="宋体" w:cs="宋体"/>
                <w:szCs w:val="21"/>
              </w:rPr>
            </w:pPr>
          </w:p>
        </w:tc>
      </w:tr>
    </w:tbl>
    <w:p>
      <w:pPr>
        <w:spacing w:line="0" w:lineRule="atLeast"/>
        <w:rPr>
          <w:rFonts w:ascii="宋体" w:hAnsi="宋体" w:cs="宋体"/>
          <w:b/>
          <w:bCs/>
          <w:szCs w:val="21"/>
        </w:rPr>
      </w:pPr>
      <w:r>
        <w:rPr>
          <w:rFonts w:hint="eastAsia" w:ascii="宋体" w:hAnsi="宋体" w:cs="宋体"/>
          <w:b/>
          <w:bCs/>
          <w:szCs w:val="21"/>
        </w:rPr>
        <w:t>注：后附评分标准表要求提供的证明材料。</w:t>
      </w:r>
    </w:p>
    <w:p>
      <w:pPr>
        <w:spacing w:line="0" w:lineRule="atLeas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rPr>
          <w:rFonts w:ascii="宋体" w:hAnsi="宋体" w:cs="宋体"/>
          <w:b/>
          <w:sz w:val="24"/>
          <w:szCs w:val="21"/>
        </w:rPr>
      </w:pPr>
      <w:r>
        <w:rPr>
          <w:rFonts w:hint="eastAsia" w:ascii="宋体" w:hAnsi="宋体" w:cs="宋体"/>
          <w:b/>
          <w:szCs w:val="21"/>
        </w:rPr>
        <w:br w:type="page"/>
      </w:r>
      <w:bookmarkStart w:id="183" w:name="_Toc460857952"/>
      <w:r>
        <w:rPr>
          <w:rFonts w:hint="eastAsia" w:ascii="宋体" w:hAnsi="宋体" w:cs="宋体"/>
          <w:b/>
        </w:rPr>
        <w:t>格式</w:t>
      </w:r>
      <w:bookmarkEnd w:id="183"/>
      <w:r>
        <w:rPr>
          <w:rFonts w:hint="eastAsia" w:ascii="宋体" w:hAnsi="宋体" w:cs="宋体"/>
          <w:b/>
        </w:rPr>
        <w:t>十二：商务条款偏离表</w:t>
      </w:r>
    </w:p>
    <w:p>
      <w:pPr>
        <w:pStyle w:val="15"/>
        <w:spacing w:line="400" w:lineRule="exact"/>
        <w:ind w:left="711" w:leftChars="228" w:hanging="232" w:hangingChars="100"/>
        <w:rPr>
          <w:rFonts w:hAnsi="宋体" w:cs="宋体"/>
          <w:sz w:val="24"/>
          <w:szCs w:val="21"/>
        </w:rPr>
      </w:pPr>
    </w:p>
    <w:p>
      <w:pPr>
        <w:spacing w:line="360" w:lineRule="auto"/>
        <w:jc w:val="center"/>
        <w:rPr>
          <w:rFonts w:ascii="宋体" w:hAnsi="宋体" w:cs="宋体"/>
          <w:b/>
          <w:sz w:val="24"/>
          <w:szCs w:val="21"/>
        </w:rPr>
      </w:pPr>
      <w:r>
        <w:rPr>
          <w:rFonts w:hint="eastAsia" w:ascii="宋体" w:hAnsi="宋体" w:cs="宋体"/>
          <w:b/>
          <w:sz w:val="24"/>
          <w:szCs w:val="21"/>
        </w:rPr>
        <w:t>商务条款偏离表</w:t>
      </w:r>
    </w:p>
    <w:p>
      <w:pPr>
        <w:spacing w:line="360" w:lineRule="auto"/>
        <w:ind w:firstLine="3089"/>
        <w:rPr>
          <w:rFonts w:ascii="宋体" w:hAnsi="宋体" w:cs="宋体"/>
          <w:b/>
          <w:sz w:val="24"/>
          <w:szCs w:val="21"/>
        </w:rPr>
      </w:pPr>
    </w:p>
    <w:p>
      <w:pPr>
        <w:pStyle w:val="32"/>
        <w:widowControl w:val="0"/>
        <w:spacing w:beforeAutospacing="0" w:afterAutospacing="0" w:line="360" w:lineRule="auto"/>
        <w:jc w:val="both"/>
        <w:rPr>
          <w:rFonts w:ascii="宋体" w:hAnsi="宋体" w:cs="宋体"/>
          <w:szCs w:val="21"/>
        </w:rPr>
      </w:pPr>
      <w:r>
        <w:rPr>
          <w:rFonts w:hint="eastAsia" w:ascii="宋体" w:hAnsi="宋体" w:cs="宋体"/>
          <w:spacing w:val="-4"/>
          <w:kern w:val="2"/>
          <w:sz w:val="21"/>
          <w:szCs w:val="21"/>
        </w:rPr>
        <w:t>项目名称：                      项目编号：                     标项：</w:t>
      </w:r>
    </w:p>
    <w:tbl>
      <w:tblPr>
        <w:tblStyle w:val="35"/>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195"/>
        <w:gridCol w:w="2234"/>
        <w:gridCol w:w="2299"/>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b/>
                <w:szCs w:val="21"/>
              </w:rPr>
            </w:pPr>
            <w:r>
              <w:rPr>
                <w:rFonts w:hint="eastAsia" w:ascii="宋体" w:hAnsi="宋体" w:cs="宋体"/>
                <w:b/>
                <w:szCs w:val="21"/>
              </w:rPr>
              <w:t>序号</w:t>
            </w:r>
          </w:p>
        </w:tc>
        <w:tc>
          <w:tcPr>
            <w:tcW w:w="2195" w:type="dxa"/>
            <w:vAlign w:val="center"/>
          </w:tcPr>
          <w:p>
            <w:pPr>
              <w:jc w:val="center"/>
              <w:rPr>
                <w:rFonts w:ascii="宋体" w:hAnsi="宋体" w:cs="宋体"/>
                <w:b/>
                <w:szCs w:val="21"/>
              </w:rPr>
            </w:pPr>
            <w:r>
              <w:rPr>
                <w:rFonts w:hint="eastAsia" w:ascii="宋体" w:hAnsi="宋体" w:cs="宋体"/>
                <w:b/>
                <w:szCs w:val="21"/>
              </w:rPr>
              <w:t>项目</w:t>
            </w:r>
          </w:p>
        </w:tc>
        <w:tc>
          <w:tcPr>
            <w:tcW w:w="2234" w:type="dxa"/>
            <w:vAlign w:val="center"/>
          </w:tcPr>
          <w:p>
            <w:pPr>
              <w:jc w:val="center"/>
              <w:rPr>
                <w:rFonts w:ascii="宋体" w:hAnsi="宋体" w:cs="宋体"/>
                <w:b/>
                <w:szCs w:val="21"/>
              </w:rPr>
            </w:pPr>
            <w:r>
              <w:rPr>
                <w:rFonts w:hint="eastAsia" w:ascii="宋体" w:hAnsi="宋体" w:cs="宋体"/>
                <w:b/>
                <w:szCs w:val="21"/>
              </w:rPr>
              <w:t>招标文件的商务条款</w:t>
            </w:r>
          </w:p>
        </w:tc>
        <w:tc>
          <w:tcPr>
            <w:tcW w:w="2299" w:type="dxa"/>
            <w:vAlign w:val="center"/>
          </w:tcPr>
          <w:p>
            <w:pPr>
              <w:jc w:val="center"/>
              <w:rPr>
                <w:rFonts w:ascii="宋体" w:hAnsi="宋体" w:cs="宋体"/>
                <w:b/>
                <w:szCs w:val="21"/>
              </w:rPr>
            </w:pPr>
            <w:r>
              <w:rPr>
                <w:rFonts w:hint="eastAsia" w:ascii="宋体" w:hAnsi="宋体" w:cs="宋体"/>
                <w:b/>
                <w:szCs w:val="21"/>
              </w:rPr>
              <w:t>投标文件的商务条款</w:t>
            </w:r>
          </w:p>
        </w:tc>
        <w:tc>
          <w:tcPr>
            <w:tcW w:w="907" w:type="dxa"/>
            <w:vAlign w:val="center"/>
          </w:tcPr>
          <w:p>
            <w:pPr>
              <w:jc w:val="center"/>
              <w:rPr>
                <w:rFonts w:ascii="宋体" w:hAnsi="宋体" w:cs="宋体"/>
                <w:b/>
                <w:szCs w:val="21"/>
              </w:rPr>
            </w:pPr>
            <w:r>
              <w:rPr>
                <w:rFonts w:hint="eastAsia" w:ascii="宋体" w:hAnsi="宋体" w:cs="宋体"/>
                <w:b/>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bl>
    <w:p>
      <w:pPr>
        <w:pStyle w:val="15"/>
        <w:spacing w:line="360" w:lineRule="auto"/>
        <w:ind w:left="406" w:hanging="406" w:hangingChars="200"/>
        <w:rPr>
          <w:rFonts w:hAnsi="宋体" w:cs="宋体"/>
          <w:b/>
          <w:bCs/>
          <w:sz w:val="21"/>
          <w:szCs w:val="21"/>
        </w:rPr>
      </w:pPr>
      <w:r>
        <w:rPr>
          <w:rFonts w:hint="eastAsia" w:hAnsi="宋体" w:cs="宋体"/>
          <w:b/>
          <w:bCs/>
          <w:sz w:val="21"/>
          <w:szCs w:val="21"/>
        </w:rPr>
        <w:t>注：按招标文件第二章中商务要求内容进行填写。若无偏离可在本表空白处醒目地注明“无商务条款偏离”的字样。</w:t>
      </w:r>
    </w:p>
    <w:p>
      <w:pPr>
        <w:widowControl/>
        <w:spacing w:line="360" w:lineRule="auto"/>
        <w:jc w:val="lef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rPr>
          <w:rFonts w:ascii="宋体" w:hAnsi="宋体" w:cs="宋体"/>
          <w:b/>
          <w:sz w:val="24"/>
          <w:szCs w:val="21"/>
        </w:rPr>
      </w:pPr>
      <w:bookmarkStart w:id="184" w:name="_Toc460857956"/>
      <w:r>
        <w:rPr>
          <w:rFonts w:hint="eastAsia" w:ascii="宋体" w:hAnsi="宋体" w:cs="宋体"/>
          <w:b/>
        </w:rPr>
        <w:t>格式十三：</w:t>
      </w:r>
      <w:bookmarkEnd w:id="184"/>
      <w:r>
        <w:rPr>
          <w:rFonts w:hint="eastAsia" w:ascii="宋体" w:hAnsi="宋体" w:cs="宋体"/>
          <w:b/>
        </w:rPr>
        <w:t>服务条款偏离表</w:t>
      </w:r>
    </w:p>
    <w:p>
      <w:pPr>
        <w:pStyle w:val="15"/>
        <w:spacing w:line="400" w:lineRule="exact"/>
        <w:ind w:left="711" w:leftChars="228" w:hanging="232" w:hangingChars="100"/>
        <w:rPr>
          <w:rFonts w:hAnsi="宋体" w:cs="宋体"/>
          <w:sz w:val="24"/>
          <w:szCs w:val="21"/>
        </w:rPr>
      </w:pPr>
    </w:p>
    <w:p>
      <w:pPr>
        <w:spacing w:line="360" w:lineRule="auto"/>
        <w:jc w:val="center"/>
        <w:rPr>
          <w:rFonts w:ascii="宋体" w:hAnsi="宋体" w:cs="宋体"/>
          <w:b/>
          <w:sz w:val="24"/>
          <w:szCs w:val="21"/>
        </w:rPr>
      </w:pPr>
      <w:r>
        <w:rPr>
          <w:rFonts w:hint="eastAsia" w:ascii="宋体" w:hAnsi="宋体" w:cs="宋体"/>
          <w:b/>
          <w:sz w:val="24"/>
          <w:szCs w:val="21"/>
        </w:rPr>
        <w:t>服务条款偏离表</w:t>
      </w:r>
    </w:p>
    <w:p>
      <w:pPr>
        <w:spacing w:line="360" w:lineRule="auto"/>
        <w:ind w:firstLine="3089"/>
        <w:rPr>
          <w:rFonts w:ascii="宋体" w:hAnsi="宋体" w:cs="宋体"/>
          <w:b/>
          <w:sz w:val="24"/>
          <w:szCs w:val="21"/>
        </w:rPr>
      </w:pPr>
    </w:p>
    <w:p>
      <w:pPr>
        <w:pStyle w:val="32"/>
        <w:widowControl w:val="0"/>
        <w:spacing w:beforeAutospacing="0" w:afterAutospacing="0" w:line="360" w:lineRule="auto"/>
        <w:jc w:val="both"/>
        <w:rPr>
          <w:rFonts w:ascii="宋体" w:hAnsi="宋体" w:cs="宋体"/>
          <w:szCs w:val="21"/>
        </w:rPr>
      </w:pPr>
      <w:r>
        <w:rPr>
          <w:rFonts w:hint="eastAsia" w:ascii="宋体" w:hAnsi="宋体" w:cs="宋体"/>
          <w:spacing w:val="-4"/>
          <w:kern w:val="2"/>
          <w:sz w:val="21"/>
          <w:szCs w:val="21"/>
        </w:rPr>
        <w:t>项目名称：                      项目编号：                     标项：</w:t>
      </w:r>
    </w:p>
    <w:tbl>
      <w:tblPr>
        <w:tblStyle w:val="35"/>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195"/>
        <w:gridCol w:w="2234"/>
        <w:gridCol w:w="2299"/>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b/>
                <w:szCs w:val="21"/>
              </w:rPr>
            </w:pPr>
            <w:r>
              <w:rPr>
                <w:rFonts w:hint="eastAsia" w:ascii="宋体" w:hAnsi="宋体" w:cs="宋体"/>
                <w:b/>
                <w:szCs w:val="21"/>
              </w:rPr>
              <w:t>序号</w:t>
            </w:r>
          </w:p>
        </w:tc>
        <w:tc>
          <w:tcPr>
            <w:tcW w:w="2195" w:type="dxa"/>
            <w:vAlign w:val="center"/>
          </w:tcPr>
          <w:p>
            <w:pPr>
              <w:jc w:val="center"/>
              <w:rPr>
                <w:rFonts w:ascii="宋体" w:hAnsi="宋体" w:cs="宋体"/>
                <w:b/>
                <w:szCs w:val="21"/>
              </w:rPr>
            </w:pPr>
            <w:r>
              <w:rPr>
                <w:rFonts w:hint="eastAsia" w:ascii="宋体" w:hAnsi="宋体" w:cs="宋体"/>
                <w:b/>
                <w:szCs w:val="21"/>
              </w:rPr>
              <w:t>项目</w:t>
            </w:r>
          </w:p>
        </w:tc>
        <w:tc>
          <w:tcPr>
            <w:tcW w:w="2234" w:type="dxa"/>
            <w:vAlign w:val="center"/>
          </w:tcPr>
          <w:p>
            <w:pPr>
              <w:jc w:val="center"/>
              <w:rPr>
                <w:rFonts w:ascii="宋体" w:hAnsi="宋体" w:cs="宋体"/>
                <w:b/>
                <w:szCs w:val="21"/>
              </w:rPr>
            </w:pPr>
            <w:r>
              <w:rPr>
                <w:rFonts w:hint="eastAsia" w:ascii="宋体" w:hAnsi="宋体" w:cs="宋体"/>
                <w:b/>
                <w:szCs w:val="21"/>
              </w:rPr>
              <w:t>招标文件的服务条款</w:t>
            </w:r>
          </w:p>
        </w:tc>
        <w:tc>
          <w:tcPr>
            <w:tcW w:w="2299" w:type="dxa"/>
            <w:vAlign w:val="center"/>
          </w:tcPr>
          <w:p>
            <w:pPr>
              <w:jc w:val="center"/>
              <w:rPr>
                <w:rFonts w:ascii="宋体" w:hAnsi="宋体" w:cs="宋体"/>
                <w:b/>
                <w:szCs w:val="21"/>
              </w:rPr>
            </w:pPr>
            <w:r>
              <w:rPr>
                <w:rFonts w:hint="eastAsia" w:ascii="宋体" w:hAnsi="宋体" w:cs="宋体"/>
                <w:b/>
                <w:szCs w:val="21"/>
              </w:rPr>
              <w:t>投标文件的服务条款</w:t>
            </w:r>
          </w:p>
        </w:tc>
        <w:tc>
          <w:tcPr>
            <w:tcW w:w="907" w:type="dxa"/>
            <w:vAlign w:val="center"/>
          </w:tcPr>
          <w:p>
            <w:pPr>
              <w:jc w:val="center"/>
              <w:rPr>
                <w:rFonts w:ascii="宋体" w:hAnsi="宋体" w:cs="宋体"/>
                <w:b/>
                <w:szCs w:val="21"/>
              </w:rPr>
            </w:pPr>
            <w:r>
              <w:rPr>
                <w:rFonts w:hint="eastAsia" w:ascii="宋体" w:hAnsi="宋体" w:cs="宋体"/>
                <w:b/>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3" w:type="dxa"/>
            <w:vAlign w:val="center"/>
          </w:tcPr>
          <w:p>
            <w:pPr>
              <w:jc w:val="center"/>
              <w:rPr>
                <w:rFonts w:ascii="宋体" w:hAnsi="宋体" w:cs="宋体"/>
                <w:szCs w:val="21"/>
              </w:rPr>
            </w:pPr>
          </w:p>
        </w:tc>
        <w:tc>
          <w:tcPr>
            <w:tcW w:w="2195" w:type="dxa"/>
            <w:vAlign w:val="center"/>
          </w:tcPr>
          <w:p>
            <w:pPr>
              <w:jc w:val="center"/>
              <w:rPr>
                <w:rFonts w:ascii="宋体" w:hAnsi="宋体" w:cs="宋体"/>
                <w:szCs w:val="21"/>
              </w:rPr>
            </w:pPr>
          </w:p>
        </w:tc>
        <w:tc>
          <w:tcPr>
            <w:tcW w:w="2234" w:type="dxa"/>
            <w:vAlign w:val="center"/>
          </w:tcPr>
          <w:p>
            <w:pPr>
              <w:jc w:val="center"/>
              <w:rPr>
                <w:rFonts w:ascii="宋体" w:hAnsi="宋体" w:cs="宋体"/>
                <w:szCs w:val="21"/>
              </w:rPr>
            </w:pPr>
          </w:p>
        </w:tc>
        <w:tc>
          <w:tcPr>
            <w:tcW w:w="2299" w:type="dxa"/>
            <w:vAlign w:val="center"/>
          </w:tcPr>
          <w:p>
            <w:pPr>
              <w:jc w:val="center"/>
              <w:rPr>
                <w:rFonts w:ascii="宋体" w:hAnsi="宋体" w:cs="宋体"/>
                <w:szCs w:val="21"/>
              </w:rPr>
            </w:pPr>
          </w:p>
        </w:tc>
        <w:tc>
          <w:tcPr>
            <w:tcW w:w="907" w:type="dxa"/>
            <w:vAlign w:val="center"/>
          </w:tcPr>
          <w:p>
            <w:pPr>
              <w:jc w:val="center"/>
              <w:rPr>
                <w:rFonts w:ascii="宋体" w:hAnsi="宋体" w:cs="宋体"/>
                <w:szCs w:val="21"/>
              </w:rPr>
            </w:pPr>
          </w:p>
        </w:tc>
      </w:tr>
    </w:tbl>
    <w:p>
      <w:pPr>
        <w:pStyle w:val="15"/>
        <w:spacing w:line="360" w:lineRule="auto"/>
        <w:ind w:left="406" w:hanging="406" w:hangingChars="200"/>
        <w:rPr>
          <w:rFonts w:hAnsi="宋体" w:cs="宋体"/>
          <w:b/>
          <w:bCs/>
          <w:sz w:val="21"/>
          <w:szCs w:val="21"/>
        </w:rPr>
      </w:pPr>
      <w:r>
        <w:rPr>
          <w:rFonts w:hint="eastAsia" w:hAnsi="宋体" w:cs="宋体"/>
          <w:b/>
          <w:bCs/>
          <w:sz w:val="21"/>
          <w:szCs w:val="21"/>
        </w:rPr>
        <w:t>注：按招标文件第二章中服务要求内容进行填写。若无偏离可在本表空白处醒目地注明“无服务条款偏离”的字样。</w:t>
      </w:r>
    </w:p>
    <w:p>
      <w:pPr>
        <w:widowControl/>
        <w:spacing w:line="360" w:lineRule="auto"/>
        <w:jc w:val="lef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widowControl/>
        <w:jc w:val="left"/>
        <w:rPr>
          <w:rFonts w:ascii="宋体" w:hAnsi="宋体" w:cs="宋体"/>
          <w:b/>
          <w:szCs w:val="21"/>
        </w:rPr>
        <w:sectPr>
          <w:headerReference r:id="rId8" w:type="default"/>
          <w:footerReference r:id="rId9" w:type="default"/>
          <w:pgSz w:w="11906" w:h="16838"/>
          <w:pgMar w:top="1474" w:right="1531" w:bottom="1247" w:left="1531" w:header="851" w:footer="851" w:gutter="0"/>
          <w:cols w:space="720" w:num="1"/>
          <w:titlePg/>
          <w:docGrid w:linePitch="312" w:charSpace="0"/>
        </w:sectPr>
      </w:pPr>
    </w:p>
    <w:p>
      <w:pPr>
        <w:snapToGrid w:val="0"/>
        <w:spacing w:line="360" w:lineRule="auto"/>
        <w:jc w:val="left"/>
        <w:rPr>
          <w:rFonts w:ascii="宋体" w:hAnsi="宋体" w:cs="宋体"/>
          <w:b/>
          <w:szCs w:val="21"/>
        </w:rPr>
      </w:pPr>
      <w:r>
        <w:rPr>
          <w:rFonts w:hint="eastAsia" w:ascii="宋体" w:hAnsi="宋体" w:cs="宋体"/>
          <w:b/>
          <w:szCs w:val="21"/>
        </w:rPr>
        <w:t>3. 报价部分包括以下内容：</w:t>
      </w:r>
    </w:p>
    <w:p>
      <w:pPr>
        <w:tabs>
          <w:tab w:val="left" w:pos="420"/>
        </w:tabs>
        <w:adjustRightInd w:val="0"/>
        <w:snapToGrid w:val="0"/>
        <w:spacing w:line="360" w:lineRule="auto"/>
        <w:jc w:val="left"/>
        <w:rPr>
          <w:rFonts w:ascii="宋体" w:hAnsi="宋体" w:cs="宋体"/>
          <w:szCs w:val="21"/>
        </w:rPr>
      </w:pPr>
      <w:r>
        <w:rPr>
          <w:rFonts w:hint="eastAsia" w:ascii="宋体" w:hAnsi="宋体" w:cs="宋体"/>
          <w:szCs w:val="21"/>
        </w:rPr>
        <w:t>（1）投标函 (格式见附件)；</w:t>
      </w:r>
    </w:p>
    <w:p>
      <w:pPr>
        <w:tabs>
          <w:tab w:val="left" w:pos="420"/>
        </w:tabs>
        <w:adjustRightInd w:val="0"/>
        <w:snapToGrid w:val="0"/>
        <w:spacing w:line="360" w:lineRule="auto"/>
        <w:jc w:val="left"/>
        <w:rPr>
          <w:rFonts w:ascii="宋体" w:hAnsi="宋体" w:cs="宋体"/>
          <w:szCs w:val="21"/>
        </w:rPr>
      </w:pPr>
      <w:r>
        <w:rPr>
          <w:rFonts w:hint="eastAsia" w:ascii="宋体" w:hAnsi="宋体" w:cs="宋体"/>
          <w:szCs w:val="21"/>
        </w:rPr>
        <w:t>（2）开标一览表(格式见附件)；</w:t>
      </w:r>
    </w:p>
    <w:p>
      <w:pPr>
        <w:tabs>
          <w:tab w:val="left" w:pos="420"/>
        </w:tabs>
        <w:adjustRightInd w:val="0"/>
        <w:snapToGrid w:val="0"/>
        <w:spacing w:line="360" w:lineRule="auto"/>
        <w:jc w:val="left"/>
        <w:rPr>
          <w:rFonts w:ascii="宋体" w:hAnsi="宋体" w:cs="宋体"/>
          <w:szCs w:val="21"/>
        </w:rPr>
      </w:pPr>
      <w:r>
        <w:rPr>
          <w:rFonts w:hint="eastAsia" w:ascii="宋体" w:hAnsi="宋体" w:cs="宋体"/>
          <w:szCs w:val="21"/>
        </w:rPr>
        <w:t>（3）投标报价明细表(格式见附件)；</w:t>
      </w:r>
    </w:p>
    <w:p>
      <w:pPr>
        <w:tabs>
          <w:tab w:val="left" w:pos="420"/>
        </w:tabs>
        <w:adjustRightInd w:val="0"/>
        <w:snapToGrid w:val="0"/>
        <w:spacing w:line="360" w:lineRule="auto"/>
        <w:jc w:val="left"/>
        <w:rPr>
          <w:rFonts w:ascii="宋体" w:hAnsi="宋体" w:cs="宋体"/>
          <w:szCs w:val="21"/>
        </w:rPr>
      </w:pPr>
      <w:r>
        <w:rPr>
          <w:rFonts w:hint="eastAsia" w:ascii="宋体" w:hAnsi="宋体" w:cs="宋体"/>
          <w:szCs w:val="21"/>
        </w:rPr>
        <w:t>（4）中小企业声明函（格式见附件）；</w:t>
      </w:r>
    </w:p>
    <w:p>
      <w:pPr>
        <w:tabs>
          <w:tab w:val="left" w:pos="420"/>
        </w:tabs>
        <w:adjustRightInd w:val="0"/>
        <w:snapToGrid w:val="0"/>
        <w:spacing w:line="360" w:lineRule="auto"/>
        <w:jc w:val="left"/>
        <w:rPr>
          <w:rFonts w:ascii="宋体" w:hAnsi="宋体" w:cs="宋体"/>
          <w:szCs w:val="21"/>
        </w:rPr>
      </w:pPr>
      <w:r>
        <w:rPr>
          <w:rFonts w:hint="eastAsia" w:ascii="宋体" w:hAnsi="宋体" w:cs="宋体"/>
          <w:szCs w:val="21"/>
        </w:rPr>
        <w:t>（5）残疾人福利性单位声明函（格式见附件，如有请提供）；</w:t>
      </w:r>
    </w:p>
    <w:p>
      <w:pPr>
        <w:tabs>
          <w:tab w:val="left" w:pos="420"/>
        </w:tabs>
        <w:adjustRightInd w:val="0"/>
        <w:snapToGrid w:val="0"/>
        <w:spacing w:line="360" w:lineRule="auto"/>
        <w:jc w:val="left"/>
        <w:rPr>
          <w:rFonts w:ascii="宋体" w:hAnsi="宋体" w:cs="宋体"/>
          <w:szCs w:val="21"/>
        </w:rPr>
      </w:pPr>
      <w:r>
        <w:rPr>
          <w:rFonts w:hint="eastAsia" w:ascii="宋体" w:hAnsi="宋体" w:cs="宋体"/>
          <w:szCs w:val="21"/>
        </w:rPr>
        <w:t>（6）中标服务费支付承诺函(格式见附件)。</w:t>
      </w:r>
    </w:p>
    <w:p>
      <w:pPr>
        <w:rPr>
          <w:rFonts w:ascii="宋体" w:hAnsi="宋体" w:cs="宋体"/>
          <w:b/>
        </w:rPr>
      </w:pPr>
      <w:r>
        <w:rPr>
          <w:rFonts w:hint="eastAsia" w:ascii="宋体" w:hAnsi="宋体" w:cs="宋体"/>
          <w:b/>
        </w:rPr>
        <w:br w:type="page"/>
      </w:r>
    </w:p>
    <w:p>
      <w:pPr>
        <w:widowControl/>
        <w:jc w:val="left"/>
        <w:rPr>
          <w:rFonts w:ascii="宋体" w:hAnsi="宋体" w:cs="宋体"/>
          <w:b/>
        </w:rPr>
      </w:pPr>
      <w:r>
        <w:rPr>
          <w:rFonts w:hint="eastAsia" w:ascii="宋体" w:hAnsi="宋体" w:cs="宋体"/>
          <w:b/>
        </w:rPr>
        <w:t>格式十四：</w:t>
      </w:r>
      <w:r>
        <w:rPr>
          <w:rFonts w:hint="eastAsia" w:ascii="宋体" w:hAnsi="宋体" w:cs="宋体"/>
          <w:b/>
          <w:szCs w:val="21"/>
        </w:rPr>
        <w:t>投标函</w:t>
      </w:r>
    </w:p>
    <w:p>
      <w:pPr>
        <w:widowControl/>
        <w:spacing w:line="400" w:lineRule="exact"/>
        <w:jc w:val="center"/>
        <w:rPr>
          <w:rFonts w:ascii="宋体" w:hAnsi="宋体" w:cs="宋体"/>
          <w:b/>
          <w:sz w:val="24"/>
        </w:rPr>
      </w:pPr>
      <w:r>
        <w:rPr>
          <w:rFonts w:hint="eastAsia" w:ascii="宋体" w:hAnsi="宋体" w:cs="宋体"/>
          <w:b/>
          <w:sz w:val="24"/>
          <w:szCs w:val="21"/>
        </w:rPr>
        <w:t>投标函</w:t>
      </w:r>
    </w:p>
    <w:p>
      <w:pPr>
        <w:pStyle w:val="15"/>
        <w:widowControl/>
        <w:spacing w:line="360" w:lineRule="auto"/>
        <w:ind w:firstLine="0"/>
        <w:jc w:val="left"/>
        <w:rPr>
          <w:rFonts w:hAnsi="宋体" w:cs="宋体"/>
          <w:sz w:val="21"/>
          <w:szCs w:val="21"/>
        </w:rPr>
      </w:pPr>
      <w:r>
        <w:rPr>
          <w:rFonts w:hint="eastAsia" w:hAnsi="宋体" w:cs="宋体"/>
          <w:sz w:val="21"/>
          <w:szCs w:val="21"/>
        </w:rPr>
        <w:t>致：宁波中基国际招标有限公司</w:t>
      </w:r>
    </w:p>
    <w:p>
      <w:pPr>
        <w:pStyle w:val="15"/>
        <w:widowControl/>
        <w:spacing w:line="360" w:lineRule="auto"/>
        <w:ind w:firstLine="0"/>
        <w:jc w:val="left"/>
        <w:rPr>
          <w:rFonts w:hAnsi="宋体" w:cs="宋体"/>
          <w:sz w:val="21"/>
          <w:szCs w:val="21"/>
        </w:rPr>
      </w:pPr>
      <w:r>
        <w:rPr>
          <w:rFonts w:hint="eastAsia" w:hAnsi="宋体" w:cs="宋体"/>
          <w:sz w:val="21"/>
          <w:szCs w:val="21"/>
          <w:u w:val="single"/>
        </w:rPr>
        <w:t xml:space="preserve">   （投标人全称）   </w:t>
      </w:r>
      <w:r>
        <w:rPr>
          <w:rFonts w:hint="eastAsia" w:hAnsi="宋体" w:cs="宋体"/>
          <w:sz w:val="21"/>
          <w:szCs w:val="21"/>
        </w:rPr>
        <w:t xml:space="preserve"> 授权</w:t>
      </w:r>
      <w:r>
        <w:rPr>
          <w:rFonts w:hint="eastAsia" w:hAnsi="宋体" w:cs="宋体"/>
          <w:sz w:val="21"/>
          <w:szCs w:val="21"/>
          <w:u w:val="single"/>
        </w:rPr>
        <w:t xml:space="preserve"> （授权代表姓名、职务）   </w:t>
      </w:r>
      <w:r>
        <w:rPr>
          <w:rFonts w:hint="eastAsia" w:hAnsi="宋体" w:cs="宋体"/>
          <w:sz w:val="21"/>
          <w:szCs w:val="21"/>
        </w:rPr>
        <w:t xml:space="preserve">为本公司合法代理人，参加贵方组织的 </w:t>
      </w:r>
      <w:r>
        <w:rPr>
          <w:rFonts w:hint="eastAsia" w:hAnsi="宋体" w:cs="宋体"/>
          <w:sz w:val="21"/>
          <w:szCs w:val="21"/>
          <w:u w:val="single"/>
        </w:rPr>
        <w:t xml:space="preserve">   （项目编号、项目名称、标项号） </w:t>
      </w:r>
      <w:r>
        <w:rPr>
          <w:rFonts w:hint="eastAsia" w:hAnsi="宋体" w:cs="宋体"/>
          <w:sz w:val="21"/>
          <w:szCs w:val="21"/>
        </w:rPr>
        <w:t>招投标活动，代表本公司</w:t>
      </w:r>
      <w:r>
        <w:rPr>
          <w:rFonts w:hint="eastAsia" w:hAnsi="宋体" w:cs="宋体"/>
          <w:sz w:val="21"/>
          <w:szCs w:val="21"/>
          <w:u w:val="single"/>
        </w:rPr>
        <w:t>（单位）</w:t>
      </w:r>
      <w:r>
        <w:rPr>
          <w:rFonts w:hint="eastAsia" w:hAnsi="宋体" w:cs="宋体"/>
          <w:sz w:val="21"/>
          <w:szCs w:val="21"/>
        </w:rPr>
        <w:t>处理招投标活动中的一切事宜，在此：</w:t>
      </w:r>
    </w:p>
    <w:p>
      <w:pPr>
        <w:pStyle w:val="15"/>
        <w:widowControl/>
        <w:numPr>
          <w:ilvl w:val="0"/>
          <w:numId w:val="5"/>
        </w:numPr>
        <w:spacing w:line="360" w:lineRule="auto"/>
        <w:jc w:val="left"/>
        <w:rPr>
          <w:rFonts w:hAnsi="宋体" w:cs="宋体"/>
          <w:sz w:val="21"/>
          <w:szCs w:val="21"/>
        </w:rPr>
      </w:pPr>
      <w:r>
        <w:rPr>
          <w:rFonts w:hint="eastAsia" w:hAnsi="宋体" w:cs="宋体"/>
          <w:sz w:val="21"/>
          <w:szCs w:val="21"/>
        </w:rPr>
        <w:t>提供招标文件中“投标须知”规定的全部投标文件：电子投标文件（含资格证明文件、商务技术文件、报价文件）1份；U盘存储的电子备份投标文件（含资格证明文件、商务技术文件、报价文件）1份。</w:t>
      </w:r>
    </w:p>
    <w:p>
      <w:pPr>
        <w:pStyle w:val="15"/>
        <w:widowControl/>
        <w:spacing w:line="360" w:lineRule="auto"/>
        <w:ind w:firstLine="0"/>
        <w:jc w:val="left"/>
        <w:rPr>
          <w:rFonts w:hAnsi="宋体" w:cs="宋体"/>
          <w:sz w:val="21"/>
          <w:szCs w:val="21"/>
        </w:rPr>
      </w:pPr>
      <w:r>
        <w:rPr>
          <w:rFonts w:hint="eastAsia" w:hAnsi="宋体" w:cs="宋体"/>
          <w:sz w:val="21"/>
          <w:szCs w:val="21"/>
        </w:rPr>
        <w:t>2、据此函，签字代表宣布并承诺如下：</w:t>
      </w:r>
    </w:p>
    <w:p>
      <w:pPr>
        <w:pStyle w:val="15"/>
        <w:widowControl/>
        <w:spacing w:line="360" w:lineRule="auto"/>
        <w:ind w:firstLine="0"/>
        <w:jc w:val="left"/>
        <w:rPr>
          <w:rFonts w:hAnsi="宋体" w:cs="宋体"/>
          <w:sz w:val="21"/>
          <w:szCs w:val="21"/>
        </w:rPr>
      </w:pPr>
      <w:r>
        <w:rPr>
          <w:rFonts w:hint="eastAsia" w:hAnsi="宋体" w:cs="宋体"/>
          <w:sz w:val="21"/>
          <w:szCs w:val="21"/>
        </w:rPr>
        <w:t>（1）我方对招标项目愿以拖车费用投标折扣系数为：</w:t>
      </w:r>
      <w:r>
        <w:rPr>
          <w:rFonts w:hint="eastAsia" w:hAnsi="宋体" w:cs="宋体"/>
          <w:sz w:val="21"/>
          <w:szCs w:val="21"/>
          <w:u w:val="single"/>
        </w:rPr>
        <w:t xml:space="preserve">    </w:t>
      </w:r>
      <w:r>
        <w:rPr>
          <w:rFonts w:hint="eastAsia" w:hAnsi="宋体" w:cs="宋体"/>
          <w:sz w:val="21"/>
          <w:szCs w:val="21"/>
        </w:rPr>
        <w:t>%；停车场服务投标报价为：</w:t>
      </w:r>
      <w:r>
        <w:rPr>
          <w:rFonts w:hint="eastAsia" w:hAnsi="宋体" w:cs="宋体"/>
          <w:sz w:val="21"/>
          <w:szCs w:val="21"/>
          <w:u w:val="single"/>
        </w:rPr>
        <w:t xml:space="preserve">    </w:t>
      </w:r>
      <w:r>
        <w:rPr>
          <w:rFonts w:hint="eastAsia" w:hAnsi="宋体" w:cs="宋体"/>
          <w:sz w:val="21"/>
          <w:szCs w:val="21"/>
        </w:rPr>
        <w:t>元/年（大写：元/年人民币），承担招标文件规定内容。</w:t>
      </w:r>
    </w:p>
    <w:p>
      <w:pPr>
        <w:pStyle w:val="15"/>
        <w:widowControl/>
        <w:spacing w:line="360" w:lineRule="auto"/>
        <w:ind w:firstLine="0"/>
        <w:jc w:val="left"/>
        <w:rPr>
          <w:rFonts w:hAnsi="宋体" w:cs="宋体"/>
          <w:sz w:val="21"/>
          <w:szCs w:val="21"/>
        </w:rPr>
      </w:pPr>
      <w:r>
        <w:rPr>
          <w:rFonts w:hint="eastAsia" w:hAnsi="宋体" w:cs="宋体"/>
          <w:sz w:val="21"/>
          <w:szCs w:val="21"/>
        </w:rPr>
        <w:t>（2）本报价已经包含了所供货物应纳的税金及招标文件规定的报价方式应包含的其它费用。本报价在投标有效期内固定不变，并在合同有效期内不受利率波动的影响。</w:t>
      </w:r>
    </w:p>
    <w:p>
      <w:pPr>
        <w:pStyle w:val="15"/>
        <w:widowControl/>
        <w:spacing w:line="360" w:lineRule="auto"/>
        <w:ind w:firstLine="0"/>
        <w:jc w:val="left"/>
        <w:rPr>
          <w:rFonts w:hAnsi="宋体" w:cs="宋体"/>
          <w:sz w:val="21"/>
          <w:szCs w:val="21"/>
        </w:rPr>
      </w:pPr>
      <w:r>
        <w:rPr>
          <w:rFonts w:hint="eastAsia" w:hAnsi="宋体" w:cs="宋体"/>
          <w:sz w:val="21"/>
          <w:szCs w:val="21"/>
        </w:rPr>
        <w:t>（3）本投标自投标截止日起</w:t>
      </w:r>
      <w:r>
        <w:rPr>
          <w:rFonts w:hint="eastAsia" w:hAnsi="宋体" w:cs="宋体"/>
          <w:sz w:val="21"/>
          <w:szCs w:val="21"/>
          <w:u w:val="single"/>
        </w:rPr>
        <w:t>90</w:t>
      </w:r>
      <w:r>
        <w:rPr>
          <w:rFonts w:hint="eastAsia" w:hAnsi="宋体" w:cs="宋体"/>
          <w:sz w:val="21"/>
          <w:szCs w:val="21"/>
        </w:rPr>
        <w:t>天内有效。</w:t>
      </w:r>
    </w:p>
    <w:p>
      <w:pPr>
        <w:pStyle w:val="15"/>
        <w:widowControl/>
        <w:spacing w:line="360" w:lineRule="auto"/>
        <w:ind w:firstLine="0"/>
        <w:jc w:val="left"/>
        <w:rPr>
          <w:rFonts w:hAnsi="宋体" w:cs="宋体"/>
          <w:sz w:val="21"/>
          <w:szCs w:val="21"/>
        </w:rPr>
      </w:pPr>
      <w:r>
        <w:rPr>
          <w:rFonts w:hint="eastAsia" w:hAnsi="宋体" w:cs="宋体"/>
          <w:sz w:val="21"/>
          <w:szCs w:val="21"/>
        </w:rPr>
        <w:t>（4）我们已详细审查全部招标文件及有关的澄清/修改文件(若有的话)，我们完全理解并同意放弃对这方面提出任何异议的权利。保证遵守招标文件有关条款规定。</w:t>
      </w:r>
    </w:p>
    <w:p>
      <w:pPr>
        <w:pStyle w:val="15"/>
        <w:widowControl/>
        <w:spacing w:line="360" w:lineRule="auto"/>
        <w:ind w:firstLine="0"/>
        <w:jc w:val="left"/>
        <w:rPr>
          <w:rFonts w:hAnsi="宋体" w:cs="宋体"/>
          <w:sz w:val="21"/>
          <w:szCs w:val="21"/>
        </w:rPr>
      </w:pPr>
      <w:r>
        <w:rPr>
          <w:rFonts w:hint="eastAsia" w:hAnsi="宋体" w:cs="宋体"/>
          <w:sz w:val="21"/>
          <w:szCs w:val="21"/>
        </w:rPr>
        <w:t>（5）保证在中标后忠实地执行与招标人所签署的合同，并承担合同规定的责任义务。</w:t>
      </w:r>
    </w:p>
    <w:p>
      <w:pPr>
        <w:pStyle w:val="15"/>
        <w:widowControl/>
        <w:spacing w:line="360" w:lineRule="auto"/>
        <w:ind w:firstLine="0"/>
        <w:jc w:val="left"/>
        <w:rPr>
          <w:rFonts w:hAnsi="宋体" w:cs="宋体"/>
          <w:sz w:val="21"/>
          <w:szCs w:val="21"/>
        </w:rPr>
      </w:pPr>
      <w:r>
        <w:rPr>
          <w:rFonts w:hint="eastAsia" w:hAnsi="宋体" w:cs="宋体"/>
          <w:sz w:val="21"/>
          <w:szCs w:val="21"/>
        </w:rPr>
        <w:t>（6）承诺应贵方要求提供任何与该项目投标有关的数据、情况和技术资料。</w:t>
      </w:r>
    </w:p>
    <w:p>
      <w:pPr>
        <w:pStyle w:val="15"/>
        <w:widowControl/>
        <w:spacing w:line="360" w:lineRule="auto"/>
        <w:ind w:firstLine="0"/>
        <w:jc w:val="left"/>
        <w:rPr>
          <w:rFonts w:hAnsi="宋体" w:cs="宋体"/>
          <w:sz w:val="21"/>
          <w:szCs w:val="21"/>
        </w:rPr>
      </w:pPr>
      <w:r>
        <w:rPr>
          <w:rFonts w:hint="eastAsia" w:hAnsi="宋体" w:cs="宋体"/>
          <w:sz w:val="21"/>
          <w:szCs w:val="21"/>
        </w:rPr>
        <w:t>（7）我们承诺，与为招标人采购本次招标的货物进行设计、编制规范和其他文件所委托的咨询公司或其附属机构无任何直接或间接的关联。</w:t>
      </w:r>
    </w:p>
    <w:p>
      <w:pPr>
        <w:pStyle w:val="15"/>
        <w:widowControl/>
        <w:spacing w:line="360" w:lineRule="auto"/>
        <w:ind w:left="303" w:hanging="303" w:hangingChars="150"/>
        <w:jc w:val="left"/>
        <w:rPr>
          <w:rFonts w:hAnsi="宋体" w:cs="宋体"/>
          <w:sz w:val="21"/>
          <w:szCs w:val="21"/>
        </w:rPr>
      </w:pPr>
      <w:r>
        <w:rPr>
          <w:rFonts w:hint="eastAsia" w:hAnsi="宋体" w:cs="宋体"/>
          <w:sz w:val="21"/>
          <w:szCs w:val="21"/>
        </w:rPr>
        <w:t>3、我们郑重声明：</w:t>
      </w:r>
    </w:p>
    <w:p>
      <w:pPr>
        <w:pStyle w:val="15"/>
        <w:widowControl/>
        <w:spacing w:line="360" w:lineRule="auto"/>
        <w:ind w:firstLine="0"/>
        <w:jc w:val="left"/>
        <w:rPr>
          <w:rFonts w:hAnsi="宋体" w:cs="宋体"/>
          <w:sz w:val="21"/>
          <w:szCs w:val="21"/>
        </w:rPr>
      </w:pPr>
      <w:r>
        <w:rPr>
          <w:rFonts w:hint="eastAsia" w:hAnsi="宋体" w:cs="宋体"/>
          <w:sz w:val="21"/>
          <w:szCs w:val="21"/>
        </w:rPr>
        <w:t>我公司符合有关法律法规规定的参加采购活动应当具备的条件：具有健全的财务会计制度、依法缴纳税收和社会保障资金、参加本次采购活动之前的三年内，在经营活动中无重大违法活动。</w:t>
      </w:r>
    </w:p>
    <w:p>
      <w:pPr>
        <w:pStyle w:val="15"/>
        <w:widowControl/>
        <w:spacing w:line="360" w:lineRule="auto"/>
        <w:ind w:firstLine="0"/>
        <w:jc w:val="left"/>
        <w:rPr>
          <w:rFonts w:hAnsi="宋体" w:cs="宋体"/>
          <w:sz w:val="21"/>
          <w:szCs w:val="21"/>
        </w:rPr>
      </w:pPr>
      <w:r>
        <w:rPr>
          <w:rFonts w:hint="eastAsia" w:hAnsi="宋体" w:cs="宋体"/>
          <w:sz w:val="21"/>
          <w:szCs w:val="21"/>
        </w:rPr>
        <w:t>4、我方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pStyle w:val="15"/>
        <w:widowControl/>
        <w:spacing w:line="360" w:lineRule="auto"/>
        <w:ind w:firstLine="0"/>
        <w:jc w:val="left"/>
        <w:rPr>
          <w:rFonts w:hAnsi="宋体" w:cs="宋体"/>
          <w:sz w:val="21"/>
          <w:szCs w:val="21"/>
        </w:rPr>
      </w:pPr>
      <w:r>
        <w:rPr>
          <w:rFonts w:hint="eastAsia" w:hAnsi="宋体" w:cs="宋体"/>
          <w:sz w:val="21"/>
          <w:szCs w:val="21"/>
        </w:rPr>
        <w:t>5、与本投标有关的一切往来通讯请寄：</w:t>
      </w:r>
    </w:p>
    <w:p>
      <w:pPr>
        <w:pStyle w:val="15"/>
        <w:widowControl/>
        <w:spacing w:line="360" w:lineRule="auto"/>
        <w:jc w:val="left"/>
        <w:rPr>
          <w:rFonts w:hAnsi="宋体" w:cs="宋体"/>
          <w:sz w:val="21"/>
          <w:szCs w:val="21"/>
          <w:u w:val="single"/>
        </w:rPr>
      </w:pPr>
      <w:r>
        <w:rPr>
          <w:rFonts w:hint="eastAsia" w:hAnsi="宋体" w:cs="宋体"/>
          <w:sz w:val="21"/>
          <w:szCs w:val="21"/>
        </w:rPr>
        <w:t>地址：</w:t>
      </w:r>
    </w:p>
    <w:p>
      <w:pPr>
        <w:pStyle w:val="15"/>
        <w:widowControl/>
        <w:spacing w:line="360" w:lineRule="auto"/>
        <w:jc w:val="left"/>
        <w:rPr>
          <w:rFonts w:hAnsi="宋体" w:cs="宋体"/>
          <w:sz w:val="21"/>
          <w:szCs w:val="21"/>
          <w:u w:val="single"/>
        </w:rPr>
      </w:pPr>
      <w:r>
        <w:rPr>
          <w:rFonts w:hint="eastAsia" w:hAnsi="宋体" w:cs="宋体"/>
          <w:sz w:val="21"/>
          <w:szCs w:val="21"/>
        </w:rPr>
        <w:t>邮编：  电话：  传真：</w:t>
      </w: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pStyle w:val="15"/>
        <w:widowControl/>
        <w:spacing w:line="360" w:lineRule="auto"/>
        <w:ind w:firstLine="0"/>
        <w:jc w:val="left"/>
        <w:rPr>
          <w:rFonts w:hAnsi="宋体" w:cs="宋体"/>
          <w:b/>
          <w:szCs w:val="21"/>
        </w:rPr>
      </w:pPr>
      <w:r>
        <w:rPr>
          <w:rFonts w:hint="eastAsia" w:hAnsi="宋体" w:cs="宋体"/>
          <w:sz w:val="24"/>
        </w:rPr>
        <w:br w:type="page"/>
      </w:r>
      <w:r>
        <w:rPr>
          <w:rFonts w:hint="eastAsia" w:hAnsi="宋体" w:cs="宋体"/>
          <w:b/>
          <w:spacing w:val="0"/>
          <w:kern w:val="2"/>
          <w:sz w:val="21"/>
          <w:szCs w:val="21"/>
        </w:rPr>
        <w:t>格式十五：开标一览表</w:t>
      </w:r>
    </w:p>
    <w:p>
      <w:pPr>
        <w:spacing w:line="360" w:lineRule="auto"/>
        <w:rPr>
          <w:rFonts w:ascii="宋体" w:hAnsi="宋体" w:cs="宋体"/>
          <w:sz w:val="24"/>
        </w:rPr>
      </w:pPr>
    </w:p>
    <w:p>
      <w:pPr>
        <w:spacing w:line="360" w:lineRule="auto"/>
        <w:jc w:val="center"/>
        <w:rPr>
          <w:rFonts w:ascii="宋体" w:hAnsi="宋体" w:cs="宋体"/>
          <w:b/>
          <w:sz w:val="24"/>
        </w:rPr>
      </w:pPr>
      <w:r>
        <w:rPr>
          <w:rFonts w:hint="eastAsia" w:ascii="宋体" w:hAnsi="宋体" w:cs="宋体"/>
          <w:b/>
          <w:sz w:val="24"/>
        </w:rPr>
        <w:t>开标一览表</w:t>
      </w:r>
    </w:p>
    <w:p>
      <w:pPr>
        <w:spacing w:line="360" w:lineRule="auto"/>
        <w:jc w:val="center"/>
        <w:rPr>
          <w:rFonts w:ascii="宋体" w:hAnsi="宋体" w:cs="宋体"/>
          <w:b/>
          <w:sz w:val="24"/>
        </w:rPr>
      </w:pPr>
    </w:p>
    <w:p>
      <w:pPr>
        <w:spacing w:line="360" w:lineRule="auto"/>
        <w:rPr>
          <w:rFonts w:ascii="宋体" w:hAnsi="宋体" w:cs="宋体"/>
          <w:szCs w:val="21"/>
        </w:rPr>
      </w:pPr>
      <w:r>
        <w:rPr>
          <w:rFonts w:hint="eastAsia" w:ascii="宋体" w:hAnsi="宋体" w:cs="宋体"/>
          <w:szCs w:val="21"/>
        </w:rPr>
        <w:t>项目名称：                        项目编号：                   标项：</w:t>
      </w:r>
    </w:p>
    <w:tbl>
      <w:tblPr>
        <w:tblStyle w:val="35"/>
        <w:tblW w:w="98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
        <w:gridCol w:w="5515"/>
        <w:gridCol w:w="1848"/>
        <w:gridCol w:w="1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4" w:type="dxa"/>
            <w:vAlign w:val="center"/>
          </w:tcPr>
          <w:p>
            <w:pPr>
              <w:spacing w:line="400" w:lineRule="exact"/>
              <w:jc w:val="center"/>
              <w:rPr>
                <w:rFonts w:ascii="宋体" w:hAnsi="宋体" w:cs="宋体"/>
                <w:szCs w:val="21"/>
              </w:rPr>
            </w:pPr>
            <w:r>
              <w:rPr>
                <w:rFonts w:hint="eastAsia" w:ascii="宋体" w:hAnsi="宋体" w:cs="宋体"/>
                <w:szCs w:val="21"/>
              </w:rPr>
              <w:t>标项</w:t>
            </w:r>
          </w:p>
        </w:tc>
        <w:tc>
          <w:tcPr>
            <w:tcW w:w="5515" w:type="dxa"/>
            <w:vAlign w:val="center"/>
          </w:tcPr>
          <w:p>
            <w:pPr>
              <w:spacing w:line="400" w:lineRule="exact"/>
              <w:jc w:val="center"/>
              <w:rPr>
                <w:rFonts w:ascii="宋体" w:hAnsi="宋体" w:cs="宋体"/>
                <w:szCs w:val="21"/>
              </w:rPr>
            </w:pPr>
            <w:r>
              <w:rPr>
                <w:rFonts w:hint="eastAsia" w:ascii="宋体" w:hAnsi="宋体" w:cs="宋体"/>
                <w:szCs w:val="21"/>
              </w:rPr>
              <w:t>采购内容</w:t>
            </w:r>
          </w:p>
        </w:tc>
        <w:tc>
          <w:tcPr>
            <w:tcW w:w="1848" w:type="dxa"/>
            <w:vAlign w:val="center"/>
          </w:tcPr>
          <w:p>
            <w:pPr>
              <w:spacing w:line="400" w:lineRule="exact"/>
              <w:jc w:val="center"/>
              <w:rPr>
                <w:rFonts w:ascii="宋体" w:hAnsi="宋体" w:cs="宋体"/>
                <w:szCs w:val="21"/>
              </w:rPr>
            </w:pPr>
            <w:r>
              <w:rPr>
                <w:rFonts w:hint="eastAsia" w:ascii="宋体" w:hAnsi="宋体" w:cs="宋体"/>
                <w:szCs w:val="21"/>
              </w:rPr>
              <w:t>拖车费用投标</w:t>
            </w:r>
          </w:p>
          <w:p>
            <w:pPr>
              <w:spacing w:line="400" w:lineRule="exact"/>
              <w:jc w:val="center"/>
              <w:rPr>
                <w:rFonts w:ascii="宋体" w:hAnsi="宋体" w:cs="宋体"/>
                <w:szCs w:val="21"/>
              </w:rPr>
            </w:pPr>
            <w:r>
              <w:rPr>
                <w:rFonts w:hint="eastAsia" w:ascii="宋体" w:hAnsi="宋体" w:cs="宋体"/>
                <w:szCs w:val="21"/>
              </w:rPr>
              <w:t>折扣系数</w:t>
            </w:r>
          </w:p>
        </w:tc>
        <w:tc>
          <w:tcPr>
            <w:tcW w:w="1530" w:type="dxa"/>
            <w:vAlign w:val="center"/>
          </w:tcPr>
          <w:p>
            <w:pPr>
              <w:spacing w:line="400" w:lineRule="exact"/>
              <w:jc w:val="center"/>
              <w:rPr>
                <w:rFonts w:ascii="宋体" w:hAnsi="宋体" w:cs="宋体"/>
                <w:szCs w:val="21"/>
              </w:rPr>
            </w:pPr>
            <w:r>
              <w:rPr>
                <w:rFonts w:hint="eastAsia" w:ascii="宋体" w:hAnsi="宋体" w:cs="宋体"/>
                <w:szCs w:val="21"/>
              </w:rPr>
              <w:t>停车场服务</w:t>
            </w:r>
          </w:p>
          <w:p>
            <w:pPr>
              <w:spacing w:line="400" w:lineRule="exact"/>
              <w:jc w:val="center"/>
              <w:rPr>
                <w:rFonts w:ascii="宋体" w:hAnsi="宋体" w:cs="宋体"/>
                <w:szCs w:val="21"/>
              </w:rPr>
            </w:pPr>
            <w:r>
              <w:rPr>
                <w:rFonts w:hint="eastAsia" w:ascii="宋体" w:hAnsi="宋体" w:cs="宋体"/>
                <w:szCs w:val="21"/>
              </w:rPr>
              <w:t>投标报价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一</w:t>
            </w:r>
          </w:p>
        </w:tc>
        <w:tc>
          <w:tcPr>
            <w:tcW w:w="5515" w:type="dxa"/>
            <w:vAlign w:val="center"/>
          </w:tcPr>
          <w:p>
            <w:pPr>
              <w:pStyle w:val="15"/>
              <w:spacing w:line="360" w:lineRule="auto"/>
              <w:ind w:firstLine="0"/>
              <w:jc w:val="center"/>
              <w:rPr>
                <w:sz w:val="21"/>
                <w:szCs w:val="21"/>
              </w:rPr>
            </w:pPr>
            <w:r>
              <w:rPr>
                <w:rFonts w:hint="eastAsia"/>
                <w:sz w:val="21"/>
                <w:szCs w:val="21"/>
              </w:rPr>
              <w:t>江北交警大队辖区；海曙大队一中队、二中队、三中队、南站中队辖区；鄞州大队一中队、二中队、东部新城中队辖区；快速路大队辖区等范围内的事故拖车、停车服务</w:t>
            </w:r>
          </w:p>
        </w:tc>
        <w:tc>
          <w:tcPr>
            <w:tcW w:w="1848" w:type="dxa"/>
            <w:vAlign w:val="center"/>
          </w:tcPr>
          <w:p>
            <w:pPr>
              <w:pStyle w:val="15"/>
              <w:spacing w:line="360" w:lineRule="auto"/>
              <w:jc w:val="center"/>
              <w:rPr>
                <w:rFonts w:hAnsi="宋体" w:cs="宋体"/>
                <w:sz w:val="21"/>
                <w:szCs w:val="21"/>
              </w:rPr>
            </w:pPr>
            <w:r>
              <w:rPr>
                <w:rFonts w:hint="eastAsia"/>
                <w:sz w:val="21"/>
                <w:szCs w:val="21"/>
              </w:rPr>
              <w:t>%</w:t>
            </w:r>
          </w:p>
        </w:tc>
        <w:tc>
          <w:tcPr>
            <w:tcW w:w="1530" w:type="dxa"/>
            <w:vAlign w:val="center"/>
          </w:tcPr>
          <w:p>
            <w:pPr>
              <w:pStyle w:val="15"/>
              <w:spacing w:line="360" w:lineRule="auto"/>
              <w:rPr>
                <w:rFonts w:hAnsi="宋体" w:cs="宋体"/>
                <w:sz w:val="21"/>
                <w:szCs w:val="21"/>
              </w:rPr>
            </w:pPr>
            <w:r>
              <w:rPr>
                <w:rFonts w:hint="eastAsia"/>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二</w:t>
            </w:r>
          </w:p>
        </w:tc>
        <w:tc>
          <w:tcPr>
            <w:tcW w:w="5515" w:type="dxa"/>
            <w:vAlign w:val="center"/>
          </w:tcPr>
          <w:p>
            <w:pPr>
              <w:pStyle w:val="15"/>
              <w:spacing w:line="360" w:lineRule="auto"/>
              <w:ind w:firstLine="0"/>
              <w:jc w:val="center"/>
              <w:rPr>
                <w:sz w:val="21"/>
                <w:szCs w:val="21"/>
              </w:rPr>
            </w:pPr>
            <w:r>
              <w:rPr>
                <w:rFonts w:hint="eastAsia"/>
                <w:sz w:val="21"/>
                <w:szCs w:val="21"/>
              </w:rPr>
              <w:t>江北交警大队辖区；海曙大队一中队、二中队、三中队、南站中队辖区；鄞州大队一中队、二中队、东部新城中队辖区；快速路大队辖区等范围内的违法拖车、停车服务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三</w:t>
            </w:r>
          </w:p>
        </w:tc>
        <w:tc>
          <w:tcPr>
            <w:tcW w:w="5515" w:type="dxa"/>
            <w:vAlign w:val="center"/>
          </w:tcPr>
          <w:p>
            <w:pPr>
              <w:pStyle w:val="15"/>
              <w:spacing w:line="360" w:lineRule="auto"/>
              <w:ind w:firstLine="0"/>
              <w:jc w:val="center"/>
              <w:rPr>
                <w:sz w:val="21"/>
                <w:szCs w:val="21"/>
              </w:rPr>
            </w:pPr>
            <w:r>
              <w:rPr>
                <w:rFonts w:hint="eastAsia"/>
                <w:sz w:val="21"/>
                <w:szCs w:val="21"/>
              </w:rPr>
              <w:t>姜山交警中队辖区事故、违法拖车、停车服务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四</w:t>
            </w:r>
          </w:p>
        </w:tc>
        <w:tc>
          <w:tcPr>
            <w:tcW w:w="5515" w:type="dxa"/>
            <w:vAlign w:val="center"/>
          </w:tcPr>
          <w:p>
            <w:pPr>
              <w:pStyle w:val="15"/>
              <w:spacing w:line="360" w:lineRule="auto"/>
              <w:ind w:firstLine="0"/>
              <w:jc w:val="center"/>
              <w:rPr>
                <w:sz w:val="21"/>
                <w:szCs w:val="21"/>
              </w:rPr>
            </w:pPr>
            <w:r>
              <w:rPr>
                <w:rFonts w:hint="eastAsia"/>
                <w:sz w:val="21"/>
                <w:szCs w:val="21"/>
              </w:rPr>
              <w:t>横溪交警中队辖区事故、违法拖车、停车服务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五</w:t>
            </w:r>
          </w:p>
        </w:tc>
        <w:tc>
          <w:tcPr>
            <w:tcW w:w="5515" w:type="dxa"/>
            <w:vAlign w:val="center"/>
          </w:tcPr>
          <w:p>
            <w:pPr>
              <w:pStyle w:val="15"/>
              <w:spacing w:line="360" w:lineRule="auto"/>
              <w:ind w:firstLine="0"/>
              <w:jc w:val="center"/>
              <w:rPr>
                <w:sz w:val="21"/>
                <w:szCs w:val="21"/>
              </w:rPr>
            </w:pPr>
            <w:r>
              <w:rPr>
                <w:rFonts w:hint="eastAsia"/>
                <w:sz w:val="21"/>
                <w:szCs w:val="21"/>
              </w:rPr>
              <w:t>大嵩交警中队辖区事故、违法拖车、停车服务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六</w:t>
            </w:r>
          </w:p>
        </w:tc>
        <w:tc>
          <w:tcPr>
            <w:tcW w:w="5515" w:type="dxa"/>
            <w:vAlign w:val="center"/>
          </w:tcPr>
          <w:p>
            <w:pPr>
              <w:pStyle w:val="15"/>
              <w:spacing w:line="360" w:lineRule="auto"/>
              <w:ind w:firstLine="0"/>
              <w:jc w:val="center"/>
              <w:rPr>
                <w:sz w:val="21"/>
                <w:szCs w:val="21"/>
              </w:rPr>
            </w:pPr>
            <w:r>
              <w:rPr>
                <w:rFonts w:hint="eastAsia"/>
                <w:sz w:val="21"/>
                <w:szCs w:val="21"/>
              </w:rPr>
              <w:t>东吴、盛垫交警中队辖区事故、违法拖车、停车服务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七</w:t>
            </w:r>
          </w:p>
        </w:tc>
        <w:tc>
          <w:tcPr>
            <w:tcW w:w="5515" w:type="dxa"/>
            <w:vAlign w:val="center"/>
          </w:tcPr>
          <w:p>
            <w:pPr>
              <w:pStyle w:val="15"/>
              <w:spacing w:line="360" w:lineRule="auto"/>
              <w:ind w:firstLine="0"/>
              <w:jc w:val="center"/>
              <w:rPr>
                <w:sz w:val="21"/>
                <w:szCs w:val="21"/>
              </w:rPr>
            </w:pPr>
            <w:r>
              <w:rPr>
                <w:rFonts w:hint="eastAsia"/>
                <w:sz w:val="21"/>
                <w:szCs w:val="21"/>
              </w:rPr>
              <w:t>下应、首南交警中队辖区事故、违法拖车、停车服务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八</w:t>
            </w:r>
          </w:p>
        </w:tc>
        <w:tc>
          <w:tcPr>
            <w:tcW w:w="5515" w:type="dxa"/>
            <w:vAlign w:val="center"/>
          </w:tcPr>
          <w:p>
            <w:pPr>
              <w:pStyle w:val="15"/>
              <w:spacing w:line="360" w:lineRule="auto"/>
              <w:ind w:firstLine="0"/>
              <w:jc w:val="center"/>
              <w:rPr>
                <w:sz w:val="21"/>
                <w:szCs w:val="21"/>
              </w:rPr>
            </w:pPr>
            <w:r>
              <w:rPr>
                <w:rFonts w:hint="eastAsia"/>
                <w:sz w:val="21"/>
                <w:szCs w:val="21"/>
              </w:rPr>
              <w:t>钟公庙交警中队辖区事故、违法拖车、停车服务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九</w:t>
            </w:r>
          </w:p>
        </w:tc>
        <w:tc>
          <w:tcPr>
            <w:tcW w:w="5515" w:type="dxa"/>
            <w:vAlign w:val="center"/>
          </w:tcPr>
          <w:p>
            <w:pPr>
              <w:pStyle w:val="15"/>
              <w:spacing w:line="360" w:lineRule="auto"/>
              <w:ind w:firstLine="0"/>
              <w:jc w:val="center"/>
              <w:rPr>
                <w:sz w:val="21"/>
                <w:szCs w:val="21"/>
              </w:rPr>
            </w:pPr>
            <w:r>
              <w:rPr>
                <w:rFonts w:hint="eastAsia"/>
                <w:sz w:val="21"/>
                <w:szCs w:val="21"/>
              </w:rPr>
              <w:t>古林交警中队辖区事故、违法拖车、停车服务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十</w:t>
            </w:r>
          </w:p>
        </w:tc>
        <w:tc>
          <w:tcPr>
            <w:tcW w:w="5515" w:type="dxa"/>
            <w:vAlign w:val="center"/>
          </w:tcPr>
          <w:p>
            <w:pPr>
              <w:pStyle w:val="15"/>
              <w:spacing w:line="360" w:lineRule="auto"/>
              <w:ind w:firstLine="0"/>
              <w:jc w:val="center"/>
              <w:rPr>
                <w:sz w:val="21"/>
                <w:szCs w:val="21"/>
              </w:rPr>
            </w:pPr>
            <w:r>
              <w:rPr>
                <w:rFonts w:hint="eastAsia"/>
                <w:sz w:val="21"/>
                <w:szCs w:val="21"/>
              </w:rPr>
              <w:t>栎社交警中队辖区事故、违法拖车、停车服务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十一</w:t>
            </w:r>
          </w:p>
        </w:tc>
        <w:tc>
          <w:tcPr>
            <w:tcW w:w="5515" w:type="dxa"/>
            <w:vAlign w:val="center"/>
          </w:tcPr>
          <w:p>
            <w:pPr>
              <w:pStyle w:val="15"/>
              <w:spacing w:line="360" w:lineRule="auto"/>
              <w:ind w:firstLine="0"/>
              <w:jc w:val="center"/>
              <w:rPr>
                <w:sz w:val="21"/>
                <w:szCs w:val="21"/>
              </w:rPr>
            </w:pPr>
            <w:r>
              <w:rPr>
                <w:rFonts w:hint="eastAsia"/>
                <w:sz w:val="21"/>
                <w:szCs w:val="21"/>
              </w:rPr>
              <w:t>集仕港交警中队辖区事故、违法拖车服务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ind w:firstLine="0"/>
              <w:jc w:val="center"/>
              <w:rPr>
                <w:rFonts w:hAnsi="宋体" w:cs="宋体"/>
                <w:sz w:val="21"/>
                <w:szCs w:val="21"/>
              </w:rPr>
            </w:pPr>
            <w:r>
              <w:rPr>
                <w:rFonts w:hint="eastAsia" w:hAnsi="宋体" w:cs="宋体"/>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十二</w:t>
            </w:r>
          </w:p>
        </w:tc>
        <w:tc>
          <w:tcPr>
            <w:tcW w:w="5515" w:type="dxa"/>
            <w:vAlign w:val="center"/>
          </w:tcPr>
          <w:p>
            <w:pPr>
              <w:pStyle w:val="15"/>
              <w:spacing w:line="360" w:lineRule="auto"/>
              <w:ind w:firstLine="0"/>
              <w:jc w:val="center"/>
              <w:rPr>
                <w:sz w:val="21"/>
                <w:szCs w:val="21"/>
              </w:rPr>
            </w:pPr>
            <w:r>
              <w:rPr>
                <w:rFonts w:hint="eastAsia"/>
                <w:sz w:val="21"/>
                <w:szCs w:val="21"/>
              </w:rPr>
              <w:t>高桥交警中队辖区事故、违法拖车、停车服务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十三</w:t>
            </w:r>
          </w:p>
        </w:tc>
        <w:tc>
          <w:tcPr>
            <w:tcW w:w="5515" w:type="dxa"/>
            <w:vAlign w:val="center"/>
          </w:tcPr>
          <w:p>
            <w:pPr>
              <w:pStyle w:val="15"/>
              <w:spacing w:line="360" w:lineRule="auto"/>
              <w:ind w:firstLine="0"/>
              <w:jc w:val="center"/>
              <w:rPr>
                <w:sz w:val="21"/>
                <w:szCs w:val="21"/>
              </w:rPr>
            </w:pPr>
            <w:r>
              <w:rPr>
                <w:rFonts w:hint="eastAsia"/>
                <w:sz w:val="21"/>
                <w:szCs w:val="21"/>
              </w:rPr>
              <w:t>鄞江交警中队辖区事故、违法拖车、停车服务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94" w:type="dxa"/>
            <w:vAlign w:val="center"/>
          </w:tcPr>
          <w:p>
            <w:pPr>
              <w:pStyle w:val="15"/>
              <w:spacing w:line="360" w:lineRule="auto"/>
              <w:ind w:firstLine="0"/>
              <w:jc w:val="center"/>
              <w:rPr>
                <w:sz w:val="21"/>
                <w:szCs w:val="21"/>
              </w:rPr>
            </w:pPr>
            <w:r>
              <w:rPr>
                <w:rFonts w:hint="eastAsia"/>
                <w:sz w:val="21"/>
                <w:szCs w:val="21"/>
              </w:rPr>
              <w:t>十四</w:t>
            </w:r>
          </w:p>
        </w:tc>
        <w:tc>
          <w:tcPr>
            <w:tcW w:w="5515" w:type="dxa"/>
            <w:vAlign w:val="center"/>
          </w:tcPr>
          <w:p>
            <w:pPr>
              <w:pStyle w:val="15"/>
              <w:spacing w:line="360" w:lineRule="auto"/>
              <w:ind w:firstLine="0"/>
              <w:jc w:val="center"/>
              <w:rPr>
                <w:sz w:val="21"/>
                <w:szCs w:val="21"/>
              </w:rPr>
            </w:pPr>
            <w:r>
              <w:rPr>
                <w:rFonts w:hint="eastAsia"/>
                <w:sz w:val="21"/>
                <w:szCs w:val="21"/>
              </w:rPr>
              <w:t>东钱湖交警中队辖区事故、违法拖车、停车服务</w:t>
            </w:r>
          </w:p>
        </w:tc>
        <w:tc>
          <w:tcPr>
            <w:tcW w:w="1848" w:type="dxa"/>
            <w:vAlign w:val="center"/>
          </w:tcPr>
          <w:p>
            <w:pPr>
              <w:spacing w:line="360" w:lineRule="auto"/>
              <w:ind w:firstLine="301"/>
              <w:jc w:val="center"/>
              <w:rPr>
                <w:rFonts w:ascii="宋体"/>
                <w:spacing w:val="-4"/>
                <w:kern w:val="0"/>
                <w:szCs w:val="21"/>
              </w:rPr>
            </w:pPr>
            <w:r>
              <w:rPr>
                <w:rFonts w:hint="eastAsia" w:ascii="宋体"/>
                <w:spacing w:val="-4"/>
                <w:kern w:val="0"/>
                <w:szCs w:val="21"/>
              </w:rPr>
              <w:t>%</w:t>
            </w:r>
          </w:p>
        </w:tc>
        <w:tc>
          <w:tcPr>
            <w:tcW w:w="1530" w:type="dxa"/>
            <w:vAlign w:val="center"/>
          </w:tcPr>
          <w:p>
            <w:pPr>
              <w:pStyle w:val="15"/>
              <w:spacing w:line="360" w:lineRule="auto"/>
              <w:rPr>
                <w:rFonts w:hAnsi="宋体" w:cs="宋体"/>
                <w:sz w:val="21"/>
                <w:szCs w:val="21"/>
              </w:rPr>
            </w:pPr>
            <w:r>
              <w:rPr>
                <w:rFonts w:hint="eastAsia" w:hAnsi="宋体" w:cs="宋体"/>
                <w:sz w:val="21"/>
                <w:szCs w:val="21"/>
              </w:rPr>
              <w:t>元/年</w:t>
            </w:r>
          </w:p>
        </w:tc>
      </w:tr>
    </w:tbl>
    <w:p>
      <w:pPr>
        <w:spacing w:line="360" w:lineRule="auto"/>
        <w:rPr>
          <w:rFonts w:hAnsi="宋体" w:cs="宋体"/>
          <w:b/>
          <w:bCs/>
          <w:szCs w:val="21"/>
        </w:rPr>
      </w:pPr>
      <w:r>
        <w:rPr>
          <w:rFonts w:hint="eastAsia" w:ascii="宋体" w:hAnsi="宋体" w:cs="宋体"/>
          <w:b/>
          <w:bCs/>
          <w:szCs w:val="21"/>
        </w:rPr>
        <w:t>注：</w:t>
      </w:r>
      <w:r>
        <w:rPr>
          <w:rFonts w:hint="eastAsia" w:hAnsi="宋体" w:cs="宋体"/>
          <w:b/>
          <w:bCs/>
          <w:szCs w:val="21"/>
        </w:rPr>
        <w:t>1、若投标人尚有其它内容需明列的，请按此表格式扩展。</w:t>
      </w:r>
    </w:p>
    <w:p>
      <w:pPr>
        <w:pStyle w:val="15"/>
        <w:spacing w:line="360" w:lineRule="auto"/>
        <w:ind w:firstLine="406" w:firstLineChars="200"/>
        <w:rPr>
          <w:rFonts w:hAnsi="宋体" w:cs="宋体"/>
          <w:b/>
          <w:bCs/>
          <w:sz w:val="21"/>
          <w:szCs w:val="21"/>
        </w:rPr>
      </w:pPr>
      <w:r>
        <w:rPr>
          <w:rFonts w:hint="eastAsia" w:hAnsi="宋体" w:cs="宋体"/>
          <w:b/>
          <w:bCs/>
          <w:sz w:val="21"/>
          <w:szCs w:val="21"/>
        </w:rPr>
        <w:t>2、“投标报价”应与格式一“投标函”中“投标报价”一致。</w:t>
      </w:r>
    </w:p>
    <w:p>
      <w:pPr>
        <w:pStyle w:val="15"/>
        <w:spacing w:line="360" w:lineRule="auto"/>
        <w:ind w:left="-178" w:leftChars="-85" w:firstLine="505" w:firstLineChars="250"/>
        <w:rPr>
          <w:rFonts w:hAnsi="宋体" w:cs="宋体"/>
          <w:sz w:val="21"/>
          <w:szCs w:val="21"/>
        </w:rPr>
      </w:pPr>
    </w:p>
    <w:p>
      <w:pPr>
        <w:spacing w:line="400" w:lineRule="exact"/>
        <w:rPr>
          <w:rFonts w:ascii="宋体" w:hAnsi="宋体" w:cs="宋体"/>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20" w:beforeLines="50" w:after="50"/>
        <w:rPr>
          <w:rFonts w:ascii="宋体" w:hAnsi="宋体" w:cs="宋体"/>
          <w:sz w:val="24"/>
        </w:rPr>
      </w:pPr>
      <w:r>
        <w:rPr>
          <w:rFonts w:hint="eastAsia" w:ascii="宋体"/>
          <w:bCs/>
          <w:szCs w:val="21"/>
        </w:rPr>
        <w:t>备注：若联合体参加投标，投标人盖章处盖联合牵头人公章。</w:t>
      </w:r>
    </w:p>
    <w:p>
      <w:pPr>
        <w:pStyle w:val="15"/>
        <w:widowControl/>
        <w:spacing w:line="360" w:lineRule="auto"/>
        <w:ind w:firstLine="0"/>
        <w:jc w:val="left"/>
        <w:rPr>
          <w:rFonts w:hAnsi="宋体" w:cs="宋体"/>
          <w:b/>
          <w:sz w:val="28"/>
        </w:rPr>
        <w:sectPr>
          <w:pgSz w:w="11906" w:h="16838"/>
          <w:pgMar w:top="1474" w:right="1531" w:bottom="1247" w:left="1531" w:header="851" w:footer="851" w:gutter="0"/>
          <w:cols w:space="720" w:num="1"/>
          <w:titlePg/>
          <w:docGrid w:linePitch="312" w:charSpace="0"/>
        </w:sectPr>
      </w:pPr>
    </w:p>
    <w:p>
      <w:pPr>
        <w:rPr>
          <w:rFonts w:ascii="宋体" w:hAnsi="宋体" w:cs="宋体"/>
          <w:b/>
          <w:sz w:val="24"/>
          <w:szCs w:val="21"/>
        </w:rPr>
      </w:pPr>
      <w:bookmarkStart w:id="185" w:name="_Toc460857948"/>
      <w:r>
        <w:rPr>
          <w:rFonts w:hint="eastAsia" w:ascii="宋体" w:hAnsi="宋体" w:cs="宋体"/>
          <w:b/>
        </w:rPr>
        <w:t>格式十六：</w:t>
      </w:r>
      <w:bookmarkEnd w:id="185"/>
      <w:r>
        <w:rPr>
          <w:rFonts w:hint="eastAsia" w:ascii="宋体" w:hAnsi="宋体" w:cs="宋体"/>
          <w:b/>
          <w:szCs w:val="21"/>
        </w:rPr>
        <w:t>投标报价明细表</w:t>
      </w:r>
    </w:p>
    <w:p>
      <w:pPr>
        <w:jc w:val="center"/>
        <w:rPr>
          <w:rFonts w:ascii="宋体" w:hAnsi="宋体" w:cs="宋体"/>
          <w:b/>
          <w:sz w:val="24"/>
          <w:szCs w:val="21"/>
        </w:rPr>
      </w:pPr>
      <w:r>
        <w:rPr>
          <w:rFonts w:hint="eastAsia" w:ascii="宋体" w:hAnsi="宋体" w:cs="宋体"/>
          <w:b/>
          <w:sz w:val="24"/>
          <w:szCs w:val="21"/>
        </w:rPr>
        <w:t>投标报价明细表</w:t>
      </w:r>
    </w:p>
    <w:p>
      <w:pPr>
        <w:pStyle w:val="2"/>
        <w:ind w:left="420" w:firstLine="0"/>
        <w:rPr>
          <w:rFonts w:ascii="宋体" w:hAnsi="宋体" w:cs="宋体"/>
          <w:b/>
          <w:sz w:val="24"/>
          <w:szCs w:val="21"/>
        </w:rPr>
      </w:pPr>
    </w:p>
    <w:p/>
    <w:p>
      <w:pPr>
        <w:spacing w:line="360" w:lineRule="auto"/>
        <w:rPr>
          <w:rFonts w:ascii="宋体" w:hAnsi="宋体" w:cs="宋体"/>
          <w:szCs w:val="21"/>
          <w:u w:val="single"/>
        </w:rPr>
      </w:pPr>
      <w:r>
        <w:rPr>
          <w:rFonts w:hint="eastAsia" w:ascii="宋体" w:hAnsi="宋体" w:cs="宋体"/>
          <w:szCs w:val="21"/>
        </w:rPr>
        <w:t>项目名称：                                   项目编号：</w:t>
      </w:r>
    </w:p>
    <w:p>
      <w:pPr>
        <w:spacing w:line="360" w:lineRule="auto"/>
      </w:pPr>
      <w:r>
        <w:rPr>
          <w:rFonts w:hint="eastAsia"/>
        </w:rPr>
        <w:t>单位：人民币（元）</w:t>
      </w:r>
    </w:p>
    <w:tbl>
      <w:tblPr>
        <w:tblStyle w:val="35"/>
        <w:tblW w:w="100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3923"/>
        <w:gridCol w:w="1284"/>
        <w:gridCol w:w="1284"/>
        <w:gridCol w:w="1284"/>
        <w:gridCol w:w="12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024" w:type="dxa"/>
            <w:vAlign w:val="center"/>
          </w:tcPr>
          <w:p>
            <w:pPr>
              <w:pStyle w:val="15"/>
              <w:spacing w:line="400" w:lineRule="exact"/>
              <w:ind w:firstLine="0"/>
              <w:jc w:val="center"/>
              <w:rPr>
                <w:rFonts w:hAnsi="宋体"/>
                <w:sz w:val="21"/>
                <w:szCs w:val="21"/>
              </w:rPr>
            </w:pPr>
            <w:r>
              <w:rPr>
                <w:rFonts w:hint="eastAsia" w:hAnsi="宋体"/>
                <w:sz w:val="21"/>
                <w:szCs w:val="21"/>
              </w:rPr>
              <w:t>序号</w:t>
            </w:r>
          </w:p>
        </w:tc>
        <w:tc>
          <w:tcPr>
            <w:tcW w:w="3923" w:type="dxa"/>
            <w:vAlign w:val="center"/>
          </w:tcPr>
          <w:p>
            <w:pPr>
              <w:pStyle w:val="15"/>
              <w:spacing w:line="400" w:lineRule="exact"/>
              <w:ind w:firstLine="0"/>
              <w:jc w:val="center"/>
              <w:rPr>
                <w:rFonts w:hAnsi="宋体"/>
                <w:sz w:val="21"/>
                <w:szCs w:val="21"/>
              </w:rPr>
            </w:pPr>
            <w:r>
              <w:rPr>
                <w:rFonts w:hint="eastAsia" w:hAnsi="宋体"/>
                <w:sz w:val="21"/>
                <w:szCs w:val="21"/>
              </w:rPr>
              <w:t>报价组成</w:t>
            </w:r>
          </w:p>
        </w:tc>
        <w:tc>
          <w:tcPr>
            <w:tcW w:w="1284" w:type="dxa"/>
            <w:vAlign w:val="center"/>
          </w:tcPr>
          <w:p>
            <w:pPr>
              <w:pStyle w:val="15"/>
              <w:spacing w:line="400" w:lineRule="exact"/>
              <w:ind w:firstLine="0"/>
              <w:jc w:val="center"/>
              <w:rPr>
                <w:rFonts w:hAnsi="宋体"/>
                <w:sz w:val="21"/>
                <w:szCs w:val="21"/>
              </w:rPr>
            </w:pPr>
            <w:r>
              <w:rPr>
                <w:rFonts w:hint="eastAsia" w:hAnsi="宋体"/>
                <w:sz w:val="21"/>
                <w:szCs w:val="21"/>
              </w:rPr>
              <w:t>单价</w:t>
            </w:r>
          </w:p>
        </w:tc>
        <w:tc>
          <w:tcPr>
            <w:tcW w:w="1284" w:type="dxa"/>
            <w:vAlign w:val="center"/>
          </w:tcPr>
          <w:p>
            <w:pPr>
              <w:pStyle w:val="15"/>
              <w:spacing w:line="400" w:lineRule="exact"/>
              <w:ind w:firstLine="0"/>
              <w:jc w:val="center"/>
              <w:rPr>
                <w:rFonts w:hAnsi="宋体"/>
                <w:sz w:val="21"/>
                <w:szCs w:val="21"/>
              </w:rPr>
            </w:pPr>
            <w:r>
              <w:rPr>
                <w:rFonts w:hint="eastAsia" w:hAnsi="宋体"/>
                <w:sz w:val="21"/>
                <w:szCs w:val="21"/>
              </w:rPr>
              <w:t>数量</w:t>
            </w:r>
          </w:p>
        </w:tc>
        <w:tc>
          <w:tcPr>
            <w:tcW w:w="1284" w:type="dxa"/>
            <w:vAlign w:val="center"/>
          </w:tcPr>
          <w:p>
            <w:pPr>
              <w:pStyle w:val="15"/>
              <w:spacing w:line="400" w:lineRule="exact"/>
              <w:ind w:firstLine="0"/>
              <w:jc w:val="center"/>
              <w:rPr>
                <w:rFonts w:hAnsi="宋体"/>
                <w:sz w:val="21"/>
                <w:szCs w:val="21"/>
              </w:rPr>
            </w:pPr>
            <w:r>
              <w:rPr>
                <w:rFonts w:hint="eastAsia" w:hAnsi="宋体"/>
                <w:sz w:val="21"/>
                <w:szCs w:val="21"/>
              </w:rPr>
              <w:t>合计</w:t>
            </w:r>
          </w:p>
        </w:tc>
        <w:tc>
          <w:tcPr>
            <w:tcW w:w="1284" w:type="dxa"/>
            <w:vAlign w:val="center"/>
          </w:tcPr>
          <w:p>
            <w:pPr>
              <w:pStyle w:val="15"/>
              <w:spacing w:line="400" w:lineRule="exact"/>
              <w:ind w:firstLine="0"/>
              <w:jc w:val="center"/>
              <w:rPr>
                <w:rFonts w:hAnsi="宋体"/>
                <w:sz w:val="21"/>
                <w:szCs w:val="21"/>
              </w:rPr>
            </w:pPr>
            <w:r>
              <w:rPr>
                <w:rFonts w:hint="eastAsia" w:hAnsi="宋体"/>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r>
              <w:rPr>
                <w:rFonts w:hint="eastAsia" w:hAnsi="宋体"/>
                <w:sz w:val="21"/>
                <w:szCs w:val="21"/>
              </w:rPr>
              <w:t>1</w:t>
            </w:r>
          </w:p>
        </w:tc>
        <w:tc>
          <w:tcPr>
            <w:tcW w:w="3923"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r>
              <w:rPr>
                <w:rFonts w:hint="eastAsia" w:hAnsi="宋体"/>
                <w:sz w:val="21"/>
                <w:szCs w:val="21"/>
              </w:rPr>
              <w:t>2</w:t>
            </w:r>
          </w:p>
        </w:tc>
        <w:tc>
          <w:tcPr>
            <w:tcW w:w="3923"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r>
              <w:rPr>
                <w:rFonts w:hint="eastAsia" w:hAnsi="宋体"/>
                <w:sz w:val="21"/>
                <w:szCs w:val="21"/>
              </w:rPr>
              <w:t>3</w:t>
            </w:r>
          </w:p>
        </w:tc>
        <w:tc>
          <w:tcPr>
            <w:tcW w:w="3923"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r>
              <w:rPr>
                <w:rFonts w:hint="eastAsia" w:hAnsi="宋体"/>
                <w:sz w:val="21"/>
                <w:szCs w:val="21"/>
              </w:rPr>
              <w:t>4</w:t>
            </w:r>
          </w:p>
        </w:tc>
        <w:tc>
          <w:tcPr>
            <w:tcW w:w="3923"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r>
              <w:rPr>
                <w:rFonts w:hint="eastAsia" w:hAnsi="宋体"/>
                <w:sz w:val="21"/>
                <w:szCs w:val="21"/>
              </w:rPr>
              <w:t>5</w:t>
            </w:r>
          </w:p>
        </w:tc>
        <w:tc>
          <w:tcPr>
            <w:tcW w:w="3923"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r>
              <w:rPr>
                <w:rFonts w:hint="eastAsia" w:hAnsi="宋体"/>
                <w:sz w:val="21"/>
                <w:szCs w:val="21"/>
              </w:rPr>
              <w:t>6</w:t>
            </w:r>
          </w:p>
        </w:tc>
        <w:tc>
          <w:tcPr>
            <w:tcW w:w="3923"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r>
              <w:rPr>
                <w:rFonts w:hint="eastAsia" w:hAnsi="宋体"/>
                <w:sz w:val="21"/>
                <w:szCs w:val="21"/>
              </w:rPr>
              <w:t>7</w:t>
            </w:r>
          </w:p>
        </w:tc>
        <w:tc>
          <w:tcPr>
            <w:tcW w:w="3923"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r>
              <w:rPr>
                <w:rFonts w:hAnsi="宋体"/>
                <w:sz w:val="21"/>
                <w:szCs w:val="21"/>
              </w:rPr>
              <w:t>…</w:t>
            </w:r>
          </w:p>
        </w:tc>
        <w:tc>
          <w:tcPr>
            <w:tcW w:w="3923" w:type="dxa"/>
            <w:vAlign w:val="center"/>
          </w:tcPr>
          <w:p>
            <w:pPr>
              <w:pStyle w:val="15"/>
              <w:spacing w:line="400" w:lineRule="exact"/>
              <w:ind w:firstLine="0"/>
              <w:jc w:val="center"/>
              <w:rPr>
                <w:rFonts w:hAnsi="宋体"/>
                <w:sz w:val="21"/>
                <w:szCs w:val="21"/>
              </w:rPr>
            </w:pPr>
            <w:r>
              <w:rPr>
                <w:rFonts w:hAnsi="宋体"/>
                <w:sz w:val="21"/>
                <w:szCs w:val="21"/>
              </w:rPr>
              <w:t>…</w:t>
            </w: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024" w:type="dxa"/>
            <w:vAlign w:val="center"/>
          </w:tcPr>
          <w:p>
            <w:pPr>
              <w:pStyle w:val="15"/>
              <w:spacing w:line="400" w:lineRule="exact"/>
              <w:ind w:firstLine="0"/>
              <w:jc w:val="center"/>
              <w:rPr>
                <w:rFonts w:hAnsi="宋体"/>
                <w:sz w:val="21"/>
                <w:szCs w:val="21"/>
              </w:rPr>
            </w:pPr>
          </w:p>
        </w:tc>
        <w:tc>
          <w:tcPr>
            <w:tcW w:w="3923" w:type="dxa"/>
            <w:vAlign w:val="center"/>
          </w:tcPr>
          <w:p>
            <w:pPr>
              <w:pStyle w:val="15"/>
              <w:spacing w:line="400" w:lineRule="exact"/>
              <w:ind w:firstLine="0"/>
              <w:jc w:val="center"/>
              <w:rPr>
                <w:rFonts w:hAnsi="宋体"/>
                <w:sz w:val="21"/>
                <w:szCs w:val="21"/>
              </w:rPr>
            </w:pPr>
            <w:r>
              <w:rPr>
                <w:rFonts w:hint="eastAsia" w:hAnsi="宋体"/>
                <w:sz w:val="21"/>
                <w:szCs w:val="21"/>
              </w:rPr>
              <w:t>合计</w:t>
            </w:r>
          </w:p>
        </w:tc>
        <w:tc>
          <w:tcPr>
            <w:tcW w:w="2568" w:type="dxa"/>
            <w:gridSpan w:val="2"/>
            <w:vAlign w:val="center"/>
          </w:tcPr>
          <w:p>
            <w:pPr>
              <w:pStyle w:val="15"/>
              <w:spacing w:line="400" w:lineRule="exact"/>
              <w:ind w:firstLine="0"/>
              <w:jc w:val="center"/>
              <w:rPr>
                <w:rFonts w:hAnsi="宋体"/>
                <w:sz w:val="21"/>
                <w:szCs w:val="21"/>
              </w:rPr>
            </w:pPr>
            <w:r>
              <w:rPr>
                <w:rFonts w:hint="eastAsia" w:hAnsi="宋体"/>
                <w:sz w:val="21"/>
                <w:szCs w:val="21"/>
              </w:rPr>
              <w:t>/</w:t>
            </w:r>
          </w:p>
        </w:tc>
        <w:tc>
          <w:tcPr>
            <w:tcW w:w="1284" w:type="dxa"/>
            <w:vAlign w:val="center"/>
          </w:tcPr>
          <w:p>
            <w:pPr>
              <w:pStyle w:val="15"/>
              <w:spacing w:line="400" w:lineRule="exact"/>
              <w:ind w:firstLine="0"/>
              <w:jc w:val="center"/>
              <w:rPr>
                <w:rFonts w:hAnsi="宋体"/>
                <w:sz w:val="21"/>
                <w:szCs w:val="21"/>
              </w:rPr>
            </w:pPr>
          </w:p>
        </w:tc>
        <w:tc>
          <w:tcPr>
            <w:tcW w:w="1284" w:type="dxa"/>
            <w:vAlign w:val="center"/>
          </w:tcPr>
          <w:p>
            <w:pPr>
              <w:pStyle w:val="15"/>
              <w:spacing w:line="400" w:lineRule="exact"/>
              <w:ind w:firstLine="0"/>
              <w:jc w:val="center"/>
              <w:rPr>
                <w:rFonts w:hAnsi="宋体"/>
                <w:sz w:val="21"/>
                <w:szCs w:val="21"/>
              </w:rPr>
            </w:pPr>
          </w:p>
        </w:tc>
      </w:tr>
    </w:tbl>
    <w:p>
      <w:pPr>
        <w:pStyle w:val="15"/>
        <w:spacing w:line="360" w:lineRule="auto"/>
        <w:ind w:firstLine="0"/>
        <w:rPr>
          <w:rFonts w:hAnsi="宋体"/>
          <w:sz w:val="21"/>
          <w:szCs w:val="21"/>
        </w:rPr>
      </w:pPr>
      <w:r>
        <w:rPr>
          <w:rFonts w:hint="eastAsia" w:hAnsi="宋体"/>
          <w:sz w:val="21"/>
          <w:szCs w:val="21"/>
        </w:rPr>
        <w:t>注： 1. 报价组成可由投标人自行拟定或修改。</w:t>
      </w:r>
    </w:p>
    <w:p>
      <w:pPr>
        <w:pStyle w:val="15"/>
        <w:numPr>
          <w:ilvl w:val="0"/>
          <w:numId w:val="6"/>
        </w:numPr>
        <w:spacing w:line="360" w:lineRule="auto"/>
        <w:rPr>
          <w:rFonts w:hAnsi="宋体"/>
          <w:sz w:val="21"/>
          <w:szCs w:val="21"/>
        </w:rPr>
      </w:pPr>
      <w:r>
        <w:rPr>
          <w:rFonts w:hint="eastAsia" w:hAnsi="宋体"/>
          <w:sz w:val="21"/>
          <w:szCs w:val="21"/>
        </w:rPr>
        <w:t>对于未列入本表投标价组成栏内的费项可自行增加填报。</w:t>
      </w:r>
    </w:p>
    <w:p>
      <w:pPr>
        <w:pStyle w:val="15"/>
        <w:spacing w:line="360" w:lineRule="auto"/>
        <w:ind w:firstLine="0"/>
        <w:rPr>
          <w:rFonts w:hAnsi="宋体"/>
          <w:sz w:val="21"/>
          <w:szCs w:val="21"/>
        </w:rPr>
      </w:pPr>
      <w:r>
        <w:rPr>
          <w:rFonts w:hint="eastAsia" w:hAnsi="宋体"/>
          <w:sz w:val="21"/>
          <w:szCs w:val="21"/>
        </w:rPr>
        <w:t xml:space="preserve">     3. 合计金额应与开标一览表中的投标报价一致。</w:t>
      </w:r>
    </w:p>
    <w:p>
      <w:pPr>
        <w:pStyle w:val="2"/>
        <w:ind w:firstLine="0"/>
      </w:pPr>
    </w:p>
    <w:p>
      <w:pPr>
        <w:pStyle w:val="15"/>
        <w:snapToGrid w:val="0"/>
        <w:spacing w:line="360" w:lineRule="auto"/>
        <w:rPr>
          <w:rFonts w:hAnsi="宋体" w:cs="宋体"/>
          <w:sz w:val="21"/>
          <w:szCs w:val="21"/>
        </w:rPr>
      </w:pPr>
      <w:bookmarkStart w:id="186" w:name="_Toc460857950"/>
    </w:p>
    <w:p>
      <w:pPr>
        <w:pStyle w:val="15"/>
        <w:snapToGrid w:val="0"/>
        <w:spacing w:line="360" w:lineRule="auto"/>
        <w:rPr>
          <w:rFonts w:hAnsi="宋体" w:cs="宋体"/>
          <w:sz w:val="21"/>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56" w:beforeLines="50" w:after="50"/>
        <w:rPr>
          <w:rFonts w:ascii="宋体" w:hAnsi="宋体" w:cs="宋体"/>
          <w:sz w:val="24"/>
        </w:rPr>
      </w:pPr>
      <w:r>
        <w:rPr>
          <w:rFonts w:hint="eastAsia" w:ascii="宋体"/>
          <w:bCs/>
          <w:szCs w:val="21"/>
        </w:rPr>
        <w:t>备注：若联合体参加投标，投标人盖章处盖联合牵头人公章。</w:t>
      </w:r>
    </w:p>
    <w:p>
      <w:pPr>
        <w:rPr>
          <w:rFonts w:ascii="宋体" w:hAnsi="宋体" w:cs="宋体"/>
          <w:b/>
        </w:rPr>
      </w:pPr>
      <w:r>
        <w:rPr>
          <w:rFonts w:hint="eastAsia" w:ascii="宋体" w:hAnsi="宋体" w:cs="宋体"/>
          <w:b/>
        </w:rPr>
        <w:br w:type="page"/>
      </w:r>
      <w:bookmarkEnd w:id="186"/>
      <w:bookmarkStart w:id="187" w:name="OLE_LINK13"/>
      <w:bookmarkStart w:id="188" w:name="OLE_LINK14"/>
      <w:r>
        <w:rPr>
          <w:rFonts w:hAnsi="宋体" w:cs="宋体"/>
          <w:b/>
          <w:spacing w:val="-4"/>
          <w:szCs w:val="21"/>
        </w:rPr>
        <w:t xml:space="preserve"> </w:t>
      </w:r>
      <w:r>
        <w:rPr>
          <w:rFonts w:hint="eastAsia" w:hAnsi="宋体" w:cs="宋体"/>
          <w:b/>
          <w:spacing w:val="-4"/>
          <w:szCs w:val="21"/>
        </w:rPr>
        <w:t>格式十七：</w:t>
      </w:r>
      <w:r>
        <w:rPr>
          <w:rFonts w:hint="eastAsia" w:ascii="宋体" w:hAnsi="宋体" w:cs="宋体"/>
          <w:b/>
        </w:rPr>
        <w:t>中小企业声明函</w:t>
      </w:r>
    </w:p>
    <w:p>
      <w:pPr>
        <w:spacing w:line="360" w:lineRule="auto"/>
        <w:rPr>
          <w:rFonts w:ascii="宋体" w:hAnsi="宋体" w:cs="宋体"/>
          <w:b/>
          <w:spacing w:val="6"/>
          <w:szCs w:val="21"/>
        </w:rPr>
      </w:pPr>
    </w:p>
    <w:p>
      <w:pPr>
        <w:jc w:val="center"/>
        <w:rPr>
          <w:b/>
        </w:rPr>
      </w:pPr>
      <w:r>
        <w:rPr>
          <w:rFonts w:hint="eastAsia" w:ascii="宋体" w:hAnsi="宋体" w:cs="宋体"/>
          <w:b/>
          <w:spacing w:val="-4"/>
          <w:sz w:val="24"/>
        </w:rPr>
        <w:t>中小企业声明函（服务）</w:t>
      </w:r>
    </w:p>
    <w:p>
      <w:pPr>
        <w:spacing w:line="360" w:lineRule="auto"/>
        <w:rPr>
          <w:rFonts w:ascii="宋体" w:hAnsi="宋体"/>
          <w:b/>
          <w:spacing w:val="6"/>
          <w:szCs w:val="21"/>
        </w:rPr>
      </w:pP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本公司（联合体）郑重声明，根据《政府采购促进中小企业发展管理办法》（财库﹝</w:t>
      </w:r>
      <w:r>
        <w:rPr>
          <w:rFonts w:ascii="宋体" w:hAnsi="宋体"/>
          <w:color w:val="000000" w:themeColor="text1"/>
          <w:szCs w:val="21"/>
          <w14:textFill>
            <w14:solidFill>
              <w14:schemeClr w14:val="tx1"/>
            </w14:solidFill>
          </w14:textFill>
        </w:rPr>
        <w:t>2020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46 </w:t>
      </w:r>
      <w:r>
        <w:rPr>
          <w:rFonts w:hint="eastAsia" w:ascii="宋体" w:hAnsi="宋体"/>
          <w:color w:val="000000" w:themeColor="text1"/>
          <w:szCs w:val="21"/>
          <w14:textFill>
            <w14:solidFill>
              <w14:schemeClr w14:val="tx1"/>
            </w14:solidFill>
          </w14:textFill>
        </w:rPr>
        <w:t>号）的规定，本公司（联合体）参加</w:t>
      </w:r>
      <w:r>
        <w:rPr>
          <w:rFonts w:hint="eastAsia" w:ascii="宋体" w:hAnsi="宋体"/>
          <w:color w:val="000000" w:themeColor="text1"/>
          <w:szCs w:val="21"/>
          <w:u w:val="single"/>
          <w14:textFill>
            <w14:solidFill>
              <w14:schemeClr w14:val="tx1"/>
            </w14:solidFill>
          </w14:textFill>
        </w:rPr>
        <w:t>（单位名称）</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u w:val="single"/>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5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ascii="宋体" w:hAnsi="宋体"/>
          <w:i/>
          <w:color w:val="000000" w:themeColor="text1"/>
          <w:szCs w:val="21"/>
          <w:u w:val="single"/>
          <w14:textFill>
            <w14:solidFill>
              <w14:schemeClr w14:val="tx1"/>
            </w14:solidFill>
          </w14:textFill>
        </w:rPr>
        <w:t xml:space="preserve"> </w:t>
      </w:r>
      <w:r>
        <w:rPr>
          <w:rFonts w:hint="eastAsia" w:ascii="宋体" w:hAnsi="宋体"/>
          <w:i/>
          <w:color w:val="000000" w:themeColor="text1"/>
          <w:szCs w:val="21"/>
          <w:u w:val="single"/>
          <w14:textFill>
            <w14:solidFill>
              <w14:schemeClr w14:val="tx1"/>
            </w14:solidFill>
          </w14:textFill>
        </w:rPr>
        <w:t>（标项号、标项名称）</w:t>
      </w:r>
      <w:r>
        <w:rPr>
          <w:rFonts w:ascii="宋体" w:hAnsi="宋体"/>
          <w:i/>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，属于</w:t>
      </w:r>
      <w:r>
        <w:rPr>
          <w:rFonts w:hint="eastAsia" w:ascii="宋体" w:hAnsi="宋体"/>
          <w:color w:val="000000" w:themeColor="text1"/>
          <w:szCs w:val="21"/>
          <w:u w:val="single"/>
          <w14:textFill>
            <w14:solidFill>
              <w14:schemeClr w14:val="tx1"/>
            </w14:solidFill>
          </w14:textFill>
        </w:rPr>
        <w:t>租赁和商务服务业</w:t>
      </w:r>
      <w:r>
        <w:rPr>
          <w:rFonts w:hint="eastAsia" w:ascii="宋体" w:hAnsi="宋体"/>
          <w:color w:val="000000" w:themeColor="text1"/>
          <w:szCs w:val="21"/>
          <w14:textFill>
            <w14:solidFill>
              <w14:schemeClr w14:val="tx1"/>
            </w14:solidFill>
          </w14:textFill>
        </w:rPr>
        <w:t>；承接企业为</w:t>
      </w:r>
      <w:r>
        <w:rPr>
          <w:rFonts w:hint="eastAsia" w:ascii="宋体" w:hAnsi="宋体"/>
          <w:i/>
          <w:color w:val="000000" w:themeColor="text1"/>
          <w:szCs w:val="21"/>
          <w:u w:val="single"/>
          <w14:textFill>
            <w14:solidFill>
              <w14:schemeClr w14:val="tx1"/>
            </w14:solidFill>
          </w14:textFill>
        </w:rPr>
        <w:t>（企业名称）</w:t>
      </w:r>
      <w:r>
        <w:rPr>
          <w:rFonts w:hint="eastAsia" w:ascii="宋体" w:hAnsi="宋体"/>
          <w:color w:val="000000" w:themeColor="text1"/>
          <w:szCs w:val="21"/>
          <w14:textFill>
            <w14:solidFill>
              <w14:schemeClr w14:val="tx1"/>
            </w14:solidFill>
          </w14:textFill>
        </w:rPr>
        <w:t>，从业人员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人，营业收入为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万元，资产总额为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r>
        <w:rPr>
          <w:rFonts w:ascii="宋体" w:hAnsi="宋体"/>
          <w:color w:val="000000" w:themeColor="text1"/>
          <w:szCs w:val="21"/>
          <w:vertAlign w:val="superscript"/>
          <w14:textFill>
            <w14:solidFill>
              <w14:schemeClr w14:val="tx1"/>
            </w14:solidFill>
          </w14:textFill>
        </w:rPr>
        <w:t>1</w:t>
      </w:r>
      <w:r>
        <w:rPr>
          <w:rFonts w:hint="eastAsia" w:ascii="宋体" w:hAnsi="宋体"/>
          <w:color w:val="000000" w:themeColor="text1"/>
          <w:szCs w:val="21"/>
          <w14:textFill>
            <w14:solidFill>
              <w14:schemeClr w14:val="tx1"/>
            </w14:solidFill>
          </w14:textFill>
        </w:rPr>
        <w:t>，属于</w:t>
      </w:r>
      <w:r>
        <w:rPr>
          <w:rFonts w:hint="eastAsia" w:ascii="宋体" w:hAnsi="宋体"/>
          <w:i/>
          <w:color w:val="000000" w:themeColor="text1"/>
          <w:szCs w:val="21"/>
          <w:u w:val="single"/>
          <w14:textFill>
            <w14:solidFill>
              <w14:schemeClr w14:val="tx1"/>
            </w14:solidFill>
          </w14:textFill>
        </w:rPr>
        <w:t>（中型企业、小型企业、微型企业）</w:t>
      </w:r>
      <w:r>
        <w:rPr>
          <w:rFonts w:hint="eastAsia" w:ascii="宋体" w:hAnsi="宋体"/>
          <w:color w:val="000000" w:themeColor="text1"/>
          <w:szCs w:val="21"/>
          <w14:textFill>
            <w14:solidFill>
              <w14:schemeClr w14:val="tx1"/>
            </w14:solidFill>
          </w14:textFill>
        </w:rPr>
        <w:t>；</w:t>
      </w:r>
    </w:p>
    <w:p>
      <w:pPr>
        <w:spacing w:line="5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ascii="宋体" w:hAnsi="宋体"/>
          <w:i/>
          <w:color w:val="000000" w:themeColor="text1"/>
          <w:szCs w:val="21"/>
          <w:u w:val="single"/>
          <w14:textFill>
            <w14:solidFill>
              <w14:schemeClr w14:val="tx1"/>
            </w14:solidFill>
          </w14:textFill>
        </w:rPr>
        <w:t xml:space="preserve"> </w:t>
      </w:r>
      <w:r>
        <w:rPr>
          <w:rFonts w:hint="eastAsia" w:ascii="宋体" w:hAnsi="宋体"/>
          <w:i/>
          <w:color w:val="000000" w:themeColor="text1"/>
          <w:szCs w:val="21"/>
          <w:u w:val="single"/>
          <w14:textFill>
            <w14:solidFill>
              <w14:schemeClr w14:val="tx1"/>
            </w14:solidFill>
          </w14:textFill>
        </w:rPr>
        <w:t>（标项号、标项名称）</w:t>
      </w:r>
      <w:r>
        <w:rPr>
          <w:rFonts w:ascii="宋体" w:hAnsi="宋体"/>
          <w:i/>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，属于</w:t>
      </w:r>
      <w:r>
        <w:rPr>
          <w:rFonts w:hint="eastAsia" w:ascii="宋体" w:hAnsi="宋体"/>
          <w:color w:val="000000" w:themeColor="text1"/>
          <w:szCs w:val="21"/>
          <w:u w:val="single"/>
          <w14:textFill>
            <w14:solidFill>
              <w14:schemeClr w14:val="tx1"/>
            </w14:solidFill>
          </w14:textFill>
        </w:rPr>
        <w:t>租赁和商务服务业</w:t>
      </w:r>
      <w:r>
        <w:rPr>
          <w:rFonts w:hint="eastAsia" w:ascii="宋体" w:hAnsi="宋体"/>
          <w:color w:val="000000" w:themeColor="text1"/>
          <w:szCs w:val="21"/>
          <w14:textFill>
            <w14:solidFill>
              <w14:schemeClr w14:val="tx1"/>
            </w14:solidFill>
          </w14:textFill>
        </w:rPr>
        <w:t>；承接企业为</w:t>
      </w:r>
      <w:r>
        <w:rPr>
          <w:rFonts w:hint="eastAsia" w:ascii="宋体" w:hAnsi="宋体"/>
          <w:i/>
          <w:color w:val="000000" w:themeColor="text1"/>
          <w:szCs w:val="21"/>
          <w:u w:val="single"/>
          <w14:textFill>
            <w14:solidFill>
              <w14:schemeClr w14:val="tx1"/>
            </w14:solidFill>
          </w14:textFill>
        </w:rPr>
        <w:t>（企业名称）</w:t>
      </w:r>
      <w:r>
        <w:rPr>
          <w:rFonts w:hint="eastAsia" w:ascii="宋体" w:hAnsi="宋体"/>
          <w:color w:val="000000" w:themeColor="text1"/>
          <w:szCs w:val="21"/>
          <w14:textFill>
            <w14:solidFill>
              <w14:schemeClr w14:val="tx1"/>
            </w14:solidFill>
          </w14:textFill>
        </w:rPr>
        <w:t>，从业人员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人，营业收入为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万元，资产总额为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万元，属于</w:t>
      </w:r>
      <w:r>
        <w:rPr>
          <w:rFonts w:hint="eastAsia" w:ascii="宋体" w:hAnsi="宋体"/>
          <w:i/>
          <w:color w:val="000000" w:themeColor="text1"/>
          <w:szCs w:val="21"/>
          <w:u w:val="single"/>
          <w14:textFill>
            <w14:solidFill>
              <w14:schemeClr w14:val="tx1"/>
            </w14:solidFill>
          </w14:textFill>
        </w:rPr>
        <w:t>（中型企业、小型企业、微型企业）</w:t>
      </w:r>
      <w:r>
        <w:rPr>
          <w:rFonts w:hint="eastAsia" w:ascii="宋体" w:hAnsi="宋体"/>
          <w:color w:val="000000" w:themeColor="text1"/>
          <w:szCs w:val="21"/>
          <w14:textFill>
            <w14:solidFill>
              <w14:schemeClr w14:val="tx1"/>
            </w14:solidFill>
          </w14:textFill>
        </w:rPr>
        <w:t>；</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pacing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本企业对上述声明内容的真实性负责。如有虚假，将依法承担相应责任。</w:t>
      </w:r>
    </w:p>
    <w:p>
      <w:pPr>
        <w:spacing w:line="500" w:lineRule="exact"/>
        <w:ind w:firstLine="6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投标人（盖章）：</w:t>
      </w:r>
    </w:p>
    <w:p>
      <w:pPr>
        <w:spacing w:line="500" w:lineRule="exact"/>
        <w:ind w:firstLine="6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1.从业人员、营业收入、资产总额填报上一年度数据，无上一年度数据的新成立企业可不填报。</w:t>
      </w:r>
    </w:p>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3.若联合体参加投标，投标人盖章处盖联合牵头人公章。</w:t>
      </w:r>
    </w:p>
    <w:p>
      <w:pPr>
        <w:spacing w:line="360" w:lineRule="auto"/>
        <w:rPr>
          <w:rFonts w:ascii="宋体" w:hAnsi="宋体" w:cs="宋体"/>
          <w:szCs w:val="21"/>
        </w:rPr>
      </w:pPr>
      <w:r>
        <w:rPr>
          <w:rFonts w:hint="eastAsia" w:ascii="宋体" w:hAnsi="宋体" w:cs="宋体"/>
          <w:b/>
          <w:bCs/>
          <w:color w:val="000000" w:themeColor="text1"/>
          <w:kern w:val="0"/>
          <w:szCs w:val="21"/>
          <w14:textFill>
            <w14:solidFill>
              <w14:schemeClr w14:val="tx1"/>
            </w14:solidFill>
          </w14:textFill>
        </w:rPr>
        <w:t>注：适用小微企业政策的请提供，未提供的不享受小微企业政策</w:t>
      </w:r>
      <w:r>
        <w:rPr>
          <w:rFonts w:hint="eastAsia" w:ascii="宋体" w:hAnsi="宋体" w:cs="宋体"/>
          <w:b/>
          <w:bCs/>
          <w:color w:val="000000" w:themeColor="text1"/>
          <w:szCs w:val="21"/>
          <w14:textFill>
            <w14:solidFill>
              <w14:schemeClr w14:val="tx1"/>
            </w14:solidFill>
          </w14:textFill>
        </w:rPr>
        <w:t>。</w:t>
      </w:r>
    </w:p>
    <w:p>
      <w:pPr>
        <w:spacing w:line="360" w:lineRule="auto"/>
        <w:rPr>
          <w:rFonts w:ascii="宋体" w:hAnsi="宋体" w:cs="宋体"/>
          <w:spacing w:val="6"/>
          <w:szCs w:val="21"/>
        </w:rPr>
      </w:pPr>
      <w:r>
        <w:rPr>
          <w:rFonts w:hint="eastAsia" w:hAnsi="宋体" w:cs="宋体"/>
          <w:b/>
          <w:spacing w:val="-4"/>
          <w:szCs w:val="21"/>
        </w:rPr>
        <w:br w:type="page"/>
      </w:r>
      <w:r>
        <w:rPr>
          <w:rFonts w:hint="eastAsia" w:hAnsi="宋体" w:cs="宋体"/>
          <w:b/>
          <w:spacing w:val="-4"/>
          <w:szCs w:val="21"/>
        </w:rPr>
        <w:t>格式十八：</w:t>
      </w:r>
      <w:r>
        <w:rPr>
          <w:rFonts w:hint="eastAsia" w:ascii="宋体" w:hAnsi="宋体" w:cs="宋体"/>
          <w:b/>
          <w:szCs w:val="21"/>
        </w:rPr>
        <w:t>残疾人福利性单位声明函</w:t>
      </w:r>
    </w:p>
    <w:p>
      <w:pPr>
        <w:pStyle w:val="15"/>
        <w:spacing w:line="520" w:lineRule="exact"/>
        <w:jc w:val="center"/>
        <w:rPr>
          <w:rFonts w:hAnsi="宋体" w:cs="宋体"/>
          <w:b/>
          <w:sz w:val="21"/>
          <w:szCs w:val="21"/>
        </w:rPr>
      </w:pPr>
    </w:p>
    <w:p>
      <w:pPr>
        <w:pStyle w:val="15"/>
        <w:spacing w:before="156" w:after="156" w:line="520" w:lineRule="exact"/>
        <w:jc w:val="center"/>
        <w:rPr>
          <w:b/>
          <w:sz w:val="21"/>
          <w:szCs w:val="21"/>
        </w:rPr>
      </w:pPr>
      <w:r>
        <w:rPr>
          <w:rFonts w:hint="eastAsia"/>
          <w:b/>
          <w:sz w:val="21"/>
          <w:szCs w:val="21"/>
        </w:rPr>
        <w:t>残疾人福利性单位声明函</w:t>
      </w:r>
    </w:p>
    <w:p>
      <w:pPr>
        <w:spacing w:line="588" w:lineRule="exact"/>
        <w:rPr>
          <w:rFonts w:ascii="宋体" w:hAnsi="宋体"/>
          <w:b/>
          <w:spacing w:val="6"/>
          <w:szCs w:val="21"/>
        </w:rPr>
      </w:pPr>
    </w:p>
    <w:p>
      <w:pPr>
        <w:spacing w:line="588" w:lineRule="exact"/>
        <w:ind w:firstLine="444" w:firstLineChars="200"/>
        <w:rPr>
          <w:rFonts w:ascii="宋体" w:hAnsi="宋体"/>
          <w:spacing w:val="6"/>
          <w:szCs w:val="21"/>
        </w:rPr>
      </w:pPr>
      <w:r>
        <w:rPr>
          <w:rFonts w:hint="eastAsia" w:ascii="宋体" w:hAnsi="宋体"/>
          <w:spacing w:val="6"/>
          <w:szCs w:val="21"/>
        </w:rPr>
        <w:t>本单位郑重声明，根据《财政部 民政部 中国残疾人联合会关于促进残疾人就业政府采购政策的通知》（财库</w:t>
      </w:r>
      <w:r>
        <w:rPr>
          <w:rFonts w:hint="eastAsia" w:ascii="宋体" w:hAnsi="宋体"/>
          <w:szCs w:val="21"/>
        </w:rPr>
        <w:t>〔2017〕 141</w:t>
      </w:r>
      <w:r>
        <w:rPr>
          <w:rFonts w:hint="eastAsia"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588" w:lineRule="exact"/>
        <w:ind w:firstLine="444" w:firstLineChars="200"/>
        <w:rPr>
          <w:rFonts w:ascii="宋体" w:hAnsi="宋体"/>
          <w:spacing w:val="6"/>
          <w:szCs w:val="21"/>
        </w:rPr>
      </w:pPr>
    </w:p>
    <w:p>
      <w:pPr>
        <w:spacing w:line="588" w:lineRule="exact"/>
        <w:ind w:firstLine="444" w:firstLineChars="200"/>
        <w:rPr>
          <w:rFonts w:ascii="宋体" w:hAnsi="宋体"/>
          <w:spacing w:val="6"/>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56" w:beforeLines="50" w:after="50"/>
        <w:rPr>
          <w:rFonts w:ascii="宋体" w:hAnsi="宋体" w:cs="宋体"/>
          <w:sz w:val="24"/>
        </w:rPr>
      </w:pPr>
      <w:r>
        <w:rPr>
          <w:rFonts w:hint="eastAsia" w:ascii="宋体"/>
          <w:bCs/>
          <w:szCs w:val="21"/>
        </w:rPr>
        <w:t>备注：若联合体参加投标，投标人盖章处盖联合牵头人公章。</w:t>
      </w:r>
    </w:p>
    <w:p>
      <w:pPr>
        <w:pStyle w:val="2"/>
      </w:pPr>
    </w:p>
    <w:p>
      <w:pPr>
        <w:rPr>
          <w:rFonts w:hAnsi="宋体" w:cs="宋体"/>
          <w:b/>
          <w:spacing w:val="-4"/>
          <w:szCs w:val="21"/>
        </w:rPr>
      </w:pPr>
    </w:p>
    <w:p>
      <w:pPr>
        <w:rPr>
          <w:rFonts w:hAnsi="宋体" w:cs="宋体"/>
          <w:b/>
          <w:spacing w:val="-4"/>
          <w:szCs w:val="21"/>
        </w:rPr>
      </w:pPr>
      <w:r>
        <w:rPr>
          <w:rFonts w:hint="eastAsia" w:hAnsi="宋体" w:cs="宋体"/>
          <w:b/>
          <w:spacing w:val="-4"/>
          <w:szCs w:val="21"/>
        </w:rPr>
        <w:br w:type="page"/>
      </w:r>
    </w:p>
    <w:p>
      <w:pPr>
        <w:rPr>
          <w:rFonts w:hAnsi="宋体" w:cs="宋体"/>
          <w:b/>
          <w:spacing w:val="-4"/>
          <w:szCs w:val="21"/>
        </w:rPr>
      </w:pPr>
      <w:r>
        <w:rPr>
          <w:rFonts w:hint="eastAsia" w:hAnsi="宋体" w:cs="宋体"/>
          <w:b/>
          <w:spacing w:val="-4"/>
          <w:szCs w:val="21"/>
        </w:rPr>
        <w:t>格式十九：中标服务费支付承诺函</w:t>
      </w:r>
    </w:p>
    <w:p>
      <w:pPr>
        <w:pStyle w:val="2"/>
      </w:pPr>
    </w:p>
    <w:p>
      <w:pPr>
        <w:widowControl/>
        <w:spacing w:line="360" w:lineRule="auto"/>
        <w:jc w:val="center"/>
        <w:rPr>
          <w:rFonts w:ascii="宋体" w:hAnsi="宋体" w:cs="宋体"/>
          <w:b/>
          <w:spacing w:val="-4"/>
          <w:sz w:val="24"/>
        </w:rPr>
      </w:pPr>
    </w:p>
    <w:p>
      <w:pPr>
        <w:widowControl/>
        <w:spacing w:line="360" w:lineRule="auto"/>
        <w:jc w:val="center"/>
        <w:rPr>
          <w:rFonts w:ascii="宋体" w:hAnsi="宋体" w:cs="宋体"/>
          <w:b/>
          <w:spacing w:val="-4"/>
          <w:sz w:val="24"/>
        </w:rPr>
      </w:pPr>
      <w:r>
        <w:rPr>
          <w:rFonts w:hint="eastAsia" w:ascii="宋体" w:hAnsi="宋体" w:cs="宋体"/>
          <w:b/>
          <w:spacing w:val="-4"/>
          <w:sz w:val="24"/>
        </w:rPr>
        <w:t>中标服务费支付承诺函</w:t>
      </w:r>
    </w:p>
    <w:p>
      <w:pPr>
        <w:widowControl/>
        <w:spacing w:line="360" w:lineRule="auto"/>
        <w:rPr>
          <w:rFonts w:ascii="宋体" w:hAnsi="宋体" w:cs="宋体"/>
          <w:b/>
          <w:spacing w:val="-4"/>
          <w:sz w:val="24"/>
        </w:rPr>
      </w:pPr>
    </w:p>
    <w:p>
      <w:pPr>
        <w:widowControl/>
        <w:spacing w:line="360" w:lineRule="auto"/>
        <w:rPr>
          <w:rFonts w:ascii="宋体" w:hAnsi="宋体" w:cs="宋体"/>
          <w:b/>
          <w:spacing w:val="-4"/>
          <w:szCs w:val="21"/>
        </w:rPr>
      </w:pPr>
      <w:r>
        <w:rPr>
          <w:rFonts w:hint="eastAsia" w:ascii="宋体" w:hAnsi="宋体" w:cs="宋体"/>
          <w:b/>
          <w:spacing w:val="-4"/>
          <w:szCs w:val="21"/>
        </w:rPr>
        <w:t>致：宁波中基国际招标有限公司</w:t>
      </w:r>
    </w:p>
    <w:p>
      <w:pPr>
        <w:widowControl/>
        <w:spacing w:line="360" w:lineRule="auto"/>
        <w:ind w:firstLine="404" w:firstLineChars="200"/>
        <w:rPr>
          <w:rFonts w:ascii="宋体" w:hAnsi="宋体" w:cs="宋体"/>
          <w:bCs/>
          <w:spacing w:val="-4"/>
          <w:szCs w:val="21"/>
        </w:rPr>
      </w:pPr>
      <w:r>
        <w:rPr>
          <w:rFonts w:hint="eastAsia" w:ascii="宋体" w:hAnsi="宋体" w:cs="宋体"/>
          <w:bCs/>
          <w:i/>
          <w:iCs/>
          <w:spacing w:val="-4"/>
          <w:szCs w:val="21"/>
          <w:u w:val="single"/>
        </w:rPr>
        <w:t>投标人单位名称</w:t>
      </w:r>
      <w:r>
        <w:rPr>
          <w:rFonts w:hint="eastAsia" w:ascii="宋体" w:hAnsi="宋体" w:cs="宋体"/>
          <w:bCs/>
          <w:spacing w:val="-4"/>
          <w:szCs w:val="21"/>
        </w:rPr>
        <w:t>郑重承诺：</w:t>
      </w:r>
    </w:p>
    <w:p>
      <w:pPr>
        <w:widowControl/>
        <w:spacing w:line="360" w:lineRule="auto"/>
        <w:ind w:firstLine="404" w:firstLineChars="200"/>
        <w:rPr>
          <w:rFonts w:ascii="宋体" w:hAnsi="宋体" w:cs="宋体"/>
          <w:szCs w:val="21"/>
        </w:rPr>
      </w:pPr>
      <w:r>
        <w:rPr>
          <w:rFonts w:hint="eastAsia" w:ascii="宋体" w:hAnsi="宋体" w:cs="宋体"/>
          <w:bCs/>
          <w:spacing w:val="-4"/>
          <w:szCs w:val="21"/>
        </w:rPr>
        <w:t>若我司在项目（以下简称“本项目”）中有幸中标，我司将严格按照本项目招标文件第三章供应商须知序号3中有关</w:t>
      </w:r>
      <w:r>
        <w:rPr>
          <w:rFonts w:hint="eastAsia" w:ascii="宋体" w:hAnsi="宋体" w:cs="宋体"/>
          <w:szCs w:val="21"/>
        </w:rPr>
        <w:t>中标服务费的规定，在本项目结果公示期满后5个工作日内向贵司支付中标服务费。</w:t>
      </w:r>
    </w:p>
    <w:p>
      <w:pPr>
        <w:widowControl/>
        <w:spacing w:line="360" w:lineRule="auto"/>
        <w:ind w:firstLine="420" w:firstLineChars="200"/>
        <w:rPr>
          <w:rFonts w:ascii="宋体" w:hAnsi="宋体" w:cs="宋体"/>
          <w:szCs w:val="21"/>
        </w:rPr>
      </w:pPr>
      <w:r>
        <w:rPr>
          <w:rFonts w:hint="eastAsia" w:ascii="宋体" w:hAnsi="宋体" w:cs="宋体"/>
          <w:szCs w:val="21"/>
        </w:rPr>
        <w:t>若我司未按上述承诺内容执行，我司自愿承担本项目中标服务费200%的违约金，且在结果公示期满后5个工作日内支付上述违约金，否则由此引起的一切法律责任和经济责任由我司承担。</w:t>
      </w:r>
    </w:p>
    <w:p>
      <w:pPr>
        <w:widowControl/>
        <w:spacing w:line="360" w:lineRule="auto"/>
        <w:ind w:firstLine="406" w:firstLineChars="200"/>
        <w:rPr>
          <w:rFonts w:ascii="宋体" w:hAnsi="宋体" w:cs="宋体"/>
          <w:b/>
          <w:spacing w:val="-4"/>
          <w:szCs w:val="21"/>
        </w:rPr>
      </w:pPr>
      <w:r>
        <w:rPr>
          <w:rFonts w:hint="eastAsia" w:ascii="宋体" w:hAnsi="宋体" w:cs="宋体"/>
          <w:b/>
          <w:spacing w:val="-4"/>
          <w:szCs w:val="21"/>
        </w:rPr>
        <w:t>特此承诺！</w:t>
      </w:r>
    </w:p>
    <w:p>
      <w:pPr>
        <w:widowControl/>
        <w:spacing w:line="360" w:lineRule="auto"/>
        <w:ind w:firstLine="406" w:firstLineChars="200"/>
        <w:rPr>
          <w:rFonts w:ascii="宋体" w:hAnsi="宋体" w:cs="宋体"/>
          <w:b/>
          <w:spacing w:val="-4"/>
          <w:szCs w:val="21"/>
        </w:rPr>
      </w:pPr>
    </w:p>
    <w:p>
      <w:pPr>
        <w:widowControl/>
        <w:spacing w:line="360" w:lineRule="auto"/>
        <w:rPr>
          <w:rFonts w:ascii="宋体" w:hAnsi="宋体" w:cs="宋体"/>
          <w:bCs/>
          <w:spacing w:val="-4"/>
          <w:szCs w:val="21"/>
        </w:rPr>
      </w:pPr>
    </w:p>
    <w:p>
      <w:pPr>
        <w:widowControl/>
        <w:spacing w:line="360" w:lineRule="auto"/>
        <w:rPr>
          <w:rFonts w:ascii="宋体" w:hAnsi="宋体" w:cs="宋体"/>
          <w:bCs/>
          <w:spacing w:val="-4"/>
          <w:szCs w:val="21"/>
        </w:rPr>
      </w:pPr>
    </w:p>
    <w:p>
      <w:pPr>
        <w:widowControl/>
        <w:spacing w:line="360" w:lineRule="auto"/>
        <w:jc w:val="left"/>
        <w:rPr>
          <w:rFonts w:ascii="宋体" w:hAnsi="宋体" w:cs="宋体"/>
          <w:szCs w:val="21"/>
        </w:rPr>
      </w:pPr>
      <w:r>
        <w:rPr>
          <w:rFonts w:hint="eastAsia" w:ascii="宋体" w:hAnsi="宋体" w:cs="宋体"/>
          <w:szCs w:val="21"/>
        </w:rPr>
        <w:t>投 标 人（盖章）：</w:t>
      </w:r>
    </w:p>
    <w:p>
      <w:pPr>
        <w:pStyle w:val="15"/>
        <w:widowControl/>
        <w:spacing w:line="360" w:lineRule="auto"/>
        <w:ind w:firstLine="0"/>
        <w:jc w:val="left"/>
        <w:rPr>
          <w:rFonts w:hAnsi="宋体" w:cs="宋体"/>
          <w:spacing w:val="0"/>
          <w:sz w:val="21"/>
          <w:szCs w:val="21"/>
        </w:rPr>
      </w:pPr>
      <w:r>
        <w:rPr>
          <w:rFonts w:hint="eastAsia" w:hAnsi="宋体" w:cs="宋体"/>
          <w:spacing w:val="0"/>
          <w:sz w:val="21"/>
          <w:szCs w:val="21"/>
        </w:rPr>
        <w:t>日            期：</w:t>
      </w:r>
    </w:p>
    <w:p>
      <w:pPr>
        <w:snapToGrid w:val="0"/>
        <w:spacing w:line="360" w:lineRule="auto"/>
        <w:jc w:val="left"/>
        <w:rPr>
          <w:rFonts w:ascii="宋体" w:hAnsi="宋体" w:cs="宋体"/>
          <w:b/>
          <w:szCs w:val="21"/>
        </w:rPr>
      </w:pPr>
    </w:p>
    <w:p>
      <w:pPr>
        <w:pStyle w:val="34"/>
        <w:rPr>
          <w:rFonts w:ascii="宋体" w:hAnsi="宋体" w:cs="宋体"/>
          <w:b/>
          <w:szCs w:val="21"/>
        </w:rPr>
      </w:pPr>
    </w:p>
    <w:p>
      <w:pPr>
        <w:snapToGrid w:val="0"/>
        <w:spacing w:before="156" w:beforeLines="50" w:after="50"/>
        <w:rPr>
          <w:rFonts w:ascii="宋体" w:hAnsi="宋体" w:cs="宋体"/>
          <w:sz w:val="24"/>
        </w:rPr>
      </w:pPr>
      <w:r>
        <w:rPr>
          <w:rFonts w:hint="eastAsia" w:ascii="宋体"/>
          <w:bCs/>
          <w:szCs w:val="21"/>
        </w:rPr>
        <w:t>备注：若联合体参加投标，投标人盖章处盖联合牵头人公章。</w:t>
      </w:r>
    </w:p>
    <w:p>
      <w:pPr>
        <w:pStyle w:val="32"/>
        <w:spacing w:before="0" w:beforeAutospacing="0" w:after="0" w:afterAutospacing="0" w:line="360" w:lineRule="auto"/>
        <w:rPr>
          <w:rFonts w:ascii="宋体" w:hAnsi="宋体" w:cs="宋体"/>
          <w:b/>
          <w:sz w:val="21"/>
          <w:szCs w:val="21"/>
        </w:rPr>
      </w:pPr>
    </w:p>
    <w:p>
      <w:pPr>
        <w:pStyle w:val="32"/>
        <w:spacing w:before="0" w:beforeAutospacing="0" w:after="0" w:afterAutospacing="0" w:line="360" w:lineRule="auto"/>
        <w:rPr>
          <w:rFonts w:ascii="宋体" w:hAnsi="宋体" w:cs="宋体"/>
          <w:b/>
          <w:sz w:val="21"/>
          <w:szCs w:val="21"/>
        </w:rPr>
      </w:pPr>
    </w:p>
    <w:p>
      <w:pPr>
        <w:pStyle w:val="32"/>
        <w:spacing w:before="0" w:beforeAutospacing="0" w:after="0" w:afterAutospacing="0" w:line="360" w:lineRule="auto"/>
        <w:rPr>
          <w:rFonts w:ascii="宋体" w:hAnsi="宋体" w:cs="宋体"/>
          <w:b/>
          <w:sz w:val="21"/>
          <w:szCs w:val="21"/>
        </w:rPr>
      </w:pPr>
    </w:p>
    <w:p>
      <w:pPr>
        <w:pStyle w:val="32"/>
        <w:spacing w:before="0" w:beforeAutospacing="0" w:after="0" w:afterAutospacing="0" w:line="360" w:lineRule="auto"/>
        <w:rPr>
          <w:rFonts w:ascii="宋体" w:hAnsi="宋体" w:cs="宋体"/>
          <w:b/>
          <w:sz w:val="21"/>
          <w:szCs w:val="21"/>
        </w:rPr>
      </w:pPr>
    </w:p>
    <w:p>
      <w:pPr>
        <w:snapToGrid w:val="0"/>
        <w:spacing w:line="360" w:lineRule="auto"/>
        <w:rPr>
          <w:rFonts w:ascii="宋体" w:hAnsi="宋体" w:cs="宋体"/>
          <w:szCs w:val="21"/>
        </w:rPr>
      </w:pPr>
      <w:r>
        <w:rPr>
          <w:rFonts w:hint="eastAsia" w:ascii="宋体" w:hAnsi="宋体" w:cs="宋体"/>
          <w:szCs w:val="21"/>
        </w:rPr>
        <w:t>服务费汇入以下账户：</w:t>
      </w:r>
    </w:p>
    <w:p>
      <w:pPr>
        <w:snapToGrid w:val="0"/>
        <w:spacing w:line="360" w:lineRule="auto"/>
        <w:rPr>
          <w:rFonts w:ascii="宋体" w:hAnsi="宋体" w:cs="宋体"/>
          <w:szCs w:val="21"/>
        </w:rPr>
      </w:pPr>
      <w:r>
        <w:rPr>
          <w:rFonts w:hint="eastAsia" w:ascii="宋体" w:hAnsi="宋体" w:cs="宋体"/>
          <w:szCs w:val="21"/>
        </w:rPr>
        <w:t>开户银行：宁波银行科技支行</w:t>
      </w:r>
    </w:p>
    <w:p>
      <w:pPr>
        <w:snapToGrid w:val="0"/>
        <w:spacing w:line="360" w:lineRule="auto"/>
        <w:rPr>
          <w:rFonts w:ascii="宋体" w:hAnsi="宋体" w:cs="宋体"/>
          <w:szCs w:val="21"/>
        </w:rPr>
      </w:pPr>
      <w:r>
        <w:rPr>
          <w:rFonts w:hint="eastAsia" w:ascii="宋体" w:hAnsi="宋体" w:cs="宋体"/>
          <w:szCs w:val="21"/>
        </w:rPr>
        <w:t>账    号：31010122000005488</w:t>
      </w:r>
    </w:p>
    <w:p>
      <w:pPr>
        <w:snapToGrid w:val="0"/>
        <w:spacing w:line="360" w:lineRule="auto"/>
        <w:rPr>
          <w:rFonts w:ascii="宋体" w:hAnsi="宋体" w:cs="宋体"/>
          <w:szCs w:val="21"/>
        </w:rPr>
        <w:sectPr>
          <w:pgSz w:w="11906" w:h="16838"/>
          <w:pgMar w:top="1440" w:right="1800" w:bottom="1440" w:left="1800" w:header="851" w:footer="992" w:gutter="0"/>
          <w:cols w:space="720" w:num="1"/>
          <w:docGrid w:type="lines" w:linePitch="312" w:charSpace="0"/>
        </w:sectPr>
      </w:pPr>
      <w:r>
        <w:rPr>
          <w:rFonts w:hint="eastAsia" w:ascii="宋体" w:hAnsi="宋体" w:cs="宋体"/>
          <w:szCs w:val="21"/>
        </w:rPr>
        <w:t>户    名：宁波中基国际招标有限公司</w:t>
      </w:r>
      <w:bookmarkEnd w:id="187"/>
      <w:bookmarkEnd w:id="188"/>
    </w:p>
    <w:p>
      <w:pPr>
        <w:tabs>
          <w:tab w:val="left" w:pos="360"/>
        </w:tabs>
        <w:adjustRightInd w:val="0"/>
        <w:snapToGrid w:val="0"/>
        <w:spacing w:line="360" w:lineRule="auto"/>
        <w:textAlignment w:val="baseline"/>
        <w:rPr>
          <w:rFonts w:ascii="宋体" w:hAnsi="宋体"/>
          <w:b/>
          <w:bCs/>
        </w:rPr>
      </w:pPr>
      <w:r>
        <w:rPr>
          <w:rFonts w:hint="eastAsia" w:ascii="宋体" w:hAnsi="宋体"/>
          <w:b/>
          <w:bCs/>
        </w:rPr>
        <w:t>附件：</w:t>
      </w:r>
      <w:r>
        <w:rPr>
          <w:rFonts w:ascii="宋体" w:hAnsi="宋体" w:cs="Calibri"/>
          <w:b/>
          <w:bCs/>
        </w:rPr>
        <w:t>政府采购活动现场确认声明书</w:t>
      </w:r>
    </w:p>
    <w:p>
      <w:pPr>
        <w:snapToGrid w:val="0"/>
        <w:spacing w:line="360" w:lineRule="auto"/>
        <w:ind w:firstLine="562" w:firstLineChars="200"/>
        <w:jc w:val="center"/>
        <w:rPr>
          <w:rFonts w:ascii="宋体" w:hAnsi="宋体" w:cs="宋体"/>
          <w:kern w:val="0"/>
          <w:sz w:val="24"/>
        </w:rPr>
      </w:pPr>
      <w:r>
        <w:rPr>
          <w:rFonts w:hint="eastAsia" w:ascii="宋体" w:hAnsi="宋体" w:cs="方正小标宋简体"/>
          <w:b/>
          <w:bCs/>
          <w:sz w:val="28"/>
          <w:szCs w:val="28"/>
        </w:rPr>
        <w:t>政府采购活动现场确认声明书</w:t>
      </w:r>
    </w:p>
    <w:p>
      <w:pPr>
        <w:snapToGrid w:val="0"/>
        <w:spacing w:line="360" w:lineRule="auto"/>
        <w:rPr>
          <w:rFonts w:ascii="宋体" w:hAnsi="宋体"/>
          <w:bCs/>
          <w:sz w:val="22"/>
          <w:szCs w:val="22"/>
        </w:rPr>
      </w:pPr>
      <w:r>
        <w:rPr>
          <w:rFonts w:hint="eastAsia" w:ascii="宋体" w:hAnsi="宋体" w:cs="宋体"/>
          <w:kern w:val="0"/>
          <w:sz w:val="22"/>
          <w:szCs w:val="22"/>
        </w:rPr>
        <w:t xml:space="preserve">宁波中基国际招标有限公司： </w:t>
      </w:r>
    </w:p>
    <w:p>
      <w:pPr>
        <w:snapToGrid w:val="0"/>
        <w:spacing w:line="312" w:lineRule="auto"/>
        <w:ind w:firstLine="464" w:firstLineChars="200"/>
        <w:rPr>
          <w:rFonts w:ascii="宋体" w:hAnsi="宋体" w:cs="宋体"/>
          <w:spacing w:val="6"/>
          <w:sz w:val="22"/>
          <w:szCs w:val="22"/>
        </w:rPr>
      </w:pPr>
      <w:r>
        <w:rPr>
          <w:rFonts w:hint="eastAsia" w:ascii="宋体" w:hAnsi="宋体" w:cs="宋体"/>
          <w:spacing w:val="6"/>
          <w:sz w:val="22"/>
          <w:szCs w:val="22"/>
        </w:rPr>
        <w:t>本人</w:t>
      </w:r>
      <w:r>
        <w:rPr>
          <w:rFonts w:hint="eastAsia" w:ascii="宋体" w:hAnsi="宋体" w:cs="宋体"/>
          <w:spacing w:val="6"/>
          <w:sz w:val="22"/>
          <w:szCs w:val="22"/>
          <w:u w:val="single"/>
        </w:rPr>
        <w:t xml:space="preserve">     </w:t>
      </w:r>
      <w:r>
        <w:rPr>
          <w:rFonts w:hint="eastAsia" w:ascii="宋体" w:hAnsi="宋体" w:cs="宋体"/>
          <w:spacing w:val="6"/>
          <w:sz w:val="22"/>
          <w:szCs w:val="22"/>
        </w:rPr>
        <w:t>（授权代表姓名），经由</w:t>
      </w:r>
      <w:r>
        <w:rPr>
          <w:rFonts w:hint="eastAsia" w:ascii="宋体" w:hAnsi="宋体" w:cs="宋体"/>
          <w:spacing w:val="6"/>
          <w:sz w:val="22"/>
          <w:szCs w:val="22"/>
          <w:u w:val="single"/>
        </w:rPr>
        <w:t xml:space="preserve">                </w:t>
      </w:r>
      <w:r>
        <w:rPr>
          <w:rFonts w:hint="eastAsia" w:ascii="宋体" w:hAnsi="宋体" w:cs="宋体"/>
          <w:spacing w:val="6"/>
          <w:sz w:val="22"/>
          <w:szCs w:val="22"/>
        </w:rPr>
        <w:t>（单位）</w:t>
      </w:r>
      <w:r>
        <w:rPr>
          <w:rFonts w:hint="eastAsia" w:ascii="宋体" w:hAnsi="宋体" w:cs="宋体"/>
          <w:spacing w:val="6"/>
          <w:sz w:val="22"/>
          <w:szCs w:val="22"/>
          <w:u w:val="single"/>
        </w:rPr>
        <w:t xml:space="preserve">     </w:t>
      </w:r>
      <w:r>
        <w:rPr>
          <w:rFonts w:hint="eastAsia" w:ascii="宋体" w:hAnsi="宋体" w:cs="宋体"/>
          <w:spacing w:val="6"/>
          <w:sz w:val="22"/>
          <w:szCs w:val="22"/>
        </w:rPr>
        <w:t>（法定代表人姓名）合法授权参加</w:t>
      </w:r>
      <w:r>
        <w:rPr>
          <w:rFonts w:hint="eastAsia" w:ascii="宋体" w:hAnsi="宋体" w:cs="宋体"/>
          <w:spacing w:val="6"/>
          <w:sz w:val="22"/>
          <w:szCs w:val="22"/>
          <w:u w:val="single"/>
        </w:rPr>
        <w:t xml:space="preserve">            </w:t>
      </w:r>
      <w:r>
        <w:rPr>
          <w:rFonts w:hint="eastAsia" w:ascii="宋体" w:hAnsi="宋体" w:cs="宋体"/>
          <w:spacing w:val="6"/>
          <w:sz w:val="22"/>
          <w:szCs w:val="22"/>
        </w:rPr>
        <w:t>（编号：</w:t>
      </w:r>
      <w:r>
        <w:rPr>
          <w:rFonts w:hint="eastAsia" w:ascii="宋体" w:hAnsi="宋体" w:cs="宋体"/>
          <w:spacing w:val="6"/>
          <w:sz w:val="22"/>
          <w:szCs w:val="22"/>
          <w:u w:val="single"/>
        </w:rPr>
        <w:t xml:space="preserve">             </w:t>
      </w:r>
      <w:r>
        <w:rPr>
          <w:rFonts w:hint="eastAsia" w:ascii="宋体" w:hAnsi="宋体" w:cs="宋体"/>
          <w:spacing w:val="6"/>
          <w:sz w:val="22"/>
          <w:szCs w:val="22"/>
        </w:rPr>
        <w:t>）政府采购活动，经与本单位法人代表（负责人）联系确认，现就有关公平竞争事项郑重声明如下：</w:t>
      </w:r>
    </w:p>
    <w:p>
      <w:pPr>
        <w:widowControl/>
        <w:numPr>
          <w:ilvl w:val="0"/>
          <w:numId w:val="7"/>
        </w:numPr>
        <w:snapToGrid w:val="0"/>
        <w:spacing w:line="312" w:lineRule="auto"/>
        <w:ind w:firstLine="415" w:firstLineChars="189"/>
        <w:rPr>
          <w:rFonts w:ascii="宋体" w:hAnsi="宋体"/>
          <w:kern w:val="0"/>
          <w:sz w:val="22"/>
          <w:szCs w:val="22"/>
        </w:rPr>
      </w:pPr>
      <w:r>
        <w:rPr>
          <w:rFonts w:hint="eastAsia" w:ascii="宋体" w:hAnsi="宋体" w:cs="宋体"/>
          <w:kern w:val="0"/>
          <w:sz w:val="22"/>
          <w:szCs w:val="22"/>
        </w:rPr>
        <w:t>本单位与采购人之间□不存在利害关系□存在下列利害关系：</w:t>
      </w:r>
    </w:p>
    <w:p>
      <w:pPr>
        <w:widowControl/>
        <w:snapToGrid w:val="0"/>
        <w:spacing w:line="312" w:lineRule="auto"/>
        <w:ind w:firstLine="440" w:firstLineChars="200"/>
        <w:rPr>
          <w:rFonts w:ascii="宋体" w:hAnsi="宋体"/>
          <w:kern w:val="0"/>
          <w:sz w:val="22"/>
          <w:szCs w:val="22"/>
        </w:rPr>
      </w:pPr>
      <w:r>
        <w:rPr>
          <w:rFonts w:ascii="宋体" w:hAnsi="宋体" w:cs="宋体"/>
          <w:kern w:val="0"/>
          <w:sz w:val="22"/>
          <w:szCs w:val="22"/>
        </w:rPr>
        <w:t xml:space="preserve">  A.</w:t>
      </w:r>
      <w:r>
        <w:rPr>
          <w:rFonts w:hint="eastAsia" w:ascii="宋体" w:hAnsi="宋体" w:cs="宋体"/>
          <w:kern w:val="0"/>
          <w:sz w:val="22"/>
          <w:szCs w:val="22"/>
        </w:rPr>
        <w:t>投资关系</w:t>
      </w:r>
      <w:r>
        <w:rPr>
          <w:rFonts w:ascii="宋体" w:hAnsi="宋体" w:cs="宋体"/>
          <w:kern w:val="0"/>
          <w:sz w:val="22"/>
          <w:szCs w:val="22"/>
        </w:rPr>
        <w:t xml:space="preserve">    B.</w:t>
      </w:r>
      <w:r>
        <w:rPr>
          <w:rFonts w:hint="eastAsia" w:ascii="宋体" w:hAnsi="宋体" w:cs="宋体"/>
          <w:kern w:val="0"/>
          <w:sz w:val="22"/>
          <w:szCs w:val="22"/>
        </w:rPr>
        <w:t>行政隶属关系</w:t>
      </w:r>
      <w:r>
        <w:rPr>
          <w:rFonts w:ascii="宋体" w:hAnsi="宋体" w:cs="宋体"/>
          <w:kern w:val="0"/>
          <w:sz w:val="22"/>
          <w:szCs w:val="22"/>
        </w:rPr>
        <w:t xml:space="preserve">    C.</w:t>
      </w:r>
      <w:r>
        <w:rPr>
          <w:rFonts w:hint="eastAsia" w:ascii="宋体" w:hAnsi="宋体" w:cs="宋体"/>
          <w:kern w:val="0"/>
          <w:sz w:val="22"/>
          <w:szCs w:val="22"/>
        </w:rPr>
        <w:t>业务指导关系</w:t>
      </w:r>
    </w:p>
    <w:p>
      <w:pPr>
        <w:widowControl/>
        <w:snapToGrid w:val="0"/>
        <w:spacing w:line="312" w:lineRule="auto"/>
        <w:ind w:firstLine="440" w:firstLineChars="200"/>
        <w:rPr>
          <w:rFonts w:ascii="宋体" w:hAnsi="宋体"/>
          <w:kern w:val="0"/>
          <w:sz w:val="22"/>
          <w:szCs w:val="22"/>
        </w:rPr>
      </w:pPr>
      <w:r>
        <w:rPr>
          <w:rFonts w:ascii="宋体" w:hAnsi="宋体" w:cs="宋体"/>
          <w:kern w:val="0"/>
          <w:sz w:val="22"/>
          <w:szCs w:val="22"/>
        </w:rPr>
        <w:t xml:space="preserve">  D.</w:t>
      </w:r>
      <w:r>
        <w:rPr>
          <w:rFonts w:hint="eastAsia" w:ascii="宋体" w:hAnsi="宋体" w:cs="宋体"/>
          <w:kern w:val="0"/>
          <w:sz w:val="22"/>
          <w:szCs w:val="22"/>
        </w:rPr>
        <w:t>其他可能</w:t>
      </w:r>
      <w:r>
        <w:rPr>
          <w:rFonts w:hint="eastAsia" w:ascii="宋体" w:hAnsi="宋体" w:cs="宋体"/>
          <w:sz w:val="22"/>
          <w:szCs w:val="22"/>
        </w:rPr>
        <w:t>影响采购公正的</w:t>
      </w:r>
      <w:r>
        <w:rPr>
          <w:rFonts w:hint="eastAsia" w:ascii="宋体" w:hAnsi="宋体" w:cs="宋体"/>
          <w:kern w:val="0"/>
          <w:sz w:val="22"/>
          <w:szCs w:val="22"/>
        </w:rPr>
        <w:t>利害关系（如有，请如实说明）。</w:t>
      </w:r>
    </w:p>
    <w:p>
      <w:pPr>
        <w:widowControl/>
        <w:numPr>
          <w:ilvl w:val="0"/>
          <w:numId w:val="7"/>
        </w:numPr>
        <w:snapToGrid w:val="0"/>
        <w:spacing w:line="312" w:lineRule="auto"/>
        <w:ind w:firstLine="415" w:firstLineChars="189"/>
        <w:rPr>
          <w:rFonts w:ascii="宋体" w:hAnsi="宋体" w:cs="宋体"/>
          <w:kern w:val="0"/>
          <w:sz w:val="22"/>
          <w:szCs w:val="22"/>
        </w:rPr>
      </w:pPr>
      <w:r>
        <w:rPr>
          <w:rFonts w:hint="eastAsia" w:ascii="宋体" w:hAnsi="宋体" w:cs="宋体"/>
          <w:kern w:val="0"/>
          <w:sz w:val="22"/>
          <w:szCs w:val="22"/>
        </w:rPr>
        <w:t>现已清楚知道参加本项目采购活动的其他所有供应商名称，本单位□与其他所有供应商之间均不存在利害关系□与（供应商名称）之间存在下列利害关系：</w:t>
      </w:r>
    </w:p>
    <w:p>
      <w:pPr>
        <w:snapToGrid w:val="0"/>
        <w:spacing w:line="312" w:lineRule="auto"/>
        <w:ind w:firstLine="440" w:firstLineChars="200"/>
        <w:rPr>
          <w:rFonts w:ascii="宋体" w:hAnsi="宋体"/>
          <w:kern w:val="0"/>
          <w:sz w:val="22"/>
          <w:szCs w:val="22"/>
        </w:rPr>
      </w:pPr>
      <w:r>
        <w:rPr>
          <w:rFonts w:ascii="宋体" w:hAnsi="宋体" w:cs="宋体"/>
          <w:kern w:val="0"/>
          <w:sz w:val="22"/>
          <w:szCs w:val="22"/>
        </w:rPr>
        <w:t xml:space="preserve">  A.</w:t>
      </w:r>
      <w:r>
        <w:rPr>
          <w:rFonts w:hint="eastAsia" w:ascii="宋体" w:hAnsi="宋体" w:cs="宋体"/>
          <w:kern w:val="0"/>
          <w:sz w:val="22"/>
          <w:szCs w:val="22"/>
        </w:rPr>
        <w:t>法定代表人或负责人或实际控制人是同一人</w:t>
      </w:r>
    </w:p>
    <w:p>
      <w:pPr>
        <w:snapToGrid w:val="0"/>
        <w:spacing w:line="312" w:lineRule="auto"/>
        <w:ind w:firstLine="440" w:firstLineChars="200"/>
        <w:rPr>
          <w:rFonts w:ascii="宋体" w:hAnsi="宋体"/>
          <w:spacing w:val="6"/>
          <w:sz w:val="22"/>
          <w:szCs w:val="22"/>
        </w:rPr>
      </w:pPr>
      <w:r>
        <w:rPr>
          <w:rFonts w:ascii="宋体" w:hAnsi="宋体" w:cs="宋体"/>
          <w:kern w:val="0"/>
          <w:sz w:val="22"/>
          <w:szCs w:val="22"/>
        </w:rPr>
        <w:t xml:space="preserve">  B.</w:t>
      </w:r>
      <w:r>
        <w:rPr>
          <w:rFonts w:hint="eastAsia" w:ascii="宋体" w:hAnsi="宋体" w:cs="宋体"/>
          <w:kern w:val="0"/>
          <w:sz w:val="22"/>
          <w:szCs w:val="22"/>
        </w:rPr>
        <w:t>法定代表人或负责人或实际控制人是夫妻关系</w:t>
      </w:r>
    </w:p>
    <w:p>
      <w:pPr>
        <w:snapToGrid w:val="0"/>
        <w:spacing w:line="312" w:lineRule="auto"/>
        <w:ind w:firstLine="440" w:firstLineChars="200"/>
        <w:rPr>
          <w:rFonts w:ascii="宋体" w:hAnsi="宋体"/>
          <w:spacing w:val="6"/>
          <w:sz w:val="22"/>
          <w:szCs w:val="22"/>
        </w:rPr>
      </w:pPr>
      <w:r>
        <w:rPr>
          <w:rFonts w:ascii="宋体" w:hAnsi="宋体" w:cs="宋体"/>
          <w:kern w:val="0"/>
          <w:sz w:val="22"/>
          <w:szCs w:val="22"/>
        </w:rPr>
        <w:t xml:space="preserve">  C.</w:t>
      </w:r>
      <w:r>
        <w:rPr>
          <w:rFonts w:hint="eastAsia" w:ascii="宋体" w:hAnsi="宋体" w:cs="宋体"/>
          <w:kern w:val="0"/>
          <w:sz w:val="22"/>
          <w:szCs w:val="22"/>
        </w:rPr>
        <w:t>法定代表人或负责人或实际控制人是直系血亲关系</w:t>
      </w:r>
    </w:p>
    <w:p>
      <w:pPr>
        <w:snapToGrid w:val="0"/>
        <w:spacing w:line="312" w:lineRule="auto"/>
        <w:ind w:firstLine="440" w:firstLineChars="200"/>
        <w:rPr>
          <w:rFonts w:ascii="宋体" w:hAnsi="宋体"/>
          <w:spacing w:val="6"/>
          <w:sz w:val="22"/>
          <w:szCs w:val="22"/>
        </w:rPr>
      </w:pPr>
      <w:r>
        <w:rPr>
          <w:rFonts w:ascii="宋体" w:hAnsi="宋体" w:cs="宋体"/>
          <w:kern w:val="0"/>
          <w:sz w:val="22"/>
          <w:szCs w:val="22"/>
        </w:rPr>
        <w:t xml:space="preserve">  D.</w:t>
      </w:r>
      <w:r>
        <w:rPr>
          <w:rFonts w:hint="eastAsia" w:ascii="宋体" w:hAnsi="宋体" w:cs="宋体"/>
          <w:kern w:val="0"/>
          <w:sz w:val="22"/>
          <w:szCs w:val="22"/>
        </w:rPr>
        <w:t>法定代表人或负责人或实际控制人存在三代以内旁系血亲关系</w:t>
      </w:r>
    </w:p>
    <w:p>
      <w:pPr>
        <w:snapToGrid w:val="0"/>
        <w:spacing w:line="312" w:lineRule="auto"/>
        <w:ind w:firstLine="440" w:firstLineChars="200"/>
        <w:rPr>
          <w:rFonts w:ascii="宋体" w:hAnsi="宋体"/>
          <w:kern w:val="0"/>
          <w:sz w:val="22"/>
          <w:szCs w:val="22"/>
        </w:rPr>
      </w:pPr>
      <w:r>
        <w:rPr>
          <w:rFonts w:ascii="宋体" w:hAnsi="宋体" w:cs="宋体"/>
          <w:kern w:val="0"/>
          <w:sz w:val="22"/>
          <w:szCs w:val="22"/>
        </w:rPr>
        <w:t xml:space="preserve">  E.</w:t>
      </w:r>
      <w:r>
        <w:rPr>
          <w:rFonts w:hint="eastAsia" w:ascii="宋体" w:hAnsi="宋体" w:cs="宋体"/>
          <w:kern w:val="0"/>
          <w:sz w:val="22"/>
          <w:szCs w:val="22"/>
        </w:rPr>
        <w:t>法定代表人或负责人或实际控制人存在近姻亲关系</w:t>
      </w:r>
    </w:p>
    <w:p>
      <w:pPr>
        <w:snapToGrid w:val="0"/>
        <w:spacing w:line="312" w:lineRule="auto"/>
        <w:ind w:firstLine="440" w:firstLineChars="200"/>
        <w:rPr>
          <w:rFonts w:ascii="宋体" w:hAnsi="宋体"/>
          <w:kern w:val="0"/>
          <w:sz w:val="22"/>
          <w:szCs w:val="22"/>
        </w:rPr>
      </w:pPr>
      <w:r>
        <w:rPr>
          <w:rFonts w:ascii="宋体" w:hAnsi="宋体" w:cs="宋体"/>
          <w:kern w:val="0"/>
          <w:sz w:val="22"/>
          <w:szCs w:val="22"/>
        </w:rPr>
        <w:t xml:space="preserve">  F.</w:t>
      </w:r>
      <w:r>
        <w:rPr>
          <w:rFonts w:hint="eastAsia" w:ascii="宋体" w:hAnsi="宋体" w:cs="宋体"/>
          <w:kern w:val="0"/>
          <w:sz w:val="22"/>
          <w:szCs w:val="22"/>
        </w:rPr>
        <w:t>法定代表人或负责人或实际控制人存在股份控制或实际控制关系</w:t>
      </w:r>
    </w:p>
    <w:p>
      <w:pPr>
        <w:snapToGrid w:val="0"/>
        <w:spacing w:line="312" w:lineRule="auto"/>
        <w:ind w:firstLine="440" w:firstLineChars="200"/>
        <w:rPr>
          <w:rFonts w:ascii="宋体" w:hAnsi="宋体"/>
          <w:kern w:val="0"/>
          <w:sz w:val="22"/>
          <w:szCs w:val="22"/>
        </w:rPr>
      </w:pPr>
      <w:r>
        <w:rPr>
          <w:rFonts w:ascii="宋体" w:hAnsi="宋体" w:cs="宋体"/>
          <w:kern w:val="0"/>
          <w:sz w:val="22"/>
          <w:szCs w:val="22"/>
        </w:rPr>
        <w:t xml:space="preserve">  G.</w:t>
      </w:r>
      <w:r>
        <w:rPr>
          <w:rFonts w:hint="eastAsia" w:ascii="宋体" w:hAnsi="宋体" w:cs="宋体"/>
          <w:kern w:val="0"/>
          <w:sz w:val="22"/>
          <w:szCs w:val="22"/>
        </w:rPr>
        <w:t>存在共同直接或间接投资设立子公司、联营企业和合营企业情况</w:t>
      </w:r>
    </w:p>
    <w:p>
      <w:pPr>
        <w:snapToGrid w:val="0"/>
        <w:spacing w:line="312" w:lineRule="auto"/>
        <w:ind w:firstLine="440" w:firstLineChars="200"/>
        <w:rPr>
          <w:rFonts w:ascii="宋体" w:hAnsi="宋体"/>
          <w:sz w:val="22"/>
          <w:szCs w:val="22"/>
        </w:rPr>
      </w:pPr>
      <w:r>
        <w:rPr>
          <w:rFonts w:ascii="宋体" w:hAnsi="宋体" w:cs="宋体"/>
          <w:kern w:val="0"/>
          <w:sz w:val="22"/>
          <w:szCs w:val="22"/>
        </w:rPr>
        <w:t xml:space="preserve">  H.</w:t>
      </w:r>
      <w:r>
        <w:rPr>
          <w:rFonts w:hint="eastAsia" w:ascii="宋体" w:hAnsi="宋体" w:cs="宋体"/>
          <w:kern w:val="0"/>
          <w:sz w:val="22"/>
          <w:szCs w:val="22"/>
        </w:rPr>
        <w:t>存在分级代理或代销关系、同一生产制造商关系、</w:t>
      </w:r>
      <w:r>
        <w:rPr>
          <w:rFonts w:hint="eastAsia" w:ascii="宋体" w:hAnsi="宋体" w:cs="宋体"/>
          <w:sz w:val="22"/>
          <w:szCs w:val="22"/>
        </w:rPr>
        <w:t>管理关系、重要业务（占主营业务收入</w:t>
      </w:r>
      <w:r>
        <w:rPr>
          <w:rFonts w:ascii="宋体" w:hAnsi="宋体" w:cs="宋体"/>
          <w:sz w:val="22"/>
          <w:szCs w:val="22"/>
        </w:rPr>
        <w:t>50%</w:t>
      </w:r>
      <w:r>
        <w:rPr>
          <w:rFonts w:hint="eastAsia" w:ascii="宋体" w:hAnsi="宋体" w:cs="宋体"/>
          <w:sz w:val="22"/>
          <w:szCs w:val="22"/>
        </w:rPr>
        <w:t>以上）或重要财务往来关系（如融资）等其他实质性控制关系</w:t>
      </w:r>
    </w:p>
    <w:p>
      <w:pPr>
        <w:snapToGrid w:val="0"/>
        <w:spacing w:line="312" w:lineRule="auto"/>
        <w:ind w:firstLine="440" w:firstLineChars="200"/>
        <w:rPr>
          <w:rFonts w:ascii="宋体" w:hAnsi="宋体"/>
          <w:spacing w:val="6"/>
          <w:sz w:val="22"/>
          <w:szCs w:val="22"/>
        </w:rPr>
      </w:pPr>
      <w:r>
        <w:rPr>
          <w:rFonts w:ascii="宋体" w:hAnsi="宋体" w:cs="宋体"/>
          <w:sz w:val="22"/>
          <w:szCs w:val="22"/>
        </w:rPr>
        <w:t xml:space="preserve">  I</w:t>
      </w:r>
      <w:r>
        <w:rPr>
          <w:rFonts w:ascii="宋体" w:hAnsi="宋体" w:cs="宋体"/>
          <w:kern w:val="0"/>
          <w:sz w:val="22"/>
          <w:szCs w:val="22"/>
        </w:rPr>
        <w:t>.</w:t>
      </w:r>
      <w:r>
        <w:rPr>
          <w:rFonts w:hint="eastAsia" w:ascii="宋体" w:hAnsi="宋体" w:cs="宋体"/>
          <w:sz w:val="22"/>
          <w:szCs w:val="22"/>
        </w:rPr>
        <w:t>其他利害关系情况</w:t>
      </w:r>
      <w:r>
        <w:rPr>
          <w:rFonts w:hint="eastAsia" w:ascii="宋体" w:hAnsi="宋体" w:cs="宋体"/>
          <w:kern w:val="0"/>
          <w:sz w:val="22"/>
          <w:szCs w:val="22"/>
        </w:rPr>
        <w:t>。</w:t>
      </w:r>
      <w:bookmarkStart w:id="189" w:name="_GoBack"/>
      <w:bookmarkEnd w:id="189"/>
    </w:p>
    <w:p>
      <w:pPr>
        <w:widowControl/>
        <w:numPr>
          <w:ilvl w:val="0"/>
          <w:numId w:val="8"/>
        </w:numPr>
        <w:snapToGrid w:val="0"/>
        <w:spacing w:line="312" w:lineRule="auto"/>
        <w:ind w:firstLine="415" w:firstLineChars="189"/>
        <w:rPr>
          <w:rFonts w:ascii="宋体" w:hAnsi="宋体"/>
          <w:kern w:val="0"/>
          <w:sz w:val="22"/>
          <w:szCs w:val="22"/>
        </w:rPr>
      </w:pPr>
      <w:r>
        <w:rPr>
          <w:rFonts w:hint="eastAsia" w:ascii="宋体" w:hAnsi="宋体" w:cs="宋体"/>
          <w:sz w:val="22"/>
          <w:szCs w:val="22"/>
        </w:rPr>
        <w:t>现已清楚知道并</w:t>
      </w:r>
      <w:r>
        <w:rPr>
          <w:rFonts w:hint="eastAsia" w:ascii="宋体" w:hAnsi="宋体" w:cs="宋体"/>
          <w:kern w:val="0"/>
          <w:sz w:val="22"/>
          <w:szCs w:val="22"/>
        </w:rPr>
        <w:t>严格遵守政府采购法律法规和现场纪律。</w:t>
      </w:r>
    </w:p>
    <w:p>
      <w:pPr>
        <w:widowControl/>
        <w:numPr>
          <w:ilvl w:val="0"/>
          <w:numId w:val="8"/>
        </w:numPr>
        <w:snapToGrid w:val="0"/>
        <w:spacing w:line="312" w:lineRule="auto"/>
        <w:ind w:firstLine="415" w:firstLineChars="189"/>
        <w:rPr>
          <w:rFonts w:ascii="宋体" w:hAnsi="宋体"/>
          <w:kern w:val="0"/>
          <w:sz w:val="22"/>
          <w:szCs w:val="22"/>
        </w:rPr>
      </w:pPr>
      <w:r>
        <w:rPr>
          <w:rFonts w:hint="eastAsia" w:ascii="宋体" w:hAnsi="宋体" w:cs="宋体"/>
          <w:kern w:val="0"/>
          <w:sz w:val="22"/>
          <w:szCs w:val="22"/>
        </w:rPr>
        <w:t>我发现供应商之间存在或可能存在上述第二条第项利害关系。</w:t>
      </w:r>
    </w:p>
    <w:p>
      <w:pPr>
        <w:snapToGrid w:val="0"/>
        <w:spacing w:line="312" w:lineRule="auto"/>
        <w:ind w:firstLine="440" w:firstLineChars="200"/>
        <w:rPr>
          <w:rFonts w:ascii="宋体" w:hAnsi="宋体"/>
          <w:sz w:val="22"/>
          <w:szCs w:val="22"/>
        </w:rPr>
      </w:pPr>
      <w:r>
        <w:rPr>
          <w:rFonts w:hint="eastAsia" w:ascii="宋体" w:hAnsi="宋体" w:cs="宋体"/>
          <w:sz w:val="22"/>
          <w:szCs w:val="22"/>
        </w:rPr>
        <w:t>（供应商代表签名）：</w:t>
      </w:r>
    </w:p>
    <w:p>
      <w:pPr>
        <w:spacing w:line="312" w:lineRule="auto"/>
        <w:ind w:firstLine="440" w:firstLineChars="200"/>
        <w:rPr>
          <w:rFonts w:ascii="宋体" w:hAnsi="宋体" w:cs="宋体"/>
          <w:b/>
          <w:sz w:val="20"/>
          <w:szCs w:val="20"/>
        </w:rPr>
      </w:pPr>
      <w:r>
        <w:rPr>
          <w:rFonts w:hint="eastAsia" w:ascii="宋体" w:hAnsi="宋体" w:cs="宋体"/>
          <w:sz w:val="22"/>
          <w:szCs w:val="22"/>
        </w:rPr>
        <w:t>202</w:t>
      </w:r>
      <w:r>
        <w:rPr>
          <w:rFonts w:hint="eastAsia" w:ascii="宋体" w:hAnsi="宋体" w:cs="宋体"/>
          <w:sz w:val="22"/>
          <w:szCs w:val="22"/>
          <w:lang w:val="en-US" w:eastAsia="zh-CN"/>
        </w:rPr>
        <w:t>3</w:t>
      </w:r>
      <w:r>
        <w:rPr>
          <w:rFonts w:hint="eastAsia" w:ascii="宋体" w:hAnsi="宋体" w:cs="宋体"/>
          <w:sz w:val="22"/>
          <w:szCs w:val="22"/>
        </w:rPr>
        <w:t>年  月  日</w:t>
      </w:r>
    </w:p>
    <w:p>
      <w:pPr>
        <w:spacing w:line="312" w:lineRule="auto"/>
        <w:ind w:firstLine="420" w:firstLineChars="200"/>
        <w:rPr>
          <w:rFonts w:ascii="宋体" w:hAnsi="宋体" w:cs="宋体"/>
          <w:szCs w:val="21"/>
        </w:rPr>
      </w:pPr>
    </w:p>
    <w:p>
      <w:pPr>
        <w:spacing w:line="312" w:lineRule="auto"/>
        <w:ind w:firstLine="420" w:firstLineChars="200"/>
        <w:rPr>
          <w:rFonts w:ascii="宋体" w:hAnsi="宋体" w:cs="宋体"/>
          <w:szCs w:val="21"/>
        </w:rPr>
      </w:pPr>
    </w:p>
    <w:p>
      <w:pPr>
        <w:spacing w:line="312" w:lineRule="auto"/>
        <w:ind w:firstLine="420" w:firstLineChars="200"/>
        <w:rPr>
          <w:rFonts w:ascii="宋体" w:hAnsi="宋体" w:cs="宋体"/>
          <w:szCs w:val="21"/>
        </w:rPr>
      </w:pPr>
      <w:r>
        <w:rPr>
          <w:rFonts w:hint="eastAsia" w:ascii="宋体" w:hAnsi="宋体" w:cs="宋体"/>
          <w:szCs w:val="21"/>
        </w:rPr>
        <w:t>说明：（1）投标人解密投标文件及获知其他供应商信息进行如实声明并盖章或授权代表签名后，以扫描件形式通过邮件方式发送至邮箱：</w:t>
      </w:r>
      <w:r>
        <w:fldChar w:fldCharType="begin"/>
      </w:r>
      <w:r>
        <w:instrText xml:space="preserve"> HYPERLINK "mailto:4893224@qq.com" </w:instrText>
      </w:r>
      <w:r>
        <w:fldChar w:fldCharType="separate"/>
      </w:r>
      <w:r>
        <w:rPr>
          <w:rFonts w:hint="eastAsia" w:ascii="宋体" w:hAnsi="宋体" w:cs="宋体"/>
          <w:u w:val="single"/>
        </w:rPr>
        <w:t>450478956@qq.com</w:t>
      </w:r>
      <w:r>
        <w:rPr>
          <w:rFonts w:hint="eastAsia" w:ascii="宋体" w:hAnsi="宋体" w:cs="宋体"/>
          <w:u w:val="single"/>
        </w:rPr>
        <w:fldChar w:fldCharType="end"/>
      </w:r>
      <w:r>
        <w:rPr>
          <w:rFonts w:hint="eastAsia" w:ascii="宋体" w:hAnsi="宋体" w:cs="宋体"/>
          <w:szCs w:val="21"/>
        </w:rPr>
        <w:t xml:space="preserve"> 。</w:t>
      </w:r>
    </w:p>
    <w:p>
      <w:pPr>
        <w:spacing w:line="312" w:lineRule="auto"/>
        <w:ind w:firstLine="420" w:firstLineChars="200"/>
        <w:rPr>
          <w:rFonts w:ascii="宋体" w:hAnsi="宋体" w:cs="宋体"/>
          <w:szCs w:val="21"/>
        </w:rPr>
      </w:pPr>
      <w:r>
        <w:rPr>
          <w:rFonts w:hint="eastAsia" w:ascii="宋体" w:hAnsi="宋体" w:cs="宋体"/>
          <w:szCs w:val="21"/>
        </w:rPr>
        <w:t>（2）在电子投标文件解密后供应商可看到所参与标项的投标人名称，在确认与采购人和其他供应商</w:t>
      </w:r>
      <w:r>
        <w:rPr>
          <w:rFonts w:hint="eastAsia"/>
        </w:rPr>
        <w:t>不在存声明书中所列利害关系</w:t>
      </w:r>
      <w:r>
        <w:rPr>
          <w:rFonts w:hint="eastAsia" w:ascii="宋体" w:hAnsi="宋体" w:cs="宋体"/>
          <w:szCs w:val="21"/>
        </w:rPr>
        <w:t>的情况下，请在一中的“□不存在利害关系”打钩，二中的“□与其他所有投标人之间均不存在利害关系”打钩，四中的2个下划线用斜杠“/”划掉。</w:t>
      </w:r>
    </w:p>
    <w:p>
      <w:r>
        <w:rPr>
          <w:rFonts w:hint="eastAsia" w:ascii="宋体" w:hAnsi="宋体" w:cs="宋体"/>
          <w:szCs w:val="21"/>
        </w:rPr>
        <w:t>（3）此声明书非投标文件的组成内容，无需编入投标文件中。</w:t>
      </w:r>
    </w:p>
    <w:p>
      <w:pPr>
        <w:pStyle w:val="14"/>
        <w:ind w:firstLine="0" w:firstLineChars="0"/>
      </w:pPr>
    </w:p>
    <w:sectPr>
      <w:pgSz w:w="11906" w:h="16838"/>
      <w:pgMar w:top="1474" w:right="1417" w:bottom="1247" w:left="1797" w:header="851" w:footer="850" w:gutter="0"/>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-170180</wp:posOffset>
              </wp:positionV>
              <wp:extent cx="210185" cy="301625"/>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0185" cy="30162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top:-13.4pt;height:23.75pt;width:16.55pt;mso-position-horizontal:center;mso-position-horizontal-relative:margin;z-index:251661312;mso-width-relative:page;mso-height-relative:page;" filled="f" stroked="f" coordsize="21600,21600" o:gfxdata="UEsDBAoAAAAAAIdO4kAAAAAAAAAAAAAAAAAEAAAAZHJzL1BLAwQUAAAACACHTuJAkl9NQtYAAAAG AQAADwAAAGRycy9kb3ducmV2LnhtbE2PzU7DMBCE70i8g7WVuLV2UilAmk2FEJyQEGk4cHQSN7Ea r0Ps/vD2LCd6HM1o5ptie3GjOJk5WE8IyUqBMNT6zlKP8Fm/Lh9AhKip06Mng/BjAmzL25tC550/ U2VOu9gLLqGQa4QhximXMrSDcTqs/GSIvb2fnY4s5152sz5zuRtlqlQmnbbEC4OezPNg2sPu6BCe vqh6sd/vzUe1r2xdPyp6yw6Id4tEbUBEc4n/YfjDZ3QomanxR+qCGBH4SERYphkfYHu9TkA0CKm6 B1kW8hq//AVQSwMEFAAAAAgAh07iQOyHHK2+AQAAfwMAAA4AAABkcnMvZTJvRG9jLnhtbK1TzY7T MBC+I/EOlu/USdCuVlHTlVbVrpAQIC08gOtMGkv+k+026QvAG3Diwp3n6nMwdpKyLJc9cHHGM+Nv 5vtmsr4dtSJH8EFa09ByVVACRthWmn1Dv3y+f3NDSYjctFxZAw09QaC3m9ev1oOrobK9VS14giAm 1INraB+jqxkLogfNw8o6MBjsrNc84tXvWev5gOhasaoortlgfeu8FRACerdTkM6I/iWAtuukgK0V Bw0mTqgeFI9IKfTSBbrJ3XYdiPix6wJEohqKTGM+sQjau3SyzZrXe89dL8XcAn9JC884aS4NFr1A bXnk5ODlP1BaCm+D7eJKWM0mIlkRZFEWz7R57LmDzAWlDu4ievh/sOLD8ZMnsm1oRYnhGgd+/v7t /OPX+edXUiZ5BhdqzHp0mBfHOzvi0iz+gM7Eeuy8Tl/kQzCO4p4u4sIYiUBnVRblzRUlAkNvi/K6 ukoo7M9j50N8AKtJMhrqcXZZUn58H+KUuqSkWsbeS6Xy/JT5y4GYkwfyAsyvE4+p32TFcTfO5Ha2 PSE39c6grmlHFsMvxm4xDs7LfY/NZQVYAsK5ZBbzDqXBP72j/fS/2fwG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LQQAAFtDb250ZW50X1R5cGVz XS54bWxQSwECFAAKAAAAAACHTuJAAAAAAAAAAAAAAAAABgAAAAAAAAAAABAAAAAPAwAAX3JlbHMv UEsBAhQAFAAAAAgAh07iQIoUZjzRAAAAlAEAAAsAAAAAAAAAAQAgAAAAMwMAAF9yZWxzLy5yZWxz UEsBAhQACgAAAAAAh07iQAAAAAAAAAAAAAAAAAQAAAAAAAAAAAAQAAAAAAAAAGRycy9QSwECFAAU AAAACACHTuJAkl9NQtYAAAAGAQAADwAAAAAAAAABACAAAAAiAAAAZHJzL2Rvd25yZXYueG1sUEsB AhQAFAAAAAgAh07iQOyHHK2+AQAAfwMAAA4AAAAAAAAAAQAgAAAAJQEAAGRycy9lMm9Eb2MueG1s UEsFBgAAAAAGAAYAWQEAAFUFAAAAAA== ">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2JFlysIBAACNAwAADgAAAGRycy9lMm9Eb2MueG1srVPNjtMwEL4j8Q6W 79TZaoW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m5BoTbQ8LCpZ+MOkJNxXBKhdG0UXkNHt9L1sNftPkL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zql5uc8AAAAFAQAADwAAAAAAAAABACAAAAAiAAAAZHJzL2Rvd25yZXYueG1sUEsBAhQA FAAAAAgAh07iQNiRZcrCAQAAjQMAAA4AAAAAAAAAAQAgAAAAHgEAAGRycy9lMm9Eb2MueG1sUEsF BgAAAAAGAAYAWQEAAFIFAAAAAA== ">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2076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400685" cy="207645"/>
                      </a:xfrm>
                      <a:prstGeom prst="rect">
                        <a:avLst/>
                      </a:prstGeom>
                      <a:noFill/>
                      <a:ln>
                        <a:noFill/>
                      </a:ln>
                      <a:effectLst/>
                    </wps:spPr>
                    <wps:txbx>
                      <w:txbxContent>
                        <w:p>
                          <w:pPr>
                            <w:pStyle w:val="23"/>
                          </w:pPr>
                          <w:r>
                            <w:fldChar w:fldCharType="begin"/>
                          </w:r>
                          <w:r>
                            <w:instrText xml:space="preserve"> PAGE  \* MERGEFORMAT </w:instrText>
                          </w:r>
                          <w:r>
                            <w:fldChar w:fldCharType="separate"/>
                          </w:r>
                          <w:r>
                            <w:t>52</w:t>
                          </w:r>
                          <w: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6.35pt;width:31.55pt;mso-position-horizontal:center;mso-position-horizontal-relative:margin;z-index:251660288;mso-width-relative:page;mso-height-relative:page;" filled="f" stroked="f" coordsize="21600,21600" o:gfxdata="UEsDBAoAAAAAAIdO4kAAAAAAAAAAAAAAAAAEAAAAZHJzL1BLAwQUAAAACACHTuJAiZzPMNQAAAAD AQAADwAAAGRycy9kb3ducmV2LnhtbE2PzU7DMBCE70i8g7VI3KidVgoQ4lQIwQkJkYYDRyfeJlbj dYjdH96ehQu9rDSa0cy35frkR3HAObpAGrKFAoHUBeuo1/DRvNzcgYjJkDVjINTwjRHW1eVFaQob jlTjYZN6wSUUC6NhSGkqpIzdgN7ERZiQ2NuG2ZvEcu6lnc2Ry/0ol0rl0htHvDCYCZ8G7Habvdfw +En1s/t6a9/rbe2a5l7Ra77T+voqUw8gEp7Sfxh+8RkdKmZqw55sFKMGfiT9XfbyVQai1bBa3oKs SnnOXv0AUEsDBBQAAAAIAIdO4kCGwvBHvgEAAH8DAAAOAAAAZHJzL2Uyb0RvYy54bWytU81u2zAM vg/YOwi6L3KDtiuMOAWKoEWBoRvQ7QEUmY4F6A+iEjsvsL7BTrvsvufKc4yynazrLj30IlMk9ZHf R3px3VvDdhBRe1fxs1nBGTjla+02Ff/29fbDFWeYpKul8Q4qvgfk18v37xZdKGHuW29qiIxAHJZd qHibUiiFQNWClTjzARwFGx+tTHSNG1FH2RG6NWJeFJei87EO0StAJO9qDPIJMb4G0DeNVrDyamvB pRE1gpGJKGGrA/Ll0G3TgEqfmwYhMVNxYpqGk4qQvc6nWC5kuYkytFpNLcjXtPCCk5XaUdET1Eom ybZR/wdltYoefZNmylsxEhkUIRZnxQttHlsZYOBCUmM4iY5vB6sedl8i0zVtAmdOWhr44cfT4efv w6/vbJ7l6QKWlPUYKC/1N77PqZMfyZlZ9020+Ut8GMVJ3P1JXOgTU+Q8p9lfXXCmKDQvPl6eX2QU 8fdxiJjuwFuWjYpHmt0gqdx9wjSmHlNyLedvtTHkl6Vx/zgIc/TAsADT68xj7DdbqV/3E4m1r/fE zdw70jXvyNGIR2N9NLYh6k1LzQ0KiAxEcxlYTDuUB//8Tvbz/2b5B1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CsEAABbQ29udGVudF9UeXBlc10u eG1sUEsBAhQACgAAAAAAh07iQAAAAAAAAAAAAAAAAAYAAAAAAAAAAAAQAAAADQMAAF9yZWxzL1BL AQIUABQAAAAIAIdO4kCKFGY80QAAAJQBAAALAAAAAAAAAAEAIAAAADEDAABfcmVscy8ucmVsc1BL AQIUAAoAAAAAAIdO4kAAAAAAAAAAAAAAAAAEAAAAAAAAAAAAEAAAAAAAAABkcnMvUEsBAhQAFAAA AAgAh07iQImczzDUAAAAAwEAAA8AAAAAAAAAAQAgAAAAIgAAAGRycy9kb3ducmV2LnhtbFBLAQIU ABQAAAAIAIdO4kCGwvBHvgEAAH8DAAAOAAAAAAAAAAEAIAAAACMBAABkcnMvZTJvRG9jLnhtbFBL BQYAAAAABgAGAFkBAABTBQAAAAA= ">
              <v:fill on="f" focussize="0,0"/>
              <v:stroke on="f"/>
              <v:imagedata o:title=""/>
              <o:lock v:ext="edit" aspectratio="f"/>
              <v:textbox inset="0mm,0mm,0mm,0mm">
                <w:txbxContent>
                  <w:p>
                    <w:pPr>
                      <w:pStyle w:val="2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3"/>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CsJ1bjUAQAApQMAAA4AAABkcnMvZTJvRG9jLnhtbK1TS27bMBDdF8gd CO5rWbFTNILloIWRoEDRFkh6AJoiLQL8gUNb8gXaG3TVTfc9l8+RISU5bbrJohtqODN8M+/NaHXT G00OIoBytqblbE6JsNw1yu5q+vXh9vVbSiAy2zDtrKjpUQC9WV+8WnW+EpeudboRgSCIharzNW1j 9FVRAG+FYTBzXlgMShcMi3gNu6IJrEN0o4vL+fxN0bnQ+OC4AEDvZgjSETG8BNBJqbjYOL43wsYB NQjNIlKCVnmg69ytlILHz1KCiETXFJnGfGIRtLfpLNYrVu0C863iYwvsJS0842SYslj0DLVhkZF9 UP9AGcWDAyfjjDtTDESyIsiinD/T5r5lXmQuKDX4s+jw/2D5p8OXQFRT0wUllhkc+OnH99PP36df 38giydN5qDDr3mNe7N+7Hpdm8gM6E+teBpO+yIdgHMU9nsUVfSQ8PSqX14srSjiGykW5XF4llOLp sQ8Q74QzJBk1DTi7LCk7fIQ4pE4pqZZ1t0rrPD9t/3Ig5uAReQHG14nH0G+yYr/tR3Jb1xyRW4dL UFOLO0+J/mBR47QvkxEmYzsZex/UrsVGy9wl+Hf7iC3lTlOFARYZpgtOL3MdNy2tx5/3nPX0d60f A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EPlfknQAAAAAwEAAA8AAAAAAAAAAQAgAAAAIgAAAGRy cy9kb3ducmV2LnhtbFBLAQIUABQAAAAIAIdO4kArCdW41AEAAKUDAAAOAAAAAAAAAAEAIAAAAB8B AABkcnMvZTJvRG9jLnhtbFBLBQYAAAAABgAGAFkBAABlBQAAAAA= ">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93138"/>
    <w:multiLevelType w:val="singleLevel"/>
    <w:tmpl w:val="C5E93138"/>
    <w:lvl w:ilvl="0" w:tentative="0">
      <w:start w:val="2"/>
      <w:numFmt w:val="decimal"/>
      <w:suff w:val="space"/>
      <w:lvlText w:val="%1."/>
      <w:lvlJc w:val="left"/>
      <w:pPr>
        <w:ind w:left="485" w:firstLine="0"/>
      </w:pPr>
    </w:lvl>
  </w:abstractNum>
  <w:abstractNum w:abstractNumId="1">
    <w:nsid w:val="00000003"/>
    <w:multiLevelType w:val="singleLevel"/>
    <w:tmpl w:val="00000003"/>
    <w:lvl w:ilvl="0" w:tentative="0">
      <w:start w:val="1"/>
      <w:numFmt w:val="decimal"/>
      <w:suff w:val="nothing"/>
      <w:lvlText w:val="%1、"/>
      <w:lvlJc w:val="left"/>
      <w:pPr>
        <w:tabs>
          <w:tab w:val="left" w:pos="0"/>
        </w:tabs>
        <w:ind w:left="0" w:firstLine="0"/>
      </w:pPr>
    </w:lvl>
  </w:abstractNum>
  <w:abstractNum w:abstractNumId="2">
    <w:nsid w:val="0000000E"/>
    <w:multiLevelType w:val="singleLevel"/>
    <w:tmpl w:val="0000000E"/>
    <w:lvl w:ilvl="0" w:tentative="0">
      <w:start w:val="1"/>
      <w:numFmt w:val="decimal"/>
      <w:suff w:val="nothing"/>
      <w:lvlText w:val="%1."/>
      <w:lvlJc w:val="left"/>
    </w:lvl>
  </w:abstractNum>
  <w:abstractNum w:abstractNumId="3">
    <w:nsid w:val="00000010"/>
    <w:multiLevelType w:val="singleLevel"/>
    <w:tmpl w:val="00000010"/>
    <w:lvl w:ilvl="0" w:tentative="0">
      <w:start w:val="1"/>
      <w:numFmt w:val="decimal"/>
      <w:suff w:val="nothing"/>
      <w:lvlText w:val="（%1）"/>
      <w:lvlJc w:val="left"/>
    </w:lvl>
  </w:abstractNum>
  <w:abstractNum w:abstractNumId="4">
    <w:nsid w:val="45E799AE"/>
    <w:multiLevelType w:val="singleLevel"/>
    <w:tmpl w:val="45E799AE"/>
    <w:lvl w:ilvl="0" w:tentative="0">
      <w:start w:val="1"/>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7BF563A4"/>
    <w:multiLevelType w:val="singleLevel"/>
    <w:tmpl w:val="7BF563A4"/>
    <w:lvl w:ilvl="0" w:tentative="0">
      <w:start w:val="2"/>
      <w:numFmt w:val="decimal"/>
      <w:suff w:val="nothing"/>
      <w:lvlText w:val="%1、"/>
      <w:lvlJc w:val="left"/>
    </w:lvl>
  </w:abstractNum>
  <w:num w:numId="1">
    <w:abstractNumId w:val="4"/>
  </w:num>
  <w:num w:numId="2">
    <w:abstractNumId w:val="3"/>
  </w:num>
  <w:num w:numId="3">
    <w:abstractNumId w:val="7"/>
  </w:num>
  <w:num w:numId="4">
    <w:abstractNumId w:val="2"/>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ZGY5OGJlMWE2NjY2NTc2YTA4NGY4NGQ0OWNhNjAifQ=="/>
    <w:docVar w:name="KSO_WPS_MARK_KEY" w:val="538fd201-6b80-4d46-b603-8ca212d45229"/>
  </w:docVars>
  <w:rsids>
    <w:rsidRoot w:val="00172A27"/>
    <w:rsid w:val="00001CC7"/>
    <w:rsid w:val="000022E1"/>
    <w:rsid w:val="00004B5D"/>
    <w:rsid w:val="0000569B"/>
    <w:rsid w:val="00007C29"/>
    <w:rsid w:val="00015277"/>
    <w:rsid w:val="00022957"/>
    <w:rsid w:val="00023531"/>
    <w:rsid w:val="0002628D"/>
    <w:rsid w:val="000263AA"/>
    <w:rsid w:val="0003205E"/>
    <w:rsid w:val="00033FC5"/>
    <w:rsid w:val="000404A8"/>
    <w:rsid w:val="0005077E"/>
    <w:rsid w:val="00052F33"/>
    <w:rsid w:val="00057037"/>
    <w:rsid w:val="00064A86"/>
    <w:rsid w:val="000704B7"/>
    <w:rsid w:val="00072623"/>
    <w:rsid w:val="00074B9D"/>
    <w:rsid w:val="00076D9F"/>
    <w:rsid w:val="00077E9B"/>
    <w:rsid w:val="0008630D"/>
    <w:rsid w:val="0009285D"/>
    <w:rsid w:val="0009471A"/>
    <w:rsid w:val="00095776"/>
    <w:rsid w:val="000A41FD"/>
    <w:rsid w:val="000A7328"/>
    <w:rsid w:val="000A7842"/>
    <w:rsid w:val="000A7D2A"/>
    <w:rsid w:val="000B24CC"/>
    <w:rsid w:val="000B55FA"/>
    <w:rsid w:val="000B5B42"/>
    <w:rsid w:val="000B7767"/>
    <w:rsid w:val="000B794A"/>
    <w:rsid w:val="000C7053"/>
    <w:rsid w:val="000D01BD"/>
    <w:rsid w:val="000E1E48"/>
    <w:rsid w:val="000E4A61"/>
    <w:rsid w:val="000E6611"/>
    <w:rsid w:val="000E6CE1"/>
    <w:rsid w:val="000E70E2"/>
    <w:rsid w:val="000E7D8C"/>
    <w:rsid w:val="000F2ABE"/>
    <w:rsid w:val="000F4152"/>
    <w:rsid w:val="00101CF3"/>
    <w:rsid w:val="00110C0A"/>
    <w:rsid w:val="00114BCB"/>
    <w:rsid w:val="0012039A"/>
    <w:rsid w:val="001357C6"/>
    <w:rsid w:val="00136686"/>
    <w:rsid w:val="00137501"/>
    <w:rsid w:val="00140DBA"/>
    <w:rsid w:val="001439E3"/>
    <w:rsid w:val="001462CB"/>
    <w:rsid w:val="001474D7"/>
    <w:rsid w:val="001540EC"/>
    <w:rsid w:val="0015620E"/>
    <w:rsid w:val="00161BF9"/>
    <w:rsid w:val="001667A0"/>
    <w:rsid w:val="00172A27"/>
    <w:rsid w:val="00172E00"/>
    <w:rsid w:val="0017360C"/>
    <w:rsid w:val="001737AA"/>
    <w:rsid w:val="00175476"/>
    <w:rsid w:val="00176288"/>
    <w:rsid w:val="00176EC6"/>
    <w:rsid w:val="00181233"/>
    <w:rsid w:val="0018162D"/>
    <w:rsid w:val="00184306"/>
    <w:rsid w:val="0018444A"/>
    <w:rsid w:val="00184D99"/>
    <w:rsid w:val="00186BF0"/>
    <w:rsid w:val="00191493"/>
    <w:rsid w:val="00195F5A"/>
    <w:rsid w:val="001A67D5"/>
    <w:rsid w:val="001B18CF"/>
    <w:rsid w:val="001B255A"/>
    <w:rsid w:val="001B38FA"/>
    <w:rsid w:val="001B7D18"/>
    <w:rsid w:val="001C2677"/>
    <w:rsid w:val="001C5333"/>
    <w:rsid w:val="001D302C"/>
    <w:rsid w:val="001D7AA1"/>
    <w:rsid w:val="001E1C45"/>
    <w:rsid w:val="001E5E37"/>
    <w:rsid w:val="001F1927"/>
    <w:rsid w:val="001F1C7C"/>
    <w:rsid w:val="001F4F06"/>
    <w:rsid w:val="001F60B3"/>
    <w:rsid w:val="001F679D"/>
    <w:rsid w:val="00200A4C"/>
    <w:rsid w:val="00201750"/>
    <w:rsid w:val="0020268A"/>
    <w:rsid w:val="00202C27"/>
    <w:rsid w:val="0020388D"/>
    <w:rsid w:val="00203CE3"/>
    <w:rsid w:val="002103C9"/>
    <w:rsid w:val="00213E0F"/>
    <w:rsid w:val="002148D9"/>
    <w:rsid w:val="00214EB0"/>
    <w:rsid w:val="002150E7"/>
    <w:rsid w:val="00216A6D"/>
    <w:rsid w:val="00222168"/>
    <w:rsid w:val="0022599C"/>
    <w:rsid w:val="0022770D"/>
    <w:rsid w:val="00237E65"/>
    <w:rsid w:val="00246B35"/>
    <w:rsid w:val="00246F36"/>
    <w:rsid w:val="00253126"/>
    <w:rsid w:val="00254407"/>
    <w:rsid w:val="00261E25"/>
    <w:rsid w:val="00262715"/>
    <w:rsid w:val="0026550F"/>
    <w:rsid w:val="00265B1A"/>
    <w:rsid w:val="00270CE8"/>
    <w:rsid w:val="00274040"/>
    <w:rsid w:val="00274047"/>
    <w:rsid w:val="00276AF3"/>
    <w:rsid w:val="00280DA0"/>
    <w:rsid w:val="00280DD8"/>
    <w:rsid w:val="00291070"/>
    <w:rsid w:val="00293087"/>
    <w:rsid w:val="00294399"/>
    <w:rsid w:val="00295E24"/>
    <w:rsid w:val="002A3F96"/>
    <w:rsid w:val="002A4124"/>
    <w:rsid w:val="002A6EFF"/>
    <w:rsid w:val="002A7D8E"/>
    <w:rsid w:val="002B206B"/>
    <w:rsid w:val="002B34F6"/>
    <w:rsid w:val="002B3D12"/>
    <w:rsid w:val="002C1008"/>
    <w:rsid w:val="002C163B"/>
    <w:rsid w:val="002C1BC9"/>
    <w:rsid w:val="002C5AF9"/>
    <w:rsid w:val="002D0D87"/>
    <w:rsid w:val="002D1271"/>
    <w:rsid w:val="002D359A"/>
    <w:rsid w:val="002D520A"/>
    <w:rsid w:val="002D7A6F"/>
    <w:rsid w:val="002F2044"/>
    <w:rsid w:val="002F5248"/>
    <w:rsid w:val="002F7E08"/>
    <w:rsid w:val="00302137"/>
    <w:rsid w:val="0030279E"/>
    <w:rsid w:val="003050A1"/>
    <w:rsid w:val="003154BA"/>
    <w:rsid w:val="003156C4"/>
    <w:rsid w:val="0031775D"/>
    <w:rsid w:val="003225FC"/>
    <w:rsid w:val="00322F73"/>
    <w:rsid w:val="00324BE4"/>
    <w:rsid w:val="0032507E"/>
    <w:rsid w:val="0033051A"/>
    <w:rsid w:val="00331586"/>
    <w:rsid w:val="003350BC"/>
    <w:rsid w:val="00336C93"/>
    <w:rsid w:val="0034201D"/>
    <w:rsid w:val="003438C3"/>
    <w:rsid w:val="003453EB"/>
    <w:rsid w:val="00345C69"/>
    <w:rsid w:val="0034795A"/>
    <w:rsid w:val="00347C52"/>
    <w:rsid w:val="00351D91"/>
    <w:rsid w:val="00354AC3"/>
    <w:rsid w:val="0036708B"/>
    <w:rsid w:val="0037164E"/>
    <w:rsid w:val="00376E1A"/>
    <w:rsid w:val="0038189E"/>
    <w:rsid w:val="00381BB0"/>
    <w:rsid w:val="00382110"/>
    <w:rsid w:val="003825CB"/>
    <w:rsid w:val="00391159"/>
    <w:rsid w:val="00391AC0"/>
    <w:rsid w:val="00391F64"/>
    <w:rsid w:val="00395D95"/>
    <w:rsid w:val="003962D0"/>
    <w:rsid w:val="003A4EBE"/>
    <w:rsid w:val="003B06E5"/>
    <w:rsid w:val="003B09F4"/>
    <w:rsid w:val="003B6D59"/>
    <w:rsid w:val="003C15B6"/>
    <w:rsid w:val="003D12DE"/>
    <w:rsid w:val="003D2A07"/>
    <w:rsid w:val="003D5F55"/>
    <w:rsid w:val="003D7E97"/>
    <w:rsid w:val="003E325F"/>
    <w:rsid w:val="003F156D"/>
    <w:rsid w:val="003F3B7C"/>
    <w:rsid w:val="003F5217"/>
    <w:rsid w:val="003F6A50"/>
    <w:rsid w:val="0040079B"/>
    <w:rsid w:val="004020FB"/>
    <w:rsid w:val="004057AF"/>
    <w:rsid w:val="00406F89"/>
    <w:rsid w:val="004112B7"/>
    <w:rsid w:val="00412808"/>
    <w:rsid w:val="004146A0"/>
    <w:rsid w:val="00414A13"/>
    <w:rsid w:val="00416AED"/>
    <w:rsid w:val="00417BD1"/>
    <w:rsid w:val="00420890"/>
    <w:rsid w:val="004208F3"/>
    <w:rsid w:val="0042205D"/>
    <w:rsid w:val="00423252"/>
    <w:rsid w:val="004253CF"/>
    <w:rsid w:val="00427469"/>
    <w:rsid w:val="00434043"/>
    <w:rsid w:val="00436850"/>
    <w:rsid w:val="00441106"/>
    <w:rsid w:val="004421DD"/>
    <w:rsid w:val="00442F4E"/>
    <w:rsid w:val="00444E84"/>
    <w:rsid w:val="00445E5C"/>
    <w:rsid w:val="0045356A"/>
    <w:rsid w:val="0046088E"/>
    <w:rsid w:val="004709B9"/>
    <w:rsid w:val="00474393"/>
    <w:rsid w:val="0048180E"/>
    <w:rsid w:val="00481AAB"/>
    <w:rsid w:val="004844E0"/>
    <w:rsid w:val="00490005"/>
    <w:rsid w:val="0049002A"/>
    <w:rsid w:val="00495E33"/>
    <w:rsid w:val="004A272C"/>
    <w:rsid w:val="004A2B09"/>
    <w:rsid w:val="004A508C"/>
    <w:rsid w:val="004A5406"/>
    <w:rsid w:val="004B02C0"/>
    <w:rsid w:val="004B06A9"/>
    <w:rsid w:val="004B123A"/>
    <w:rsid w:val="004B27BB"/>
    <w:rsid w:val="004B2FC6"/>
    <w:rsid w:val="004B4AB3"/>
    <w:rsid w:val="004B557B"/>
    <w:rsid w:val="004B6CA3"/>
    <w:rsid w:val="004C13F2"/>
    <w:rsid w:val="004C4B17"/>
    <w:rsid w:val="004C5D6C"/>
    <w:rsid w:val="004C6A85"/>
    <w:rsid w:val="004D3D9A"/>
    <w:rsid w:val="004D5F85"/>
    <w:rsid w:val="004E274F"/>
    <w:rsid w:val="004F301E"/>
    <w:rsid w:val="00501F01"/>
    <w:rsid w:val="005031AF"/>
    <w:rsid w:val="005050AD"/>
    <w:rsid w:val="00506AA7"/>
    <w:rsid w:val="00507D53"/>
    <w:rsid w:val="0051696E"/>
    <w:rsid w:val="005243DC"/>
    <w:rsid w:val="0052602B"/>
    <w:rsid w:val="005260F2"/>
    <w:rsid w:val="00526217"/>
    <w:rsid w:val="00536072"/>
    <w:rsid w:val="005378EB"/>
    <w:rsid w:val="005403FF"/>
    <w:rsid w:val="00541465"/>
    <w:rsid w:val="00543C05"/>
    <w:rsid w:val="00545353"/>
    <w:rsid w:val="00547A13"/>
    <w:rsid w:val="00551ACD"/>
    <w:rsid w:val="00552C96"/>
    <w:rsid w:val="00556D0E"/>
    <w:rsid w:val="0055752B"/>
    <w:rsid w:val="00561F08"/>
    <w:rsid w:val="00562303"/>
    <w:rsid w:val="0056411A"/>
    <w:rsid w:val="005678FD"/>
    <w:rsid w:val="00567EB3"/>
    <w:rsid w:val="005717C1"/>
    <w:rsid w:val="0057332C"/>
    <w:rsid w:val="00576E3B"/>
    <w:rsid w:val="00577140"/>
    <w:rsid w:val="00580D14"/>
    <w:rsid w:val="00581369"/>
    <w:rsid w:val="00581B2D"/>
    <w:rsid w:val="0058204C"/>
    <w:rsid w:val="00584339"/>
    <w:rsid w:val="005933C6"/>
    <w:rsid w:val="00594885"/>
    <w:rsid w:val="0059508F"/>
    <w:rsid w:val="00595B3C"/>
    <w:rsid w:val="005A01B1"/>
    <w:rsid w:val="005A0748"/>
    <w:rsid w:val="005A0A57"/>
    <w:rsid w:val="005A294D"/>
    <w:rsid w:val="005A3E7D"/>
    <w:rsid w:val="005B0C17"/>
    <w:rsid w:val="005B3D1C"/>
    <w:rsid w:val="005B4E63"/>
    <w:rsid w:val="005C06D5"/>
    <w:rsid w:val="005D0888"/>
    <w:rsid w:val="005D08F3"/>
    <w:rsid w:val="005D0FD0"/>
    <w:rsid w:val="005D23AF"/>
    <w:rsid w:val="005D2EEE"/>
    <w:rsid w:val="005D37B8"/>
    <w:rsid w:val="005D62B9"/>
    <w:rsid w:val="005E0D52"/>
    <w:rsid w:val="005E5A5E"/>
    <w:rsid w:val="005E75EE"/>
    <w:rsid w:val="005F441A"/>
    <w:rsid w:val="005F74AF"/>
    <w:rsid w:val="0060220E"/>
    <w:rsid w:val="006036C4"/>
    <w:rsid w:val="00610A84"/>
    <w:rsid w:val="00611A2D"/>
    <w:rsid w:val="00614E86"/>
    <w:rsid w:val="00617EAE"/>
    <w:rsid w:val="006217AA"/>
    <w:rsid w:val="00622F16"/>
    <w:rsid w:val="00632DBA"/>
    <w:rsid w:val="00633E31"/>
    <w:rsid w:val="00634931"/>
    <w:rsid w:val="00634CFC"/>
    <w:rsid w:val="00636366"/>
    <w:rsid w:val="00636582"/>
    <w:rsid w:val="00652023"/>
    <w:rsid w:val="00654AC8"/>
    <w:rsid w:val="00663E77"/>
    <w:rsid w:val="006641A5"/>
    <w:rsid w:val="00675456"/>
    <w:rsid w:val="00680FDB"/>
    <w:rsid w:val="006852CD"/>
    <w:rsid w:val="00690C56"/>
    <w:rsid w:val="00693D6A"/>
    <w:rsid w:val="00695B8A"/>
    <w:rsid w:val="00695DBE"/>
    <w:rsid w:val="006972C0"/>
    <w:rsid w:val="006A2191"/>
    <w:rsid w:val="006A5429"/>
    <w:rsid w:val="006A56C0"/>
    <w:rsid w:val="006B0B8D"/>
    <w:rsid w:val="006B1F70"/>
    <w:rsid w:val="006B2412"/>
    <w:rsid w:val="006B3773"/>
    <w:rsid w:val="006B4FA0"/>
    <w:rsid w:val="006B6449"/>
    <w:rsid w:val="006B6A7A"/>
    <w:rsid w:val="006B7E35"/>
    <w:rsid w:val="006C03A4"/>
    <w:rsid w:val="006C2091"/>
    <w:rsid w:val="006D0D1B"/>
    <w:rsid w:val="006D634F"/>
    <w:rsid w:val="006E5958"/>
    <w:rsid w:val="006F09C5"/>
    <w:rsid w:val="006F1E06"/>
    <w:rsid w:val="006F69F3"/>
    <w:rsid w:val="00700BF4"/>
    <w:rsid w:val="00700C99"/>
    <w:rsid w:val="0070101D"/>
    <w:rsid w:val="007023B6"/>
    <w:rsid w:val="007052C8"/>
    <w:rsid w:val="00713DA8"/>
    <w:rsid w:val="0071768B"/>
    <w:rsid w:val="00717E83"/>
    <w:rsid w:val="00720AD0"/>
    <w:rsid w:val="007222D9"/>
    <w:rsid w:val="00722D93"/>
    <w:rsid w:val="00723909"/>
    <w:rsid w:val="00724320"/>
    <w:rsid w:val="007246CA"/>
    <w:rsid w:val="00726053"/>
    <w:rsid w:val="00733084"/>
    <w:rsid w:val="00741E60"/>
    <w:rsid w:val="00746142"/>
    <w:rsid w:val="00747C40"/>
    <w:rsid w:val="00747D62"/>
    <w:rsid w:val="0075467D"/>
    <w:rsid w:val="00754CFB"/>
    <w:rsid w:val="00754D27"/>
    <w:rsid w:val="0075591B"/>
    <w:rsid w:val="007612D8"/>
    <w:rsid w:val="007621AE"/>
    <w:rsid w:val="00764DAC"/>
    <w:rsid w:val="00766F6D"/>
    <w:rsid w:val="00770D43"/>
    <w:rsid w:val="00776DD4"/>
    <w:rsid w:val="00782839"/>
    <w:rsid w:val="00784DC9"/>
    <w:rsid w:val="007877EF"/>
    <w:rsid w:val="0079001A"/>
    <w:rsid w:val="007900E6"/>
    <w:rsid w:val="0079181D"/>
    <w:rsid w:val="00792DDF"/>
    <w:rsid w:val="007938D3"/>
    <w:rsid w:val="00794A22"/>
    <w:rsid w:val="007A4BB2"/>
    <w:rsid w:val="007A6E59"/>
    <w:rsid w:val="007B0FD4"/>
    <w:rsid w:val="007B6FE3"/>
    <w:rsid w:val="007B7BA4"/>
    <w:rsid w:val="007C74C4"/>
    <w:rsid w:val="007D00BD"/>
    <w:rsid w:val="007D17D0"/>
    <w:rsid w:val="007D27D6"/>
    <w:rsid w:val="007D3ADC"/>
    <w:rsid w:val="007D7513"/>
    <w:rsid w:val="007E4C02"/>
    <w:rsid w:val="007E4FC3"/>
    <w:rsid w:val="007E6B93"/>
    <w:rsid w:val="007F00D1"/>
    <w:rsid w:val="007F24E6"/>
    <w:rsid w:val="007F5359"/>
    <w:rsid w:val="008048F4"/>
    <w:rsid w:val="008056DB"/>
    <w:rsid w:val="0081048D"/>
    <w:rsid w:val="00811242"/>
    <w:rsid w:val="008150F9"/>
    <w:rsid w:val="00815CCF"/>
    <w:rsid w:val="00815DB1"/>
    <w:rsid w:val="0082246D"/>
    <w:rsid w:val="00822B1B"/>
    <w:rsid w:val="00823655"/>
    <w:rsid w:val="0082622B"/>
    <w:rsid w:val="008278EA"/>
    <w:rsid w:val="008307D2"/>
    <w:rsid w:val="00834091"/>
    <w:rsid w:val="00834DA6"/>
    <w:rsid w:val="0083564E"/>
    <w:rsid w:val="00836AFB"/>
    <w:rsid w:val="00837262"/>
    <w:rsid w:val="00842249"/>
    <w:rsid w:val="00842476"/>
    <w:rsid w:val="0084262A"/>
    <w:rsid w:val="0084710F"/>
    <w:rsid w:val="008476AC"/>
    <w:rsid w:val="008510BA"/>
    <w:rsid w:val="00855F57"/>
    <w:rsid w:val="00861BEA"/>
    <w:rsid w:val="00861CCF"/>
    <w:rsid w:val="00867038"/>
    <w:rsid w:val="0088160B"/>
    <w:rsid w:val="00886CBB"/>
    <w:rsid w:val="008874C2"/>
    <w:rsid w:val="00887A71"/>
    <w:rsid w:val="00892152"/>
    <w:rsid w:val="008A3A44"/>
    <w:rsid w:val="008A5DB7"/>
    <w:rsid w:val="008B0A24"/>
    <w:rsid w:val="008B0C65"/>
    <w:rsid w:val="008B3EAA"/>
    <w:rsid w:val="008B673F"/>
    <w:rsid w:val="008C08C4"/>
    <w:rsid w:val="008C177C"/>
    <w:rsid w:val="008D162D"/>
    <w:rsid w:val="008D3A2B"/>
    <w:rsid w:val="008E1175"/>
    <w:rsid w:val="008E5FFA"/>
    <w:rsid w:val="008F09F4"/>
    <w:rsid w:val="008F0BC6"/>
    <w:rsid w:val="008F2207"/>
    <w:rsid w:val="008F3AD3"/>
    <w:rsid w:val="008F4CC7"/>
    <w:rsid w:val="008F6023"/>
    <w:rsid w:val="00900E63"/>
    <w:rsid w:val="0090182F"/>
    <w:rsid w:val="00903255"/>
    <w:rsid w:val="0090673B"/>
    <w:rsid w:val="0090683C"/>
    <w:rsid w:val="00910D89"/>
    <w:rsid w:val="00913EA7"/>
    <w:rsid w:val="00917EE0"/>
    <w:rsid w:val="0092287A"/>
    <w:rsid w:val="00933725"/>
    <w:rsid w:val="00934762"/>
    <w:rsid w:val="0093671E"/>
    <w:rsid w:val="00937048"/>
    <w:rsid w:val="00937088"/>
    <w:rsid w:val="00941698"/>
    <w:rsid w:val="00946F92"/>
    <w:rsid w:val="00947DA9"/>
    <w:rsid w:val="00955F28"/>
    <w:rsid w:val="009560DC"/>
    <w:rsid w:val="00957CD0"/>
    <w:rsid w:val="00962386"/>
    <w:rsid w:val="009634FF"/>
    <w:rsid w:val="00964D3F"/>
    <w:rsid w:val="00965768"/>
    <w:rsid w:val="00965800"/>
    <w:rsid w:val="00971370"/>
    <w:rsid w:val="00975AAF"/>
    <w:rsid w:val="0098038E"/>
    <w:rsid w:val="009823B5"/>
    <w:rsid w:val="0098477A"/>
    <w:rsid w:val="00987F7B"/>
    <w:rsid w:val="00987F85"/>
    <w:rsid w:val="009954DC"/>
    <w:rsid w:val="00996078"/>
    <w:rsid w:val="009961B7"/>
    <w:rsid w:val="009A4E6F"/>
    <w:rsid w:val="009B0862"/>
    <w:rsid w:val="009B4731"/>
    <w:rsid w:val="009B59B6"/>
    <w:rsid w:val="009B5E86"/>
    <w:rsid w:val="009C26B0"/>
    <w:rsid w:val="009C55A4"/>
    <w:rsid w:val="009C560E"/>
    <w:rsid w:val="009D14D5"/>
    <w:rsid w:val="009D44F7"/>
    <w:rsid w:val="009D4A6A"/>
    <w:rsid w:val="009E1A7C"/>
    <w:rsid w:val="009E1DEE"/>
    <w:rsid w:val="009E22AF"/>
    <w:rsid w:val="009E3A28"/>
    <w:rsid w:val="009F63A7"/>
    <w:rsid w:val="009F6DAC"/>
    <w:rsid w:val="00A2089E"/>
    <w:rsid w:val="00A218A9"/>
    <w:rsid w:val="00A27DA8"/>
    <w:rsid w:val="00A35C4F"/>
    <w:rsid w:val="00A3600F"/>
    <w:rsid w:val="00A36E23"/>
    <w:rsid w:val="00A37DF5"/>
    <w:rsid w:val="00A42A1B"/>
    <w:rsid w:val="00A43468"/>
    <w:rsid w:val="00A461BA"/>
    <w:rsid w:val="00A469D0"/>
    <w:rsid w:val="00A46D6A"/>
    <w:rsid w:val="00A474F1"/>
    <w:rsid w:val="00A62DAB"/>
    <w:rsid w:val="00A6444F"/>
    <w:rsid w:val="00A65A82"/>
    <w:rsid w:val="00A73C33"/>
    <w:rsid w:val="00A90A98"/>
    <w:rsid w:val="00A90BB0"/>
    <w:rsid w:val="00A90E8A"/>
    <w:rsid w:val="00A948CE"/>
    <w:rsid w:val="00A94D3D"/>
    <w:rsid w:val="00A95CB5"/>
    <w:rsid w:val="00A97F11"/>
    <w:rsid w:val="00AA3945"/>
    <w:rsid w:val="00AB2AA1"/>
    <w:rsid w:val="00AC266C"/>
    <w:rsid w:val="00AC3B8E"/>
    <w:rsid w:val="00AD0947"/>
    <w:rsid w:val="00AD1AA9"/>
    <w:rsid w:val="00AD5C72"/>
    <w:rsid w:val="00AD7573"/>
    <w:rsid w:val="00AE6E64"/>
    <w:rsid w:val="00AF0586"/>
    <w:rsid w:val="00AF3AE3"/>
    <w:rsid w:val="00B023A8"/>
    <w:rsid w:val="00B02696"/>
    <w:rsid w:val="00B12007"/>
    <w:rsid w:val="00B12388"/>
    <w:rsid w:val="00B13726"/>
    <w:rsid w:val="00B14314"/>
    <w:rsid w:val="00B153CF"/>
    <w:rsid w:val="00B1692A"/>
    <w:rsid w:val="00B22924"/>
    <w:rsid w:val="00B244B3"/>
    <w:rsid w:val="00B25EB5"/>
    <w:rsid w:val="00B314BE"/>
    <w:rsid w:val="00B332B5"/>
    <w:rsid w:val="00B33FB2"/>
    <w:rsid w:val="00B349F1"/>
    <w:rsid w:val="00B43D22"/>
    <w:rsid w:val="00B45AFF"/>
    <w:rsid w:val="00B54EB0"/>
    <w:rsid w:val="00B56884"/>
    <w:rsid w:val="00B57EFA"/>
    <w:rsid w:val="00B60B9C"/>
    <w:rsid w:val="00B64BCD"/>
    <w:rsid w:val="00B675C8"/>
    <w:rsid w:val="00B70196"/>
    <w:rsid w:val="00B70B18"/>
    <w:rsid w:val="00B73B66"/>
    <w:rsid w:val="00B74425"/>
    <w:rsid w:val="00B8070B"/>
    <w:rsid w:val="00B80A3E"/>
    <w:rsid w:val="00B81A05"/>
    <w:rsid w:val="00B865DA"/>
    <w:rsid w:val="00B93A26"/>
    <w:rsid w:val="00BA2F41"/>
    <w:rsid w:val="00BA6325"/>
    <w:rsid w:val="00BA70AC"/>
    <w:rsid w:val="00BA7699"/>
    <w:rsid w:val="00BB3B73"/>
    <w:rsid w:val="00BB408D"/>
    <w:rsid w:val="00BB5E7F"/>
    <w:rsid w:val="00BB63EC"/>
    <w:rsid w:val="00BB7AE9"/>
    <w:rsid w:val="00BC0FF5"/>
    <w:rsid w:val="00BC17F4"/>
    <w:rsid w:val="00BC2A4F"/>
    <w:rsid w:val="00BC55CF"/>
    <w:rsid w:val="00BC7241"/>
    <w:rsid w:val="00BD3818"/>
    <w:rsid w:val="00BD5277"/>
    <w:rsid w:val="00BD779B"/>
    <w:rsid w:val="00BE0720"/>
    <w:rsid w:val="00BE0F1E"/>
    <w:rsid w:val="00BE1C2A"/>
    <w:rsid w:val="00BE22CF"/>
    <w:rsid w:val="00BE4C23"/>
    <w:rsid w:val="00BE5C67"/>
    <w:rsid w:val="00BF1E48"/>
    <w:rsid w:val="00BF4318"/>
    <w:rsid w:val="00BF5E73"/>
    <w:rsid w:val="00C02C9F"/>
    <w:rsid w:val="00C106F0"/>
    <w:rsid w:val="00C20790"/>
    <w:rsid w:val="00C20D2C"/>
    <w:rsid w:val="00C231E0"/>
    <w:rsid w:val="00C23AB4"/>
    <w:rsid w:val="00C26702"/>
    <w:rsid w:val="00C36D96"/>
    <w:rsid w:val="00C42E80"/>
    <w:rsid w:val="00C42FBA"/>
    <w:rsid w:val="00C51976"/>
    <w:rsid w:val="00C5238B"/>
    <w:rsid w:val="00C535BB"/>
    <w:rsid w:val="00C53BFE"/>
    <w:rsid w:val="00C55486"/>
    <w:rsid w:val="00C56B7C"/>
    <w:rsid w:val="00C704B4"/>
    <w:rsid w:val="00C7459A"/>
    <w:rsid w:val="00C77C8C"/>
    <w:rsid w:val="00C8304D"/>
    <w:rsid w:val="00C91664"/>
    <w:rsid w:val="00C95D34"/>
    <w:rsid w:val="00CA00A8"/>
    <w:rsid w:val="00CA637D"/>
    <w:rsid w:val="00CB0E1C"/>
    <w:rsid w:val="00CC15A7"/>
    <w:rsid w:val="00CC19EB"/>
    <w:rsid w:val="00CC1A42"/>
    <w:rsid w:val="00CC50EC"/>
    <w:rsid w:val="00CC5D63"/>
    <w:rsid w:val="00CD0F1B"/>
    <w:rsid w:val="00CD7F3E"/>
    <w:rsid w:val="00CE5B4A"/>
    <w:rsid w:val="00CF4530"/>
    <w:rsid w:val="00D05A88"/>
    <w:rsid w:val="00D05BB1"/>
    <w:rsid w:val="00D0627D"/>
    <w:rsid w:val="00D0707D"/>
    <w:rsid w:val="00D11A3A"/>
    <w:rsid w:val="00D13142"/>
    <w:rsid w:val="00D15442"/>
    <w:rsid w:val="00D170A1"/>
    <w:rsid w:val="00D21BA5"/>
    <w:rsid w:val="00D30985"/>
    <w:rsid w:val="00D30F13"/>
    <w:rsid w:val="00D320B9"/>
    <w:rsid w:val="00D32BBD"/>
    <w:rsid w:val="00D37E55"/>
    <w:rsid w:val="00D44E7A"/>
    <w:rsid w:val="00D45FC9"/>
    <w:rsid w:val="00D501EB"/>
    <w:rsid w:val="00D50600"/>
    <w:rsid w:val="00D51FAF"/>
    <w:rsid w:val="00D53392"/>
    <w:rsid w:val="00D54B43"/>
    <w:rsid w:val="00D6082A"/>
    <w:rsid w:val="00D629A1"/>
    <w:rsid w:val="00D63475"/>
    <w:rsid w:val="00D67F7F"/>
    <w:rsid w:val="00D707E3"/>
    <w:rsid w:val="00D7403F"/>
    <w:rsid w:val="00D822FB"/>
    <w:rsid w:val="00D84D74"/>
    <w:rsid w:val="00D90AA4"/>
    <w:rsid w:val="00D9448E"/>
    <w:rsid w:val="00DA16C3"/>
    <w:rsid w:val="00DA2FD2"/>
    <w:rsid w:val="00DA51E6"/>
    <w:rsid w:val="00DA569A"/>
    <w:rsid w:val="00DA70E8"/>
    <w:rsid w:val="00DA76F6"/>
    <w:rsid w:val="00DB4297"/>
    <w:rsid w:val="00DB4C45"/>
    <w:rsid w:val="00DB6023"/>
    <w:rsid w:val="00DC00A3"/>
    <w:rsid w:val="00DC0148"/>
    <w:rsid w:val="00DC3EC1"/>
    <w:rsid w:val="00DC4A39"/>
    <w:rsid w:val="00DD35CD"/>
    <w:rsid w:val="00DD7E8E"/>
    <w:rsid w:val="00DE254E"/>
    <w:rsid w:val="00DE6F8F"/>
    <w:rsid w:val="00DF6EF5"/>
    <w:rsid w:val="00E0642F"/>
    <w:rsid w:val="00E06F98"/>
    <w:rsid w:val="00E1079C"/>
    <w:rsid w:val="00E10D08"/>
    <w:rsid w:val="00E10D97"/>
    <w:rsid w:val="00E15253"/>
    <w:rsid w:val="00E1594B"/>
    <w:rsid w:val="00E15B83"/>
    <w:rsid w:val="00E325F9"/>
    <w:rsid w:val="00E33B43"/>
    <w:rsid w:val="00E35A5B"/>
    <w:rsid w:val="00E55A59"/>
    <w:rsid w:val="00E80C21"/>
    <w:rsid w:val="00E81000"/>
    <w:rsid w:val="00E82ECC"/>
    <w:rsid w:val="00E83C04"/>
    <w:rsid w:val="00E86BCD"/>
    <w:rsid w:val="00E90929"/>
    <w:rsid w:val="00E92EFE"/>
    <w:rsid w:val="00E93DAE"/>
    <w:rsid w:val="00E9444B"/>
    <w:rsid w:val="00EA0A73"/>
    <w:rsid w:val="00EA7B49"/>
    <w:rsid w:val="00EB6D26"/>
    <w:rsid w:val="00EB7B9E"/>
    <w:rsid w:val="00EC03E3"/>
    <w:rsid w:val="00EC14AD"/>
    <w:rsid w:val="00EC5B9A"/>
    <w:rsid w:val="00EC7248"/>
    <w:rsid w:val="00ED141A"/>
    <w:rsid w:val="00ED1E0D"/>
    <w:rsid w:val="00ED2675"/>
    <w:rsid w:val="00ED2E86"/>
    <w:rsid w:val="00EE0DD1"/>
    <w:rsid w:val="00EE349C"/>
    <w:rsid w:val="00EE4287"/>
    <w:rsid w:val="00EF1B13"/>
    <w:rsid w:val="00F06689"/>
    <w:rsid w:val="00F074FC"/>
    <w:rsid w:val="00F12853"/>
    <w:rsid w:val="00F133B1"/>
    <w:rsid w:val="00F16265"/>
    <w:rsid w:val="00F165D1"/>
    <w:rsid w:val="00F21D78"/>
    <w:rsid w:val="00F242D0"/>
    <w:rsid w:val="00F267BC"/>
    <w:rsid w:val="00F270D4"/>
    <w:rsid w:val="00F32415"/>
    <w:rsid w:val="00F33702"/>
    <w:rsid w:val="00F35F84"/>
    <w:rsid w:val="00F371C0"/>
    <w:rsid w:val="00F5193B"/>
    <w:rsid w:val="00F55388"/>
    <w:rsid w:val="00F55F98"/>
    <w:rsid w:val="00F5727C"/>
    <w:rsid w:val="00F60781"/>
    <w:rsid w:val="00F613C4"/>
    <w:rsid w:val="00F630F1"/>
    <w:rsid w:val="00F665CA"/>
    <w:rsid w:val="00F71086"/>
    <w:rsid w:val="00F76B76"/>
    <w:rsid w:val="00F82802"/>
    <w:rsid w:val="00F82F37"/>
    <w:rsid w:val="00F83867"/>
    <w:rsid w:val="00F91C7B"/>
    <w:rsid w:val="00F933FF"/>
    <w:rsid w:val="00FA49F9"/>
    <w:rsid w:val="00FA4CE8"/>
    <w:rsid w:val="00FA589B"/>
    <w:rsid w:val="00FA6EAA"/>
    <w:rsid w:val="00FA755B"/>
    <w:rsid w:val="00FA7B83"/>
    <w:rsid w:val="00FB08AE"/>
    <w:rsid w:val="00FB2555"/>
    <w:rsid w:val="00FB5C00"/>
    <w:rsid w:val="00FC274D"/>
    <w:rsid w:val="00FD465E"/>
    <w:rsid w:val="00FD66A4"/>
    <w:rsid w:val="00FD7D3F"/>
    <w:rsid w:val="00FE20BE"/>
    <w:rsid w:val="00FE340B"/>
    <w:rsid w:val="00FE3DA1"/>
    <w:rsid w:val="00FE68E9"/>
    <w:rsid w:val="00FF0E87"/>
    <w:rsid w:val="00FF54DD"/>
    <w:rsid w:val="00FF5C7C"/>
    <w:rsid w:val="00FF7244"/>
    <w:rsid w:val="00FF74FA"/>
    <w:rsid w:val="01215C21"/>
    <w:rsid w:val="013A575E"/>
    <w:rsid w:val="0162119C"/>
    <w:rsid w:val="01813696"/>
    <w:rsid w:val="01A069BC"/>
    <w:rsid w:val="01A36CB6"/>
    <w:rsid w:val="01BD62DD"/>
    <w:rsid w:val="01C604AF"/>
    <w:rsid w:val="01CC57D6"/>
    <w:rsid w:val="01E32343"/>
    <w:rsid w:val="01E84620"/>
    <w:rsid w:val="01F5452D"/>
    <w:rsid w:val="01F5735F"/>
    <w:rsid w:val="024617F2"/>
    <w:rsid w:val="025630CF"/>
    <w:rsid w:val="027B1053"/>
    <w:rsid w:val="028B52A4"/>
    <w:rsid w:val="02A1004D"/>
    <w:rsid w:val="02A12F14"/>
    <w:rsid w:val="02AC6D47"/>
    <w:rsid w:val="02BB4F8D"/>
    <w:rsid w:val="02D74490"/>
    <w:rsid w:val="02EA4873"/>
    <w:rsid w:val="02EB1F0B"/>
    <w:rsid w:val="03032288"/>
    <w:rsid w:val="031E3C9F"/>
    <w:rsid w:val="032014B6"/>
    <w:rsid w:val="038E2093"/>
    <w:rsid w:val="03A11D07"/>
    <w:rsid w:val="03C42105"/>
    <w:rsid w:val="03EB11DD"/>
    <w:rsid w:val="0401090C"/>
    <w:rsid w:val="04281E21"/>
    <w:rsid w:val="043953C0"/>
    <w:rsid w:val="044C266D"/>
    <w:rsid w:val="044F479B"/>
    <w:rsid w:val="04706EC1"/>
    <w:rsid w:val="048D2975"/>
    <w:rsid w:val="04975D30"/>
    <w:rsid w:val="049E36DF"/>
    <w:rsid w:val="04B144CD"/>
    <w:rsid w:val="04C2673B"/>
    <w:rsid w:val="04D70FBC"/>
    <w:rsid w:val="050956B1"/>
    <w:rsid w:val="05134F18"/>
    <w:rsid w:val="05560984"/>
    <w:rsid w:val="05573D16"/>
    <w:rsid w:val="057D3253"/>
    <w:rsid w:val="05A11814"/>
    <w:rsid w:val="05E20773"/>
    <w:rsid w:val="05E45FDA"/>
    <w:rsid w:val="05FD3AFB"/>
    <w:rsid w:val="06020126"/>
    <w:rsid w:val="061849F2"/>
    <w:rsid w:val="06220228"/>
    <w:rsid w:val="06226326"/>
    <w:rsid w:val="062D5ACF"/>
    <w:rsid w:val="063F7A6A"/>
    <w:rsid w:val="065739A5"/>
    <w:rsid w:val="06573A8D"/>
    <w:rsid w:val="06600BC8"/>
    <w:rsid w:val="06733D9B"/>
    <w:rsid w:val="067B3A34"/>
    <w:rsid w:val="068134F9"/>
    <w:rsid w:val="06856661"/>
    <w:rsid w:val="06BE3760"/>
    <w:rsid w:val="06CE0C43"/>
    <w:rsid w:val="06E23217"/>
    <w:rsid w:val="0715219C"/>
    <w:rsid w:val="07183C7A"/>
    <w:rsid w:val="07294C98"/>
    <w:rsid w:val="07364EBA"/>
    <w:rsid w:val="07383FB2"/>
    <w:rsid w:val="07384398"/>
    <w:rsid w:val="078D4C37"/>
    <w:rsid w:val="0797664C"/>
    <w:rsid w:val="079A0B69"/>
    <w:rsid w:val="07AE721E"/>
    <w:rsid w:val="07B114B1"/>
    <w:rsid w:val="07E13789"/>
    <w:rsid w:val="07EF0236"/>
    <w:rsid w:val="07F43A9E"/>
    <w:rsid w:val="07F7358F"/>
    <w:rsid w:val="07F847F4"/>
    <w:rsid w:val="081952B3"/>
    <w:rsid w:val="082B536B"/>
    <w:rsid w:val="083E5109"/>
    <w:rsid w:val="0840641B"/>
    <w:rsid w:val="08467F67"/>
    <w:rsid w:val="08910E29"/>
    <w:rsid w:val="08A137EC"/>
    <w:rsid w:val="08AB172A"/>
    <w:rsid w:val="08FC70AE"/>
    <w:rsid w:val="091E5277"/>
    <w:rsid w:val="093525C0"/>
    <w:rsid w:val="093F28F7"/>
    <w:rsid w:val="094635A4"/>
    <w:rsid w:val="0949703C"/>
    <w:rsid w:val="09881080"/>
    <w:rsid w:val="099401EF"/>
    <w:rsid w:val="09B52371"/>
    <w:rsid w:val="09C532F5"/>
    <w:rsid w:val="09FC3424"/>
    <w:rsid w:val="0A17704C"/>
    <w:rsid w:val="0A1C1ED6"/>
    <w:rsid w:val="0A5B7E05"/>
    <w:rsid w:val="0A5D6CB1"/>
    <w:rsid w:val="0A8A2498"/>
    <w:rsid w:val="0AA93CB9"/>
    <w:rsid w:val="0AAA248C"/>
    <w:rsid w:val="0AB176BD"/>
    <w:rsid w:val="0ADE74E9"/>
    <w:rsid w:val="0B1C2B07"/>
    <w:rsid w:val="0B3B6B1E"/>
    <w:rsid w:val="0B4D54FF"/>
    <w:rsid w:val="0B6251C3"/>
    <w:rsid w:val="0B6B1F82"/>
    <w:rsid w:val="0B76185C"/>
    <w:rsid w:val="0B844831"/>
    <w:rsid w:val="0BA027A0"/>
    <w:rsid w:val="0BD43C42"/>
    <w:rsid w:val="0BDE26E9"/>
    <w:rsid w:val="0C074729"/>
    <w:rsid w:val="0C234952"/>
    <w:rsid w:val="0C481107"/>
    <w:rsid w:val="0C7E51DC"/>
    <w:rsid w:val="0C875A43"/>
    <w:rsid w:val="0C9D2956"/>
    <w:rsid w:val="0CEA48BA"/>
    <w:rsid w:val="0D1424ED"/>
    <w:rsid w:val="0D165377"/>
    <w:rsid w:val="0D165887"/>
    <w:rsid w:val="0D1A71C4"/>
    <w:rsid w:val="0D482514"/>
    <w:rsid w:val="0D532E09"/>
    <w:rsid w:val="0D626A46"/>
    <w:rsid w:val="0D7073D4"/>
    <w:rsid w:val="0D823F05"/>
    <w:rsid w:val="0D974265"/>
    <w:rsid w:val="0D9F74A7"/>
    <w:rsid w:val="0DA16476"/>
    <w:rsid w:val="0DAA6B33"/>
    <w:rsid w:val="0DB12191"/>
    <w:rsid w:val="0DB93E84"/>
    <w:rsid w:val="0DFA1A3D"/>
    <w:rsid w:val="0E07438A"/>
    <w:rsid w:val="0E606787"/>
    <w:rsid w:val="0E61157B"/>
    <w:rsid w:val="0E664B94"/>
    <w:rsid w:val="0E686681"/>
    <w:rsid w:val="0E7119B4"/>
    <w:rsid w:val="0E7666B1"/>
    <w:rsid w:val="0E7726A1"/>
    <w:rsid w:val="0E8731EE"/>
    <w:rsid w:val="0E875E5F"/>
    <w:rsid w:val="0E8B6EB9"/>
    <w:rsid w:val="0E8F5D32"/>
    <w:rsid w:val="0E961C21"/>
    <w:rsid w:val="0EA36CCB"/>
    <w:rsid w:val="0ECF398B"/>
    <w:rsid w:val="0EDA79FF"/>
    <w:rsid w:val="0EE20AF5"/>
    <w:rsid w:val="0F10732D"/>
    <w:rsid w:val="0F177BB5"/>
    <w:rsid w:val="0F1B6AA9"/>
    <w:rsid w:val="0F2A5FF8"/>
    <w:rsid w:val="0F345B39"/>
    <w:rsid w:val="0F3C1CFE"/>
    <w:rsid w:val="0F3C5F34"/>
    <w:rsid w:val="0F4C09D3"/>
    <w:rsid w:val="0F5762D8"/>
    <w:rsid w:val="0F5958A6"/>
    <w:rsid w:val="0F864CB6"/>
    <w:rsid w:val="0F8C1794"/>
    <w:rsid w:val="0F9314C9"/>
    <w:rsid w:val="10014F43"/>
    <w:rsid w:val="10134FF0"/>
    <w:rsid w:val="102E0797"/>
    <w:rsid w:val="103E0F42"/>
    <w:rsid w:val="105270E1"/>
    <w:rsid w:val="1062590B"/>
    <w:rsid w:val="108D5050"/>
    <w:rsid w:val="109C4AD8"/>
    <w:rsid w:val="10A9765A"/>
    <w:rsid w:val="10AF153E"/>
    <w:rsid w:val="10C036D9"/>
    <w:rsid w:val="10C155CF"/>
    <w:rsid w:val="10D06EB9"/>
    <w:rsid w:val="10EB41F5"/>
    <w:rsid w:val="11577442"/>
    <w:rsid w:val="116C43F6"/>
    <w:rsid w:val="11787405"/>
    <w:rsid w:val="119229CC"/>
    <w:rsid w:val="11AF3E96"/>
    <w:rsid w:val="11B40FCE"/>
    <w:rsid w:val="11D4764A"/>
    <w:rsid w:val="11DD50EE"/>
    <w:rsid w:val="11E42DD6"/>
    <w:rsid w:val="120650B6"/>
    <w:rsid w:val="12174F59"/>
    <w:rsid w:val="12371157"/>
    <w:rsid w:val="12490E8B"/>
    <w:rsid w:val="12977BDD"/>
    <w:rsid w:val="12B908D7"/>
    <w:rsid w:val="12C57249"/>
    <w:rsid w:val="12C827E6"/>
    <w:rsid w:val="12CF0A72"/>
    <w:rsid w:val="12DE5B33"/>
    <w:rsid w:val="12ED4F78"/>
    <w:rsid w:val="13033FEE"/>
    <w:rsid w:val="130866EA"/>
    <w:rsid w:val="130D7AEF"/>
    <w:rsid w:val="13313DF9"/>
    <w:rsid w:val="13433DBD"/>
    <w:rsid w:val="1358723D"/>
    <w:rsid w:val="1381324F"/>
    <w:rsid w:val="1399374C"/>
    <w:rsid w:val="139D57F1"/>
    <w:rsid w:val="13C05D95"/>
    <w:rsid w:val="13F37300"/>
    <w:rsid w:val="141A5B7E"/>
    <w:rsid w:val="14437D94"/>
    <w:rsid w:val="144F3596"/>
    <w:rsid w:val="145A78EA"/>
    <w:rsid w:val="14673058"/>
    <w:rsid w:val="146E5F0B"/>
    <w:rsid w:val="146F3F8E"/>
    <w:rsid w:val="14726990"/>
    <w:rsid w:val="14840DB5"/>
    <w:rsid w:val="14A2231C"/>
    <w:rsid w:val="14A454F4"/>
    <w:rsid w:val="14A6393D"/>
    <w:rsid w:val="14B654C1"/>
    <w:rsid w:val="151E3784"/>
    <w:rsid w:val="15444FF6"/>
    <w:rsid w:val="15813391"/>
    <w:rsid w:val="159E4555"/>
    <w:rsid w:val="15A22F2B"/>
    <w:rsid w:val="15A5274B"/>
    <w:rsid w:val="15B07880"/>
    <w:rsid w:val="15B265F1"/>
    <w:rsid w:val="15B44591"/>
    <w:rsid w:val="15C51D26"/>
    <w:rsid w:val="15DB7681"/>
    <w:rsid w:val="15F35395"/>
    <w:rsid w:val="16223693"/>
    <w:rsid w:val="1625350E"/>
    <w:rsid w:val="165F6975"/>
    <w:rsid w:val="169954CD"/>
    <w:rsid w:val="16D30690"/>
    <w:rsid w:val="16DF603A"/>
    <w:rsid w:val="16EA6EE7"/>
    <w:rsid w:val="16F71B39"/>
    <w:rsid w:val="16FA03FD"/>
    <w:rsid w:val="171A3F7B"/>
    <w:rsid w:val="172123D6"/>
    <w:rsid w:val="1727128A"/>
    <w:rsid w:val="17404AFA"/>
    <w:rsid w:val="17457DFD"/>
    <w:rsid w:val="17761332"/>
    <w:rsid w:val="17821F5B"/>
    <w:rsid w:val="17C43273"/>
    <w:rsid w:val="17E76655"/>
    <w:rsid w:val="180E64B6"/>
    <w:rsid w:val="1828421F"/>
    <w:rsid w:val="18380551"/>
    <w:rsid w:val="18403591"/>
    <w:rsid w:val="1852401D"/>
    <w:rsid w:val="18582787"/>
    <w:rsid w:val="18617814"/>
    <w:rsid w:val="18801A96"/>
    <w:rsid w:val="18826D7F"/>
    <w:rsid w:val="18916CEA"/>
    <w:rsid w:val="18AE1046"/>
    <w:rsid w:val="18AE7C99"/>
    <w:rsid w:val="18E715CE"/>
    <w:rsid w:val="18F54F0A"/>
    <w:rsid w:val="18FE38BD"/>
    <w:rsid w:val="19033E41"/>
    <w:rsid w:val="19223474"/>
    <w:rsid w:val="192254A6"/>
    <w:rsid w:val="19612578"/>
    <w:rsid w:val="196971DE"/>
    <w:rsid w:val="19701C26"/>
    <w:rsid w:val="19757817"/>
    <w:rsid w:val="19B77130"/>
    <w:rsid w:val="19BC4D76"/>
    <w:rsid w:val="19DC1545"/>
    <w:rsid w:val="19EB23DB"/>
    <w:rsid w:val="19F539DF"/>
    <w:rsid w:val="19F658D3"/>
    <w:rsid w:val="1A017191"/>
    <w:rsid w:val="1A197394"/>
    <w:rsid w:val="1A1C13D2"/>
    <w:rsid w:val="1A417993"/>
    <w:rsid w:val="1A4745EA"/>
    <w:rsid w:val="1A787533"/>
    <w:rsid w:val="1A8A4238"/>
    <w:rsid w:val="1A8B2953"/>
    <w:rsid w:val="1A931D97"/>
    <w:rsid w:val="1AB10D08"/>
    <w:rsid w:val="1ABA7B1A"/>
    <w:rsid w:val="1AC2720A"/>
    <w:rsid w:val="1AE43B4E"/>
    <w:rsid w:val="1AE921B3"/>
    <w:rsid w:val="1B16314C"/>
    <w:rsid w:val="1B297BD5"/>
    <w:rsid w:val="1B845309"/>
    <w:rsid w:val="1BAB0B3B"/>
    <w:rsid w:val="1BB21B8F"/>
    <w:rsid w:val="1BC066DD"/>
    <w:rsid w:val="1BF76F53"/>
    <w:rsid w:val="1C0D0A63"/>
    <w:rsid w:val="1C7237D6"/>
    <w:rsid w:val="1C89719F"/>
    <w:rsid w:val="1C8A5084"/>
    <w:rsid w:val="1C911A30"/>
    <w:rsid w:val="1C9A0F31"/>
    <w:rsid w:val="1CA63994"/>
    <w:rsid w:val="1CB72CA0"/>
    <w:rsid w:val="1CCA15F3"/>
    <w:rsid w:val="1CD811BF"/>
    <w:rsid w:val="1CE353B0"/>
    <w:rsid w:val="1CFC11B5"/>
    <w:rsid w:val="1CFD1C8C"/>
    <w:rsid w:val="1CFD5A6D"/>
    <w:rsid w:val="1D061C10"/>
    <w:rsid w:val="1D0D14B2"/>
    <w:rsid w:val="1D0E24FE"/>
    <w:rsid w:val="1D1251FB"/>
    <w:rsid w:val="1D127C33"/>
    <w:rsid w:val="1D3060F9"/>
    <w:rsid w:val="1D5D6F38"/>
    <w:rsid w:val="1D661610"/>
    <w:rsid w:val="1D695404"/>
    <w:rsid w:val="1D76522A"/>
    <w:rsid w:val="1D7A6953"/>
    <w:rsid w:val="1D8669FF"/>
    <w:rsid w:val="1D963534"/>
    <w:rsid w:val="1DAA26BB"/>
    <w:rsid w:val="1DF3687A"/>
    <w:rsid w:val="1DF454E0"/>
    <w:rsid w:val="1E094A9A"/>
    <w:rsid w:val="1E0E4FDE"/>
    <w:rsid w:val="1E2437E4"/>
    <w:rsid w:val="1E392547"/>
    <w:rsid w:val="1E4428F8"/>
    <w:rsid w:val="1E554830"/>
    <w:rsid w:val="1E8474D2"/>
    <w:rsid w:val="1E871490"/>
    <w:rsid w:val="1E877BA2"/>
    <w:rsid w:val="1E8811CA"/>
    <w:rsid w:val="1E8C690E"/>
    <w:rsid w:val="1E9A4D75"/>
    <w:rsid w:val="1E9F4E93"/>
    <w:rsid w:val="1EA63B0A"/>
    <w:rsid w:val="1EAF533E"/>
    <w:rsid w:val="1EED6EEA"/>
    <w:rsid w:val="1F2839E9"/>
    <w:rsid w:val="1F2862EF"/>
    <w:rsid w:val="1F641EF9"/>
    <w:rsid w:val="1F6B41EE"/>
    <w:rsid w:val="1F7D6C15"/>
    <w:rsid w:val="1F7F3683"/>
    <w:rsid w:val="1F8203DE"/>
    <w:rsid w:val="1FA92956"/>
    <w:rsid w:val="1FBC4086"/>
    <w:rsid w:val="1FD716A5"/>
    <w:rsid w:val="1FF60072"/>
    <w:rsid w:val="200563F1"/>
    <w:rsid w:val="20351E9F"/>
    <w:rsid w:val="20632DD7"/>
    <w:rsid w:val="2067508B"/>
    <w:rsid w:val="206C76F9"/>
    <w:rsid w:val="20977E55"/>
    <w:rsid w:val="20AC50FB"/>
    <w:rsid w:val="20B21F32"/>
    <w:rsid w:val="20B77599"/>
    <w:rsid w:val="20BC37C8"/>
    <w:rsid w:val="20BF1749"/>
    <w:rsid w:val="20D14525"/>
    <w:rsid w:val="2110596A"/>
    <w:rsid w:val="2110733B"/>
    <w:rsid w:val="216830DB"/>
    <w:rsid w:val="216C32B8"/>
    <w:rsid w:val="21BB784B"/>
    <w:rsid w:val="21BE0E1A"/>
    <w:rsid w:val="21C16F10"/>
    <w:rsid w:val="21CE3E73"/>
    <w:rsid w:val="21D20555"/>
    <w:rsid w:val="21E75319"/>
    <w:rsid w:val="21FE6338"/>
    <w:rsid w:val="220D6751"/>
    <w:rsid w:val="222B683E"/>
    <w:rsid w:val="22345621"/>
    <w:rsid w:val="223617D8"/>
    <w:rsid w:val="225E2520"/>
    <w:rsid w:val="22657D0C"/>
    <w:rsid w:val="227A7A21"/>
    <w:rsid w:val="22A2261D"/>
    <w:rsid w:val="22AD522D"/>
    <w:rsid w:val="22BA60AB"/>
    <w:rsid w:val="22BB336C"/>
    <w:rsid w:val="22CC7691"/>
    <w:rsid w:val="22E03145"/>
    <w:rsid w:val="23203542"/>
    <w:rsid w:val="232660F2"/>
    <w:rsid w:val="23535C47"/>
    <w:rsid w:val="237A0D40"/>
    <w:rsid w:val="23891485"/>
    <w:rsid w:val="23930C4E"/>
    <w:rsid w:val="239D4A37"/>
    <w:rsid w:val="239D543A"/>
    <w:rsid w:val="23AE0634"/>
    <w:rsid w:val="23B23ECA"/>
    <w:rsid w:val="23CD737F"/>
    <w:rsid w:val="241E5CD3"/>
    <w:rsid w:val="24380218"/>
    <w:rsid w:val="245B6F27"/>
    <w:rsid w:val="24601187"/>
    <w:rsid w:val="24675BDA"/>
    <w:rsid w:val="24A0493A"/>
    <w:rsid w:val="24A40084"/>
    <w:rsid w:val="24AA382C"/>
    <w:rsid w:val="24AC1230"/>
    <w:rsid w:val="24B70860"/>
    <w:rsid w:val="24C15424"/>
    <w:rsid w:val="24C7413C"/>
    <w:rsid w:val="24E10A4C"/>
    <w:rsid w:val="2532647F"/>
    <w:rsid w:val="25571825"/>
    <w:rsid w:val="25590594"/>
    <w:rsid w:val="255B29D0"/>
    <w:rsid w:val="256A4F48"/>
    <w:rsid w:val="25711689"/>
    <w:rsid w:val="25850B6C"/>
    <w:rsid w:val="25943EAE"/>
    <w:rsid w:val="259A017B"/>
    <w:rsid w:val="25AB5E92"/>
    <w:rsid w:val="25AC0A9F"/>
    <w:rsid w:val="25C00FC4"/>
    <w:rsid w:val="25C91E8A"/>
    <w:rsid w:val="25DB4189"/>
    <w:rsid w:val="25ED17C2"/>
    <w:rsid w:val="25ED5F6E"/>
    <w:rsid w:val="26044BE2"/>
    <w:rsid w:val="2624159B"/>
    <w:rsid w:val="26287704"/>
    <w:rsid w:val="26314F45"/>
    <w:rsid w:val="263670E6"/>
    <w:rsid w:val="264651DF"/>
    <w:rsid w:val="26484B38"/>
    <w:rsid w:val="264A713F"/>
    <w:rsid w:val="264B1E0B"/>
    <w:rsid w:val="26745514"/>
    <w:rsid w:val="268A7650"/>
    <w:rsid w:val="2692331B"/>
    <w:rsid w:val="26F45ADA"/>
    <w:rsid w:val="26FF0949"/>
    <w:rsid w:val="27135897"/>
    <w:rsid w:val="272044C6"/>
    <w:rsid w:val="27231852"/>
    <w:rsid w:val="27402508"/>
    <w:rsid w:val="275426FE"/>
    <w:rsid w:val="277569EA"/>
    <w:rsid w:val="278222E9"/>
    <w:rsid w:val="2787035E"/>
    <w:rsid w:val="27A74287"/>
    <w:rsid w:val="27B754B9"/>
    <w:rsid w:val="27D3129F"/>
    <w:rsid w:val="27E6336B"/>
    <w:rsid w:val="28005CD8"/>
    <w:rsid w:val="28017527"/>
    <w:rsid w:val="28164E7F"/>
    <w:rsid w:val="282B6A4C"/>
    <w:rsid w:val="282B6C11"/>
    <w:rsid w:val="28443A8C"/>
    <w:rsid w:val="2853715B"/>
    <w:rsid w:val="286933CB"/>
    <w:rsid w:val="28AC5FA3"/>
    <w:rsid w:val="28B97D1E"/>
    <w:rsid w:val="28C64684"/>
    <w:rsid w:val="28CC1C10"/>
    <w:rsid w:val="28DD6067"/>
    <w:rsid w:val="2903280D"/>
    <w:rsid w:val="290348B8"/>
    <w:rsid w:val="29441712"/>
    <w:rsid w:val="295F7B1C"/>
    <w:rsid w:val="296E18BB"/>
    <w:rsid w:val="29784589"/>
    <w:rsid w:val="298641BA"/>
    <w:rsid w:val="29A749BD"/>
    <w:rsid w:val="29B775DE"/>
    <w:rsid w:val="29C21A06"/>
    <w:rsid w:val="29E1240E"/>
    <w:rsid w:val="2A156519"/>
    <w:rsid w:val="2A2F0585"/>
    <w:rsid w:val="2A42088B"/>
    <w:rsid w:val="2A444159"/>
    <w:rsid w:val="2A5B027C"/>
    <w:rsid w:val="2A6F6E4C"/>
    <w:rsid w:val="2A7179BA"/>
    <w:rsid w:val="2A7B5120"/>
    <w:rsid w:val="2A9D65E3"/>
    <w:rsid w:val="2AB1327E"/>
    <w:rsid w:val="2AC21AF1"/>
    <w:rsid w:val="2B08552C"/>
    <w:rsid w:val="2B261911"/>
    <w:rsid w:val="2B3264F9"/>
    <w:rsid w:val="2B330B9E"/>
    <w:rsid w:val="2B3D5E24"/>
    <w:rsid w:val="2B3E6ED4"/>
    <w:rsid w:val="2B4238AF"/>
    <w:rsid w:val="2B4C6459"/>
    <w:rsid w:val="2B7F0F68"/>
    <w:rsid w:val="2BA632D7"/>
    <w:rsid w:val="2BAB6CDC"/>
    <w:rsid w:val="2BCF3841"/>
    <w:rsid w:val="2BD452EC"/>
    <w:rsid w:val="2BD80E5D"/>
    <w:rsid w:val="2BFA0DD4"/>
    <w:rsid w:val="2C056E97"/>
    <w:rsid w:val="2C09269C"/>
    <w:rsid w:val="2C13456A"/>
    <w:rsid w:val="2C153E60"/>
    <w:rsid w:val="2C2B42E3"/>
    <w:rsid w:val="2C3A1B18"/>
    <w:rsid w:val="2C424E85"/>
    <w:rsid w:val="2CA33D17"/>
    <w:rsid w:val="2CF85178"/>
    <w:rsid w:val="2D0E1CAA"/>
    <w:rsid w:val="2D1A05DB"/>
    <w:rsid w:val="2D235204"/>
    <w:rsid w:val="2D2A3E0C"/>
    <w:rsid w:val="2D2C37EB"/>
    <w:rsid w:val="2D69746A"/>
    <w:rsid w:val="2D780C38"/>
    <w:rsid w:val="2D8004C8"/>
    <w:rsid w:val="2DAE1A3D"/>
    <w:rsid w:val="2DBA15C5"/>
    <w:rsid w:val="2DBE23AC"/>
    <w:rsid w:val="2DFB22A4"/>
    <w:rsid w:val="2E0011C8"/>
    <w:rsid w:val="2E2C3259"/>
    <w:rsid w:val="2E337108"/>
    <w:rsid w:val="2E381539"/>
    <w:rsid w:val="2E3A05E6"/>
    <w:rsid w:val="2E56399A"/>
    <w:rsid w:val="2E5A0250"/>
    <w:rsid w:val="2E6D1D25"/>
    <w:rsid w:val="2E87710E"/>
    <w:rsid w:val="2EBC0FFC"/>
    <w:rsid w:val="2EC57754"/>
    <w:rsid w:val="2EE06DE8"/>
    <w:rsid w:val="2EFC6CFD"/>
    <w:rsid w:val="2EFF1EF7"/>
    <w:rsid w:val="2F1D79A9"/>
    <w:rsid w:val="2F5153A0"/>
    <w:rsid w:val="2F635838"/>
    <w:rsid w:val="2F6A6270"/>
    <w:rsid w:val="2F767113"/>
    <w:rsid w:val="2FA12934"/>
    <w:rsid w:val="2FBB2F70"/>
    <w:rsid w:val="2FC462F5"/>
    <w:rsid w:val="2FC53911"/>
    <w:rsid w:val="2FEE707A"/>
    <w:rsid w:val="300D4E4E"/>
    <w:rsid w:val="301C226C"/>
    <w:rsid w:val="30446E13"/>
    <w:rsid w:val="30566DD5"/>
    <w:rsid w:val="307F02A8"/>
    <w:rsid w:val="30980BBB"/>
    <w:rsid w:val="30BE0205"/>
    <w:rsid w:val="30C0743E"/>
    <w:rsid w:val="30D63ACC"/>
    <w:rsid w:val="30ED06A5"/>
    <w:rsid w:val="30ED7159"/>
    <w:rsid w:val="30F50C5B"/>
    <w:rsid w:val="30FD5744"/>
    <w:rsid w:val="30FE24A4"/>
    <w:rsid w:val="3126787A"/>
    <w:rsid w:val="31313FF7"/>
    <w:rsid w:val="31395212"/>
    <w:rsid w:val="31396172"/>
    <w:rsid w:val="315C5923"/>
    <w:rsid w:val="3167095C"/>
    <w:rsid w:val="316E7992"/>
    <w:rsid w:val="3171047B"/>
    <w:rsid w:val="31987173"/>
    <w:rsid w:val="31A519DE"/>
    <w:rsid w:val="31BD6F05"/>
    <w:rsid w:val="31E51C4C"/>
    <w:rsid w:val="31ED3189"/>
    <w:rsid w:val="31F476C7"/>
    <w:rsid w:val="31F62333"/>
    <w:rsid w:val="322C1DA9"/>
    <w:rsid w:val="322E19E2"/>
    <w:rsid w:val="32353F19"/>
    <w:rsid w:val="32464912"/>
    <w:rsid w:val="325A322E"/>
    <w:rsid w:val="326C2B25"/>
    <w:rsid w:val="32F543B0"/>
    <w:rsid w:val="331A78F0"/>
    <w:rsid w:val="33296443"/>
    <w:rsid w:val="336C3BFA"/>
    <w:rsid w:val="33875D1B"/>
    <w:rsid w:val="33A1219E"/>
    <w:rsid w:val="33C25938"/>
    <w:rsid w:val="33CC29E4"/>
    <w:rsid w:val="33F80817"/>
    <w:rsid w:val="340D33ED"/>
    <w:rsid w:val="343E7861"/>
    <w:rsid w:val="34530903"/>
    <w:rsid w:val="347D657B"/>
    <w:rsid w:val="3490033B"/>
    <w:rsid w:val="34C76DCE"/>
    <w:rsid w:val="34D66156"/>
    <w:rsid w:val="34DC285B"/>
    <w:rsid w:val="34F132FE"/>
    <w:rsid w:val="350D64CA"/>
    <w:rsid w:val="35363B2B"/>
    <w:rsid w:val="35563ECB"/>
    <w:rsid w:val="355A28E3"/>
    <w:rsid w:val="359A6545"/>
    <w:rsid w:val="359B742E"/>
    <w:rsid w:val="35B20E42"/>
    <w:rsid w:val="35BE76C5"/>
    <w:rsid w:val="35E52AF5"/>
    <w:rsid w:val="35ED348D"/>
    <w:rsid w:val="361137CE"/>
    <w:rsid w:val="362F3D70"/>
    <w:rsid w:val="36315D3A"/>
    <w:rsid w:val="36511C8F"/>
    <w:rsid w:val="365B2DB7"/>
    <w:rsid w:val="367234BC"/>
    <w:rsid w:val="367D6C84"/>
    <w:rsid w:val="36A54F4A"/>
    <w:rsid w:val="36BA0AE0"/>
    <w:rsid w:val="36CC5A63"/>
    <w:rsid w:val="36F6525B"/>
    <w:rsid w:val="376D4604"/>
    <w:rsid w:val="37844042"/>
    <w:rsid w:val="378C240E"/>
    <w:rsid w:val="378E6F7A"/>
    <w:rsid w:val="379A16BD"/>
    <w:rsid w:val="37B56CEC"/>
    <w:rsid w:val="37C15D3C"/>
    <w:rsid w:val="37C66AAB"/>
    <w:rsid w:val="37C77E2D"/>
    <w:rsid w:val="37E21278"/>
    <w:rsid w:val="38082B1E"/>
    <w:rsid w:val="380E6EAB"/>
    <w:rsid w:val="381B6CB4"/>
    <w:rsid w:val="383311D7"/>
    <w:rsid w:val="384E0BEE"/>
    <w:rsid w:val="38573767"/>
    <w:rsid w:val="386830FF"/>
    <w:rsid w:val="386E5BFC"/>
    <w:rsid w:val="387C7736"/>
    <w:rsid w:val="38922098"/>
    <w:rsid w:val="389E2855"/>
    <w:rsid w:val="38D77409"/>
    <w:rsid w:val="38D92458"/>
    <w:rsid w:val="38F04065"/>
    <w:rsid w:val="38F54AB9"/>
    <w:rsid w:val="38F70143"/>
    <w:rsid w:val="39111068"/>
    <w:rsid w:val="392212D9"/>
    <w:rsid w:val="39377BF2"/>
    <w:rsid w:val="39437B88"/>
    <w:rsid w:val="394A47A4"/>
    <w:rsid w:val="396C20C1"/>
    <w:rsid w:val="399F33F0"/>
    <w:rsid w:val="39BF0E35"/>
    <w:rsid w:val="39C73D23"/>
    <w:rsid w:val="39CE6E64"/>
    <w:rsid w:val="39D36367"/>
    <w:rsid w:val="3A383608"/>
    <w:rsid w:val="3A482157"/>
    <w:rsid w:val="3A5B15D7"/>
    <w:rsid w:val="3A611085"/>
    <w:rsid w:val="3A654204"/>
    <w:rsid w:val="3A721CCD"/>
    <w:rsid w:val="3A7E1328"/>
    <w:rsid w:val="3A8D27E1"/>
    <w:rsid w:val="3AA36E5C"/>
    <w:rsid w:val="3AA45590"/>
    <w:rsid w:val="3ABD0DAD"/>
    <w:rsid w:val="3ABF28A2"/>
    <w:rsid w:val="3AC52EF5"/>
    <w:rsid w:val="3AD43AD7"/>
    <w:rsid w:val="3AD44FF0"/>
    <w:rsid w:val="3AD51F50"/>
    <w:rsid w:val="3AE23470"/>
    <w:rsid w:val="3AF730BF"/>
    <w:rsid w:val="3AFE0CBF"/>
    <w:rsid w:val="3AFF18AD"/>
    <w:rsid w:val="3B1C06DF"/>
    <w:rsid w:val="3B2858AD"/>
    <w:rsid w:val="3B3B4F65"/>
    <w:rsid w:val="3B44115B"/>
    <w:rsid w:val="3B783549"/>
    <w:rsid w:val="3B80126E"/>
    <w:rsid w:val="3B884697"/>
    <w:rsid w:val="3B8E3877"/>
    <w:rsid w:val="3B9A67CD"/>
    <w:rsid w:val="3B9F54F4"/>
    <w:rsid w:val="3BA025FE"/>
    <w:rsid w:val="3BAD6603"/>
    <w:rsid w:val="3BBA0807"/>
    <w:rsid w:val="3BD53828"/>
    <w:rsid w:val="3BF75330"/>
    <w:rsid w:val="3C057493"/>
    <w:rsid w:val="3C075AE7"/>
    <w:rsid w:val="3C243096"/>
    <w:rsid w:val="3C2974B3"/>
    <w:rsid w:val="3C4A6873"/>
    <w:rsid w:val="3C4E45F8"/>
    <w:rsid w:val="3C5062F1"/>
    <w:rsid w:val="3C5F2ED5"/>
    <w:rsid w:val="3C783D09"/>
    <w:rsid w:val="3C8F624E"/>
    <w:rsid w:val="3CA07775"/>
    <w:rsid w:val="3CB7614A"/>
    <w:rsid w:val="3CBD309D"/>
    <w:rsid w:val="3CC00BFD"/>
    <w:rsid w:val="3CEE0E9A"/>
    <w:rsid w:val="3CFB1D1C"/>
    <w:rsid w:val="3CFE0E94"/>
    <w:rsid w:val="3D352D47"/>
    <w:rsid w:val="3D4F2517"/>
    <w:rsid w:val="3D69121A"/>
    <w:rsid w:val="3D8A3B9D"/>
    <w:rsid w:val="3DA2751D"/>
    <w:rsid w:val="3DB01A38"/>
    <w:rsid w:val="3DC060B2"/>
    <w:rsid w:val="3DC80013"/>
    <w:rsid w:val="3DD65D2B"/>
    <w:rsid w:val="3DDB7302"/>
    <w:rsid w:val="3DF47B7C"/>
    <w:rsid w:val="3DF54680"/>
    <w:rsid w:val="3E0C1CC4"/>
    <w:rsid w:val="3E104931"/>
    <w:rsid w:val="3E112AF5"/>
    <w:rsid w:val="3E2B306F"/>
    <w:rsid w:val="3E4E377D"/>
    <w:rsid w:val="3E651BDC"/>
    <w:rsid w:val="3E6676EB"/>
    <w:rsid w:val="3EA414BF"/>
    <w:rsid w:val="3EB05C1D"/>
    <w:rsid w:val="3EB92D70"/>
    <w:rsid w:val="3EC3774B"/>
    <w:rsid w:val="3F045DE7"/>
    <w:rsid w:val="3F0820E6"/>
    <w:rsid w:val="3F087854"/>
    <w:rsid w:val="3F23359B"/>
    <w:rsid w:val="3F2C06A0"/>
    <w:rsid w:val="3F390295"/>
    <w:rsid w:val="3F473ED8"/>
    <w:rsid w:val="3F6D1EC6"/>
    <w:rsid w:val="3F965779"/>
    <w:rsid w:val="3FA70E1B"/>
    <w:rsid w:val="3FC9485C"/>
    <w:rsid w:val="3FCB28D2"/>
    <w:rsid w:val="3FFB2188"/>
    <w:rsid w:val="40216774"/>
    <w:rsid w:val="404D1F41"/>
    <w:rsid w:val="40771B83"/>
    <w:rsid w:val="408B6B29"/>
    <w:rsid w:val="4097648C"/>
    <w:rsid w:val="40A50B35"/>
    <w:rsid w:val="40AC1F42"/>
    <w:rsid w:val="40BC4452"/>
    <w:rsid w:val="40E07E77"/>
    <w:rsid w:val="40E112AA"/>
    <w:rsid w:val="410D7451"/>
    <w:rsid w:val="410E1460"/>
    <w:rsid w:val="41152D5D"/>
    <w:rsid w:val="4149117E"/>
    <w:rsid w:val="41824CA7"/>
    <w:rsid w:val="41911A61"/>
    <w:rsid w:val="41A53138"/>
    <w:rsid w:val="41B620C5"/>
    <w:rsid w:val="41C77552"/>
    <w:rsid w:val="41D0561B"/>
    <w:rsid w:val="41D71961"/>
    <w:rsid w:val="41DA54D8"/>
    <w:rsid w:val="420069E0"/>
    <w:rsid w:val="420F2115"/>
    <w:rsid w:val="423544BC"/>
    <w:rsid w:val="42482522"/>
    <w:rsid w:val="424967F8"/>
    <w:rsid w:val="425360EA"/>
    <w:rsid w:val="42576B28"/>
    <w:rsid w:val="429F4493"/>
    <w:rsid w:val="42A47894"/>
    <w:rsid w:val="42B62845"/>
    <w:rsid w:val="42BF717C"/>
    <w:rsid w:val="42E13903"/>
    <w:rsid w:val="431E7460"/>
    <w:rsid w:val="432942DC"/>
    <w:rsid w:val="43630DAB"/>
    <w:rsid w:val="436D6D3B"/>
    <w:rsid w:val="438576C5"/>
    <w:rsid w:val="43C9477A"/>
    <w:rsid w:val="43DE48FE"/>
    <w:rsid w:val="43E02B4D"/>
    <w:rsid w:val="43E72B76"/>
    <w:rsid w:val="441C4F41"/>
    <w:rsid w:val="444268C4"/>
    <w:rsid w:val="44426FDE"/>
    <w:rsid w:val="44447A3A"/>
    <w:rsid w:val="445830FF"/>
    <w:rsid w:val="44651E2F"/>
    <w:rsid w:val="446E3018"/>
    <w:rsid w:val="44871106"/>
    <w:rsid w:val="448B2C2C"/>
    <w:rsid w:val="44925D12"/>
    <w:rsid w:val="44B1402F"/>
    <w:rsid w:val="44B21F77"/>
    <w:rsid w:val="44CB7DE5"/>
    <w:rsid w:val="44D52B95"/>
    <w:rsid w:val="44D93564"/>
    <w:rsid w:val="44E25B64"/>
    <w:rsid w:val="4504495A"/>
    <w:rsid w:val="45113C09"/>
    <w:rsid w:val="451221DE"/>
    <w:rsid w:val="4537798A"/>
    <w:rsid w:val="4541721F"/>
    <w:rsid w:val="455B692F"/>
    <w:rsid w:val="456C2DE4"/>
    <w:rsid w:val="456E5F17"/>
    <w:rsid w:val="45A3342C"/>
    <w:rsid w:val="45AD451E"/>
    <w:rsid w:val="46002E3B"/>
    <w:rsid w:val="461D6185"/>
    <w:rsid w:val="462B6D0E"/>
    <w:rsid w:val="4634308B"/>
    <w:rsid w:val="46450DB8"/>
    <w:rsid w:val="464B2236"/>
    <w:rsid w:val="469413A0"/>
    <w:rsid w:val="46A53572"/>
    <w:rsid w:val="46D01270"/>
    <w:rsid w:val="46D72C64"/>
    <w:rsid w:val="46EA2230"/>
    <w:rsid w:val="46F012F9"/>
    <w:rsid w:val="46F67732"/>
    <w:rsid w:val="475B64E8"/>
    <w:rsid w:val="476840D5"/>
    <w:rsid w:val="47F778B5"/>
    <w:rsid w:val="47FC54BD"/>
    <w:rsid w:val="48015627"/>
    <w:rsid w:val="48205759"/>
    <w:rsid w:val="482B4D9F"/>
    <w:rsid w:val="48350558"/>
    <w:rsid w:val="485D3F20"/>
    <w:rsid w:val="48B90820"/>
    <w:rsid w:val="48D22491"/>
    <w:rsid w:val="48ED38BE"/>
    <w:rsid w:val="490F67DD"/>
    <w:rsid w:val="493236D3"/>
    <w:rsid w:val="493A6131"/>
    <w:rsid w:val="49442594"/>
    <w:rsid w:val="495429BC"/>
    <w:rsid w:val="49696660"/>
    <w:rsid w:val="499542C0"/>
    <w:rsid w:val="499A3A19"/>
    <w:rsid w:val="49A75C13"/>
    <w:rsid w:val="49BC6E4B"/>
    <w:rsid w:val="49F521ED"/>
    <w:rsid w:val="4A05330E"/>
    <w:rsid w:val="4A13758F"/>
    <w:rsid w:val="4A1C136D"/>
    <w:rsid w:val="4A1D7C57"/>
    <w:rsid w:val="4A241BB8"/>
    <w:rsid w:val="4A315EB1"/>
    <w:rsid w:val="4A485916"/>
    <w:rsid w:val="4A6902EC"/>
    <w:rsid w:val="4A757800"/>
    <w:rsid w:val="4A842484"/>
    <w:rsid w:val="4A952FF9"/>
    <w:rsid w:val="4A987CDE"/>
    <w:rsid w:val="4A9C4040"/>
    <w:rsid w:val="4A9C547F"/>
    <w:rsid w:val="4AB01565"/>
    <w:rsid w:val="4AB167F9"/>
    <w:rsid w:val="4AB84E46"/>
    <w:rsid w:val="4ABF3049"/>
    <w:rsid w:val="4ADB5E1D"/>
    <w:rsid w:val="4B29791D"/>
    <w:rsid w:val="4B4420DB"/>
    <w:rsid w:val="4B4C71D9"/>
    <w:rsid w:val="4BA15CE6"/>
    <w:rsid w:val="4BA218D5"/>
    <w:rsid w:val="4BB31A0E"/>
    <w:rsid w:val="4BCF33F2"/>
    <w:rsid w:val="4BD905AE"/>
    <w:rsid w:val="4BF55118"/>
    <w:rsid w:val="4BF864D0"/>
    <w:rsid w:val="4C22421D"/>
    <w:rsid w:val="4C2E11EF"/>
    <w:rsid w:val="4C4C2E51"/>
    <w:rsid w:val="4C5C3847"/>
    <w:rsid w:val="4C5C7C7E"/>
    <w:rsid w:val="4C884213"/>
    <w:rsid w:val="4C8D69B8"/>
    <w:rsid w:val="4C9B46AA"/>
    <w:rsid w:val="4CB9372A"/>
    <w:rsid w:val="4CF73AB4"/>
    <w:rsid w:val="4D2A7549"/>
    <w:rsid w:val="4D2F37DC"/>
    <w:rsid w:val="4D4B335E"/>
    <w:rsid w:val="4D4E5AAC"/>
    <w:rsid w:val="4DCA49FB"/>
    <w:rsid w:val="4DFD207E"/>
    <w:rsid w:val="4E3448D0"/>
    <w:rsid w:val="4E467615"/>
    <w:rsid w:val="4E634A54"/>
    <w:rsid w:val="4E67351E"/>
    <w:rsid w:val="4E7D2A5A"/>
    <w:rsid w:val="4E7D64B2"/>
    <w:rsid w:val="4E947749"/>
    <w:rsid w:val="4E977924"/>
    <w:rsid w:val="4EA07B35"/>
    <w:rsid w:val="4EB42C0C"/>
    <w:rsid w:val="4ECC6F1E"/>
    <w:rsid w:val="4F276974"/>
    <w:rsid w:val="4F4F59DB"/>
    <w:rsid w:val="4F69492D"/>
    <w:rsid w:val="4F7C7556"/>
    <w:rsid w:val="4F8722FC"/>
    <w:rsid w:val="4F936A51"/>
    <w:rsid w:val="4F9A2FE6"/>
    <w:rsid w:val="4FC30A08"/>
    <w:rsid w:val="4FC7771A"/>
    <w:rsid w:val="4FF359B6"/>
    <w:rsid w:val="502C3E87"/>
    <w:rsid w:val="502E2742"/>
    <w:rsid w:val="5043350B"/>
    <w:rsid w:val="50522D53"/>
    <w:rsid w:val="506F1AA1"/>
    <w:rsid w:val="507329A4"/>
    <w:rsid w:val="50772173"/>
    <w:rsid w:val="50B12A42"/>
    <w:rsid w:val="50C05E5C"/>
    <w:rsid w:val="50E02396"/>
    <w:rsid w:val="50E2482B"/>
    <w:rsid w:val="50F73284"/>
    <w:rsid w:val="51456B69"/>
    <w:rsid w:val="514E2D70"/>
    <w:rsid w:val="514F5FFC"/>
    <w:rsid w:val="516B1A79"/>
    <w:rsid w:val="51712A70"/>
    <w:rsid w:val="517448D5"/>
    <w:rsid w:val="517F76F4"/>
    <w:rsid w:val="51942A04"/>
    <w:rsid w:val="51A17D81"/>
    <w:rsid w:val="51BA4BBD"/>
    <w:rsid w:val="51BE78BF"/>
    <w:rsid w:val="51C3780E"/>
    <w:rsid w:val="51C94C21"/>
    <w:rsid w:val="51DF33B8"/>
    <w:rsid w:val="51E92FD1"/>
    <w:rsid w:val="51F91B0D"/>
    <w:rsid w:val="5217598C"/>
    <w:rsid w:val="52597F9D"/>
    <w:rsid w:val="52601BF3"/>
    <w:rsid w:val="52616A3D"/>
    <w:rsid w:val="52707792"/>
    <w:rsid w:val="52711166"/>
    <w:rsid w:val="528843EB"/>
    <w:rsid w:val="529B2CC5"/>
    <w:rsid w:val="52D01FE9"/>
    <w:rsid w:val="52FA6AC1"/>
    <w:rsid w:val="53093013"/>
    <w:rsid w:val="53241459"/>
    <w:rsid w:val="532B6F76"/>
    <w:rsid w:val="5361214F"/>
    <w:rsid w:val="53991307"/>
    <w:rsid w:val="53A163FC"/>
    <w:rsid w:val="53B17F65"/>
    <w:rsid w:val="53D76A77"/>
    <w:rsid w:val="53D9666E"/>
    <w:rsid w:val="53F27F9E"/>
    <w:rsid w:val="540B4B0C"/>
    <w:rsid w:val="541A4812"/>
    <w:rsid w:val="54246AAE"/>
    <w:rsid w:val="54270977"/>
    <w:rsid w:val="54451333"/>
    <w:rsid w:val="54515999"/>
    <w:rsid w:val="54642C47"/>
    <w:rsid w:val="54715D70"/>
    <w:rsid w:val="54774E08"/>
    <w:rsid w:val="548F2152"/>
    <w:rsid w:val="549635BC"/>
    <w:rsid w:val="549D1F36"/>
    <w:rsid w:val="54D5118E"/>
    <w:rsid w:val="54E970AC"/>
    <w:rsid w:val="54ED60B7"/>
    <w:rsid w:val="55183716"/>
    <w:rsid w:val="55194018"/>
    <w:rsid w:val="5526678C"/>
    <w:rsid w:val="552C5BF2"/>
    <w:rsid w:val="555164D0"/>
    <w:rsid w:val="55697B42"/>
    <w:rsid w:val="55742E0A"/>
    <w:rsid w:val="55747599"/>
    <w:rsid w:val="55860920"/>
    <w:rsid w:val="558A19BE"/>
    <w:rsid w:val="559E172C"/>
    <w:rsid w:val="55B40BA8"/>
    <w:rsid w:val="55EC63FA"/>
    <w:rsid w:val="55F0459B"/>
    <w:rsid w:val="55FC182E"/>
    <w:rsid w:val="56081CEB"/>
    <w:rsid w:val="56190555"/>
    <w:rsid w:val="56327B17"/>
    <w:rsid w:val="564E1B99"/>
    <w:rsid w:val="566257D8"/>
    <w:rsid w:val="56BD07CA"/>
    <w:rsid w:val="56C0178A"/>
    <w:rsid w:val="56CB143B"/>
    <w:rsid w:val="56D93B58"/>
    <w:rsid w:val="56E22207"/>
    <w:rsid w:val="56F363ED"/>
    <w:rsid w:val="56F866D7"/>
    <w:rsid w:val="57191C4F"/>
    <w:rsid w:val="57266671"/>
    <w:rsid w:val="57365986"/>
    <w:rsid w:val="5768745B"/>
    <w:rsid w:val="5775329A"/>
    <w:rsid w:val="5777276A"/>
    <w:rsid w:val="57960165"/>
    <w:rsid w:val="57981816"/>
    <w:rsid w:val="57B43353"/>
    <w:rsid w:val="57D4582C"/>
    <w:rsid w:val="57E209B7"/>
    <w:rsid w:val="57F537BA"/>
    <w:rsid w:val="581542BF"/>
    <w:rsid w:val="581E1776"/>
    <w:rsid w:val="581E65B1"/>
    <w:rsid w:val="582740A9"/>
    <w:rsid w:val="583568CF"/>
    <w:rsid w:val="58436111"/>
    <w:rsid w:val="58BC7453"/>
    <w:rsid w:val="58C554B3"/>
    <w:rsid w:val="58CC64E4"/>
    <w:rsid w:val="58E77261"/>
    <w:rsid w:val="594A4E97"/>
    <w:rsid w:val="595158B5"/>
    <w:rsid w:val="595E3540"/>
    <w:rsid w:val="59785F2D"/>
    <w:rsid w:val="59905953"/>
    <w:rsid w:val="59A05382"/>
    <w:rsid w:val="59B80B50"/>
    <w:rsid w:val="59BC691B"/>
    <w:rsid w:val="59E96F16"/>
    <w:rsid w:val="59F13A04"/>
    <w:rsid w:val="5A2033B2"/>
    <w:rsid w:val="5A2C0EAA"/>
    <w:rsid w:val="5A4D4172"/>
    <w:rsid w:val="5A675E17"/>
    <w:rsid w:val="5A6A1E9E"/>
    <w:rsid w:val="5AA41D7F"/>
    <w:rsid w:val="5AA438C1"/>
    <w:rsid w:val="5AB47E9B"/>
    <w:rsid w:val="5ABF1FEE"/>
    <w:rsid w:val="5AC37A18"/>
    <w:rsid w:val="5ADD5D1F"/>
    <w:rsid w:val="5AE75922"/>
    <w:rsid w:val="5B0E516E"/>
    <w:rsid w:val="5B1020A1"/>
    <w:rsid w:val="5B10384E"/>
    <w:rsid w:val="5B132A07"/>
    <w:rsid w:val="5B433C96"/>
    <w:rsid w:val="5B5F3C0A"/>
    <w:rsid w:val="5B644F10"/>
    <w:rsid w:val="5B7058E8"/>
    <w:rsid w:val="5BBA65B5"/>
    <w:rsid w:val="5BEE0F69"/>
    <w:rsid w:val="5BFA33F2"/>
    <w:rsid w:val="5C2175B6"/>
    <w:rsid w:val="5C6A2F16"/>
    <w:rsid w:val="5C6C3C27"/>
    <w:rsid w:val="5CBE5DD4"/>
    <w:rsid w:val="5CF35378"/>
    <w:rsid w:val="5D120C2C"/>
    <w:rsid w:val="5D124819"/>
    <w:rsid w:val="5D2D0024"/>
    <w:rsid w:val="5D301107"/>
    <w:rsid w:val="5D5061F6"/>
    <w:rsid w:val="5D7221EB"/>
    <w:rsid w:val="5D9B28C6"/>
    <w:rsid w:val="5DDC7A09"/>
    <w:rsid w:val="5DDF3661"/>
    <w:rsid w:val="5DDF7D89"/>
    <w:rsid w:val="5DE828D3"/>
    <w:rsid w:val="5DF36E74"/>
    <w:rsid w:val="5E2B20E2"/>
    <w:rsid w:val="5E453881"/>
    <w:rsid w:val="5E592972"/>
    <w:rsid w:val="5E596ACF"/>
    <w:rsid w:val="5E6A153A"/>
    <w:rsid w:val="5E7E6469"/>
    <w:rsid w:val="5E8766D0"/>
    <w:rsid w:val="5E8954E8"/>
    <w:rsid w:val="5E985357"/>
    <w:rsid w:val="5EAA549F"/>
    <w:rsid w:val="5EC525F5"/>
    <w:rsid w:val="5ED72921"/>
    <w:rsid w:val="5EDC3E56"/>
    <w:rsid w:val="5EE557F6"/>
    <w:rsid w:val="5F07103D"/>
    <w:rsid w:val="5F0E7E2E"/>
    <w:rsid w:val="5F257BB0"/>
    <w:rsid w:val="5F756F8B"/>
    <w:rsid w:val="5F825336"/>
    <w:rsid w:val="5F9745B0"/>
    <w:rsid w:val="5FA2425E"/>
    <w:rsid w:val="5FA323CE"/>
    <w:rsid w:val="5FA81413"/>
    <w:rsid w:val="5FB16C8B"/>
    <w:rsid w:val="5FF026CE"/>
    <w:rsid w:val="60047AB6"/>
    <w:rsid w:val="601C4AB5"/>
    <w:rsid w:val="6023001F"/>
    <w:rsid w:val="60680901"/>
    <w:rsid w:val="608D0A5D"/>
    <w:rsid w:val="60A21FA0"/>
    <w:rsid w:val="60F20AB4"/>
    <w:rsid w:val="61125DC7"/>
    <w:rsid w:val="61285899"/>
    <w:rsid w:val="61314591"/>
    <w:rsid w:val="6131474E"/>
    <w:rsid w:val="61444752"/>
    <w:rsid w:val="61550F38"/>
    <w:rsid w:val="61590D2B"/>
    <w:rsid w:val="61653D23"/>
    <w:rsid w:val="61826B9A"/>
    <w:rsid w:val="61954B1F"/>
    <w:rsid w:val="61A15CC7"/>
    <w:rsid w:val="61D66A13"/>
    <w:rsid w:val="61DB73AA"/>
    <w:rsid w:val="61DC3DCF"/>
    <w:rsid w:val="61EE681C"/>
    <w:rsid w:val="61F72241"/>
    <w:rsid w:val="621F726B"/>
    <w:rsid w:val="623B1AB9"/>
    <w:rsid w:val="628F5E41"/>
    <w:rsid w:val="62902312"/>
    <w:rsid w:val="62C74574"/>
    <w:rsid w:val="62D71249"/>
    <w:rsid w:val="63022451"/>
    <w:rsid w:val="630A2FC9"/>
    <w:rsid w:val="63391E7B"/>
    <w:rsid w:val="63602248"/>
    <w:rsid w:val="63610E11"/>
    <w:rsid w:val="636F767D"/>
    <w:rsid w:val="63723F5D"/>
    <w:rsid w:val="637F4F6C"/>
    <w:rsid w:val="639118D4"/>
    <w:rsid w:val="63CD1381"/>
    <w:rsid w:val="63CE0FE4"/>
    <w:rsid w:val="63E26824"/>
    <w:rsid w:val="63F87D92"/>
    <w:rsid w:val="6401473A"/>
    <w:rsid w:val="6415534B"/>
    <w:rsid w:val="641C3B4A"/>
    <w:rsid w:val="64300D8E"/>
    <w:rsid w:val="644E4B61"/>
    <w:rsid w:val="6458100E"/>
    <w:rsid w:val="645F3B29"/>
    <w:rsid w:val="64682105"/>
    <w:rsid w:val="64741D38"/>
    <w:rsid w:val="64A67C8F"/>
    <w:rsid w:val="64AB71B7"/>
    <w:rsid w:val="64E75692"/>
    <w:rsid w:val="64FD42AF"/>
    <w:rsid w:val="651564A3"/>
    <w:rsid w:val="651D2E62"/>
    <w:rsid w:val="653341BC"/>
    <w:rsid w:val="658D6624"/>
    <w:rsid w:val="65954F1A"/>
    <w:rsid w:val="65BB7E74"/>
    <w:rsid w:val="65C019F7"/>
    <w:rsid w:val="65C92FEA"/>
    <w:rsid w:val="65E65A50"/>
    <w:rsid w:val="660C6239"/>
    <w:rsid w:val="661E1616"/>
    <w:rsid w:val="662E4F23"/>
    <w:rsid w:val="663A4D84"/>
    <w:rsid w:val="663B3767"/>
    <w:rsid w:val="664A2D7F"/>
    <w:rsid w:val="66644488"/>
    <w:rsid w:val="66695DDC"/>
    <w:rsid w:val="666B0372"/>
    <w:rsid w:val="66822AB6"/>
    <w:rsid w:val="669A3A58"/>
    <w:rsid w:val="669D6685"/>
    <w:rsid w:val="66A442EC"/>
    <w:rsid w:val="66BF04BD"/>
    <w:rsid w:val="66C32BE9"/>
    <w:rsid w:val="66D333E8"/>
    <w:rsid w:val="67084450"/>
    <w:rsid w:val="672D634A"/>
    <w:rsid w:val="6768294A"/>
    <w:rsid w:val="676E4A29"/>
    <w:rsid w:val="678462D0"/>
    <w:rsid w:val="67B42755"/>
    <w:rsid w:val="67D70BE2"/>
    <w:rsid w:val="680D380B"/>
    <w:rsid w:val="685D6FA1"/>
    <w:rsid w:val="6864456A"/>
    <w:rsid w:val="689D3916"/>
    <w:rsid w:val="68B43ADD"/>
    <w:rsid w:val="68B81DE3"/>
    <w:rsid w:val="68B924E7"/>
    <w:rsid w:val="68DD005D"/>
    <w:rsid w:val="68E00BCA"/>
    <w:rsid w:val="691F6BC1"/>
    <w:rsid w:val="692432CA"/>
    <w:rsid w:val="692F585A"/>
    <w:rsid w:val="69307E9E"/>
    <w:rsid w:val="696A0C89"/>
    <w:rsid w:val="697773A4"/>
    <w:rsid w:val="69872909"/>
    <w:rsid w:val="699A0879"/>
    <w:rsid w:val="69B4690D"/>
    <w:rsid w:val="69F16C12"/>
    <w:rsid w:val="6A056092"/>
    <w:rsid w:val="6A094D6F"/>
    <w:rsid w:val="6A156053"/>
    <w:rsid w:val="6A246A40"/>
    <w:rsid w:val="6A285A12"/>
    <w:rsid w:val="6A2C1E11"/>
    <w:rsid w:val="6A2F40C9"/>
    <w:rsid w:val="6A333844"/>
    <w:rsid w:val="6A3E6BBB"/>
    <w:rsid w:val="6A5D6289"/>
    <w:rsid w:val="6A606477"/>
    <w:rsid w:val="6A9575E8"/>
    <w:rsid w:val="6A965F2D"/>
    <w:rsid w:val="6A9A0367"/>
    <w:rsid w:val="6AAE093F"/>
    <w:rsid w:val="6AB448D3"/>
    <w:rsid w:val="6AC16985"/>
    <w:rsid w:val="6AD7148C"/>
    <w:rsid w:val="6AEC79FA"/>
    <w:rsid w:val="6B043415"/>
    <w:rsid w:val="6B0A1759"/>
    <w:rsid w:val="6B1B2E57"/>
    <w:rsid w:val="6B213518"/>
    <w:rsid w:val="6B842FB7"/>
    <w:rsid w:val="6B927DB2"/>
    <w:rsid w:val="6BB376B4"/>
    <w:rsid w:val="6C1545B9"/>
    <w:rsid w:val="6C326A9A"/>
    <w:rsid w:val="6C5C4BB7"/>
    <w:rsid w:val="6C5F709B"/>
    <w:rsid w:val="6C6D7CDC"/>
    <w:rsid w:val="6C781724"/>
    <w:rsid w:val="6C9E6F7E"/>
    <w:rsid w:val="6CA548C6"/>
    <w:rsid w:val="6CAF5AFE"/>
    <w:rsid w:val="6CB31830"/>
    <w:rsid w:val="6CB70040"/>
    <w:rsid w:val="6CB7260D"/>
    <w:rsid w:val="6CC638A3"/>
    <w:rsid w:val="6CE07E9A"/>
    <w:rsid w:val="6D175D26"/>
    <w:rsid w:val="6D3D399E"/>
    <w:rsid w:val="6D5557FD"/>
    <w:rsid w:val="6D7970A3"/>
    <w:rsid w:val="6D902F49"/>
    <w:rsid w:val="6D914DB3"/>
    <w:rsid w:val="6DC83BF5"/>
    <w:rsid w:val="6DCA7BEC"/>
    <w:rsid w:val="6DCD6473"/>
    <w:rsid w:val="6E610C25"/>
    <w:rsid w:val="6E696562"/>
    <w:rsid w:val="6ECF12BC"/>
    <w:rsid w:val="6EF86C71"/>
    <w:rsid w:val="6F13127F"/>
    <w:rsid w:val="6F1C1F16"/>
    <w:rsid w:val="6F35524C"/>
    <w:rsid w:val="6F3D2CBA"/>
    <w:rsid w:val="6F481A68"/>
    <w:rsid w:val="6F5E6501"/>
    <w:rsid w:val="6F76710D"/>
    <w:rsid w:val="6FB865A9"/>
    <w:rsid w:val="6FB92EDC"/>
    <w:rsid w:val="6FF53D83"/>
    <w:rsid w:val="700C0C58"/>
    <w:rsid w:val="70304EE3"/>
    <w:rsid w:val="70551272"/>
    <w:rsid w:val="70821B85"/>
    <w:rsid w:val="708A7C9C"/>
    <w:rsid w:val="70904221"/>
    <w:rsid w:val="70AB3A18"/>
    <w:rsid w:val="70BF4D5D"/>
    <w:rsid w:val="70F71186"/>
    <w:rsid w:val="711315BD"/>
    <w:rsid w:val="71263CB9"/>
    <w:rsid w:val="712D1824"/>
    <w:rsid w:val="71334DFF"/>
    <w:rsid w:val="714627C0"/>
    <w:rsid w:val="716D2E0E"/>
    <w:rsid w:val="717A2733"/>
    <w:rsid w:val="718D7271"/>
    <w:rsid w:val="71A97DEC"/>
    <w:rsid w:val="71C0472B"/>
    <w:rsid w:val="71CB25AA"/>
    <w:rsid w:val="71CE46FE"/>
    <w:rsid w:val="71E3575C"/>
    <w:rsid w:val="72435809"/>
    <w:rsid w:val="72455A7D"/>
    <w:rsid w:val="725772B5"/>
    <w:rsid w:val="726502D4"/>
    <w:rsid w:val="726D6471"/>
    <w:rsid w:val="726E4FFF"/>
    <w:rsid w:val="72780519"/>
    <w:rsid w:val="72AE13ED"/>
    <w:rsid w:val="72C24D04"/>
    <w:rsid w:val="73082FE0"/>
    <w:rsid w:val="7316010C"/>
    <w:rsid w:val="733774A5"/>
    <w:rsid w:val="73460D7F"/>
    <w:rsid w:val="735657D3"/>
    <w:rsid w:val="738B4A5C"/>
    <w:rsid w:val="738B5D82"/>
    <w:rsid w:val="739002D0"/>
    <w:rsid w:val="73BC418E"/>
    <w:rsid w:val="73C51294"/>
    <w:rsid w:val="73C66DBA"/>
    <w:rsid w:val="73D02658"/>
    <w:rsid w:val="73EB25D1"/>
    <w:rsid w:val="73EC2FA0"/>
    <w:rsid w:val="73F12DAA"/>
    <w:rsid w:val="740B03EA"/>
    <w:rsid w:val="74157C47"/>
    <w:rsid w:val="741F06C8"/>
    <w:rsid w:val="744171A8"/>
    <w:rsid w:val="745C3D3E"/>
    <w:rsid w:val="74690F71"/>
    <w:rsid w:val="74887383"/>
    <w:rsid w:val="748D2E98"/>
    <w:rsid w:val="74A920E6"/>
    <w:rsid w:val="74B63D55"/>
    <w:rsid w:val="74CB28DA"/>
    <w:rsid w:val="74DA739A"/>
    <w:rsid w:val="750A2CD7"/>
    <w:rsid w:val="750B1C19"/>
    <w:rsid w:val="75274DF9"/>
    <w:rsid w:val="753B0285"/>
    <w:rsid w:val="756568C4"/>
    <w:rsid w:val="757979F3"/>
    <w:rsid w:val="75982C83"/>
    <w:rsid w:val="759D7555"/>
    <w:rsid w:val="75BA7605"/>
    <w:rsid w:val="75CC0A7F"/>
    <w:rsid w:val="75D258A8"/>
    <w:rsid w:val="75D948DA"/>
    <w:rsid w:val="76042DD1"/>
    <w:rsid w:val="762F6E99"/>
    <w:rsid w:val="763A6DE8"/>
    <w:rsid w:val="763E46CC"/>
    <w:rsid w:val="76C131C1"/>
    <w:rsid w:val="76C916DB"/>
    <w:rsid w:val="770010BF"/>
    <w:rsid w:val="772E57CF"/>
    <w:rsid w:val="777C7EBC"/>
    <w:rsid w:val="778F0807"/>
    <w:rsid w:val="77B73FC3"/>
    <w:rsid w:val="77B75710"/>
    <w:rsid w:val="77BF3E90"/>
    <w:rsid w:val="77C65BBE"/>
    <w:rsid w:val="77D311C4"/>
    <w:rsid w:val="77DD2DCB"/>
    <w:rsid w:val="77ED7981"/>
    <w:rsid w:val="77F52C7E"/>
    <w:rsid w:val="780E47B1"/>
    <w:rsid w:val="782518E6"/>
    <w:rsid w:val="785D57D1"/>
    <w:rsid w:val="786442A7"/>
    <w:rsid w:val="78692B52"/>
    <w:rsid w:val="78707BBA"/>
    <w:rsid w:val="78774A0D"/>
    <w:rsid w:val="78A63490"/>
    <w:rsid w:val="78C33DFF"/>
    <w:rsid w:val="78CC4E73"/>
    <w:rsid w:val="78DB48E5"/>
    <w:rsid w:val="78EF381B"/>
    <w:rsid w:val="78F604C3"/>
    <w:rsid w:val="79036D1D"/>
    <w:rsid w:val="791C41F2"/>
    <w:rsid w:val="791F6D20"/>
    <w:rsid w:val="792C65B3"/>
    <w:rsid w:val="79307C2E"/>
    <w:rsid w:val="793858A8"/>
    <w:rsid w:val="79490708"/>
    <w:rsid w:val="796449F7"/>
    <w:rsid w:val="796A38C5"/>
    <w:rsid w:val="796C417F"/>
    <w:rsid w:val="79741E47"/>
    <w:rsid w:val="79817071"/>
    <w:rsid w:val="79895016"/>
    <w:rsid w:val="79DB1356"/>
    <w:rsid w:val="79E05081"/>
    <w:rsid w:val="79FD2B56"/>
    <w:rsid w:val="7A205141"/>
    <w:rsid w:val="7AB731C3"/>
    <w:rsid w:val="7AF47DAB"/>
    <w:rsid w:val="7B791408"/>
    <w:rsid w:val="7BA8093C"/>
    <w:rsid w:val="7BB32DB4"/>
    <w:rsid w:val="7BC53B58"/>
    <w:rsid w:val="7BDA539F"/>
    <w:rsid w:val="7BDC717B"/>
    <w:rsid w:val="7BDF1631"/>
    <w:rsid w:val="7BE2177F"/>
    <w:rsid w:val="7BF428A0"/>
    <w:rsid w:val="7BFC250C"/>
    <w:rsid w:val="7BFD3595"/>
    <w:rsid w:val="7C17320C"/>
    <w:rsid w:val="7C2028AD"/>
    <w:rsid w:val="7C25698E"/>
    <w:rsid w:val="7C4E3395"/>
    <w:rsid w:val="7C887A04"/>
    <w:rsid w:val="7C9A1801"/>
    <w:rsid w:val="7CA946B8"/>
    <w:rsid w:val="7CB70FFB"/>
    <w:rsid w:val="7CB71653"/>
    <w:rsid w:val="7CBF3E48"/>
    <w:rsid w:val="7CD15472"/>
    <w:rsid w:val="7D0073C1"/>
    <w:rsid w:val="7D056BA5"/>
    <w:rsid w:val="7D1A4795"/>
    <w:rsid w:val="7D1D3EEF"/>
    <w:rsid w:val="7D3354C1"/>
    <w:rsid w:val="7D6E695E"/>
    <w:rsid w:val="7D784B03"/>
    <w:rsid w:val="7D7C62F5"/>
    <w:rsid w:val="7D830316"/>
    <w:rsid w:val="7D973A3C"/>
    <w:rsid w:val="7D9C43DD"/>
    <w:rsid w:val="7D9F4260"/>
    <w:rsid w:val="7DA134D7"/>
    <w:rsid w:val="7DBC55DB"/>
    <w:rsid w:val="7DC221CB"/>
    <w:rsid w:val="7DE22A43"/>
    <w:rsid w:val="7DF974F2"/>
    <w:rsid w:val="7E00078A"/>
    <w:rsid w:val="7E0155BF"/>
    <w:rsid w:val="7E162E8E"/>
    <w:rsid w:val="7E712D54"/>
    <w:rsid w:val="7E771592"/>
    <w:rsid w:val="7E9A50CB"/>
    <w:rsid w:val="7ED175B4"/>
    <w:rsid w:val="7EE42649"/>
    <w:rsid w:val="7EE7398F"/>
    <w:rsid w:val="7EEA60C1"/>
    <w:rsid w:val="7F4A590E"/>
    <w:rsid w:val="7F604011"/>
    <w:rsid w:val="7F6246B1"/>
    <w:rsid w:val="7F642918"/>
    <w:rsid w:val="7F6666BA"/>
    <w:rsid w:val="7F705743"/>
    <w:rsid w:val="7F91049D"/>
    <w:rsid w:val="7F975E82"/>
    <w:rsid w:val="7FB17779"/>
    <w:rsid w:val="7FCB5E84"/>
    <w:rsid w:val="7FCE2264"/>
    <w:rsid w:val="7FDC37A4"/>
    <w:rsid w:val="7FDD5E9A"/>
    <w:rsid w:val="7FF6562E"/>
    <w:rsid w:val="FCFE6287"/>
    <w:rsid w:val="FEBF4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7"/>
    <w:qFormat/>
    <w:uiPriority w:val="0"/>
    <w:pPr>
      <w:keepNext/>
      <w:keepLines/>
      <w:tabs>
        <w:tab w:val="left" w:pos="576"/>
      </w:tabs>
      <w:spacing w:beforeLines="100" w:afterLines="100" w:line="413" w:lineRule="auto"/>
      <w:ind w:left="578" w:hanging="578"/>
      <w:outlineLvl w:val="1"/>
    </w:pPr>
    <w:rPr>
      <w:rFonts w:ascii="Arial" w:hAnsi="Arial" w:eastAsia="黑体"/>
      <w:b/>
      <w:bCs/>
      <w:kern w:val="0"/>
      <w:szCs w:val="32"/>
    </w:rPr>
  </w:style>
  <w:style w:type="paragraph" w:styleId="5">
    <w:name w:val="heading 3"/>
    <w:basedOn w:val="1"/>
    <w:next w:val="1"/>
    <w:link w:val="48"/>
    <w:qFormat/>
    <w:uiPriority w:val="0"/>
    <w:pPr>
      <w:keepNext/>
      <w:keepLines/>
      <w:spacing w:beforeLines="100" w:afterLines="100" w:line="416" w:lineRule="auto"/>
      <w:ind w:hanging="640" w:hangingChars="200"/>
      <w:outlineLvl w:val="2"/>
    </w:pPr>
    <w:rPr>
      <w:b/>
      <w:bCs/>
      <w:kern w:val="0"/>
      <w:sz w:val="20"/>
      <w:szCs w:val="32"/>
    </w:rPr>
  </w:style>
  <w:style w:type="paragraph" w:styleId="6">
    <w:name w:val="heading 4"/>
    <w:basedOn w:val="1"/>
    <w:next w:val="1"/>
    <w:link w:val="49"/>
    <w:qFormat/>
    <w:uiPriority w:val="0"/>
    <w:pPr>
      <w:keepNext/>
      <w:keepLines/>
      <w:tabs>
        <w:tab w:val="left" w:pos="864"/>
      </w:tabs>
      <w:spacing w:before="280" w:after="290" w:line="372" w:lineRule="auto"/>
      <w:ind w:left="864" w:hanging="864"/>
      <w:outlineLvl w:val="3"/>
    </w:pPr>
    <w:rPr>
      <w:rFonts w:ascii="Arial" w:hAnsi="Arial" w:eastAsia="黑体"/>
      <w:b/>
      <w:bCs/>
      <w:kern w:val="0"/>
      <w:sz w:val="20"/>
      <w:szCs w:val="28"/>
    </w:rPr>
  </w:style>
  <w:style w:type="paragraph" w:styleId="7">
    <w:name w:val="heading 5"/>
    <w:basedOn w:val="1"/>
    <w:next w:val="1"/>
    <w:link w:val="50"/>
    <w:qFormat/>
    <w:uiPriority w:val="0"/>
    <w:pPr>
      <w:keepNext/>
      <w:keepLines/>
      <w:spacing w:before="280" w:after="290" w:line="372" w:lineRule="auto"/>
      <w:outlineLvl w:val="4"/>
    </w:pPr>
    <w:rPr>
      <w:b/>
      <w:bCs/>
      <w:kern w:val="0"/>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1"/>
    <w:qFormat/>
    <w:uiPriority w:val="0"/>
    <w:pPr>
      <w:shd w:val="clear" w:color="auto" w:fill="000080"/>
    </w:pPr>
    <w:rPr>
      <w:kern w:val="0"/>
      <w:sz w:val="20"/>
    </w:rPr>
  </w:style>
  <w:style w:type="paragraph" w:styleId="11">
    <w:name w:val="annotation text"/>
    <w:basedOn w:val="1"/>
    <w:link w:val="52"/>
    <w:qFormat/>
    <w:uiPriority w:val="0"/>
    <w:pPr>
      <w:jc w:val="left"/>
    </w:pPr>
    <w:rPr>
      <w:kern w:val="0"/>
      <w:sz w:val="20"/>
      <w:szCs w:val="20"/>
    </w:rPr>
  </w:style>
  <w:style w:type="paragraph" w:styleId="12">
    <w:name w:val="Body Text 3"/>
    <w:basedOn w:val="1"/>
    <w:link w:val="53"/>
    <w:qFormat/>
    <w:uiPriority w:val="0"/>
    <w:pPr>
      <w:snapToGrid w:val="0"/>
      <w:spacing w:before="50" w:after="50"/>
    </w:pPr>
    <w:rPr>
      <w:rFonts w:eastAsia="仿宋_GB2312"/>
      <w:b/>
      <w:bCs/>
      <w:kern w:val="0"/>
      <w:sz w:val="24"/>
      <w:szCs w:val="20"/>
    </w:rPr>
  </w:style>
  <w:style w:type="paragraph" w:styleId="13">
    <w:name w:val="Body Text"/>
    <w:basedOn w:val="1"/>
    <w:next w:val="14"/>
    <w:link w:val="54"/>
    <w:qFormat/>
    <w:uiPriority w:val="0"/>
    <w:pPr>
      <w:spacing w:after="120"/>
    </w:pPr>
    <w:rPr>
      <w:kern w:val="0"/>
      <w:sz w:val="28"/>
    </w:rPr>
  </w:style>
  <w:style w:type="paragraph" w:styleId="14">
    <w:name w:val="Body Text First Indent"/>
    <w:basedOn w:val="13"/>
    <w:next w:val="1"/>
    <w:qFormat/>
    <w:uiPriority w:val="0"/>
    <w:pPr>
      <w:spacing w:after="160"/>
      <w:ind w:firstLine="250" w:firstLineChars="250"/>
    </w:pPr>
  </w:style>
  <w:style w:type="paragraph" w:styleId="15">
    <w:name w:val="Body Text Indent"/>
    <w:basedOn w:val="1"/>
    <w:next w:val="1"/>
    <w:link w:val="55"/>
    <w:qFormat/>
    <w:uiPriority w:val="0"/>
    <w:pPr>
      <w:spacing w:line="200" w:lineRule="exact"/>
      <w:ind w:firstLine="301"/>
    </w:pPr>
    <w:rPr>
      <w:rFonts w:ascii="宋体"/>
      <w:spacing w:val="-4"/>
      <w:kern w:val="0"/>
      <w:sz w:val="18"/>
      <w:szCs w:val="20"/>
    </w:rPr>
  </w:style>
  <w:style w:type="paragraph" w:styleId="16">
    <w:name w:val="List Number 3"/>
    <w:basedOn w:val="1"/>
    <w:qFormat/>
    <w:uiPriority w:val="0"/>
    <w:pPr>
      <w:tabs>
        <w:tab w:val="left" w:pos="1200"/>
      </w:tabs>
      <w:ind w:left="1200" w:hanging="360"/>
    </w:pPr>
  </w:style>
  <w:style w:type="paragraph" w:styleId="17">
    <w:name w:val="List 2"/>
    <w:basedOn w:val="1"/>
    <w:qFormat/>
    <w:uiPriority w:val="0"/>
    <w:pPr>
      <w:ind w:left="400" w:leftChars="200" w:hanging="200" w:hangingChars="200"/>
    </w:pPr>
    <w:rPr>
      <w:sz w:val="28"/>
    </w:rPr>
  </w:style>
  <w:style w:type="paragraph" w:styleId="18">
    <w:name w:val="toc 3"/>
    <w:basedOn w:val="1"/>
    <w:next w:val="1"/>
    <w:qFormat/>
    <w:uiPriority w:val="0"/>
    <w:pPr>
      <w:ind w:left="400" w:leftChars="400"/>
    </w:pPr>
  </w:style>
  <w:style w:type="paragraph" w:styleId="19">
    <w:name w:val="Plain Text"/>
    <w:basedOn w:val="1"/>
    <w:next w:val="1"/>
    <w:link w:val="45"/>
    <w:qFormat/>
    <w:uiPriority w:val="0"/>
    <w:pPr>
      <w:spacing w:beforeLines="50" w:afterLines="50" w:line="400" w:lineRule="exact"/>
    </w:pPr>
    <w:rPr>
      <w:rFonts w:ascii="宋体"/>
      <w:kern w:val="0"/>
      <w:sz w:val="24"/>
    </w:rPr>
  </w:style>
  <w:style w:type="paragraph" w:styleId="20">
    <w:name w:val="Date"/>
    <w:basedOn w:val="1"/>
    <w:next w:val="1"/>
    <w:link w:val="56"/>
    <w:qFormat/>
    <w:uiPriority w:val="0"/>
    <w:pPr>
      <w:ind w:left="2500" w:leftChars="2500"/>
    </w:pPr>
    <w:rPr>
      <w:rFonts w:eastAsia="楷体_GB2312"/>
      <w:kern w:val="0"/>
      <w:sz w:val="32"/>
      <w:szCs w:val="20"/>
    </w:rPr>
  </w:style>
  <w:style w:type="paragraph" w:styleId="21">
    <w:name w:val="Body Text Indent 2"/>
    <w:basedOn w:val="1"/>
    <w:link w:val="57"/>
    <w:qFormat/>
    <w:uiPriority w:val="0"/>
    <w:pPr>
      <w:snapToGrid w:val="0"/>
      <w:ind w:firstLine="225" w:firstLineChars="225"/>
    </w:pPr>
    <w:rPr>
      <w:rFonts w:ascii="仿宋_GB2312" w:hAnsi="仿宋_GB2312"/>
      <w:b/>
      <w:bCs/>
      <w:color w:val="000000"/>
      <w:kern w:val="0"/>
      <w:sz w:val="24"/>
    </w:rPr>
  </w:style>
  <w:style w:type="paragraph" w:styleId="22">
    <w:name w:val="Balloon Text"/>
    <w:basedOn w:val="1"/>
    <w:link w:val="58"/>
    <w:qFormat/>
    <w:uiPriority w:val="0"/>
    <w:rPr>
      <w:kern w:val="0"/>
      <w:sz w:val="18"/>
      <w:szCs w:val="18"/>
    </w:rPr>
  </w:style>
  <w:style w:type="paragraph" w:styleId="23">
    <w:name w:val="footer"/>
    <w:basedOn w:val="1"/>
    <w:link w:val="59"/>
    <w:qFormat/>
    <w:uiPriority w:val="0"/>
    <w:pPr>
      <w:tabs>
        <w:tab w:val="center" w:pos="4153"/>
        <w:tab w:val="right" w:pos="8306"/>
      </w:tabs>
      <w:snapToGrid w:val="0"/>
      <w:jc w:val="left"/>
    </w:pPr>
    <w:rPr>
      <w:kern w:val="0"/>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0"/>
  </w:style>
  <w:style w:type="paragraph" w:styleId="26">
    <w:name w:val="Subtitle"/>
    <w:basedOn w:val="1"/>
    <w:next w:val="1"/>
    <w:link w:val="61"/>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qFormat/>
    <w:uiPriority w:val="0"/>
    <w:pPr>
      <w:ind w:left="200" w:hanging="200" w:hangingChars="200"/>
    </w:pPr>
    <w:rPr>
      <w:sz w:val="28"/>
    </w:rPr>
  </w:style>
  <w:style w:type="paragraph" w:styleId="28">
    <w:name w:val="Body Text Indent 3"/>
    <w:basedOn w:val="1"/>
    <w:link w:val="62"/>
    <w:qFormat/>
    <w:uiPriority w:val="0"/>
    <w:pPr>
      <w:snapToGrid w:val="0"/>
      <w:ind w:firstLine="200" w:firstLineChars="200"/>
      <w:jc w:val="left"/>
    </w:pPr>
    <w:rPr>
      <w:rFonts w:ascii="仿宋_GB2312" w:eastAsia="仿宋_GB2312"/>
      <w:color w:val="000000"/>
      <w:kern w:val="0"/>
      <w:sz w:val="24"/>
    </w:rPr>
  </w:style>
  <w:style w:type="paragraph" w:styleId="29">
    <w:name w:val="toc 2"/>
    <w:basedOn w:val="1"/>
    <w:next w:val="1"/>
    <w:qFormat/>
    <w:uiPriority w:val="0"/>
    <w:pPr>
      <w:ind w:left="200" w:leftChars="200"/>
    </w:pPr>
  </w:style>
  <w:style w:type="paragraph" w:styleId="30">
    <w:name w:val="Body Text 2"/>
    <w:basedOn w:val="1"/>
    <w:link w:val="63"/>
    <w:qFormat/>
    <w:uiPriority w:val="0"/>
    <w:pPr>
      <w:widowControl/>
      <w:snapToGrid w:val="0"/>
      <w:spacing w:before="50" w:afterLines="50" w:line="400" w:lineRule="exact"/>
      <w:jc w:val="left"/>
    </w:pPr>
    <w:rPr>
      <w:rFonts w:ascii="宋体"/>
      <w:color w:val="000000"/>
      <w:kern w:val="0"/>
      <w:sz w:val="24"/>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2">
    <w:name w:val="Normal (Web)"/>
    <w:basedOn w:val="1"/>
    <w:qFormat/>
    <w:uiPriority w:val="0"/>
    <w:pPr>
      <w:widowControl/>
      <w:spacing w:before="100" w:beforeAutospacing="1" w:after="100" w:afterAutospacing="1"/>
      <w:jc w:val="left"/>
    </w:pPr>
    <w:rPr>
      <w:kern w:val="0"/>
      <w:sz w:val="24"/>
    </w:rPr>
  </w:style>
  <w:style w:type="paragraph" w:styleId="33">
    <w:name w:val="annotation subject"/>
    <w:basedOn w:val="11"/>
    <w:next w:val="11"/>
    <w:link w:val="64"/>
    <w:qFormat/>
    <w:uiPriority w:val="0"/>
  </w:style>
  <w:style w:type="paragraph" w:styleId="34">
    <w:name w:val="Body Text First Indent 2"/>
    <w:basedOn w:val="15"/>
    <w:next w:val="1"/>
    <w:qFormat/>
    <w:uiPriority w:val="0"/>
    <w:pPr>
      <w:tabs>
        <w:tab w:val="left" w:pos="0"/>
        <w:tab w:val="left" w:pos="1260"/>
        <w:tab w:val="left" w:pos="1365"/>
      </w:tabs>
      <w:ind w:firstLine="420"/>
    </w:pPr>
    <w:rPr>
      <w:rFonts w:ascii="Times New Roman"/>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imes New Roman" w:hAnsi="Times New Roman" w:eastAsia="宋体" w:cs="Times New Roman"/>
      <w:b/>
      <w:bCs/>
    </w:rPr>
  </w:style>
  <w:style w:type="character" w:styleId="39">
    <w:name w:val="page number"/>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800080"/>
      <w:u w:val="single"/>
    </w:rPr>
  </w:style>
  <w:style w:type="character" w:styleId="41">
    <w:name w:val="Emphasis"/>
    <w:qFormat/>
    <w:uiPriority w:val="0"/>
    <w:rPr>
      <w:rFonts w:ascii="Times New Roman" w:hAnsi="Times New Roman" w:eastAsia="宋体" w:cs="Times New Roman"/>
      <w:color w:val="CC0000"/>
    </w:rPr>
  </w:style>
  <w:style w:type="character" w:styleId="42">
    <w:name w:val="Hyperlink"/>
    <w:qFormat/>
    <w:uiPriority w:val="0"/>
    <w:rPr>
      <w:rFonts w:ascii="Times New Roman" w:hAnsi="Times New Roman" w:eastAsia="宋体" w:cs="Times New Roman"/>
      <w:color w:val="0000FF"/>
      <w:u w:val="single"/>
    </w:rPr>
  </w:style>
  <w:style w:type="character" w:styleId="43">
    <w:name w:val="annotation reference"/>
    <w:qFormat/>
    <w:uiPriority w:val="0"/>
    <w:rPr>
      <w:rFonts w:ascii="Times New Roman" w:hAnsi="Times New Roman" w:eastAsia="宋体" w:cs="Times New Roman"/>
      <w:sz w:val="21"/>
      <w:szCs w:val="21"/>
    </w:rPr>
  </w:style>
  <w:style w:type="paragraph" w:customStyle="1" w:styleId="44">
    <w:name w:val="_Style 3"/>
    <w:qFormat/>
    <w:uiPriority w:val="0"/>
    <w:pPr>
      <w:widowControl w:val="0"/>
      <w:ind w:firstLine="420" w:firstLineChars="200"/>
      <w:jc w:val="both"/>
    </w:pPr>
    <w:rPr>
      <w:rFonts w:ascii="Calibri" w:hAnsi="Calibri" w:eastAsia="仿宋_GB2312" w:cs="Times New Roman"/>
      <w:kern w:val="2"/>
      <w:sz w:val="28"/>
      <w:szCs w:val="24"/>
      <w:lang w:val="en-US" w:eastAsia="zh-CN" w:bidi="ar-SA"/>
    </w:rPr>
  </w:style>
  <w:style w:type="character" w:customStyle="1" w:styleId="45">
    <w:name w:val="纯文本 Char1"/>
    <w:link w:val="19"/>
    <w:qFormat/>
    <w:uiPriority w:val="0"/>
    <w:rPr>
      <w:rFonts w:ascii="宋体" w:hAnsi="Times New Roman" w:eastAsia="宋体" w:cs="Times New Roman"/>
      <w:sz w:val="24"/>
      <w:szCs w:val="24"/>
    </w:rPr>
  </w:style>
  <w:style w:type="character" w:customStyle="1" w:styleId="46">
    <w:name w:val="标题 1 Char"/>
    <w:link w:val="3"/>
    <w:qFormat/>
    <w:uiPriority w:val="0"/>
    <w:rPr>
      <w:rFonts w:ascii="Times New Roman" w:hAnsi="Times New Roman" w:eastAsia="宋体" w:cs="Times New Roman"/>
      <w:b/>
      <w:bCs/>
      <w:kern w:val="44"/>
      <w:sz w:val="44"/>
      <w:szCs w:val="44"/>
    </w:rPr>
  </w:style>
  <w:style w:type="character" w:customStyle="1" w:styleId="47">
    <w:name w:val="标题 2 Char"/>
    <w:link w:val="4"/>
    <w:qFormat/>
    <w:uiPriority w:val="0"/>
    <w:rPr>
      <w:rFonts w:ascii="Arial" w:hAnsi="Arial" w:eastAsia="黑体"/>
      <w:b/>
      <w:bCs/>
      <w:sz w:val="21"/>
      <w:szCs w:val="32"/>
    </w:rPr>
  </w:style>
  <w:style w:type="character" w:customStyle="1" w:styleId="48">
    <w:name w:val="标题 3 Char"/>
    <w:link w:val="5"/>
    <w:qFormat/>
    <w:uiPriority w:val="0"/>
    <w:rPr>
      <w:b/>
      <w:bCs/>
      <w:szCs w:val="32"/>
    </w:rPr>
  </w:style>
  <w:style w:type="character" w:customStyle="1" w:styleId="49">
    <w:name w:val="标题 4 Char"/>
    <w:link w:val="6"/>
    <w:qFormat/>
    <w:uiPriority w:val="0"/>
    <w:rPr>
      <w:rFonts w:ascii="Arial" w:hAnsi="Arial" w:eastAsia="黑体"/>
      <w:b/>
      <w:bCs/>
      <w:szCs w:val="28"/>
    </w:rPr>
  </w:style>
  <w:style w:type="character" w:customStyle="1" w:styleId="50">
    <w:name w:val="标题 5 Char"/>
    <w:link w:val="7"/>
    <w:qFormat/>
    <w:uiPriority w:val="0"/>
    <w:rPr>
      <w:rFonts w:ascii="Times New Roman" w:hAnsi="Times New Roman" w:eastAsia="宋体" w:cs="Times New Roman"/>
      <w:b/>
      <w:bCs/>
      <w:sz w:val="28"/>
      <w:szCs w:val="28"/>
    </w:rPr>
  </w:style>
  <w:style w:type="character" w:customStyle="1" w:styleId="51">
    <w:name w:val="文档结构图 Char"/>
    <w:link w:val="10"/>
    <w:qFormat/>
    <w:uiPriority w:val="0"/>
    <w:rPr>
      <w:rFonts w:ascii="Times New Roman" w:hAnsi="Times New Roman" w:eastAsia="宋体" w:cs="Times New Roman"/>
      <w:szCs w:val="24"/>
      <w:shd w:val="clear" w:color="auto" w:fill="000080"/>
    </w:rPr>
  </w:style>
  <w:style w:type="character" w:customStyle="1" w:styleId="52">
    <w:name w:val="批注文字 Char"/>
    <w:link w:val="11"/>
    <w:qFormat/>
    <w:uiPriority w:val="0"/>
    <w:rPr>
      <w:rFonts w:ascii="Times New Roman" w:hAnsi="Times New Roman" w:eastAsia="宋体" w:cs="Times New Roman"/>
      <w:szCs w:val="20"/>
    </w:rPr>
  </w:style>
  <w:style w:type="character" w:customStyle="1" w:styleId="53">
    <w:name w:val="正文文本 3 Char"/>
    <w:link w:val="12"/>
    <w:qFormat/>
    <w:uiPriority w:val="0"/>
    <w:rPr>
      <w:rFonts w:eastAsia="仿宋_GB2312"/>
      <w:b/>
      <w:bCs/>
      <w:sz w:val="24"/>
    </w:rPr>
  </w:style>
  <w:style w:type="character" w:customStyle="1" w:styleId="54">
    <w:name w:val="正文文本 Char"/>
    <w:link w:val="13"/>
    <w:qFormat/>
    <w:uiPriority w:val="0"/>
    <w:rPr>
      <w:rFonts w:ascii="Times New Roman" w:hAnsi="Times New Roman" w:eastAsia="宋体" w:cs="Times New Roman"/>
      <w:sz w:val="28"/>
      <w:szCs w:val="24"/>
    </w:rPr>
  </w:style>
  <w:style w:type="character" w:customStyle="1" w:styleId="55">
    <w:name w:val="正文文本缩进 Char"/>
    <w:link w:val="15"/>
    <w:qFormat/>
    <w:uiPriority w:val="0"/>
    <w:rPr>
      <w:rFonts w:ascii="宋体" w:hAnsi="Times New Roman" w:eastAsia="宋体" w:cs="Times New Roman"/>
      <w:spacing w:val="-4"/>
      <w:sz w:val="18"/>
      <w:szCs w:val="20"/>
    </w:rPr>
  </w:style>
  <w:style w:type="character" w:customStyle="1" w:styleId="56">
    <w:name w:val="日期 Char"/>
    <w:link w:val="20"/>
    <w:qFormat/>
    <w:uiPriority w:val="0"/>
    <w:rPr>
      <w:rFonts w:eastAsia="楷体_GB2312"/>
      <w:sz w:val="32"/>
    </w:rPr>
  </w:style>
  <w:style w:type="character" w:customStyle="1" w:styleId="57">
    <w:name w:val="正文文本缩进 2 Char"/>
    <w:link w:val="21"/>
    <w:qFormat/>
    <w:uiPriority w:val="0"/>
    <w:rPr>
      <w:rFonts w:ascii="仿宋_GB2312" w:hAnsi="仿宋_GB2312" w:eastAsia="宋体" w:cs="Times New Roman"/>
      <w:b/>
      <w:bCs/>
      <w:color w:val="000000"/>
      <w:sz w:val="24"/>
      <w:szCs w:val="24"/>
    </w:rPr>
  </w:style>
  <w:style w:type="character" w:customStyle="1" w:styleId="58">
    <w:name w:val="批注框文本 Char"/>
    <w:link w:val="22"/>
    <w:qFormat/>
    <w:uiPriority w:val="0"/>
    <w:rPr>
      <w:rFonts w:ascii="Times New Roman" w:hAnsi="Times New Roman" w:eastAsia="宋体" w:cs="Times New Roman"/>
      <w:sz w:val="18"/>
      <w:szCs w:val="18"/>
    </w:rPr>
  </w:style>
  <w:style w:type="character" w:customStyle="1" w:styleId="59">
    <w:name w:val="页脚 Char"/>
    <w:link w:val="23"/>
    <w:qFormat/>
    <w:uiPriority w:val="0"/>
    <w:rPr>
      <w:rFonts w:ascii="Times New Roman" w:hAnsi="Times New Roman" w:eastAsia="宋体" w:cs="Times New Roman"/>
      <w:sz w:val="18"/>
      <w:szCs w:val="18"/>
    </w:rPr>
  </w:style>
  <w:style w:type="character" w:customStyle="1" w:styleId="60">
    <w:name w:val="页眉 Char"/>
    <w:link w:val="24"/>
    <w:qFormat/>
    <w:uiPriority w:val="0"/>
    <w:rPr>
      <w:rFonts w:ascii="Times New Roman" w:hAnsi="Times New Roman" w:eastAsia="宋体" w:cs="Times New Roman"/>
      <w:sz w:val="18"/>
      <w:szCs w:val="18"/>
    </w:rPr>
  </w:style>
  <w:style w:type="character" w:customStyle="1" w:styleId="61">
    <w:name w:val="副标题 Char"/>
    <w:link w:val="26"/>
    <w:qFormat/>
    <w:uiPriority w:val="0"/>
    <w:rPr>
      <w:rFonts w:ascii="Cambria" w:hAnsi="Cambria" w:eastAsia="宋体" w:cs="Times New Roman"/>
      <w:b/>
      <w:bCs/>
      <w:kern w:val="28"/>
      <w:sz w:val="32"/>
      <w:szCs w:val="32"/>
    </w:rPr>
  </w:style>
  <w:style w:type="character" w:customStyle="1" w:styleId="62">
    <w:name w:val="正文文本缩进 3 Char"/>
    <w:link w:val="28"/>
    <w:qFormat/>
    <w:uiPriority w:val="0"/>
    <w:rPr>
      <w:rFonts w:ascii="仿宋_GB2312" w:eastAsia="仿宋_GB2312"/>
      <w:color w:val="000000"/>
      <w:sz w:val="24"/>
      <w:szCs w:val="24"/>
    </w:rPr>
  </w:style>
  <w:style w:type="character" w:customStyle="1" w:styleId="63">
    <w:name w:val="正文文本 2 Char"/>
    <w:link w:val="30"/>
    <w:qFormat/>
    <w:uiPriority w:val="0"/>
    <w:rPr>
      <w:rFonts w:ascii="宋体" w:hAnsi="Times New Roman" w:eastAsia="宋体" w:cs="Times New Roman"/>
      <w:color w:val="000000"/>
      <w:sz w:val="24"/>
      <w:szCs w:val="24"/>
    </w:rPr>
  </w:style>
  <w:style w:type="character" w:customStyle="1" w:styleId="64">
    <w:name w:val="批注主题 Char"/>
    <w:link w:val="33"/>
    <w:qFormat/>
    <w:uiPriority w:val="0"/>
    <w:rPr>
      <w:rFonts w:ascii="Times New Roman" w:hAnsi="Times New Roman" w:eastAsia="宋体" w:cs="Times New Roman"/>
      <w:szCs w:val="20"/>
    </w:rPr>
  </w:style>
  <w:style w:type="character" w:customStyle="1" w:styleId="65">
    <w:name w:val="样式 标题 1合同标题卷标题H1h1Level 1 Topic HeadingH11H12H111H13H1... Char"/>
    <w:qFormat/>
    <w:uiPriority w:val="0"/>
    <w:rPr>
      <w:rFonts w:ascii="宋体" w:hAnsi="Times New Roman" w:eastAsia="宋体" w:cs="Times New Roman"/>
      <w:b/>
      <w:bCs/>
      <w:kern w:val="44"/>
      <w:sz w:val="24"/>
      <w:szCs w:val="44"/>
      <w:lang w:val="en-US" w:eastAsia="zh-CN" w:bidi="ar-SA"/>
    </w:rPr>
  </w:style>
  <w:style w:type="character" w:customStyle="1" w:styleId="66">
    <w:name w:val="未处理的提及1"/>
    <w:qFormat/>
    <w:uiPriority w:val="0"/>
    <w:rPr>
      <w:rFonts w:ascii="Times New Roman" w:hAnsi="Times New Roman" w:eastAsia="宋体" w:cs="Times New Roman"/>
      <w:color w:val="605E5C"/>
      <w:shd w:val="clear" w:color="auto" w:fill="E1DFDD"/>
    </w:rPr>
  </w:style>
  <w:style w:type="character" w:customStyle="1" w:styleId="67">
    <w:name w:val="NormalCharacter"/>
    <w:qFormat/>
    <w:uiPriority w:val="0"/>
    <w:rPr>
      <w:rFonts w:ascii="Times New Roman" w:hAnsi="Times New Roman" w:eastAsia="宋体" w:cs="Times New Roman"/>
    </w:rPr>
  </w:style>
  <w:style w:type="character" w:customStyle="1" w:styleId="68">
    <w:name w:val="style7"/>
    <w:qFormat/>
    <w:uiPriority w:val="0"/>
    <w:rPr>
      <w:rFonts w:ascii="Times New Roman" w:hAnsi="Times New Roman" w:eastAsia="宋体" w:cs="Times New Roman"/>
    </w:rPr>
  </w:style>
  <w:style w:type="character" w:customStyle="1" w:styleId="69">
    <w:name w:val="页脚 字符"/>
    <w:qFormat/>
    <w:uiPriority w:val="0"/>
    <w:rPr>
      <w:rFonts w:ascii="Times New Roman" w:hAnsi="Times New Roman" w:eastAsia="宋体" w:cs="Times New Roman"/>
      <w:sz w:val="18"/>
      <w:szCs w:val="18"/>
    </w:rPr>
  </w:style>
  <w:style w:type="character" w:customStyle="1" w:styleId="70">
    <w:name w:val="c_title1"/>
    <w:qFormat/>
    <w:uiPriority w:val="0"/>
    <w:rPr>
      <w:rFonts w:ascii="黑体" w:hAnsi="Times New Roman" w:eastAsia="黑体" w:cs="Times New Roman"/>
      <w:color w:val="03005C"/>
      <w:sz w:val="30"/>
      <w:szCs w:val="30"/>
      <w:u w:val="none"/>
    </w:rPr>
  </w:style>
  <w:style w:type="character" w:customStyle="1" w:styleId="71">
    <w:name w:val="fontstyle01"/>
    <w:qFormat/>
    <w:uiPriority w:val="0"/>
    <w:rPr>
      <w:rFonts w:hint="eastAsia" w:ascii="宋体" w:hAnsi="宋体" w:eastAsia="宋体" w:cs="Times New Roman"/>
      <w:color w:val="000000"/>
      <w:sz w:val="22"/>
      <w:szCs w:val="22"/>
    </w:rPr>
  </w:style>
  <w:style w:type="character" w:customStyle="1" w:styleId="72">
    <w:name w:val="unnamed1"/>
    <w:qFormat/>
    <w:uiPriority w:val="0"/>
    <w:rPr>
      <w:rFonts w:ascii="Times New Roman" w:hAnsi="Times New Roman" w:eastAsia="宋体" w:cs="Times New Roman"/>
    </w:rPr>
  </w:style>
  <w:style w:type="character" w:customStyle="1" w:styleId="73">
    <w:name w:val="apple-style-span"/>
    <w:qFormat/>
    <w:uiPriority w:val="0"/>
    <w:rPr>
      <w:rFonts w:ascii="Times New Roman" w:hAnsi="Times New Roman" w:eastAsia="宋体" w:cs="Times New Roman"/>
    </w:rPr>
  </w:style>
  <w:style w:type="character" w:customStyle="1" w:styleId="74">
    <w:name w:val="bookmark-item"/>
    <w:qFormat/>
    <w:uiPriority w:val="0"/>
    <w:rPr>
      <w:rFonts w:ascii="Times New Roman" w:hAnsi="Times New Roman" w:eastAsia="宋体" w:cs="Times New Roman"/>
    </w:rPr>
  </w:style>
  <w:style w:type="character" w:customStyle="1" w:styleId="75">
    <w:name w:val="页眉 字符"/>
    <w:qFormat/>
    <w:uiPriority w:val="0"/>
    <w:rPr>
      <w:rFonts w:ascii="Times New Roman" w:hAnsi="Times New Roman" w:eastAsia="宋体" w:cs="Times New Roman"/>
      <w:sz w:val="18"/>
      <w:szCs w:val="18"/>
    </w:rPr>
  </w:style>
  <w:style w:type="character" w:customStyle="1" w:styleId="76">
    <w:name w:val="未处理的提及2"/>
    <w:qFormat/>
    <w:uiPriority w:val="0"/>
    <w:rPr>
      <w:rFonts w:ascii="Times New Roman" w:hAnsi="Times New Roman" w:eastAsia="宋体" w:cs="Times New Roman"/>
      <w:color w:val="605E5C"/>
      <w:shd w:val="clear" w:color="auto" w:fill="E1DFDD"/>
    </w:rPr>
  </w:style>
  <w:style w:type="character" w:customStyle="1" w:styleId="77">
    <w:name w:val="style11"/>
    <w:qFormat/>
    <w:uiPriority w:val="0"/>
    <w:rPr>
      <w:rFonts w:ascii="Times New Roman" w:hAnsi="Times New Roman" w:eastAsia="宋体" w:cs="Times New Roman"/>
      <w:color w:val="000000"/>
      <w:sz w:val="16"/>
      <w:szCs w:val="16"/>
    </w:rPr>
  </w:style>
  <w:style w:type="character" w:customStyle="1" w:styleId="78">
    <w:name w:val="副标题 Char1"/>
    <w:qFormat/>
    <w:uiPriority w:val="0"/>
    <w:rPr>
      <w:rFonts w:ascii="Cambria" w:hAnsi="Cambria" w:eastAsia="宋体" w:cs="Times New Roman"/>
      <w:b/>
      <w:bCs/>
      <w:kern w:val="28"/>
      <w:sz w:val="32"/>
      <w:szCs w:val="32"/>
    </w:rPr>
  </w:style>
  <w:style w:type="character" w:customStyle="1" w:styleId="79">
    <w:name w:val="纯文本 Char"/>
    <w:qFormat/>
    <w:uiPriority w:val="0"/>
    <w:rPr>
      <w:rFonts w:ascii="宋体" w:hAnsi="Courier New" w:eastAsia="宋体" w:cs="Times New Roman"/>
      <w:szCs w:val="20"/>
    </w:rPr>
  </w:style>
  <w:style w:type="character" w:customStyle="1" w:styleId="80">
    <w:name w:val="ca-32"/>
    <w:qFormat/>
    <w:uiPriority w:val="0"/>
    <w:rPr>
      <w:rFonts w:ascii="Times New Roman" w:hAnsi="Times New Roman" w:eastAsia="宋体" w:cs="Times New Roman"/>
    </w:rPr>
  </w:style>
  <w:style w:type="paragraph" w:customStyle="1" w:styleId="81">
    <w:name w:val="tgt2"/>
    <w:basedOn w:val="1"/>
    <w:qFormat/>
    <w:uiPriority w:val="0"/>
    <w:pPr>
      <w:widowControl/>
      <w:spacing w:after="150" w:line="360" w:lineRule="auto"/>
      <w:jc w:val="left"/>
    </w:pPr>
    <w:rPr>
      <w:rFonts w:ascii="宋体" w:cs="宋体"/>
      <w:b/>
      <w:bCs/>
      <w:kern w:val="0"/>
      <w:sz w:val="36"/>
      <w:szCs w:val="36"/>
    </w:rPr>
  </w:style>
  <w:style w:type="paragraph" w:customStyle="1" w:styleId="82">
    <w:name w:val="修订1"/>
    <w:qFormat/>
    <w:uiPriority w:val="0"/>
    <w:rPr>
      <w:rFonts w:ascii="Times New Roman" w:hAnsi="Times New Roman" w:eastAsia="宋体" w:cs="Times New Roman"/>
      <w:kern w:val="2"/>
      <w:sz w:val="21"/>
      <w:szCs w:val="24"/>
      <w:lang w:val="en-US" w:eastAsia="zh-CN" w:bidi="ar-SA"/>
    </w:rPr>
  </w:style>
  <w:style w:type="paragraph" w:customStyle="1" w:styleId="83">
    <w:name w:val="列出段落1"/>
    <w:basedOn w:val="1"/>
    <w:qFormat/>
    <w:uiPriority w:val="0"/>
    <w:pPr>
      <w:ind w:firstLine="200" w:firstLineChars="200"/>
    </w:pPr>
    <w:rPr>
      <w:rFonts w:ascii="Calibri" w:hAnsi="Calibri"/>
      <w:szCs w:val="22"/>
    </w:rPr>
  </w:style>
  <w:style w:type="paragraph" w:customStyle="1" w:styleId="84">
    <w:name w:val="Char Char Char Char Char Char"/>
    <w:basedOn w:val="1"/>
    <w:qFormat/>
    <w:uiPriority w:val="0"/>
    <w:pPr>
      <w:ind w:firstLine="200" w:firstLineChars="200"/>
    </w:pPr>
    <w:rPr>
      <w:rFonts w:ascii="Tahoma" w:hAnsi="Tahoma"/>
      <w:sz w:val="24"/>
      <w:szCs w:val="20"/>
    </w:rPr>
  </w:style>
  <w:style w:type="paragraph" w:customStyle="1" w:styleId="85">
    <w:name w:val="op_mapdots_left"/>
    <w:basedOn w:val="1"/>
    <w:qFormat/>
    <w:uiPriority w:val="0"/>
    <w:pPr>
      <w:widowControl/>
      <w:jc w:val="left"/>
    </w:pPr>
    <w:rPr>
      <w:rFonts w:ascii="宋体" w:cs="宋体"/>
      <w:kern w:val="0"/>
      <w:sz w:val="24"/>
    </w:rPr>
  </w:style>
  <w:style w:type="paragraph" w:customStyle="1" w:styleId="8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7">
    <w:name w:val="列出段落11"/>
    <w:basedOn w:val="1"/>
    <w:qFormat/>
    <w:uiPriority w:val="0"/>
    <w:pPr>
      <w:ind w:firstLine="200" w:firstLineChars="200"/>
      <w:jc w:val="left"/>
    </w:pPr>
    <w:rPr>
      <w:rFonts w:ascii="Calibri" w:hAnsi="Calibri" w:cs="Arial"/>
      <w:szCs w:val="22"/>
    </w:rPr>
  </w:style>
  <w:style w:type="paragraph" w:customStyle="1" w:styleId="88">
    <w:name w:val="Table Paragraph"/>
    <w:basedOn w:val="1"/>
    <w:qFormat/>
    <w:uiPriority w:val="0"/>
    <w:pPr>
      <w:jc w:val="left"/>
    </w:pPr>
    <w:rPr>
      <w:rFonts w:ascii="Calibri" w:hAnsi="Calibri"/>
      <w:sz w:val="22"/>
      <w:szCs w:val="22"/>
      <w:lang w:eastAsia="en-US"/>
    </w:rPr>
  </w:style>
  <w:style w:type="paragraph" w:customStyle="1" w:styleId="89">
    <w:name w:val="Char1"/>
    <w:basedOn w:val="1"/>
    <w:qFormat/>
    <w:uiPriority w:val="0"/>
    <w:rPr>
      <w:rFonts w:ascii="Tahoma" w:hAnsi="Tahoma"/>
      <w:sz w:val="24"/>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Char1 Char Char Char1"/>
    <w:basedOn w:val="1"/>
    <w:qFormat/>
    <w:uiPriority w:val="0"/>
    <w:pPr>
      <w:tabs>
        <w:tab w:val="left" w:pos="840"/>
      </w:tabs>
      <w:ind w:left="840" w:hanging="420"/>
      <w:jc w:val="left"/>
    </w:pPr>
    <w:rPr>
      <w:rFonts w:ascii="宋体" w:hAnsi="宋体" w:cs="Arial"/>
      <w:sz w:val="24"/>
    </w:rPr>
  </w:style>
  <w:style w:type="paragraph" w:customStyle="1" w:styleId="92">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3">
    <w:name w:val="正文1"/>
    <w:basedOn w:val="1"/>
    <w:qFormat/>
    <w:uiPriority w:val="0"/>
    <w:pPr>
      <w:spacing w:line="318" w:lineRule="atLeast"/>
      <w:ind w:left="369" w:firstLine="369"/>
    </w:pPr>
    <w:rPr>
      <w:rFonts w:ascii="宋体"/>
    </w:rPr>
  </w:style>
  <w:style w:type="paragraph" w:customStyle="1" w:styleId="94">
    <w:name w:val="Char3"/>
    <w:basedOn w:val="1"/>
    <w:qFormat/>
    <w:uiPriority w:val="0"/>
    <w:pPr>
      <w:ind w:firstLine="200" w:firstLineChars="200"/>
      <w:jc w:val="left"/>
    </w:pPr>
    <w:rPr>
      <w:rFonts w:ascii="幼圆" w:hAnsi="宋体" w:eastAsia="幼圆" w:cs="幼圆"/>
      <w:sz w:val="24"/>
      <w:szCs w:val="21"/>
    </w:rPr>
  </w:style>
  <w:style w:type="paragraph" w:customStyle="1" w:styleId="95">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9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7">
    <w:name w:val="333"/>
    <w:basedOn w:val="1"/>
    <w:qFormat/>
    <w:uiPriority w:val="0"/>
  </w:style>
  <w:style w:type="paragraph" w:customStyle="1" w:styleId="98">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99">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00">
    <w:name w:val="p0"/>
    <w:basedOn w:val="1"/>
    <w:qFormat/>
    <w:uiPriority w:val="0"/>
    <w:pPr>
      <w:widowControl/>
    </w:pPr>
    <w:rPr>
      <w:kern w:val="0"/>
      <w:szCs w:val="21"/>
    </w:rPr>
  </w:style>
  <w:style w:type="paragraph" w:customStyle="1" w:styleId="10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2">
    <w:name w:val="Char"/>
    <w:basedOn w:val="1"/>
    <w:qFormat/>
    <w:uiPriority w:val="0"/>
    <w:pPr>
      <w:ind w:firstLine="200" w:firstLineChars="200"/>
    </w:pPr>
    <w:rPr>
      <w:rFonts w:ascii="幼圆" w:eastAsia="幼圆" w:cs="幼圆"/>
      <w:sz w:val="24"/>
      <w:szCs w:val="20"/>
    </w:rPr>
  </w:style>
  <w:style w:type="paragraph" w:customStyle="1" w:styleId="103">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06">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07">
    <w:name w:val="Char21"/>
    <w:basedOn w:val="1"/>
    <w:qFormat/>
    <w:uiPriority w:val="0"/>
    <w:pPr>
      <w:jc w:val="left"/>
    </w:pPr>
    <w:rPr>
      <w:rFonts w:ascii="仿宋_GB2312" w:hAnsi="宋体" w:eastAsia="仿宋_GB2312" w:cs="Arial"/>
      <w:b/>
      <w:sz w:val="32"/>
      <w:szCs w:val="32"/>
    </w:rPr>
  </w:style>
  <w:style w:type="paragraph" w:customStyle="1" w:styleId="108">
    <w:name w:val="Char2"/>
    <w:basedOn w:val="1"/>
    <w:qFormat/>
    <w:uiPriority w:val="0"/>
    <w:rPr>
      <w:rFonts w:ascii="仿宋_GB2312" w:eastAsia="仿宋_GB2312"/>
      <w:b/>
      <w:sz w:val="32"/>
      <w:szCs w:val="32"/>
    </w:rPr>
  </w:style>
  <w:style w:type="paragraph" w:customStyle="1" w:styleId="109">
    <w:name w:val="Char Char Char Char Char Char Char Char Char Char Char Char1 Char"/>
    <w:basedOn w:val="10"/>
    <w:qFormat/>
    <w:uiPriority w:val="0"/>
    <w:rPr>
      <w:rFonts w:ascii="Tahoma" w:hAnsi="Tahoma"/>
      <w:sz w:val="24"/>
    </w:rPr>
  </w:style>
  <w:style w:type="paragraph" w:customStyle="1" w:styleId="110">
    <w:name w:val="table_1stline"/>
    <w:basedOn w:val="1"/>
    <w:qFormat/>
    <w:uiPriority w:val="0"/>
    <w:pPr>
      <w:spacing w:before="120"/>
    </w:pPr>
    <w:rPr>
      <w:bCs/>
      <w:szCs w:val="20"/>
    </w:rPr>
  </w:style>
  <w:style w:type="paragraph" w:styleId="111">
    <w:name w:val="List Paragraph"/>
    <w:basedOn w:val="1"/>
    <w:qFormat/>
    <w:uiPriority w:val="0"/>
    <w:pPr>
      <w:ind w:firstLine="420" w:firstLineChars="200"/>
    </w:pPr>
  </w:style>
  <w:style w:type="paragraph" w:customStyle="1" w:styleId="112">
    <w:name w:val="自由格式 A"/>
    <w:qFormat/>
    <w:uiPriority w:val="0"/>
    <w:rPr>
      <w:rFonts w:ascii="Helvetica" w:hAnsi="Helvetica" w:eastAsia="ヒラギノ角ゴ Pro W3" w:cs="Times New Roman"/>
      <w:color w:val="000000"/>
      <w:sz w:val="24"/>
      <w:lang w:val="en-US" w:eastAsia="zh-CN" w:bidi="ar-SA"/>
    </w:rPr>
  </w:style>
  <w:style w:type="paragraph" w:customStyle="1" w:styleId="113">
    <w:name w:val="_Style 2"/>
    <w:basedOn w:val="1"/>
    <w:qFormat/>
    <w:uiPriority w:val="0"/>
    <w:pPr>
      <w:ind w:firstLine="420" w:firstLineChars="200"/>
    </w:pPr>
  </w:style>
  <w:style w:type="paragraph" w:customStyle="1" w:styleId="114">
    <w:name w:val="p15"/>
    <w:basedOn w:val="1"/>
    <w:qFormat/>
    <w:uiPriority w:val="0"/>
    <w:pPr>
      <w:widowControl/>
    </w:pPr>
    <w:rPr>
      <w:kern w:val="0"/>
      <w:szCs w:val="21"/>
    </w:rPr>
  </w:style>
  <w:style w:type="paragraph" w:customStyle="1" w:styleId="115">
    <w:name w:val="无间隔1"/>
    <w:basedOn w:val="1"/>
    <w:qFormat/>
    <w:uiPriority w:val="0"/>
    <w:rPr>
      <w:rFonts w:cs="宋体"/>
      <w:kern w:val="0"/>
      <w:szCs w:val="21"/>
    </w:rPr>
  </w:style>
  <w:style w:type="paragraph" w:customStyle="1" w:styleId="116">
    <w:name w:val="Char11"/>
    <w:basedOn w:val="1"/>
    <w:qFormat/>
    <w:uiPriority w:val="0"/>
  </w:style>
  <w:style w:type="paragraph" w:customStyle="1" w:styleId="117">
    <w:name w:val="列出段落2"/>
    <w:basedOn w:val="1"/>
    <w:qFormat/>
    <w:uiPriority w:val="0"/>
    <w:pPr>
      <w:ind w:firstLine="200" w:firstLineChars="200"/>
    </w:pPr>
    <w:rPr>
      <w:rFonts w:ascii="Calibri" w:hAnsi="Calibri"/>
      <w:szCs w:val="22"/>
    </w:rPr>
  </w:style>
  <w:style w:type="paragraph" w:customStyle="1" w:styleId="118">
    <w:name w:val="样式1"/>
    <w:basedOn w:val="6"/>
    <w:qFormat/>
    <w:uiPriority w:val="0"/>
    <w:rPr>
      <w:rFonts w:ascii="Times New Roman" w:hAnsi="Times New Roman" w:eastAsia="宋体"/>
    </w:rPr>
  </w:style>
  <w:style w:type="paragraph" w:customStyle="1" w:styleId="119">
    <w:name w:val="table_lines"/>
    <w:basedOn w:val="1"/>
    <w:qFormat/>
    <w:uiPriority w:val="0"/>
    <w:rPr>
      <w:szCs w:val="20"/>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Default"/>
    <w:next w:val="8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Char Char Char Char Char Char1"/>
    <w:basedOn w:val="1"/>
    <w:qFormat/>
    <w:uiPriority w:val="0"/>
    <w:pPr>
      <w:ind w:firstLine="200" w:firstLineChars="200"/>
      <w:jc w:val="left"/>
    </w:pPr>
    <w:rPr>
      <w:rFonts w:ascii="Tahoma" w:hAnsi="Tahoma" w:cs="Arial"/>
      <w:sz w:val="24"/>
      <w:szCs w:val="21"/>
    </w:rPr>
  </w:style>
  <w:style w:type="paragraph" w:customStyle="1" w:styleId="123">
    <w:name w:val="纯文本1"/>
    <w:basedOn w:val="1"/>
    <w:qFormat/>
    <w:uiPriority w:val="0"/>
    <w:pPr>
      <w:spacing w:beforeLines="50" w:afterLines="50" w:line="400" w:lineRule="exact"/>
    </w:pPr>
    <w:rPr>
      <w:rFonts w:ascii="宋体" w:hAnsi="Courier New"/>
      <w:sz w:val="24"/>
    </w:rPr>
  </w:style>
  <w:style w:type="paragraph" w:customStyle="1" w:styleId="124">
    <w:name w:val="Char Char Char Char"/>
    <w:basedOn w:val="1"/>
    <w:qFormat/>
    <w:uiPriority w:val="0"/>
    <w:pPr>
      <w:widowControl/>
      <w:spacing w:after="160" w:line="240" w:lineRule="exact"/>
      <w:jc w:val="left"/>
    </w:pPr>
    <w:rPr>
      <w:szCs w:val="20"/>
    </w:rPr>
  </w:style>
  <w:style w:type="paragraph" w:customStyle="1" w:styleId="125">
    <w:name w:val="Char Char Char Char1"/>
    <w:basedOn w:val="1"/>
    <w:qFormat/>
    <w:uiPriority w:val="0"/>
    <w:pPr>
      <w:widowControl/>
      <w:spacing w:after="160" w:line="240" w:lineRule="exact"/>
      <w:jc w:val="left"/>
    </w:pPr>
    <w:rPr>
      <w:rFonts w:ascii="宋体" w:hAnsi="宋体" w:cs="Arial"/>
      <w:szCs w:val="21"/>
    </w:rPr>
  </w:style>
  <w:style w:type="paragraph" w:customStyle="1" w:styleId="126">
    <w:name w:val="NormalIndent"/>
    <w:basedOn w:val="1"/>
    <w:qFormat/>
    <w:uiPriority w:val="0"/>
    <w:pPr>
      <w:tabs>
        <w:tab w:val="left" w:pos="2040"/>
      </w:tabs>
      <w:ind w:firstLine="420"/>
      <w:textAlignment w:val="baseline"/>
    </w:pPr>
    <w:rPr>
      <w:szCs w:val="20"/>
    </w:rPr>
  </w:style>
  <w:style w:type="paragraph" w:customStyle="1" w:styleId="12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8">
    <w:name w:val="Char1 Char Char Char"/>
    <w:basedOn w:val="1"/>
    <w:qFormat/>
    <w:uiPriority w:val="0"/>
    <w:pPr>
      <w:tabs>
        <w:tab w:val="left" w:pos="840"/>
      </w:tabs>
      <w:ind w:left="840" w:hanging="420"/>
    </w:pPr>
    <w:rPr>
      <w:sz w:val="24"/>
    </w:rPr>
  </w:style>
  <w:style w:type="paragraph" w:customStyle="1" w:styleId="129">
    <w:name w:val="pa-1"/>
    <w:basedOn w:val="1"/>
    <w:qFormat/>
    <w:uiPriority w:val="0"/>
    <w:pPr>
      <w:widowControl/>
      <w:spacing w:before="100" w:beforeAutospacing="1" w:after="100" w:afterAutospacing="1"/>
      <w:jc w:val="left"/>
    </w:pPr>
    <w:rPr>
      <w:rFonts w:ascii="宋体" w:cs="宋体"/>
      <w:kern w:val="0"/>
      <w:sz w:val="24"/>
    </w:rPr>
  </w:style>
  <w:style w:type="paragraph" w:customStyle="1" w:styleId="130">
    <w:name w:val="Char Char Char Char Char Char Char Char Char Char Char Char1 Char1"/>
    <w:basedOn w:val="10"/>
    <w:qFormat/>
    <w:uiPriority w:val="0"/>
    <w:pPr>
      <w:jc w:val="left"/>
    </w:pPr>
    <w:rPr>
      <w:rFonts w:ascii="Tahoma" w:hAnsi="Tahoma" w:cs="Arial"/>
      <w:sz w:val="24"/>
    </w:rPr>
  </w:style>
  <w:style w:type="paragraph" w:customStyle="1" w:styleId="131">
    <w:name w:val="正文2"/>
    <w:basedOn w:val="1"/>
    <w:qFormat/>
    <w:uiPriority w:val="0"/>
    <w:pPr>
      <w:adjustRightInd w:val="0"/>
      <w:spacing w:line="318" w:lineRule="atLeast"/>
      <w:ind w:left="369" w:firstLine="369"/>
      <w:textAlignment w:val="baseline"/>
    </w:pPr>
    <w:rPr>
      <w:rFonts w:ascii="宋体"/>
      <w:szCs w:val="20"/>
    </w:rPr>
  </w:style>
  <w:style w:type="character" w:customStyle="1" w:styleId="132">
    <w:name w:val="address-info"/>
    <w:basedOn w:val="37"/>
    <w:qFormat/>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customXml/item2.xml" Type="http://schemas.openxmlformats.org/officeDocument/2006/relationships/customXml"/><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1556C-1CB7-402E-9231-652E004368D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90</Pages>
  <Words>54833</Words>
  <Characters>56549</Characters>
  <Lines>461</Lines>
  <Paragraphs>129</Paragraphs>
  <TotalTime>20</TotalTime>
  <ScaleCrop>false</ScaleCrop>
  <LinksUpToDate>false</LinksUpToDate>
  <CharactersWithSpaces>58622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2022-06-19T08:38:00Z</dcterms:created>
  <dc:creator>yan</dc:creator>
  <cp:lastModifiedBy>家有小方</cp:lastModifiedBy>
  <cp:lastPrinted>2022-12-08T07:43:00Z</cp:lastPrinted>
  <dcterms:modified xsi:type="dcterms:W3CDTF">2023-01-30T02:38:16Z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44D3FC565C124E26A15C129CD364CCC8</vt:lpwstr>
  </property>
</Properties>
</file>