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492E385">
      <w:pPr>
        <w:rPr>
          <w:rFonts w:ascii="宋体" w:hAnsi="宋体"/>
          <w:color w:val="auto"/>
          <w:sz w:val="44"/>
          <w:szCs w:val="20"/>
          <w:highlight w:val="none"/>
        </w:rPr>
      </w:pPr>
    </w:p>
    <w:p w14:paraId="4F487D35">
      <w:pPr>
        <w:rPr>
          <w:rFonts w:ascii="宋体" w:hAnsi="宋体"/>
          <w:color w:val="auto"/>
          <w:sz w:val="52"/>
          <w:szCs w:val="52"/>
          <w:highlight w:val="none"/>
        </w:rPr>
      </w:pPr>
    </w:p>
    <w:p w14:paraId="63C1E403">
      <w:pPr>
        <w:spacing w:line="360" w:lineRule="auto"/>
        <w:jc w:val="distribute"/>
        <w:rPr>
          <w:rFonts w:hint="eastAsia" w:ascii="宋体" w:hAnsi="宋体" w:cs="宋体"/>
          <w:b/>
          <w:bCs w:val="0"/>
          <w:color w:val="auto"/>
          <w:sz w:val="48"/>
          <w:szCs w:val="48"/>
          <w:highlight w:val="none"/>
          <w:lang w:eastAsia="zh-CN"/>
        </w:rPr>
      </w:pPr>
      <w:r>
        <w:rPr>
          <w:rFonts w:hint="eastAsia" w:ascii="宋体" w:hAnsi="宋体" w:cs="宋体"/>
          <w:b/>
          <w:bCs w:val="0"/>
          <w:color w:val="auto"/>
          <w:sz w:val="48"/>
          <w:szCs w:val="48"/>
          <w:highlight w:val="none"/>
          <w:lang w:eastAsia="zh-CN"/>
        </w:rPr>
        <w:t>宁波市海曙区古林镇中心小学</w:t>
      </w:r>
    </w:p>
    <w:p w14:paraId="62BD549F">
      <w:pPr>
        <w:spacing w:line="360" w:lineRule="auto"/>
        <w:jc w:val="distribute"/>
        <w:rPr>
          <w:rFonts w:hint="eastAsia" w:ascii="宋体" w:hAnsi="宋体" w:eastAsia="宋体" w:cs="宋体"/>
          <w:b/>
          <w:bCs w:val="0"/>
          <w:color w:val="auto"/>
          <w:sz w:val="48"/>
          <w:szCs w:val="48"/>
          <w:highlight w:val="none"/>
          <w:lang w:eastAsia="zh-CN"/>
        </w:rPr>
      </w:pPr>
      <w:r>
        <w:rPr>
          <w:rFonts w:hint="eastAsia" w:ascii="宋体" w:hAnsi="宋体" w:eastAsia="宋体" w:cs="宋体"/>
          <w:b/>
          <w:bCs w:val="0"/>
          <w:color w:val="auto"/>
          <w:sz w:val="48"/>
          <w:szCs w:val="48"/>
          <w:highlight w:val="none"/>
          <w:lang w:eastAsia="zh-CN"/>
        </w:rPr>
        <w:t>2025年年度教职工疗休养</w:t>
      </w:r>
    </w:p>
    <w:p w14:paraId="743AFC41">
      <w:pPr>
        <w:spacing w:line="360" w:lineRule="auto"/>
        <w:jc w:val="left"/>
        <w:rPr>
          <w:rFonts w:hint="eastAsia" w:ascii="宋体" w:hAnsi="宋体" w:eastAsia="宋体" w:cs="宋体"/>
          <w:color w:val="auto"/>
          <w:sz w:val="40"/>
          <w:szCs w:val="40"/>
          <w:highlight w:val="none"/>
        </w:rPr>
      </w:pPr>
    </w:p>
    <w:p w14:paraId="48B61E5B">
      <w:pPr>
        <w:spacing w:before="156" w:beforeLines="50"/>
        <w:jc w:val="center"/>
        <w:rPr>
          <w:rFonts w:hint="eastAsia" w:ascii="宋体" w:hAnsi="宋体" w:eastAsia="宋体" w:cs="宋体"/>
          <w:b/>
          <w:bCs/>
          <w:color w:val="auto"/>
          <w:sz w:val="52"/>
          <w:szCs w:val="52"/>
          <w:highlight w:val="none"/>
        </w:rPr>
      </w:pPr>
    </w:p>
    <w:p w14:paraId="74F96644">
      <w:pPr>
        <w:spacing w:before="156" w:beforeLines="50"/>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竞争性磋商采购文件</w:t>
      </w:r>
    </w:p>
    <w:p w14:paraId="40ABE5EF">
      <w:pPr>
        <w:pStyle w:val="2"/>
        <w:ind w:firstLine="210"/>
        <w:rPr>
          <w:rFonts w:hint="eastAsia" w:ascii="宋体" w:hAnsi="宋体" w:eastAsia="宋体" w:cs="宋体"/>
          <w:b/>
          <w:bCs/>
          <w:color w:val="auto"/>
          <w:highlight w:val="none"/>
        </w:rPr>
      </w:pPr>
    </w:p>
    <w:p w14:paraId="47966AD2">
      <w:pPr>
        <w:snapToGrid w:val="0"/>
        <w:spacing w:before="120" w:after="120" w:line="36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30"/>
          <w:szCs w:val="30"/>
          <w:highlight w:val="none"/>
        </w:rPr>
        <w:t>项目编号：</w:t>
      </w:r>
      <w:r>
        <w:rPr>
          <w:rFonts w:hint="eastAsia" w:ascii="宋体" w:hAnsi="宋体" w:cs="宋体"/>
          <w:b/>
          <w:bCs/>
          <w:color w:val="auto"/>
          <w:sz w:val="32"/>
          <w:szCs w:val="32"/>
          <w:highlight w:val="none"/>
          <w:lang w:eastAsia="zh-CN"/>
        </w:rPr>
        <w:t>2025NBHSWCS302</w:t>
      </w:r>
    </w:p>
    <w:p w14:paraId="6A10ACB8">
      <w:pPr>
        <w:spacing w:line="360" w:lineRule="auto"/>
        <w:rPr>
          <w:rFonts w:hint="eastAsia" w:ascii="宋体" w:hAnsi="宋体" w:eastAsia="宋体" w:cs="宋体"/>
          <w:b/>
          <w:bCs/>
          <w:color w:val="auto"/>
          <w:sz w:val="28"/>
          <w:szCs w:val="28"/>
          <w:highlight w:val="none"/>
        </w:rPr>
      </w:pPr>
    </w:p>
    <w:p w14:paraId="55AAC51B">
      <w:pPr>
        <w:spacing w:line="360" w:lineRule="auto"/>
        <w:rPr>
          <w:rFonts w:hint="eastAsia" w:ascii="宋体" w:hAnsi="宋体" w:eastAsia="宋体" w:cs="宋体"/>
          <w:b/>
          <w:bCs/>
          <w:color w:val="auto"/>
          <w:sz w:val="28"/>
          <w:szCs w:val="28"/>
          <w:highlight w:val="none"/>
        </w:rPr>
      </w:pPr>
    </w:p>
    <w:p w14:paraId="77EFC489">
      <w:pPr>
        <w:spacing w:line="360" w:lineRule="auto"/>
        <w:rPr>
          <w:rFonts w:hint="eastAsia" w:ascii="宋体" w:hAnsi="宋体" w:eastAsia="宋体" w:cs="宋体"/>
          <w:b/>
          <w:bCs/>
          <w:color w:val="auto"/>
          <w:sz w:val="28"/>
          <w:szCs w:val="28"/>
          <w:highlight w:val="none"/>
        </w:rPr>
      </w:pPr>
    </w:p>
    <w:p w14:paraId="0AED26EB">
      <w:pPr>
        <w:spacing w:line="480" w:lineRule="auto"/>
        <w:jc w:val="left"/>
        <w:rPr>
          <w:rFonts w:hint="eastAsia" w:ascii="宋体" w:hAnsi="宋体" w:eastAsia="宋体" w:cs="宋体"/>
          <w:b/>
          <w:bCs/>
          <w:color w:val="auto"/>
          <w:sz w:val="28"/>
          <w:szCs w:val="28"/>
          <w:highlight w:val="none"/>
        </w:rPr>
      </w:pPr>
    </w:p>
    <w:p w14:paraId="56FC67D3">
      <w:pPr>
        <w:snapToGrid w:val="0"/>
        <w:spacing w:line="480" w:lineRule="auto"/>
        <w:ind w:left="1260" w:leftChars="600"/>
        <w:jc w:val="left"/>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采购单位：</w:t>
      </w:r>
      <w:r>
        <w:rPr>
          <w:rFonts w:hint="eastAsia" w:ascii="宋体" w:hAnsi="宋体" w:cs="宋体"/>
          <w:b/>
          <w:bCs/>
          <w:color w:val="auto"/>
          <w:sz w:val="30"/>
          <w:szCs w:val="30"/>
          <w:highlight w:val="none"/>
          <w:lang w:eastAsia="zh-CN"/>
        </w:rPr>
        <w:t>宁波市海曙区古林镇中心小学</w:t>
      </w:r>
    </w:p>
    <w:p w14:paraId="06A97B02">
      <w:pPr>
        <w:snapToGrid w:val="0"/>
        <w:spacing w:line="480" w:lineRule="auto"/>
        <w:ind w:left="1260" w:leftChars="60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代理机构：宁波之新招标咨询有限公司</w:t>
      </w:r>
    </w:p>
    <w:p w14:paraId="74D47F01">
      <w:pPr>
        <w:snapToGrid w:val="0"/>
        <w:spacing w:line="480" w:lineRule="auto"/>
        <w:ind w:left="1260" w:leftChars="600"/>
        <w:jc w:val="left"/>
        <w:rPr>
          <w:rFonts w:hint="eastAsia" w:ascii="宋体" w:hAnsi="宋体" w:eastAsia="宋体" w:cs="宋体"/>
          <w:b/>
          <w:bCs/>
          <w:color w:val="auto"/>
          <w:w w:val="95"/>
          <w:sz w:val="30"/>
          <w:szCs w:val="30"/>
          <w:highlight w:val="none"/>
        </w:rPr>
      </w:pPr>
      <w:r>
        <w:rPr>
          <w:rFonts w:hint="eastAsia" w:ascii="宋体" w:hAnsi="宋体" w:eastAsia="宋体" w:cs="宋体"/>
          <w:b/>
          <w:bCs/>
          <w:color w:val="auto"/>
          <w:sz w:val="30"/>
          <w:szCs w:val="30"/>
          <w:highlight w:val="none"/>
        </w:rPr>
        <w:t>编制日期：</w:t>
      </w:r>
      <w:r>
        <w:rPr>
          <w:rFonts w:hint="eastAsia" w:ascii="宋体" w:hAnsi="宋体" w:eastAsia="宋体" w:cs="宋体"/>
          <w:b/>
          <w:bCs/>
          <w:color w:val="auto"/>
          <w:w w:val="95"/>
          <w:sz w:val="30"/>
          <w:szCs w:val="30"/>
          <w:highlight w:val="none"/>
        </w:rPr>
        <w:t>202</w:t>
      </w:r>
      <w:r>
        <w:rPr>
          <w:rFonts w:hint="eastAsia" w:ascii="宋体" w:hAnsi="宋体" w:eastAsia="宋体" w:cs="宋体"/>
          <w:b/>
          <w:bCs/>
          <w:color w:val="auto"/>
          <w:w w:val="95"/>
          <w:sz w:val="30"/>
          <w:szCs w:val="30"/>
          <w:highlight w:val="none"/>
          <w:lang w:val="en-US" w:eastAsia="zh-CN"/>
        </w:rPr>
        <w:t>5</w:t>
      </w:r>
      <w:r>
        <w:rPr>
          <w:rFonts w:hint="eastAsia" w:ascii="宋体" w:hAnsi="宋体" w:eastAsia="宋体" w:cs="宋体"/>
          <w:b/>
          <w:bCs/>
          <w:color w:val="auto"/>
          <w:w w:val="95"/>
          <w:sz w:val="30"/>
          <w:szCs w:val="30"/>
          <w:highlight w:val="none"/>
        </w:rPr>
        <w:t>年</w:t>
      </w:r>
      <w:r>
        <w:rPr>
          <w:rFonts w:hint="eastAsia" w:ascii="宋体" w:hAnsi="宋体" w:cs="宋体"/>
          <w:b/>
          <w:bCs/>
          <w:color w:val="auto"/>
          <w:w w:val="95"/>
          <w:sz w:val="30"/>
          <w:szCs w:val="30"/>
          <w:highlight w:val="none"/>
          <w:lang w:val="en-US" w:eastAsia="zh-CN"/>
        </w:rPr>
        <w:t>6</w:t>
      </w:r>
      <w:r>
        <w:rPr>
          <w:rFonts w:hint="eastAsia" w:ascii="宋体" w:hAnsi="宋体" w:eastAsia="宋体" w:cs="宋体"/>
          <w:b/>
          <w:bCs/>
          <w:color w:val="auto"/>
          <w:w w:val="95"/>
          <w:sz w:val="30"/>
          <w:szCs w:val="30"/>
          <w:highlight w:val="none"/>
        </w:rPr>
        <w:t>月</w:t>
      </w:r>
    </w:p>
    <w:p w14:paraId="492BEC5C">
      <w:pPr>
        <w:pStyle w:val="2"/>
        <w:ind w:firstLine="210"/>
        <w:rPr>
          <w:color w:val="auto"/>
          <w:highlight w:val="none"/>
        </w:rPr>
      </w:pPr>
    </w:p>
    <w:p w14:paraId="5AD1C7D4">
      <w:pPr>
        <w:rPr>
          <w:color w:val="auto"/>
          <w:highlight w:val="none"/>
        </w:rPr>
        <w:sectPr>
          <w:headerReference r:id="rId4" w:type="first"/>
          <w:footerReference r:id="rId6" w:type="first"/>
          <w:headerReference r:id="rId3" w:type="default"/>
          <w:footerReference r:id="rId5" w:type="default"/>
          <w:pgSz w:w="11906" w:h="16838"/>
          <w:pgMar w:top="1440" w:right="1800" w:bottom="1440" w:left="1800" w:header="851" w:footer="992" w:gutter="0"/>
          <w:pgNumType w:fmt="numberInDash" w:start="1"/>
          <w:cols w:space="720" w:num="1"/>
          <w:titlePg/>
          <w:docGrid w:type="lines" w:linePitch="312" w:charSpace="0"/>
        </w:sectPr>
      </w:pPr>
    </w:p>
    <w:p w14:paraId="6FAC4412">
      <w:pPr>
        <w:rPr>
          <w:color w:val="auto"/>
          <w:highlight w:val="none"/>
        </w:rPr>
      </w:pPr>
    </w:p>
    <w:sdt>
      <w:sdtPr>
        <w:rPr>
          <w:rFonts w:ascii="宋体" w:hAnsi="宋体"/>
          <w:b/>
          <w:bCs/>
          <w:color w:val="auto"/>
          <w:sz w:val="52"/>
          <w:szCs w:val="52"/>
          <w:highlight w:val="none"/>
        </w:rPr>
        <w:id w:val="147471738"/>
        <w15:color w:val="DBDBDB"/>
        <w:docPartObj>
          <w:docPartGallery w:val="Table of Contents"/>
          <w:docPartUnique/>
        </w:docPartObj>
      </w:sdtPr>
      <w:sdtEndPr>
        <w:rPr>
          <w:rFonts w:ascii="Times New Roman" w:hAnsi="Times New Roman"/>
          <w:b/>
          <w:bCs/>
          <w:color w:val="auto"/>
          <w:sz w:val="21"/>
          <w:szCs w:val="24"/>
          <w:highlight w:val="none"/>
        </w:rPr>
      </w:sdtEndPr>
      <w:sdtContent>
        <w:p w14:paraId="7E9FF0B6">
          <w:pPr>
            <w:spacing w:line="360" w:lineRule="auto"/>
            <w:jc w:val="center"/>
            <w:rPr>
              <w:rFonts w:ascii="宋体" w:hAnsi="宋体" w:cs="宋体"/>
              <w:color w:val="auto"/>
              <w:sz w:val="28"/>
              <w:szCs w:val="28"/>
              <w:highlight w:val="none"/>
            </w:rPr>
          </w:pPr>
          <w:r>
            <w:rPr>
              <w:rFonts w:ascii="宋体" w:hAnsi="宋体"/>
              <w:b/>
              <w:bCs/>
              <w:color w:val="auto"/>
              <w:sz w:val="52"/>
              <w:szCs w:val="52"/>
              <w:highlight w:val="none"/>
            </w:rPr>
            <w:t>目</w:t>
          </w:r>
          <w:r>
            <w:rPr>
              <w:rFonts w:hint="eastAsia" w:ascii="宋体" w:hAnsi="宋体"/>
              <w:b/>
              <w:bCs/>
              <w:color w:val="auto"/>
              <w:sz w:val="52"/>
              <w:szCs w:val="52"/>
              <w:highlight w:val="none"/>
            </w:rPr>
            <w:t xml:space="preserve">   </w:t>
          </w:r>
          <w:r>
            <w:rPr>
              <w:rFonts w:ascii="宋体" w:hAnsi="宋体"/>
              <w:b/>
              <w:bCs/>
              <w:color w:val="auto"/>
              <w:sz w:val="52"/>
              <w:szCs w:val="52"/>
              <w:highlight w:val="none"/>
            </w:rPr>
            <w:t>录</w:t>
          </w:r>
        </w:p>
        <w:p w14:paraId="20CD473B">
          <w:pPr>
            <w:pStyle w:val="34"/>
            <w:tabs>
              <w:tab w:val="right" w:leader="dot" w:pos="8504"/>
            </w:tabs>
            <w:rPr>
              <w:color w:val="auto"/>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"_Toc2487" </w:instrText>
          </w:r>
          <w:r>
            <w:rPr>
              <w:color w:val="auto"/>
              <w:highlight w:val="none"/>
            </w:rPr>
            <w:fldChar w:fldCharType="separate"/>
          </w:r>
          <w:r>
            <w:rPr>
              <w:rFonts w:asciiTheme="majorEastAsia" w:hAnsiTheme="majorEastAsia" w:eastAsiaTheme="majorEastAsia"/>
              <w:bCs/>
              <w:color w:val="auto"/>
              <w:szCs w:val="40"/>
              <w:highlight w:val="none"/>
            </w:rPr>
            <w:t>第一章  竞争性磋商采购公告</w:t>
          </w:r>
          <w:r>
            <w:rPr>
              <w:color w:val="auto"/>
              <w:highlight w:val="none"/>
            </w:rPr>
            <w:tab/>
          </w:r>
          <w:r>
            <w:rPr>
              <w:color w:val="auto"/>
              <w:highlight w:val="none"/>
            </w:rPr>
            <w:fldChar w:fldCharType="begin"/>
          </w:r>
          <w:r>
            <w:rPr>
              <w:color w:val="auto"/>
              <w:highlight w:val="none"/>
            </w:rPr>
            <w:instrText xml:space="preserve"> PAGEREF _Toc2487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6E86CCDD">
          <w:pPr>
            <w:pStyle w:val="34"/>
            <w:tabs>
              <w:tab w:val="right" w:leader="dot" w:pos="8504"/>
            </w:tabs>
            <w:rPr>
              <w:color w:val="auto"/>
              <w:highlight w:val="none"/>
            </w:rPr>
          </w:pPr>
          <w:r>
            <w:rPr>
              <w:color w:val="auto"/>
              <w:highlight w:val="none"/>
            </w:rPr>
            <w:fldChar w:fldCharType="begin"/>
          </w:r>
          <w:r>
            <w:rPr>
              <w:color w:val="auto"/>
              <w:highlight w:val="none"/>
            </w:rPr>
            <w:instrText xml:space="preserve"> HYPERLINK \l "_Toc16919" </w:instrText>
          </w:r>
          <w:r>
            <w:rPr>
              <w:color w:val="auto"/>
              <w:highlight w:val="none"/>
            </w:rPr>
            <w:fldChar w:fldCharType="separate"/>
          </w:r>
          <w:r>
            <w:rPr>
              <w:rFonts w:asciiTheme="majorEastAsia" w:hAnsiTheme="majorEastAsia" w:eastAsiaTheme="majorEastAsia"/>
              <w:bCs/>
              <w:color w:val="auto"/>
              <w:szCs w:val="40"/>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_Toc16919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153E8D2F">
          <w:pPr>
            <w:pStyle w:val="34"/>
            <w:tabs>
              <w:tab w:val="right" w:leader="dot" w:pos="8504"/>
            </w:tabs>
            <w:rPr>
              <w:color w:val="auto"/>
              <w:highlight w:val="none"/>
            </w:rPr>
          </w:pPr>
          <w:r>
            <w:rPr>
              <w:color w:val="auto"/>
              <w:highlight w:val="none"/>
            </w:rPr>
            <w:fldChar w:fldCharType="begin"/>
          </w:r>
          <w:r>
            <w:rPr>
              <w:color w:val="auto"/>
              <w:highlight w:val="none"/>
            </w:rPr>
            <w:instrText xml:space="preserve"> HYPERLINK \l "_Toc27001" </w:instrText>
          </w:r>
          <w:r>
            <w:rPr>
              <w:color w:val="auto"/>
              <w:highlight w:val="none"/>
            </w:rPr>
            <w:fldChar w:fldCharType="separate"/>
          </w:r>
          <w:r>
            <w:rPr>
              <w:rFonts w:asciiTheme="majorEastAsia" w:hAnsiTheme="majorEastAsia" w:eastAsiaTheme="majorEastAsia"/>
              <w:bCs/>
              <w:color w:val="auto"/>
              <w:szCs w:val="40"/>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_Toc27001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75D1CA2F">
          <w:pPr>
            <w:pStyle w:val="34"/>
            <w:tabs>
              <w:tab w:val="right" w:leader="dot" w:pos="8504"/>
            </w:tabs>
            <w:rPr>
              <w:color w:val="auto"/>
              <w:highlight w:val="none"/>
            </w:rPr>
          </w:pPr>
          <w:r>
            <w:rPr>
              <w:color w:val="auto"/>
              <w:highlight w:val="none"/>
            </w:rPr>
            <w:fldChar w:fldCharType="begin"/>
          </w:r>
          <w:r>
            <w:rPr>
              <w:color w:val="auto"/>
              <w:highlight w:val="none"/>
            </w:rPr>
            <w:instrText xml:space="preserve"> HYPERLINK \l "_Toc29249" </w:instrText>
          </w:r>
          <w:r>
            <w:rPr>
              <w:color w:val="auto"/>
              <w:highlight w:val="none"/>
            </w:rPr>
            <w:fldChar w:fldCharType="separate"/>
          </w:r>
          <w:r>
            <w:rPr>
              <w:rFonts w:asciiTheme="majorEastAsia" w:hAnsiTheme="majorEastAsia" w:eastAsiaTheme="majorEastAsia"/>
              <w:bCs/>
              <w:color w:val="auto"/>
              <w:szCs w:val="40"/>
              <w:highlight w:val="none"/>
            </w:rPr>
            <w:t>第四章  评审办法及评分标准</w:t>
          </w:r>
          <w:r>
            <w:rPr>
              <w:color w:val="auto"/>
              <w:highlight w:val="none"/>
            </w:rPr>
            <w:tab/>
          </w:r>
          <w:r>
            <w:rPr>
              <w:color w:val="auto"/>
              <w:highlight w:val="none"/>
            </w:rPr>
            <w:fldChar w:fldCharType="begin"/>
          </w:r>
          <w:r>
            <w:rPr>
              <w:color w:val="auto"/>
              <w:highlight w:val="none"/>
            </w:rPr>
            <w:instrText xml:space="preserve"> PAGEREF _Toc29249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0B802889">
          <w:pPr>
            <w:pStyle w:val="34"/>
            <w:tabs>
              <w:tab w:val="right" w:leader="dot" w:pos="8504"/>
            </w:tabs>
            <w:rPr>
              <w:color w:val="auto"/>
              <w:highlight w:val="none"/>
            </w:rPr>
          </w:pPr>
          <w:r>
            <w:rPr>
              <w:color w:val="auto"/>
              <w:highlight w:val="none"/>
            </w:rPr>
            <w:fldChar w:fldCharType="begin"/>
          </w:r>
          <w:r>
            <w:rPr>
              <w:color w:val="auto"/>
              <w:highlight w:val="none"/>
            </w:rPr>
            <w:instrText xml:space="preserve"> HYPERLINK \l "_Toc18899" </w:instrText>
          </w:r>
          <w:r>
            <w:rPr>
              <w:color w:val="auto"/>
              <w:highlight w:val="none"/>
            </w:rPr>
            <w:fldChar w:fldCharType="separate"/>
          </w:r>
          <w:r>
            <w:rPr>
              <w:rFonts w:asciiTheme="majorEastAsia" w:hAnsiTheme="majorEastAsia" w:eastAsiaTheme="majorEastAsia"/>
              <w:bCs/>
              <w:color w:val="auto"/>
              <w:szCs w:val="40"/>
              <w:highlight w:val="none"/>
            </w:rPr>
            <w:t xml:space="preserve">第五章  </w:t>
          </w:r>
          <w:r>
            <w:rPr>
              <w:rFonts w:hint="eastAsia" w:asciiTheme="majorEastAsia" w:hAnsiTheme="majorEastAsia" w:eastAsiaTheme="majorEastAsia"/>
              <w:bCs/>
              <w:color w:val="auto"/>
              <w:szCs w:val="40"/>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_Toc18899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7A902929">
          <w:pPr>
            <w:pStyle w:val="34"/>
            <w:tabs>
              <w:tab w:val="right" w:leader="dot" w:pos="8504"/>
            </w:tabs>
            <w:rPr>
              <w:color w:val="auto"/>
              <w:highlight w:val="none"/>
            </w:rPr>
          </w:pPr>
          <w:r>
            <w:rPr>
              <w:color w:val="auto"/>
              <w:highlight w:val="none"/>
            </w:rPr>
            <w:fldChar w:fldCharType="begin"/>
          </w:r>
          <w:r>
            <w:rPr>
              <w:color w:val="auto"/>
              <w:highlight w:val="none"/>
            </w:rPr>
            <w:instrText xml:space="preserve"> HYPERLINK \l "_Toc24904" </w:instrText>
          </w:r>
          <w:r>
            <w:rPr>
              <w:color w:val="auto"/>
              <w:highlight w:val="none"/>
            </w:rPr>
            <w:fldChar w:fldCharType="separate"/>
          </w:r>
          <w:r>
            <w:rPr>
              <w:rFonts w:asciiTheme="majorEastAsia" w:hAnsiTheme="majorEastAsia" w:eastAsiaTheme="majorEastAsia"/>
              <w:bCs/>
              <w:color w:val="auto"/>
              <w:szCs w:val="40"/>
              <w:highlight w:val="none"/>
            </w:rPr>
            <w:t>第六章  响应文件格式</w:t>
          </w:r>
          <w:r>
            <w:rPr>
              <w:color w:val="auto"/>
              <w:highlight w:val="none"/>
            </w:rPr>
            <w:tab/>
          </w:r>
          <w:r>
            <w:rPr>
              <w:color w:val="auto"/>
              <w:highlight w:val="none"/>
            </w:rPr>
            <w:fldChar w:fldCharType="begin"/>
          </w:r>
          <w:r>
            <w:rPr>
              <w:color w:val="auto"/>
              <w:highlight w:val="none"/>
            </w:rPr>
            <w:instrText xml:space="preserve"> PAGEREF _Toc24904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4AFD410B">
          <w:pPr>
            <w:snapToGrid w:val="0"/>
            <w:ind w:left="1260" w:leftChars="600"/>
            <w:jc w:val="left"/>
            <w:rPr>
              <w:color w:val="auto"/>
              <w:highlight w:val="none"/>
            </w:rPr>
          </w:pPr>
          <w:r>
            <w:rPr>
              <w:rFonts w:hint="eastAsia" w:ascii="宋体" w:hAnsi="宋体" w:cs="宋体"/>
              <w:color w:val="auto"/>
              <w:szCs w:val="28"/>
              <w:highlight w:val="none"/>
            </w:rPr>
            <w:fldChar w:fldCharType="end"/>
          </w:r>
        </w:p>
      </w:sdtContent>
    </w:sdt>
    <w:p w14:paraId="650BB590">
      <w:pPr>
        <w:snapToGrid w:val="0"/>
        <w:spacing w:line="480" w:lineRule="auto"/>
        <w:jc w:val="center"/>
        <w:rPr>
          <w:rFonts w:asciiTheme="majorEastAsia" w:hAnsiTheme="majorEastAsia" w:eastAsiaTheme="majorEastAsia"/>
          <w:color w:val="auto"/>
          <w:sz w:val="28"/>
          <w:szCs w:val="36"/>
          <w:highlight w:val="none"/>
        </w:rPr>
        <w:sectPr>
          <w:footerReference r:id="rId8" w:type="first"/>
          <w:footerReference r:id="rId7" w:type="default"/>
          <w:pgSz w:w="11906" w:h="16838"/>
          <w:pgMar w:top="1440" w:right="1701" w:bottom="1440" w:left="1701" w:header="851" w:footer="992" w:gutter="0"/>
          <w:pgNumType w:fmt="numberInDash" w:start="1"/>
          <w:cols w:space="720" w:num="1"/>
          <w:docGrid w:type="lines" w:linePitch="312" w:charSpace="0"/>
        </w:sectPr>
      </w:pPr>
      <w:bookmarkStart w:id="0" w:name="_Toc522013502"/>
      <w:bookmarkStart w:id="1" w:name="_Toc10077"/>
    </w:p>
    <w:p w14:paraId="43C87CAD">
      <w:pPr>
        <w:spacing w:after="330" w:line="480" w:lineRule="auto"/>
        <w:jc w:val="center"/>
        <w:outlineLvl w:val="0"/>
        <w:rPr>
          <w:rFonts w:asciiTheme="majorEastAsia" w:hAnsiTheme="majorEastAsia" w:eastAsiaTheme="majorEastAsia"/>
          <w:b/>
          <w:bCs/>
          <w:color w:val="auto"/>
          <w:sz w:val="32"/>
          <w:szCs w:val="32"/>
          <w:highlight w:val="none"/>
        </w:rPr>
      </w:pPr>
      <w:bookmarkStart w:id="2" w:name="_Toc2487"/>
      <w:r>
        <w:rPr>
          <w:rFonts w:asciiTheme="majorEastAsia" w:hAnsiTheme="majorEastAsia" w:eastAsiaTheme="majorEastAsia"/>
          <w:b/>
          <w:bCs/>
          <w:color w:val="auto"/>
          <w:sz w:val="32"/>
          <w:szCs w:val="40"/>
          <w:highlight w:val="none"/>
        </w:rPr>
        <w:t>第一章  竞争性磋商采购公告</w:t>
      </w:r>
      <w:bookmarkEnd w:id="0"/>
      <w:bookmarkEnd w:id="1"/>
      <w:bookmarkEnd w:id="2"/>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8F1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739760C">
            <w:pPr>
              <w:spacing w:line="360" w:lineRule="auto"/>
              <w:jc w:val="left"/>
              <w:rPr>
                <w:rFonts w:ascii="宋体" w:hAnsi="宋体" w:cs="宋体"/>
                <w:color w:val="auto"/>
                <w:kern w:val="0"/>
                <w:szCs w:val="21"/>
                <w:highlight w:val="none"/>
                <w:lang w:bidi="ar"/>
              </w:rPr>
            </w:pPr>
            <w:bookmarkStart w:id="3" w:name="_Toc522013503"/>
            <w:r>
              <w:rPr>
                <w:rFonts w:hint="eastAsia" w:ascii="宋体" w:hAnsi="宋体" w:cs="宋体"/>
                <w:color w:val="auto"/>
                <w:kern w:val="0"/>
                <w:szCs w:val="21"/>
                <w:highlight w:val="none"/>
                <w:lang w:bidi="ar"/>
              </w:rPr>
              <w:t>项目概况</w:t>
            </w:r>
          </w:p>
          <w:p w14:paraId="57E75E90">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宁波市海曙区古林镇中心小学2025年年度教职工疗休养</w:t>
            </w:r>
            <w:r>
              <w:rPr>
                <w:rFonts w:hint="eastAsia" w:ascii="宋体" w:hAnsi="宋体" w:cs="宋体"/>
                <w:color w:val="auto"/>
                <w:kern w:val="0"/>
                <w:szCs w:val="21"/>
                <w:highlight w:val="none"/>
                <w:lang w:bidi="ar"/>
              </w:rPr>
              <w:t>的潜在供应商应在浙江政府采购云平台（http://www.zcygov.cn/）获取（下载）采购文件，并于</w:t>
            </w:r>
            <w:r>
              <w:rPr>
                <w:rFonts w:hint="eastAsia" w:ascii="宋体" w:hAnsi="宋体" w:cs="宋体"/>
                <w:color w:val="auto"/>
                <w:kern w:val="0"/>
                <w:szCs w:val="21"/>
                <w:highlight w:val="none"/>
                <w:lang w:eastAsia="zh-CN" w:bidi="ar"/>
              </w:rPr>
              <w:t>2025</w:t>
            </w:r>
            <w:r>
              <w:rPr>
                <w:rFonts w:hint="eastAsia" w:ascii="宋体" w:hAnsi="宋体" w:cs="宋体"/>
                <w:color w:val="auto"/>
                <w:kern w:val="0"/>
                <w:szCs w:val="21"/>
                <w:highlight w:val="none"/>
                <w:lang w:bidi="ar"/>
              </w:rPr>
              <w:t>年</w:t>
            </w:r>
            <w:r>
              <w:rPr>
                <w:rFonts w:hint="eastAsia" w:ascii="宋体" w:hAnsi="宋体" w:cs="宋体"/>
                <w:color w:val="auto"/>
                <w:kern w:val="0"/>
                <w:szCs w:val="21"/>
                <w:highlight w:val="none"/>
                <w:lang w:val="en-US" w:eastAsia="zh-CN" w:bidi="ar"/>
              </w:rPr>
              <w:t>7</w:t>
            </w:r>
            <w:r>
              <w:rPr>
                <w:rFonts w:hint="eastAsia" w:ascii="宋体" w:hAnsi="宋体" w:cs="宋体"/>
                <w:color w:val="auto"/>
                <w:kern w:val="0"/>
                <w:szCs w:val="21"/>
                <w:highlight w:val="none"/>
                <w:lang w:bidi="ar"/>
              </w:rPr>
              <w:t>月</w:t>
            </w: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日</w:t>
            </w:r>
            <w:r>
              <w:rPr>
                <w:rFonts w:hint="eastAsia" w:ascii="宋体" w:hAnsi="宋体" w:cs="宋体"/>
                <w:color w:val="auto"/>
                <w:kern w:val="0"/>
                <w:szCs w:val="21"/>
                <w:highlight w:val="none"/>
                <w:lang w:val="en-US" w:eastAsia="zh-CN" w:bidi="ar"/>
              </w:rPr>
              <w:t>9</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0（北京时间）前提交（上传）响应文件。</w:t>
            </w:r>
          </w:p>
        </w:tc>
      </w:tr>
    </w:tbl>
    <w:p w14:paraId="49988A6F">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一、项目基本情况</w:t>
      </w:r>
    </w:p>
    <w:p w14:paraId="407EF8C1">
      <w:pPr>
        <w:spacing w:line="360" w:lineRule="auto"/>
        <w:ind w:firstLine="420" w:firstLineChars="200"/>
        <w:jc w:val="left"/>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项目编号：</w:t>
      </w:r>
      <w:r>
        <w:rPr>
          <w:rFonts w:hint="eastAsia" w:ascii="宋体" w:hAnsi="宋体" w:cs="宋体"/>
          <w:color w:val="auto"/>
          <w:kern w:val="0"/>
          <w:szCs w:val="21"/>
          <w:highlight w:val="none"/>
          <w:lang w:eastAsia="zh-CN" w:bidi="ar"/>
        </w:rPr>
        <w:t>2025NBHSWCS302</w:t>
      </w:r>
    </w:p>
    <w:p w14:paraId="553CF443">
      <w:pPr>
        <w:spacing w:line="360" w:lineRule="auto"/>
        <w:ind w:firstLine="420" w:firstLineChars="200"/>
        <w:jc w:val="left"/>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项目名称：</w:t>
      </w:r>
      <w:r>
        <w:rPr>
          <w:rFonts w:hint="eastAsia" w:ascii="宋体" w:hAnsi="宋体" w:cs="宋体"/>
          <w:color w:val="auto"/>
          <w:kern w:val="0"/>
          <w:szCs w:val="21"/>
          <w:highlight w:val="none"/>
          <w:lang w:eastAsia="zh-CN" w:bidi="ar"/>
        </w:rPr>
        <w:t>宁波市海曙区古林镇中心小学2025年年度教职工疗休养</w:t>
      </w:r>
    </w:p>
    <w:p w14:paraId="195C1E05">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采购方式：竞争性磋商</w:t>
      </w:r>
    </w:p>
    <w:p w14:paraId="71D2EECF">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预算金额：</w:t>
      </w:r>
      <w:r>
        <w:rPr>
          <w:rFonts w:hint="eastAsia" w:ascii="宋体" w:hAnsi="宋体" w:cs="宋体"/>
          <w:color w:val="auto"/>
          <w:kern w:val="0"/>
          <w:szCs w:val="21"/>
          <w:highlight w:val="none"/>
          <w:lang w:val="en-US" w:eastAsia="zh-CN" w:bidi="ar"/>
        </w:rPr>
        <w:t>405000</w:t>
      </w:r>
      <w:r>
        <w:rPr>
          <w:rFonts w:hint="eastAsia" w:ascii="宋体" w:hAnsi="宋体" w:cs="宋体"/>
          <w:color w:val="auto"/>
          <w:kern w:val="0"/>
          <w:szCs w:val="21"/>
          <w:highlight w:val="none"/>
          <w:lang w:bidi="ar"/>
        </w:rPr>
        <w:t>元</w:t>
      </w:r>
    </w:p>
    <w:p w14:paraId="076A95AF">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最高限价：</w:t>
      </w:r>
      <w:r>
        <w:rPr>
          <w:rFonts w:hint="eastAsia" w:ascii="宋体" w:hAnsi="宋体" w:cs="宋体"/>
          <w:color w:val="auto"/>
          <w:kern w:val="0"/>
          <w:szCs w:val="21"/>
          <w:highlight w:val="none"/>
          <w:lang w:val="en-US" w:eastAsia="zh-CN" w:bidi="ar"/>
        </w:rPr>
        <w:t>405000</w:t>
      </w:r>
      <w:r>
        <w:rPr>
          <w:rFonts w:hint="eastAsia" w:ascii="宋体" w:hAnsi="宋体" w:cs="宋体"/>
          <w:color w:val="auto"/>
          <w:kern w:val="0"/>
          <w:szCs w:val="21"/>
          <w:highlight w:val="none"/>
          <w:lang w:bidi="ar"/>
        </w:rPr>
        <w:t>元</w:t>
      </w:r>
    </w:p>
    <w:p w14:paraId="3314C92B">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采购需求：</w:t>
      </w:r>
    </w:p>
    <w:p w14:paraId="27CD42B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数量：不限</w:t>
      </w:r>
    </w:p>
    <w:p w14:paraId="153E697E">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预算金额（元）：</w:t>
      </w:r>
      <w:r>
        <w:rPr>
          <w:rFonts w:hint="eastAsia" w:ascii="宋体" w:hAnsi="宋体" w:cs="宋体"/>
          <w:color w:val="auto"/>
          <w:kern w:val="0"/>
          <w:szCs w:val="21"/>
          <w:highlight w:val="none"/>
          <w:lang w:val="en-US" w:eastAsia="zh-CN" w:bidi="ar"/>
        </w:rPr>
        <w:t>405000</w:t>
      </w:r>
      <w:r>
        <w:rPr>
          <w:rFonts w:hint="eastAsia" w:ascii="宋体" w:hAnsi="宋体" w:cs="宋体"/>
          <w:color w:val="auto"/>
          <w:kern w:val="0"/>
          <w:szCs w:val="21"/>
          <w:highlight w:val="none"/>
          <w:lang w:bidi="ar"/>
        </w:rPr>
        <w:t>元</w:t>
      </w:r>
    </w:p>
    <w:p w14:paraId="26B96510">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单位：个</w:t>
      </w:r>
    </w:p>
    <w:p w14:paraId="18ACBF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简要规格描述：提供教职工疗休养策划、线路安排、服务保障、费用控制等一系列相关服务。详见竞争性磋商文件第二章</w:t>
      </w:r>
    </w:p>
    <w:p w14:paraId="726E3A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备注：预算金额为本次疗休养财政资金部分，各线路的报价中，3000元/人的部分由本次采购预算支付，超出部分由疗休养出行人自行承担。</w:t>
      </w:r>
    </w:p>
    <w:p w14:paraId="4E5537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合同履约期限：标项一，自合同生效之日至合同全部权利义务履行完毕之日止。</w:t>
      </w:r>
    </w:p>
    <w:p w14:paraId="28A6CC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本项目（否）接受联合体投标。</w:t>
      </w:r>
    </w:p>
    <w:p w14:paraId="22342B25">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二、申请人的资格要求：</w:t>
      </w:r>
    </w:p>
    <w:p w14:paraId="2049BFC6">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符合《中华人民共和国政府采购法》第二十二条规定；未被“信用中国”（www.creditchina.gov.cn)、中国政府采购网（www.ccgp.gov.cn）列入失信被执行人、重大税收违法案件当事人名单、政府采购严重违法失信行为记录名单。</w:t>
      </w:r>
    </w:p>
    <w:p w14:paraId="64943A6C">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2.落实政府采购政策需满足的资格要求：</w:t>
      </w:r>
      <w:r>
        <w:rPr>
          <w:rFonts w:hint="eastAsia" w:ascii="宋体" w:hAnsi="宋体" w:cs="宋体"/>
          <w:color w:val="auto"/>
          <w:kern w:val="0"/>
          <w:szCs w:val="21"/>
          <w:highlight w:val="none"/>
          <w:lang w:val="en-US" w:eastAsia="zh-CN" w:bidi="ar"/>
        </w:rPr>
        <w:t>标项一：本项目属于专门面向中小企业采购的项目，供应商应为符合《政府采购促进中小企业发展管理办法》（财库﹝2020﹞46 号）规定的中小企业（其中，小微企业包括视同为小型、微型企业的监狱企业、残疾人福利性单位）。</w:t>
      </w:r>
    </w:p>
    <w:p w14:paraId="65E4B4AB">
      <w:pPr>
        <w:spacing w:line="360" w:lineRule="auto"/>
        <w:ind w:left="420" w:leftChars="200"/>
        <w:jc w:val="left"/>
        <w:rPr>
          <w:color w:val="auto"/>
          <w:highlight w:val="none"/>
        </w:rPr>
      </w:pPr>
      <w:r>
        <w:rPr>
          <w:rFonts w:hint="eastAsia" w:ascii="宋体" w:hAnsi="宋体" w:cs="宋体"/>
          <w:color w:val="auto"/>
          <w:kern w:val="0"/>
          <w:szCs w:val="21"/>
          <w:highlight w:val="none"/>
          <w:lang w:bidi="ar"/>
        </w:rPr>
        <w:t>3.本项目的特定资格要求：标项一：</w:t>
      </w:r>
      <w:r>
        <w:rPr>
          <w:rFonts w:hint="eastAsia" w:ascii="宋体" w:hAnsi="宋体" w:cs="宋体"/>
          <w:color w:val="auto"/>
          <w:kern w:val="0"/>
          <w:szCs w:val="21"/>
          <w:highlight w:val="none"/>
          <w:lang w:val="en-US" w:eastAsia="zh-CN" w:bidi="ar"/>
        </w:rPr>
        <w:t>供应商具备有效的《旅行社业务经营许可证》</w:t>
      </w:r>
      <w:r>
        <w:rPr>
          <w:rFonts w:hint="eastAsia" w:ascii="宋体" w:hAnsi="宋体" w:cs="宋体"/>
          <w:color w:val="auto"/>
          <w:kern w:val="0"/>
          <w:szCs w:val="21"/>
          <w:highlight w:val="none"/>
          <w:lang w:bidi="ar"/>
        </w:rPr>
        <w:t>。</w:t>
      </w:r>
    </w:p>
    <w:p w14:paraId="65F89776">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三、获取（下载）采购文件</w:t>
      </w:r>
    </w:p>
    <w:p w14:paraId="4A77009D">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时间：</w:t>
      </w:r>
      <w:r>
        <w:rPr>
          <w:rFonts w:hint="eastAsia" w:ascii="宋体" w:hAnsi="宋体" w:cs="宋体"/>
          <w:color w:val="auto"/>
          <w:kern w:val="0"/>
          <w:szCs w:val="21"/>
          <w:highlight w:val="none"/>
          <w:lang w:eastAsia="zh-CN" w:bidi="ar"/>
        </w:rPr>
        <w:t>2025</w:t>
      </w:r>
      <w:r>
        <w:rPr>
          <w:rFonts w:hint="eastAsia" w:ascii="宋体" w:hAnsi="宋体" w:cs="宋体"/>
          <w:color w:val="auto"/>
          <w:kern w:val="0"/>
          <w:szCs w:val="21"/>
          <w:highlight w:val="none"/>
          <w:lang w:bidi="ar"/>
        </w:rPr>
        <w:t>年</w:t>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月</w:t>
      </w:r>
      <w:r>
        <w:rPr>
          <w:rFonts w:hint="eastAsia" w:ascii="宋体" w:hAnsi="宋体" w:cs="宋体"/>
          <w:color w:val="auto"/>
          <w:kern w:val="0"/>
          <w:szCs w:val="21"/>
          <w:highlight w:val="none"/>
          <w:lang w:val="en-US" w:eastAsia="zh-CN" w:bidi="ar"/>
        </w:rPr>
        <w:t>20</w:t>
      </w:r>
      <w:r>
        <w:rPr>
          <w:rFonts w:hint="eastAsia" w:ascii="宋体" w:hAnsi="宋体" w:cs="宋体"/>
          <w:color w:val="auto"/>
          <w:kern w:val="0"/>
          <w:szCs w:val="21"/>
          <w:highlight w:val="none"/>
          <w:lang w:bidi="ar"/>
        </w:rPr>
        <w:t>日至</w:t>
      </w:r>
      <w:r>
        <w:rPr>
          <w:rFonts w:hint="eastAsia" w:ascii="宋体" w:hAnsi="宋体" w:cs="宋体"/>
          <w:color w:val="auto"/>
          <w:kern w:val="0"/>
          <w:szCs w:val="21"/>
          <w:highlight w:val="none"/>
          <w:lang w:eastAsia="zh-CN" w:bidi="ar"/>
        </w:rPr>
        <w:t>2025</w:t>
      </w:r>
      <w:r>
        <w:rPr>
          <w:rFonts w:hint="eastAsia" w:ascii="宋体" w:hAnsi="宋体" w:cs="宋体"/>
          <w:color w:val="auto"/>
          <w:kern w:val="0"/>
          <w:szCs w:val="21"/>
          <w:highlight w:val="none"/>
          <w:lang w:bidi="ar"/>
        </w:rPr>
        <w:t>年</w:t>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月</w:t>
      </w:r>
      <w:r>
        <w:rPr>
          <w:rFonts w:hint="eastAsia" w:ascii="宋体" w:hAnsi="宋体" w:cs="宋体"/>
          <w:color w:val="auto"/>
          <w:kern w:val="0"/>
          <w:szCs w:val="21"/>
          <w:highlight w:val="none"/>
          <w:lang w:val="en-US" w:eastAsia="zh-CN" w:bidi="ar"/>
        </w:rPr>
        <w:t>27</w:t>
      </w:r>
      <w:r>
        <w:rPr>
          <w:rFonts w:hint="eastAsia" w:ascii="宋体" w:hAnsi="宋体" w:cs="宋体"/>
          <w:color w:val="auto"/>
          <w:kern w:val="0"/>
          <w:szCs w:val="21"/>
          <w:highlight w:val="none"/>
          <w:lang w:bidi="ar"/>
        </w:rPr>
        <w:t>日，每天上午00:00至12:00，下午12:00至23:59（北京时间，线上获取法定节假日均可，线下获取文件法定节假日除外）</w:t>
      </w:r>
    </w:p>
    <w:p w14:paraId="364BE765">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地点（网址）：浙江政府采购云平台（http://www.zcygov.cn/）</w:t>
      </w:r>
    </w:p>
    <w:p w14:paraId="62A24000">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方式：（1）本项目采购文件实行“政府采购云平台”在线获取，不提供采购文件纸质版。供应商获取采购文件前应先完成“政府采购云平台”的账号注册；</w:t>
      </w:r>
    </w:p>
    <w:p w14:paraId="4C88B3F2">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潜在供应商登陆政采云平台，在线申请获取采购文件（进入“项目采购”应用，在获取采购文件菜单中选择项目，申请获取采购文件；仅需浏览采购文件的供应商可点击“游客，浏览采购文件”直接下载采购文件浏览）；</w:t>
      </w:r>
    </w:p>
    <w:p w14:paraId="74088658">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276B9AC0">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注：请供应商按上述要求获取采购文件，未依法获取采购文件的供应商不得对本项目提起质疑；如未在“政采云”系统内完成相关流程，引起的响应无效责任自负。</w:t>
      </w:r>
    </w:p>
    <w:p w14:paraId="39B3FFFD">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售价（元）：0</w:t>
      </w:r>
    </w:p>
    <w:p w14:paraId="06FB4741">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四、响应文件提交（上传）</w:t>
      </w:r>
    </w:p>
    <w:p w14:paraId="6B5E72F6">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截止时间：</w:t>
      </w:r>
      <w:r>
        <w:rPr>
          <w:rFonts w:hint="eastAsia" w:ascii="宋体" w:hAnsi="宋体" w:cs="宋体"/>
          <w:color w:val="auto"/>
          <w:kern w:val="0"/>
          <w:szCs w:val="21"/>
          <w:highlight w:val="none"/>
          <w:lang w:eastAsia="zh-CN" w:bidi="ar"/>
        </w:rPr>
        <w:t>2025年</w:t>
      </w:r>
      <w:r>
        <w:rPr>
          <w:rFonts w:hint="eastAsia" w:ascii="宋体" w:hAnsi="宋体" w:cs="宋体"/>
          <w:color w:val="auto"/>
          <w:kern w:val="0"/>
          <w:szCs w:val="21"/>
          <w:highlight w:val="none"/>
          <w:lang w:val="en-US" w:eastAsia="zh-CN" w:bidi="ar"/>
        </w:rPr>
        <w:t>7</w:t>
      </w:r>
      <w:r>
        <w:rPr>
          <w:rFonts w:hint="eastAsia" w:ascii="宋体" w:hAnsi="宋体" w:cs="宋体"/>
          <w:color w:val="auto"/>
          <w:kern w:val="0"/>
          <w:szCs w:val="21"/>
          <w:highlight w:val="none"/>
          <w:lang w:eastAsia="zh-CN" w:bidi="ar"/>
        </w:rPr>
        <w:t>月</w:t>
      </w: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eastAsia="zh-CN" w:bidi="ar"/>
        </w:rPr>
        <w:t>日</w:t>
      </w:r>
      <w:r>
        <w:rPr>
          <w:rFonts w:hint="eastAsia" w:ascii="宋体" w:hAnsi="宋体" w:cs="宋体"/>
          <w:color w:val="auto"/>
          <w:kern w:val="0"/>
          <w:szCs w:val="21"/>
          <w:highlight w:val="none"/>
          <w:lang w:val="en-US" w:eastAsia="zh-CN" w:bidi="ar"/>
        </w:rPr>
        <w:t>9</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eastAsia="zh-CN" w:bidi="ar"/>
        </w:rPr>
        <w:t>0</w:t>
      </w:r>
      <w:r>
        <w:rPr>
          <w:rFonts w:hint="eastAsia" w:ascii="宋体" w:hAnsi="宋体" w:cs="宋体"/>
          <w:color w:val="auto"/>
          <w:kern w:val="0"/>
          <w:szCs w:val="21"/>
          <w:highlight w:val="none"/>
          <w:lang w:bidi="ar"/>
        </w:rPr>
        <w:t>（北京时间）</w:t>
      </w:r>
    </w:p>
    <w:p w14:paraId="45513761">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地点（网址）：宁波市海曙区营商环境服务中心（原海曙区公共资源交易中心）开标室（</w:t>
      </w:r>
      <w:r>
        <w:rPr>
          <w:rFonts w:hint="eastAsia" w:ascii="宋体" w:hAnsi="宋体" w:cs="宋体"/>
          <w:color w:val="auto"/>
          <w:kern w:val="0"/>
          <w:szCs w:val="21"/>
          <w:highlight w:val="none"/>
          <w:lang w:val="en-US" w:eastAsia="zh-CN" w:bidi="ar"/>
        </w:rPr>
        <w:t>六</w:t>
      </w:r>
      <w:r>
        <w:rPr>
          <w:rFonts w:hint="eastAsia" w:ascii="宋体" w:hAnsi="宋体" w:cs="宋体"/>
          <w:color w:val="auto"/>
          <w:kern w:val="0"/>
          <w:szCs w:val="21"/>
          <w:highlight w:val="none"/>
          <w:lang w:bidi="ar"/>
        </w:rPr>
        <w:t>）（南门上，宁波市海曙区气象路58号）：政采云平台（www.zcygov.cn）在线提交）</w:t>
      </w:r>
    </w:p>
    <w:p w14:paraId="1477B7EE">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五、响应文件开启</w:t>
      </w:r>
    </w:p>
    <w:p w14:paraId="4541856F">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开启时间：</w:t>
      </w:r>
      <w:r>
        <w:rPr>
          <w:rFonts w:hint="eastAsia" w:ascii="宋体" w:hAnsi="宋体" w:cs="宋体"/>
          <w:color w:val="auto"/>
          <w:kern w:val="0"/>
          <w:szCs w:val="21"/>
          <w:highlight w:val="none"/>
          <w:lang w:eastAsia="zh-CN" w:bidi="ar"/>
        </w:rPr>
        <w:t>2025年</w:t>
      </w:r>
      <w:r>
        <w:rPr>
          <w:rFonts w:hint="eastAsia" w:ascii="宋体" w:hAnsi="宋体" w:cs="宋体"/>
          <w:color w:val="auto"/>
          <w:kern w:val="0"/>
          <w:szCs w:val="21"/>
          <w:highlight w:val="none"/>
          <w:lang w:val="en-US" w:eastAsia="zh-CN" w:bidi="ar"/>
        </w:rPr>
        <w:t>7</w:t>
      </w:r>
      <w:r>
        <w:rPr>
          <w:rFonts w:hint="eastAsia" w:ascii="宋体" w:hAnsi="宋体" w:cs="宋体"/>
          <w:color w:val="auto"/>
          <w:kern w:val="0"/>
          <w:szCs w:val="21"/>
          <w:highlight w:val="none"/>
          <w:lang w:eastAsia="zh-CN" w:bidi="ar"/>
        </w:rPr>
        <w:t>月</w:t>
      </w: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eastAsia="zh-CN" w:bidi="ar"/>
        </w:rPr>
        <w:t>日</w:t>
      </w:r>
      <w:r>
        <w:rPr>
          <w:rFonts w:hint="eastAsia" w:ascii="宋体" w:hAnsi="宋体" w:cs="宋体"/>
          <w:color w:val="auto"/>
          <w:kern w:val="0"/>
          <w:szCs w:val="21"/>
          <w:highlight w:val="none"/>
          <w:lang w:val="en-US" w:eastAsia="zh-CN" w:bidi="ar"/>
        </w:rPr>
        <w:t>9</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eastAsia="zh-CN" w:bidi="ar"/>
        </w:rPr>
        <w:t>0</w:t>
      </w:r>
      <w:r>
        <w:rPr>
          <w:rFonts w:hint="eastAsia" w:ascii="宋体" w:hAnsi="宋体" w:cs="宋体"/>
          <w:color w:val="auto"/>
          <w:kern w:val="0"/>
          <w:szCs w:val="21"/>
          <w:highlight w:val="none"/>
          <w:lang w:bidi="ar"/>
        </w:rPr>
        <w:t>（北京时间）</w:t>
      </w:r>
    </w:p>
    <w:p w14:paraId="568A11B8">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地点（网址）：宁波市海曙区营商环境服务中心（原海曙区公共资源交易中心）开标室（</w:t>
      </w:r>
      <w:r>
        <w:rPr>
          <w:rFonts w:hint="eastAsia" w:ascii="宋体" w:hAnsi="宋体" w:cs="宋体"/>
          <w:color w:val="auto"/>
          <w:kern w:val="0"/>
          <w:szCs w:val="21"/>
          <w:highlight w:val="none"/>
          <w:lang w:val="en-US" w:eastAsia="zh-CN" w:bidi="ar"/>
        </w:rPr>
        <w:t>六</w:t>
      </w:r>
      <w:r>
        <w:rPr>
          <w:rFonts w:hint="eastAsia" w:ascii="宋体" w:hAnsi="宋体" w:cs="宋体"/>
          <w:color w:val="auto"/>
          <w:kern w:val="0"/>
          <w:szCs w:val="21"/>
          <w:highlight w:val="none"/>
          <w:lang w:bidi="ar"/>
        </w:rPr>
        <w:t>）（南门上，宁波市海曙区气象路58号）（线上开启：政采云平台（www.zcygov.cn））</w:t>
      </w:r>
    </w:p>
    <w:p w14:paraId="3109768B">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六、公告期限</w:t>
      </w:r>
    </w:p>
    <w:p w14:paraId="3DCBE887">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自本公告发布之日起3个工作日。</w:t>
      </w:r>
    </w:p>
    <w:p w14:paraId="7D1DBB86">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七、其他补充事宜</w:t>
      </w:r>
    </w:p>
    <w:p w14:paraId="39AB033B">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8F54EAA">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B08A2B">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FB1B98">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.其他事项：</w:t>
      </w:r>
    </w:p>
    <w:p w14:paraId="76D62847">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1单位负责人为同一人或者存在直接控股、管理关系的不同供应商，不得参加同一标项项下的政府采购活动。除单一来源采购项目外，为采购项目提供整体设计、规范编制或者项目管理、监理、检测等服务的供应商，不得再参加该采购项目的其他采购活动。</w:t>
      </w:r>
    </w:p>
    <w:p w14:paraId="01EEEE41">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.2供应商须提供政府采购领域商业贿赂行为承诺书（响应文件中须提供《政府采购领域商业贿赂行为承诺书》，详见响应文件格式）。</w:t>
      </w:r>
    </w:p>
    <w:p w14:paraId="51AE7603">
      <w:pPr>
        <w:spacing w:line="336"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.3采购项目需要落实的政府采购政策：</w:t>
      </w:r>
    </w:p>
    <w:p w14:paraId="77347878">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.3.1对小微企业的产品给予价格优惠（监狱企业、残疾人福利性单位视同小微企业；残疾人福利性单位属于小型、微型企业的，不重复享受政策）；</w:t>
      </w:r>
    </w:p>
    <w:p w14:paraId="4A1D1E80">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.3.2优先采购节能环保产品（注：所采购的货物在政府采购节能产品、环境标志产品实施品目清单范围内，且具有国家确定的认证机构出具的、处于有效期之内的节能产品、环境标志产品认证证书）。</w:t>
      </w:r>
    </w:p>
    <w:p w14:paraId="3A182C56">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.4中小企业信用融资</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中标后可在“政采云”平台申请政采贷：操作路径：登录政采云平台-金融服务中心-【融资服务】，可在热门申请中选择产品直接申请，也可点击云智贷匹配适合产品进行申请，或者在可申请项目中根据该项目进行申请。</w:t>
      </w:r>
    </w:p>
    <w:p w14:paraId="230F0E86">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.5供应商需按照《浙江省政府采购供应商注册及诚信管理暂行办法》的规定在“浙江政府采购网”政采云平台注册登记的，成为浙江省政府采购注册供应商。如未注册的供应商，请注意注册所需时间。</w:t>
      </w:r>
    </w:p>
    <w:p w14:paraId="73F3D270">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.6响应与开标注意事项</w:t>
      </w:r>
    </w:p>
    <w:p w14:paraId="4038271C">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.6.1本项目实行网上响应，采用电子响应文件。若供应商参与响应，自行承担响应一切费用。</w:t>
      </w:r>
    </w:p>
    <w:p w14:paraId="088A8560">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.6.2标前准备：各供应商应在开标前确保成为浙江政府采购网正式注册入库供应商，并完成CA数字证书办理。因未注册入库、未办理CA数字证书等原因造成无法响应或响应失败等后果由供应商自行承担。</w:t>
      </w:r>
    </w:p>
    <w:p w14:paraId="36DB0B07">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.6.3响应文件制作：</w:t>
      </w:r>
    </w:p>
    <w:p w14:paraId="156E2481">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.6.3.1应按照本项目采购文件和政府采购云平台的要求编制、加密并递交响应文件。供应商在使用系统进行响应的过程中遇到涉及平台使用的任何问题，可致电政府采购云平台技术支持热线咨询，联系方式：</w:t>
      </w:r>
      <w:r>
        <w:rPr>
          <w:rFonts w:hint="eastAsia" w:ascii="宋体" w:hAnsi="宋体" w:cs="宋体"/>
          <w:color w:val="auto"/>
          <w:kern w:val="0"/>
          <w:szCs w:val="21"/>
          <w:highlight w:val="none"/>
          <w:shd w:val="clear" w:color="auto" w:fill="FFFFFF"/>
          <w:lang w:bidi="ar"/>
        </w:rPr>
        <w:t>95763</w:t>
      </w:r>
      <w:r>
        <w:rPr>
          <w:rFonts w:hint="eastAsia" w:ascii="宋体" w:hAnsi="宋体" w:cs="宋体"/>
          <w:color w:val="auto"/>
          <w:szCs w:val="21"/>
          <w:highlight w:val="none"/>
        </w:rPr>
        <w:t>。</w:t>
      </w:r>
    </w:p>
    <w:p w14:paraId="736BE8EA">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.6.3.2供应商通过政府采购云平台电子投标工具制作响应文件，电子投标工具请供应商自行前往浙江政府采购网下载并安装，响应文件制作具体流程详见政府采购云平台。</w:t>
      </w:r>
    </w:p>
    <w:p w14:paraId="7D26D54C">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.6.3.3供应商可自愿提交以U盘存储的电子备份响应文件1份，按政府采购云平台要求制作的电子备份文件，以用于异常情况处理。</w:t>
      </w:r>
    </w:p>
    <w:p w14:paraId="1FD0D8F0">
      <w:pPr>
        <w:spacing w:line="336" w:lineRule="auto"/>
        <w:ind w:firstLine="420"/>
        <w:rPr>
          <w:rFonts w:ascii="宋体" w:hAnsi="宋体" w:cs="宋体"/>
          <w:bCs/>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.7本招标公告附件中的采购文件仅供阅览使用，供应商应在规定的采购文件获取期限内在政采云平台登录供应商注册的账号后获取采购文件，未按上述方式获取采购文件的，不得对采购文件提起质疑投诉。</w:t>
      </w:r>
    </w:p>
    <w:p w14:paraId="1FAE1AE2">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.8供应商应于响应截止时间前将电子响应文件上传到政府采购云平台www.zcygov.cn，未上传电子响应文件，视为供应商放弃响应。</w:t>
      </w:r>
    </w:p>
    <w:p w14:paraId="297AB52E">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9供应商如提供备份响应文件的，应于提交响应文件截止时间前，将以U盘存储的电子备份响应文件密封，递交至响应地点，逾期送达或未密封将予以拒收。供应商仅提供备份响应文件（以U盘存储的电子备份响应文件）的，响应无效。</w:t>
      </w:r>
    </w:p>
    <w:p w14:paraId="234AA786">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10采购代理机构将在采购文件规定的开标时间通过政府采购云平台组织开标、开启响应文件，所有供应商均应准时在线参加。开标时间后30分钟内供应商可以登录政府采购云平台www.zcygov.cn，用“项目采购-开标评标”功能进行解密响应文件。</w:t>
      </w:r>
    </w:p>
    <w:p w14:paraId="285CB565">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.11供应商可采用邮寄（含快递）方式或现场方式递交备份响应文件。</w:t>
      </w:r>
    </w:p>
    <w:p w14:paraId="5AE7E3F6">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.11.1采用邮寄方式递交备份响应文件，需按以下要求递交：</w:t>
      </w:r>
    </w:p>
    <w:p w14:paraId="45C12E85">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拟在</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lang w:eastAsia="zh-CN"/>
        </w:rPr>
        <w:t>:00</w:t>
      </w:r>
      <w:r>
        <w:rPr>
          <w:rFonts w:hint="eastAsia" w:ascii="宋体" w:hAnsi="宋体" w:cs="宋体"/>
          <w:color w:val="auto"/>
          <w:szCs w:val="21"/>
          <w:highlight w:val="none"/>
        </w:rPr>
        <w:t>之前到件的邮寄地址为：宁波市海曙区高桥镇秀丰路755号；拟在</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lang w:eastAsia="zh-CN"/>
        </w:rPr>
        <w:t>:00</w:t>
      </w:r>
      <w:r>
        <w:rPr>
          <w:rFonts w:hint="eastAsia" w:ascii="宋体" w:hAnsi="宋体" w:cs="宋体"/>
          <w:color w:val="auto"/>
          <w:szCs w:val="21"/>
          <w:highlight w:val="none"/>
        </w:rPr>
        <w:t>之后，</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0</w:t>
      </w:r>
      <w:r>
        <w:rPr>
          <w:rFonts w:hint="eastAsia" w:ascii="宋体" w:hAnsi="宋体" w:cs="宋体"/>
          <w:color w:val="auto"/>
          <w:szCs w:val="21"/>
          <w:highlight w:val="none"/>
        </w:rPr>
        <w:t>之前到件的邮寄地址为：[宁波市海曙区营商环境服务中心（原海曙区公共资源交易中心）开标室（</w:t>
      </w:r>
      <w:r>
        <w:rPr>
          <w:rFonts w:hint="eastAsia" w:ascii="宋体" w:hAnsi="宋体" w:cs="宋体"/>
          <w:color w:val="auto"/>
          <w:szCs w:val="21"/>
          <w:highlight w:val="none"/>
          <w:lang w:eastAsia="zh-CN"/>
        </w:rPr>
        <w:t>六</w:t>
      </w:r>
      <w:r>
        <w:rPr>
          <w:rFonts w:hint="eastAsia" w:ascii="宋体" w:hAnsi="宋体" w:cs="宋体"/>
          <w:color w:val="auto"/>
          <w:szCs w:val="21"/>
          <w:highlight w:val="none"/>
        </w:rPr>
        <w:t>）[宁波市海曙区气象路58号（南门上）]；</w:t>
      </w:r>
    </w:p>
    <w:p w14:paraId="352E529B">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收件人：邓平，联系方式：0574-87208638。由采购代理工作人员进行签收，各供应商自行考虑邮寄在途时间，邮寄过程中无论何种因素导致备份响应文件未按时递交的后果，均由供应商自行负责。备份响应文件递交时间以采购代</w:t>
      </w:r>
      <w:bookmarkStart w:id="48" w:name="_GoBack"/>
      <w:bookmarkEnd w:id="48"/>
      <w:r>
        <w:rPr>
          <w:rFonts w:hint="eastAsia" w:ascii="宋体" w:hAnsi="宋体" w:cs="宋体"/>
          <w:color w:val="auto"/>
          <w:szCs w:val="21"/>
          <w:highlight w:val="none"/>
        </w:rPr>
        <w:t>理实际收到备份响应文件的时间为准。</w:t>
      </w:r>
    </w:p>
    <w:p w14:paraId="288C0FB1">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.11.2采用现场方式送达备份响应文件，需按以下要求递交：供应商可安排相关人员在响应截止时间前将备份响应文件送至响应地点。</w:t>
      </w:r>
    </w:p>
    <w:p w14:paraId="16A2AE26">
      <w:pPr>
        <w:spacing w:line="336" w:lineRule="auto"/>
        <w:ind w:firstLine="420"/>
        <w:rPr>
          <w:rFonts w:ascii="宋体" w:hAnsi="宋体" w:cs="宋体"/>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12本公告发布媒体：中国政府采购网（www.ccgp.gov.cn）、浙江政府采购网（www.zjzfcg.gov.cn）、宁波政府采购网（www.nbzfcg.cn）、浙江省公共资源交易服务平台（ggzy.zj.gov.cn）、宁波市公共资源交易电子服务系统（甬易阳光）（jyxt.zwb.ningbo.gov.cn:4011/website/home），公布信息视同送达所有潜在供应商。</w:t>
      </w:r>
    </w:p>
    <w:p w14:paraId="55A88FB0">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八、凡对本次招标提出询问、质疑、投诉，请按以下方式联系</w:t>
      </w:r>
    </w:p>
    <w:p w14:paraId="23FF8EAD">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1.采购人信息</w:t>
      </w:r>
    </w:p>
    <w:p w14:paraId="106E09AC">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名称：宁波市海曙区古林镇中心小学</w:t>
      </w:r>
    </w:p>
    <w:p w14:paraId="673E658E">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地址：宁波市海曙区古林镇文卫路128号</w:t>
      </w:r>
    </w:p>
    <w:p w14:paraId="4636ADE0">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联系人：陈老师</w:t>
      </w:r>
    </w:p>
    <w:p w14:paraId="125DB2B6">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联系方式：0574-55011499</w:t>
      </w:r>
    </w:p>
    <w:p w14:paraId="44B4C9B0">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质疑联系人：周老师</w:t>
      </w:r>
    </w:p>
    <w:p w14:paraId="6A515C4F">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质疑联系方式：0574-55011499</w:t>
      </w:r>
    </w:p>
    <w:p w14:paraId="46C50DF0">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2.采购代理机构信息</w:t>
      </w:r>
    </w:p>
    <w:p w14:paraId="4156441C">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名称：宁波之新招标咨询有限公司</w:t>
      </w:r>
    </w:p>
    <w:p w14:paraId="7C295877">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地    址：宁波市海曙区高桥镇秀丰路755号3楼</w:t>
      </w:r>
    </w:p>
    <w:p w14:paraId="0FA55679">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联 系 人：姜梅、邓平、徐斌</w:t>
      </w:r>
    </w:p>
    <w:p w14:paraId="6052D114">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联系电话：0574-87208638</w:t>
      </w:r>
    </w:p>
    <w:p w14:paraId="7A5FF98E">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质疑联系人：江华波</w:t>
      </w:r>
    </w:p>
    <w:p w14:paraId="009EFFC2">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联系电话：0574-87208639</w:t>
      </w:r>
    </w:p>
    <w:p w14:paraId="3DFC2289">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3.同级政府采购监督管理部门</w:t>
      </w:r>
    </w:p>
    <w:p w14:paraId="5377E8DB">
      <w:pPr>
        <w:adjustRightInd w:val="0"/>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shd w:val="clear" w:color="auto" w:fill="FFFFFF"/>
          <w:lang w:bidi="ar"/>
        </w:rPr>
        <w:t>名称：宁波市海曙区采购管理办公室</w:t>
      </w:r>
    </w:p>
    <w:p w14:paraId="194F9960">
      <w:pPr>
        <w:adjustRightInd w:val="0"/>
        <w:spacing w:line="360" w:lineRule="auto"/>
        <w:ind w:firstLine="420" w:firstLineChars="200"/>
        <w:jc w:val="left"/>
        <w:rPr>
          <w:rFonts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地址：宁波市海曙区大梁街48号</w:t>
      </w:r>
    </w:p>
    <w:p w14:paraId="347D634E">
      <w:pPr>
        <w:adjustRightInd w:val="0"/>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shd w:val="clear" w:color="auto" w:fill="FFFFFF"/>
          <w:lang w:bidi="ar"/>
        </w:rPr>
        <w:t>传真：/</w:t>
      </w:r>
    </w:p>
    <w:p w14:paraId="01518FE6">
      <w:pPr>
        <w:adjustRightInd w:val="0"/>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shd w:val="clear" w:color="auto" w:fill="FFFFFF"/>
          <w:lang w:bidi="ar"/>
        </w:rPr>
        <w:t>联系人：王老师</w:t>
      </w:r>
    </w:p>
    <w:p w14:paraId="30505154">
      <w:pPr>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监督投诉电话：0574-87297540</w:t>
      </w:r>
    </w:p>
    <w:p w14:paraId="1266DF36">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若对项目采购电子交易系统操作有疑问，可登录政采云（https://www.zcygov.cn/），点击右侧咨询小采，获取采小蜜智能服务管家帮助，或拨打政采云服务热线</w:t>
      </w:r>
      <w:r>
        <w:rPr>
          <w:rFonts w:hint="eastAsia" w:ascii="宋体" w:hAnsi="宋体" w:cs="宋体"/>
          <w:color w:val="auto"/>
          <w:kern w:val="0"/>
          <w:szCs w:val="21"/>
          <w:highlight w:val="none"/>
          <w:shd w:val="clear" w:color="auto" w:fill="FFFFFF"/>
          <w:lang w:bidi="ar"/>
        </w:rPr>
        <w:t>95763</w:t>
      </w:r>
      <w:r>
        <w:rPr>
          <w:rFonts w:hint="eastAsia" w:ascii="宋体" w:hAnsi="宋体" w:cs="宋体"/>
          <w:color w:val="auto"/>
          <w:kern w:val="0"/>
          <w:szCs w:val="21"/>
          <w:highlight w:val="none"/>
          <w:lang w:bidi="ar"/>
        </w:rPr>
        <w:t>获取热线服务帮助。</w:t>
      </w:r>
    </w:p>
    <w:p w14:paraId="20474E5B">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CA问题联系电话（人工）：汇信CA400-888-4636；天谷CA400-087-8198。</w:t>
      </w:r>
    </w:p>
    <w:p w14:paraId="6E793A2D">
      <w:pPr>
        <w:spacing w:after="330" w:line="360" w:lineRule="auto"/>
        <w:jc w:val="center"/>
        <w:outlineLvl w:val="0"/>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bookmarkStart w:id="4" w:name="_Toc16919"/>
      <w:bookmarkStart w:id="5" w:name="_Toc15961"/>
      <w:r>
        <w:rPr>
          <w:rFonts w:asciiTheme="majorEastAsia" w:hAnsiTheme="majorEastAsia" w:eastAsiaTheme="majorEastAsia"/>
          <w:b/>
          <w:bCs/>
          <w:color w:val="auto"/>
          <w:sz w:val="32"/>
          <w:szCs w:val="40"/>
          <w:highlight w:val="none"/>
        </w:rPr>
        <w:t>第二章  采购需求</w:t>
      </w:r>
      <w:bookmarkEnd w:id="3"/>
      <w:bookmarkEnd w:id="4"/>
      <w:bookmarkEnd w:id="5"/>
    </w:p>
    <w:p w14:paraId="0A72E84B">
      <w:pPr>
        <w:keepNext w:val="0"/>
        <w:keepLines w:val="0"/>
        <w:pageBreakBefore w:val="0"/>
        <w:widowControl w:val="0"/>
        <w:shd w:val="clear"/>
        <w:kinsoku/>
        <w:wordWrap/>
        <w:overflowPunct/>
        <w:topLinePunct w:val="0"/>
        <w:autoSpaceDE/>
        <w:autoSpaceDN/>
        <w:bidi w:val="0"/>
        <w:adjustRightInd/>
        <w:snapToGrid/>
        <w:spacing w:before="240" w:line="360" w:lineRule="auto"/>
        <w:textAlignment w:val="auto"/>
        <w:rPr>
          <w:rFonts w:hint="eastAsia" w:ascii="宋体" w:hAnsi="宋体" w:eastAsia="宋体" w:cs="宋体"/>
          <w:b/>
          <w:color w:val="auto"/>
          <w:sz w:val="21"/>
          <w:szCs w:val="21"/>
          <w:highlight w:val="none"/>
        </w:rPr>
      </w:pPr>
      <w:bookmarkStart w:id="6" w:name="_Toc522013504"/>
      <w:r>
        <w:rPr>
          <w:rFonts w:hint="eastAsia" w:ascii="宋体" w:hAnsi="宋体" w:eastAsia="宋体" w:cs="宋体"/>
          <w:b/>
          <w:color w:val="auto"/>
          <w:sz w:val="21"/>
          <w:szCs w:val="21"/>
          <w:highlight w:val="none"/>
        </w:rPr>
        <w:t>一、商务条款：</w:t>
      </w:r>
    </w:p>
    <w:tbl>
      <w:tblPr>
        <w:tblStyle w:val="45"/>
        <w:tblW w:w="935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92"/>
        <w:gridCol w:w="7362"/>
      </w:tblGrid>
      <w:tr w14:paraId="58933B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6" w:hRule="atLeast"/>
          <w:jc w:val="center"/>
        </w:trPr>
        <w:tc>
          <w:tcPr>
            <w:tcW w:w="1992" w:type="dxa"/>
            <w:noWrap w:val="0"/>
            <w:vAlign w:val="center"/>
          </w:tcPr>
          <w:p w14:paraId="09838EC7">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c>
          <w:tcPr>
            <w:tcW w:w="7362" w:type="dxa"/>
            <w:noWrap w:val="0"/>
            <w:vAlign w:val="center"/>
          </w:tcPr>
          <w:p w14:paraId="77246C4E">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服务地点：按采购人采购的</w:t>
            </w:r>
            <w:r>
              <w:rPr>
                <w:rFonts w:hint="eastAsia" w:ascii="宋体" w:hAnsi="宋体" w:eastAsia="宋体" w:cs="宋体"/>
                <w:color w:val="auto"/>
                <w:sz w:val="21"/>
                <w:szCs w:val="21"/>
                <w:highlight w:val="none"/>
                <w:lang w:eastAsia="zh-CN"/>
              </w:rPr>
              <w:t>教职工疗休养</w:t>
            </w:r>
            <w:r>
              <w:rPr>
                <w:rFonts w:hint="eastAsia" w:ascii="宋体" w:hAnsi="宋体" w:eastAsia="宋体" w:cs="宋体"/>
                <w:color w:val="auto"/>
                <w:sz w:val="21"/>
                <w:szCs w:val="21"/>
                <w:highlight w:val="none"/>
              </w:rPr>
              <w:t>路线要求。</w:t>
            </w:r>
          </w:p>
        </w:tc>
      </w:tr>
      <w:tr w14:paraId="315C96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6" w:hRule="atLeast"/>
          <w:jc w:val="center"/>
        </w:trPr>
        <w:tc>
          <w:tcPr>
            <w:tcW w:w="1992" w:type="dxa"/>
            <w:noWrap w:val="0"/>
            <w:vAlign w:val="center"/>
          </w:tcPr>
          <w:p w14:paraId="73B453DC">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服务时间</w:t>
            </w:r>
          </w:p>
        </w:tc>
        <w:tc>
          <w:tcPr>
            <w:tcW w:w="7362" w:type="dxa"/>
            <w:noWrap w:val="0"/>
            <w:vAlign w:val="center"/>
          </w:tcPr>
          <w:p w14:paraId="319411FA">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自合同签订生效后开始至双方合同义务完全履行后截止，具体根据采购人组织出行计划安排</w:t>
            </w:r>
            <w:r>
              <w:rPr>
                <w:rFonts w:hint="eastAsia" w:ascii="宋体" w:hAnsi="宋体" w:eastAsia="宋体" w:cs="宋体"/>
                <w:bCs/>
                <w:color w:val="auto"/>
                <w:sz w:val="21"/>
                <w:szCs w:val="21"/>
                <w:highlight w:val="none"/>
                <w:shd w:val="clear" w:color="auto" w:fill="FFFFFF"/>
              </w:rPr>
              <w:t>。</w:t>
            </w:r>
          </w:p>
        </w:tc>
      </w:tr>
      <w:tr w14:paraId="4F3321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7F6B53CB">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7362" w:type="dxa"/>
            <w:noWrap w:val="0"/>
            <w:vAlign w:val="center"/>
          </w:tcPr>
          <w:p w14:paraId="22401B2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Arial" w:hAnsi="Arial" w:eastAsia="宋体" w:cs="Times New Roman"/>
                <w:b/>
                <w:bCs w:val="0"/>
                <w:color w:val="auto"/>
                <w:szCs w:val="28"/>
                <w:highlight w:val="none"/>
                <w:lang w:val="en-US" w:eastAsia="zh-CN"/>
              </w:rPr>
            </w:pPr>
            <w:r>
              <w:rPr>
                <w:rFonts w:hint="eastAsia" w:ascii="Arial" w:hAnsi="Arial" w:eastAsia="宋体" w:cs="Times New Roman"/>
                <w:b/>
                <w:bCs w:val="0"/>
                <w:color w:val="auto"/>
                <w:szCs w:val="28"/>
                <w:highlight w:val="none"/>
              </w:rPr>
              <w:t>本项目采用单价报价，报价不做竞争，供应商在响应文件统一填</w:t>
            </w:r>
            <w:r>
              <w:rPr>
                <w:rFonts w:hint="eastAsia" w:ascii="Arial" w:hAnsi="Arial" w:eastAsia="宋体" w:cs="Times New Roman"/>
                <w:b/>
                <w:bCs w:val="0"/>
                <w:color w:val="auto"/>
                <w:szCs w:val="28"/>
                <w:highlight w:val="none"/>
                <w:lang w:val="en-US" w:eastAsia="zh-CN"/>
              </w:rPr>
              <w:t>报：</w:t>
            </w:r>
            <w:r>
              <w:rPr>
                <w:rFonts w:hint="eastAsia" w:ascii="Arial" w:hAnsi="Arial" w:cs="Times New Roman"/>
                <w:b/>
                <w:bCs w:val="0"/>
                <w:color w:val="auto"/>
                <w:szCs w:val="28"/>
                <w:highlight w:val="none"/>
                <w:lang w:val="en-US" w:eastAsia="zh-CN"/>
              </w:rPr>
              <w:t>江西</w:t>
            </w:r>
            <w:r>
              <w:rPr>
                <w:rFonts w:hint="eastAsia" w:ascii="Arial" w:hAnsi="Arial" w:eastAsia="宋体" w:cs="Times New Roman"/>
                <w:b/>
                <w:bCs w:val="0"/>
                <w:color w:val="auto"/>
                <w:szCs w:val="28"/>
                <w:highlight w:val="none"/>
                <w:lang w:val="en-US" w:eastAsia="zh-CN"/>
              </w:rPr>
              <w:t>：</w:t>
            </w:r>
            <w:r>
              <w:rPr>
                <w:rFonts w:hint="eastAsia" w:ascii="Arial" w:hAnsi="Arial" w:cs="Times New Roman"/>
                <w:b/>
                <w:bCs w:val="0"/>
                <w:color w:val="auto"/>
                <w:szCs w:val="28"/>
                <w:highlight w:val="none"/>
                <w:lang w:val="en-US" w:eastAsia="zh-CN"/>
              </w:rPr>
              <w:t>3000</w:t>
            </w:r>
            <w:r>
              <w:rPr>
                <w:rFonts w:hint="eastAsia" w:ascii="Arial" w:hAnsi="Arial" w:eastAsia="宋体" w:cs="Times New Roman"/>
                <w:b/>
                <w:bCs w:val="0"/>
                <w:color w:val="auto"/>
                <w:szCs w:val="28"/>
                <w:highlight w:val="none"/>
                <w:lang w:val="en-US" w:eastAsia="zh-CN"/>
              </w:rPr>
              <w:t>元/人、</w:t>
            </w:r>
            <w:r>
              <w:rPr>
                <w:rFonts w:hint="eastAsia" w:ascii="Arial" w:hAnsi="Arial" w:cs="Times New Roman"/>
                <w:b/>
                <w:bCs w:val="0"/>
                <w:color w:val="auto"/>
                <w:szCs w:val="28"/>
                <w:highlight w:val="none"/>
                <w:lang w:val="en-US" w:eastAsia="zh-CN"/>
              </w:rPr>
              <w:t>江苏</w:t>
            </w:r>
            <w:r>
              <w:rPr>
                <w:rFonts w:hint="eastAsia" w:ascii="Arial" w:hAnsi="Arial" w:eastAsia="宋体" w:cs="Times New Roman"/>
                <w:b/>
                <w:bCs w:val="0"/>
                <w:color w:val="auto"/>
                <w:szCs w:val="28"/>
                <w:highlight w:val="none"/>
                <w:lang w:val="en-US" w:eastAsia="zh-CN"/>
              </w:rPr>
              <w:t>：3000元/人。</w:t>
            </w:r>
            <w:r>
              <w:rPr>
                <w:rFonts w:hint="eastAsia" w:ascii="Arial" w:hAnsi="Arial" w:eastAsia="宋体" w:cs="Times New Roman"/>
                <w:b/>
                <w:bCs w:val="0"/>
                <w:color w:val="auto"/>
                <w:szCs w:val="28"/>
                <w:highlight w:val="none"/>
              </w:rPr>
              <w:t>政采云系统</w:t>
            </w:r>
            <w:r>
              <w:rPr>
                <w:rFonts w:hint="eastAsia" w:ascii="Arial" w:hAnsi="Arial" w:eastAsia="宋体" w:cs="Times New Roman"/>
                <w:b/>
                <w:bCs w:val="0"/>
                <w:color w:val="auto"/>
                <w:szCs w:val="28"/>
                <w:highlight w:val="none"/>
                <w:lang w:val="en-US" w:eastAsia="zh-CN"/>
              </w:rPr>
              <w:t>上统一填报总价</w:t>
            </w:r>
            <w:r>
              <w:rPr>
                <w:rFonts w:hint="eastAsia" w:ascii="Arial" w:hAnsi="Arial" w:cs="Times New Roman"/>
                <w:b/>
                <w:bCs w:val="0"/>
                <w:color w:val="auto"/>
                <w:szCs w:val="28"/>
                <w:highlight w:val="none"/>
                <w:lang w:val="en-US" w:eastAsia="zh-CN"/>
              </w:rPr>
              <w:t>405000</w:t>
            </w:r>
            <w:r>
              <w:rPr>
                <w:rFonts w:hint="eastAsia" w:ascii="Arial" w:hAnsi="Arial" w:eastAsia="宋体" w:cs="Times New Roman"/>
                <w:b/>
                <w:bCs w:val="0"/>
                <w:color w:val="auto"/>
                <w:szCs w:val="28"/>
                <w:highlight w:val="none"/>
                <w:lang w:val="en-US" w:eastAsia="zh-CN"/>
              </w:rPr>
              <w:t>元。</w:t>
            </w:r>
            <w:r>
              <w:rPr>
                <w:rFonts w:hint="eastAsia" w:ascii="Arial" w:hAnsi="Arial" w:eastAsia="宋体" w:cs="Times New Roman"/>
                <w:b/>
                <w:bCs w:val="0"/>
                <w:color w:val="auto"/>
                <w:szCs w:val="28"/>
                <w:highlight w:val="none"/>
              </w:rPr>
              <w:t>如未按要求填报，由评标委员会进行修正，</w:t>
            </w:r>
            <w:r>
              <w:rPr>
                <w:rFonts w:hint="eastAsia" w:ascii="Arial" w:hAnsi="Arial" w:eastAsia="宋体" w:cs="Times New Roman"/>
                <w:b/>
                <w:bCs w:val="0"/>
                <w:color w:val="auto"/>
                <w:szCs w:val="28"/>
                <w:highlight w:val="none"/>
                <w:lang w:eastAsia="zh-CN"/>
              </w:rPr>
              <w:t>投标人</w:t>
            </w:r>
            <w:r>
              <w:rPr>
                <w:rFonts w:hint="eastAsia" w:ascii="Arial" w:hAnsi="Arial" w:eastAsia="宋体" w:cs="Times New Roman"/>
                <w:b/>
                <w:bCs w:val="0"/>
                <w:color w:val="auto"/>
                <w:szCs w:val="28"/>
                <w:highlight w:val="none"/>
              </w:rPr>
              <w:t>不接受修正的，做无效标处理。</w:t>
            </w:r>
          </w:p>
          <w:p w14:paraId="61B45AA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Arial" w:hAnsi="Arial" w:eastAsia="宋体" w:cs="Times New Roman"/>
                <w:b/>
                <w:bCs w:val="0"/>
                <w:color w:val="auto"/>
                <w:szCs w:val="28"/>
                <w:highlight w:val="none"/>
                <w:lang w:val="en-US" w:eastAsia="zh-CN"/>
              </w:rPr>
            </w:pPr>
            <w:r>
              <w:rPr>
                <w:rFonts w:hint="eastAsia" w:ascii="Arial" w:hAnsi="Arial" w:eastAsia="宋体" w:cs="Times New Roman"/>
                <w:b/>
                <w:bCs w:val="0"/>
                <w:color w:val="auto"/>
                <w:szCs w:val="28"/>
                <w:highlight w:val="none"/>
                <w:lang w:val="en-US" w:eastAsia="zh-CN"/>
              </w:rPr>
              <w:t>备注：以上线路的报价中，3000元/人的部分由本次采购预算支付，超出部分由疗休养出行人自行承担，最终每人结算金额将根据出行时最终确定的价格为准。</w:t>
            </w:r>
          </w:p>
          <w:p w14:paraId="38C314C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（注：所有报价均包含</w:t>
            </w:r>
            <w:r>
              <w:rPr>
                <w:rFonts w:hint="eastAsia" w:ascii="Times New Roman" w:hAnsi="宋体" w:eastAsia="宋体" w:cs="宋体"/>
                <w:color w:val="auto"/>
                <w:kern w:val="2"/>
                <w:sz w:val="21"/>
                <w:highlight w:val="none"/>
              </w:rPr>
              <w:t>完成疗休养的交通费、住宿费、餐饮费、人身意外保险费，各旅游景点的所有门票、导游、领队的经费、司机的费用、服务费、保险、税费等完成疗休养的所有费用。</w:t>
            </w:r>
            <w:r>
              <w:rPr>
                <w:rFonts w:hint="eastAsia" w:ascii="宋体" w:hAnsi="宋体" w:eastAsia="宋体" w:cs="宋体"/>
                <w:color w:val="auto"/>
                <w:sz w:val="21"/>
                <w:szCs w:val="21"/>
                <w:highlight w:val="none"/>
              </w:rPr>
              <w:t>如遇工作等原因有调整可能，房价等因素因季节性涨价的，请各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报价时自行掌握考虑，采购人不再进行调整任何费用）。</w:t>
            </w:r>
          </w:p>
        </w:tc>
      </w:tr>
      <w:tr w14:paraId="26E33E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47DBEDC7">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付款方式和条件</w:t>
            </w:r>
          </w:p>
        </w:tc>
        <w:tc>
          <w:tcPr>
            <w:tcW w:w="7362" w:type="dxa"/>
            <w:noWrap w:val="0"/>
            <w:vAlign w:val="center"/>
          </w:tcPr>
          <w:p w14:paraId="641D6966">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合同签订后</w:t>
            </w:r>
            <w:r>
              <w:rPr>
                <w:rFonts w:hint="eastAsia" w:ascii="宋体" w:hAnsi="宋体" w:eastAsia="宋体" w:cs="宋体"/>
                <w:color w:val="auto"/>
                <w:sz w:val="21"/>
                <w:szCs w:val="21"/>
                <w:highlight w:val="none"/>
                <w:lang w:val="en-US" w:eastAsia="zh-CN"/>
              </w:rPr>
              <w:t>以及</w:t>
            </w:r>
            <w:r>
              <w:rPr>
                <w:rFonts w:hint="eastAsia" w:ascii="宋体" w:hAnsi="宋体" w:eastAsia="宋体" w:cs="宋体"/>
                <w:color w:val="auto"/>
                <w:sz w:val="21"/>
                <w:szCs w:val="21"/>
                <w:highlight w:val="none"/>
              </w:rPr>
              <w:t>具备实施条件后</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个工作日内，</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中标供应商</w:t>
            </w:r>
            <w:r>
              <w:rPr>
                <w:rFonts w:hint="eastAsia" w:ascii="宋体" w:hAnsi="宋体" w:eastAsia="宋体" w:cs="宋体"/>
                <w:color w:val="auto"/>
                <w:sz w:val="21"/>
                <w:szCs w:val="21"/>
                <w:highlight w:val="none"/>
              </w:rPr>
              <w:t>支付</w:t>
            </w:r>
            <w:r>
              <w:rPr>
                <w:rFonts w:hint="default" w:ascii="宋体" w:hAnsi="宋体" w:eastAsia="宋体" w:cs="宋体"/>
                <w:color w:val="auto"/>
                <w:sz w:val="21"/>
                <w:szCs w:val="21"/>
                <w:highlight w:val="none"/>
                <w:lang w:val="en-US"/>
              </w:rPr>
              <w:t>合同</w:t>
            </w:r>
            <w:r>
              <w:rPr>
                <w:rFonts w:hint="eastAsia" w:ascii="宋体" w:hAnsi="宋体" w:eastAsia="宋体" w:cs="宋体"/>
                <w:color w:val="auto"/>
                <w:sz w:val="21"/>
                <w:szCs w:val="21"/>
                <w:highlight w:val="none"/>
              </w:rPr>
              <w:t>总额</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（在签订合同时，供应商明确表示无需预付款或者主动要求降低预付款比例的，采购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可不适用</w:t>
            </w:r>
            <w:r>
              <w:rPr>
                <w:rFonts w:hint="eastAsia" w:ascii="宋体" w:hAnsi="宋体" w:eastAsia="宋体" w:cs="宋体"/>
                <w:color w:val="auto"/>
                <w:sz w:val="21"/>
                <w:szCs w:val="21"/>
                <w:highlight w:val="none"/>
                <w:lang w:val="en-US" w:eastAsia="zh-CN"/>
              </w:rPr>
              <w:t>此条预付</w:t>
            </w:r>
            <w:r>
              <w:rPr>
                <w:rFonts w:hint="eastAsia" w:ascii="宋体" w:hAnsi="宋体" w:eastAsia="宋体" w:cs="宋体"/>
                <w:color w:val="auto"/>
                <w:sz w:val="21"/>
                <w:szCs w:val="21"/>
                <w:highlight w:val="none"/>
                <w:lang w:eastAsia="zh-CN"/>
              </w:rPr>
              <w:t>规定）；</w:t>
            </w:r>
          </w:p>
          <w:p w14:paraId="0FE77CE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无预付款的，在成交人</w:t>
            </w:r>
            <w:r>
              <w:rPr>
                <w:rFonts w:hint="eastAsia" w:ascii="宋体" w:hAnsi="宋体" w:eastAsia="宋体" w:cs="宋体"/>
                <w:color w:val="auto"/>
                <w:sz w:val="21"/>
                <w:szCs w:val="21"/>
                <w:highlight w:val="none"/>
                <w:lang w:val="en-US" w:eastAsia="zh-CN"/>
              </w:rPr>
              <w:t>订完</w:t>
            </w:r>
            <w:r>
              <w:rPr>
                <w:rFonts w:hint="eastAsia" w:ascii="宋体" w:hAnsi="宋体" w:eastAsia="宋体" w:cs="宋体"/>
                <w:color w:val="auto"/>
                <w:sz w:val="21"/>
                <w:szCs w:val="21"/>
                <w:highlight w:val="none"/>
              </w:rPr>
              <w:t>第一批机票（</w:t>
            </w:r>
            <w:r>
              <w:rPr>
                <w:rFonts w:hint="eastAsia" w:ascii="宋体" w:hAnsi="宋体" w:eastAsia="宋体" w:cs="宋体"/>
                <w:color w:val="auto"/>
                <w:sz w:val="21"/>
                <w:szCs w:val="21"/>
                <w:highlight w:val="none"/>
                <w:lang w:eastAsia="zh-CN"/>
              </w:rPr>
              <w:t>或高铁或大巴</w:t>
            </w:r>
            <w:r>
              <w:rPr>
                <w:rFonts w:hint="eastAsia" w:ascii="宋体" w:hAnsi="宋体" w:eastAsia="宋体" w:cs="宋体"/>
                <w:color w:val="auto"/>
                <w:sz w:val="21"/>
                <w:szCs w:val="21"/>
                <w:highlight w:val="none"/>
              </w:rPr>
              <w:t>）后，采购人向成交人支付合同总价的40%。</w:t>
            </w:r>
          </w:p>
          <w:p w14:paraId="42E0FC31">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3、成交人在完成教职工疗休养承办业务后，无有效投诉和质量问题，成交人凭正规有效发票原件、旅游合同、名单、身份证及保险复印件结清服务款项。</w:t>
            </w:r>
          </w:p>
          <w:p w14:paraId="15C632B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注：每次付款前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预付款除外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，中标供应商必须开具等额的正规税务发票给采购人。</w:t>
            </w:r>
          </w:p>
        </w:tc>
      </w:tr>
      <w:tr w14:paraId="6EC69B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08851466">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授予合同</w:t>
            </w:r>
          </w:p>
        </w:tc>
        <w:tc>
          <w:tcPr>
            <w:tcW w:w="7362" w:type="dxa"/>
            <w:noWrap w:val="0"/>
            <w:vAlign w:val="center"/>
          </w:tcPr>
          <w:p w14:paraId="787A6A7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文件的规定、</w:t>
            </w:r>
            <w:r>
              <w:rPr>
                <w:rFonts w:hint="eastAsia" w:ascii="宋体" w:hAnsi="宋体" w:eastAsia="宋体" w:cs="宋体"/>
                <w:color w:val="auto"/>
                <w:sz w:val="21"/>
                <w:szCs w:val="21"/>
                <w:highlight w:val="none"/>
                <w:lang w:eastAsia="zh-CN"/>
              </w:rPr>
              <w:t>确定成交</w:t>
            </w:r>
            <w:r>
              <w:rPr>
                <w:rFonts w:hint="eastAsia" w:ascii="宋体" w:hAnsi="宋体" w:eastAsia="宋体" w:cs="宋体"/>
                <w:color w:val="auto"/>
                <w:sz w:val="21"/>
                <w:szCs w:val="21"/>
                <w:highlight w:val="none"/>
              </w:rPr>
              <w:t>供应商的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响应及</w:t>
            </w:r>
            <w:r>
              <w:rPr>
                <w:rFonts w:hint="eastAsia" w:ascii="宋体" w:hAnsi="宋体" w:eastAsia="宋体" w:cs="宋体"/>
                <w:color w:val="auto"/>
                <w:sz w:val="21"/>
                <w:szCs w:val="21"/>
                <w:highlight w:val="none"/>
                <w:lang w:eastAsia="zh-CN"/>
              </w:rPr>
              <w:t>确定成交</w:t>
            </w:r>
            <w:r>
              <w:rPr>
                <w:rFonts w:hint="eastAsia" w:ascii="宋体" w:hAnsi="宋体" w:eastAsia="宋体" w:cs="宋体"/>
                <w:color w:val="auto"/>
                <w:sz w:val="21"/>
                <w:szCs w:val="21"/>
                <w:highlight w:val="none"/>
              </w:rPr>
              <w:t>通知书确定的金额签订合同。</w:t>
            </w:r>
          </w:p>
        </w:tc>
      </w:tr>
      <w:tr w14:paraId="570BA6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738F30AE">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7362" w:type="dxa"/>
            <w:noWrap w:val="0"/>
            <w:vAlign w:val="center"/>
          </w:tcPr>
          <w:p w14:paraId="21461698">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确定成交通知书</w:t>
            </w:r>
            <w:r>
              <w:rPr>
                <w:rFonts w:hint="eastAsia" w:ascii="宋体" w:hAnsi="宋体" w:eastAsia="宋体" w:cs="宋体"/>
                <w:color w:val="auto"/>
                <w:sz w:val="21"/>
                <w:szCs w:val="21"/>
                <w:highlight w:val="none"/>
              </w:rPr>
              <w:t>发出之日起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天内签订合同。</w:t>
            </w:r>
          </w:p>
        </w:tc>
      </w:tr>
      <w:tr w14:paraId="173B41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5C0C936B">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其他说明</w:t>
            </w:r>
          </w:p>
        </w:tc>
        <w:tc>
          <w:tcPr>
            <w:tcW w:w="7362" w:type="dxa"/>
            <w:noWrap w:val="0"/>
            <w:vAlign w:val="center"/>
          </w:tcPr>
          <w:p w14:paraId="10868DC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1、参加教职工疗休养人员名单和个人信息不得外泄。</w:t>
            </w:r>
          </w:p>
          <w:p w14:paraId="0AA02DF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2、项目履行过程中，成交人的教职工发生的一切安全事故（包括由于出行受伤等引起的全部事故内容），全部责任由成交人自行承担，自主负责处理解决并承担相关费用。</w:t>
            </w:r>
          </w:p>
        </w:tc>
      </w:tr>
    </w:tbl>
    <w:p w14:paraId="638C88D2">
      <w:pPr>
        <w:keepNext w:val="0"/>
        <w:keepLines w:val="0"/>
        <w:pageBreakBefore w:val="0"/>
        <w:widowControl w:val="0"/>
        <w:shd w:val="clear"/>
        <w:kinsoku/>
        <w:wordWrap/>
        <w:overflowPunct/>
        <w:topLinePunct w:val="0"/>
        <w:bidi w:val="0"/>
        <w:spacing w:line="360" w:lineRule="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br w:type="page"/>
      </w:r>
    </w:p>
    <w:p w14:paraId="0C352ECB">
      <w:pPr>
        <w:keepNext w:val="0"/>
        <w:keepLines w:val="0"/>
        <w:pageBreakBefore w:val="0"/>
        <w:widowControl w:val="0"/>
        <w:numPr>
          <w:ilvl w:val="0"/>
          <w:numId w:val="2"/>
        </w:numPr>
        <w:shd w:val="clear"/>
        <w:kinsoku/>
        <w:wordWrap/>
        <w:overflowPunct/>
        <w:topLinePunct w:val="0"/>
        <w:autoSpaceDE/>
        <w:autoSpaceDN/>
        <w:bidi w:val="0"/>
        <w:adjustRightInd/>
        <w:snapToGrid/>
        <w:spacing w:before="240" w:line="360" w:lineRule="auto"/>
        <w:textAlignment w:val="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采购内容：</w:t>
      </w:r>
    </w:p>
    <w:p w14:paraId="29A72817">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bookmarkStart w:id="7" w:name="二、项目要求"/>
      <w:bookmarkEnd w:id="7"/>
      <w:r>
        <w:rPr>
          <w:rFonts w:hint="eastAsia" w:ascii="宋体" w:hAnsi="宋体" w:eastAsia="宋体" w:cs="Times New Roman"/>
          <w:b w:val="0"/>
          <w:bCs/>
          <w:color w:val="auto"/>
          <w:szCs w:val="21"/>
          <w:highlight w:val="none"/>
          <w:lang w:val="zh-CN" w:eastAsia="zh-CN"/>
        </w:rPr>
        <w:t>为进一步满足广大教职工对美好生活的需求，维护教职工基本权利，激发广大教职工的工作热情，严格落实疗休养工作有关文件规定，结合采购人实际情况，进行</w:t>
      </w:r>
      <w:r>
        <w:rPr>
          <w:rFonts w:hint="eastAsia" w:ascii="宋体" w:hAnsi="宋体" w:cs="宋体"/>
          <w:i w:val="0"/>
          <w:iCs w:val="0"/>
          <w:caps w:val="0"/>
          <w:color w:val="auto"/>
          <w:spacing w:val="0"/>
          <w:kern w:val="0"/>
          <w:sz w:val="21"/>
          <w:szCs w:val="21"/>
          <w:highlight w:val="none"/>
          <w:lang w:val="en-US" w:eastAsia="zh-CN" w:bidi="ar"/>
        </w:rPr>
        <w:t>宁波市海曙区古林镇中心小学2025年年度教职工疗休养</w:t>
      </w:r>
      <w:r>
        <w:rPr>
          <w:rFonts w:hint="eastAsia" w:ascii="宋体" w:hAnsi="宋体" w:eastAsia="宋体" w:cs="宋体"/>
          <w:i w:val="0"/>
          <w:iCs w:val="0"/>
          <w:caps w:val="0"/>
          <w:color w:val="auto"/>
          <w:spacing w:val="0"/>
          <w:kern w:val="0"/>
          <w:sz w:val="21"/>
          <w:szCs w:val="21"/>
          <w:highlight w:val="none"/>
          <w:lang w:val="en-US" w:eastAsia="zh-CN" w:bidi="ar"/>
        </w:rPr>
        <w:t>采购</w:t>
      </w:r>
      <w:r>
        <w:rPr>
          <w:rFonts w:hint="eastAsia" w:ascii="宋体" w:hAnsi="宋体" w:eastAsia="宋体" w:cs="Times New Roman"/>
          <w:b w:val="0"/>
          <w:bCs/>
          <w:color w:val="auto"/>
          <w:szCs w:val="21"/>
          <w:highlight w:val="none"/>
          <w:lang w:val="zh-CN" w:eastAsia="zh-CN"/>
        </w:rPr>
        <w:t>，基本情况如下：</w:t>
      </w:r>
    </w:p>
    <w:p w14:paraId="0CFB1071">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1、疗休养参加人数：参加教职工人数约</w:t>
      </w:r>
      <w:r>
        <w:rPr>
          <w:rFonts w:hint="eastAsia" w:ascii="宋体" w:hAnsi="宋体" w:cs="Times New Roman"/>
          <w:b w:val="0"/>
          <w:bCs/>
          <w:color w:val="auto"/>
          <w:szCs w:val="21"/>
          <w:highlight w:val="none"/>
          <w:lang w:val="en-US" w:eastAsia="zh-CN"/>
        </w:rPr>
        <w:t>135</w:t>
      </w:r>
      <w:r>
        <w:rPr>
          <w:rFonts w:hint="eastAsia" w:ascii="宋体" w:hAnsi="宋体" w:eastAsia="宋体" w:cs="Times New Roman"/>
          <w:b w:val="0"/>
          <w:bCs/>
          <w:color w:val="auto"/>
          <w:szCs w:val="21"/>
          <w:highlight w:val="none"/>
          <w:lang w:val="zh-CN" w:eastAsia="zh-CN"/>
        </w:rPr>
        <w:t>人（实际人数以参加人数为准，据实结算）。职工可携带家属，但职工家属的全部费用由职工自行负责，不在此项目的预算范围内，合同由职工家属与成交供应商另行签订。</w:t>
      </w:r>
    </w:p>
    <w:p w14:paraId="77177C3D">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2、疗休养出行地点、费用标准上限、时间说明如下：</w:t>
      </w:r>
    </w:p>
    <w:tbl>
      <w:tblPr>
        <w:tblStyle w:val="45"/>
        <w:tblW w:w="88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8"/>
        <w:gridCol w:w="7005"/>
      </w:tblGrid>
      <w:tr w14:paraId="3A84C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798" w:type="dxa"/>
            <w:noWrap w:val="0"/>
            <w:vAlign w:val="center"/>
          </w:tcPr>
          <w:p w14:paraId="327DA9DA">
            <w:pPr>
              <w:widowControl w:val="0"/>
              <w:autoSpaceDE w:val="0"/>
              <w:autoSpaceDN w:val="0"/>
              <w:spacing w:before="0" w:after="0" w:line="240" w:lineRule="auto"/>
              <w:ind w:left="96"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类别</w:t>
            </w:r>
          </w:p>
        </w:tc>
        <w:tc>
          <w:tcPr>
            <w:tcW w:w="7005" w:type="dxa"/>
            <w:noWrap w:val="0"/>
            <w:vAlign w:val="center"/>
          </w:tcPr>
          <w:p w14:paraId="27D39584">
            <w:pPr>
              <w:widowControl w:val="0"/>
              <w:autoSpaceDE w:val="0"/>
              <w:autoSpaceDN w:val="0"/>
              <w:spacing w:before="0" w:after="0" w:line="240" w:lineRule="auto"/>
              <w:ind w:left="903" w:right="892"/>
              <w:jc w:val="center"/>
              <w:rPr>
                <w:rFonts w:ascii="宋体" w:hAnsi="宋体" w:eastAsia="宋体" w:cs="宋体"/>
                <w:color w:val="auto"/>
                <w:sz w:val="21"/>
                <w:szCs w:val="22"/>
                <w:highlight w:val="none"/>
                <w:lang w:val="zh-CN" w:eastAsia="zh-CN" w:bidi="zh-CN"/>
              </w:rPr>
            </w:pPr>
            <w:r>
              <w:rPr>
                <w:rFonts w:hint="eastAsia" w:ascii="宋体" w:hAnsi="宋体" w:cs="宋体"/>
                <w:color w:val="auto"/>
                <w:spacing w:val="3"/>
                <w:w w:val="100"/>
                <w:sz w:val="21"/>
                <w:szCs w:val="21"/>
                <w:highlight w:val="none"/>
                <w:lang w:val="zh-CN" w:eastAsia="zh-CN" w:bidi="zh-CN"/>
              </w:rPr>
              <w:t>2025</w:t>
            </w:r>
            <w:r>
              <w:rPr>
                <w:rFonts w:hint="eastAsia" w:ascii="宋体" w:hAnsi="宋体" w:eastAsia="宋体" w:cs="宋体"/>
                <w:color w:val="auto"/>
                <w:spacing w:val="3"/>
                <w:w w:val="100"/>
                <w:sz w:val="21"/>
                <w:szCs w:val="21"/>
                <w:highlight w:val="none"/>
                <w:lang w:val="zh-CN" w:eastAsia="zh-CN" w:bidi="zh-CN"/>
              </w:rPr>
              <w:t>年度暑期（</w:t>
            </w:r>
            <w:r>
              <w:rPr>
                <w:rFonts w:hint="eastAsia" w:ascii="宋体" w:hAnsi="宋体" w:eastAsia="宋体" w:cs="宋体"/>
                <w:color w:val="auto"/>
                <w:spacing w:val="3"/>
                <w:w w:val="100"/>
                <w:sz w:val="21"/>
                <w:szCs w:val="21"/>
                <w:highlight w:val="none"/>
                <w:lang w:val="en-US" w:eastAsia="zh-CN" w:bidi="zh-CN"/>
              </w:rPr>
              <w:t>7月-8月</w:t>
            </w:r>
            <w:r>
              <w:rPr>
                <w:rFonts w:hint="eastAsia" w:ascii="宋体" w:hAnsi="宋体" w:eastAsia="宋体" w:cs="宋体"/>
                <w:color w:val="auto"/>
                <w:spacing w:val="3"/>
                <w:w w:val="100"/>
                <w:sz w:val="21"/>
                <w:szCs w:val="21"/>
                <w:highlight w:val="none"/>
                <w:lang w:val="zh-CN" w:eastAsia="zh-CN" w:bidi="zh-CN"/>
              </w:rPr>
              <w:t>）教职工疗休养</w:t>
            </w:r>
          </w:p>
        </w:tc>
      </w:tr>
      <w:tr w14:paraId="0A46F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798" w:type="dxa"/>
            <w:noWrap w:val="0"/>
            <w:vAlign w:val="center"/>
          </w:tcPr>
          <w:p w14:paraId="40A144DE">
            <w:pPr>
              <w:widowControl w:val="0"/>
              <w:autoSpaceDE w:val="0"/>
              <w:autoSpaceDN w:val="0"/>
              <w:spacing w:before="0" w:after="0" w:line="240" w:lineRule="auto"/>
              <w:ind w:left="98"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出行地点</w:t>
            </w:r>
          </w:p>
        </w:tc>
        <w:tc>
          <w:tcPr>
            <w:tcW w:w="7005" w:type="dxa"/>
            <w:noWrap w:val="0"/>
            <w:vAlign w:val="center"/>
          </w:tcPr>
          <w:p w14:paraId="17BAFEEB">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宋体" w:hAnsi="宋体" w:eastAsia="宋体" w:cs="宋体"/>
                <w:color w:val="auto"/>
                <w:spacing w:val="3"/>
                <w:w w:val="100"/>
                <w:sz w:val="21"/>
                <w:szCs w:val="21"/>
                <w:highlight w:val="none"/>
                <w:lang w:val="zh-CN" w:eastAsia="zh-CN" w:bidi="zh-CN"/>
              </w:rPr>
            </w:pPr>
            <w:r>
              <w:rPr>
                <w:rFonts w:hint="eastAsia" w:ascii="宋体" w:hAnsi="宋体" w:cs="宋体"/>
                <w:color w:val="auto"/>
                <w:spacing w:val="3"/>
                <w:w w:val="100"/>
                <w:sz w:val="21"/>
                <w:szCs w:val="21"/>
                <w:highlight w:val="none"/>
                <w:lang w:val="en-US" w:eastAsia="zh-CN" w:bidi="zh-CN"/>
              </w:rPr>
              <w:t>2</w:t>
            </w:r>
            <w:r>
              <w:rPr>
                <w:rFonts w:hint="eastAsia" w:ascii="宋体" w:hAnsi="宋体" w:eastAsia="宋体" w:cs="宋体"/>
                <w:color w:val="auto"/>
                <w:spacing w:val="3"/>
                <w:w w:val="100"/>
                <w:sz w:val="21"/>
                <w:szCs w:val="21"/>
                <w:highlight w:val="none"/>
                <w:lang w:val="en-US" w:eastAsia="zh-CN" w:bidi="zh-CN"/>
              </w:rPr>
              <w:t>条路线，暂定</w:t>
            </w:r>
            <w:r>
              <w:rPr>
                <w:rFonts w:hint="eastAsia" w:ascii="宋体" w:hAnsi="宋体" w:cs="宋体"/>
                <w:b/>
                <w:bCs/>
                <w:color w:val="auto"/>
                <w:spacing w:val="3"/>
                <w:w w:val="100"/>
                <w:sz w:val="21"/>
                <w:szCs w:val="21"/>
                <w:highlight w:val="none"/>
                <w:lang w:val="en-US" w:eastAsia="zh-CN" w:bidi="zh-CN"/>
              </w:rPr>
              <w:t>江西线、江苏线</w:t>
            </w:r>
            <w:r>
              <w:rPr>
                <w:rFonts w:hint="eastAsia" w:ascii="宋体" w:hAnsi="宋体" w:eastAsia="宋体" w:cs="宋体"/>
                <w:color w:val="auto"/>
                <w:spacing w:val="3"/>
                <w:w w:val="100"/>
                <w:sz w:val="21"/>
                <w:szCs w:val="21"/>
                <w:highlight w:val="none"/>
                <w:lang w:val="zh-CN" w:eastAsia="zh-CN" w:bidi="zh-CN"/>
              </w:rPr>
              <w:t>，</w:t>
            </w:r>
          </w:p>
          <w:p w14:paraId="304F22F4">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宋体" w:hAnsi="宋体" w:eastAsia="宋体" w:cs="宋体"/>
                <w:color w:val="auto"/>
                <w:spacing w:val="3"/>
                <w:w w:val="100"/>
                <w:sz w:val="21"/>
                <w:szCs w:val="21"/>
                <w:highlight w:val="none"/>
                <w:lang w:val="zh-CN" w:eastAsia="zh-CN" w:bidi="zh-CN"/>
              </w:rPr>
            </w:pPr>
            <w:r>
              <w:rPr>
                <w:rFonts w:hint="eastAsia" w:ascii="宋体" w:hAnsi="宋体" w:eastAsia="宋体" w:cs="宋体"/>
                <w:color w:val="auto"/>
                <w:spacing w:val="3"/>
                <w:w w:val="100"/>
                <w:sz w:val="21"/>
                <w:szCs w:val="21"/>
                <w:highlight w:val="none"/>
                <w:lang w:val="zh-CN" w:eastAsia="zh-CN" w:bidi="zh-CN"/>
              </w:rPr>
              <w:t>根据疗休养工作有关文件规定路线，由采购人最终确定；</w:t>
            </w:r>
          </w:p>
        </w:tc>
      </w:tr>
      <w:tr w14:paraId="143F1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798" w:type="dxa"/>
            <w:noWrap w:val="0"/>
            <w:vAlign w:val="center"/>
          </w:tcPr>
          <w:p w14:paraId="4D393C97">
            <w:pPr>
              <w:widowControl w:val="0"/>
              <w:autoSpaceDE w:val="0"/>
              <w:autoSpaceDN w:val="0"/>
              <w:spacing w:before="0" w:after="0" w:line="240" w:lineRule="auto"/>
              <w:ind w:left="98"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出行时长</w:t>
            </w:r>
          </w:p>
        </w:tc>
        <w:tc>
          <w:tcPr>
            <w:tcW w:w="7005" w:type="dxa"/>
            <w:noWrap w:val="0"/>
            <w:vAlign w:val="center"/>
          </w:tcPr>
          <w:p w14:paraId="768E1B8D">
            <w:pPr>
              <w:widowControl w:val="0"/>
              <w:autoSpaceDE w:val="0"/>
              <w:autoSpaceDN w:val="0"/>
              <w:spacing w:before="0" w:after="0" w:line="240" w:lineRule="auto"/>
              <w:ind w:left="903" w:right="892"/>
              <w:jc w:val="center"/>
              <w:rPr>
                <w:rFonts w:hint="eastAsia" w:ascii="宋体" w:hAnsi="宋体" w:eastAsia="宋体" w:cs="宋体"/>
                <w:color w:val="auto"/>
                <w:spacing w:val="3"/>
                <w:w w:val="100"/>
                <w:sz w:val="21"/>
                <w:szCs w:val="21"/>
                <w:highlight w:val="none"/>
                <w:lang w:val="zh-CN" w:eastAsia="zh-CN" w:bidi="zh-CN"/>
              </w:rPr>
            </w:pPr>
            <w:r>
              <w:rPr>
                <w:rFonts w:hint="eastAsia" w:ascii="宋体" w:hAnsi="宋体" w:eastAsia="宋体" w:cs="宋体"/>
                <w:color w:val="auto"/>
                <w:spacing w:val="3"/>
                <w:w w:val="100"/>
                <w:sz w:val="21"/>
                <w:szCs w:val="21"/>
                <w:highlight w:val="none"/>
                <w:lang w:val="zh-CN" w:eastAsia="zh-CN" w:bidi="zh-CN"/>
              </w:rPr>
              <w:t>根据采购人最终确定的出行方案确定</w:t>
            </w:r>
          </w:p>
        </w:tc>
      </w:tr>
      <w:tr w14:paraId="2313E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798" w:type="dxa"/>
            <w:noWrap w:val="0"/>
            <w:vAlign w:val="center"/>
          </w:tcPr>
          <w:p w14:paraId="4DBD7470">
            <w:pPr>
              <w:widowControl w:val="0"/>
              <w:autoSpaceDE w:val="0"/>
              <w:autoSpaceDN w:val="0"/>
              <w:spacing w:before="0" w:after="0" w:line="240" w:lineRule="auto"/>
              <w:ind w:left="98"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费用标准（上限）</w:t>
            </w:r>
          </w:p>
        </w:tc>
        <w:tc>
          <w:tcPr>
            <w:tcW w:w="7005" w:type="dxa"/>
            <w:noWrap w:val="0"/>
            <w:vAlign w:val="center"/>
          </w:tcPr>
          <w:p w14:paraId="2F792D03">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宋体" w:hAnsi="宋体" w:eastAsia="宋体" w:cs="宋体"/>
                <w:color w:val="auto"/>
                <w:spacing w:val="3"/>
                <w:w w:val="100"/>
                <w:sz w:val="21"/>
                <w:szCs w:val="21"/>
                <w:highlight w:val="none"/>
                <w:lang w:val="zh-CN" w:eastAsia="zh-CN" w:bidi="zh-CN"/>
              </w:rPr>
            </w:pPr>
            <w:r>
              <w:rPr>
                <w:rFonts w:hint="eastAsia" w:ascii="宋体" w:hAnsi="宋体" w:cs="宋体"/>
                <w:color w:val="auto"/>
                <w:spacing w:val="3"/>
                <w:w w:val="100"/>
                <w:sz w:val="21"/>
                <w:szCs w:val="21"/>
                <w:highlight w:val="none"/>
                <w:lang w:val="en-US" w:eastAsia="zh-CN" w:bidi="zh-CN"/>
              </w:rPr>
              <w:t>江西</w:t>
            </w:r>
            <w:r>
              <w:rPr>
                <w:rFonts w:hint="eastAsia" w:ascii="宋体" w:hAnsi="宋体" w:eastAsia="宋体" w:cs="宋体"/>
                <w:color w:val="auto"/>
                <w:spacing w:val="3"/>
                <w:w w:val="100"/>
                <w:sz w:val="21"/>
                <w:szCs w:val="21"/>
                <w:highlight w:val="none"/>
                <w:lang w:val="en-US" w:eastAsia="zh-CN" w:bidi="zh-CN"/>
              </w:rPr>
              <w:t>线：3000元/人、</w:t>
            </w:r>
            <w:r>
              <w:rPr>
                <w:rFonts w:hint="eastAsia" w:ascii="宋体" w:hAnsi="宋体" w:cs="宋体"/>
                <w:color w:val="auto"/>
                <w:spacing w:val="3"/>
                <w:w w:val="100"/>
                <w:sz w:val="21"/>
                <w:szCs w:val="21"/>
                <w:highlight w:val="none"/>
                <w:lang w:val="en-US" w:eastAsia="zh-CN" w:bidi="zh-CN"/>
              </w:rPr>
              <w:t>江苏</w:t>
            </w:r>
            <w:r>
              <w:rPr>
                <w:rFonts w:hint="eastAsia" w:ascii="宋体" w:hAnsi="宋体" w:eastAsia="宋体" w:cs="宋体"/>
                <w:color w:val="auto"/>
                <w:spacing w:val="3"/>
                <w:w w:val="100"/>
                <w:sz w:val="21"/>
                <w:szCs w:val="21"/>
                <w:highlight w:val="none"/>
                <w:lang w:val="en-US" w:eastAsia="zh-CN" w:bidi="zh-CN"/>
              </w:rPr>
              <w:t>线：3000元/人</w:t>
            </w:r>
          </w:p>
        </w:tc>
      </w:tr>
    </w:tbl>
    <w:p w14:paraId="186BAD48">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注：本项目费用标准为行程安排服务标准，供应商在响应报价时填报的报价作为评标及结算依据，但提供的服务不得低于行程的费用标准；合同履约期间，按最新发布的文件要求执行（供应商须考虑项目不确定因素，并自行承担该风险产生的费用和责任，中标后不能以此作为拒绝履行本项目的理由，否则采购人有权追究其法律及经济责任）。</w:t>
      </w:r>
    </w:p>
    <w:p w14:paraId="3882EFCE">
      <w:pPr>
        <w:autoSpaceDE w:val="0"/>
        <w:autoSpaceDN w:val="0"/>
        <w:spacing w:before="0" w:after="0" w:line="360" w:lineRule="auto"/>
        <w:ind w:right="483"/>
        <w:jc w:val="left"/>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本次项目采购通过竞争性磋商采购方式确定</w:t>
      </w:r>
      <w:r>
        <w:rPr>
          <w:rFonts w:hint="eastAsia" w:ascii="宋体" w:hAnsi="宋体" w:eastAsia="宋体" w:cs="Times New Roman"/>
          <w:b w:val="0"/>
          <w:bCs/>
          <w:color w:val="auto"/>
          <w:szCs w:val="21"/>
          <w:highlight w:val="none"/>
          <w:lang w:val="en-US" w:eastAsia="zh-CN"/>
        </w:rPr>
        <w:t>1</w:t>
      </w:r>
      <w:r>
        <w:rPr>
          <w:rFonts w:hint="eastAsia" w:ascii="宋体" w:hAnsi="宋体" w:eastAsia="宋体" w:cs="Times New Roman"/>
          <w:b w:val="0"/>
          <w:bCs/>
          <w:color w:val="auto"/>
          <w:szCs w:val="21"/>
          <w:highlight w:val="none"/>
          <w:lang w:val="zh-CN" w:eastAsia="zh-CN"/>
        </w:rPr>
        <w:t>家服务单位。</w:t>
      </w:r>
    </w:p>
    <w:p w14:paraId="6336287E">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三、项目要求</w:t>
      </w:r>
    </w:p>
    <w:p w14:paraId="1E46AADA">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1、供应商投标时须提供</w:t>
      </w:r>
      <w:r>
        <w:rPr>
          <w:rFonts w:hint="eastAsia" w:ascii="宋体" w:hAnsi="宋体" w:cs="Times New Roman"/>
          <w:b w:val="0"/>
          <w:bCs/>
          <w:color w:val="auto"/>
          <w:szCs w:val="21"/>
          <w:highlight w:val="none"/>
          <w:lang w:val="en-US" w:eastAsia="zh-CN"/>
        </w:rPr>
        <w:t>各</w:t>
      </w:r>
      <w:r>
        <w:rPr>
          <w:rFonts w:hint="eastAsia" w:ascii="宋体" w:hAnsi="宋体" w:eastAsia="宋体" w:cs="Times New Roman"/>
          <w:b w:val="0"/>
          <w:bCs/>
          <w:color w:val="auto"/>
          <w:szCs w:val="21"/>
          <w:highlight w:val="none"/>
          <w:lang w:val="en-US" w:eastAsia="zh-CN"/>
        </w:rPr>
        <w:t>条路线的</w:t>
      </w:r>
      <w:r>
        <w:rPr>
          <w:rFonts w:hint="eastAsia" w:ascii="宋体" w:hAnsi="宋体" w:eastAsia="宋体" w:cs="Times New Roman"/>
          <w:b w:val="0"/>
          <w:bCs/>
          <w:color w:val="auto"/>
          <w:szCs w:val="21"/>
          <w:highlight w:val="none"/>
          <w:lang w:val="zh-CN" w:eastAsia="zh-CN"/>
        </w:rPr>
        <w:t>行程安排方案，如建议出行时间、旅游行程（亮点、行程安排）、接待标准（交通、住宿、车辆、用餐、景点门票、导服、保险、购物安排）、建议成团人数等，方案供专家评审及采购人参考。采购人可选择供应商投标时提供的行程路线，也可选择其他路线，最终路线及行程安排由采购人决定。</w:t>
      </w:r>
    </w:p>
    <w:p w14:paraId="0159DB00">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2、采购人自行选择行程路线，成交人不得以任何理由拒绝，否则视为违约。</w:t>
      </w:r>
    </w:p>
    <w:p w14:paraId="3E27F7E2">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3、最低组团人数不低于</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0人。（已报名成团的，因临时退团不足</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人的，该团继续出行。在距离出发日≥5天（不含出发当日）临时退团的，大交通（飞机、动车、高铁）在已经出票的情况下，按退票当天实际产生的损失，由采购人承担，采购人不再支付其他任何损失费用；若距离出发日＜5天（不含出发当日）临时退团，按实际发生造成损失的凭证，由采购人承担。</w:t>
      </w:r>
    </w:p>
    <w:p w14:paraId="5CD09C55">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4、教职工参加疗休养按照旅游线路进行报名（具体报名方式由双方协商决定），由采购人统一与中标旅行社签订国家旅游局最新版旅游合同。</w:t>
      </w:r>
    </w:p>
    <w:p w14:paraId="0F6BB920">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5、遇上级政策变化，原定方案根据政策要求作及时调整，双方协商后实施。</w:t>
      </w:r>
      <w:bookmarkStart w:id="8" w:name="三、服务承诺"/>
      <w:bookmarkEnd w:id="8"/>
    </w:p>
    <w:p w14:paraId="04C7CE84">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四、服务标准</w:t>
      </w:r>
    </w:p>
    <w:p w14:paraId="448CC4D9">
      <w:pPr>
        <w:keepNext w:val="0"/>
        <w:keepLines w:val="0"/>
        <w:pageBreakBefore w:val="0"/>
        <w:widowControl w:val="0"/>
        <w:kinsoku/>
        <w:overflowPunct/>
        <w:topLinePunct w:val="0"/>
        <w:autoSpaceDE/>
        <w:autoSpaceDN/>
        <w:bidi w:val="0"/>
        <w:spacing w:line="360" w:lineRule="auto"/>
        <w:ind w:firstLine="420" w:firstLineChars="200"/>
        <w:rPr>
          <w:rFonts w:hint="default"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1、</w:t>
      </w:r>
      <w:r>
        <w:rPr>
          <w:rFonts w:hint="eastAsia" w:ascii="宋体" w:hAnsi="宋体" w:eastAsia="宋体" w:cs="Times New Roman"/>
          <w:b w:val="0"/>
          <w:bCs/>
          <w:color w:val="auto"/>
          <w:szCs w:val="21"/>
          <w:highlight w:val="none"/>
          <w:lang w:val="zh-CN" w:eastAsia="zh-CN"/>
        </w:rPr>
        <w:t>交通：交通方式视情况可选择飞机、汽车或高铁。含当地旅游车指定地点到疗养地点接送、景区交通等全过程交通出行工具。旅游车车龄不超过</w:t>
      </w:r>
      <w:r>
        <w:rPr>
          <w:rFonts w:hint="eastAsia" w:ascii="宋体" w:hAnsi="宋体" w:eastAsia="宋体" w:cs="Times New Roman"/>
          <w:b w:val="0"/>
          <w:bCs/>
          <w:color w:val="auto"/>
          <w:szCs w:val="21"/>
          <w:highlight w:val="none"/>
          <w:lang w:val="en-US" w:eastAsia="zh-CN"/>
        </w:rPr>
        <w:t>3年，驾驶员驾龄不少于5年。</w:t>
      </w:r>
    </w:p>
    <w:p w14:paraId="186AB363">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住宿：交通便利、环境较好、干净卫生、服务优质，有较强的接待能力，同时配套设施齐全、使用安全方便。住宿标准为两人一间，主要安排标准间，另外若团队中出现单男单女，个人不补住房差价，由成交供应商安排并承担；个人要求单住房，需要补交个人房差价。</w:t>
      </w:r>
    </w:p>
    <w:p w14:paraId="36564D56">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3、</w:t>
      </w:r>
      <w:r>
        <w:rPr>
          <w:rFonts w:hint="eastAsia" w:ascii="宋体" w:hAnsi="宋体" w:eastAsia="宋体" w:cs="Times New Roman"/>
          <w:b w:val="0"/>
          <w:bCs/>
          <w:color w:val="auto"/>
          <w:szCs w:val="21"/>
          <w:highlight w:val="none"/>
          <w:lang w:val="zh-CN" w:eastAsia="zh-CN"/>
        </w:rPr>
        <w:t>时间：按采购人计划实施，具体出团及返回时间根据经采购人认可的方案为准。</w:t>
      </w:r>
    </w:p>
    <w:p w14:paraId="48166C59">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4、</w:t>
      </w:r>
      <w:r>
        <w:rPr>
          <w:rFonts w:hint="eastAsia" w:ascii="宋体" w:hAnsi="宋体" w:eastAsia="宋体" w:cs="Times New Roman"/>
          <w:b w:val="0"/>
          <w:bCs/>
          <w:color w:val="auto"/>
          <w:szCs w:val="21"/>
          <w:highlight w:val="none"/>
          <w:lang w:val="zh-CN" w:eastAsia="zh-CN"/>
        </w:rPr>
        <w:t>餐标：食物要求新鲜、安全，适合职工口味。要求菜品多样，餐厅交通便利，环境较好。</w:t>
      </w:r>
    </w:p>
    <w:p w14:paraId="7A6026AB">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5、</w:t>
      </w:r>
      <w:r>
        <w:rPr>
          <w:rFonts w:hint="eastAsia" w:ascii="宋体" w:hAnsi="宋体" w:eastAsia="宋体" w:cs="Times New Roman"/>
          <w:b w:val="0"/>
          <w:bCs/>
          <w:color w:val="auto"/>
          <w:szCs w:val="21"/>
          <w:highlight w:val="none"/>
          <w:lang w:val="zh-CN" w:eastAsia="zh-CN"/>
        </w:rPr>
        <w:t>景点：行程单上要进园参观的景点必须包含大门票。行程单里出现的自费项目必须注明价格，并且自动默认非强迫性。</w:t>
      </w:r>
    </w:p>
    <w:p w14:paraId="5C9B5C23">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6、</w:t>
      </w:r>
      <w:r>
        <w:rPr>
          <w:rFonts w:hint="eastAsia" w:ascii="宋体" w:hAnsi="宋体" w:eastAsia="宋体" w:cs="Times New Roman"/>
          <w:b w:val="0"/>
          <w:bCs/>
          <w:color w:val="auto"/>
          <w:szCs w:val="21"/>
          <w:highlight w:val="none"/>
          <w:lang w:val="zh-CN" w:eastAsia="zh-CN"/>
        </w:rPr>
        <w:t>服务人员：设本项目服务专员（项目负责人），要求具备一定的资历资格和丰富的从业经验，加强双方沟通，根据采购人要求及时调整方案并获得采购人认可，应急处理相关事务等。具体出团全程（高铁除外）配导游（地陪），要求不少于三年导游经验，引导、讲解景点山水、典故等，解决旅途中可能出现的突发事件，并给予游客食、宿、行等方面的帮助。</w:t>
      </w:r>
    </w:p>
    <w:p w14:paraId="36B99A63">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7、</w:t>
      </w:r>
      <w:r>
        <w:rPr>
          <w:rFonts w:hint="eastAsia" w:ascii="宋体" w:hAnsi="宋体" w:eastAsia="宋体" w:cs="Times New Roman"/>
          <w:b w:val="0"/>
          <w:bCs/>
          <w:color w:val="auto"/>
          <w:szCs w:val="21"/>
          <w:highlight w:val="none"/>
          <w:lang w:val="zh-CN" w:eastAsia="zh-CN"/>
        </w:rPr>
        <w:t>导游：有导游资格的专业导游讲解服务。</w:t>
      </w:r>
    </w:p>
    <w:p w14:paraId="32D1EC0B">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五、服务承诺</w:t>
      </w:r>
    </w:p>
    <w:p w14:paraId="4282B173">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供应商必须对本次教职工疗休养的有关服务内容做出服务承诺，包括：</w:t>
      </w:r>
    </w:p>
    <w:p w14:paraId="67AE39BF">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1、经营质量方面的承诺：</w:t>
      </w:r>
    </w:p>
    <w:p w14:paraId="79DACD75">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①旅行社向教职工提供的旅游服务信息必须真实可靠，不得作虚假宣传。因旅行社原因不能成行，未经教职工同意擅自转团、拼团，一经核实，承诺支付该批次疗休养费用总额的50%比例违约金，情节严重的采购人有权终止合同，取消其承办资格。</w:t>
      </w:r>
    </w:p>
    <w:p w14:paraId="6AC7FD9B">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②未经教职工同意，旅行社不得在旅游合同约定之外提供其他有偿服务。一经核实，承诺支付该批次疗休养费用总额的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6B4514D9">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③疗休养线路不得安排购物点或强制购物。一经核实，承诺支付该批次疗休养费用总额的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4F45E70C">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④旅行社必须严格兑现响应文件内承诺的所有服务标准和内容，若发现为教职工提供的服务与响应文件不符，一经查实，承诺支付该批次疗休养费用总额的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7848BFB8">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⑤旅行社为教职工安排或者介绍的旅游活动不得含有违反有关法律、法规规定的内容。一经核实，承诺支付该批次疗休养费用总额的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14B4042C">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⑥中标旅行社应当按照合同约定履行义务完成项目，不得将项目转让(转包)给其他旅行社，一经查实，取消其承办资格。</w:t>
      </w:r>
    </w:p>
    <w:p w14:paraId="06A58021">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2、经营服务方面的承诺：</w:t>
      </w:r>
    </w:p>
    <w:p w14:paraId="3D78E619">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旅行社为教职工提供服务，应当与教职工签订国家旅游局新版旅游合同（最新版）并载明下列事项:</w:t>
      </w:r>
    </w:p>
    <w:p w14:paraId="2950AE3D">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①旅行社的名称及其经营范围、地址、联系电话和旅行社业务经营许可证编号；</w:t>
      </w:r>
    </w:p>
    <w:p w14:paraId="47282F6A">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②旅行社经办人的姓名、联系电话；</w:t>
      </w:r>
    </w:p>
    <w:p w14:paraId="030F157A">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③签约地点和日期；</w:t>
      </w:r>
    </w:p>
    <w:p w14:paraId="0636E3D4">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④旅游行程的出发地、途经地和目的地；</w:t>
      </w:r>
    </w:p>
    <w:p w14:paraId="0B61EBB6">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⑤旅游行程中交通、住宿、餐饮服务安排及其标准；</w:t>
      </w:r>
    </w:p>
    <w:p w14:paraId="05F165BE">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bookmarkStart w:id="9" w:name="第五章  评标办法及评分标准"/>
      <w:bookmarkEnd w:id="9"/>
      <w:r>
        <w:rPr>
          <w:rFonts w:hint="eastAsia" w:ascii="宋体" w:hAnsi="宋体" w:eastAsia="宋体" w:cs="Times New Roman"/>
          <w:b w:val="0"/>
          <w:bCs/>
          <w:color w:val="auto"/>
          <w:szCs w:val="21"/>
          <w:highlight w:val="none"/>
          <w:lang w:val="zh-CN" w:eastAsia="zh-CN"/>
        </w:rPr>
        <w:t>⑥教职工另行付费的游览项目及价格；</w:t>
      </w:r>
    </w:p>
    <w:p w14:paraId="5398161E">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⑦解除或者变更合同的条件和提前通知的期限；</w:t>
      </w:r>
    </w:p>
    <w:p w14:paraId="7439630A">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⑧违反合同的</w:t>
      </w:r>
      <w:r>
        <w:rPr>
          <w:rFonts w:hint="eastAsia" w:ascii="宋体" w:hAnsi="宋体" w:eastAsia="宋体" w:cs="Times New Roman"/>
          <w:b w:val="0"/>
          <w:bCs/>
          <w:color w:val="auto"/>
          <w:szCs w:val="21"/>
          <w:highlight w:val="none"/>
          <w:lang w:val="zh-CN" w:eastAsia="zh-CN"/>
        </w:rPr>
        <w:fldChar w:fldCharType="begin"/>
      </w:r>
      <w:r>
        <w:rPr>
          <w:rFonts w:hint="eastAsia" w:ascii="宋体" w:hAnsi="宋体" w:eastAsia="宋体" w:cs="Times New Roman"/>
          <w:b w:val="0"/>
          <w:bCs/>
          <w:color w:val="auto"/>
          <w:szCs w:val="21"/>
          <w:highlight w:val="none"/>
          <w:lang w:val="zh-CN" w:eastAsia="zh-CN"/>
        </w:rPr>
        <w:instrText xml:space="preserve"> HYPERLINK "http://baike.baidu.com/view/3798199.htm" \h </w:instrText>
      </w:r>
      <w:r>
        <w:rPr>
          <w:rFonts w:hint="eastAsia" w:ascii="宋体" w:hAnsi="宋体" w:eastAsia="宋体" w:cs="Times New Roman"/>
          <w:b w:val="0"/>
          <w:bCs/>
          <w:color w:val="auto"/>
          <w:szCs w:val="21"/>
          <w:highlight w:val="none"/>
          <w:lang w:val="zh-CN" w:eastAsia="zh-CN"/>
        </w:rPr>
        <w:fldChar w:fldCharType="separate"/>
      </w:r>
      <w:r>
        <w:rPr>
          <w:rFonts w:hint="eastAsia" w:ascii="宋体" w:hAnsi="宋体" w:eastAsia="宋体" w:cs="Times New Roman"/>
          <w:b w:val="0"/>
          <w:bCs/>
          <w:color w:val="auto"/>
          <w:szCs w:val="21"/>
          <w:highlight w:val="none"/>
          <w:lang w:val="zh-CN" w:eastAsia="zh-CN"/>
        </w:rPr>
        <w:t>纠纷解决</w:t>
      </w:r>
      <w:r>
        <w:rPr>
          <w:rFonts w:hint="eastAsia" w:ascii="宋体" w:hAnsi="宋体" w:eastAsia="宋体" w:cs="Times New Roman"/>
          <w:b w:val="0"/>
          <w:bCs/>
          <w:color w:val="auto"/>
          <w:szCs w:val="21"/>
          <w:highlight w:val="none"/>
          <w:lang w:val="zh-CN" w:eastAsia="zh-CN"/>
        </w:rPr>
        <w:fldChar w:fldCharType="end"/>
      </w:r>
      <w:r>
        <w:rPr>
          <w:rFonts w:hint="eastAsia" w:ascii="宋体" w:hAnsi="宋体" w:eastAsia="宋体" w:cs="Times New Roman"/>
          <w:b w:val="0"/>
          <w:bCs/>
          <w:color w:val="auto"/>
          <w:szCs w:val="21"/>
          <w:highlight w:val="none"/>
          <w:lang w:val="zh-CN" w:eastAsia="zh-CN"/>
        </w:rPr>
        <w:t>机制及应当承担的责任；</w:t>
      </w:r>
    </w:p>
    <w:p w14:paraId="38077CC7">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⑨旅游服务监督、投诉电话；</w:t>
      </w:r>
    </w:p>
    <w:p w14:paraId="2BF9496E">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⑩双方协商一致的其他内容。</w:t>
      </w:r>
      <w:bookmarkStart w:id="10" w:name="四、购买保险"/>
      <w:bookmarkEnd w:id="10"/>
    </w:p>
    <w:p w14:paraId="18C73EA1">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六、购买保险</w:t>
      </w:r>
    </w:p>
    <w:p w14:paraId="14CF30AA">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bCs w:val="0"/>
          <w:color w:val="auto"/>
          <w:szCs w:val="21"/>
          <w:highlight w:val="none"/>
          <w:lang w:val="zh-CN" w:eastAsia="zh-CN"/>
        </w:rPr>
      </w:pPr>
      <w:r>
        <w:rPr>
          <w:rFonts w:hint="eastAsia" w:ascii="宋体" w:hAnsi="宋体" w:eastAsia="宋体" w:cs="Times New Roman"/>
          <w:b w:val="0"/>
          <w:bCs/>
          <w:color w:val="auto"/>
          <w:szCs w:val="21"/>
          <w:highlight w:val="none"/>
          <w:lang w:val="zh-CN" w:eastAsia="zh-CN"/>
        </w:rPr>
        <w:t>旅行社必须为参加疗休养的教职工购买</w:t>
      </w:r>
      <w:r>
        <w:rPr>
          <w:rFonts w:hint="eastAsia" w:ascii="宋体" w:hAnsi="宋体" w:eastAsia="宋体" w:cs="Times New Roman"/>
          <w:b/>
          <w:bCs w:val="0"/>
          <w:color w:val="auto"/>
          <w:szCs w:val="21"/>
          <w:highlight w:val="none"/>
          <w:lang w:val="zh-CN" w:eastAsia="zh-CN"/>
        </w:rPr>
        <w:t>旅行社责任险和人身意外保险（保额不低于100万/人（其中医疗部分不少于10万元），费用含在报价中；合同履约期间，按最新发布的文件要求执行）。</w:t>
      </w:r>
    </w:p>
    <w:p w14:paraId="4FCAF2DF">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七、合同签订及执行</w:t>
      </w:r>
    </w:p>
    <w:p w14:paraId="33720265">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1、中标旅行社根据投标招标文件要求及投标文件响应有关条款，与采购人签订合同，由双方共同严格遵守执行。</w:t>
      </w:r>
    </w:p>
    <w:p w14:paraId="64E5E2FD">
      <w:pPr>
        <w:autoSpaceDE w:val="0"/>
        <w:autoSpaceDN w:val="0"/>
        <w:adjustRightInd w:val="0"/>
        <w:spacing w:before="62" w:beforeLines="20" w:after="62" w:afterLines="20"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、遇有双方不能协商解决的问题时，任何一方都有权向采购人所在地人民法院提起诉讼，由所在地人民法院依法裁决。</w:t>
      </w:r>
    </w:p>
    <w:p w14:paraId="5FFDBE1B">
      <w:pPr>
        <w:autoSpaceDE w:val="0"/>
        <w:autoSpaceDN w:val="0"/>
        <w:adjustRightInd w:val="0"/>
        <w:spacing w:before="62" w:beforeLines="20" w:after="62" w:afterLines="20" w:line="360" w:lineRule="auto"/>
        <w:rPr>
          <w:rFonts w:ascii="宋体" w:hAnsi="宋体" w:cs="宋体"/>
          <w:color w:val="auto"/>
          <w:kern w:val="24"/>
          <w:szCs w:val="21"/>
          <w:highlight w:val="none"/>
        </w:rPr>
      </w:pPr>
      <w:r>
        <w:rPr>
          <w:rFonts w:hint="eastAsia" w:ascii="宋体" w:hAnsi="宋体" w:cs="宋体"/>
          <w:color w:val="auto"/>
          <w:kern w:val="24"/>
          <w:szCs w:val="21"/>
          <w:highlight w:val="none"/>
        </w:rPr>
        <w:br w:type="page"/>
      </w:r>
    </w:p>
    <w:p w14:paraId="18A50D1E">
      <w:pPr>
        <w:spacing w:after="330" w:line="360" w:lineRule="auto"/>
        <w:jc w:val="center"/>
        <w:outlineLvl w:val="0"/>
        <w:rPr>
          <w:rFonts w:asciiTheme="majorEastAsia" w:hAnsiTheme="majorEastAsia" w:eastAsiaTheme="majorEastAsia"/>
          <w:b/>
          <w:bCs/>
          <w:color w:val="auto"/>
          <w:sz w:val="32"/>
          <w:szCs w:val="40"/>
          <w:highlight w:val="none"/>
        </w:rPr>
      </w:pPr>
      <w:bookmarkStart w:id="11" w:name="_Toc21677"/>
      <w:bookmarkStart w:id="12" w:name="_Toc27001"/>
      <w:r>
        <w:rPr>
          <w:rFonts w:asciiTheme="majorEastAsia" w:hAnsiTheme="majorEastAsia" w:eastAsiaTheme="majorEastAsia"/>
          <w:b/>
          <w:bCs/>
          <w:color w:val="auto"/>
          <w:sz w:val="32"/>
          <w:szCs w:val="40"/>
          <w:highlight w:val="none"/>
        </w:rPr>
        <w:t>第三章  供应商须知</w:t>
      </w:r>
      <w:bookmarkEnd w:id="6"/>
      <w:bookmarkEnd w:id="11"/>
      <w:bookmarkEnd w:id="12"/>
    </w:p>
    <w:p w14:paraId="14DC142F">
      <w:pPr>
        <w:spacing w:line="360" w:lineRule="auto"/>
        <w:jc w:val="center"/>
        <w:rPr>
          <w:rFonts w:ascii="宋体" w:hAnsi="宋体" w:cs="宋体"/>
          <w:color w:val="auto"/>
          <w:highlight w:val="none"/>
        </w:rPr>
      </w:pPr>
      <w:r>
        <w:rPr>
          <w:rFonts w:hint="eastAsia" w:ascii="宋体" w:hAnsi="宋体" w:cs="宋体"/>
          <w:color w:val="auto"/>
          <w:highlight w:val="none"/>
        </w:rPr>
        <w:t>前附表一</w:t>
      </w:r>
    </w:p>
    <w:tbl>
      <w:tblPr>
        <w:tblStyle w:val="45"/>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0"/>
        <w:gridCol w:w="8474"/>
      </w:tblGrid>
      <w:tr w14:paraId="52129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BD8226E">
            <w:pPr>
              <w:spacing w:line="440" w:lineRule="exact"/>
              <w:jc w:val="center"/>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序号</w:t>
            </w:r>
          </w:p>
        </w:tc>
        <w:tc>
          <w:tcPr>
            <w:tcW w:w="8474" w:type="dxa"/>
            <w:tcBorders>
              <w:top w:val="single" w:color="auto" w:sz="4" w:space="0"/>
              <w:left w:val="single" w:color="auto" w:sz="4" w:space="0"/>
              <w:bottom w:val="single" w:color="auto" w:sz="4" w:space="0"/>
              <w:right w:val="single" w:color="auto" w:sz="4" w:space="0"/>
            </w:tcBorders>
            <w:vAlign w:val="center"/>
          </w:tcPr>
          <w:p w14:paraId="639C3EE9">
            <w:pPr>
              <w:spacing w:line="440" w:lineRule="exact"/>
              <w:jc w:val="center"/>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内容、要求</w:t>
            </w:r>
          </w:p>
        </w:tc>
      </w:tr>
      <w:tr w14:paraId="7109A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679CB17">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p>
        </w:tc>
        <w:tc>
          <w:tcPr>
            <w:tcW w:w="8474" w:type="dxa"/>
            <w:tcBorders>
              <w:top w:val="single" w:color="auto" w:sz="4" w:space="0"/>
              <w:left w:val="single" w:color="auto" w:sz="4" w:space="0"/>
              <w:bottom w:val="single" w:color="auto" w:sz="4" w:space="0"/>
              <w:right w:val="single" w:color="auto" w:sz="4" w:space="0"/>
            </w:tcBorders>
            <w:vAlign w:val="center"/>
          </w:tcPr>
          <w:p w14:paraId="641F3EB4">
            <w:pPr>
              <w:spacing w:line="440" w:lineRule="exact"/>
              <w:rPr>
                <w:rFonts w:hint="eastAsia" w:asciiTheme="majorEastAsia" w:hAnsiTheme="majorEastAsia" w:eastAsiaTheme="majorEastAsia"/>
                <w:color w:val="auto"/>
                <w:highlight w:val="none"/>
                <w:lang w:eastAsia="zh-CN"/>
              </w:rPr>
            </w:pPr>
            <w:r>
              <w:rPr>
                <w:rFonts w:asciiTheme="majorEastAsia" w:hAnsiTheme="majorEastAsia" w:eastAsiaTheme="majorEastAsia"/>
                <w:color w:val="auto"/>
                <w:highlight w:val="none"/>
              </w:rPr>
              <w:t>项目名称：</w:t>
            </w:r>
            <w:r>
              <w:rPr>
                <w:rFonts w:hint="eastAsia" w:asciiTheme="majorEastAsia" w:hAnsiTheme="majorEastAsia" w:eastAsiaTheme="majorEastAsia"/>
                <w:color w:val="auto"/>
                <w:szCs w:val="21"/>
                <w:highlight w:val="none"/>
                <w:lang w:eastAsia="zh-CN"/>
              </w:rPr>
              <w:t>宁波市海曙区古林镇中心小学2025年年度教职工疗休养</w:t>
            </w:r>
          </w:p>
        </w:tc>
      </w:tr>
      <w:tr w14:paraId="4D6D2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3"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B86FB76">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2</w:t>
            </w:r>
          </w:p>
        </w:tc>
        <w:tc>
          <w:tcPr>
            <w:tcW w:w="8474" w:type="dxa"/>
            <w:tcBorders>
              <w:top w:val="single" w:color="auto" w:sz="4" w:space="0"/>
              <w:left w:val="single" w:color="auto" w:sz="4" w:space="0"/>
              <w:bottom w:val="single" w:color="auto" w:sz="4" w:space="0"/>
              <w:right w:val="single" w:color="auto" w:sz="4" w:space="0"/>
            </w:tcBorders>
            <w:vAlign w:val="center"/>
          </w:tcPr>
          <w:p w14:paraId="25669FB1">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报价要求及其他费用：</w:t>
            </w:r>
          </w:p>
          <w:p w14:paraId="6CE73C5E">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lang w:val="zh-CN"/>
              </w:rPr>
            </w:pPr>
            <w:bookmarkStart w:id="13" w:name="_Hlk20081732"/>
            <w:r>
              <w:rPr>
                <w:rFonts w:hint="eastAsia" w:ascii="宋体" w:hAnsi="宋体" w:eastAsia="宋体" w:cs="宋体"/>
                <w:color w:val="auto"/>
                <w:sz w:val="21"/>
                <w:szCs w:val="21"/>
                <w:highlight w:val="none"/>
              </w:rPr>
              <w:t>报价要求：报价须包含完成疗休养的交通费、住宿费、餐饮费、人身意外保险费，各旅游景点的所有门票、导游、领队的经费、司机的费用、服务费、保险、税费等完成疗休养的所有费用。。如遇工作等原因有调整可能，房价等因素因季节性涨价的，请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报价时自行掌握考虑，采购人不再进行调整任何费用</w:t>
            </w:r>
            <w:r>
              <w:rPr>
                <w:rFonts w:hint="eastAsia" w:ascii="宋体" w:hAnsi="宋体" w:eastAsia="宋体" w:cs="宋体"/>
                <w:color w:val="auto"/>
                <w:sz w:val="21"/>
                <w:szCs w:val="21"/>
                <w:highlight w:val="none"/>
                <w:lang w:eastAsia="zh-CN"/>
              </w:rPr>
              <w:t>。</w:t>
            </w:r>
          </w:p>
          <w:p w14:paraId="21D1CC95">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本项目采用单价报价，报价不做竞争，供应商在响应文件统一填报：</w:t>
            </w:r>
            <w:r>
              <w:rPr>
                <w:rFonts w:hint="eastAsia" w:ascii="宋体" w:hAnsi="宋体" w:eastAsia="宋体" w:cs="宋体"/>
                <w:color w:val="auto"/>
                <w:sz w:val="21"/>
                <w:szCs w:val="21"/>
                <w:highlight w:val="none"/>
                <w:lang w:val="zh-CN" w:eastAsia="zh-CN"/>
              </w:rPr>
              <w:t>江西：</w:t>
            </w:r>
            <w:r>
              <w:rPr>
                <w:rFonts w:hint="eastAsia" w:ascii="宋体" w:hAnsi="宋体" w:cs="宋体"/>
                <w:bCs/>
                <w:color w:val="auto"/>
                <w:szCs w:val="21"/>
                <w:highlight w:val="none"/>
                <w:lang w:val="en-US" w:eastAsia="zh-CN"/>
              </w:rPr>
              <w:t>3000</w:t>
            </w:r>
            <w:r>
              <w:rPr>
                <w:rFonts w:hint="eastAsia" w:ascii="宋体" w:hAnsi="宋体" w:eastAsia="宋体" w:cs="宋体"/>
                <w:bCs/>
                <w:color w:val="auto"/>
                <w:szCs w:val="21"/>
                <w:highlight w:val="none"/>
                <w:lang w:val="en-US" w:eastAsia="zh-CN"/>
              </w:rPr>
              <w:t>元/人、</w:t>
            </w:r>
            <w:r>
              <w:rPr>
                <w:rFonts w:hint="eastAsia" w:ascii="宋体" w:hAnsi="宋体" w:cs="宋体"/>
                <w:bCs/>
                <w:color w:val="auto"/>
                <w:szCs w:val="21"/>
                <w:highlight w:val="none"/>
                <w:lang w:val="en-US" w:eastAsia="zh-CN"/>
              </w:rPr>
              <w:t>江苏</w:t>
            </w:r>
            <w:r>
              <w:rPr>
                <w:rFonts w:hint="eastAsia" w:ascii="宋体" w:hAnsi="宋体" w:eastAsia="宋体" w:cs="宋体"/>
                <w:bCs/>
                <w:color w:val="auto"/>
                <w:szCs w:val="21"/>
                <w:highlight w:val="none"/>
                <w:lang w:val="en-US" w:eastAsia="zh-CN"/>
              </w:rPr>
              <w:t>：3000元/人</w:t>
            </w:r>
            <w:r>
              <w:rPr>
                <w:rFonts w:hint="eastAsia" w:ascii="宋体" w:hAnsi="宋体" w:eastAsia="宋体" w:cs="宋体"/>
                <w:color w:val="auto"/>
                <w:sz w:val="21"/>
                <w:szCs w:val="21"/>
                <w:highlight w:val="none"/>
              </w:rPr>
              <w:t>。政采云系统上统一填报总价</w:t>
            </w:r>
            <w:r>
              <w:rPr>
                <w:rFonts w:hint="eastAsia" w:ascii="宋体" w:hAnsi="宋体" w:cs="宋体"/>
                <w:color w:val="auto"/>
                <w:sz w:val="21"/>
                <w:szCs w:val="21"/>
                <w:highlight w:val="none"/>
                <w:lang w:eastAsia="zh-CN"/>
              </w:rPr>
              <w:t>405000</w:t>
            </w:r>
            <w:r>
              <w:rPr>
                <w:rFonts w:hint="eastAsia" w:ascii="宋体" w:hAnsi="宋体" w:eastAsia="宋体" w:cs="宋体"/>
                <w:color w:val="auto"/>
                <w:sz w:val="21"/>
                <w:szCs w:val="21"/>
                <w:highlight w:val="none"/>
              </w:rPr>
              <w:t>元。如未按要求填报，由评标委员会进行修正，投标人不接受修正的，做无效标处理。备注：以上线路的报价中，3000元/人的部分由本次采购预算支付，超出部分由疗休养出行人自行承担，最终每人结算金额将根据出行时最终确定的价格为准。</w:t>
            </w:r>
          </w:p>
          <w:bookmarkEnd w:id="13"/>
          <w:p w14:paraId="3176B03B">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不论成交结果如何，供应商均应自行承担所有与采购有关的全部费用。</w:t>
            </w:r>
          </w:p>
          <w:p w14:paraId="4CFF9B24">
            <w:pPr>
              <w:numPr>
                <w:ilvl w:val="0"/>
                <w:numId w:val="3"/>
              </w:numPr>
              <w:spacing w:line="440" w:lineRule="exact"/>
              <w:rPr>
                <w:rFonts w:ascii="宋体" w:hAnsi="宋体" w:cs="宋体"/>
                <w:color w:val="auto"/>
                <w:szCs w:val="21"/>
                <w:highlight w:val="none"/>
              </w:rPr>
            </w:pPr>
            <w:r>
              <w:rPr>
                <w:rFonts w:hint="eastAsia" w:ascii="宋体" w:hAnsi="宋体" w:cs="宋体"/>
                <w:color w:val="auto"/>
                <w:szCs w:val="21"/>
                <w:highlight w:val="none"/>
              </w:rPr>
              <w:t>成交服务费：招标代理机构</w:t>
            </w:r>
            <w:r>
              <w:rPr>
                <w:rFonts w:hint="eastAsia" w:ascii="宋体" w:hAnsi="宋体" w:cs="宋体"/>
                <w:color w:val="auto"/>
                <w:szCs w:val="21"/>
                <w:highlight w:val="none"/>
                <w:lang w:eastAsia="zh-CN"/>
              </w:rPr>
              <w:t>根据宁波市中介超市网比选结果，向中标人收取招标服务费。</w:t>
            </w:r>
          </w:p>
        </w:tc>
      </w:tr>
      <w:tr w14:paraId="0E5E2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36"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504D044">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3</w:t>
            </w:r>
          </w:p>
        </w:tc>
        <w:tc>
          <w:tcPr>
            <w:tcW w:w="8474" w:type="dxa"/>
            <w:tcBorders>
              <w:top w:val="single" w:color="auto" w:sz="4" w:space="0"/>
              <w:left w:val="single" w:color="auto" w:sz="4" w:space="0"/>
              <w:bottom w:val="single" w:color="auto" w:sz="4" w:space="0"/>
              <w:right w:val="single" w:color="auto" w:sz="4" w:space="0"/>
            </w:tcBorders>
            <w:vAlign w:val="center"/>
          </w:tcPr>
          <w:p w14:paraId="5FF312C1">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答疑与澄清：供应商如认为磋商文件表述不清晰、存在歧视性、排他性或者其他违法内容的，应知其权益受到损害之日起七个工作日内，以书面形式要求</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作出书面解释、澄清或者向</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提出书面质疑，逾期不予受理；</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不专门组织答疑；如有答疑，答疑内容是磋商文件的组成部分，</w:t>
            </w:r>
            <w:r>
              <w:rPr>
                <w:rFonts w:hint="eastAsia" w:asciiTheme="majorEastAsia" w:hAnsiTheme="majorEastAsia" w:eastAsiaTheme="majorEastAsia"/>
                <w:color w:val="auto"/>
                <w:highlight w:val="none"/>
              </w:rPr>
              <w:t>并将以公告形式发布于采购公告发布网站，请供应商自行查看。</w:t>
            </w:r>
          </w:p>
        </w:tc>
      </w:tr>
      <w:tr w14:paraId="7C845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9"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686277FD">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4</w:t>
            </w:r>
          </w:p>
        </w:tc>
        <w:tc>
          <w:tcPr>
            <w:tcW w:w="8474" w:type="dxa"/>
            <w:tcBorders>
              <w:top w:val="single" w:color="auto" w:sz="4" w:space="0"/>
              <w:left w:val="single" w:color="auto" w:sz="4" w:space="0"/>
              <w:bottom w:val="single" w:color="auto" w:sz="4" w:space="0"/>
              <w:right w:val="single" w:color="auto" w:sz="4" w:space="0"/>
            </w:tcBorders>
            <w:vAlign w:val="center"/>
          </w:tcPr>
          <w:p w14:paraId="0F791E76">
            <w:pPr>
              <w:spacing w:line="44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响应文件组成与份数：</w:t>
            </w:r>
          </w:p>
          <w:p w14:paraId="2CE8C606">
            <w:pPr>
              <w:spacing w:line="440" w:lineRule="exact"/>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w:t>
            </w:r>
            <w:r>
              <w:rPr>
                <w:rFonts w:hint="eastAsia" w:asciiTheme="majorEastAsia" w:hAnsiTheme="majorEastAsia" w:eastAsiaTheme="majorEastAsia"/>
                <w:bCs/>
                <w:color w:val="auto"/>
                <w:highlight w:val="none"/>
              </w:rPr>
              <w:t>（1）</w:t>
            </w:r>
            <w:r>
              <w:rPr>
                <w:rFonts w:hint="eastAsia" w:asciiTheme="majorEastAsia" w:hAnsiTheme="majorEastAsia" w:eastAsiaTheme="majorEastAsia"/>
                <w:color w:val="auto"/>
                <w:highlight w:val="none"/>
              </w:rPr>
              <w:t>上传到政府采购云平台的电子响应文件（含资信技术文件、报价文件）1份。</w:t>
            </w:r>
          </w:p>
          <w:p w14:paraId="4D04A9B1">
            <w:pPr>
              <w:spacing w:line="44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（2）以U盘存储的电子备份响应文件（含资信技术文件、报价文件）1份（自愿提供）。</w:t>
            </w:r>
          </w:p>
        </w:tc>
      </w:tr>
      <w:tr w14:paraId="596D1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B1595F7">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5</w:t>
            </w:r>
          </w:p>
        </w:tc>
        <w:tc>
          <w:tcPr>
            <w:tcW w:w="8474" w:type="dxa"/>
            <w:tcBorders>
              <w:top w:val="single" w:color="auto" w:sz="4" w:space="0"/>
              <w:left w:val="single" w:color="auto" w:sz="4" w:space="0"/>
              <w:bottom w:val="single" w:color="auto" w:sz="4" w:space="0"/>
              <w:right w:val="single" w:color="auto" w:sz="4" w:space="0"/>
            </w:tcBorders>
            <w:vAlign w:val="center"/>
          </w:tcPr>
          <w:p w14:paraId="36471DD0">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首次提交</w:t>
            </w:r>
            <w:r>
              <w:rPr>
                <w:rFonts w:hint="eastAsia" w:asciiTheme="majorEastAsia" w:hAnsiTheme="majorEastAsia" w:eastAsiaTheme="majorEastAsia"/>
                <w:color w:val="auto"/>
                <w:highlight w:val="none"/>
              </w:rPr>
              <w:t>（上传）</w:t>
            </w:r>
            <w:r>
              <w:rPr>
                <w:rFonts w:asciiTheme="majorEastAsia" w:hAnsiTheme="majorEastAsia" w:eastAsiaTheme="majorEastAsia"/>
                <w:color w:val="auto"/>
                <w:highlight w:val="none"/>
              </w:rPr>
              <w:t>响应文件截止时间和地点：详见第一章</w:t>
            </w:r>
          </w:p>
        </w:tc>
      </w:tr>
      <w:tr w14:paraId="0F206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09F153D">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6</w:t>
            </w:r>
          </w:p>
        </w:tc>
        <w:tc>
          <w:tcPr>
            <w:tcW w:w="8474" w:type="dxa"/>
            <w:tcBorders>
              <w:top w:val="single" w:color="auto" w:sz="4" w:space="0"/>
              <w:left w:val="single" w:color="auto" w:sz="4" w:space="0"/>
              <w:bottom w:val="single" w:color="auto" w:sz="4" w:space="0"/>
              <w:right w:val="single" w:color="auto" w:sz="4" w:space="0"/>
            </w:tcBorders>
            <w:vAlign w:val="center"/>
          </w:tcPr>
          <w:p w14:paraId="09BE48D6">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首次提交</w:t>
            </w:r>
            <w:r>
              <w:rPr>
                <w:rFonts w:hint="eastAsia" w:asciiTheme="majorEastAsia" w:hAnsiTheme="majorEastAsia" w:eastAsiaTheme="majorEastAsia"/>
                <w:color w:val="auto"/>
                <w:highlight w:val="none"/>
              </w:rPr>
              <w:t>（上传）响应文件开启</w:t>
            </w:r>
            <w:r>
              <w:rPr>
                <w:rFonts w:asciiTheme="majorEastAsia" w:hAnsiTheme="majorEastAsia" w:eastAsiaTheme="majorEastAsia"/>
                <w:color w:val="auto"/>
                <w:highlight w:val="none"/>
              </w:rPr>
              <w:t>时间及地点：详见第一章</w:t>
            </w:r>
          </w:p>
        </w:tc>
      </w:tr>
      <w:tr w14:paraId="0A305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B0D487F">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7</w:t>
            </w:r>
          </w:p>
        </w:tc>
        <w:tc>
          <w:tcPr>
            <w:tcW w:w="8474" w:type="dxa"/>
            <w:tcBorders>
              <w:top w:val="single" w:color="auto" w:sz="4" w:space="0"/>
              <w:left w:val="single" w:color="auto" w:sz="4" w:space="0"/>
              <w:bottom w:val="single" w:color="auto" w:sz="4" w:space="0"/>
              <w:right w:val="single" w:color="auto" w:sz="4" w:space="0"/>
            </w:tcBorders>
            <w:vAlign w:val="center"/>
          </w:tcPr>
          <w:p w14:paraId="6EA7395F">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评审办法及评审标准：详见第四章</w:t>
            </w:r>
          </w:p>
        </w:tc>
      </w:tr>
      <w:tr w14:paraId="5029B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ADEB547">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8</w:t>
            </w:r>
          </w:p>
        </w:tc>
        <w:tc>
          <w:tcPr>
            <w:tcW w:w="8474" w:type="dxa"/>
            <w:tcBorders>
              <w:top w:val="single" w:color="auto" w:sz="4" w:space="0"/>
              <w:left w:val="single" w:color="auto" w:sz="4" w:space="0"/>
              <w:bottom w:val="single" w:color="auto" w:sz="4" w:space="0"/>
              <w:right w:val="single" w:color="auto" w:sz="4" w:space="0"/>
            </w:tcBorders>
            <w:vAlign w:val="center"/>
          </w:tcPr>
          <w:p w14:paraId="57E94FC5">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成交结果公示网站：</w:t>
            </w:r>
            <w:r>
              <w:rPr>
                <w:rFonts w:hint="eastAsia" w:asciiTheme="majorEastAsia" w:hAnsiTheme="majorEastAsia" w:eastAsiaTheme="majorEastAsia"/>
                <w:color w:val="auto"/>
                <w:highlight w:val="none"/>
              </w:rPr>
              <w:t>评审结束后，</w:t>
            </w:r>
            <w:r>
              <w:rPr>
                <w:rFonts w:hint="eastAsia" w:cs="宋体" w:asciiTheme="majorEastAsia" w:hAnsiTheme="majorEastAsia" w:eastAsiaTheme="majorEastAsia"/>
                <w:color w:val="auto"/>
                <w:szCs w:val="21"/>
                <w:highlight w:val="none"/>
              </w:rPr>
              <w:t>经采购人确认，成交结果公示于采购</w:t>
            </w:r>
            <w:r>
              <w:rPr>
                <w:rFonts w:hint="eastAsia" w:asciiTheme="majorEastAsia" w:hAnsiTheme="majorEastAsia" w:eastAsiaTheme="majorEastAsia"/>
                <w:color w:val="auto"/>
                <w:highlight w:val="none"/>
              </w:rPr>
              <w:t>公告发布网站</w:t>
            </w:r>
          </w:p>
        </w:tc>
      </w:tr>
      <w:tr w14:paraId="599A8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AEF6FB1">
            <w:pPr>
              <w:spacing w:line="44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9</w:t>
            </w:r>
          </w:p>
        </w:tc>
        <w:tc>
          <w:tcPr>
            <w:tcW w:w="8474" w:type="dxa"/>
            <w:tcBorders>
              <w:top w:val="single" w:color="auto" w:sz="4" w:space="0"/>
              <w:left w:val="single" w:color="auto" w:sz="4" w:space="0"/>
              <w:bottom w:val="single" w:color="auto" w:sz="4" w:space="0"/>
              <w:right w:val="single" w:color="auto" w:sz="4" w:space="0"/>
            </w:tcBorders>
            <w:vAlign w:val="center"/>
          </w:tcPr>
          <w:p w14:paraId="279E200E">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采购资金来源：</w:t>
            </w:r>
            <w:r>
              <w:rPr>
                <w:rFonts w:hint="eastAsia" w:asciiTheme="majorEastAsia" w:hAnsiTheme="majorEastAsia" w:eastAsiaTheme="majorEastAsia"/>
                <w:color w:val="auto"/>
                <w:highlight w:val="none"/>
              </w:rPr>
              <w:t>预算资金</w:t>
            </w:r>
          </w:p>
        </w:tc>
      </w:tr>
      <w:tr w14:paraId="767B6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1DE09E30">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r>
              <w:rPr>
                <w:rFonts w:hint="eastAsia" w:asciiTheme="majorEastAsia" w:hAnsiTheme="majorEastAsia" w:eastAsiaTheme="majorEastAsia"/>
                <w:color w:val="auto"/>
                <w:highlight w:val="none"/>
              </w:rPr>
              <w:t>0</w:t>
            </w:r>
          </w:p>
        </w:tc>
        <w:tc>
          <w:tcPr>
            <w:tcW w:w="8474" w:type="dxa"/>
            <w:tcBorders>
              <w:top w:val="single" w:color="auto" w:sz="4" w:space="0"/>
              <w:left w:val="single" w:color="auto" w:sz="4" w:space="0"/>
              <w:bottom w:val="single" w:color="auto" w:sz="4" w:space="0"/>
              <w:right w:val="single" w:color="auto" w:sz="4" w:space="0"/>
            </w:tcBorders>
            <w:vAlign w:val="center"/>
          </w:tcPr>
          <w:p w14:paraId="1C6EDCFA">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响应文件有效期：</w:t>
            </w:r>
            <w:r>
              <w:rPr>
                <w:rFonts w:asciiTheme="majorEastAsia" w:hAnsiTheme="majorEastAsia" w:eastAsiaTheme="majorEastAsia"/>
                <w:bCs/>
                <w:color w:val="auto"/>
                <w:szCs w:val="21"/>
                <w:highlight w:val="none"/>
              </w:rPr>
              <w:t>提交首次响应文件截止日起</w:t>
            </w:r>
            <w:r>
              <w:rPr>
                <w:rFonts w:hint="eastAsia" w:asciiTheme="majorEastAsia" w:hAnsiTheme="majorEastAsia" w:eastAsiaTheme="majorEastAsia"/>
                <w:color w:val="auto"/>
                <w:highlight w:val="none"/>
              </w:rPr>
              <w:t>90</w:t>
            </w:r>
            <w:r>
              <w:rPr>
                <w:rFonts w:asciiTheme="majorEastAsia" w:hAnsiTheme="majorEastAsia" w:eastAsiaTheme="majorEastAsia"/>
                <w:color w:val="auto"/>
                <w:highlight w:val="none"/>
              </w:rPr>
              <w:t>天</w:t>
            </w:r>
          </w:p>
        </w:tc>
      </w:tr>
      <w:tr w14:paraId="283D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1EAEAED0">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8474" w:type="dxa"/>
            <w:vAlign w:val="center"/>
          </w:tcPr>
          <w:p w14:paraId="419B6B98">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履约保证金：无</w:t>
            </w:r>
          </w:p>
        </w:tc>
      </w:tr>
      <w:tr w14:paraId="7E68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350A61C1">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8474" w:type="dxa"/>
            <w:vAlign w:val="center"/>
          </w:tcPr>
          <w:p w14:paraId="481EF793">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合同签订时间：成交通知书发出后</w:t>
            </w:r>
            <w:r>
              <w:rPr>
                <w:rFonts w:hint="eastAsia" w:ascii="宋体" w:hAnsi="宋体" w:cs="宋体"/>
                <w:color w:val="auto"/>
                <w:szCs w:val="21"/>
                <w:highlight w:val="none"/>
                <w:u w:val="single"/>
              </w:rPr>
              <w:t>20</w:t>
            </w:r>
            <w:r>
              <w:rPr>
                <w:rFonts w:hint="eastAsia" w:ascii="宋体" w:hAnsi="宋体" w:cs="宋体"/>
                <w:color w:val="auto"/>
                <w:szCs w:val="21"/>
                <w:highlight w:val="none"/>
              </w:rPr>
              <w:t>个工作日内</w:t>
            </w:r>
          </w:p>
        </w:tc>
      </w:tr>
      <w:tr w14:paraId="0E02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18C8BA33">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8474" w:type="dxa"/>
            <w:vAlign w:val="center"/>
          </w:tcPr>
          <w:p w14:paraId="5F429F68">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合同地点：采购人指定地点</w:t>
            </w:r>
          </w:p>
        </w:tc>
      </w:tr>
      <w:tr w14:paraId="448F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7FE5FD15">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8474" w:type="dxa"/>
            <w:vAlign w:val="center"/>
          </w:tcPr>
          <w:p w14:paraId="316C6EC3">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预付款：详见付款方式</w:t>
            </w:r>
          </w:p>
        </w:tc>
      </w:tr>
      <w:tr w14:paraId="0EA2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80" w:type="dxa"/>
            <w:vAlign w:val="center"/>
          </w:tcPr>
          <w:p w14:paraId="2B76CF2A">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8474" w:type="dxa"/>
            <w:vAlign w:val="center"/>
          </w:tcPr>
          <w:p w14:paraId="2FE219F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付款方式：</w:t>
            </w:r>
          </w:p>
          <w:p w14:paraId="73161E6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合同签订后</w:t>
            </w:r>
            <w:r>
              <w:rPr>
                <w:rFonts w:hint="eastAsia" w:ascii="宋体" w:hAnsi="宋体" w:cs="宋体"/>
                <w:color w:val="auto"/>
                <w:szCs w:val="21"/>
                <w:highlight w:val="none"/>
                <w:lang w:val="en-US" w:eastAsia="zh-CN"/>
              </w:rPr>
              <w:t>以及</w:t>
            </w:r>
            <w:r>
              <w:rPr>
                <w:rFonts w:hint="eastAsia" w:ascii="宋体" w:hAnsi="宋体" w:cs="宋体"/>
                <w:color w:val="auto"/>
                <w:szCs w:val="21"/>
                <w:highlight w:val="none"/>
              </w:rPr>
              <w:t>具备实施条件后</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个工作日内，</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向</w:t>
            </w:r>
            <w:r>
              <w:rPr>
                <w:rFonts w:hint="eastAsia" w:ascii="宋体" w:hAnsi="宋体" w:cs="宋体"/>
                <w:color w:val="auto"/>
                <w:szCs w:val="21"/>
                <w:highlight w:val="none"/>
                <w:lang w:val="en-US" w:eastAsia="zh-CN"/>
              </w:rPr>
              <w:t>中标供应商</w:t>
            </w:r>
            <w:r>
              <w:rPr>
                <w:rFonts w:hint="eastAsia" w:ascii="宋体" w:hAnsi="宋体" w:cs="宋体"/>
                <w:color w:val="auto"/>
                <w:szCs w:val="21"/>
                <w:highlight w:val="none"/>
              </w:rPr>
              <w:t>支付</w:t>
            </w:r>
            <w:r>
              <w:rPr>
                <w:rFonts w:hint="eastAsia" w:ascii="宋体" w:hAnsi="宋体" w:cs="宋体"/>
                <w:color w:val="auto"/>
                <w:szCs w:val="21"/>
                <w:highlight w:val="none"/>
                <w:lang w:val="en-US"/>
              </w:rPr>
              <w:t>合同</w:t>
            </w:r>
            <w:r>
              <w:rPr>
                <w:rFonts w:hint="eastAsia" w:ascii="宋体" w:hAnsi="宋体" w:cs="宋体"/>
                <w:color w:val="auto"/>
                <w:szCs w:val="21"/>
                <w:highlight w:val="none"/>
              </w:rPr>
              <w:t>总额</w:t>
            </w: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w:t>
            </w:r>
            <w:r>
              <w:rPr>
                <w:rFonts w:hint="eastAsia" w:ascii="宋体" w:hAnsi="宋体" w:cs="宋体"/>
                <w:color w:val="auto"/>
                <w:szCs w:val="21"/>
                <w:highlight w:val="none"/>
                <w:lang w:eastAsia="zh-CN"/>
              </w:rPr>
              <w:t>（在签订合同时，供应商明确表示无需预付款或者主动要求降低预付款比例的，采购</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lang w:eastAsia="zh-CN"/>
              </w:rPr>
              <w:t>可不适用</w:t>
            </w:r>
            <w:r>
              <w:rPr>
                <w:rFonts w:hint="eastAsia" w:ascii="宋体" w:hAnsi="宋体" w:cs="宋体"/>
                <w:color w:val="auto"/>
                <w:szCs w:val="21"/>
                <w:highlight w:val="none"/>
                <w:lang w:val="en-US" w:eastAsia="zh-CN"/>
              </w:rPr>
              <w:t>此条预付</w:t>
            </w:r>
            <w:r>
              <w:rPr>
                <w:rFonts w:hint="eastAsia" w:ascii="宋体" w:hAnsi="宋体" w:cs="宋体"/>
                <w:color w:val="auto"/>
                <w:szCs w:val="21"/>
                <w:highlight w:val="none"/>
                <w:lang w:eastAsia="zh-CN"/>
              </w:rPr>
              <w:t>规定）；</w:t>
            </w:r>
          </w:p>
          <w:p w14:paraId="28E15DB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如</w:t>
            </w:r>
            <w:r>
              <w:rPr>
                <w:rFonts w:hint="eastAsia" w:ascii="宋体" w:hAnsi="宋体" w:cs="宋体"/>
                <w:color w:val="auto"/>
                <w:szCs w:val="21"/>
                <w:highlight w:val="none"/>
              </w:rPr>
              <w:t>无预付款的，在成交人</w:t>
            </w:r>
            <w:r>
              <w:rPr>
                <w:rFonts w:hint="eastAsia" w:ascii="宋体" w:hAnsi="宋体" w:cs="宋体"/>
                <w:color w:val="auto"/>
                <w:szCs w:val="21"/>
                <w:highlight w:val="none"/>
                <w:lang w:val="en-US" w:eastAsia="zh-CN"/>
              </w:rPr>
              <w:t>订完</w:t>
            </w:r>
            <w:r>
              <w:rPr>
                <w:rFonts w:hint="eastAsia" w:ascii="宋体" w:hAnsi="宋体" w:cs="宋体"/>
                <w:color w:val="auto"/>
                <w:szCs w:val="21"/>
                <w:highlight w:val="none"/>
              </w:rPr>
              <w:t>第一批机票（</w:t>
            </w:r>
            <w:r>
              <w:rPr>
                <w:rFonts w:hint="eastAsia" w:ascii="宋体" w:hAnsi="宋体" w:cs="宋体"/>
                <w:color w:val="auto"/>
                <w:szCs w:val="21"/>
                <w:highlight w:val="none"/>
                <w:lang w:eastAsia="zh-CN"/>
              </w:rPr>
              <w:t>或高铁或大巴</w:t>
            </w:r>
            <w:r>
              <w:rPr>
                <w:rFonts w:hint="eastAsia" w:ascii="宋体" w:hAnsi="宋体" w:cs="宋体"/>
                <w:color w:val="auto"/>
                <w:szCs w:val="21"/>
                <w:highlight w:val="none"/>
              </w:rPr>
              <w:t>）后，采购人向成交人支付合同总价的40%。</w:t>
            </w:r>
          </w:p>
          <w:p w14:paraId="2E3D32A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3、成交人在完成教职工疗休养承办业务后，无有效投诉和质量问题，成交人凭正规有效发票原件、旅游合同、名单、身份证及保险复印件结清服务款项。</w:t>
            </w:r>
          </w:p>
          <w:p w14:paraId="2DCB8C31">
            <w:pPr>
              <w:spacing w:line="360" w:lineRule="auto"/>
              <w:rPr>
                <w:color w:val="auto"/>
                <w:highlight w:val="none"/>
              </w:rPr>
            </w:pPr>
            <w:r>
              <w:rPr>
                <w:rFonts w:hint="eastAsia" w:ascii="宋体" w:hAnsi="宋体" w:cs="宋体"/>
                <w:color w:val="auto"/>
                <w:szCs w:val="21"/>
                <w:highlight w:val="none"/>
              </w:rPr>
              <w:t>注：每次付款前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预付款除外</w:t>
            </w:r>
            <w:r>
              <w:rPr>
                <w:rFonts w:hint="eastAsia" w:ascii="宋体" w:hAnsi="宋体" w:cs="宋体"/>
                <w:color w:val="auto"/>
                <w:szCs w:val="21"/>
                <w:highlight w:val="none"/>
                <w:lang w:eastAsia="zh-CN"/>
              </w:rPr>
              <w:t>）</w:t>
            </w:r>
            <w:r>
              <w:rPr>
                <w:rFonts w:hint="eastAsia" w:ascii="宋体" w:hAnsi="宋体" w:cs="宋体"/>
                <w:color w:val="auto"/>
                <w:szCs w:val="21"/>
                <w:highlight w:val="none"/>
              </w:rPr>
              <w:t>，中标供应商必须开具等额的正规税务发票给采购人。</w:t>
            </w:r>
          </w:p>
        </w:tc>
      </w:tr>
      <w:tr w14:paraId="19BED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435EF0E8">
            <w:pPr>
              <w:spacing w:line="44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16</w:t>
            </w:r>
          </w:p>
        </w:tc>
        <w:tc>
          <w:tcPr>
            <w:tcW w:w="8474" w:type="dxa"/>
            <w:tcBorders>
              <w:top w:val="single" w:color="auto" w:sz="4" w:space="0"/>
              <w:left w:val="single" w:color="auto" w:sz="4" w:space="0"/>
              <w:bottom w:val="single" w:color="auto" w:sz="4" w:space="0"/>
              <w:right w:val="single" w:color="auto" w:sz="4" w:space="0"/>
            </w:tcBorders>
            <w:vAlign w:val="center"/>
          </w:tcPr>
          <w:p w14:paraId="424DC780">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解释：本磋商文件的解释权属于</w:t>
            </w:r>
            <w:r>
              <w:rPr>
                <w:rFonts w:hint="eastAsia" w:asciiTheme="majorEastAsia" w:hAnsiTheme="majorEastAsia" w:eastAsiaTheme="majorEastAsia"/>
                <w:color w:val="auto"/>
                <w:highlight w:val="none"/>
              </w:rPr>
              <w:t>采购人和采购代理机构。</w:t>
            </w:r>
            <w:r>
              <w:rPr>
                <w:rFonts w:hint="eastAsia" w:ascii="宋体" w:hAnsi="宋体" w:cs="宋体"/>
                <w:color w:val="auto"/>
                <w:szCs w:val="21"/>
                <w:highlight w:val="none"/>
              </w:rPr>
              <w:t>项目名称、公告标题等不影响对项目性质的认定；构成本采购文件的各个组成文件应互为解释，互为说明；如有不明确或不一致，构成合同文件组成内容的，以合同文件约定内容为准，且以专用合同条款约定的合同文件优先顺序解释；除采购文件中有特别规定外，仅适用于磋商阶段的规定，按采购公告、供应商须知前附表、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招标采购单位负责解释。</w:t>
            </w:r>
          </w:p>
        </w:tc>
      </w:tr>
    </w:tbl>
    <w:p w14:paraId="6926CD79">
      <w:pPr>
        <w:rPr>
          <w:rFonts w:asciiTheme="majorEastAsia" w:hAnsiTheme="majorEastAsia" w:eastAsiaTheme="majorEastAsia"/>
          <w:color w:val="auto"/>
          <w:highlight w:val="none"/>
        </w:rPr>
      </w:pPr>
    </w:p>
    <w:p w14:paraId="254BE78C">
      <w:pPr>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p>
    <w:p w14:paraId="2D1A8DA2">
      <w:pPr>
        <w:pStyle w:val="14"/>
        <w:widowControl w:val="0"/>
        <w:tabs>
          <w:tab w:val="clear" w:pos="454"/>
        </w:tabs>
        <w:spacing w:afterLines="0" w:line="360" w:lineRule="auto"/>
        <w:ind w:left="0" w:firstLine="0"/>
        <w:contextualSpacing/>
        <w:rPr>
          <w:rFonts w:asciiTheme="majorEastAsia" w:hAnsiTheme="majorEastAsia" w:eastAsiaTheme="majorEastAsia"/>
          <w:color w:val="auto"/>
          <w:sz w:val="21"/>
          <w:szCs w:val="21"/>
          <w:highlight w:val="none"/>
        </w:rPr>
      </w:pPr>
      <w:r>
        <w:rPr>
          <w:rFonts w:asciiTheme="majorEastAsia" w:hAnsiTheme="majorEastAsia" w:eastAsiaTheme="majorEastAsia"/>
          <w:b/>
          <w:color w:val="auto"/>
          <w:sz w:val="21"/>
          <w:szCs w:val="21"/>
          <w:highlight w:val="none"/>
        </w:rPr>
        <w:t>一</w:t>
      </w:r>
      <w:r>
        <w:rPr>
          <w:rFonts w:hint="eastAsia" w:asciiTheme="majorEastAsia" w:hAnsiTheme="majorEastAsia" w:eastAsiaTheme="majorEastAsia"/>
          <w:b/>
          <w:color w:val="auto"/>
          <w:sz w:val="21"/>
          <w:szCs w:val="21"/>
          <w:highlight w:val="none"/>
        </w:rPr>
        <w:t>、</w:t>
      </w:r>
      <w:r>
        <w:rPr>
          <w:rFonts w:asciiTheme="majorEastAsia" w:hAnsiTheme="majorEastAsia" w:eastAsiaTheme="majorEastAsia"/>
          <w:b/>
          <w:color w:val="auto"/>
          <w:sz w:val="21"/>
          <w:szCs w:val="21"/>
          <w:highlight w:val="none"/>
        </w:rPr>
        <w:t>总则</w:t>
      </w:r>
    </w:p>
    <w:p w14:paraId="2FE4C27D">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（一） 适用范围</w:t>
      </w:r>
    </w:p>
    <w:p w14:paraId="74A791B6">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本磋商文件适用于</w:t>
      </w:r>
      <w:r>
        <w:rPr>
          <w:rFonts w:hint="eastAsia" w:asciiTheme="majorEastAsia" w:hAnsiTheme="majorEastAsia" w:eastAsiaTheme="majorEastAsia"/>
          <w:color w:val="auto"/>
          <w:highlight w:val="none"/>
          <w:lang w:eastAsia="zh-CN"/>
        </w:rPr>
        <w:t>宁波市海曙区古林镇中心小学2025年年度教职工疗休养</w:t>
      </w:r>
      <w:r>
        <w:rPr>
          <w:rFonts w:asciiTheme="majorEastAsia" w:hAnsiTheme="majorEastAsia" w:eastAsiaTheme="majorEastAsia"/>
          <w:color w:val="auto"/>
          <w:highlight w:val="none"/>
        </w:rPr>
        <w:t>的磋商公告、响应、评审、验收、合同履约、付款等行为（法律、法规另有规定的，从其规定）。</w:t>
      </w:r>
    </w:p>
    <w:p w14:paraId="4B3A119A">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（二）定义</w:t>
      </w:r>
    </w:p>
    <w:p w14:paraId="240CB081">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1.“采购</w:t>
      </w:r>
      <w:r>
        <w:rPr>
          <w:rFonts w:hint="eastAsia" w:asciiTheme="majorEastAsia" w:hAnsiTheme="majorEastAsia" w:eastAsiaTheme="majorEastAsia"/>
          <w:color w:val="auto"/>
          <w:highlight w:val="none"/>
        </w:rPr>
        <w:t>人</w:t>
      </w:r>
      <w:r>
        <w:rPr>
          <w:rFonts w:asciiTheme="majorEastAsia" w:hAnsiTheme="majorEastAsia" w:eastAsiaTheme="majorEastAsia"/>
          <w:color w:val="auto"/>
          <w:highlight w:val="none"/>
        </w:rPr>
        <w:t>”系指组织本次磋商的</w:t>
      </w:r>
      <w:r>
        <w:rPr>
          <w:rFonts w:hint="eastAsia" w:asciiTheme="majorEastAsia" w:hAnsiTheme="majorEastAsia" w:eastAsiaTheme="majorEastAsia"/>
          <w:color w:val="auto"/>
          <w:highlight w:val="none"/>
        </w:rPr>
        <w:t>“</w:t>
      </w:r>
      <w:r>
        <w:rPr>
          <w:rFonts w:hint="eastAsia" w:asciiTheme="majorEastAsia" w:hAnsiTheme="majorEastAsia" w:eastAsiaTheme="majorEastAsia"/>
          <w:color w:val="auto"/>
          <w:highlight w:val="none"/>
          <w:lang w:eastAsia="zh-CN"/>
        </w:rPr>
        <w:t>宁波市海曙区古林镇中心小学</w:t>
      </w:r>
      <w:r>
        <w:rPr>
          <w:rFonts w:hint="eastAsia" w:asciiTheme="majorEastAsia" w:hAnsiTheme="majorEastAsia" w:eastAsiaTheme="majorEastAsia"/>
          <w:color w:val="auto"/>
          <w:highlight w:val="none"/>
        </w:rPr>
        <w:t>”</w:t>
      </w:r>
      <w:r>
        <w:rPr>
          <w:rFonts w:asciiTheme="majorEastAsia" w:hAnsiTheme="majorEastAsia" w:eastAsiaTheme="majorEastAsia"/>
          <w:color w:val="auto"/>
          <w:highlight w:val="none"/>
        </w:rPr>
        <w:t>。</w:t>
      </w:r>
    </w:p>
    <w:p w14:paraId="53BFA1C7">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2.“供应商”系指向</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提交响应文件的单位或个人。</w:t>
      </w:r>
    </w:p>
    <w:p w14:paraId="2340B50D">
      <w:pPr>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3.“服务”系指磋商文件规定供应商须承担的与本项目相关的服务。</w:t>
      </w:r>
    </w:p>
    <w:p w14:paraId="3F4AC464">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4.“项目”系指</w:t>
      </w:r>
      <w:r>
        <w:rPr>
          <w:rFonts w:hint="eastAsia" w:asciiTheme="majorEastAsia" w:hAnsiTheme="majorEastAsia" w:eastAsiaTheme="majorEastAsia"/>
          <w:color w:val="auto"/>
          <w:highlight w:val="none"/>
          <w:lang w:eastAsia="zh-CN"/>
        </w:rPr>
        <w:t>宁波市海曙区古林镇中心小学2025年年度教职工疗休养</w:t>
      </w:r>
      <w:r>
        <w:rPr>
          <w:rFonts w:asciiTheme="majorEastAsia" w:hAnsiTheme="majorEastAsia" w:eastAsiaTheme="majorEastAsia"/>
          <w:color w:val="auto"/>
          <w:highlight w:val="none"/>
        </w:rPr>
        <w:t>。</w:t>
      </w:r>
    </w:p>
    <w:p w14:paraId="2343CB25">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5.“书面形式”包括信函、传真、电报等。</w:t>
      </w:r>
    </w:p>
    <w:p w14:paraId="51074122">
      <w:pPr>
        <w:pStyle w:val="26"/>
        <w:spacing w:beforeLines="0" w:afterLines="0" w:line="360" w:lineRule="auto"/>
        <w:ind w:firstLine="422" w:firstLineChars="200"/>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6.“*”系指实质性要求条款，</w:t>
      </w:r>
      <w:r>
        <w:rPr>
          <w:rFonts w:asciiTheme="majorEastAsia" w:hAnsiTheme="majorEastAsia" w:eastAsiaTheme="majorEastAsia"/>
          <w:color w:val="auto"/>
          <w:highlight w:val="none"/>
        </w:rPr>
        <w:t>供应商的响应对任何带“*”号的重要商务和技术条款的</w:t>
      </w:r>
      <w:r>
        <w:rPr>
          <w:rFonts w:hint="eastAsia" w:asciiTheme="majorEastAsia" w:hAnsiTheme="majorEastAsia" w:eastAsiaTheme="majorEastAsia"/>
          <w:color w:val="auto"/>
          <w:highlight w:val="none"/>
        </w:rPr>
        <w:t>负</w:t>
      </w:r>
      <w:r>
        <w:rPr>
          <w:rFonts w:asciiTheme="majorEastAsia" w:hAnsiTheme="majorEastAsia" w:eastAsiaTheme="majorEastAsia"/>
          <w:color w:val="auto"/>
          <w:highlight w:val="none"/>
        </w:rPr>
        <w:t>偏离和未作实质性响应都将直接导致响应文件无效</w:t>
      </w:r>
      <w:r>
        <w:rPr>
          <w:rFonts w:asciiTheme="majorEastAsia" w:hAnsiTheme="majorEastAsia" w:eastAsiaTheme="majorEastAsia"/>
          <w:b/>
          <w:color w:val="auto"/>
          <w:highlight w:val="none"/>
        </w:rPr>
        <w:t>。</w:t>
      </w:r>
    </w:p>
    <w:p w14:paraId="745E89E6">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（三）采购方式</w:t>
      </w:r>
    </w:p>
    <w:p w14:paraId="0D640E8B">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本次采购采用竞争性磋商方式进行。</w:t>
      </w:r>
    </w:p>
    <w:p w14:paraId="5EA8D331">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（四）磋商委托</w:t>
      </w:r>
    </w:p>
    <w:p w14:paraId="106CE712">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供应商代表须携带有效身份证件。如供应商代表不是法定代表人（负责人），须有法定代表人（负责人）出具的授权委托书（响应文件正本用原件，格式见第六章）。</w:t>
      </w:r>
    </w:p>
    <w:p w14:paraId="09EC08D7">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（五）磋商费用</w:t>
      </w:r>
    </w:p>
    <w:p w14:paraId="0FB2973D">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不论采购结果如何，供应商均应自行承担所有与采购有关的全部费用（磋商文件有相关规定除外）。</w:t>
      </w:r>
    </w:p>
    <w:p w14:paraId="1CFB43ED">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（六）联合体</w:t>
      </w:r>
      <w:r>
        <w:rPr>
          <w:rFonts w:hint="eastAsia" w:asciiTheme="majorEastAsia" w:hAnsiTheme="majorEastAsia" w:eastAsiaTheme="majorEastAsia"/>
          <w:b/>
          <w:color w:val="auto"/>
          <w:sz w:val="21"/>
          <w:szCs w:val="21"/>
          <w:highlight w:val="none"/>
        </w:rPr>
        <w:t>磋商</w:t>
      </w:r>
    </w:p>
    <w:p w14:paraId="37BCCB16">
      <w:pPr>
        <w:pStyle w:val="26"/>
        <w:spacing w:beforeLines="0" w:afterLines="0" w:line="360" w:lineRule="auto"/>
        <w:ind w:firstLine="420" w:firstLineChars="200"/>
        <w:contextualSpacing/>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本项目</w:t>
      </w:r>
      <w:r>
        <w:rPr>
          <w:rFonts w:hint="eastAsia" w:asciiTheme="majorEastAsia" w:hAnsiTheme="majorEastAsia" w:eastAsiaTheme="majorEastAsia"/>
          <w:bCs/>
          <w:color w:val="auto"/>
          <w:highlight w:val="none"/>
        </w:rPr>
        <w:t>不</w:t>
      </w:r>
      <w:r>
        <w:rPr>
          <w:rFonts w:asciiTheme="majorEastAsia" w:hAnsiTheme="majorEastAsia" w:eastAsiaTheme="majorEastAsia"/>
          <w:bCs/>
          <w:color w:val="auto"/>
          <w:highlight w:val="none"/>
        </w:rPr>
        <w:t>接受联合体</w:t>
      </w:r>
      <w:r>
        <w:rPr>
          <w:rFonts w:hint="eastAsia" w:asciiTheme="majorEastAsia" w:hAnsiTheme="majorEastAsia" w:eastAsiaTheme="majorEastAsia"/>
          <w:bCs/>
          <w:color w:val="auto"/>
          <w:highlight w:val="none"/>
        </w:rPr>
        <w:t>参加磋商活动</w:t>
      </w:r>
      <w:r>
        <w:rPr>
          <w:rFonts w:asciiTheme="majorEastAsia" w:hAnsiTheme="majorEastAsia" w:eastAsiaTheme="majorEastAsia"/>
          <w:bCs/>
          <w:color w:val="auto"/>
          <w:highlight w:val="none"/>
        </w:rPr>
        <w:t>。</w:t>
      </w:r>
    </w:p>
    <w:p w14:paraId="2017DE1B">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bCs/>
          <w:color w:val="auto"/>
          <w:sz w:val="21"/>
          <w:szCs w:val="21"/>
          <w:highlight w:val="none"/>
        </w:rPr>
      </w:pPr>
      <w:r>
        <w:rPr>
          <w:rFonts w:asciiTheme="majorEastAsia" w:hAnsiTheme="majorEastAsia" w:eastAsiaTheme="majorEastAsia"/>
          <w:b/>
          <w:bCs/>
          <w:color w:val="auto"/>
          <w:sz w:val="21"/>
          <w:szCs w:val="21"/>
          <w:highlight w:val="none"/>
        </w:rPr>
        <w:t>（七）转包与分包</w:t>
      </w:r>
    </w:p>
    <w:p w14:paraId="09493001">
      <w:pPr>
        <w:pStyle w:val="26"/>
        <w:spacing w:beforeLines="0" w:afterLines="0" w:line="360" w:lineRule="auto"/>
        <w:ind w:firstLine="420" w:firstLineChars="200"/>
        <w:contextualSpacing/>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本项目不允许转包，未经采购人同意，不得分包。</w:t>
      </w:r>
    </w:p>
    <w:p w14:paraId="01D061B1">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（八）特别说明：</w:t>
      </w:r>
    </w:p>
    <w:p w14:paraId="47FFF6E6">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*1.供应商应仔细阅读磋商文件的所有内容，按照磋商文件的要求提交响应文件，并对所提供的全部资料的真实性承担法律责任。</w:t>
      </w:r>
    </w:p>
    <w:p w14:paraId="757158C7">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*2.供应商在采购活动中提供任何虚假材料,其响应文件无效，并报监管部门查处；成交后发现的,</w:t>
      </w:r>
      <w:r>
        <w:rPr>
          <w:rFonts w:hint="eastAsia" w:asciiTheme="majorEastAsia" w:hAnsiTheme="majorEastAsia" w:eastAsiaTheme="majorEastAsia"/>
          <w:color w:val="auto"/>
          <w:highlight w:val="none"/>
        </w:rPr>
        <w:t>取消成交资格，对采购人造成的损失由供应商负责</w:t>
      </w:r>
      <w:r>
        <w:rPr>
          <w:rFonts w:asciiTheme="majorEastAsia" w:hAnsiTheme="majorEastAsia" w:eastAsiaTheme="majorEastAsia"/>
          <w:color w:val="auto"/>
          <w:highlight w:val="none"/>
        </w:rPr>
        <w:t>。</w:t>
      </w:r>
    </w:p>
    <w:p w14:paraId="523AF7E3">
      <w:pPr>
        <w:pStyle w:val="26"/>
        <w:spacing w:beforeLines="0" w:afterLines="0" w:line="360" w:lineRule="auto"/>
        <w:ind w:firstLine="413" w:firstLineChars="196"/>
        <w:contextualSpacing/>
        <w:rPr>
          <w:rFonts w:asciiTheme="majorEastAsia" w:hAnsiTheme="majorEastAsia" w:eastAsiaTheme="majorEastAsia"/>
          <w:b/>
          <w:bCs/>
          <w:color w:val="auto"/>
          <w:highlight w:val="none"/>
        </w:rPr>
      </w:pPr>
      <w:bookmarkStart w:id="14" w:name="_Toc14318"/>
      <w:bookmarkStart w:id="15" w:name="_Toc13650"/>
      <w:r>
        <w:rPr>
          <w:rFonts w:hint="eastAsia" w:asciiTheme="majorEastAsia" w:hAnsiTheme="majorEastAsia" w:eastAsiaTheme="majorEastAsia"/>
          <w:b/>
          <w:bCs/>
          <w:color w:val="auto"/>
          <w:highlight w:val="none"/>
        </w:rPr>
        <w:t>*</w:t>
      </w:r>
      <w:r>
        <w:rPr>
          <w:rFonts w:asciiTheme="majorEastAsia" w:hAnsiTheme="majorEastAsia" w:eastAsiaTheme="majorEastAsia"/>
          <w:b/>
          <w:bCs/>
          <w:color w:val="auto"/>
          <w:highlight w:val="none"/>
        </w:rPr>
        <w:t>（九）关于分公司参加磋商</w:t>
      </w:r>
    </w:p>
    <w:p w14:paraId="3FE315B0">
      <w:pPr>
        <w:pStyle w:val="26"/>
        <w:spacing w:beforeLines="0" w:afterLines="0" w:line="360" w:lineRule="auto"/>
        <w:ind w:firstLine="411" w:firstLineChars="196"/>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除银行、保险、石油石化、电力、电信、移动、联通等行业外，不允许</w:t>
      </w:r>
      <w:r>
        <w:rPr>
          <w:rFonts w:hint="eastAsia" w:asciiTheme="majorEastAsia" w:hAnsiTheme="majorEastAsia" w:eastAsiaTheme="majorEastAsia"/>
          <w:color w:val="auto"/>
          <w:highlight w:val="none"/>
        </w:rPr>
        <w:t>其他</w:t>
      </w:r>
      <w:r>
        <w:rPr>
          <w:rFonts w:asciiTheme="majorEastAsia" w:hAnsiTheme="majorEastAsia" w:eastAsiaTheme="majorEastAsia"/>
          <w:color w:val="auto"/>
          <w:highlight w:val="none"/>
        </w:rPr>
        <w:t>分公司参加本次采购活动。</w:t>
      </w:r>
      <w:r>
        <w:rPr>
          <w:rFonts w:hint="eastAsia" w:asciiTheme="majorEastAsia" w:hAnsiTheme="majorEastAsia" w:eastAsiaTheme="majorEastAsia"/>
          <w:color w:val="auto"/>
          <w:highlight w:val="none"/>
        </w:rPr>
        <w:t>分公司参加的，需提供总公司营业执照及授权书，如为复印件需加盖公章。</w:t>
      </w:r>
    </w:p>
    <w:p w14:paraId="64E5F692">
      <w:pPr>
        <w:pStyle w:val="26"/>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（十）关于知识产权</w:t>
      </w:r>
    </w:p>
    <w:p w14:paraId="1BBE303F">
      <w:pPr>
        <w:spacing w:line="360" w:lineRule="auto"/>
        <w:ind w:firstLine="420" w:firstLineChars="200"/>
        <w:contextualSpacing/>
        <w:jc w:val="lef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1、供应商必须保证，采购人在中华人民共和国境内使用磋商货物、资料、技术、服务或其任何一部分时，享有不受限制的无偿使用权，如有第三方向采购人提出侵犯其专利权、商标权或其它知识产权的主张，该责任应由供应商承担。</w:t>
      </w:r>
    </w:p>
    <w:p w14:paraId="36B390EE">
      <w:pPr>
        <w:spacing w:line="360" w:lineRule="auto"/>
        <w:ind w:firstLine="420" w:firstLineChars="200"/>
        <w:contextualSpacing/>
        <w:jc w:val="lef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2、总报价应包含所有应向所有权人支付的专利权、商标权或其它知识产权的一切相关费用。</w:t>
      </w:r>
    </w:p>
    <w:p w14:paraId="49BE6380">
      <w:pPr>
        <w:pStyle w:val="14"/>
        <w:widowControl w:val="0"/>
        <w:tabs>
          <w:tab w:val="clear" w:pos="454"/>
        </w:tabs>
        <w:spacing w:afterLines="0" w:line="360" w:lineRule="auto"/>
        <w:ind w:left="0" w:firstLine="411" w:firstLineChars="196"/>
        <w:contextualSpacing/>
        <w:rPr>
          <w:rFonts w:asciiTheme="majorEastAsia" w:hAnsiTheme="majorEastAsia" w:eastAsiaTheme="majorEastAsia"/>
          <w:color w:val="auto"/>
          <w:highlight w:val="none"/>
        </w:rPr>
      </w:pPr>
      <w:r>
        <w:rPr>
          <w:rFonts w:asciiTheme="majorEastAsia" w:hAnsiTheme="majorEastAsia" w:eastAsiaTheme="majorEastAsia"/>
          <w:bCs/>
          <w:color w:val="auto"/>
          <w:sz w:val="21"/>
          <w:szCs w:val="21"/>
          <w:highlight w:val="none"/>
        </w:rPr>
        <w:t>3、系统软件、通用软件必须是具有在中国境内的合法使用权或版权的正版软件，涉及到第三方提出侵权或知识产权的起诉及支付版税等费用由供应商承担所有责任及费用。</w:t>
      </w:r>
      <w:bookmarkEnd w:id="14"/>
      <w:bookmarkEnd w:id="15"/>
    </w:p>
    <w:p w14:paraId="2BA827BC">
      <w:pPr>
        <w:pStyle w:val="14"/>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p>
    <w:p w14:paraId="44124476">
      <w:pPr>
        <w:pStyle w:val="14"/>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w:t>
      </w:r>
      <w:r>
        <w:rPr>
          <w:rFonts w:hint="eastAsia" w:asciiTheme="majorEastAsia" w:hAnsiTheme="majorEastAsia" w:eastAsiaTheme="majorEastAsia"/>
          <w:b/>
          <w:color w:val="auto"/>
          <w:sz w:val="21"/>
          <w:szCs w:val="21"/>
          <w:highlight w:val="none"/>
        </w:rPr>
        <w:t>、</w:t>
      </w:r>
      <w:r>
        <w:rPr>
          <w:rFonts w:asciiTheme="majorEastAsia" w:hAnsiTheme="majorEastAsia" w:eastAsiaTheme="majorEastAsia"/>
          <w:b/>
          <w:color w:val="auto"/>
          <w:sz w:val="21"/>
          <w:szCs w:val="21"/>
          <w:highlight w:val="none"/>
        </w:rPr>
        <w:t>磋商文件</w:t>
      </w:r>
    </w:p>
    <w:p w14:paraId="6DD82F4F">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（一）磋商文件的构成。本磋商文件由以下部分组成：</w:t>
      </w:r>
    </w:p>
    <w:p w14:paraId="7ED3251B">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1.竞争性磋商采购公告</w:t>
      </w:r>
    </w:p>
    <w:p w14:paraId="1BC8E312">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2.采购需求</w:t>
      </w:r>
    </w:p>
    <w:p w14:paraId="2C632961">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3.供应商须知</w:t>
      </w:r>
    </w:p>
    <w:p w14:paraId="6745FCDE">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4.评审办法及标准</w:t>
      </w:r>
    </w:p>
    <w:p w14:paraId="0778A845">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5.合同主要条款</w:t>
      </w:r>
    </w:p>
    <w:p w14:paraId="1CA170ED">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6.响应文件格式</w:t>
      </w:r>
    </w:p>
    <w:p w14:paraId="4D96AED4">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7.本项目磋商文件的澄清、答复、修改、补充的内容</w:t>
      </w:r>
    </w:p>
    <w:p w14:paraId="151D32A4">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（二）供应商的风险</w:t>
      </w:r>
    </w:p>
    <w:p w14:paraId="10B5466A">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供应商没有按照磋商文件要求提供全部资料，或者供应商没有对磋商文件在各方面作出实质性响应是供应商的风险，并可能导致其响应文件被拒绝。</w:t>
      </w:r>
    </w:p>
    <w:p w14:paraId="0F5007A5">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 xml:space="preserve">（三）磋商文件的澄清与修改 </w:t>
      </w:r>
    </w:p>
    <w:p w14:paraId="362A18CA">
      <w:pPr>
        <w:pStyle w:val="39"/>
        <w:snapToGrid/>
        <w:spacing w:line="360" w:lineRule="auto"/>
        <w:ind w:firstLine="420"/>
        <w:contextualSpacing/>
        <w:rPr>
          <w:rFonts w:asciiTheme="majorEastAsia" w:hAnsiTheme="majorEastAsia" w:eastAsiaTheme="majorEastAsia"/>
          <w:color w:val="auto"/>
          <w:highlight w:val="none"/>
        </w:rPr>
      </w:pPr>
      <w:r>
        <w:rPr>
          <w:rFonts w:asciiTheme="majorEastAsia" w:hAnsiTheme="majorEastAsia" w:eastAsiaTheme="majorEastAsia"/>
          <w:bCs/>
          <w:color w:val="auto"/>
          <w:sz w:val="21"/>
          <w:szCs w:val="21"/>
          <w:highlight w:val="none"/>
        </w:rPr>
        <w:t>1、提交首次响应文件截止之日前，采购人、采购代理机构可以对已发出的磋商文件进行必要的澄清或修改，澄清或修改的内容作为磋商文件的组成部分。澄清或修改的内容可能影响响应文件编制的，采购人、采购代理机构应当在提交首次响应文件截止时间至少5日前，</w:t>
      </w:r>
      <w:r>
        <w:rPr>
          <w:rFonts w:hint="eastAsia" w:asciiTheme="majorEastAsia" w:hAnsiTheme="majorEastAsia" w:eastAsiaTheme="majorEastAsia"/>
          <w:bCs/>
          <w:color w:val="auto"/>
          <w:sz w:val="21"/>
          <w:szCs w:val="21"/>
          <w:highlight w:val="none"/>
        </w:rPr>
        <w:t>以公告形式发布于采购公告发布网站，请供应商自行查看。</w:t>
      </w:r>
      <w:r>
        <w:rPr>
          <w:rFonts w:asciiTheme="majorEastAsia" w:hAnsiTheme="majorEastAsia" w:eastAsiaTheme="majorEastAsia"/>
          <w:bCs/>
          <w:color w:val="auto"/>
          <w:sz w:val="21"/>
          <w:szCs w:val="21"/>
          <w:highlight w:val="none"/>
        </w:rPr>
        <w:t>不足5日的，采购人、采购代理机构应当顺延提交首次响应文件截止时间。</w:t>
      </w:r>
    </w:p>
    <w:p w14:paraId="74C4CAA5">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2、供应商在规定的时间内未对磋商文件提出疑问、质疑或要求澄清的，将视其为无异议。对磋商文件中描述有歧义或前后不一致的地方，磋商小组有权进行评判，但对同一条款的评判应适用于每个供应商。</w:t>
      </w:r>
    </w:p>
    <w:p w14:paraId="312BD332">
      <w:pPr>
        <w:pStyle w:val="14"/>
        <w:widowControl w:val="0"/>
        <w:tabs>
          <w:tab w:val="clear" w:pos="454"/>
        </w:tabs>
        <w:spacing w:afterLines="0" w:line="360" w:lineRule="auto"/>
        <w:contextualSpacing/>
        <w:rPr>
          <w:rFonts w:asciiTheme="majorEastAsia" w:hAnsiTheme="majorEastAsia" w:eastAsiaTheme="majorEastAsia"/>
          <w:b/>
          <w:color w:val="auto"/>
          <w:sz w:val="21"/>
          <w:szCs w:val="21"/>
          <w:highlight w:val="none"/>
        </w:rPr>
      </w:pPr>
    </w:p>
    <w:p w14:paraId="765063C5">
      <w:pPr>
        <w:pStyle w:val="14"/>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三、响应文件的编制</w:t>
      </w:r>
    </w:p>
    <w:p w14:paraId="3625AE2F">
      <w:pPr>
        <w:spacing w:line="360" w:lineRule="auto"/>
        <w:ind w:left="238" w:firstLine="105" w:firstLineChars="50"/>
        <w:contextualSpacing/>
        <w:rPr>
          <w:rFonts w:asciiTheme="majorEastAsia" w:hAnsiTheme="majorEastAsia" w:eastAsiaTheme="majorEastAsia"/>
          <w:b/>
          <w:color w:val="auto"/>
          <w:szCs w:val="21"/>
          <w:highlight w:val="none"/>
        </w:rPr>
      </w:pPr>
      <w:bookmarkStart w:id="16" w:name="_Toc16622"/>
      <w:r>
        <w:rPr>
          <w:rFonts w:hint="eastAsia" w:cs="宋体" w:asciiTheme="majorEastAsia" w:hAnsiTheme="majorEastAsia" w:eastAsiaTheme="majorEastAsia"/>
          <w:b/>
          <w:color w:val="auto"/>
          <w:szCs w:val="21"/>
          <w:highlight w:val="none"/>
        </w:rPr>
        <w:t>（一）</w:t>
      </w:r>
      <w:r>
        <w:rPr>
          <w:rFonts w:hint="eastAsia" w:asciiTheme="majorEastAsia" w:hAnsiTheme="majorEastAsia" w:eastAsiaTheme="majorEastAsia"/>
          <w:b/>
          <w:color w:val="auto"/>
          <w:szCs w:val="21"/>
          <w:highlight w:val="none"/>
        </w:rPr>
        <w:t>响应文件的形式和效力</w:t>
      </w:r>
    </w:p>
    <w:p w14:paraId="500E3BC4">
      <w:pPr>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1、响应文件分为电子响应文件以及备份响应文件（自愿提供），备份响应文件为以介质存储的数据电文形式的备份响应文件。</w:t>
      </w:r>
    </w:p>
    <w:p w14:paraId="176F4270">
      <w:pPr>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2、电子响应文件，按“政采云供应商项目采购-电子招投标操作指南”及本采购文件要求制作、加密并递交。</w:t>
      </w:r>
    </w:p>
    <w:p w14:paraId="78BE5959">
      <w:pPr>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3、以介质存储的数据电文形式的备份响应文件，即电子响应文件按“政采云供应商项目采购-电子招投标操作指南”制作的备份文件。</w:t>
      </w:r>
    </w:p>
    <w:p w14:paraId="505D2B6F">
      <w:pPr>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4、响应文件的效力</w:t>
      </w:r>
    </w:p>
    <w:p w14:paraId="0E6E74AA">
      <w:pPr>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响应文件的启用，按先后顺位分别为电子响应文件、以介质存储的数据电文形式的备份文件。在下一顺位的响应文件启用时，前一顺位的响应文件自动失效。</w:t>
      </w:r>
    </w:p>
    <w:p w14:paraId="7F37B98A">
      <w:pPr>
        <w:spacing w:line="360" w:lineRule="auto"/>
        <w:ind w:firstLine="411" w:firstLineChars="196"/>
        <w:contextualSpacing/>
        <w:jc w:val="left"/>
        <w:rPr>
          <w:rFonts w:cs="宋体" w:asciiTheme="majorEastAsia" w:hAnsiTheme="majorEastAsia" w:eastAsiaTheme="majorEastAsia"/>
          <w:b/>
          <w:color w:val="auto"/>
          <w:szCs w:val="21"/>
          <w:highlight w:val="none"/>
        </w:rPr>
      </w:pPr>
      <w:r>
        <w:rPr>
          <w:rFonts w:hint="eastAsia" w:asciiTheme="majorEastAsia" w:hAnsiTheme="majorEastAsia" w:eastAsiaTheme="majorEastAsia"/>
          <w:color w:val="auto"/>
          <w:highlight w:val="none"/>
        </w:rPr>
        <w:t>响应文件未按时解密，供应商提供了备份响应文件的，以备份响应文件作为依据，否则视为响应文件撤回。响应文件已按时解密的，备份响应文件自动失效。</w:t>
      </w:r>
    </w:p>
    <w:p w14:paraId="3D7232BA">
      <w:pPr>
        <w:spacing w:line="360" w:lineRule="auto"/>
        <w:ind w:firstLine="413" w:firstLineChars="196"/>
        <w:contextualSpacing/>
        <w:jc w:val="left"/>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color w:val="auto"/>
          <w:szCs w:val="21"/>
          <w:highlight w:val="none"/>
        </w:rPr>
        <w:t>（二）响应文件的组成</w:t>
      </w:r>
      <w:bookmarkEnd w:id="16"/>
    </w:p>
    <w:p w14:paraId="0C190501">
      <w:pPr>
        <w:spacing w:line="360" w:lineRule="auto"/>
        <w:ind w:firstLine="411" w:firstLineChars="196"/>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响应文件由资信技术文件和报价文件组成（</w:t>
      </w:r>
      <w:r>
        <w:rPr>
          <w:rFonts w:hint="eastAsia" w:asciiTheme="majorEastAsia" w:hAnsiTheme="majorEastAsia" w:eastAsiaTheme="majorEastAsia"/>
          <w:b/>
          <w:bCs/>
          <w:color w:val="auto"/>
          <w:highlight w:val="none"/>
        </w:rPr>
        <w:t>电子响应文件中所须加盖公章部分均采用CA签章</w:t>
      </w:r>
      <w:r>
        <w:rPr>
          <w:rFonts w:hint="eastAsia" w:cs="宋体" w:asciiTheme="majorEastAsia" w:hAnsiTheme="majorEastAsia" w:eastAsiaTheme="majorEastAsia"/>
          <w:color w:val="auto"/>
          <w:szCs w:val="21"/>
          <w:highlight w:val="none"/>
        </w:rPr>
        <w:t>）。</w:t>
      </w:r>
    </w:p>
    <w:p w14:paraId="651B7C19">
      <w:pPr>
        <w:spacing w:line="360" w:lineRule="auto"/>
        <w:ind w:firstLine="413" w:firstLineChars="196"/>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1.资信技术文件：</w:t>
      </w:r>
    </w:p>
    <w:p w14:paraId="7C41843E">
      <w:pPr>
        <w:spacing w:line="360" w:lineRule="auto"/>
        <w:ind w:left="400"/>
        <w:contextualSpacing/>
        <w:jc w:val="left"/>
        <w:rPr>
          <w:rFonts w:asciiTheme="majorEastAsia" w:hAnsiTheme="majorEastAsia" w:eastAsiaTheme="majorEastAsia"/>
          <w:color w:val="auto"/>
          <w:szCs w:val="21"/>
          <w:highlight w:val="none"/>
        </w:rPr>
      </w:pPr>
      <w:r>
        <w:rPr>
          <w:rFonts w:hint="eastAsia" w:asciiTheme="majorEastAsia" w:hAnsiTheme="majorEastAsia" w:eastAsiaTheme="majorEastAsia"/>
          <w:b/>
          <w:bCs/>
          <w:color w:val="auto"/>
          <w:szCs w:val="21"/>
          <w:highlight w:val="none"/>
        </w:rPr>
        <w:t>1.1资格证明文件：</w:t>
      </w:r>
    </w:p>
    <w:p w14:paraId="0192C5D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hint="eastAsia" w:cs="Times New Roman" w:asciiTheme="majorEastAsia" w:hAnsiTheme="majorEastAsia" w:eastAsiaTheme="majorEastAsia"/>
          <w:b/>
          <w:color w:val="auto"/>
          <w:szCs w:val="21"/>
          <w:highlight w:val="none"/>
          <w:lang w:eastAsia="zh-CN"/>
        </w:rPr>
      </w:pPr>
      <w:r>
        <w:rPr>
          <w:rFonts w:hint="eastAsia" w:cs="Times New Roman" w:asciiTheme="majorEastAsia" w:hAnsiTheme="majorEastAsia" w:eastAsiaTheme="majorEastAsia"/>
          <w:color w:val="auto"/>
          <w:szCs w:val="21"/>
          <w:highlight w:val="none"/>
          <w:lang w:eastAsia="zh-CN"/>
        </w:rPr>
        <w:t>（</w:t>
      </w:r>
      <w:r>
        <w:rPr>
          <w:rFonts w:hint="eastAsia" w:cs="Times New Roman" w:asciiTheme="majorEastAsia" w:hAnsiTheme="majorEastAsia" w:eastAsiaTheme="majorEastAsia"/>
          <w:color w:val="auto"/>
          <w:szCs w:val="21"/>
          <w:highlight w:val="none"/>
          <w:lang w:val="en-US" w:eastAsia="zh-CN"/>
        </w:rPr>
        <w:t>1</w:t>
      </w:r>
      <w:r>
        <w:rPr>
          <w:rFonts w:hint="eastAsia" w:cs="Times New Roman" w:asciiTheme="majorEastAsia" w:hAnsiTheme="majorEastAsia" w:eastAsiaTheme="majorEastAsia"/>
          <w:color w:val="auto"/>
          <w:szCs w:val="21"/>
          <w:highlight w:val="none"/>
          <w:lang w:eastAsia="zh-CN"/>
        </w:rPr>
        <w:t>）资格条件自查表</w:t>
      </w:r>
    </w:p>
    <w:p w14:paraId="55B50C8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w:t>
      </w:r>
      <w:r>
        <w:rPr>
          <w:rFonts w:hint="eastAsia" w:cs="Times New Roman" w:asciiTheme="majorEastAsia" w:hAnsiTheme="majorEastAsia" w:eastAsiaTheme="majorEastAsia"/>
          <w:color w:val="auto"/>
          <w:szCs w:val="21"/>
          <w:highlight w:val="none"/>
          <w:lang w:val="en-US" w:eastAsia="zh-CN"/>
        </w:rPr>
        <w:t>2</w:t>
      </w:r>
      <w:r>
        <w:rPr>
          <w:rFonts w:hint="eastAsia" w:cs="Times New Roman" w:asciiTheme="majorEastAsia" w:hAnsiTheme="majorEastAsia" w:eastAsiaTheme="majorEastAsia"/>
          <w:color w:val="auto"/>
          <w:szCs w:val="21"/>
          <w:highlight w:val="none"/>
        </w:rPr>
        <w:t>）供应商资格声明函（格式附后）；</w:t>
      </w:r>
    </w:p>
    <w:p w14:paraId="6B164D9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w:t>
      </w:r>
      <w:r>
        <w:rPr>
          <w:rFonts w:hint="eastAsia" w:cs="Times New Roman" w:asciiTheme="majorEastAsia" w:hAnsiTheme="majorEastAsia" w:eastAsiaTheme="majorEastAsia"/>
          <w:color w:val="auto"/>
          <w:szCs w:val="21"/>
          <w:highlight w:val="none"/>
          <w:lang w:val="en-US" w:eastAsia="zh-CN"/>
        </w:rPr>
        <w:t>3</w:t>
      </w:r>
      <w:r>
        <w:rPr>
          <w:rFonts w:hint="eastAsia" w:cs="Times New Roman" w:asciiTheme="majorEastAsia" w:hAnsiTheme="majorEastAsia" w:eastAsiaTheme="majorEastAsia"/>
          <w:color w:val="auto"/>
          <w:szCs w:val="21"/>
          <w:highlight w:val="none"/>
        </w:rPr>
        <w:t>）提供有效的营业执照副本原件扫描件或者电子营业执照加盖供应商公章；响应供应商如果有名称变更的，应提供由行政主管部门出具的变更证明文件；</w:t>
      </w:r>
    </w:p>
    <w:p w14:paraId="192E1E4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（4）①中小企业声明函（格式见附件）；</w:t>
      </w:r>
    </w:p>
    <w:p w14:paraId="60F795A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或②供应商为监狱企业的证明文件：省级以上监狱管理局、戒毒管理局（含新疆生产建设兵团）出具（如是，请提供。格式自拟）；</w:t>
      </w:r>
    </w:p>
    <w:p w14:paraId="08D7ABC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或③残疾人福利性单位声明函（如是，请提供。格式见附件）</w:t>
      </w:r>
    </w:p>
    <w:p w14:paraId="2B5E753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w:t>
      </w:r>
      <w:r>
        <w:rPr>
          <w:rFonts w:hint="eastAsia" w:cs="Times New Roman" w:asciiTheme="majorEastAsia" w:hAnsiTheme="majorEastAsia" w:eastAsiaTheme="majorEastAsia"/>
          <w:color w:val="auto"/>
          <w:szCs w:val="21"/>
          <w:highlight w:val="none"/>
          <w:lang w:val="en-US" w:eastAsia="zh-CN"/>
        </w:rPr>
        <w:t>5</w:t>
      </w:r>
      <w:r>
        <w:rPr>
          <w:rFonts w:hint="eastAsia" w:cs="Times New Roman" w:asciiTheme="majorEastAsia" w:hAnsiTheme="majorEastAsia" w:eastAsiaTheme="majorEastAsia"/>
          <w:color w:val="auto"/>
          <w:szCs w:val="21"/>
          <w:highlight w:val="none"/>
        </w:rPr>
        <w:t>）供应商特定资格条件的证明文件：</w:t>
      </w:r>
      <w:r>
        <w:rPr>
          <w:rFonts w:hint="eastAsia" w:cs="Times New Roman" w:asciiTheme="majorEastAsia" w:hAnsiTheme="majorEastAsia" w:eastAsiaTheme="majorEastAsia"/>
          <w:color w:val="auto"/>
          <w:szCs w:val="21"/>
          <w:highlight w:val="none"/>
          <w:lang w:val="zh-CN" w:eastAsia="zh-CN"/>
        </w:rPr>
        <w:t>有效的《旅行社业务经营许可证》</w:t>
      </w:r>
      <w:r>
        <w:rPr>
          <w:rFonts w:hint="eastAsia" w:cs="Times New Roman" w:asciiTheme="majorEastAsia" w:hAnsiTheme="majorEastAsia" w:eastAsiaTheme="majorEastAsia"/>
          <w:color w:val="auto"/>
          <w:szCs w:val="21"/>
          <w:highlight w:val="none"/>
          <w:lang w:val="en-US" w:eastAsia="zh-CN"/>
        </w:rPr>
        <w:t>证书复印件</w:t>
      </w:r>
      <w:r>
        <w:rPr>
          <w:rFonts w:hint="eastAsia" w:cs="Times New Roman" w:asciiTheme="majorEastAsia" w:hAnsiTheme="majorEastAsia" w:eastAsiaTheme="majorEastAsia"/>
          <w:color w:val="auto"/>
          <w:szCs w:val="21"/>
          <w:highlight w:val="none"/>
        </w:rPr>
        <w:t>；</w:t>
      </w:r>
    </w:p>
    <w:p w14:paraId="0BA88BB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w:t>
      </w:r>
      <w:r>
        <w:rPr>
          <w:rFonts w:hint="eastAsia" w:cs="Times New Roman" w:asciiTheme="majorEastAsia" w:hAnsiTheme="majorEastAsia" w:eastAsiaTheme="majorEastAsia"/>
          <w:color w:val="auto"/>
          <w:szCs w:val="21"/>
          <w:highlight w:val="none"/>
          <w:lang w:val="en-US" w:eastAsia="zh-CN"/>
        </w:rPr>
        <w:t>6</w:t>
      </w:r>
      <w:r>
        <w:rPr>
          <w:rFonts w:hint="eastAsia" w:cs="Times New Roman" w:asciiTheme="majorEastAsia" w:hAnsiTheme="majorEastAsia" w:eastAsiaTheme="majorEastAsia"/>
          <w:color w:val="auto"/>
          <w:szCs w:val="21"/>
          <w:highlight w:val="none"/>
        </w:rPr>
        <w:t>）磋商文件要求的其他资格条件证明材料（如有）</w:t>
      </w:r>
    </w:p>
    <w:p w14:paraId="61B3C68A">
      <w:pPr>
        <w:spacing w:line="360" w:lineRule="auto"/>
        <w:ind w:firstLine="422" w:firstLineChars="200"/>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2.2其他资信技术文件：</w:t>
      </w:r>
    </w:p>
    <w:p w14:paraId="1775F2D5">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（1）符合性自查表（格式附后）；</w:t>
      </w:r>
    </w:p>
    <w:p w14:paraId="3687827C">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（2）响应函（格式附后）；</w:t>
      </w:r>
    </w:p>
    <w:p w14:paraId="5A4D911B">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（3）法定代表人身份证明及法定代表人授权委托书（如为法定代表人参加磋商，则只需提供法定代表人身份证明，格式附后）；</w:t>
      </w:r>
    </w:p>
    <w:p w14:paraId="54F1D628">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（4）磋商声明书</w:t>
      </w:r>
    </w:p>
    <w:p w14:paraId="1E237454">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（5）采购需求响应（偏离）表；</w:t>
      </w:r>
    </w:p>
    <w:p w14:paraId="440A1C57">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（6）技术部分：针对本项目项目需求和评审标准中的条款拟定完整方案，格式自拟；</w:t>
      </w:r>
    </w:p>
    <w:p w14:paraId="74356545">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（7）业绩一览表（格式附后）；</w:t>
      </w:r>
    </w:p>
    <w:p w14:paraId="24D0E005">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（8）政府采购领域商业贿赂行为承诺书（格式附后）</w:t>
      </w:r>
    </w:p>
    <w:p w14:paraId="59BE28A1">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（9）评审标准要求提供的其他资料；</w:t>
      </w:r>
    </w:p>
    <w:p w14:paraId="7F5032E1">
      <w:pPr>
        <w:spacing w:line="360" w:lineRule="auto"/>
        <w:ind w:firstLine="420" w:firstLineChars="200"/>
        <w:contextualSpacing/>
        <w:jc w:val="left"/>
        <w:rPr>
          <w:rFonts w:asciiTheme="majorEastAsia" w:hAnsiTheme="majorEastAsia" w:eastAsiaTheme="majorEastAsia"/>
          <w:color w:val="auto"/>
          <w:szCs w:val="21"/>
          <w:highlight w:val="none"/>
        </w:rPr>
      </w:pPr>
      <w:r>
        <w:rPr>
          <w:rFonts w:hint="eastAsia" w:ascii="宋体" w:hAnsi="宋体" w:cs="宋体"/>
          <w:bCs/>
          <w:color w:val="auto"/>
          <w:szCs w:val="21"/>
          <w:highlight w:val="none"/>
        </w:rPr>
        <w:t>（10）供应商认为有需要提供的其它有关证明资料。</w:t>
      </w:r>
    </w:p>
    <w:p w14:paraId="23989FFB">
      <w:pPr>
        <w:spacing w:line="360" w:lineRule="auto"/>
        <w:ind w:firstLine="422" w:firstLineChars="200"/>
        <w:contextualSpacing/>
        <w:jc w:val="left"/>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2.报价文件：</w:t>
      </w:r>
    </w:p>
    <w:p w14:paraId="2580D4F5">
      <w:pPr>
        <w:spacing w:line="360" w:lineRule="auto"/>
        <w:ind w:firstLine="420" w:firstLineChars="200"/>
        <w:contextualSpacing/>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（1）初次报价表</w:t>
      </w:r>
      <w:r>
        <w:rPr>
          <w:rFonts w:asciiTheme="majorEastAsia" w:hAnsiTheme="majorEastAsia" w:eastAsiaTheme="majorEastAsia"/>
          <w:color w:val="auto"/>
          <w:szCs w:val="21"/>
          <w:highlight w:val="none"/>
        </w:rPr>
        <w:t>（格式附后）；</w:t>
      </w:r>
    </w:p>
    <w:p w14:paraId="3F206E14">
      <w:pPr>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rPr>
        <w:t>2</w:t>
      </w:r>
      <w:r>
        <w:rPr>
          <w:rFonts w:asciiTheme="majorEastAsia" w:hAnsiTheme="majorEastAsia" w:eastAsiaTheme="majorEastAsia"/>
          <w:color w:val="auto"/>
          <w:szCs w:val="21"/>
          <w:highlight w:val="none"/>
        </w:rPr>
        <w:t>）供应商针对报价需要说明的其他文件和说明（格式自拟）。</w:t>
      </w:r>
    </w:p>
    <w:p w14:paraId="47F1989D">
      <w:pPr>
        <w:spacing w:line="360" w:lineRule="auto"/>
        <w:ind w:firstLine="413" w:firstLineChars="196"/>
        <w:contextualSpacing/>
        <w:jc w:val="left"/>
        <w:rPr>
          <w:rFonts w:asciiTheme="majorEastAsia" w:hAnsiTheme="majorEastAsia" w:eastAsiaTheme="majorEastAsia"/>
          <w:b/>
          <w:color w:val="auto"/>
          <w:szCs w:val="21"/>
          <w:highlight w:val="none"/>
        </w:rPr>
      </w:pPr>
      <w:bookmarkStart w:id="17" w:name="_Toc10734"/>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三</w:t>
      </w:r>
      <w:r>
        <w:rPr>
          <w:rFonts w:asciiTheme="majorEastAsia" w:hAnsiTheme="majorEastAsia" w:eastAsiaTheme="majorEastAsia"/>
          <w:b/>
          <w:color w:val="auto"/>
          <w:szCs w:val="21"/>
          <w:highlight w:val="none"/>
        </w:rPr>
        <w:t>）响应文件的语言及计量</w:t>
      </w:r>
      <w:bookmarkEnd w:id="17"/>
    </w:p>
    <w:p w14:paraId="10D5166B">
      <w:pPr>
        <w:spacing w:line="360" w:lineRule="auto"/>
        <w:ind w:firstLine="422" w:firstLineChars="200"/>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*1响应文件以及供应商与采购人就有关磋商事宜的所有来往函电，均应以中文汉语书写。除签名、盖章、专用名称等特殊情形外，以中文汉语以外的文字表述的响应文件视同未提供。</w:t>
      </w:r>
    </w:p>
    <w:p w14:paraId="1D9F5E4A">
      <w:pPr>
        <w:spacing w:line="360" w:lineRule="auto"/>
        <w:ind w:firstLine="422" w:firstLineChars="200"/>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*2报价计量单位，磋商文件已有明确规定的，使用磋商文件规定的计量单位；磋商文件没有规定的，应采用中华人民共和国法定计量单位（货币单位：人民币元），否则视同未响应。</w:t>
      </w:r>
    </w:p>
    <w:p w14:paraId="32D3D9C3">
      <w:pPr>
        <w:spacing w:line="360" w:lineRule="auto"/>
        <w:ind w:firstLine="413" w:firstLineChars="196"/>
        <w:contextualSpacing/>
        <w:jc w:val="left"/>
        <w:rPr>
          <w:rFonts w:asciiTheme="majorEastAsia" w:hAnsiTheme="majorEastAsia" w:eastAsiaTheme="majorEastAsia"/>
          <w:b/>
          <w:color w:val="auto"/>
          <w:szCs w:val="21"/>
          <w:highlight w:val="none"/>
        </w:rPr>
      </w:pPr>
      <w:bookmarkStart w:id="18" w:name="_Toc3681"/>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四</w:t>
      </w:r>
      <w:r>
        <w:rPr>
          <w:rFonts w:asciiTheme="majorEastAsia" w:hAnsiTheme="majorEastAsia" w:eastAsiaTheme="majorEastAsia"/>
          <w:b/>
          <w:color w:val="auto"/>
          <w:szCs w:val="21"/>
          <w:highlight w:val="none"/>
        </w:rPr>
        <w:t>）报价</w:t>
      </w:r>
      <w:bookmarkEnd w:id="18"/>
      <w:r>
        <w:rPr>
          <w:rFonts w:asciiTheme="majorEastAsia" w:hAnsiTheme="majorEastAsia" w:eastAsiaTheme="majorEastAsia"/>
          <w:b/>
          <w:color w:val="auto"/>
          <w:szCs w:val="21"/>
          <w:highlight w:val="none"/>
        </w:rPr>
        <w:t>要求</w:t>
      </w:r>
    </w:p>
    <w:p w14:paraId="3FA967D2">
      <w:pPr>
        <w:pStyle w:val="26"/>
        <w:spacing w:beforeLines="0" w:afterLines="0" w:line="360" w:lineRule="auto"/>
        <w:ind w:firstLine="420" w:firstLineChars="200"/>
        <w:contextualSpacing/>
        <w:jc w:val="left"/>
        <w:rPr>
          <w:rFonts w:asciiTheme="majorEastAsia" w:hAnsiTheme="majorEastAsia" w:eastAsiaTheme="majorEastAsia"/>
          <w:color w:val="auto"/>
          <w:highlight w:val="none"/>
        </w:rPr>
      </w:pPr>
      <w:r>
        <w:rPr>
          <w:rFonts w:asciiTheme="majorEastAsia" w:hAnsiTheme="majorEastAsia" w:eastAsiaTheme="majorEastAsia"/>
          <w:color w:val="auto"/>
          <w:highlight w:val="none"/>
        </w:rPr>
        <w:t>1.报价应按磋商文件中相关附表格式填写。</w:t>
      </w:r>
    </w:p>
    <w:p w14:paraId="0EE2C12C">
      <w:pPr>
        <w:pStyle w:val="26"/>
        <w:spacing w:beforeLines="0" w:afterLines="0" w:line="360" w:lineRule="auto"/>
        <w:ind w:firstLine="420" w:firstLineChars="200"/>
        <w:contextualSpacing/>
        <w:jc w:val="left"/>
        <w:rPr>
          <w:rFonts w:asciiTheme="majorEastAsia" w:hAnsiTheme="majorEastAsia" w:eastAsiaTheme="majorEastAsia"/>
          <w:color w:val="auto"/>
          <w:highlight w:val="none"/>
        </w:rPr>
      </w:pPr>
      <w:r>
        <w:rPr>
          <w:rFonts w:asciiTheme="majorEastAsia" w:hAnsiTheme="majorEastAsia" w:eastAsiaTheme="majorEastAsia"/>
          <w:color w:val="auto"/>
          <w:highlight w:val="none"/>
        </w:rPr>
        <w:t>*2.响应文件只允许有一个报价，有选择的或有条件的报价将不予接受。</w:t>
      </w:r>
    </w:p>
    <w:p w14:paraId="47552E4B">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五</w:t>
      </w:r>
      <w:r>
        <w:rPr>
          <w:rFonts w:asciiTheme="majorEastAsia" w:hAnsiTheme="majorEastAsia" w:eastAsiaTheme="majorEastAsia"/>
          <w:b/>
          <w:color w:val="auto"/>
          <w:sz w:val="21"/>
          <w:szCs w:val="21"/>
          <w:highlight w:val="none"/>
        </w:rPr>
        <w:t>）响应文件的有效期</w:t>
      </w:r>
    </w:p>
    <w:p w14:paraId="3E270CD0">
      <w:pPr>
        <w:pStyle w:val="14"/>
        <w:widowControl w:val="0"/>
        <w:tabs>
          <w:tab w:val="clear" w:pos="454"/>
        </w:tabs>
        <w:spacing w:afterLines="0" w:line="360" w:lineRule="auto"/>
        <w:ind w:left="0" w:firstLine="422" w:firstLineChars="20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*1.自首次提交响应文件截止日起</w:t>
      </w:r>
      <w:r>
        <w:rPr>
          <w:rFonts w:asciiTheme="majorEastAsia" w:hAnsiTheme="majorEastAsia" w:eastAsiaTheme="majorEastAsia"/>
          <w:b/>
          <w:color w:val="auto"/>
          <w:sz w:val="21"/>
          <w:szCs w:val="21"/>
          <w:highlight w:val="none"/>
          <w:u w:val="single"/>
        </w:rPr>
        <w:t xml:space="preserve">90 </w:t>
      </w:r>
      <w:r>
        <w:rPr>
          <w:rFonts w:asciiTheme="majorEastAsia" w:hAnsiTheme="majorEastAsia" w:eastAsiaTheme="majorEastAsia"/>
          <w:b/>
          <w:color w:val="auto"/>
          <w:sz w:val="21"/>
          <w:szCs w:val="21"/>
          <w:highlight w:val="none"/>
        </w:rPr>
        <w:t>天响应文件应保持有效。有效期不足的响应文件将被拒绝。</w:t>
      </w:r>
    </w:p>
    <w:p w14:paraId="4979BA48">
      <w:pPr>
        <w:pStyle w:val="14"/>
        <w:widowControl w:val="0"/>
        <w:tabs>
          <w:tab w:val="clear" w:pos="454"/>
        </w:tabs>
        <w:spacing w:afterLines="0" w:line="360" w:lineRule="auto"/>
        <w:ind w:left="0" w:firstLine="420" w:firstLineChars="200"/>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2.在特殊情况下，采购人可与供应商协商延长响应文件的有效期，这种要求和答复均以书面形式进行。</w:t>
      </w:r>
    </w:p>
    <w:p w14:paraId="1BA21CFF">
      <w:pPr>
        <w:spacing w:line="360" w:lineRule="auto"/>
        <w:ind w:firstLine="420" w:firstLineChars="200"/>
        <w:contextualSpacing/>
        <w:jc w:val="left"/>
        <w:rPr>
          <w:rFonts w:asciiTheme="majorEastAsia" w:hAnsiTheme="majorEastAsia" w:eastAsiaTheme="majorEastAsia"/>
          <w:b/>
          <w:color w:val="auto"/>
          <w:szCs w:val="21"/>
          <w:highlight w:val="none"/>
        </w:rPr>
      </w:pPr>
      <w:bookmarkStart w:id="19" w:name="_Toc24481"/>
      <w:r>
        <w:rPr>
          <w:rFonts w:asciiTheme="majorEastAsia" w:hAnsiTheme="majorEastAsia" w:eastAsiaTheme="majorEastAsia"/>
          <w:color w:val="auto"/>
          <w:szCs w:val="21"/>
          <w:highlight w:val="none"/>
        </w:rPr>
        <w:t>3.供应商可拒绝接受延期要求。同意延长有效期的供应商不能修改响应文件。</w:t>
      </w:r>
      <w:bookmarkEnd w:id="19"/>
      <w:r>
        <w:rPr>
          <w:rFonts w:asciiTheme="majorEastAsia" w:hAnsiTheme="majorEastAsia" w:eastAsiaTheme="majorEastAsia"/>
          <w:b/>
          <w:color w:val="auto"/>
          <w:szCs w:val="21"/>
          <w:highlight w:val="none"/>
        </w:rPr>
        <w:t xml:space="preserve"> </w:t>
      </w:r>
    </w:p>
    <w:p w14:paraId="53C2B7AE">
      <w:pPr>
        <w:spacing w:line="360" w:lineRule="auto"/>
        <w:ind w:firstLine="420" w:firstLineChars="200"/>
        <w:contextualSpacing/>
        <w:jc w:val="left"/>
        <w:rPr>
          <w:rFonts w:asciiTheme="majorEastAsia" w:hAnsiTheme="majorEastAsia" w:eastAsiaTheme="majorEastAsia"/>
          <w:b/>
          <w:color w:val="auto"/>
          <w:szCs w:val="21"/>
          <w:highlight w:val="none"/>
        </w:rPr>
      </w:pPr>
      <w:bookmarkStart w:id="20" w:name="_Toc6471"/>
      <w:r>
        <w:rPr>
          <w:rFonts w:asciiTheme="majorEastAsia" w:hAnsiTheme="majorEastAsia" w:eastAsiaTheme="majorEastAsia"/>
          <w:color w:val="auto"/>
          <w:szCs w:val="21"/>
          <w:highlight w:val="none"/>
        </w:rPr>
        <w:t>4.成交供应商的响应文件自首次提交响应文件截止日起至合同履行完毕止均应保持有效。</w:t>
      </w:r>
      <w:bookmarkEnd w:id="20"/>
    </w:p>
    <w:p w14:paraId="7C201F28">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六</w:t>
      </w:r>
      <w:r>
        <w:rPr>
          <w:rFonts w:asciiTheme="majorEastAsia" w:hAnsiTheme="majorEastAsia" w:eastAsiaTheme="majorEastAsia"/>
          <w:b/>
          <w:color w:val="auto"/>
          <w:sz w:val="21"/>
          <w:szCs w:val="21"/>
          <w:highlight w:val="none"/>
        </w:rPr>
        <w:t>）响应文件的签署和份数</w:t>
      </w:r>
    </w:p>
    <w:p w14:paraId="0966F900">
      <w:pPr>
        <w:pStyle w:val="20"/>
        <w:spacing w:line="360" w:lineRule="auto"/>
        <w:ind w:firstLine="395"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1.供应商应按本磋商文件规定的格式和顺序编制响应文件并标注页码，响应文件内容不完整、编排混乱导致响应文件被误读、漏读或者查找不到相关内容的，是供应商的责任。</w:t>
      </w:r>
    </w:p>
    <w:p w14:paraId="48D094FF">
      <w:pPr>
        <w:snapToGrid w:val="0"/>
        <w:spacing w:before="156" w:beforeLines="50" w:line="360" w:lineRule="auto"/>
        <w:ind w:firstLine="422" w:firstLineChars="200"/>
        <w:jc w:val="left"/>
        <w:rPr>
          <w:rFonts w:ascii="宋体" w:hAnsi="宋体" w:cs="宋体"/>
          <w:b/>
          <w:color w:val="auto"/>
          <w:szCs w:val="21"/>
          <w:highlight w:val="none"/>
        </w:rPr>
      </w:pPr>
      <w:r>
        <w:rPr>
          <w:rFonts w:asciiTheme="majorEastAsia" w:hAnsiTheme="majorEastAsia" w:eastAsiaTheme="majorEastAsia"/>
          <w:b/>
          <w:color w:val="auto"/>
          <w:szCs w:val="21"/>
          <w:highlight w:val="none"/>
        </w:rPr>
        <w:t>*</w:t>
      </w:r>
      <w:r>
        <w:rPr>
          <w:rFonts w:hint="eastAsia" w:ascii="宋体" w:hAnsi="宋体" w:cs="宋体"/>
          <w:color w:val="auto"/>
          <w:szCs w:val="21"/>
          <w:highlight w:val="none"/>
        </w:rPr>
        <w:t>2.供应商须在响应文件递交截止时间前将电子响应文件上传“政采云”平台。</w:t>
      </w:r>
    </w:p>
    <w:p w14:paraId="50991C7B">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供应商可自愿提交电子文本一份（以介质存储的数据电文形式的备份响应文件）：供应商应根据“政采云供应商项目采购-电子招投标操作指南”及本磋商文件规定的格式和顺序编制电子响应文件并进行关联定位。以U盘形式存储，并单独密封递交。</w:t>
      </w:r>
    </w:p>
    <w:p w14:paraId="5AECF26D">
      <w:pPr>
        <w:snapToGrid w:val="0"/>
        <w:spacing w:line="360" w:lineRule="auto"/>
        <w:ind w:firstLine="420"/>
        <w:jc w:val="left"/>
        <w:rPr>
          <w:rFonts w:ascii="宋体" w:hAnsi="宋体" w:cs="宋体"/>
          <w:b/>
          <w:color w:val="auto"/>
          <w:szCs w:val="21"/>
          <w:highlight w:val="none"/>
        </w:rPr>
      </w:pPr>
      <w:r>
        <w:rPr>
          <w:rFonts w:hint="eastAsia" w:ascii="宋体" w:hAnsi="宋体" w:cs="宋体"/>
          <w:b/>
          <w:color w:val="auto"/>
          <w:szCs w:val="21"/>
          <w:highlight w:val="none"/>
        </w:rPr>
        <w:t>4.如供应商自愿递交备份响应文件，供应商应当在磋商文件要求提交响应文件的截止时间前，将备份响应文件密封送达磋商地点。采购人或者采购代理机构收到备份响应文件后，应当如实记载备份响应文件的送达时间和密封情况，签收保存，并向供应商出具签收回执。任何单位和个人不得在开标前开启备份响应文件。</w:t>
      </w:r>
    </w:p>
    <w:p w14:paraId="3C94E8E7">
      <w:pPr>
        <w:snapToGrid w:val="0"/>
        <w:spacing w:line="360" w:lineRule="auto"/>
        <w:ind w:firstLine="420"/>
        <w:jc w:val="left"/>
        <w:rPr>
          <w:rFonts w:asciiTheme="majorEastAsia" w:hAnsiTheme="majorEastAsia" w:eastAsiaTheme="majorEastAsia"/>
          <w:color w:val="auto"/>
          <w:szCs w:val="21"/>
          <w:highlight w:val="none"/>
        </w:rPr>
      </w:pPr>
      <w:r>
        <w:rPr>
          <w:rFonts w:hint="eastAsia" w:ascii="宋体" w:hAnsi="宋体" w:cs="宋体"/>
          <w:b/>
          <w:color w:val="auto"/>
          <w:szCs w:val="21"/>
          <w:highlight w:val="none"/>
        </w:rPr>
        <w:t>5.逾期送达或者未按照采购文件要求密封的响应文件，采购人、采购代理机构应当拒收。</w:t>
      </w:r>
    </w:p>
    <w:p w14:paraId="21B13569">
      <w:pPr>
        <w:pStyle w:val="20"/>
        <w:spacing w:line="360" w:lineRule="auto"/>
        <w:ind w:firstLine="395"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6</w:t>
      </w:r>
      <w:r>
        <w:rPr>
          <w:rFonts w:asciiTheme="majorEastAsia" w:hAnsiTheme="majorEastAsia" w:eastAsiaTheme="majorEastAsia"/>
          <w:color w:val="auto"/>
          <w:sz w:val="21"/>
          <w:szCs w:val="21"/>
          <w:highlight w:val="none"/>
        </w:rPr>
        <w:t>.响应文件须由供应商在规定位置盖章并由法定代表人（负责人）或法定代表人（负责人）的授权委托人签署，供应商应写全称。</w:t>
      </w:r>
    </w:p>
    <w:p w14:paraId="6FEFE949">
      <w:pPr>
        <w:pStyle w:val="20"/>
        <w:spacing w:line="360" w:lineRule="auto"/>
        <w:ind w:firstLine="395"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7</w:t>
      </w:r>
      <w:r>
        <w:rPr>
          <w:rFonts w:asciiTheme="majorEastAsia" w:hAnsiTheme="majorEastAsia" w:eastAsiaTheme="majorEastAsia"/>
          <w:color w:val="auto"/>
          <w:sz w:val="21"/>
          <w:szCs w:val="21"/>
          <w:highlight w:val="none"/>
        </w:rPr>
        <w:t>.响应文件不得涂改，若有修改错漏处，须加盖单位公章或者法定代表人（负责人）或授权委托人签字或盖章。响应文件因字迹潦草或表达不清所引起的后果由供应商负责。</w:t>
      </w:r>
    </w:p>
    <w:p w14:paraId="16E6DC9D">
      <w:pPr>
        <w:pStyle w:val="20"/>
        <w:spacing w:line="360" w:lineRule="auto"/>
        <w:ind w:firstLine="395" w:firstLineChars="196"/>
        <w:contextualSpacing/>
        <w:rPr>
          <w:rFonts w:asciiTheme="majorEastAsia" w:hAnsiTheme="majorEastAsia" w:eastAsiaTheme="majorEastAsia"/>
          <w:b/>
          <w:bCs/>
          <w:color w:val="auto"/>
          <w:spacing w:val="0"/>
          <w:sz w:val="21"/>
          <w:highlight w:val="none"/>
        </w:rPr>
      </w:pPr>
      <w:r>
        <w:rPr>
          <w:rFonts w:hint="eastAsia" w:asciiTheme="majorEastAsia" w:hAnsiTheme="majorEastAsia" w:eastAsiaTheme="majorEastAsia"/>
          <w:color w:val="auto"/>
          <w:sz w:val="21"/>
          <w:szCs w:val="21"/>
          <w:highlight w:val="none"/>
        </w:rPr>
        <w:t>8.供应商递交的企业宣传册、产品宣传册不属于响应文件有效组成资料的不作为评审依据。</w:t>
      </w:r>
    </w:p>
    <w:p w14:paraId="017DE54F">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七</w:t>
      </w:r>
      <w:r>
        <w:rPr>
          <w:rFonts w:asciiTheme="majorEastAsia" w:hAnsiTheme="majorEastAsia" w:eastAsiaTheme="majorEastAsia"/>
          <w:b/>
          <w:color w:val="auto"/>
          <w:sz w:val="21"/>
          <w:szCs w:val="21"/>
          <w:highlight w:val="none"/>
        </w:rPr>
        <w:t>）响应文件的递交、修改和撤回</w:t>
      </w:r>
    </w:p>
    <w:p w14:paraId="1E450255">
      <w:pPr>
        <w:pStyle w:val="20"/>
        <w:spacing w:line="360" w:lineRule="auto"/>
        <w:ind w:firstLine="398"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b/>
          <w:color w:val="auto"/>
          <w:sz w:val="21"/>
          <w:szCs w:val="21"/>
          <w:highlight w:val="none"/>
        </w:rPr>
        <w:t>1.</w:t>
      </w:r>
      <w:r>
        <w:rPr>
          <w:rFonts w:hint="eastAsia" w:asciiTheme="majorEastAsia" w:hAnsiTheme="majorEastAsia" w:eastAsiaTheme="majorEastAsia"/>
          <w:color w:val="auto"/>
          <w:sz w:val="21"/>
          <w:szCs w:val="21"/>
          <w:highlight w:val="none"/>
        </w:rPr>
        <w:t>响应文件的封面上均应分别注明投标项目名称、项目编号、供应商名称、供应商地址等内容，并加盖供应商公章。</w:t>
      </w:r>
    </w:p>
    <w:p w14:paraId="3BE551FB">
      <w:pPr>
        <w:pStyle w:val="20"/>
        <w:spacing w:line="360" w:lineRule="auto"/>
        <w:ind w:firstLine="398"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b/>
          <w:bCs/>
          <w:color w:val="auto"/>
          <w:sz w:val="21"/>
          <w:szCs w:val="21"/>
          <w:highlight w:val="none"/>
        </w:rPr>
        <w:t>如供应商自愿递交备份响应文件，备份响应文件须单独包封，外包装封面上应注明供应商名称、供应商地址、项目名称、项目编号、响应文件名称（电子响应文件的备份文件），并加盖供应商公章。</w:t>
      </w:r>
    </w:p>
    <w:p w14:paraId="587ADE24">
      <w:pPr>
        <w:pStyle w:val="20"/>
        <w:spacing w:line="360" w:lineRule="auto"/>
        <w:ind w:firstLine="395"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2.未按规定密封或标记的响应文件将被拒绝，由此造成响应文件被误投或提前拆封的风险由供应商承担。</w:t>
      </w:r>
    </w:p>
    <w:p w14:paraId="292F0156">
      <w:pPr>
        <w:pStyle w:val="20"/>
        <w:spacing w:line="360" w:lineRule="auto"/>
        <w:ind w:firstLine="395"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3.供应商在提交首次响应文件截止时间之前，可以对已提交的响应文件进行修改或撤回，并书面通知采购人；首次响应文件截止时间后，供应商不得撤回、修改响应文件。修改后重新递交的响应文件应当按本磋商文件的要求签署、盖章和密封。</w:t>
      </w:r>
    </w:p>
    <w:p w14:paraId="00F24B41">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八</w:t>
      </w:r>
      <w:r>
        <w:rPr>
          <w:rFonts w:asciiTheme="majorEastAsia" w:hAnsiTheme="majorEastAsia" w:eastAsiaTheme="majorEastAsia"/>
          <w:b/>
          <w:color w:val="auto"/>
          <w:sz w:val="21"/>
          <w:szCs w:val="21"/>
          <w:highlight w:val="none"/>
        </w:rPr>
        <w:t>）响应无效的情形</w:t>
      </w:r>
    </w:p>
    <w:p w14:paraId="223DD01B">
      <w:pPr>
        <w:pStyle w:val="20"/>
        <w:spacing w:line="360" w:lineRule="auto"/>
        <w:ind w:firstLine="395"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w:t>
      </w:r>
      <w:r>
        <w:rPr>
          <w:rFonts w:asciiTheme="majorEastAsia" w:hAnsiTheme="majorEastAsia" w:eastAsiaTheme="majorEastAsia"/>
          <w:color w:val="auto"/>
          <w:sz w:val="21"/>
          <w:szCs w:val="21"/>
          <w:highlight w:val="none"/>
        </w:rPr>
        <w:t>实质上没有响应磋商文件要求的响应文件将被视为无效响应。供应商不得通过修正或撤消不合要求的偏离或保留从而使其成为实质上响应的文件。</w:t>
      </w:r>
    </w:p>
    <w:p w14:paraId="35E7BF3B">
      <w:pPr>
        <w:spacing w:line="360" w:lineRule="auto"/>
        <w:ind w:firstLine="413" w:firstLineChars="196"/>
        <w:contextualSpacing/>
        <w:jc w:val="left"/>
        <w:rPr>
          <w:rFonts w:asciiTheme="majorEastAsia" w:hAnsiTheme="majorEastAsia" w:eastAsiaTheme="majorEastAsia"/>
          <w:b/>
          <w:bCs/>
          <w:color w:val="auto"/>
          <w:szCs w:val="21"/>
          <w:highlight w:val="none"/>
          <w:shd w:val="clear" w:color="auto" w:fill="FFFFFF"/>
        </w:rPr>
      </w:pPr>
      <w:r>
        <w:rPr>
          <w:rFonts w:hint="eastAsia" w:asciiTheme="majorEastAsia" w:hAnsiTheme="majorEastAsia" w:eastAsiaTheme="majorEastAsia"/>
          <w:b/>
          <w:color w:val="auto"/>
          <w:highlight w:val="none"/>
          <w:shd w:val="clear" w:color="auto" w:fill="FFFFFF"/>
        </w:rPr>
        <w:t>2</w:t>
      </w:r>
      <w:r>
        <w:rPr>
          <w:rFonts w:asciiTheme="majorEastAsia" w:hAnsiTheme="majorEastAsia" w:eastAsiaTheme="majorEastAsia"/>
          <w:b/>
          <w:color w:val="auto"/>
          <w:highlight w:val="none"/>
          <w:shd w:val="clear" w:color="auto" w:fill="FFFFFF"/>
        </w:rPr>
        <w:t>.在资格审查时，不具备磋商文件中规定的资格要求的，或者资格证明文件不全的，响应文件将被视为无效；</w:t>
      </w:r>
    </w:p>
    <w:p w14:paraId="100A2E97">
      <w:pPr>
        <w:pStyle w:val="2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3</w:t>
      </w:r>
      <w:r>
        <w:rPr>
          <w:rFonts w:asciiTheme="majorEastAsia" w:hAnsiTheme="majorEastAsia" w:eastAsiaTheme="majorEastAsia"/>
          <w:b/>
          <w:bCs/>
          <w:color w:val="auto"/>
          <w:sz w:val="21"/>
          <w:szCs w:val="21"/>
          <w:highlight w:val="none"/>
        </w:rPr>
        <w:t>.在符合性审查和资信评审时，如发现下列情形之一的，响应文件将被视为无效：</w:t>
      </w:r>
    </w:p>
    <w:p w14:paraId="4174F6A5">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（1）响应文件无法定代表人（负责人）签字，或未提供法定代表人（负责人）授权委托书、</w:t>
      </w:r>
      <w:r>
        <w:rPr>
          <w:rFonts w:hint="eastAsia" w:asciiTheme="majorEastAsia" w:hAnsiTheme="majorEastAsia" w:eastAsiaTheme="majorEastAsia"/>
          <w:bCs/>
          <w:color w:val="auto"/>
          <w:sz w:val="21"/>
          <w:szCs w:val="21"/>
          <w:highlight w:val="none"/>
        </w:rPr>
        <w:t>磋商</w:t>
      </w:r>
      <w:r>
        <w:rPr>
          <w:rFonts w:asciiTheme="majorEastAsia" w:hAnsiTheme="majorEastAsia" w:eastAsiaTheme="majorEastAsia"/>
          <w:bCs/>
          <w:color w:val="auto"/>
          <w:sz w:val="21"/>
          <w:szCs w:val="21"/>
          <w:highlight w:val="none"/>
        </w:rPr>
        <w:t>声明书或者填写项目不齐全的；</w:t>
      </w:r>
    </w:p>
    <w:p w14:paraId="55F2DBEA">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（2）响应文件格式不规范、项目不齐全或者内容虚假的；</w:t>
      </w:r>
    </w:p>
    <w:p w14:paraId="2E568CD8">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（3）响应文件的实质性内容未使用中文表述、意思表述不明确、前后矛盾或者使用计量单位不符合磋商文件要求的（经磋商小组认定并允许其当场更正的笔误除外）；</w:t>
      </w:r>
    </w:p>
    <w:p w14:paraId="55E87D5A">
      <w:pPr>
        <w:pStyle w:val="20"/>
        <w:spacing w:line="360" w:lineRule="auto"/>
        <w:ind w:firstLine="395" w:firstLineChars="196"/>
        <w:contextualSpacing/>
        <w:rPr>
          <w:rFonts w:asciiTheme="majorEastAsia" w:hAnsiTheme="majorEastAsia" w:eastAsiaTheme="majorEastAsia"/>
          <w:bCs/>
          <w:snapToGrid w:val="0"/>
          <w:color w:val="auto"/>
          <w:sz w:val="21"/>
          <w:szCs w:val="21"/>
          <w:highlight w:val="none"/>
        </w:rPr>
      </w:pPr>
      <w:r>
        <w:rPr>
          <w:rFonts w:asciiTheme="majorEastAsia" w:hAnsiTheme="majorEastAsia" w:eastAsiaTheme="majorEastAsia"/>
          <w:bCs/>
          <w:color w:val="auto"/>
          <w:sz w:val="21"/>
          <w:szCs w:val="21"/>
          <w:highlight w:val="none"/>
        </w:rPr>
        <w:t>（</w:t>
      </w:r>
      <w:r>
        <w:rPr>
          <w:rFonts w:asciiTheme="majorEastAsia" w:hAnsiTheme="majorEastAsia" w:eastAsiaTheme="majorEastAsia"/>
          <w:bCs/>
          <w:snapToGrid w:val="0"/>
          <w:color w:val="auto"/>
          <w:sz w:val="21"/>
          <w:szCs w:val="21"/>
          <w:highlight w:val="none"/>
        </w:rPr>
        <w:t>4）响应文件有效期不能满足磋商文件要求的；</w:t>
      </w:r>
    </w:p>
    <w:p w14:paraId="2828A475">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（5）未实质性响应磋商文件要求，</w:t>
      </w:r>
      <w:r>
        <w:rPr>
          <w:rFonts w:asciiTheme="majorEastAsia" w:hAnsiTheme="majorEastAsia" w:eastAsiaTheme="majorEastAsia"/>
          <w:bCs/>
          <w:snapToGrid w:val="0"/>
          <w:color w:val="auto"/>
          <w:sz w:val="21"/>
          <w:szCs w:val="21"/>
          <w:highlight w:val="none"/>
        </w:rPr>
        <w:t>或者与</w:t>
      </w:r>
      <w:r>
        <w:rPr>
          <w:rFonts w:asciiTheme="majorEastAsia" w:hAnsiTheme="majorEastAsia" w:eastAsiaTheme="majorEastAsia"/>
          <w:bCs/>
          <w:color w:val="auto"/>
          <w:sz w:val="21"/>
          <w:szCs w:val="21"/>
          <w:highlight w:val="none"/>
        </w:rPr>
        <w:t>磋商文件</w:t>
      </w:r>
      <w:r>
        <w:rPr>
          <w:rFonts w:hint="eastAsia" w:asciiTheme="majorEastAsia" w:hAnsiTheme="majorEastAsia" w:eastAsiaTheme="majorEastAsia"/>
          <w:bCs/>
          <w:color w:val="auto"/>
          <w:sz w:val="21"/>
          <w:szCs w:val="21"/>
          <w:highlight w:val="none"/>
        </w:rPr>
        <w:t>确定成交</w:t>
      </w:r>
      <w:r>
        <w:rPr>
          <w:rFonts w:asciiTheme="majorEastAsia" w:hAnsiTheme="majorEastAsia" w:eastAsiaTheme="majorEastAsia"/>
          <w:bCs/>
          <w:color w:val="auto"/>
          <w:sz w:val="21"/>
          <w:szCs w:val="21"/>
          <w:highlight w:val="none"/>
        </w:rPr>
        <w:t>“*”的商务条款发生实质性偏离的，或者响应文件有采购人不能接受的附加条件的；</w:t>
      </w:r>
    </w:p>
    <w:p w14:paraId="7D9BD2F8">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（6）超过</w:t>
      </w:r>
      <w:r>
        <w:rPr>
          <w:rFonts w:asciiTheme="majorEastAsia" w:hAnsiTheme="majorEastAsia" w:eastAsiaTheme="majorEastAsia"/>
          <w:color w:val="auto"/>
          <w:sz w:val="21"/>
          <w:szCs w:val="21"/>
          <w:highlight w:val="none"/>
        </w:rPr>
        <w:t>首次响应文件截止时间</w:t>
      </w:r>
      <w:r>
        <w:rPr>
          <w:rFonts w:hint="eastAsia" w:asciiTheme="majorEastAsia" w:hAnsiTheme="majorEastAsia" w:eastAsiaTheme="majorEastAsia"/>
          <w:bCs/>
          <w:color w:val="auto"/>
          <w:sz w:val="21"/>
          <w:szCs w:val="21"/>
          <w:highlight w:val="none"/>
        </w:rPr>
        <w:t>上传（递交）</w:t>
      </w:r>
      <w:r>
        <w:rPr>
          <w:rFonts w:asciiTheme="majorEastAsia" w:hAnsiTheme="majorEastAsia" w:eastAsiaTheme="majorEastAsia"/>
          <w:bCs/>
          <w:color w:val="auto"/>
          <w:sz w:val="21"/>
          <w:szCs w:val="21"/>
          <w:highlight w:val="none"/>
        </w:rPr>
        <w:t>的；</w:t>
      </w:r>
    </w:p>
    <w:p w14:paraId="24000C26">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（7）未按规定密封、签章的；</w:t>
      </w:r>
    </w:p>
    <w:p w14:paraId="76C1009B">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 xml:space="preserve">（8）响应文件的关键内容字迹模糊、无法辨认的,或者响应文件中经修正的内容字迹模糊难以辩认或者修改处未按规定签名盖章的； </w:t>
      </w:r>
    </w:p>
    <w:p w14:paraId="1DC5FD6E">
      <w:pPr>
        <w:pStyle w:val="2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4</w:t>
      </w:r>
      <w:r>
        <w:rPr>
          <w:rFonts w:asciiTheme="majorEastAsia" w:hAnsiTheme="majorEastAsia" w:eastAsiaTheme="majorEastAsia"/>
          <w:b/>
          <w:bCs/>
          <w:color w:val="auto"/>
          <w:sz w:val="21"/>
          <w:szCs w:val="21"/>
          <w:highlight w:val="none"/>
        </w:rPr>
        <w:t>.在技术评审时，如发现下列情形之一的，响应文件将被视为无效：</w:t>
      </w:r>
    </w:p>
    <w:p w14:paraId="66A3990A">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（1）响应文件标明的响应或偏离与事实不符或虚假响应的；</w:t>
      </w:r>
    </w:p>
    <w:p w14:paraId="3132947C">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w:t>
      </w:r>
      <w:r>
        <w:rPr>
          <w:rFonts w:asciiTheme="majorEastAsia" w:hAnsiTheme="majorEastAsia" w:eastAsiaTheme="majorEastAsia"/>
          <w:bCs/>
          <w:snapToGrid w:val="0"/>
          <w:color w:val="auto"/>
          <w:sz w:val="21"/>
          <w:szCs w:val="21"/>
          <w:highlight w:val="none"/>
        </w:rPr>
        <w:t>明显不符合磋商文件要求的，或者与</w:t>
      </w:r>
      <w:r>
        <w:rPr>
          <w:rFonts w:asciiTheme="majorEastAsia" w:hAnsiTheme="majorEastAsia" w:eastAsiaTheme="majorEastAsia"/>
          <w:bCs/>
          <w:color w:val="auto"/>
          <w:sz w:val="21"/>
          <w:szCs w:val="21"/>
          <w:highlight w:val="none"/>
        </w:rPr>
        <w:t>磋商文件</w:t>
      </w:r>
      <w:r>
        <w:rPr>
          <w:rFonts w:hint="eastAsia" w:asciiTheme="majorEastAsia" w:hAnsiTheme="majorEastAsia" w:eastAsiaTheme="majorEastAsia"/>
          <w:bCs/>
          <w:color w:val="auto"/>
          <w:sz w:val="21"/>
          <w:szCs w:val="21"/>
          <w:highlight w:val="none"/>
        </w:rPr>
        <w:t>确定成交</w:t>
      </w:r>
      <w:r>
        <w:rPr>
          <w:rFonts w:asciiTheme="majorEastAsia" w:hAnsiTheme="majorEastAsia" w:eastAsiaTheme="majorEastAsia"/>
          <w:bCs/>
          <w:color w:val="auto"/>
          <w:sz w:val="21"/>
          <w:szCs w:val="21"/>
          <w:highlight w:val="none"/>
        </w:rPr>
        <w:t>“*”的技术条款发生实质性偏离的；</w:t>
      </w:r>
    </w:p>
    <w:p w14:paraId="1F90FAB7">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（3）技术方案不明确，存在一个或一个以上备选（替代）方案的；</w:t>
      </w:r>
    </w:p>
    <w:p w14:paraId="058FCC35">
      <w:pPr>
        <w:pStyle w:val="2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5</w:t>
      </w:r>
      <w:r>
        <w:rPr>
          <w:rFonts w:asciiTheme="majorEastAsia" w:hAnsiTheme="majorEastAsia" w:eastAsiaTheme="majorEastAsia"/>
          <w:b/>
          <w:bCs/>
          <w:color w:val="auto"/>
          <w:sz w:val="21"/>
          <w:szCs w:val="21"/>
          <w:highlight w:val="none"/>
        </w:rPr>
        <w:t>.在报价评审时，如发现下列情形之一的，响应文件将被视为无效：</w:t>
      </w:r>
    </w:p>
    <w:p w14:paraId="41AAC3BF">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（1）未采用响应文件要求的报价形式报价的，或报价超过采购预算/最高限价的；</w:t>
      </w:r>
    </w:p>
    <w:p w14:paraId="797990F5">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（2）报价具有选择性；</w:t>
      </w:r>
    </w:p>
    <w:p w14:paraId="4063007F">
      <w:pPr>
        <w:pStyle w:val="20"/>
        <w:spacing w:line="360" w:lineRule="auto"/>
        <w:ind w:firstLine="395" w:firstLineChars="196"/>
        <w:contextualSpacing/>
        <w:rPr>
          <w:rFonts w:asciiTheme="majorEastAsia" w:hAnsiTheme="majorEastAsia" w:eastAsiaTheme="majorEastAsia"/>
          <w:b/>
          <w:bCs/>
          <w:color w:val="auto"/>
          <w:sz w:val="21"/>
          <w:szCs w:val="21"/>
          <w:highlight w:val="none"/>
        </w:rPr>
      </w:pPr>
      <w:r>
        <w:rPr>
          <w:rFonts w:asciiTheme="majorEastAsia" w:hAnsiTheme="majorEastAsia" w:eastAsiaTheme="majorEastAsia"/>
          <w:bCs/>
          <w:color w:val="auto"/>
          <w:sz w:val="21"/>
          <w:szCs w:val="21"/>
          <w:highlight w:val="none"/>
        </w:rPr>
        <w:t>（3）</w:t>
      </w:r>
      <w:r>
        <w:rPr>
          <w:rFonts w:asciiTheme="majorEastAsia" w:hAnsiTheme="majorEastAsia" w:eastAsiaTheme="majorEastAsia"/>
          <w:color w:val="auto"/>
          <w:sz w:val="21"/>
          <w:szCs w:val="21"/>
          <w:highlight w:val="none"/>
        </w:rPr>
        <w:t>磋商小组认为供应商的报价明显低于其他通过符合性审查供应商的报价，有可能影响产品质量或者不能诚信履约的，</w:t>
      </w:r>
      <w:r>
        <w:rPr>
          <w:rFonts w:hint="eastAsia" w:asciiTheme="majorEastAsia" w:hAnsiTheme="majorEastAsia" w:eastAsiaTheme="majorEastAsia"/>
          <w:bCs/>
          <w:color w:val="auto"/>
          <w:sz w:val="21"/>
          <w:szCs w:val="21"/>
          <w:highlight w:val="none"/>
        </w:rPr>
        <w:t>可要求其在评审现场合理的时间内提供书面说明，必要时提交相关证明材料；供应商不能证明其报价合理性的，磋商小组应当将其作为无效响应处理</w:t>
      </w:r>
      <w:r>
        <w:rPr>
          <w:rFonts w:asciiTheme="majorEastAsia" w:hAnsiTheme="majorEastAsia" w:eastAsiaTheme="majorEastAsia"/>
          <w:color w:val="auto"/>
          <w:sz w:val="21"/>
          <w:szCs w:val="21"/>
          <w:highlight w:val="none"/>
        </w:rPr>
        <w:t>。</w:t>
      </w:r>
    </w:p>
    <w:p w14:paraId="7898A37A">
      <w:pPr>
        <w:pStyle w:val="2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6</w:t>
      </w:r>
      <w:r>
        <w:rPr>
          <w:rFonts w:asciiTheme="majorEastAsia" w:hAnsiTheme="majorEastAsia" w:eastAsiaTheme="majorEastAsia"/>
          <w:b/>
          <w:bCs/>
          <w:color w:val="auto"/>
          <w:sz w:val="21"/>
          <w:szCs w:val="21"/>
          <w:highlight w:val="none"/>
        </w:rPr>
        <w:t>.被拒绝的响应文件为无效。</w:t>
      </w:r>
    </w:p>
    <w:p w14:paraId="4967EB42">
      <w:pPr>
        <w:pStyle w:val="14"/>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p>
    <w:p w14:paraId="12A8ADF8">
      <w:pPr>
        <w:pStyle w:val="14"/>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四、磋商程序</w:t>
      </w:r>
    </w:p>
    <w:p w14:paraId="635F1E9A">
      <w:pPr>
        <w:pStyle w:val="26"/>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（一）磋商准备</w:t>
      </w:r>
    </w:p>
    <w:p w14:paraId="7B22689C">
      <w:pPr>
        <w:pStyle w:val="26"/>
        <w:spacing w:beforeLines="0" w:afterLines="0" w:line="360" w:lineRule="auto"/>
        <w:ind w:firstLine="420" w:firstLineChars="200"/>
        <w:contextualSpacing/>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采购代理机构将在规定的时间和地点进行磋商，供应商的法定代表人（负责人）或其授权代表应参加磋商并签到。供应商的法定代表人（负责人）或其授权代表未按时签到的，视同放弃磋商权利、认可磋商结果。</w:t>
      </w:r>
    </w:p>
    <w:p w14:paraId="687BE492">
      <w:pPr>
        <w:pStyle w:val="26"/>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（二）磋商程序：</w:t>
      </w:r>
    </w:p>
    <w:p w14:paraId="70D4266F">
      <w:pPr>
        <w:spacing w:line="360" w:lineRule="auto"/>
        <w:ind w:firstLine="420" w:firstLineChars="200"/>
        <w:contextualSpacing/>
        <w:jc w:val="lef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1、电子招投标开标程序：</w:t>
      </w:r>
    </w:p>
    <w:p w14:paraId="3EBD5B3B">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响应文件在线解密：</w:t>
      </w:r>
    </w:p>
    <w:p w14:paraId="76EEA0E0">
      <w:pPr>
        <w:numPr>
          <w:ilvl w:val="0"/>
          <w:numId w:val="4"/>
        </w:numPr>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首次递交响应文件截止时间后，供应商登录政府采购云平台，用“项目采购-开标评标”功能对电子响应文件进行在线解密，在线解密电子响应文件时间为首次提交响应文件截止后30分钟内。</w:t>
      </w:r>
    </w:p>
    <w:p w14:paraId="7799C8B4">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响应文件评审：</w:t>
      </w:r>
    </w:p>
    <w:p w14:paraId="0ECCADAE">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bCs/>
          <w:color w:val="auto"/>
          <w:kern w:val="0"/>
          <w:szCs w:val="21"/>
          <w:highlight w:val="none"/>
        </w:rPr>
        <w:t>（</w:t>
      </w:r>
      <w:r>
        <w:rPr>
          <w:rFonts w:hint="eastAsia" w:cs="宋体" w:asciiTheme="majorEastAsia" w:hAnsiTheme="majorEastAsia" w:eastAsiaTheme="majorEastAsia"/>
          <w:color w:val="auto"/>
          <w:szCs w:val="21"/>
          <w:highlight w:val="none"/>
        </w:rPr>
        <w:t>1）磋商小组查阅响应文件，不符合资格审查的供应商将被拒绝。</w:t>
      </w:r>
    </w:p>
    <w:p w14:paraId="4AAD6E7F">
      <w:pPr>
        <w:numPr>
          <w:ilvl w:val="0"/>
          <w:numId w:val="4"/>
        </w:numPr>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如磋商小组对响应文件有疑义，将向响应供应商在线发送询标函，供应商应在规定的时间内对在线询标函做出询标澄清。逾期澄清或未澄清的供应商视同认可磋商结果。</w:t>
      </w:r>
    </w:p>
    <w:p w14:paraId="0471142E">
      <w:pPr>
        <w:numPr>
          <w:ilvl w:val="0"/>
          <w:numId w:val="4"/>
        </w:numPr>
        <w:adjustRightInd w:val="0"/>
        <w:spacing w:line="360" w:lineRule="auto"/>
        <w:ind w:firstLine="422"/>
        <w:contextualSpacing/>
        <w:jc w:val="left"/>
        <w:textAlignment w:val="baseline"/>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在磋商过程中，磋商小组可以根据磋商文件和磋商情况实质性变动采购需求中的技术、服务要求以及合同草案条款；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负责人）或授权代表签字或加盖公章。递交的响应文件（或补充文件）具有相应的法律效力；磋商结束后，磋商小组要求所有实质性响应的供应商在规定时间内在线提交最终报价。最终报价是供应商响应文件的有效组成部分。</w:t>
      </w:r>
    </w:p>
    <w:p w14:paraId="7FC41835">
      <w:pPr>
        <w:numPr>
          <w:ilvl w:val="0"/>
          <w:numId w:val="4"/>
        </w:numPr>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经磋商确定最终采购需求和提交最终报价的供应商后，由磋商小组采用综合评分法对提交最终报价的供应商的响应文件和最终报价进行综合评分。</w:t>
      </w:r>
    </w:p>
    <w:p w14:paraId="5AFFF40C">
      <w:pPr>
        <w:numPr>
          <w:ilvl w:val="0"/>
          <w:numId w:val="4"/>
        </w:numPr>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磋商小组根据综合评分情况，按照评审得分由高到低顺序推荐3名及以上成交候选供应商，并编写评审报告。若评审得分相同，则报价低者排名在前；评审得分且最终报价相同的则由抽签决定成交候选人，先抽中者排名在前。</w:t>
      </w:r>
    </w:p>
    <w:p w14:paraId="4C3ED63E">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（6）在</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公布评审结果。</w:t>
      </w:r>
    </w:p>
    <w:p w14:paraId="2AB3CE96">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（7）磋商会议结束。</w:t>
      </w:r>
    </w:p>
    <w:p w14:paraId="2816F73D">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（8）采购人从评审报告提出的成交候选供应商中，按照得分排序由高到低的原则确定排名第一的成交候选供应商为成交供应商。采购代理机构在采购公告发布网站上公布成交结果。</w:t>
      </w:r>
    </w:p>
    <w:p w14:paraId="44C6D0CA">
      <w:pPr>
        <w:numPr>
          <w:ilvl w:val="0"/>
          <w:numId w:val="5"/>
        </w:numPr>
        <w:adjustRightInd w:val="0"/>
        <w:spacing w:line="360" w:lineRule="auto"/>
        <w:ind w:firstLine="420" w:firstLineChars="20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线下开标程序：</w:t>
      </w:r>
    </w:p>
    <w:p w14:paraId="7EE59638">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响应文件开启：</w:t>
      </w:r>
    </w:p>
    <w:p w14:paraId="0E664A86">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（1）磋商会议由采购代理机构主持，主持人宣布磋商会议开始；</w:t>
      </w:r>
    </w:p>
    <w:p w14:paraId="267A715E">
      <w:pPr>
        <w:spacing w:line="360" w:lineRule="auto"/>
        <w:ind w:firstLine="420" w:firstLineChars="200"/>
        <w:contextualSpacing/>
        <w:jc w:val="left"/>
        <w:rPr>
          <w:rFonts w:cs="宋体" w:asciiTheme="majorEastAsia" w:hAnsiTheme="majorEastAsia" w:eastAsiaTheme="majorEastAsia"/>
          <w:color w:val="auto"/>
          <w:szCs w:val="21"/>
          <w:highlight w:val="none"/>
        </w:rPr>
      </w:pPr>
      <w:bookmarkStart w:id="21" w:name="_Toc396115156"/>
      <w:r>
        <w:rPr>
          <w:rFonts w:hint="eastAsia" w:cs="宋体" w:asciiTheme="majorEastAsia" w:hAnsiTheme="majorEastAsia" w:eastAsiaTheme="majorEastAsia"/>
          <w:color w:val="auto"/>
          <w:szCs w:val="21"/>
          <w:highlight w:val="none"/>
        </w:rPr>
        <w:t>（2）主持人宣布评标期间的有关事项，告知应当回避的情形,提请有关人员回避；</w:t>
      </w:r>
      <w:bookmarkEnd w:id="21"/>
    </w:p>
    <w:p w14:paraId="2C33CD19">
      <w:pPr>
        <w:spacing w:line="360" w:lineRule="auto"/>
        <w:ind w:firstLine="420" w:firstLineChars="200"/>
        <w:contextualSpacing/>
        <w:jc w:val="left"/>
        <w:rPr>
          <w:rFonts w:cs="宋体" w:asciiTheme="majorEastAsia" w:hAnsiTheme="majorEastAsia" w:eastAsiaTheme="majorEastAsia"/>
          <w:color w:val="auto"/>
          <w:szCs w:val="21"/>
          <w:highlight w:val="none"/>
        </w:rPr>
      </w:pPr>
      <w:bookmarkStart w:id="22" w:name="_Toc396115157"/>
      <w:r>
        <w:rPr>
          <w:rFonts w:hint="eastAsia" w:cs="宋体" w:asciiTheme="majorEastAsia" w:hAnsiTheme="majorEastAsia" w:eastAsiaTheme="majorEastAsia"/>
          <w:color w:val="auto"/>
          <w:szCs w:val="21"/>
          <w:highlight w:val="none"/>
        </w:rPr>
        <w:t>（4）</w:t>
      </w:r>
      <w:bookmarkEnd w:id="22"/>
      <w:bookmarkStart w:id="23" w:name="_Toc396115158"/>
      <w:r>
        <w:rPr>
          <w:rFonts w:hint="eastAsia" w:cs="宋体" w:asciiTheme="majorEastAsia" w:hAnsiTheme="majorEastAsia" w:eastAsiaTheme="majorEastAsia"/>
          <w:color w:val="auto"/>
          <w:szCs w:val="21"/>
          <w:highlight w:val="none"/>
        </w:rPr>
        <w:t>由供应商或其当场推荐的代表检查磋商文件密封的完整性；</w:t>
      </w:r>
    </w:p>
    <w:bookmarkEnd w:id="23"/>
    <w:p w14:paraId="7E81F7B8">
      <w:pPr>
        <w:spacing w:line="360" w:lineRule="auto"/>
        <w:ind w:firstLine="420" w:firstLineChars="200"/>
        <w:contextualSpacing/>
        <w:jc w:val="left"/>
        <w:rPr>
          <w:rFonts w:cs="宋体" w:asciiTheme="majorEastAsia" w:hAnsiTheme="majorEastAsia" w:eastAsiaTheme="majorEastAsia"/>
          <w:color w:val="auto"/>
          <w:szCs w:val="21"/>
          <w:highlight w:val="none"/>
        </w:rPr>
      </w:pPr>
      <w:bookmarkStart w:id="24" w:name="_Toc396115159"/>
      <w:r>
        <w:rPr>
          <w:rFonts w:hint="eastAsia" w:cs="宋体" w:asciiTheme="majorEastAsia" w:hAnsiTheme="majorEastAsia" w:eastAsiaTheme="majorEastAsia"/>
          <w:color w:val="auto"/>
          <w:szCs w:val="21"/>
          <w:highlight w:val="none"/>
        </w:rPr>
        <w:t>响应文件评审：</w:t>
      </w:r>
    </w:p>
    <w:bookmarkEnd w:id="24"/>
    <w:p w14:paraId="7990F748">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（1）磋商小组查阅响应文件，不符合资格审查的供应商将被拒绝。</w:t>
      </w:r>
    </w:p>
    <w:p w14:paraId="7439D9CA">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（2）磋商小组依照顺序与进入磋商的单一供应商分别进行磋商。</w:t>
      </w:r>
    </w:p>
    <w:p w14:paraId="62083059">
      <w:pPr>
        <w:spacing w:line="360" w:lineRule="auto"/>
        <w:ind w:firstLine="422"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3）在磋商过程中，磋商小组可以根据磋商文件和磋商情况实质性变动采购需求中的技术、服务要求以及合同草案条款；对磋商文件作出的实质性变动是磋商文件的有效组成部分，磋商小组将通过书面形式同时通知所有参加磋商的供应商。供应商按照磋商文件的变动情况和磋商小组的要求在规定时间内重新提交响应文件（或补充文件），并由其法定代表人（负责人）或授权代表签字或加盖公章。重新递交的响应文件（或补充文件）具有相应的法律效力；磋商结束后，磋商小组要求所有实质性响应的供应商在规定时间内提交最终报价。最终报价是供应商响应文件的有效组成部分。</w:t>
      </w:r>
    </w:p>
    <w:p w14:paraId="2033C623">
      <w:pPr>
        <w:spacing w:line="360" w:lineRule="auto"/>
        <w:ind w:firstLine="422"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注：如供应商未到现场，则磋商小组将通过邮件形式进行通知。如供应商未按照磋商文件的变动情况和磋商小组的要求在规定时间内重新提交响应文件（或补充文件）且未在规定时间内提交最终报价的；视同认可磋商文件的变动情况且响应文件中的报价作为最终报价。请未到场的供应商务必保持联络畅通。</w:t>
      </w:r>
    </w:p>
    <w:p w14:paraId="71453C3E">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（4）经磋商确定最终采购需求和提交最终报价的供应商后，由磋商小组采用综合评分法对提交最终报价的供应商的响应文件和最终报价进行综合评分；</w:t>
      </w:r>
    </w:p>
    <w:p w14:paraId="18820A41">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5）磋商小组根据综合评分情况，按照评审得分由高到低顺序推荐3名及以上成交候选供应商，并编写评审报告。若评审得分相同，则报价低者为成交候选人；评审得分且最终报价相同的则由抽签决定成交候选人。</w:t>
      </w:r>
    </w:p>
    <w:p w14:paraId="5ED2AF1E">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（6）在</w:t>
      </w:r>
      <w:r>
        <w:rPr>
          <w:rFonts w:hint="eastAsia" w:cs="宋体" w:asciiTheme="majorEastAsia" w:hAnsiTheme="majorEastAsia" w:eastAsiaTheme="majorEastAsia"/>
          <w:color w:val="auto"/>
          <w:kern w:val="0"/>
          <w:szCs w:val="21"/>
          <w:highlight w:val="none"/>
        </w:rPr>
        <w:t>开标室</w:t>
      </w:r>
      <w:r>
        <w:rPr>
          <w:rFonts w:hint="eastAsia" w:cs="宋体" w:asciiTheme="majorEastAsia" w:hAnsiTheme="majorEastAsia" w:eastAsiaTheme="majorEastAsia"/>
          <w:color w:val="auto"/>
          <w:szCs w:val="21"/>
          <w:highlight w:val="none"/>
        </w:rPr>
        <w:t>公布评审结果。</w:t>
      </w:r>
    </w:p>
    <w:p w14:paraId="4E9A41D1">
      <w:pPr>
        <w:spacing w:line="360" w:lineRule="auto"/>
        <w:ind w:firstLine="420"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szCs w:val="21"/>
          <w:highlight w:val="none"/>
        </w:rPr>
        <w:t>（7）磋商会议结束。</w:t>
      </w:r>
    </w:p>
    <w:p w14:paraId="72450F7E">
      <w:pPr>
        <w:spacing w:line="360" w:lineRule="auto"/>
        <w:ind w:firstLine="422"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（8）采购人从评审报告提出的成交候选供应商中，按照得分排序由高到低的原则确定排名第一的成交候选供应商为成交供应商。采购代理机构在采购公告发布网站公布成交结果。</w:t>
      </w:r>
    </w:p>
    <w:p w14:paraId="2B0BBF89">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3、特别说明：</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如对电子化开标及评审程序有调整的，按调整后的程序操作。</w:t>
      </w:r>
    </w:p>
    <w:p w14:paraId="35074D7C">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本项目原则上采用政采云</w:t>
      </w:r>
      <w:r>
        <w:rPr>
          <w:rFonts w:hint="eastAsia" w:cs="宋体" w:asciiTheme="majorEastAsia" w:hAnsiTheme="majorEastAsia" w:eastAsiaTheme="majorEastAsia"/>
          <w:bCs/>
          <w:color w:val="auto"/>
          <w:szCs w:val="21"/>
          <w:highlight w:val="none"/>
        </w:rPr>
        <w:t>电子招投标开标程序</w:t>
      </w:r>
      <w:r>
        <w:rPr>
          <w:rFonts w:hint="eastAsia" w:cs="宋体" w:asciiTheme="majorEastAsia" w:hAnsiTheme="majorEastAsia" w:eastAsiaTheme="majorEastAsia"/>
          <w:color w:val="auto"/>
          <w:szCs w:val="21"/>
          <w:highlight w:val="none"/>
        </w:rPr>
        <w:t>，但有下情形之一的，按以下情况处理：</w:t>
      </w:r>
    </w:p>
    <w:p w14:paraId="40429020">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（1）若供应商在规定时间内无法解密或解密失败，代理机构将开启解密失败供应商递交的</w:t>
      </w:r>
      <w:r>
        <w:rPr>
          <w:rFonts w:hint="eastAsia" w:cs="宋体" w:asciiTheme="majorEastAsia" w:hAnsiTheme="majorEastAsia" w:eastAsiaTheme="majorEastAsia"/>
          <w:color w:val="auto"/>
          <w:kern w:val="0"/>
          <w:szCs w:val="21"/>
          <w:highlight w:val="none"/>
        </w:rPr>
        <w:t>以U盘存储的电子备份响应文件</w:t>
      </w:r>
      <w:r>
        <w:rPr>
          <w:rFonts w:hint="eastAsia" w:cs="宋体" w:asciiTheme="majorEastAsia" w:hAnsiTheme="majorEastAsia" w:eastAsiaTheme="majorEastAsia"/>
          <w:color w:val="auto"/>
          <w:szCs w:val="21"/>
          <w:highlight w:val="none"/>
        </w:rPr>
        <w:t>，上传至政采云平台项目采购模块，电子响应文件自动失效。</w:t>
      </w:r>
    </w:p>
    <w:p w14:paraId="0B432344">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（2）若因</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原因无法读取或电子开评标无法正常进行，代理机构将开启所有供应商递交的备份响应文件，以完成开标。</w:t>
      </w:r>
    </w:p>
    <w:p w14:paraId="11277B71">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（3）采购过程中出现以下情形，导致电子交易平台无法正常运行，或者无法保证电子交易的公平、公正和安全时，采购人（或代理机构）可中止电子交易活动：</w:t>
      </w:r>
    </w:p>
    <w:p w14:paraId="15B6C2B4">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3.1电子交易平台发生故障而无法登录访问的； </w:t>
      </w:r>
    </w:p>
    <w:p w14:paraId="2516DDCF">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3.2电子交易平台应用或数据库出现错误，不能进行正常操作的；</w:t>
      </w:r>
    </w:p>
    <w:p w14:paraId="3AB434ED">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3.3电子交易平台发现严重安全漏洞，有潜在泄密危险的；</w:t>
      </w:r>
    </w:p>
    <w:p w14:paraId="1893D4CC">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3.4病毒发作导致不能进行正常操作的； </w:t>
      </w:r>
    </w:p>
    <w:p w14:paraId="63FC9223">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3.5其他无法保证电子交易的公平、公正和安全的情况。</w:t>
      </w:r>
    </w:p>
    <w:p w14:paraId="7F95DE49">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出现前款规定情形，不影响采购公平、公正性的，采购人（或代理机构）可以待上述情形消除后继续组织电子交易活动，也可以决定某些环节以纸质形式进行。</w:t>
      </w:r>
    </w:p>
    <w:p w14:paraId="33463C1D">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（4）未开启的备份响应文件现场予以退还。</w:t>
      </w:r>
    </w:p>
    <w:p w14:paraId="2ACFC8BC">
      <w:pPr>
        <w:pStyle w:val="14"/>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五、评审</w:t>
      </w:r>
    </w:p>
    <w:p w14:paraId="25AEAEE2">
      <w:pPr>
        <w:pStyle w:val="26"/>
        <w:spacing w:beforeLines="0" w:afterLines="0" w:line="360" w:lineRule="auto"/>
        <w:ind w:left="690" w:leftChars="228" w:hanging="211" w:hangingChars="100"/>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（一）组建磋商小组</w:t>
      </w:r>
    </w:p>
    <w:p w14:paraId="207EFCB7">
      <w:pPr>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本项目磋商小组依法组建。</w:t>
      </w:r>
    </w:p>
    <w:p w14:paraId="52CCFFAF">
      <w:pPr>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评审中因磋商小组成员缺席、回避或健康等特殊原因导致磋商小组组成不符合规定的，采购人或者采购代理机构应当依法补足后继续评审。被更换的磋商小组成员所作出的评审意见无效。</w:t>
      </w:r>
    </w:p>
    <w:p w14:paraId="1346A058">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无法及时补足磋商小组成员的，采购人或者采购代理机构停止评审活动，封存所有响应文件和开标、评审资料，依法重新组建磋商小组进行评审。原磋商小组作出的评审意见无效。</w:t>
      </w:r>
    </w:p>
    <w:p w14:paraId="45528F38">
      <w:pPr>
        <w:pStyle w:val="26"/>
        <w:spacing w:beforeLines="0" w:afterLines="0" w:line="360" w:lineRule="auto"/>
        <w:ind w:left="690" w:leftChars="228" w:hanging="211" w:hangingChars="100"/>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（二）评审的方式</w:t>
      </w:r>
    </w:p>
    <w:p w14:paraId="45CE99DA">
      <w:pPr>
        <w:pStyle w:val="26"/>
        <w:spacing w:beforeLines="0" w:afterLines="0" w:line="360" w:lineRule="auto"/>
        <w:ind w:left="689" w:leftChars="228" w:hanging="210" w:hangingChars="1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本项目采用不公开方式评审，评审的依据为磋商文件和响应文件。</w:t>
      </w:r>
    </w:p>
    <w:p w14:paraId="69CC6104">
      <w:pPr>
        <w:pStyle w:val="26"/>
        <w:spacing w:beforeLines="0" w:afterLines="0" w:line="360" w:lineRule="auto"/>
        <w:ind w:left="690" w:leftChars="228" w:hanging="211" w:hangingChars="100"/>
        <w:contextualSpacing/>
        <w:rPr>
          <w:rFonts w:asciiTheme="majorEastAsia" w:hAnsiTheme="majorEastAsia" w:eastAsiaTheme="majorEastAsia"/>
          <w:b/>
          <w:bCs/>
          <w:color w:val="auto"/>
          <w:highlight w:val="none"/>
        </w:rPr>
      </w:pPr>
      <w:r>
        <w:rPr>
          <w:rFonts w:asciiTheme="majorEastAsia" w:hAnsiTheme="majorEastAsia" w:eastAsiaTheme="majorEastAsia"/>
          <w:b/>
          <w:color w:val="auto"/>
          <w:highlight w:val="none"/>
        </w:rPr>
        <w:t>（三）</w:t>
      </w:r>
      <w:r>
        <w:rPr>
          <w:rFonts w:asciiTheme="majorEastAsia" w:hAnsiTheme="majorEastAsia" w:eastAsiaTheme="majorEastAsia"/>
          <w:b/>
          <w:bCs/>
          <w:color w:val="auto"/>
          <w:highlight w:val="none"/>
        </w:rPr>
        <w:t>评审程序</w:t>
      </w:r>
    </w:p>
    <w:p w14:paraId="7886B9FC">
      <w:pPr>
        <w:pStyle w:val="29"/>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1.资格审查</w:t>
      </w:r>
    </w:p>
    <w:p w14:paraId="0C3F5C5A">
      <w:pPr>
        <w:pStyle w:val="29"/>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hint="eastAsia" w:asciiTheme="majorEastAsia" w:hAnsiTheme="majorEastAsia" w:eastAsiaTheme="majorEastAsia"/>
          <w:b w:val="0"/>
          <w:bCs w:val="0"/>
          <w:color w:val="auto"/>
          <w:sz w:val="21"/>
          <w:szCs w:val="21"/>
          <w:highlight w:val="none"/>
        </w:rPr>
        <w:t>磋商小组</w:t>
      </w:r>
      <w:r>
        <w:rPr>
          <w:rFonts w:asciiTheme="majorEastAsia" w:hAnsiTheme="majorEastAsia" w:eastAsiaTheme="majorEastAsia"/>
          <w:b w:val="0"/>
          <w:bCs w:val="0"/>
          <w:color w:val="auto"/>
          <w:sz w:val="21"/>
          <w:szCs w:val="21"/>
          <w:highlight w:val="none"/>
        </w:rPr>
        <w:t>对供应商的资格进行审查。依据法律法规和磋商文件的规定，对响应文件中的资格证明进行审查，以确定供应商是否具备磋商资格。</w:t>
      </w:r>
    </w:p>
    <w:p w14:paraId="136A4858">
      <w:pPr>
        <w:pStyle w:val="29"/>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2.符合性审查</w:t>
      </w:r>
    </w:p>
    <w:p w14:paraId="7657DD6C">
      <w:pPr>
        <w:spacing w:line="360" w:lineRule="auto"/>
        <w:ind w:firstLine="420" w:firstLineChars="200"/>
        <w:contextualSpacing/>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磋商小组</w:t>
      </w:r>
      <w:r>
        <w:rPr>
          <w:rFonts w:asciiTheme="majorEastAsia" w:hAnsiTheme="majorEastAsia" w:eastAsiaTheme="majorEastAsia"/>
          <w:color w:val="auto"/>
          <w:szCs w:val="21"/>
          <w:highlight w:val="none"/>
        </w:rPr>
        <w:t>依据磋商文件的规定，从供应商响应文件的有效性、完整性和对磋商文件的响应程度进行审查，以确定是否对磋商文件的实质性要求作出响应。</w:t>
      </w:r>
    </w:p>
    <w:p w14:paraId="717C542A">
      <w:pPr>
        <w:pStyle w:val="29"/>
        <w:numPr>
          <w:ilvl w:val="0"/>
          <w:numId w:val="6"/>
        </w:numPr>
        <w:snapToGrid/>
        <w:spacing w:line="360" w:lineRule="auto"/>
        <w:ind w:firstLine="473"/>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澄清问题</w:t>
      </w:r>
    </w:p>
    <w:p w14:paraId="3927A065">
      <w:pPr>
        <w:pStyle w:val="29"/>
        <w:snapToGrid/>
        <w:spacing w:line="360" w:lineRule="auto"/>
        <w:ind w:firstLine="420" w:firstLineChars="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对于响应文件中含义不明确、同类问题表述不一致或者有明显文字和计算错误的内容，磋商小组可要求供应商以书面形式作出必要的澄清、说明或者补正。</w:t>
      </w:r>
    </w:p>
    <w:p w14:paraId="6F318B1A">
      <w:pPr>
        <w:pStyle w:val="29"/>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供应商的澄清、说明或者补正应当采用书面形式，并加盖公章，或者由法定代表人（负责人）或其授权代表签字确认，供应商的澄清、说明或者补正不得超出响应文件的范围或者改变响应文件的实质性内容。</w:t>
      </w:r>
    </w:p>
    <w:p w14:paraId="13A18D0C">
      <w:pPr>
        <w:pStyle w:val="29"/>
        <w:snapToGrid/>
        <w:spacing w:line="360" w:lineRule="auto"/>
        <w:ind w:firstLine="473"/>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4.详细评审</w:t>
      </w:r>
    </w:p>
    <w:p w14:paraId="3E83815E">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磋商小组对初步评审合格的响应文件，依照本办法对响应文件作进一步评审、比较。磋商小组成员经过阅标、审标、询标和磋商，</w:t>
      </w:r>
      <w:r>
        <w:rPr>
          <w:rFonts w:asciiTheme="majorEastAsia" w:hAnsiTheme="majorEastAsia" w:eastAsiaTheme="majorEastAsia"/>
          <w:bCs/>
          <w:color w:val="auto"/>
          <w:szCs w:val="21"/>
          <w:highlight w:val="none"/>
        </w:rPr>
        <w:t>经磋商确定最终采购需求和提交最后报价的供应商后，由磋商小组采用综合评分法对提交最后报价的供应商的响应文件和最后报价进行综合评分</w:t>
      </w:r>
      <w:r>
        <w:rPr>
          <w:rFonts w:asciiTheme="majorEastAsia" w:hAnsiTheme="majorEastAsia" w:eastAsiaTheme="majorEastAsia"/>
          <w:color w:val="auto"/>
          <w:szCs w:val="21"/>
          <w:highlight w:val="none"/>
        </w:rPr>
        <w:t>。</w:t>
      </w:r>
    </w:p>
    <w:p w14:paraId="3B253D6A">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评委打分参照本章 五、评分标准。资信技术分由各磋商小组成员打分，根据供应商的响应文件及相关澄清文件，进行独立打分。价格分由磋商小组统一核算。评委打分采用记名方式，取所有评委汇总得分的算术平均分（小数点后保留二位小数）。</w:t>
      </w:r>
    </w:p>
    <w:p w14:paraId="2D0272E9">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注：1）磋商小组对拟认定为响应文件无效的，应组织相关供应商代表进行陈述、澄清或申辩；</w:t>
      </w:r>
    </w:p>
    <w:p w14:paraId="66D84E89">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代理机构可协助磋商小组主任评委对打分结果进行校对、核对并汇总统计；对明显畸高、畸低的评分（其总评分偏离平均分30%以上的），磋商小组组长应提醒相关磋商小组成员进行复核或书面说明理由，磋商小组成员拒绝说明的，由现场监督员据实记录；磋商小组成员的评审、修改记录应保留原件，随项目其他资料一并存档；</w:t>
      </w:r>
    </w:p>
    <w:p w14:paraId="0B42A883">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3）在报价文件的评审过程中，磋商小组认为供应商的最终报价明显低于其他通过符合性审查供应商的最终报价，有可能影响产品质量或者不能诚信履约的，应当要求其在评审现场合理的时间内提供书面说明，必要时提交相关证明材料；供应商不能证明其报价合理性的，磋商小组应当将其作为无效响应处理。</w:t>
      </w:r>
    </w:p>
    <w:p w14:paraId="6764F228">
      <w:pPr>
        <w:spacing w:line="360" w:lineRule="auto"/>
        <w:ind w:firstLine="422" w:firstLineChars="200"/>
        <w:contextualSpacing/>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（四）澄清问题的形式</w:t>
      </w:r>
    </w:p>
    <w:p w14:paraId="13FD30B0">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对响应文件中含义不明确、同类问题表述不一致或者有明显文字和计算错误的内容，磋商小组可要求供应商作出必要的澄清、说明或者纠正。供应商的澄清、说明或者补正应当采用书面形式，由其授权代表签字或盖章确认，并不得超出响应文件的范围或者改变响应文件的实质性内容。</w:t>
      </w:r>
    </w:p>
    <w:p w14:paraId="03A78260">
      <w:pPr>
        <w:spacing w:line="360" w:lineRule="auto"/>
        <w:ind w:left="237" w:leftChars="113" w:firstLine="103" w:firstLineChars="49"/>
        <w:contextualSpacing/>
        <w:rPr>
          <w:rFonts w:asciiTheme="majorEastAsia" w:hAnsiTheme="majorEastAsia" w:eastAsiaTheme="majorEastAsia"/>
          <w:b/>
          <w:color w:val="auto"/>
          <w:szCs w:val="28"/>
          <w:highlight w:val="none"/>
        </w:rPr>
      </w:pPr>
      <w:bookmarkStart w:id="25" w:name="_Toc523820930"/>
      <w:bookmarkStart w:id="26" w:name="_Toc523820791"/>
      <w:bookmarkStart w:id="27" w:name="_Toc354495806"/>
      <w:bookmarkStart w:id="28" w:name="_Toc5857"/>
      <w:bookmarkStart w:id="29" w:name="_Toc354490630"/>
      <w:bookmarkStart w:id="30" w:name="_Toc523820682"/>
      <w:bookmarkStart w:id="31" w:name="_Toc317685588"/>
      <w:r>
        <w:rPr>
          <w:rFonts w:asciiTheme="majorEastAsia" w:hAnsiTheme="majorEastAsia" w:eastAsiaTheme="majorEastAsia"/>
          <w:b/>
          <w:color w:val="auto"/>
          <w:szCs w:val="28"/>
          <w:highlight w:val="none"/>
        </w:rPr>
        <w:t>（五）错误修正</w:t>
      </w:r>
      <w:bookmarkEnd w:id="25"/>
      <w:bookmarkEnd w:id="26"/>
      <w:bookmarkEnd w:id="27"/>
      <w:bookmarkEnd w:id="28"/>
      <w:bookmarkEnd w:id="29"/>
      <w:bookmarkEnd w:id="30"/>
      <w:bookmarkEnd w:id="31"/>
    </w:p>
    <w:p w14:paraId="4F3B2BD2">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响应文件如果出现计算或表达上的错误，修正错误的原则如下：</w:t>
      </w:r>
    </w:p>
    <w:p w14:paraId="0FF80411">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1、响应文件中报价一览表内容与响应文件中相应内容不一致的，以报价一览表为准；</w:t>
      </w:r>
    </w:p>
    <w:p w14:paraId="3D656A74">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2、大写金额和小写金额不一致的，以大写金额为准；</w:t>
      </w:r>
    </w:p>
    <w:p w14:paraId="70C07BCB">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3、单价金额小数点或者百分比有明显错位的，以开标一览表的总价为准，并修改单价；</w:t>
      </w:r>
    </w:p>
    <w:p w14:paraId="6E31634C">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4、总价金额与按单价汇总金额不一致的，以单价金额计算结果为准。</w:t>
      </w:r>
    </w:p>
    <w:p w14:paraId="2717DCD0">
      <w:pPr>
        <w:pStyle w:val="26"/>
        <w:spacing w:beforeLines="0" w:afterLines="0" w:line="360" w:lineRule="auto"/>
        <w:ind w:firstLine="420" w:firstLineChars="200"/>
        <w:contextualSpacing/>
        <w:rPr>
          <w:rFonts w:asciiTheme="majorEastAsia" w:hAnsiTheme="majorEastAsia" w:eastAsiaTheme="majorEastAsia"/>
          <w:b/>
          <w:bCs/>
          <w:color w:val="auto"/>
          <w:highlight w:val="none"/>
        </w:rPr>
      </w:pPr>
      <w:r>
        <w:rPr>
          <w:rFonts w:asciiTheme="majorEastAsia" w:hAnsiTheme="majorEastAsia" w:eastAsiaTheme="majorEastAsia"/>
          <w:color w:val="auto"/>
          <w:highlight w:val="none"/>
        </w:rPr>
        <w:t>同时出现两种以上不一致的，按照前款规定的顺序修正。</w:t>
      </w:r>
      <w:r>
        <w:rPr>
          <w:rFonts w:asciiTheme="majorEastAsia" w:hAnsiTheme="majorEastAsia" w:eastAsiaTheme="majorEastAsia"/>
          <w:b/>
          <w:color w:val="auto"/>
          <w:highlight w:val="none"/>
        </w:rPr>
        <w:t>按上述修正错误的原</w:t>
      </w:r>
      <w:r>
        <w:rPr>
          <w:rFonts w:asciiTheme="majorEastAsia" w:hAnsiTheme="majorEastAsia" w:eastAsiaTheme="majorEastAsia"/>
          <w:b/>
          <w:bCs/>
          <w:color w:val="auto"/>
          <w:highlight w:val="none"/>
        </w:rPr>
        <w:t>则及方法调整或修正响应文件的报价，供应商同意并签字确认后，调整后的报价对供应商具有约束作用。如果供应商不接受修正后的报价，则其报价将作为无效报价处理。</w:t>
      </w:r>
    </w:p>
    <w:p w14:paraId="028EA2EE">
      <w:pPr>
        <w:pStyle w:val="26"/>
        <w:tabs>
          <w:tab w:val="left" w:pos="630"/>
        </w:tabs>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（六）评审原则和评审办法</w:t>
      </w:r>
    </w:p>
    <w:p w14:paraId="66EEB08B">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7362C11C">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2.评审办法。本项目评审办法是</w:t>
      </w:r>
      <w:r>
        <w:rPr>
          <w:rFonts w:asciiTheme="majorEastAsia" w:hAnsiTheme="majorEastAsia" w:eastAsiaTheme="majorEastAsia"/>
          <w:b/>
          <w:color w:val="auto"/>
          <w:highlight w:val="none"/>
          <w:u w:val="single"/>
        </w:rPr>
        <w:t xml:space="preserve"> 综合评分法</w:t>
      </w:r>
      <w:r>
        <w:rPr>
          <w:rFonts w:asciiTheme="majorEastAsia" w:hAnsiTheme="majorEastAsia" w:eastAsiaTheme="majorEastAsia"/>
          <w:color w:val="auto"/>
          <w:highlight w:val="none"/>
          <w:u w:val="single"/>
        </w:rPr>
        <w:t xml:space="preserve"> </w:t>
      </w:r>
      <w:r>
        <w:rPr>
          <w:rFonts w:asciiTheme="majorEastAsia" w:hAnsiTheme="majorEastAsia" w:eastAsiaTheme="majorEastAsia"/>
          <w:color w:val="auto"/>
          <w:highlight w:val="none"/>
        </w:rPr>
        <w:t>，具体评审内容及评分标准等详见《第四章：评审办法及评分标准》。</w:t>
      </w:r>
    </w:p>
    <w:p w14:paraId="7299D55A">
      <w:pPr>
        <w:pStyle w:val="26"/>
        <w:spacing w:beforeLines="0" w:afterLines="0" w:line="360" w:lineRule="auto"/>
        <w:contextualSpacing/>
        <w:rPr>
          <w:rFonts w:asciiTheme="majorEastAsia" w:hAnsiTheme="majorEastAsia" w:eastAsiaTheme="majorEastAsia"/>
          <w:b/>
          <w:color w:val="auto"/>
          <w:highlight w:val="none"/>
        </w:rPr>
      </w:pPr>
    </w:p>
    <w:p w14:paraId="3B7A1DB4">
      <w:pPr>
        <w:pStyle w:val="26"/>
        <w:spacing w:beforeLines="0" w:afterLines="0" w:line="360" w:lineRule="auto"/>
        <w:contextualSpacing/>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六</w:t>
      </w:r>
      <w:r>
        <w:rPr>
          <w:rFonts w:asciiTheme="majorEastAsia" w:hAnsiTheme="majorEastAsia" w:eastAsiaTheme="majorEastAsia"/>
          <w:b/>
          <w:color w:val="auto"/>
          <w:highlight w:val="none"/>
        </w:rPr>
        <w:t>、确定成交</w:t>
      </w:r>
    </w:p>
    <w:p w14:paraId="2C7B4270">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1.</w:t>
      </w:r>
      <w:r>
        <w:rPr>
          <w:rFonts w:hint="eastAsia" w:asciiTheme="majorEastAsia" w:hAnsiTheme="majorEastAsia" w:eastAsiaTheme="majorEastAsia"/>
          <w:bCs/>
          <w:color w:val="auto"/>
          <w:szCs w:val="21"/>
          <w:highlight w:val="none"/>
        </w:rPr>
        <w:t>本项目</w:t>
      </w:r>
      <w:r>
        <w:rPr>
          <w:rFonts w:asciiTheme="majorEastAsia" w:hAnsiTheme="majorEastAsia" w:eastAsiaTheme="majorEastAsia"/>
          <w:bCs/>
          <w:color w:val="auto"/>
          <w:szCs w:val="21"/>
          <w:highlight w:val="none"/>
        </w:rPr>
        <w:t>确定</w:t>
      </w:r>
      <w:r>
        <w:rPr>
          <w:rFonts w:hint="eastAsia" w:asciiTheme="majorEastAsia" w:hAnsiTheme="majorEastAsia" w:eastAsiaTheme="majorEastAsia"/>
          <w:bCs/>
          <w:color w:val="auto"/>
          <w:szCs w:val="21"/>
          <w:highlight w:val="none"/>
        </w:rPr>
        <w:t>1名</w:t>
      </w:r>
      <w:r>
        <w:rPr>
          <w:rFonts w:asciiTheme="majorEastAsia" w:hAnsiTheme="majorEastAsia" w:eastAsiaTheme="majorEastAsia"/>
          <w:bCs/>
          <w:color w:val="auto"/>
          <w:szCs w:val="21"/>
          <w:highlight w:val="none"/>
        </w:rPr>
        <w:t>成交供应商。本项目由磋商小组推荐成交候选人，采购人不得在磋商小组推荐的成交候选人以外确定成交候选人。</w:t>
      </w:r>
    </w:p>
    <w:p w14:paraId="20A2D4F0">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代理机构在评审结束后2个工作日内将评审报告交采购人确认，采购人在收到评审报告之日起5个工作日内在评审报告确定的成交候选人中按顺序确定成交供应商，采购人在收到评审报告之日起5个工作日内未按评审报告推荐的成交候选人排序确定成交供应商，又不能说明合法理由的，视同按评审报告推荐的顺序确定排名第一的成交候选人为成交供应商。</w:t>
      </w:r>
    </w:p>
    <w:p w14:paraId="4986EEF5">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3.代理机构自成交供应商确定之日起2个工作日内，在发布招标公告的网站上对成交结果进行公示，成交结果公告期限为1个工作日。</w:t>
      </w:r>
    </w:p>
    <w:p w14:paraId="625E7A77">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4.凡发现成交供应商有下列行为之一的，将移交政府采购监督管理部门依法处理：</w:t>
      </w:r>
    </w:p>
    <w:p w14:paraId="6645F42F">
      <w:pPr>
        <w:numPr>
          <w:ilvl w:val="0"/>
          <w:numId w:val="7"/>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提供虚假材料谋取成交的；</w:t>
      </w:r>
    </w:p>
    <w:p w14:paraId="05297FE4">
      <w:pPr>
        <w:numPr>
          <w:ilvl w:val="0"/>
          <w:numId w:val="7"/>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采取不正当手段诋毁、排挤其他供应商的；</w:t>
      </w:r>
    </w:p>
    <w:p w14:paraId="561DA977">
      <w:pPr>
        <w:numPr>
          <w:ilvl w:val="0"/>
          <w:numId w:val="7"/>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与采购人、其他供应商或者代理机构工作人员恶意串通的；</w:t>
      </w:r>
    </w:p>
    <w:p w14:paraId="6DDBF382">
      <w:pPr>
        <w:numPr>
          <w:ilvl w:val="0"/>
          <w:numId w:val="7"/>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向采购人或代理机构人员行贿或者提供其他不正当利益的；</w:t>
      </w:r>
    </w:p>
    <w:p w14:paraId="3E0B9052">
      <w:pPr>
        <w:numPr>
          <w:ilvl w:val="0"/>
          <w:numId w:val="7"/>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拒绝有关部门监督检查或者提供虚假情况的；</w:t>
      </w:r>
    </w:p>
    <w:p w14:paraId="0757BBAB">
      <w:pPr>
        <w:numPr>
          <w:ilvl w:val="0"/>
          <w:numId w:val="7"/>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有法律、法规规定的其他损害采购人利益和社会公共利益情形的。</w:t>
      </w:r>
    </w:p>
    <w:p w14:paraId="080369C2">
      <w:pPr>
        <w:spacing w:line="360" w:lineRule="auto"/>
        <w:contextualSpacing/>
        <w:rPr>
          <w:rFonts w:asciiTheme="majorEastAsia" w:hAnsiTheme="majorEastAsia" w:eastAsiaTheme="majorEastAsia"/>
          <w:b/>
          <w:color w:val="auto"/>
          <w:szCs w:val="21"/>
          <w:highlight w:val="none"/>
        </w:rPr>
      </w:pPr>
    </w:p>
    <w:p w14:paraId="193E1833">
      <w:pPr>
        <w:spacing w:line="360" w:lineRule="auto"/>
        <w:contextualSpacing/>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七、评审过程的监控与保密</w:t>
      </w:r>
    </w:p>
    <w:p w14:paraId="38D888B0">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1.本项目评审过程实行全程录音、录像监控，供应商在评审过程中所进行的试图影响评审结果的不公正活动，可能导致其响应文件被拒绝。</w:t>
      </w:r>
    </w:p>
    <w:p w14:paraId="31E8C14D">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2.磋商活动开始后到成交通知书发出之前，所有涉及磋商小组名单以及对响应文件的澄清、评价、比较等情况，磋商小组成员、采购人和代理机构的有关人员均不得向供应商或其他无关人员透露。</w:t>
      </w:r>
    </w:p>
    <w:p w14:paraId="3E2CD3AE">
      <w:pPr>
        <w:pStyle w:val="26"/>
        <w:spacing w:beforeLines="0" w:afterLines="0" w:line="360" w:lineRule="auto"/>
        <w:contextualSpacing/>
        <w:rPr>
          <w:rFonts w:asciiTheme="majorEastAsia" w:hAnsiTheme="majorEastAsia" w:eastAsiaTheme="majorEastAsia"/>
          <w:b/>
          <w:color w:val="auto"/>
          <w:highlight w:val="none"/>
        </w:rPr>
      </w:pPr>
    </w:p>
    <w:p w14:paraId="421B4AA4">
      <w:pPr>
        <w:pStyle w:val="26"/>
        <w:spacing w:beforeLines="0" w:afterLines="0" w:line="360" w:lineRule="auto"/>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八、合同授予</w:t>
      </w:r>
    </w:p>
    <w:p w14:paraId="5BF0C470">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1.采购人与成交供应商应当在《成交通知书》发出之日起</w:t>
      </w:r>
      <w:r>
        <w:rPr>
          <w:rFonts w:hint="eastAsia" w:asciiTheme="majorEastAsia" w:hAnsiTheme="majorEastAsia" w:eastAsiaTheme="majorEastAsia"/>
          <w:b/>
          <w:color w:val="auto"/>
          <w:szCs w:val="21"/>
          <w:highlight w:val="none"/>
          <w:u w:val="single"/>
        </w:rPr>
        <w:t>2</w:t>
      </w:r>
      <w:r>
        <w:rPr>
          <w:rFonts w:asciiTheme="majorEastAsia" w:hAnsiTheme="majorEastAsia" w:eastAsiaTheme="majorEastAsia"/>
          <w:b/>
          <w:color w:val="auto"/>
          <w:szCs w:val="21"/>
          <w:highlight w:val="none"/>
          <w:u w:val="single"/>
        </w:rPr>
        <w:t>0</w:t>
      </w:r>
      <w:r>
        <w:rPr>
          <w:rFonts w:asciiTheme="majorEastAsia" w:hAnsiTheme="majorEastAsia" w:eastAsiaTheme="majorEastAsia"/>
          <w:color w:val="auto"/>
          <w:szCs w:val="21"/>
          <w:highlight w:val="none"/>
        </w:rPr>
        <w:t>日内签订政府采购合同。同时，代理机构对合同内容进行审查，如发现与采购结果和磋商承诺内容不一致的，应予以纠正。</w:t>
      </w:r>
    </w:p>
    <w:p w14:paraId="10C04DB3">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2.成交供应商拖延、拒签合同的,将被取消成交资格。</w:t>
      </w:r>
    </w:p>
    <w:p w14:paraId="66BE77DA">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3.成交供应商拒绝与采购人签订合同或其他违规情形的，采购人可以重新采购。</w:t>
      </w:r>
    </w:p>
    <w:p w14:paraId="59352B63">
      <w:pPr>
        <w:spacing w:line="360" w:lineRule="auto"/>
        <w:contextualSpacing/>
        <w:jc w:val="left"/>
        <w:rPr>
          <w:rFonts w:asciiTheme="majorEastAsia" w:hAnsiTheme="majorEastAsia" w:eastAsiaTheme="majorEastAsia"/>
          <w:b/>
          <w:color w:val="auto"/>
          <w:szCs w:val="21"/>
          <w:highlight w:val="none"/>
        </w:rPr>
      </w:pPr>
    </w:p>
    <w:p w14:paraId="760B220A">
      <w:pPr>
        <w:spacing w:line="360" w:lineRule="auto"/>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九、履约验收</w:t>
      </w:r>
    </w:p>
    <w:p w14:paraId="017A9EEF">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采购人负责对成交供应商的履约行为进行验收，验收标准为本项目的磋商文件以及成交供应商的响应文件。政府向社会公众提供的公共服务项目，验收时应当邀请服务对象参与并出具意见，验收结果应当向社会公告。</w:t>
      </w:r>
    </w:p>
    <w:p w14:paraId="53451279">
      <w:pPr>
        <w:spacing w:line="360" w:lineRule="auto"/>
        <w:contextualSpacing/>
        <w:rPr>
          <w:rFonts w:asciiTheme="majorEastAsia" w:hAnsiTheme="majorEastAsia" w:eastAsiaTheme="majorEastAsia"/>
          <w:b/>
          <w:bCs/>
          <w:color w:val="auto"/>
          <w:szCs w:val="21"/>
          <w:highlight w:val="none"/>
        </w:rPr>
      </w:pPr>
    </w:p>
    <w:p w14:paraId="70958065">
      <w:pPr>
        <w:spacing w:line="360" w:lineRule="auto"/>
        <w:contextualSpacing/>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十、政府采购政策</w:t>
      </w:r>
    </w:p>
    <w:p w14:paraId="18EE0530">
      <w:pPr>
        <w:snapToGrid w:val="0"/>
        <w:spacing w:line="360" w:lineRule="auto"/>
        <w:ind w:firstLine="422" w:firstLineChars="200"/>
        <w:rPr>
          <w:rFonts w:ascii="宋体" w:hAnsi="宋体" w:cs="宋体"/>
          <w:b/>
          <w:bCs/>
          <w:color w:val="auto"/>
          <w:kern w:val="0"/>
          <w:szCs w:val="21"/>
          <w:highlight w:val="none"/>
          <w:shd w:val="clear" w:color="auto" w:fill="FFFFFF"/>
        </w:rPr>
      </w:pPr>
      <w:r>
        <w:rPr>
          <w:rFonts w:hint="eastAsia" w:ascii="宋体" w:hAnsi="宋体" w:cs="宋体"/>
          <w:b/>
          <w:bCs/>
          <w:color w:val="auto"/>
          <w:kern w:val="0"/>
          <w:szCs w:val="21"/>
          <w:highlight w:val="none"/>
          <w:shd w:val="clear" w:color="auto" w:fill="FFFFFF"/>
        </w:rPr>
        <w:t>1、政府采购活动中有关中小企业的相关规定</w:t>
      </w:r>
    </w:p>
    <w:p w14:paraId="3736BF0A">
      <w:pPr>
        <w:snapToGrid w:val="0"/>
        <w:spacing w:line="360" w:lineRule="auto"/>
        <w:ind w:firstLine="422" w:firstLineChars="200"/>
        <w:rPr>
          <w:rFonts w:ascii="宋体" w:hAnsi="宋体" w:cs="宋体"/>
          <w:b/>
          <w:bCs/>
          <w:color w:val="auto"/>
          <w:kern w:val="0"/>
          <w:szCs w:val="21"/>
          <w:highlight w:val="none"/>
          <w:shd w:val="clear" w:color="auto" w:fill="FFFFFF"/>
        </w:rPr>
      </w:pPr>
      <w:r>
        <w:rPr>
          <w:rFonts w:hint="eastAsia" w:ascii="宋体" w:hAnsi="宋体" w:cs="宋体"/>
          <w:b/>
          <w:bCs/>
          <w:color w:val="auto"/>
          <w:kern w:val="0"/>
          <w:szCs w:val="21"/>
          <w:highlight w:val="none"/>
          <w:shd w:val="clear" w:color="auto" w:fill="FFFFFF"/>
        </w:rPr>
        <w:t>1.1本项目</w:t>
      </w:r>
      <w:r>
        <w:rPr>
          <w:rFonts w:hint="eastAsia" w:ascii="宋体" w:hAnsi="宋体" w:cs="宋体"/>
          <w:b/>
          <w:bCs/>
          <w:color w:val="auto"/>
          <w:kern w:val="0"/>
          <w:szCs w:val="21"/>
          <w:highlight w:val="none"/>
          <w:u w:val="single"/>
          <w:shd w:val="clear" w:color="auto" w:fill="FFFFFF"/>
        </w:rPr>
        <w:t xml:space="preserve"> </w:t>
      </w:r>
      <w:r>
        <w:rPr>
          <w:rFonts w:hint="eastAsia" w:ascii="宋体" w:hAnsi="宋体" w:cs="宋体"/>
          <w:b/>
          <w:bCs/>
          <w:color w:val="auto"/>
          <w:kern w:val="0"/>
          <w:szCs w:val="21"/>
          <w:highlight w:val="none"/>
          <w:u w:val="single"/>
          <w:shd w:val="clear" w:color="auto" w:fill="FFFFFF"/>
          <w:lang w:eastAsia="zh-CN"/>
        </w:rPr>
        <w:t>是</w:t>
      </w:r>
      <w:r>
        <w:rPr>
          <w:rFonts w:hint="eastAsia" w:ascii="宋体" w:hAnsi="宋体" w:cs="宋体"/>
          <w:b/>
          <w:bCs/>
          <w:color w:val="auto"/>
          <w:kern w:val="0"/>
          <w:szCs w:val="21"/>
          <w:highlight w:val="none"/>
          <w:u w:val="single"/>
          <w:shd w:val="clear" w:color="auto" w:fill="FFFFFF"/>
        </w:rPr>
        <w:t xml:space="preserve"> </w:t>
      </w:r>
      <w:r>
        <w:rPr>
          <w:rFonts w:hint="eastAsia" w:ascii="宋体" w:hAnsi="宋体" w:cs="宋体"/>
          <w:b/>
          <w:bCs/>
          <w:color w:val="auto"/>
          <w:kern w:val="0"/>
          <w:szCs w:val="21"/>
          <w:highlight w:val="none"/>
          <w:shd w:val="clear" w:color="auto" w:fill="FFFFFF"/>
        </w:rPr>
        <w:t>专门面向中小企业采购。</w:t>
      </w:r>
    </w:p>
    <w:p w14:paraId="04FE4614">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1.2本项目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0E9E075">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符合中小企业划分标准的个体工商户，在政府采购活动中视同中小企业。</w:t>
      </w:r>
    </w:p>
    <w:p w14:paraId="25049532">
      <w:pPr>
        <w:snapToGrid w:val="0"/>
        <w:spacing w:line="360" w:lineRule="auto"/>
        <w:ind w:firstLine="422" w:firstLineChars="200"/>
        <w:rPr>
          <w:rFonts w:ascii="宋体" w:hAnsi="宋体" w:cs="宋体"/>
          <w:b/>
          <w:bCs/>
          <w:color w:val="auto"/>
          <w:kern w:val="0"/>
          <w:szCs w:val="21"/>
          <w:highlight w:val="none"/>
          <w:shd w:val="clear" w:color="auto" w:fill="FFFFFF"/>
        </w:rPr>
      </w:pPr>
      <w:r>
        <w:rPr>
          <w:rFonts w:hint="eastAsia" w:ascii="宋体" w:hAnsi="宋体" w:cs="宋体"/>
          <w:b/>
          <w:bCs/>
          <w:color w:val="auto"/>
          <w:kern w:val="0"/>
          <w:szCs w:val="21"/>
          <w:highlight w:val="none"/>
          <w:shd w:val="clear" w:color="auto" w:fill="FFFFFF"/>
        </w:rPr>
        <w:t>中小企业划分标准详见工信部联企业[2011]300号。</w:t>
      </w:r>
    </w:p>
    <w:p w14:paraId="1BFEB435">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1.3在政府采购活动中，供应商提供的货物、工程或者服务符合下列情形的，享受《政府采购促进中小企业发展管理办法》（财库[2020]46号）、《财政部关于进一步加大政府采购支持中小企业力度的通知》（财库[2022]19号）、《浙江省财政厅关于进一步加大政府采购支持中小企业力度 助力扎实稳住经济的通知》（浙财采监[2022]8号）等规定的中小企业扶持政策：</w:t>
      </w:r>
    </w:p>
    <w:p w14:paraId="0F87BEF2">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（一）在货物采购项目中，货物由中小企业制造，即货物由中小企业生产且使用该中小企业商号或者注册商标；</w:t>
      </w:r>
    </w:p>
    <w:p w14:paraId="3534A377">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（二）在工程采购项目中，工程由中小企业承建，即工程施工单位为中小企业；</w:t>
      </w:r>
    </w:p>
    <w:p w14:paraId="1F634ECE">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（三）在服务采购项目中，服务由中小企业承接，即提供服务的人员为中小企业依照《中华人民共和国劳动合同法》订立劳动合同的从业人员。</w:t>
      </w:r>
    </w:p>
    <w:p w14:paraId="667CDFFB">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在货物采购项目中，供应商提供的货物既有中小企业制造货物，也有大型企业制造货物的，不享受本办法规定的中小企业扶持政策。</w:t>
      </w:r>
    </w:p>
    <w:p w14:paraId="15D8D7A8">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以联合体形式参加政府采购活动，联合体各方均为中小企业的，联合体视同中小企业。其中，联合体各方均为小微企业的，联合体视同小微企业。</w:t>
      </w:r>
    </w:p>
    <w:p w14:paraId="0D788898">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1.4对于经主管预算单位统筹后未预留份额专门面向中小企业采购的采购项目，以及预留份额项目中的非预留部分采购包，采购人、采购代理机构应当对符合《政府采购促进中小企业发展管理办法》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CB46FCF">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7DA3CCE">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价格扣除比例或者价格分加分比例对小型企业和微型企业同等对待，不作区分。</w:t>
      </w:r>
    </w:p>
    <w:p w14:paraId="7556BFF7">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本项目具体扣除比例见本采购文件 第四章 评标办法及评分标准。</w:t>
      </w:r>
    </w:p>
    <w:p w14:paraId="6134A05E">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1.5中小企业参加政府采购活动，应当出具《政府采购促进中小企业发展管理办法》（财库[2020]46号）规定的《中小企业声明函》（详见响应文件格式部分），否则不得享受相关中小企业扶持政策。任何单位和个人不得要求供应商提供《中小企业声明函》之外的中小企业身份证明文件。</w:t>
      </w:r>
    </w:p>
    <w:p w14:paraId="4145ED67">
      <w:pPr>
        <w:snapToGrid w:val="0"/>
        <w:spacing w:line="360" w:lineRule="auto"/>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1.6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w:t>
      </w:r>
    </w:p>
    <w:p w14:paraId="703CC0D8">
      <w:pPr>
        <w:snapToGrid w:val="0"/>
        <w:spacing w:line="360" w:lineRule="auto"/>
        <w:ind w:firstLine="420" w:firstLineChars="200"/>
        <w:jc w:val="left"/>
        <w:rPr>
          <w:rFonts w:ascii="宋体" w:hAnsi="宋体"/>
          <w:color w:val="auto"/>
          <w:szCs w:val="21"/>
          <w:highlight w:val="none"/>
          <w:lang w:bidi="ar"/>
        </w:rPr>
      </w:pPr>
      <w:r>
        <w:rPr>
          <w:rFonts w:hint="eastAsia" w:ascii="宋体" w:hAnsi="宋体"/>
          <w:color w:val="auto"/>
          <w:szCs w:val="21"/>
          <w:highlight w:val="none"/>
          <w:lang w:bidi="ar"/>
        </w:rPr>
        <w:t>1.7</w:t>
      </w:r>
      <w:r>
        <w:rPr>
          <w:rFonts w:ascii="宋体" w:hAnsi="宋体"/>
          <w:color w:val="auto"/>
          <w:szCs w:val="21"/>
          <w:highlight w:val="none"/>
          <w:lang w:bidi="ar"/>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r>
        <w:rPr>
          <w:rFonts w:hint="eastAsia" w:ascii="宋体" w:hAnsi="宋体"/>
          <w:color w:val="auto"/>
          <w:szCs w:val="21"/>
          <w:highlight w:val="none"/>
          <w:lang w:bidi="ar"/>
        </w:rPr>
        <w:t>。</w:t>
      </w:r>
    </w:p>
    <w:p w14:paraId="2ABFA42C">
      <w:pPr>
        <w:snapToGrid w:val="0"/>
        <w:spacing w:line="360" w:lineRule="auto"/>
        <w:ind w:firstLine="420" w:firstLineChars="200"/>
        <w:jc w:val="left"/>
        <w:rPr>
          <w:rFonts w:ascii="宋体" w:hAnsi="宋体"/>
          <w:color w:val="auto"/>
          <w:szCs w:val="21"/>
          <w:highlight w:val="none"/>
          <w:lang w:bidi="ar"/>
        </w:rPr>
      </w:pPr>
      <w:r>
        <w:rPr>
          <w:rFonts w:hint="eastAsia" w:ascii="宋体" w:hAnsi="宋体"/>
          <w:color w:val="auto"/>
          <w:szCs w:val="21"/>
          <w:highlight w:val="none"/>
          <w:lang w:bidi="ar"/>
        </w:rPr>
        <w:t>1.8</w:t>
      </w:r>
      <w:r>
        <w:rPr>
          <w:rFonts w:ascii="宋体" w:hAnsi="宋体"/>
          <w:color w:val="auto"/>
          <w:szCs w:val="21"/>
          <w:highlight w:val="none"/>
          <w:lang w:bidi="ar"/>
        </w:rPr>
        <w:t>根据《关于促进残疾人就业政府采购政策的通知》（财库[2017]141号）规定，在政府采购活动中，残疾人福利性单位视同小型、微型企业。残疾人福利性单位参加政府采购活动时，提供《残疾人福利性单位声明函》。</w:t>
      </w:r>
    </w:p>
    <w:p w14:paraId="0E31232E">
      <w:pPr>
        <w:spacing w:line="360" w:lineRule="auto"/>
        <w:ind w:firstLine="420" w:firstLineChars="200"/>
        <w:contextualSpacing/>
        <w:jc w:val="left"/>
        <w:rPr>
          <w:rFonts w:ascii="宋体" w:hAnsi="宋体"/>
          <w:color w:val="auto"/>
          <w:szCs w:val="21"/>
          <w:highlight w:val="none"/>
          <w:lang w:bidi="ar"/>
        </w:rPr>
      </w:pPr>
      <w:r>
        <w:rPr>
          <w:rFonts w:hint="eastAsia" w:ascii="宋体" w:hAnsi="宋体"/>
          <w:color w:val="auto"/>
          <w:szCs w:val="21"/>
          <w:highlight w:val="none"/>
          <w:lang w:bidi="ar"/>
        </w:rPr>
        <w:t>2、本项目为政府采购</w:t>
      </w:r>
      <w:r>
        <w:rPr>
          <w:rFonts w:hint="eastAsia" w:ascii="宋体" w:hAnsi="宋体"/>
          <w:b/>
          <w:bCs/>
          <w:color w:val="auto"/>
          <w:szCs w:val="21"/>
          <w:highlight w:val="none"/>
          <w:u w:val="single"/>
          <w:lang w:bidi="ar"/>
        </w:rPr>
        <w:t xml:space="preserve"> 服务 </w:t>
      </w:r>
      <w:r>
        <w:rPr>
          <w:rFonts w:hint="eastAsia" w:ascii="宋体" w:hAnsi="宋体"/>
          <w:color w:val="auto"/>
          <w:szCs w:val="21"/>
          <w:highlight w:val="none"/>
          <w:lang w:bidi="ar"/>
        </w:rPr>
        <w:t>项目，属于</w:t>
      </w:r>
      <w:r>
        <w:rPr>
          <w:rFonts w:hint="eastAsia" w:ascii="宋体" w:hAnsi="宋体" w:cs="宋体"/>
          <w:color w:val="auto"/>
          <w:szCs w:val="21"/>
          <w:highlight w:val="none"/>
          <w:shd w:val="clear" w:color="auto" w:fill="FFFFFF"/>
        </w:rPr>
        <w:t>工信部联企业[2011]300号规定</w:t>
      </w:r>
      <w:r>
        <w:rPr>
          <w:rFonts w:hint="eastAsia" w:ascii="宋体" w:hAnsi="宋体"/>
          <w:color w:val="auto"/>
          <w:szCs w:val="21"/>
          <w:highlight w:val="none"/>
          <w:u w:val="single"/>
          <w:lang w:bidi="ar"/>
        </w:rPr>
        <w:t xml:space="preserve"> </w:t>
      </w:r>
      <w:r>
        <w:rPr>
          <w:rFonts w:hint="eastAsia" w:ascii="宋体" w:hAnsi="宋体"/>
          <w:b/>
          <w:bCs/>
          <w:color w:val="auto"/>
          <w:szCs w:val="21"/>
          <w:highlight w:val="none"/>
          <w:u w:val="single"/>
          <w:lang w:bidi="ar"/>
        </w:rPr>
        <w:t>其他未列明行业</w:t>
      </w:r>
      <w:r>
        <w:rPr>
          <w:rFonts w:hint="eastAsia" w:ascii="宋体" w:hAnsi="宋体"/>
          <w:color w:val="auto"/>
          <w:szCs w:val="21"/>
          <w:highlight w:val="none"/>
          <w:u w:val="single"/>
          <w:lang w:bidi="ar"/>
        </w:rPr>
        <w:t xml:space="preserve"> </w:t>
      </w:r>
      <w:r>
        <w:rPr>
          <w:rFonts w:hint="eastAsia" w:ascii="宋体" w:hAnsi="宋体"/>
          <w:color w:val="auto"/>
          <w:szCs w:val="21"/>
          <w:highlight w:val="none"/>
          <w:lang w:bidi="ar"/>
        </w:rPr>
        <w:t>。</w:t>
      </w:r>
    </w:p>
    <w:p w14:paraId="1639659F">
      <w:pPr>
        <w:rPr>
          <w:rFonts w:cs="Arial" w:asciiTheme="minorEastAsia" w:hAnsiTheme="minorEastAsia" w:eastAsiaTheme="minorEastAsia"/>
          <w:color w:val="auto"/>
          <w:szCs w:val="21"/>
          <w:highlight w:val="none"/>
        </w:rPr>
      </w:pPr>
      <w:r>
        <w:rPr>
          <w:rFonts w:hint="eastAsia" w:ascii="宋体" w:hAnsi="宋体"/>
          <w:b/>
          <w:bCs/>
          <w:color w:val="auto"/>
          <w:szCs w:val="21"/>
          <w:highlight w:val="none"/>
          <w:lang w:bidi="ar"/>
        </w:rPr>
        <w:t>3、供应商按照《政府采购促进中小企业发展管理办法》（财库[2020]46号）规定提供声明函内容不实的，属于提供虚假材料谋取中标、成交，依照《中华人民共和国政府采购法》等国家有关规定追究相应责任。</w:t>
      </w:r>
    </w:p>
    <w:p w14:paraId="58DEA8A4">
      <w:pPr>
        <w:rPr>
          <w:color w:val="auto"/>
          <w:highlight w:val="none"/>
        </w:rPr>
      </w:pPr>
    </w:p>
    <w:p w14:paraId="2F09347B">
      <w:pPr>
        <w:pStyle w:val="2"/>
        <w:rPr>
          <w:highlight w:val="none"/>
        </w:rPr>
        <w:sectPr>
          <w:footerReference r:id="rId10" w:type="first"/>
          <w:footerReference r:id="rId9" w:type="default"/>
          <w:pgSz w:w="11906" w:h="16838"/>
          <w:pgMar w:top="1440" w:right="1800" w:bottom="1440" w:left="1800" w:header="851" w:footer="992" w:gutter="0"/>
          <w:pgNumType w:start="1"/>
          <w:cols w:space="720" w:num="1"/>
          <w:titlePg/>
          <w:docGrid w:type="lines" w:linePitch="312" w:charSpace="0"/>
        </w:sectPr>
      </w:pPr>
    </w:p>
    <w:p w14:paraId="10BE2B26">
      <w:pPr>
        <w:spacing w:after="330" w:line="360" w:lineRule="auto"/>
        <w:jc w:val="center"/>
        <w:outlineLvl w:val="0"/>
        <w:rPr>
          <w:rFonts w:asciiTheme="majorEastAsia" w:hAnsiTheme="majorEastAsia" w:eastAsiaTheme="majorEastAsia"/>
          <w:b/>
          <w:bCs/>
          <w:color w:val="auto"/>
          <w:sz w:val="32"/>
          <w:szCs w:val="40"/>
          <w:highlight w:val="none"/>
        </w:rPr>
      </w:pPr>
      <w:bookmarkStart w:id="32" w:name="_Toc29249"/>
      <w:bookmarkStart w:id="33" w:name="_Toc12813"/>
      <w:bookmarkStart w:id="34" w:name="_Toc522013505"/>
      <w:r>
        <w:rPr>
          <w:rFonts w:asciiTheme="majorEastAsia" w:hAnsiTheme="majorEastAsia" w:eastAsiaTheme="majorEastAsia"/>
          <w:b/>
          <w:bCs/>
          <w:color w:val="auto"/>
          <w:sz w:val="32"/>
          <w:szCs w:val="40"/>
          <w:highlight w:val="none"/>
        </w:rPr>
        <w:t>第四章  评审办法及评分标准</w:t>
      </w:r>
      <w:bookmarkEnd w:id="32"/>
      <w:bookmarkEnd w:id="33"/>
      <w:bookmarkEnd w:id="34"/>
    </w:p>
    <w:p w14:paraId="56E088F6">
      <w:pPr>
        <w:spacing w:before="240" w:line="360" w:lineRule="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一.总则</w:t>
      </w:r>
    </w:p>
    <w:p w14:paraId="5C05D4E3">
      <w:pPr>
        <w:spacing w:line="360" w:lineRule="auto"/>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本次磋商遵循公平、公正、科学、择优的原则依法进行，磋商活动及当事人接受依法实施的监督。本次磋商采用综合评分法。</w:t>
      </w:r>
    </w:p>
    <w:p w14:paraId="407611AE">
      <w:pPr>
        <w:spacing w:before="240" w:line="360" w:lineRule="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二.评审组织</w:t>
      </w:r>
    </w:p>
    <w:p w14:paraId="1D41494C">
      <w:pPr>
        <w:spacing w:line="360" w:lineRule="auto"/>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磋商小组：采购人和采购机构根据采购项目的内容特点按照法律法规规定组建磋商小组。</w:t>
      </w:r>
    </w:p>
    <w:p w14:paraId="5988345B">
      <w:pPr>
        <w:spacing w:before="240" w:line="360" w:lineRule="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三．磋商程序</w:t>
      </w:r>
    </w:p>
    <w:p w14:paraId="66E4DC32">
      <w:pPr>
        <w:pStyle w:val="14"/>
        <w:widowControl w:val="0"/>
        <w:tabs>
          <w:tab w:val="clear" w:pos="454"/>
        </w:tabs>
        <w:snapToGrid w:val="0"/>
        <w:spacing w:afterLines="0" w:line="360" w:lineRule="auto"/>
        <w:ind w:left="0" w:firstLine="411" w:firstLineChars="196"/>
        <w:rPr>
          <w:rFonts w:asciiTheme="majorEastAsia" w:hAnsiTheme="majorEastAsia" w:eastAsiaTheme="majorEastAsia"/>
          <w:color w:val="auto"/>
          <w:kern w:val="2"/>
          <w:sz w:val="21"/>
          <w:szCs w:val="21"/>
          <w:highlight w:val="none"/>
        </w:rPr>
      </w:pPr>
      <w:r>
        <w:rPr>
          <w:rFonts w:asciiTheme="majorEastAsia" w:hAnsiTheme="majorEastAsia" w:eastAsiaTheme="majorEastAsia"/>
          <w:color w:val="auto"/>
          <w:kern w:val="2"/>
          <w:sz w:val="21"/>
          <w:szCs w:val="21"/>
          <w:highlight w:val="none"/>
        </w:rPr>
        <w:t>详见第三章供应商须知 四、磋商程序</w:t>
      </w:r>
      <w:r>
        <w:rPr>
          <w:rFonts w:hint="eastAsia" w:asciiTheme="majorEastAsia" w:hAnsiTheme="majorEastAsia" w:eastAsiaTheme="majorEastAsia"/>
          <w:color w:val="auto"/>
          <w:kern w:val="2"/>
          <w:sz w:val="21"/>
          <w:szCs w:val="21"/>
          <w:highlight w:val="none"/>
        </w:rPr>
        <w:t>。</w:t>
      </w:r>
    </w:p>
    <w:p w14:paraId="7606FD7A">
      <w:pPr>
        <w:spacing w:before="240" w:line="360" w:lineRule="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四.评审程序</w:t>
      </w:r>
    </w:p>
    <w:p w14:paraId="71CCBD6D">
      <w:pPr>
        <w:pStyle w:val="29"/>
        <w:spacing w:line="360" w:lineRule="auto"/>
        <w:ind w:firstLine="473"/>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详见第三章供应商须知 五、评审</w:t>
      </w:r>
      <w:r>
        <w:rPr>
          <w:rFonts w:hint="eastAsia" w:asciiTheme="majorEastAsia" w:hAnsiTheme="majorEastAsia" w:eastAsiaTheme="majorEastAsia"/>
          <w:b w:val="0"/>
          <w:bCs w:val="0"/>
          <w:color w:val="auto"/>
          <w:sz w:val="21"/>
          <w:szCs w:val="21"/>
          <w:highlight w:val="none"/>
        </w:rPr>
        <w:t>。</w:t>
      </w:r>
    </w:p>
    <w:p w14:paraId="7F0F29D8">
      <w:pPr>
        <w:numPr>
          <w:ilvl w:val="0"/>
          <w:numId w:val="8"/>
        </w:numPr>
        <w:spacing w:before="240" w:line="360" w:lineRule="auto"/>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评分标准</w:t>
      </w:r>
    </w:p>
    <w:tbl>
      <w:tblPr>
        <w:tblStyle w:val="4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8439"/>
      </w:tblGrid>
      <w:tr w14:paraId="4BC0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15" w:type="dxa"/>
            <w:tcBorders>
              <w:top w:val="single" w:color="auto" w:sz="4" w:space="0"/>
              <w:left w:val="single" w:color="auto" w:sz="4" w:space="0"/>
              <w:bottom w:val="single" w:color="auto" w:sz="4" w:space="0"/>
              <w:right w:val="single" w:color="auto" w:sz="4" w:space="0"/>
            </w:tcBorders>
            <w:vAlign w:val="center"/>
          </w:tcPr>
          <w:p w14:paraId="6F75D9E5">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8439" w:type="dxa"/>
            <w:tcBorders>
              <w:top w:val="single" w:color="auto" w:sz="4" w:space="0"/>
              <w:left w:val="single" w:color="auto" w:sz="4" w:space="0"/>
              <w:bottom w:val="single" w:color="auto" w:sz="4" w:space="0"/>
              <w:right w:val="single" w:color="auto" w:sz="4" w:space="0"/>
            </w:tcBorders>
            <w:vAlign w:val="center"/>
          </w:tcPr>
          <w:p w14:paraId="76C63E63">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评分细则</w:t>
            </w:r>
          </w:p>
        </w:tc>
      </w:tr>
      <w:tr w14:paraId="5A53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restart"/>
            <w:tcBorders>
              <w:top w:val="single" w:color="auto" w:sz="4" w:space="0"/>
              <w:left w:val="single" w:color="auto" w:sz="4" w:space="0"/>
              <w:right w:val="single" w:color="auto" w:sz="4" w:space="0"/>
            </w:tcBorders>
            <w:vAlign w:val="center"/>
          </w:tcPr>
          <w:p w14:paraId="4C6878E5">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资信技术分</w:t>
            </w:r>
          </w:p>
          <w:p w14:paraId="3EF3AA81">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85</w:t>
            </w:r>
            <w:r>
              <w:rPr>
                <w:rFonts w:hint="eastAsia" w:ascii="宋体" w:hAnsi="宋体" w:eastAsia="宋体" w:cs="宋体"/>
                <w:b/>
                <w:bCs/>
                <w:color w:val="auto"/>
                <w:szCs w:val="21"/>
                <w:highlight w:val="none"/>
              </w:rPr>
              <w:t>分</w:t>
            </w:r>
          </w:p>
        </w:tc>
        <w:tc>
          <w:tcPr>
            <w:tcW w:w="8439" w:type="dxa"/>
            <w:tcBorders>
              <w:top w:val="single" w:color="auto" w:sz="4" w:space="0"/>
              <w:left w:val="single" w:color="auto" w:sz="4" w:space="0"/>
              <w:right w:val="single" w:color="auto" w:sz="4" w:space="0"/>
            </w:tcBorders>
            <w:vAlign w:val="center"/>
          </w:tcPr>
          <w:p w14:paraId="3C938AC1">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1、</w:t>
            </w:r>
            <w:r>
              <w:rPr>
                <w:rFonts w:hint="eastAsia" w:ascii="宋体" w:hAnsi="宋体" w:eastAsia="宋体" w:cs="宋体"/>
                <w:b/>
                <w:bCs/>
                <w:color w:val="auto"/>
                <w:kern w:val="0"/>
                <w:highlight w:val="none"/>
              </w:rPr>
              <w:t>磋商响应情况（</w:t>
            </w:r>
            <w:r>
              <w:rPr>
                <w:rFonts w:hint="eastAsia" w:ascii="宋体" w:hAnsi="宋体" w:eastAsia="宋体" w:cs="宋体"/>
                <w:b/>
                <w:bCs/>
                <w:color w:val="auto"/>
                <w:kern w:val="0"/>
                <w:highlight w:val="none"/>
                <w:lang w:val="en-US" w:eastAsia="zh-CN"/>
              </w:rPr>
              <w:t>10</w:t>
            </w:r>
            <w:r>
              <w:rPr>
                <w:rFonts w:hint="eastAsia" w:ascii="宋体" w:hAnsi="宋体" w:eastAsia="宋体" w:cs="宋体"/>
                <w:b/>
                <w:bCs/>
                <w:color w:val="auto"/>
                <w:kern w:val="0"/>
                <w:highlight w:val="none"/>
              </w:rPr>
              <w:t>分）</w:t>
            </w:r>
            <w:r>
              <w:rPr>
                <w:rFonts w:hint="eastAsia" w:ascii="宋体" w:hAnsi="宋体" w:eastAsia="宋体" w:cs="宋体"/>
                <w:b/>
                <w:bCs/>
                <w:color w:val="auto"/>
                <w:kern w:val="0"/>
                <w:highlight w:val="none"/>
                <w:lang w:eastAsia="zh-CN"/>
              </w:rPr>
              <w:t>：</w:t>
            </w:r>
          </w:p>
          <w:p w14:paraId="0DB23BDC">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根据供应商对磋商文件《第二章采购需求》条款要求的响应情况进行评议，每负偏离或未响应1条非实质性要求的</w:t>
            </w:r>
            <w:r>
              <w:rPr>
                <w:rFonts w:hint="eastAsia" w:ascii="宋体" w:hAnsi="宋体" w:eastAsia="宋体" w:cs="宋体"/>
                <w:color w:val="auto"/>
                <w:highlight w:val="none"/>
                <w:u w:val="single"/>
              </w:rPr>
              <w:t>扣</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分</w:t>
            </w:r>
            <w:r>
              <w:rPr>
                <w:rFonts w:hint="eastAsia" w:ascii="宋体" w:hAnsi="宋体" w:eastAsia="宋体" w:cs="宋体"/>
                <w:color w:val="auto"/>
                <w:highlight w:val="none"/>
              </w:rPr>
              <w:t>，扣完为止</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负偏离超过6条（含6条）的作无效标处理</w:t>
            </w:r>
            <w:r>
              <w:rPr>
                <w:rFonts w:hint="eastAsia" w:ascii="宋体" w:hAnsi="宋体" w:eastAsia="宋体" w:cs="宋体"/>
                <w:color w:val="auto"/>
                <w:highlight w:val="none"/>
              </w:rPr>
              <w:t>。</w:t>
            </w:r>
          </w:p>
          <w:p w14:paraId="228DB785">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注：根据采购需求响应表响应情况评议。</w:t>
            </w:r>
          </w:p>
        </w:tc>
      </w:tr>
      <w:tr w14:paraId="0BB1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4D804A8B">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467F6553">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val="en-US" w:eastAsia="zh-CN"/>
              </w:rPr>
              <w:t>行程安排</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w:t>
            </w:r>
            <w:r>
              <w:rPr>
                <w:rFonts w:hint="eastAsia" w:ascii="宋体" w:hAnsi="宋体" w:cs="宋体"/>
                <w:b/>
                <w:bCs/>
                <w:color w:val="auto"/>
                <w:highlight w:val="none"/>
                <w:lang w:val="en-US" w:eastAsia="zh-CN"/>
              </w:rPr>
              <w:t>2</w:t>
            </w:r>
            <w:r>
              <w:rPr>
                <w:rFonts w:hint="eastAsia" w:ascii="宋体" w:hAnsi="宋体" w:eastAsia="宋体" w:cs="宋体"/>
                <w:b/>
                <w:bCs/>
                <w:color w:val="auto"/>
                <w:highlight w:val="none"/>
              </w:rPr>
              <w:t>分）：</w:t>
            </w:r>
          </w:p>
          <w:p w14:paraId="6F4E8543">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①根据供应商针对本项目的</w:t>
            </w:r>
            <w:r>
              <w:rPr>
                <w:rFonts w:hint="eastAsia" w:ascii="宋体" w:hAnsi="宋体" w:cs="宋体"/>
                <w:color w:val="auto"/>
                <w:sz w:val="21"/>
                <w:szCs w:val="21"/>
                <w:highlight w:val="none"/>
                <w:lang w:eastAsia="zh-CN"/>
              </w:rPr>
              <w:t>江西</w:t>
            </w:r>
            <w:r>
              <w:rPr>
                <w:rFonts w:hint="eastAsia" w:ascii="宋体" w:hAnsi="宋体" w:eastAsia="宋体" w:cs="宋体"/>
                <w:color w:val="auto"/>
                <w:sz w:val="21"/>
                <w:szCs w:val="21"/>
                <w:highlight w:val="none"/>
                <w:lang w:eastAsia="zh-CN"/>
              </w:rPr>
              <w:t>线</w:t>
            </w:r>
            <w:r>
              <w:rPr>
                <w:rFonts w:hint="eastAsia" w:ascii="宋体" w:hAnsi="宋体" w:eastAsia="宋体" w:cs="宋体"/>
                <w:color w:val="auto"/>
                <w:sz w:val="21"/>
                <w:szCs w:val="21"/>
                <w:highlight w:val="none"/>
                <w:lang w:val="en-US" w:eastAsia="zh-CN"/>
              </w:rPr>
              <w:t>的行程安排（包括行程线路设计、线路特点、景点吸引力、活动内容、主题策划、时间安排）进行评议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5A0F2527">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整体方案设计思路清晰、行程科学合理、方案完整可行的得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分；思路比较清晰、行程安排大致合理、方案完整基本可行的得</w:t>
            </w:r>
            <w:r>
              <w:rPr>
                <w:rFonts w:hint="eastAsia" w:ascii="宋体" w:hAnsi="宋体" w:eastAsia="宋体" w:cs="宋体"/>
                <w:color w:val="auto"/>
                <w:sz w:val="21"/>
                <w:szCs w:val="21"/>
                <w:highlight w:val="none"/>
                <w:lang w:val="en-US" w:eastAsia="zh-CN"/>
              </w:rPr>
              <w:t>3.9-2</w:t>
            </w:r>
            <w:r>
              <w:rPr>
                <w:rFonts w:hint="eastAsia" w:ascii="宋体" w:hAnsi="宋体" w:eastAsia="宋体" w:cs="宋体"/>
                <w:color w:val="auto"/>
                <w:sz w:val="21"/>
                <w:szCs w:val="21"/>
                <w:highlight w:val="none"/>
              </w:rPr>
              <w:t>分；思路比较一般、行程安排略有欠缺、方案不完整的得</w:t>
            </w:r>
            <w:r>
              <w:rPr>
                <w:rFonts w:hint="eastAsia" w:ascii="宋体" w:hAnsi="宋体" w:eastAsia="宋体" w:cs="宋体"/>
                <w:color w:val="auto"/>
                <w:sz w:val="21"/>
                <w:szCs w:val="21"/>
                <w:highlight w:val="none"/>
                <w:lang w:val="en-US" w:eastAsia="zh-CN"/>
              </w:rPr>
              <w:t>1.9-0</w:t>
            </w:r>
            <w:r>
              <w:rPr>
                <w:rFonts w:hint="eastAsia" w:ascii="宋体" w:hAnsi="宋体" w:eastAsia="宋体" w:cs="宋体"/>
                <w:color w:val="auto"/>
                <w:sz w:val="21"/>
                <w:szCs w:val="21"/>
                <w:highlight w:val="none"/>
              </w:rPr>
              <w:t>分</w:t>
            </w:r>
          </w:p>
          <w:p w14:paraId="16B19E8E">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②根据供应商针对本项目的</w:t>
            </w:r>
            <w:r>
              <w:rPr>
                <w:rFonts w:hint="eastAsia" w:ascii="宋体" w:hAnsi="宋体" w:cs="宋体"/>
                <w:color w:val="auto"/>
                <w:sz w:val="21"/>
                <w:szCs w:val="21"/>
                <w:highlight w:val="none"/>
                <w:lang w:val="en-US" w:eastAsia="zh-CN"/>
              </w:rPr>
              <w:t>江苏</w:t>
            </w:r>
            <w:r>
              <w:rPr>
                <w:rFonts w:hint="eastAsia" w:ascii="宋体" w:hAnsi="宋体" w:eastAsia="宋体" w:cs="宋体"/>
                <w:color w:val="auto"/>
                <w:sz w:val="21"/>
                <w:szCs w:val="21"/>
                <w:highlight w:val="none"/>
                <w:lang w:val="en-US" w:eastAsia="zh-CN"/>
              </w:rPr>
              <w:t>线的行程安排（包括行程线路设计、线路特点、景点吸引力、活动内容、主题策划、时间安排）进行评议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6151DE74">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rPr>
              <w:t>整体方案设计思路清晰、行程科学合理、方案完整可行的得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分；思路比较清晰、行程安排大致合理、方案完整基本可行的得</w:t>
            </w:r>
            <w:r>
              <w:rPr>
                <w:rFonts w:hint="eastAsia" w:ascii="宋体" w:hAnsi="宋体" w:eastAsia="宋体" w:cs="宋体"/>
                <w:color w:val="auto"/>
                <w:sz w:val="21"/>
                <w:szCs w:val="21"/>
                <w:highlight w:val="none"/>
                <w:lang w:val="en-US" w:eastAsia="zh-CN"/>
              </w:rPr>
              <w:t>3.9-2</w:t>
            </w:r>
            <w:r>
              <w:rPr>
                <w:rFonts w:hint="eastAsia" w:ascii="宋体" w:hAnsi="宋体" w:eastAsia="宋体" w:cs="宋体"/>
                <w:color w:val="auto"/>
                <w:sz w:val="21"/>
                <w:szCs w:val="21"/>
                <w:highlight w:val="none"/>
              </w:rPr>
              <w:t>分；思路比较一般、行程安排略有欠缺、方案不完整的得</w:t>
            </w:r>
            <w:r>
              <w:rPr>
                <w:rFonts w:hint="eastAsia" w:ascii="宋体" w:hAnsi="宋体" w:eastAsia="宋体" w:cs="宋体"/>
                <w:color w:val="auto"/>
                <w:sz w:val="21"/>
                <w:szCs w:val="21"/>
                <w:highlight w:val="none"/>
                <w:lang w:val="en-US" w:eastAsia="zh-CN"/>
              </w:rPr>
              <w:t>1.9-0</w:t>
            </w:r>
            <w:r>
              <w:rPr>
                <w:rFonts w:hint="eastAsia" w:ascii="宋体" w:hAnsi="宋体" w:eastAsia="宋体" w:cs="宋体"/>
                <w:color w:val="auto"/>
                <w:sz w:val="21"/>
                <w:szCs w:val="21"/>
                <w:highlight w:val="none"/>
              </w:rPr>
              <w:t>分</w:t>
            </w:r>
          </w:p>
        </w:tc>
      </w:tr>
      <w:tr w14:paraId="6EEE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6B17D565">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3B6520F3">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住宿安排</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w:t>
            </w:r>
            <w:r>
              <w:rPr>
                <w:rFonts w:hint="eastAsia" w:ascii="宋体" w:hAnsi="宋体" w:cs="宋体"/>
                <w:b/>
                <w:bCs/>
                <w:color w:val="auto"/>
                <w:highlight w:val="none"/>
                <w:lang w:val="en-US" w:eastAsia="zh-CN"/>
              </w:rPr>
              <w:t>2</w:t>
            </w:r>
            <w:r>
              <w:rPr>
                <w:rFonts w:hint="eastAsia" w:ascii="宋体" w:hAnsi="宋体" w:eastAsia="宋体" w:cs="宋体"/>
                <w:b/>
                <w:bCs/>
                <w:color w:val="auto"/>
                <w:highlight w:val="none"/>
              </w:rPr>
              <w:t>分）：</w:t>
            </w:r>
          </w:p>
          <w:p w14:paraId="2413D6C0">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①根据供应商针对本项目的</w:t>
            </w:r>
            <w:r>
              <w:rPr>
                <w:rFonts w:hint="eastAsia" w:ascii="宋体" w:hAnsi="宋体" w:cs="宋体"/>
                <w:color w:val="auto"/>
                <w:sz w:val="21"/>
                <w:szCs w:val="21"/>
                <w:highlight w:val="none"/>
                <w:lang w:eastAsia="zh-CN"/>
              </w:rPr>
              <w:t>江西</w:t>
            </w:r>
            <w:r>
              <w:rPr>
                <w:rFonts w:hint="eastAsia" w:ascii="宋体" w:hAnsi="宋体" w:eastAsia="宋体" w:cs="宋体"/>
                <w:color w:val="auto"/>
                <w:sz w:val="21"/>
                <w:szCs w:val="21"/>
                <w:highlight w:val="none"/>
                <w:lang w:eastAsia="zh-CN"/>
              </w:rPr>
              <w:t>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住宿安排（包括酒店星级</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周边环境、酒店配套设施、</w:t>
            </w:r>
            <w:r>
              <w:rPr>
                <w:rFonts w:hint="eastAsia" w:ascii="宋体" w:hAnsi="宋体" w:eastAsia="宋体" w:cs="宋体"/>
                <w:color w:val="auto"/>
                <w:sz w:val="21"/>
                <w:szCs w:val="21"/>
                <w:highlight w:val="none"/>
                <w:lang w:val="zh-CN"/>
              </w:rPr>
              <w:t>酒店地理位置、酒店与景区的车程距离）</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6B630CC5">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方案完整，地理位置便捷、周边环境好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酒店内部环境好、档次标准高、店内配套设施完善的得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分；方案完整合理，地理位置比较便捷、周边环境较为一般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酒店内部环境一般，档次标准基本满足项目需求的的得</w:t>
            </w:r>
            <w:r>
              <w:rPr>
                <w:rFonts w:hint="eastAsia" w:ascii="宋体" w:hAnsi="宋体" w:eastAsia="宋体" w:cs="宋体"/>
                <w:color w:val="auto"/>
                <w:sz w:val="21"/>
                <w:szCs w:val="21"/>
                <w:highlight w:val="none"/>
                <w:lang w:val="en-US" w:eastAsia="zh-CN"/>
              </w:rPr>
              <w:t>3.9-2</w:t>
            </w:r>
            <w:r>
              <w:rPr>
                <w:rFonts w:hint="eastAsia" w:ascii="宋体" w:hAnsi="宋体" w:eastAsia="宋体" w:cs="宋体"/>
                <w:color w:val="auto"/>
                <w:sz w:val="21"/>
                <w:szCs w:val="21"/>
                <w:highlight w:val="none"/>
              </w:rPr>
              <w:t>分；方案不完整、地理位置比较偏僻、周边环境较差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酒店内部环境较差、或档次很低的得</w:t>
            </w:r>
            <w:r>
              <w:rPr>
                <w:rFonts w:hint="eastAsia" w:ascii="宋体" w:hAnsi="宋体" w:eastAsia="宋体" w:cs="宋体"/>
                <w:color w:val="auto"/>
                <w:sz w:val="21"/>
                <w:szCs w:val="21"/>
                <w:highlight w:val="none"/>
                <w:lang w:val="en-US" w:eastAsia="zh-CN"/>
              </w:rPr>
              <w:t>1.9-0</w:t>
            </w:r>
            <w:r>
              <w:rPr>
                <w:rFonts w:hint="eastAsia" w:ascii="宋体" w:hAnsi="宋体" w:eastAsia="宋体" w:cs="宋体"/>
                <w:color w:val="auto"/>
                <w:sz w:val="21"/>
                <w:szCs w:val="21"/>
                <w:highlight w:val="none"/>
              </w:rPr>
              <w:t>分。</w:t>
            </w:r>
          </w:p>
          <w:p w14:paraId="482B5EB5">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②根据供应商针对本项目的</w:t>
            </w:r>
            <w:r>
              <w:rPr>
                <w:rFonts w:hint="eastAsia" w:ascii="宋体" w:hAnsi="宋体" w:cs="宋体"/>
                <w:color w:val="auto"/>
                <w:sz w:val="21"/>
                <w:szCs w:val="21"/>
                <w:highlight w:val="none"/>
                <w:lang w:val="en-US" w:eastAsia="zh-CN"/>
              </w:rPr>
              <w:t>江苏</w:t>
            </w:r>
            <w:r>
              <w:rPr>
                <w:rFonts w:hint="eastAsia" w:ascii="宋体" w:hAnsi="宋体" w:eastAsia="宋体" w:cs="宋体"/>
                <w:color w:val="auto"/>
                <w:sz w:val="21"/>
                <w:szCs w:val="21"/>
                <w:highlight w:val="none"/>
                <w:lang w:val="en-US" w:eastAsia="zh-CN"/>
              </w:rPr>
              <w:t>线的</w:t>
            </w:r>
            <w:r>
              <w:rPr>
                <w:rFonts w:hint="eastAsia" w:ascii="宋体" w:hAnsi="宋体" w:eastAsia="宋体" w:cs="宋体"/>
                <w:color w:val="auto"/>
                <w:sz w:val="21"/>
                <w:szCs w:val="21"/>
                <w:highlight w:val="none"/>
                <w:lang w:val="zh-CN"/>
              </w:rPr>
              <w:t>住宿安排（包括酒店星级</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周边环境、酒店配套设施、</w:t>
            </w:r>
            <w:r>
              <w:rPr>
                <w:rFonts w:hint="eastAsia" w:ascii="宋体" w:hAnsi="宋体" w:eastAsia="宋体" w:cs="宋体"/>
                <w:color w:val="auto"/>
                <w:sz w:val="21"/>
                <w:szCs w:val="21"/>
                <w:highlight w:val="none"/>
                <w:lang w:val="zh-CN"/>
              </w:rPr>
              <w:t>酒店地理位置、酒店与景区的车程距离）</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262C6983">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方案完整，地理位置便捷、周边环境好、酒店内部环境好、档次标准高、店内配套设施完善的得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-4分；方案完整合理，地理位置比较便捷、周边环境较为一般、酒店内部环境一般，档次标准基本满足项目需求的的得3.9-2分；方案不完整、地理位置比较偏僻、周边环境较差、酒店内部环境较差、或档次很低的得1.9-0分。</w:t>
            </w:r>
          </w:p>
        </w:tc>
      </w:tr>
      <w:tr w14:paraId="4CC6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579A48C0">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7CAADB15">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就餐安排</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w:t>
            </w:r>
            <w:r>
              <w:rPr>
                <w:rFonts w:hint="eastAsia" w:ascii="宋体" w:hAnsi="宋体" w:cs="宋体"/>
                <w:b/>
                <w:bCs/>
                <w:color w:val="auto"/>
                <w:highlight w:val="none"/>
                <w:lang w:val="en-US" w:eastAsia="zh-CN"/>
              </w:rPr>
              <w:t>2</w:t>
            </w:r>
            <w:r>
              <w:rPr>
                <w:rFonts w:hint="eastAsia" w:ascii="宋体" w:hAnsi="宋体" w:eastAsia="宋体" w:cs="宋体"/>
                <w:b/>
                <w:bCs/>
                <w:color w:val="auto"/>
                <w:highlight w:val="none"/>
              </w:rPr>
              <w:t>分）：</w:t>
            </w:r>
          </w:p>
          <w:p w14:paraId="35B4437C">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①根据供应商针对本项目的</w:t>
            </w:r>
            <w:r>
              <w:rPr>
                <w:rFonts w:hint="eastAsia" w:ascii="宋体" w:hAnsi="宋体" w:cs="宋体"/>
                <w:color w:val="auto"/>
                <w:sz w:val="21"/>
                <w:szCs w:val="21"/>
                <w:highlight w:val="none"/>
                <w:lang w:eastAsia="zh-CN"/>
              </w:rPr>
              <w:t>江西</w:t>
            </w:r>
            <w:r>
              <w:rPr>
                <w:rFonts w:hint="eastAsia" w:ascii="宋体" w:hAnsi="宋体" w:eastAsia="宋体" w:cs="宋体"/>
                <w:color w:val="auto"/>
                <w:sz w:val="21"/>
                <w:szCs w:val="21"/>
                <w:highlight w:val="none"/>
                <w:lang w:eastAsia="zh-CN"/>
              </w:rPr>
              <w:t>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餐饮安排【包括就餐时间安排、就餐</w:t>
            </w: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lang w:val="zh-CN"/>
              </w:rPr>
              <w:t>选择、菜品荤素搭配、</w:t>
            </w:r>
            <w:r>
              <w:rPr>
                <w:rFonts w:hint="eastAsia" w:ascii="宋体" w:hAnsi="宋体" w:eastAsia="宋体" w:cs="宋体"/>
                <w:color w:val="auto"/>
                <w:sz w:val="21"/>
                <w:szCs w:val="21"/>
                <w:highlight w:val="none"/>
                <w:lang w:val="en-US" w:eastAsia="zh-CN"/>
              </w:rPr>
              <w:t>菜肴数量、</w:t>
            </w:r>
            <w:r>
              <w:rPr>
                <w:rFonts w:hint="eastAsia" w:ascii="宋体" w:hAnsi="宋体" w:eastAsia="宋体" w:cs="宋体"/>
                <w:color w:val="auto"/>
                <w:sz w:val="21"/>
                <w:szCs w:val="21"/>
                <w:highlight w:val="none"/>
                <w:lang w:val="zh-CN"/>
              </w:rPr>
              <w:t>就餐标准（</w:t>
            </w:r>
            <w:r>
              <w:rPr>
                <w:rFonts w:hint="eastAsia" w:ascii="宋体" w:hAnsi="宋体" w:eastAsia="宋体" w:cs="宋体"/>
                <w:color w:val="auto"/>
                <w:sz w:val="21"/>
                <w:szCs w:val="21"/>
                <w:highlight w:val="none"/>
                <w:lang w:val="en-US" w:eastAsia="zh-CN"/>
              </w:rPr>
              <w:t>明确人均餐饮标准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60199DA2">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就餐的时间地点安排合理、科学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人均餐饮标准高，菜单搭配合理的得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分；就餐的时间地点安排大致合理科学但有几处略需调整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人均餐饮标准一般，菜单搭配比较合理的得</w:t>
            </w:r>
            <w:r>
              <w:rPr>
                <w:rFonts w:hint="eastAsia" w:ascii="宋体" w:hAnsi="宋体" w:eastAsia="宋体" w:cs="宋体"/>
                <w:color w:val="auto"/>
                <w:sz w:val="21"/>
                <w:szCs w:val="21"/>
                <w:highlight w:val="none"/>
                <w:lang w:val="en-US" w:eastAsia="zh-CN"/>
              </w:rPr>
              <w:t>3.9-2</w:t>
            </w:r>
            <w:r>
              <w:rPr>
                <w:rFonts w:hint="eastAsia" w:ascii="宋体" w:hAnsi="宋体" w:eastAsia="宋体" w:cs="宋体"/>
                <w:color w:val="auto"/>
                <w:sz w:val="21"/>
                <w:szCs w:val="21"/>
                <w:highlight w:val="none"/>
              </w:rPr>
              <w:t>分；就餐的时间地点安排存在明显不合理、或不科学之处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餐饮标准不达标、或菜单搭配</w:t>
            </w:r>
            <w:r>
              <w:rPr>
                <w:rFonts w:hint="eastAsia" w:ascii="宋体" w:hAnsi="宋体" w:eastAsia="宋体" w:cs="宋体"/>
                <w:color w:val="auto"/>
                <w:sz w:val="21"/>
                <w:szCs w:val="21"/>
                <w:highlight w:val="none"/>
                <w:lang w:val="en-US" w:eastAsia="zh-CN"/>
              </w:rPr>
              <w:t>有瑕疵</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1.9-0</w:t>
            </w:r>
            <w:r>
              <w:rPr>
                <w:rFonts w:hint="eastAsia" w:ascii="宋体" w:hAnsi="宋体" w:eastAsia="宋体" w:cs="宋体"/>
                <w:color w:val="auto"/>
                <w:sz w:val="21"/>
                <w:szCs w:val="21"/>
                <w:highlight w:val="none"/>
              </w:rPr>
              <w:t>分。</w:t>
            </w:r>
          </w:p>
          <w:p w14:paraId="43E8A64C">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②根据供应商针对本项目的</w:t>
            </w:r>
            <w:r>
              <w:rPr>
                <w:rFonts w:hint="eastAsia" w:ascii="宋体" w:hAnsi="宋体" w:cs="宋体"/>
                <w:color w:val="auto"/>
                <w:sz w:val="21"/>
                <w:szCs w:val="21"/>
                <w:highlight w:val="none"/>
                <w:lang w:val="en-US" w:eastAsia="zh-CN"/>
              </w:rPr>
              <w:t>江苏</w:t>
            </w:r>
            <w:r>
              <w:rPr>
                <w:rFonts w:hint="eastAsia" w:ascii="宋体" w:hAnsi="宋体" w:eastAsia="宋体" w:cs="宋体"/>
                <w:color w:val="auto"/>
                <w:sz w:val="21"/>
                <w:szCs w:val="21"/>
                <w:highlight w:val="none"/>
                <w:lang w:val="en-US" w:eastAsia="zh-CN"/>
              </w:rPr>
              <w:t>线的</w:t>
            </w:r>
            <w:r>
              <w:rPr>
                <w:rFonts w:hint="eastAsia" w:ascii="宋体" w:hAnsi="宋体" w:eastAsia="宋体" w:cs="宋体"/>
                <w:color w:val="auto"/>
                <w:sz w:val="21"/>
                <w:szCs w:val="21"/>
                <w:highlight w:val="none"/>
                <w:lang w:val="zh-CN"/>
              </w:rPr>
              <w:t>餐饮安排【包括就餐时间安排、就餐</w:t>
            </w: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lang w:val="zh-CN"/>
              </w:rPr>
              <w:t>选择、菜品荤素搭配、</w:t>
            </w:r>
            <w:r>
              <w:rPr>
                <w:rFonts w:hint="eastAsia" w:ascii="宋体" w:hAnsi="宋体" w:eastAsia="宋体" w:cs="宋体"/>
                <w:color w:val="auto"/>
                <w:sz w:val="21"/>
                <w:szCs w:val="21"/>
                <w:highlight w:val="none"/>
                <w:lang w:val="en-US" w:eastAsia="zh-CN"/>
              </w:rPr>
              <w:t>菜肴数量、</w:t>
            </w:r>
            <w:r>
              <w:rPr>
                <w:rFonts w:hint="eastAsia" w:ascii="宋体" w:hAnsi="宋体" w:eastAsia="宋体" w:cs="宋体"/>
                <w:color w:val="auto"/>
                <w:sz w:val="21"/>
                <w:szCs w:val="21"/>
                <w:highlight w:val="none"/>
                <w:lang w:val="zh-CN"/>
              </w:rPr>
              <w:t>就餐标准（</w:t>
            </w:r>
            <w:r>
              <w:rPr>
                <w:rFonts w:hint="eastAsia" w:ascii="宋体" w:hAnsi="宋体" w:eastAsia="宋体" w:cs="宋体"/>
                <w:color w:val="auto"/>
                <w:sz w:val="21"/>
                <w:szCs w:val="21"/>
                <w:highlight w:val="none"/>
                <w:lang w:val="en-US" w:eastAsia="zh-CN"/>
              </w:rPr>
              <w:t>明确人均餐饮标准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4180F818">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就餐的时间地点安排合理、科学、人均餐饮标准高，菜单搭配合理的得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-4分；就餐的时间地点安排大致合理科学但有几处略需调整、人均餐饮标准一般，菜单搭配比较合理的得3.9-2分；就餐的时间地点安排存在明显不合理、或不科学之处、餐饮标准不达标、或菜单搭配有瑕疵的得1.9-0分。</w:t>
            </w:r>
          </w:p>
        </w:tc>
      </w:tr>
      <w:tr w14:paraId="7811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21AE25F3">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3A33EBC2">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交通出行安排</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12</w:t>
            </w:r>
            <w:r>
              <w:rPr>
                <w:rFonts w:hint="eastAsia" w:ascii="宋体" w:hAnsi="宋体" w:eastAsia="宋体" w:cs="宋体"/>
                <w:b/>
                <w:bCs/>
                <w:color w:val="auto"/>
                <w:highlight w:val="none"/>
              </w:rPr>
              <w:t>分）：</w:t>
            </w:r>
          </w:p>
          <w:p w14:paraId="62ED313C">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w:t>
            </w:r>
            <w:r>
              <w:rPr>
                <w:rFonts w:hint="eastAsia" w:ascii="宋体" w:hAnsi="宋体" w:cs="宋体"/>
                <w:color w:val="auto"/>
                <w:sz w:val="21"/>
                <w:szCs w:val="21"/>
                <w:highlight w:val="none"/>
                <w:lang w:val="en-US" w:eastAsia="zh-CN"/>
              </w:rPr>
              <w:t>江西</w:t>
            </w:r>
            <w:r>
              <w:rPr>
                <w:rFonts w:hint="eastAsia" w:ascii="宋体" w:hAnsi="宋体" w:eastAsia="宋体" w:cs="宋体"/>
                <w:color w:val="auto"/>
                <w:sz w:val="21"/>
                <w:szCs w:val="21"/>
                <w:highlight w:val="none"/>
                <w:lang w:val="en-US" w:eastAsia="zh-CN"/>
              </w:rPr>
              <w:t>线的</w:t>
            </w:r>
            <w:r>
              <w:rPr>
                <w:rFonts w:hint="eastAsia" w:ascii="宋体" w:hAnsi="宋体" w:eastAsia="宋体" w:cs="宋体"/>
                <w:color w:val="auto"/>
                <w:sz w:val="21"/>
                <w:szCs w:val="21"/>
                <w:highlight w:val="none"/>
                <w:lang w:val="zh-CN"/>
              </w:rPr>
              <w:t>车辆安排（包括车辆新旧程度、拟派驾驶员的专业水平、车辆配置的舒适性、</w:t>
            </w:r>
            <w:r>
              <w:rPr>
                <w:rFonts w:hint="eastAsia" w:ascii="宋体" w:hAnsi="宋体" w:eastAsia="宋体" w:cs="宋体"/>
                <w:color w:val="auto"/>
                <w:sz w:val="21"/>
                <w:szCs w:val="21"/>
                <w:highlight w:val="none"/>
                <w:lang w:val="en-US" w:eastAsia="zh-CN"/>
              </w:rPr>
              <w:t>出行时间、用车期间提供的必要物品</w:t>
            </w:r>
            <w:r>
              <w:rPr>
                <w:rFonts w:hint="eastAsia" w:ascii="宋体" w:hAnsi="宋体" w:eastAsia="宋体" w:cs="宋体"/>
                <w:color w:val="auto"/>
                <w:sz w:val="21"/>
                <w:szCs w:val="21"/>
                <w:highlight w:val="none"/>
                <w:lang w:val="zh-CN"/>
              </w:rPr>
              <w:t>）进行评议</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69782713">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驾驶员专业水平高经验丰富、车辆安全性能高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车辆车型档次高、内部舒适度好的得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分；驾驶员具有一定经验、车辆安全性能较高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车辆车型档次较好、内部舒适度较好的得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分；驾驶员经验一般、车辆安全性能一般</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车辆车型一般、内部舒适度一般的得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lang w:val="zh-CN"/>
              </w:rPr>
              <w:t>分。</w:t>
            </w:r>
          </w:p>
          <w:p w14:paraId="4B213AE0">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②根据供应商针对本项目</w:t>
            </w:r>
            <w:r>
              <w:rPr>
                <w:rFonts w:hint="eastAsia" w:ascii="宋体" w:hAnsi="宋体" w:eastAsia="宋体" w:cs="宋体"/>
                <w:color w:val="auto"/>
                <w:sz w:val="21"/>
                <w:szCs w:val="21"/>
                <w:highlight w:val="none"/>
                <w:lang w:val="en-US" w:eastAsia="zh-CN"/>
              </w:rPr>
              <w:t>延吉、厦门线的</w:t>
            </w:r>
            <w:r>
              <w:rPr>
                <w:rFonts w:hint="eastAsia" w:ascii="宋体" w:hAnsi="宋体" w:eastAsia="宋体" w:cs="宋体"/>
                <w:color w:val="auto"/>
                <w:sz w:val="21"/>
                <w:szCs w:val="21"/>
                <w:highlight w:val="none"/>
                <w:lang w:val="zh-CN"/>
              </w:rPr>
              <w:t>车辆安排（包括车辆新旧程度、拟派驾驶员的专业水平、车辆配置的舒适性、</w:t>
            </w:r>
            <w:r>
              <w:rPr>
                <w:rFonts w:hint="eastAsia" w:ascii="宋体" w:hAnsi="宋体" w:eastAsia="宋体" w:cs="宋体"/>
                <w:color w:val="auto"/>
                <w:sz w:val="21"/>
                <w:szCs w:val="21"/>
                <w:highlight w:val="none"/>
                <w:lang w:val="en-US" w:eastAsia="zh-CN"/>
              </w:rPr>
              <w:t>出行时间、用车期间提供的必要物品</w:t>
            </w:r>
            <w:r>
              <w:rPr>
                <w:rFonts w:hint="eastAsia" w:ascii="宋体" w:hAnsi="宋体" w:eastAsia="宋体" w:cs="宋体"/>
                <w:color w:val="auto"/>
                <w:sz w:val="21"/>
                <w:szCs w:val="21"/>
                <w:highlight w:val="none"/>
                <w:lang w:val="zh-CN"/>
              </w:rPr>
              <w:t>）进行评议</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32C8C432">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驾驶员专业水平高经验丰富、车辆安全性能高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车辆车型档次高、内部舒适度好的得</w:t>
            </w:r>
            <w:r>
              <w:rPr>
                <w:rFonts w:hint="eastAsia" w:ascii="宋体" w:hAnsi="宋体" w:eastAsia="宋体" w:cs="宋体"/>
                <w:color w:val="auto"/>
                <w:sz w:val="21"/>
                <w:szCs w:val="21"/>
                <w:highlight w:val="none"/>
                <w:lang w:val="zh-CN" w:eastAsia="zh-CN"/>
              </w:rPr>
              <w:t>6-4</w:t>
            </w:r>
            <w:r>
              <w:rPr>
                <w:rFonts w:hint="eastAsia" w:ascii="宋体" w:hAnsi="宋体" w:eastAsia="宋体" w:cs="宋体"/>
                <w:color w:val="auto"/>
                <w:sz w:val="21"/>
                <w:szCs w:val="21"/>
                <w:highlight w:val="none"/>
                <w:lang w:val="zh-CN"/>
              </w:rPr>
              <w:t>分；驾驶员具有一定经验、车辆安全性能较高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车辆车型档次较好、内部舒适度较好的得</w:t>
            </w:r>
            <w:r>
              <w:rPr>
                <w:rFonts w:hint="eastAsia" w:ascii="宋体" w:hAnsi="宋体" w:eastAsia="宋体" w:cs="宋体"/>
                <w:color w:val="auto"/>
                <w:sz w:val="21"/>
                <w:szCs w:val="21"/>
                <w:highlight w:val="none"/>
                <w:lang w:val="zh-CN" w:eastAsia="zh-CN"/>
              </w:rPr>
              <w:t>3.9-0</w:t>
            </w:r>
            <w:r>
              <w:rPr>
                <w:rFonts w:hint="eastAsia" w:ascii="宋体" w:hAnsi="宋体" w:eastAsia="宋体" w:cs="宋体"/>
                <w:color w:val="auto"/>
                <w:sz w:val="21"/>
                <w:szCs w:val="21"/>
                <w:highlight w:val="none"/>
                <w:lang w:val="zh-CN"/>
              </w:rPr>
              <w:t>分；驾驶员经验一般、车辆安全性能一般</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车辆车型一般、内部舒适度一般的得</w:t>
            </w:r>
            <w:r>
              <w:rPr>
                <w:rFonts w:hint="eastAsia" w:ascii="宋体" w:hAnsi="宋体" w:eastAsia="宋体" w:cs="宋体"/>
                <w:color w:val="auto"/>
                <w:sz w:val="21"/>
                <w:szCs w:val="21"/>
                <w:highlight w:val="none"/>
                <w:lang w:val="zh-CN" w:eastAsia="zh-CN"/>
              </w:rPr>
              <w:t>1.9-0</w:t>
            </w:r>
            <w:r>
              <w:rPr>
                <w:rFonts w:hint="eastAsia" w:ascii="宋体" w:hAnsi="宋体" w:eastAsia="宋体" w:cs="宋体"/>
                <w:color w:val="auto"/>
                <w:sz w:val="21"/>
                <w:szCs w:val="21"/>
                <w:highlight w:val="none"/>
                <w:lang w:val="zh-CN"/>
              </w:rPr>
              <w:t>分。</w:t>
            </w:r>
          </w:p>
        </w:tc>
      </w:tr>
      <w:tr w14:paraId="14AB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23948833">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0157BE87">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、项目服务人员的配置情况（5分）</w:t>
            </w:r>
          </w:p>
          <w:p w14:paraId="5A17FEFA">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投入到本项目的导游：每有一人具有高级导游资质的得2分，每有一人具有中级导游资质的得1分，每有一人具有初级导游资质的得0.5分，本项最多得5分。</w:t>
            </w:r>
          </w:p>
          <w:p w14:paraId="6DC83E48">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color w:val="auto"/>
                <w:kern w:val="2"/>
                <w:sz w:val="21"/>
                <w:szCs w:val="24"/>
                <w:highlight w:val="none"/>
                <w:lang w:val="en-US" w:eastAsia="zh-CN" w:bidi="ar-SA"/>
              </w:rPr>
            </w:pPr>
            <w:r>
              <w:rPr>
                <w:rFonts w:hint="eastAsia" w:ascii="宋体" w:hAnsi="宋体" w:eastAsia="宋体" w:cs="宋体"/>
                <w:color w:val="auto"/>
                <w:highlight w:val="none"/>
              </w:rPr>
              <w:t>【磋商响应文件中须提供导游资质证明及供应商单位在</w:t>
            </w:r>
            <w:r>
              <w:rPr>
                <w:rFonts w:hint="eastAsia" w:ascii="宋体" w:hAnsi="宋体" w:eastAsia="宋体" w:cs="宋体"/>
                <w:color w:val="auto"/>
                <w:highlight w:val="none"/>
                <w:lang w:val="en-US" w:eastAsia="zh-CN"/>
              </w:rPr>
              <w:t>开标前近3个</w:t>
            </w:r>
            <w:r>
              <w:rPr>
                <w:rFonts w:hint="eastAsia" w:ascii="宋体" w:hAnsi="宋体" w:eastAsia="宋体" w:cs="宋体"/>
                <w:color w:val="auto"/>
                <w:highlight w:val="none"/>
              </w:rPr>
              <w:t>月为其缴纳社保证明复印件加盖磋商响应方公章。】</w:t>
            </w:r>
          </w:p>
        </w:tc>
      </w:tr>
      <w:tr w14:paraId="32B8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111770CF">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1E9FB41B">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7</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服务</w:t>
            </w:r>
            <w:r>
              <w:rPr>
                <w:rFonts w:hint="eastAsia" w:ascii="宋体" w:hAnsi="宋体" w:eastAsia="宋体" w:cs="宋体"/>
                <w:b/>
                <w:bCs/>
                <w:color w:val="auto"/>
                <w:highlight w:val="none"/>
                <w:lang w:val="en-US" w:eastAsia="zh-CN"/>
              </w:rPr>
              <w:t>保障</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6分</w:t>
            </w:r>
            <w:r>
              <w:rPr>
                <w:rFonts w:hint="eastAsia" w:ascii="宋体" w:hAnsi="宋体" w:eastAsia="宋体" w:cs="宋体"/>
                <w:b/>
                <w:bCs/>
                <w:color w:val="auto"/>
                <w:highlight w:val="none"/>
                <w:lang w:eastAsia="zh-CN"/>
              </w:rPr>
              <w:t>）</w:t>
            </w:r>
          </w:p>
          <w:p w14:paraId="3DFA31EF">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根据供应商服务响应速度承诺及便利性保障措施、可行性、配合服务便捷程度等进行综合评议，最高得6分。</w:t>
            </w:r>
          </w:p>
          <w:p w14:paraId="48F07EF7">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方案内容完善、措施得力、可行性高、配合服务便捷的得6-4分；方案内容较完善、措施适当、配合服务较为便捷的得3.9-2分；方案内容不完善、措施不力、配合服务较不便利的得1.9-0分。</w:t>
            </w:r>
          </w:p>
        </w:tc>
      </w:tr>
      <w:tr w14:paraId="0435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49968FCB">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124E7BFE">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
                <w:bCs/>
                <w:color w:val="auto"/>
                <w:highlight w:val="none"/>
                <w:lang w:eastAsia="zh-CN"/>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应急保障预案（</w:t>
            </w:r>
            <w:r>
              <w:rPr>
                <w:rFonts w:hint="eastAsia" w:ascii="宋体" w:hAnsi="宋体" w:eastAsia="宋体" w:cs="宋体"/>
                <w:b/>
                <w:bCs/>
                <w:color w:val="auto"/>
                <w:highlight w:val="none"/>
                <w:lang w:val="en-US" w:eastAsia="zh-CN"/>
              </w:rPr>
              <w:t>6分</w:t>
            </w:r>
            <w:r>
              <w:rPr>
                <w:rFonts w:hint="eastAsia" w:ascii="宋体" w:hAnsi="宋体" w:eastAsia="宋体" w:cs="宋体"/>
                <w:b/>
                <w:bCs/>
                <w:color w:val="auto"/>
                <w:highlight w:val="none"/>
                <w:lang w:eastAsia="zh-CN"/>
              </w:rPr>
              <w:t>）</w:t>
            </w:r>
          </w:p>
          <w:p w14:paraId="3BAABD84">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根据供应商针对本项目的安全保障计划</w:t>
            </w:r>
            <w:r>
              <w:rPr>
                <w:rFonts w:hint="eastAsia" w:ascii="宋体" w:hAnsi="宋体" w:eastAsia="宋体" w:cs="宋体"/>
                <w:bCs/>
                <w:color w:val="auto"/>
                <w:highlight w:val="none"/>
                <w:lang w:val="zh-CN" w:eastAsia="zh-CN"/>
              </w:rPr>
              <w:t>、应急预案、保障措施、紧急措施等方案是否全面、合理、科学、具备可操作性等</w:t>
            </w:r>
            <w:r>
              <w:rPr>
                <w:rFonts w:hint="eastAsia" w:ascii="宋体" w:hAnsi="宋体" w:eastAsia="宋体" w:cs="宋体"/>
                <w:bCs/>
                <w:color w:val="auto"/>
                <w:highlight w:val="none"/>
                <w:lang w:val="zh-CN"/>
              </w:rPr>
              <w:t>进行评议，最高得</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lang w:val="zh-CN"/>
              </w:rPr>
              <w:t>分；</w:t>
            </w:r>
          </w:p>
          <w:p w14:paraId="190B1C6F">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Cs/>
                <w:color w:val="auto"/>
                <w:highlight w:val="none"/>
                <w:lang w:val="zh-CN" w:eastAsia="zh-CN"/>
              </w:rPr>
              <w:t>方案内容完善、措施得力、可行性高的得</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lang w:val="zh-CN" w:eastAsia="zh-CN"/>
              </w:rPr>
              <w:t>-4分；方案内容较完善、措施适当的得3.9-2分；方案内容不完善、措施不力的得1.9-0分。</w:t>
            </w:r>
          </w:p>
        </w:tc>
      </w:tr>
      <w:tr w14:paraId="414C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48249648">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5D76598E">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9</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项目分析（</w:t>
            </w:r>
            <w:r>
              <w:rPr>
                <w:rFonts w:hint="eastAsia" w:ascii="宋体" w:hAnsi="宋体" w:eastAsia="宋体" w:cs="宋体"/>
                <w:b/>
                <w:bCs/>
                <w:color w:val="auto"/>
                <w:highlight w:val="none"/>
                <w:lang w:val="en-US" w:eastAsia="zh-CN"/>
              </w:rPr>
              <w:t>5分</w:t>
            </w:r>
            <w:r>
              <w:rPr>
                <w:rFonts w:hint="eastAsia" w:ascii="宋体" w:hAnsi="宋体" w:eastAsia="宋体" w:cs="宋体"/>
                <w:b/>
                <w:bCs/>
                <w:color w:val="auto"/>
                <w:highlight w:val="none"/>
                <w:lang w:eastAsia="zh-CN"/>
              </w:rPr>
              <w:t>）</w:t>
            </w:r>
          </w:p>
          <w:p w14:paraId="489BF6BC">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根据供应商对本次疗休养实施工作程序和步骤、管理和协调方法以及关键步骤和要点等进行综合评议，最高得5分。</w:t>
            </w:r>
          </w:p>
          <w:p w14:paraId="50F9EC1E">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符合实际情况、工作程序和步骤严谨有序、对关键步骤和要点分析精准、管理和协调方法具体详尽、针对性强的得5-4分；在细节上略有欠缺、但能满足本项目需求的得3.9-2分；</w:t>
            </w:r>
          </w:p>
          <w:p w14:paraId="3245B886">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Cs/>
                <w:color w:val="auto"/>
                <w:highlight w:val="none"/>
                <w:lang w:val="zh-CN" w:eastAsia="zh-CN"/>
              </w:rPr>
            </w:pPr>
            <w:r>
              <w:rPr>
                <w:rFonts w:hint="eastAsia" w:ascii="宋体" w:hAnsi="宋体" w:eastAsia="宋体" w:cs="宋体"/>
                <w:color w:val="auto"/>
                <w:sz w:val="21"/>
                <w:szCs w:val="21"/>
                <w:highlight w:val="none"/>
                <w:lang w:val="en-US" w:eastAsia="zh-CN"/>
              </w:rPr>
              <w:t>了解片面、与实际情况存在一定偏差的得1.9-0分。</w:t>
            </w:r>
          </w:p>
        </w:tc>
      </w:tr>
      <w:tr w14:paraId="3192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0966A132">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6CE0D2AD">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10、管理制度（4分）</w:t>
            </w:r>
          </w:p>
          <w:p w14:paraId="10651402">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根据供应商的经营管理制度、日常管理制度、投诉管理机制是否完善等进行综合评议，最高得4分。</w:t>
            </w:r>
          </w:p>
          <w:p w14:paraId="14132BE3">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Cs/>
                <w:color w:val="auto"/>
                <w:highlight w:val="none"/>
                <w:lang w:val="zh-CN" w:eastAsia="zh-CN"/>
              </w:rPr>
            </w:pPr>
            <w:r>
              <w:rPr>
                <w:rFonts w:hint="eastAsia" w:ascii="宋体" w:hAnsi="宋体" w:eastAsia="宋体" w:cs="宋体"/>
                <w:color w:val="auto"/>
                <w:sz w:val="21"/>
                <w:szCs w:val="21"/>
                <w:highlight w:val="none"/>
                <w:lang w:val="en-US" w:eastAsia="zh-CN"/>
              </w:rPr>
              <w:t>制度内容全面完整，台帐建立齐全的得4-3分；制度内容比较全面，可操作性较强的得2.9-1分；制度内容比较笼统，细化程度不足，可操作性一般的得0.9-0分。</w:t>
            </w:r>
          </w:p>
        </w:tc>
      </w:tr>
      <w:tr w14:paraId="4030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594375E9">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51715F9E">
            <w:pPr>
              <w:keepNext w:val="0"/>
              <w:keepLines w:val="0"/>
              <w:pageBreakBefore w:val="0"/>
              <w:widowControl w:val="0"/>
              <w:numPr>
                <w:ilvl w:val="0"/>
                <w:numId w:val="0"/>
              </w:numPr>
              <w:shd w:val="clear"/>
              <w:kinsoku/>
              <w:wordWrap/>
              <w:overflowPunct/>
              <w:topLinePunct w:val="0"/>
              <w:autoSpaceDE/>
              <w:autoSpaceDN/>
              <w:bidi w:val="0"/>
              <w:snapToGrid w:val="0"/>
              <w:spacing w:line="400" w:lineRule="exact"/>
              <w:ind w:leftChars="0"/>
              <w:jc w:val="both"/>
              <w:textAlignment w:val="auto"/>
              <w:rPr>
                <w:rFonts w:hint="eastAsia" w:ascii="宋体" w:hAnsi="宋体" w:eastAsia="宋体" w:cs="宋体"/>
                <w:b/>
                <w:bCs/>
                <w:color w:val="auto"/>
                <w:highlight w:val="none"/>
                <w:lang w:eastAsia="zh-CN"/>
              </w:rPr>
            </w:pPr>
            <w:r>
              <w:rPr>
                <w:rFonts w:hint="eastAsia" w:ascii="宋体" w:hAnsi="宋体" w:cs="宋体"/>
                <w:b/>
                <w:bCs/>
                <w:color w:val="auto"/>
                <w:highlight w:val="none"/>
                <w:lang w:val="en-US" w:eastAsia="zh-CN"/>
              </w:rPr>
              <w:t>11</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lang w:eastAsia="zh-CN"/>
              </w:rPr>
              <w:t>同类业绩（</w:t>
            </w:r>
            <w:r>
              <w:rPr>
                <w:rFonts w:hint="eastAsia" w:ascii="宋体" w:hAnsi="宋体" w:eastAsia="宋体" w:cs="宋体"/>
                <w:b/>
                <w:bCs/>
                <w:color w:val="auto"/>
                <w:highlight w:val="none"/>
                <w:lang w:val="en-US" w:eastAsia="zh-CN"/>
              </w:rPr>
              <w:t>1分</w:t>
            </w:r>
            <w:r>
              <w:rPr>
                <w:rFonts w:hint="eastAsia" w:ascii="宋体" w:hAnsi="宋体" w:eastAsia="宋体" w:cs="宋体"/>
                <w:b/>
                <w:bCs/>
                <w:color w:val="auto"/>
                <w:highlight w:val="none"/>
                <w:lang w:eastAsia="zh-CN"/>
              </w:rPr>
              <w:t>）</w:t>
            </w:r>
          </w:p>
          <w:p w14:paraId="5965BE0B">
            <w:pPr>
              <w:keepNext w:val="0"/>
              <w:keepLines w:val="0"/>
              <w:pageBreakBefore w:val="0"/>
              <w:widowControl w:val="0"/>
              <w:shd w:val="clear"/>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对供应商2022年至今具有的类似项目业绩进行评议（1分）。</w:t>
            </w:r>
          </w:p>
          <w:p w14:paraId="57E22ABE">
            <w:pPr>
              <w:keepNext w:val="0"/>
              <w:keepLines w:val="0"/>
              <w:pageBreakBefore w:val="0"/>
              <w:widowControl w:val="0"/>
              <w:shd w:val="clear"/>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2022年1月1日至今承办过同类项目的每个得0.2分，最高1分。</w:t>
            </w:r>
          </w:p>
          <w:p w14:paraId="7812796E">
            <w:pPr>
              <w:keepNext w:val="0"/>
              <w:keepLines w:val="0"/>
              <w:pageBreakBefore w:val="0"/>
              <w:widowControl w:val="0"/>
              <w:shd w:val="clear"/>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【提供合同（协议）的复印件，合同（协议）的签订日期为2022年1月1日及以后，不符合要求的不予计分。】</w:t>
            </w:r>
          </w:p>
        </w:tc>
      </w:tr>
      <w:tr w14:paraId="1B6A0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915" w:type="dxa"/>
            <w:tcBorders>
              <w:left w:val="single" w:color="auto" w:sz="4" w:space="0"/>
              <w:right w:val="single" w:color="auto" w:sz="4" w:space="0"/>
            </w:tcBorders>
            <w:vAlign w:val="center"/>
          </w:tcPr>
          <w:p w14:paraId="721E2422">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价格分</w:t>
            </w:r>
          </w:p>
          <w:p w14:paraId="3A4DF620">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15</w:t>
            </w:r>
            <w:r>
              <w:rPr>
                <w:rFonts w:hint="eastAsia" w:ascii="宋体" w:hAnsi="宋体" w:eastAsia="宋体" w:cs="宋体"/>
                <w:b/>
                <w:bCs/>
                <w:color w:val="auto"/>
                <w:szCs w:val="21"/>
                <w:highlight w:val="none"/>
              </w:rPr>
              <w:t>分</w:t>
            </w:r>
          </w:p>
        </w:tc>
        <w:tc>
          <w:tcPr>
            <w:tcW w:w="8439" w:type="dxa"/>
            <w:tcBorders>
              <w:left w:val="single" w:color="auto" w:sz="4" w:space="0"/>
              <w:right w:val="single" w:color="auto" w:sz="4" w:space="0"/>
            </w:tcBorders>
            <w:vAlign w:val="center"/>
          </w:tcPr>
          <w:p w14:paraId="574FFD3F">
            <w:pPr>
              <w:keepNext w:val="0"/>
              <w:keepLines w:val="0"/>
              <w:pageBreakBefore w:val="0"/>
              <w:widowControl w:val="0"/>
              <w:shd w:val="clear"/>
              <w:kinsoku/>
              <w:wordWrap/>
              <w:overflowPunct/>
              <w:topLinePunct w:val="0"/>
              <w:autoSpaceDE/>
              <w:autoSpaceDN/>
              <w:bidi w:val="0"/>
              <w:adjustRightInd w:val="0"/>
              <w:snapToGrid w:val="0"/>
              <w:spacing w:line="400" w:lineRule="exact"/>
              <w:contextualSpacing/>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供应商承诺</w:t>
            </w:r>
            <w:r>
              <w:rPr>
                <w:rFonts w:hint="eastAsia" w:ascii="宋体" w:hAnsi="宋体" w:cs="宋体"/>
                <w:bCs/>
                <w:color w:val="auto"/>
                <w:szCs w:val="21"/>
                <w:highlight w:val="none"/>
                <w:lang w:val="en-US" w:eastAsia="zh-CN"/>
              </w:rPr>
              <w:t>江西</w:t>
            </w:r>
            <w:r>
              <w:rPr>
                <w:rFonts w:hint="eastAsia" w:ascii="宋体" w:hAnsi="宋体" w:eastAsia="宋体" w:cs="宋体"/>
                <w:bCs/>
                <w:color w:val="auto"/>
                <w:szCs w:val="21"/>
                <w:highlight w:val="none"/>
                <w:lang w:val="en-US" w:eastAsia="zh-CN"/>
              </w:rPr>
              <w:t>：</w:t>
            </w:r>
            <w:r>
              <w:rPr>
                <w:rFonts w:hint="eastAsia" w:ascii="宋体" w:hAnsi="宋体" w:cs="宋体"/>
                <w:bCs/>
                <w:color w:val="auto"/>
                <w:szCs w:val="21"/>
                <w:highlight w:val="none"/>
                <w:lang w:val="en-US" w:eastAsia="zh-CN"/>
              </w:rPr>
              <w:t>3000</w:t>
            </w:r>
            <w:r>
              <w:rPr>
                <w:rFonts w:hint="eastAsia" w:ascii="宋体" w:hAnsi="宋体" w:eastAsia="宋体" w:cs="宋体"/>
                <w:bCs/>
                <w:color w:val="auto"/>
                <w:szCs w:val="21"/>
                <w:highlight w:val="none"/>
                <w:lang w:val="en-US" w:eastAsia="zh-CN"/>
              </w:rPr>
              <w:t>元/人、</w:t>
            </w:r>
            <w:r>
              <w:rPr>
                <w:rFonts w:hint="eastAsia" w:ascii="宋体" w:hAnsi="宋体" w:cs="宋体"/>
                <w:bCs/>
                <w:color w:val="auto"/>
                <w:szCs w:val="21"/>
                <w:highlight w:val="none"/>
                <w:lang w:val="en-US" w:eastAsia="zh-CN"/>
              </w:rPr>
              <w:t>江苏</w:t>
            </w:r>
            <w:r>
              <w:rPr>
                <w:rFonts w:hint="eastAsia" w:ascii="宋体" w:hAnsi="宋体" w:eastAsia="宋体" w:cs="宋体"/>
                <w:bCs/>
                <w:color w:val="auto"/>
                <w:szCs w:val="21"/>
                <w:highlight w:val="none"/>
                <w:lang w:val="en-US" w:eastAsia="zh-CN"/>
              </w:rPr>
              <w:t>：3000元/人</w:t>
            </w:r>
            <w:r>
              <w:rPr>
                <w:rFonts w:hint="eastAsia" w:ascii="宋体" w:hAnsi="宋体" w:eastAsia="宋体" w:cs="宋体"/>
                <w:bCs/>
                <w:color w:val="auto"/>
                <w:szCs w:val="21"/>
                <w:highlight w:val="none"/>
              </w:rPr>
              <w:t>执行的得</w:t>
            </w:r>
            <w:r>
              <w:rPr>
                <w:rFonts w:hint="eastAsia" w:ascii="宋体" w:hAnsi="宋体" w:eastAsia="宋体" w:cs="宋体"/>
                <w:bCs/>
                <w:color w:val="auto"/>
                <w:szCs w:val="21"/>
                <w:highlight w:val="none"/>
                <w:lang w:val="en-US" w:eastAsia="zh-CN"/>
              </w:rPr>
              <w:t>15</w:t>
            </w:r>
            <w:r>
              <w:rPr>
                <w:rFonts w:hint="eastAsia" w:ascii="宋体" w:hAnsi="宋体" w:eastAsia="宋体" w:cs="宋体"/>
                <w:bCs/>
                <w:color w:val="auto"/>
                <w:szCs w:val="21"/>
                <w:highlight w:val="none"/>
              </w:rPr>
              <w:t>分，否则作无效标处理。</w:t>
            </w:r>
          </w:p>
        </w:tc>
      </w:tr>
    </w:tbl>
    <w:p w14:paraId="30F33F4F">
      <w:pPr>
        <w:rPr>
          <w:color w:val="auto"/>
          <w:highlight w:val="none"/>
        </w:rPr>
      </w:pPr>
    </w:p>
    <w:p w14:paraId="6FA9B497">
      <w:pPr>
        <w:rPr>
          <w:rFonts w:asciiTheme="majorEastAsia" w:hAnsiTheme="majorEastAsia" w:eastAsiaTheme="majorEastAsia"/>
          <w:color w:val="auto"/>
          <w:highlight w:val="none"/>
        </w:rPr>
      </w:pPr>
      <w:bookmarkStart w:id="35" w:name="_Toc522013506"/>
      <w:bookmarkStart w:id="36" w:name="_Toc20990"/>
      <w:r>
        <w:rPr>
          <w:rFonts w:asciiTheme="majorEastAsia" w:hAnsiTheme="majorEastAsia" w:eastAsiaTheme="majorEastAsia"/>
          <w:color w:val="auto"/>
          <w:highlight w:val="none"/>
        </w:rPr>
        <w:br w:type="page"/>
      </w:r>
    </w:p>
    <w:p w14:paraId="7C45118F">
      <w:pPr>
        <w:spacing w:after="330" w:line="360" w:lineRule="auto"/>
        <w:jc w:val="center"/>
        <w:outlineLvl w:val="0"/>
        <w:rPr>
          <w:rFonts w:asciiTheme="majorEastAsia" w:hAnsiTheme="majorEastAsia" w:eastAsiaTheme="majorEastAsia"/>
          <w:b/>
          <w:bCs/>
          <w:color w:val="auto"/>
          <w:sz w:val="32"/>
          <w:szCs w:val="40"/>
          <w:highlight w:val="none"/>
        </w:rPr>
      </w:pPr>
      <w:bookmarkStart w:id="37" w:name="_Toc25161"/>
      <w:bookmarkStart w:id="38" w:name="_Toc18899"/>
      <w:r>
        <w:rPr>
          <w:rFonts w:asciiTheme="majorEastAsia" w:hAnsiTheme="majorEastAsia" w:eastAsiaTheme="majorEastAsia"/>
          <w:b/>
          <w:bCs/>
          <w:color w:val="auto"/>
          <w:sz w:val="32"/>
          <w:szCs w:val="40"/>
          <w:highlight w:val="none"/>
        </w:rPr>
        <w:t xml:space="preserve">第五章  </w:t>
      </w:r>
      <w:bookmarkEnd w:id="35"/>
      <w:bookmarkEnd w:id="36"/>
      <w:bookmarkEnd w:id="37"/>
      <w:r>
        <w:rPr>
          <w:rFonts w:hint="eastAsia" w:asciiTheme="majorEastAsia" w:hAnsiTheme="majorEastAsia" w:eastAsiaTheme="majorEastAsia"/>
          <w:b/>
          <w:bCs/>
          <w:color w:val="auto"/>
          <w:sz w:val="32"/>
          <w:szCs w:val="40"/>
          <w:highlight w:val="none"/>
        </w:rPr>
        <w:t>合同条款及格式</w:t>
      </w:r>
      <w:bookmarkEnd w:id="38"/>
      <w:bookmarkStart w:id="39" w:name="_Toc364002702"/>
    </w:p>
    <w:bookmarkEnd w:id="39"/>
    <w:p w14:paraId="0F232070">
      <w:pPr>
        <w:pageBreakBefore w:val="0"/>
        <w:widowControl w:val="0"/>
        <w:shd w:val="clear"/>
        <w:kinsoku/>
        <w:wordWrap/>
        <w:overflowPunct/>
        <w:topLinePunct w:val="0"/>
        <w:autoSpaceDE/>
        <w:autoSpaceDN/>
        <w:bidi w:val="0"/>
        <w:spacing w:before="240" w:line="360" w:lineRule="auto"/>
        <w:ind w:left="0" w:leftChars="0" w:right="0" w:rightChars="0"/>
        <w:jc w:val="center"/>
        <w:outlineLvl w:val="9"/>
        <w:rPr>
          <w:rFonts w:hint="eastAsia" w:ascii="宋体" w:hAnsi="宋体" w:eastAsia="宋体" w:cs="宋体"/>
          <w:i/>
          <w:color w:val="auto"/>
          <w:szCs w:val="21"/>
          <w:highlight w:val="none"/>
        </w:rPr>
      </w:pPr>
      <w:bookmarkStart w:id="40" w:name="_Toc522013507"/>
      <w:bookmarkStart w:id="41" w:name="_Toc15404"/>
      <w:r>
        <w:rPr>
          <w:rFonts w:hint="eastAsia" w:ascii="宋体" w:hAnsi="宋体" w:eastAsia="宋体" w:cs="宋体"/>
          <w:i/>
          <w:color w:val="auto"/>
          <w:szCs w:val="21"/>
          <w:highlight w:val="none"/>
        </w:rPr>
        <w:t>（仅供参考；本合同为合同样稿，最终稿由甲乙双方协商后确定）</w:t>
      </w:r>
    </w:p>
    <w:p w14:paraId="61159C2C">
      <w:pPr>
        <w:adjustRightInd/>
        <w:snapToGrid w:val="0"/>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项目名称：                   项目编号：               </w:t>
      </w:r>
    </w:p>
    <w:p w14:paraId="3A9194C3">
      <w:pPr>
        <w:adjustRightInd/>
        <w:snapToGrid w:val="0"/>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甲方（采购人）：</w:t>
      </w:r>
    </w:p>
    <w:p w14:paraId="10F619FC">
      <w:pPr>
        <w:adjustRightInd/>
        <w:snapToGrid w:val="0"/>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乙方（旅行社）：</w:t>
      </w:r>
    </w:p>
    <w:p w14:paraId="6FE8AA34">
      <w:pPr>
        <w:widowControl/>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旅游者：____________等_____人（名单可附页，需旅行社和旅游者代表签字盖章确认）；</w:t>
      </w:r>
    </w:p>
    <w:p w14:paraId="12A2F45E">
      <w:pPr>
        <w:widowControl/>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旅行社：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C432F19">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旅行社业务经营许可证编号：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3AB6A3F">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开户行及帐号：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4AA9A92">
      <w:pPr>
        <w:adjustRightInd w:val="0"/>
        <w:spacing w:line="360" w:lineRule="auto"/>
        <w:ind w:firstLine="420" w:firstLineChars="200"/>
        <w:jc w:val="left"/>
        <w:textAlignment w:val="baseline"/>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u w:val="single"/>
        </w:rPr>
        <w:t>乙方委托以下地接社提供地接服务：</w:t>
      </w:r>
    </w:p>
    <w:p w14:paraId="29AEDCE6">
      <w:pPr>
        <w:adjustRightInd w:val="0"/>
        <w:snapToGrid w:val="0"/>
        <w:spacing w:line="360" w:lineRule="auto"/>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地接社名称：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rPr>
        <w:t xml:space="preserve">                          </w:t>
      </w:r>
    </w:p>
    <w:p w14:paraId="2B0D9368">
      <w:pPr>
        <w:widowControl/>
        <w:tabs>
          <w:tab w:val="left" w:pos="477"/>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p>
    <w:p w14:paraId="65027CCA">
      <w:pPr>
        <w:widowControl/>
        <w:tabs>
          <w:tab w:val="left" w:pos="477"/>
        </w:tabs>
        <w:adjustRightInd w:val="0"/>
        <w:spacing w:line="360" w:lineRule="auto"/>
        <w:ind w:firstLine="422"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协议条款</w:t>
      </w:r>
      <w:r>
        <w:rPr>
          <w:rFonts w:hint="eastAsia" w:ascii="宋体" w:hAnsi="宋体" w:eastAsia="宋体" w:cs="宋体"/>
          <w:color w:val="auto"/>
          <w:kern w:val="0"/>
          <w:sz w:val="21"/>
          <w:szCs w:val="21"/>
          <w:highlight w:val="none"/>
        </w:rPr>
        <w:t xml:space="preserve"> </w:t>
      </w:r>
    </w:p>
    <w:p w14:paraId="12C00C82">
      <w:pPr>
        <w:tabs>
          <w:tab w:val="left" w:pos="5565"/>
        </w:tabs>
        <w:adjustRightInd w:val="0"/>
        <w:snapToGrid w:val="0"/>
        <w:spacing w:line="360" w:lineRule="auto"/>
        <w:ind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第一条  线路行程时间</w:t>
      </w:r>
    </w:p>
    <w:p w14:paraId="76D94D69">
      <w:pPr>
        <w:tabs>
          <w:tab w:val="left" w:pos="5565"/>
        </w:tabs>
        <w:adjustRightInd w:val="0"/>
        <w:snapToGri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线路行程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78015F7">
      <w:pPr>
        <w:adjustRightIn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出发时间________年____月____日____时，结束时间________年____月____日____时；共_____天，饭店住宿_____夜。</w:t>
      </w:r>
    </w:p>
    <w:p w14:paraId="0ED9F787">
      <w:pPr>
        <w:tabs>
          <w:tab w:val="left" w:pos="5565"/>
        </w:tabs>
        <w:adjustRightInd w:val="0"/>
        <w:snapToGrid w:val="0"/>
        <w:spacing w:line="360" w:lineRule="auto"/>
        <w:ind w:firstLine="406"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spacing w:val="-4"/>
          <w:kern w:val="0"/>
          <w:sz w:val="21"/>
          <w:szCs w:val="21"/>
          <w:highlight w:val="none"/>
        </w:rPr>
        <w:t xml:space="preserve">第二条  </w:t>
      </w:r>
      <w:r>
        <w:rPr>
          <w:rFonts w:hint="eastAsia" w:ascii="宋体" w:hAnsi="宋体" w:eastAsia="宋体" w:cs="宋体"/>
          <w:b/>
          <w:bCs/>
          <w:color w:val="auto"/>
          <w:kern w:val="0"/>
          <w:sz w:val="21"/>
          <w:szCs w:val="21"/>
          <w:highlight w:val="none"/>
        </w:rPr>
        <w:t>旅游费用及支付（以人民币为计算单位）</w:t>
      </w:r>
    </w:p>
    <w:p w14:paraId="23248A91">
      <w:pPr>
        <w:tabs>
          <w:tab w:val="left" w:pos="5565"/>
        </w:tabs>
        <w:adjustRightIn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成人：_____元/人，儿童（不满12岁）：_____元/人；其中，导游服务费：_____元/人；</w:t>
      </w:r>
    </w:p>
    <w:p w14:paraId="3FFCD24B">
      <w:pPr>
        <w:tabs>
          <w:tab w:val="left" w:pos="5565"/>
        </w:tabs>
        <w:adjustRightInd w:val="0"/>
        <w:spacing w:line="360" w:lineRule="auto"/>
        <w:ind w:firstLine="420" w:firstLineChars="200"/>
        <w:textAlignment w:val="baseline"/>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旅游费用合计：_______________元。</w:t>
      </w:r>
    </w:p>
    <w:p w14:paraId="12600788">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旅游费用支付方式：_______________。旅游费用支付时间：_________________。</w:t>
      </w:r>
    </w:p>
    <w:p w14:paraId="37BA2BD8">
      <w:pPr>
        <w:adjustRightInd w:val="0"/>
        <w:spacing w:line="360" w:lineRule="auto"/>
        <w:ind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第三条  人身意外伤害保险</w:t>
      </w:r>
    </w:p>
    <w:p w14:paraId="6BFAD0C1">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1、旅行社</w:t>
      </w:r>
      <w:r>
        <w:rPr>
          <w:rFonts w:hint="eastAsia" w:ascii="宋体" w:hAnsi="宋体" w:eastAsia="宋体" w:cs="宋体"/>
          <w:color w:val="auto"/>
          <w:kern w:val="0"/>
          <w:sz w:val="21"/>
          <w:szCs w:val="21"/>
          <w:highlight w:val="none"/>
          <w:lang w:val="en-US" w:eastAsia="zh-CN"/>
        </w:rPr>
        <w:t>为</w:t>
      </w:r>
      <w:r>
        <w:rPr>
          <w:rFonts w:hint="eastAsia" w:ascii="宋体" w:hAnsi="宋体" w:eastAsia="宋体" w:cs="宋体"/>
          <w:color w:val="auto"/>
          <w:kern w:val="0"/>
          <w:sz w:val="21"/>
          <w:szCs w:val="21"/>
          <w:highlight w:val="none"/>
        </w:rPr>
        <w:t>旅游者购买旅游全程保险</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保障金额不低于100万元的人身意外保险（其中医疗部分不少于10万元）</w:t>
      </w:r>
      <w:r>
        <w:rPr>
          <w:rFonts w:hint="eastAsia" w:ascii="宋体" w:hAnsi="宋体" w:eastAsia="宋体" w:cs="宋体"/>
          <w:color w:val="auto"/>
          <w:kern w:val="0"/>
          <w:sz w:val="21"/>
          <w:szCs w:val="21"/>
          <w:highlight w:val="none"/>
          <w:lang w:eastAsia="zh-CN"/>
        </w:rPr>
        <w:t>（保险费用包含在投标报价中）</w:t>
      </w:r>
      <w:r>
        <w:rPr>
          <w:rFonts w:hint="eastAsia" w:ascii="宋体" w:hAnsi="宋体" w:eastAsia="宋体" w:cs="宋体"/>
          <w:color w:val="auto"/>
          <w:kern w:val="0"/>
          <w:sz w:val="21"/>
          <w:szCs w:val="21"/>
          <w:highlight w:val="none"/>
        </w:rPr>
        <w:t>；</w:t>
      </w:r>
    </w:p>
    <w:p w14:paraId="0842F8E1">
      <w:pPr>
        <w:tabs>
          <w:tab w:val="left" w:pos="5565"/>
        </w:tabs>
        <w:adjustRightInd w:val="0"/>
        <w:snapToGrid w:val="0"/>
        <w:spacing w:line="360" w:lineRule="auto"/>
        <w:ind w:firstLine="422" w:firstLineChars="200"/>
        <w:jc w:val="left"/>
        <w:textAlignment w:val="baseline"/>
        <w:rPr>
          <w:rFonts w:hint="eastAsia" w:ascii="宋体" w:hAnsi="宋体" w:eastAsia="宋体" w:cs="宋体"/>
          <w:b/>
          <w:bCs/>
          <w:color w:val="auto"/>
          <w:spacing w:val="-4"/>
          <w:kern w:val="0"/>
          <w:sz w:val="21"/>
          <w:szCs w:val="21"/>
          <w:highlight w:val="none"/>
        </w:rPr>
      </w:pPr>
      <w:r>
        <w:rPr>
          <w:rFonts w:hint="eastAsia" w:ascii="宋体" w:hAnsi="宋体" w:eastAsia="宋体" w:cs="宋体"/>
          <w:b/>
          <w:bCs/>
          <w:color w:val="auto"/>
          <w:kern w:val="0"/>
          <w:sz w:val="21"/>
          <w:szCs w:val="21"/>
          <w:highlight w:val="none"/>
        </w:rPr>
        <w:t>第四条</w:t>
      </w:r>
      <w:r>
        <w:rPr>
          <w:rFonts w:hint="eastAsia" w:ascii="宋体" w:hAnsi="宋体" w:eastAsia="宋体" w:cs="宋体"/>
          <w:b/>
          <w:bCs/>
          <w:color w:val="auto"/>
          <w:spacing w:val="-4"/>
          <w:kern w:val="0"/>
          <w:sz w:val="21"/>
          <w:szCs w:val="21"/>
          <w:highlight w:val="none"/>
        </w:rPr>
        <w:t xml:space="preserve">  成团人数与不成团的约定</w:t>
      </w:r>
    </w:p>
    <w:p w14:paraId="2704A7B8">
      <w:pPr>
        <w:tabs>
          <w:tab w:val="left" w:pos="5565"/>
        </w:tabs>
        <w:adjustRightInd w:val="0"/>
        <w:spacing w:line="360" w:lineRule="auto"/>
        <w:ind w:firstLine="404" w:firstLineChars="200"/>
        <w:jc w:val="left"/>
        <w:textAlignment w:val="baseline"/>
        <w:rPr>
          <w:rFonts w:hint="eastAsia" w:ascii="宋体" w:hAnsi="宋体" w:eastAsia="宋体" w:cs="宋体"/>
          <w:bCs/>
          <w:color w:val="auto"/>
          <w:kern w:val="0"/>
          <w:sz w:val="21"/>
          <w:szCs w:val="21"/>
          <w:highlight w:val="none"/>
        </w:rPr>
      </w:pPr>
      <w:r>
        <w:rPr>
          <w:rFonts w:hint="eastAsia" w:ascii="宋体" w:hAnsi="宋体" w:eastAsia="宋体" w:cs="宋体"/>
          <w:iCs/>
          <w:color w:val="auto"/>
          <w:spacing w:val="-4"/>
          <w:kern w:val="0"/>
          <w:sz w:val="21"/>
          <w:szCs w:val="21"/>
          <w:highlight w:val="none"/>
        </w:rPr>
        <w:t>成团的最低人数</w:t>
      </w:r>
      <w:r>
        <w:rPr>
          <w:rFonts w:hint="eastAsia" w:ascii="宋体" w:hAnsi="宋体" w:eastAsia="宋体" w:cs="宋体"/>
          <w:color w:val="auto"/>
          <w:spacing w:val="-4"/>
          <w:kern w:val="0"/>
          <w:sz w:val="21"/>
          <w:szCs w:val="21"/>
          <w:highlight w:val="none"/>
        </w:rPr>
        <w:t>：__________人。</w:t>
      </w:r>
      <w:r>
        <w:rPr>
          <w:rFonts w:hint="eastAsia" w:ascii="宋体" w:hAnsi="宋体" w:eastAsia="宋体" w:cs="宋体"/>
          <w:color w:val="auto"/>
          <w:kern w:val="0"/>
          <w:sz w:val="21"/>
          <w:szCs w:val="21"/>
          <w:highlight w:val="none"/>
        </w:rPr>
        <w:t>如不能成团，旅游者是否同意按下列方式解决：</w:t>
      </w:r>
    </w:p>
    <w:p w14:paraId="0B3BA3ED">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1、________（同意或者不同意，打勾无效）旅行社委托__________________________旅行社履行合同；</w:t>
      </w:r>
    </w:p>
    <w:p w14:paraId="6A79384C">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2、________（同意或者不同意，打勾无效）延期出团；</w:t>
      </w:r>
    </w:p>
    <w:p w14:paraId="1E6D840E">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3、________（同意或者不同意，打勾无效）改变其他线路出团；</w:t>
      </w:r>
    </w:p>
    <w:p w14:paraId="6638636F">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4、________（同意或者不同意，打勾无效）解除合同。</w:t>
      </w:r>
    </w:p>
    <w:p w14:paraId="3FB546C5">
      <w:pPr>
        <w:tabs>
          <w:tab w:val="left" w:pos="5565"/>
        </w:tabs>
        <w:adjustRightInd w:val="0"/>
        <w:snapToGrid w:val="0"/>
        <w:spacing w:line="360" w:lineRule="auto"/>
        <w:ind w:firstLine="422" w:firstLineChars="200"/>
        <w:jc w:val="left"/>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第五条  拼团约定</w:t>
      </w:r>
    </w:p>
    <w:p w14:paraId="470E567D">
      <w:pPr>
        <w:tabs>
          <w:tab w:val="left" w:pos="5565"/>
        </w:tabs>
        <w:adjustRightIn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旅游者________（同意或者不同意，打勾无效）采用拼团方式拼至__________________________________________________________旅行社成团。</w:t>
      </w:r>
    </w:p>
    <w:p w14:paraId="3359ADA3">
      <w:pPr>
        <w:adjustRightInd w:val="0"/>
        <w:snapToGrid w:val="0"/>
        <w:spacing w:line="360" w:lineRule="auto"/>
        <w:ind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第六条  参加另行付费旅游项目约定</w:t>
      </w:r>
    </w:p>
    <w:p w14:paraId="5AE7546A">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1、旅游者可以自主决定是否参加旅行社安排的另行付费旅游项目；</w:t>
      </w:r>
    </w:p>
    <w:p w14:paraId="77458877">
      <w:pPr>
        <w:adjustRightInd w:val="0"/>
        <w:spacing w:line="360" w:lineRule="auto"/>
        <w:ind w:firstLine="420" w:firstLineChars="200"/>
        <w:jc w:val="left"/>
        <w:textAlignment w:val="baseline"/>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2、旅行社可以在不以不合理的低价组织旅游活动、不诱骗旅游者、不获取回扣等不正当利益，且不影响其他旅游者行程安排的前提下，按照平等自愿、诚实信用的原则，与旅游者协商一致达成另行付费旅游项目协议；</w:t>
      </w:r>
      <w:r>
        <w:rPr>
          <w:rFonts w:hint="eastAsia" w:ascii="宋体" w:hAnsi="宋体" w:eastAsia="宋体" w:cs="宋体"/>
          <w:color w:val="auto"/>
          <w:kern w:val="0"/>
          <w:sz w:val="21"/>
          <w:szCs w:val="21"/>
          <w:highlight w:val="none"/>
          <w:lang w:val="en-US" w:eastAsia="zh-CN"/>
        </w:rPr>
        <w:t>本次旅游全程不得安排购物活动。</w:t>
      </w:r>
    </w:p>
    <w:p w14:paraId="05E064D4">
      <w:pPr>
        <w:adjustRightInd w:val="0"/>
        <w:spacing w:line="360" w:lineRule="auto"/>
        <w:ind w:firstLine="420" w:firstLineChars="200"/>
        <w:jc w:val="left"/>
        <w:textAlignment w:val="baseline"/>
        <w:rPr>
          <w:rFonts w:hint="eastAsia" w:ascii="宋体" w:hAnsi="宋体" w:eastAsia="宋体" w:cs="宋体"/>
          <w:iCs/>
          <w:color w:val="auto"/>
          <w:kern w:val="0"/>
          <w:sz w:val="21"/>
          <w:szCs w:val="21"/>
          <w:highlight w:val="none"/>
        </w:rPr>
      </w:pPr>
      <w:r>
        <w:rPr>
          <w:rFonts w:hint="eastAsia" w:ascii="宋体" w:hAnsi="宋体" w:eastAsia="宋体" w:cs="宋体"/>
          <w:color w:val="auto"/>
          <w:kern w:val="0"/>
          <w:sz w:val="21"/>
          <w:szCs w:val="21"/>
          <w:highlight w:val="none"/>
        </w:rPr>
        <w:t>3、另行付费旅游项目</w:t>
      </w:r>
      <w:r>
        <w:rPr>
          <w:rFonts w:hint="eastAsia" w:ascii="宋体" w:hAnsi="宋体" w:eastAsia="宋体" w:cs="宋体"/>
          <w:iCs/>
          <w:color w:val="auto"/>
          <w:kern w:val="0"/>
          <w:sz w:val="21"/>
          <w:szCs w:val="21"/>
          <w:highlight w:val="none"/>
        </w:rPr>
        <w:t>安排应不与《行程单》冲突；</w:t>
      </w:r>
    </w:p>
    <w:p w14:paraId="015A8269">
      <w:pPr>
        <w:adjustRightInd w:val="0"/>
        <w:spacing w:line="360" w:lineRule="auto"/>
        <w:ind w:firstLine="420" w:firstLineChars="200"/>
        <w:jc w:val="left"/>
        <w:textAlignment w:val="baseline"/>
        <w:rPr>
          <w:rFonts w:hint="eastAsia" w:ascii="宋体" w:hAnsi="宋体" w:eastAsia="宋体" w:cs="宋体"/>
          <w:iCs/>
          <w:color w:val="auto"/>
          <w:kern w:val="0"/>
          <w:sz w:val="21"/>
          <w:szCs w:val="21"/>
          <w:highlight w:val="none"/>
        </w:rPr>
      </w:pPr>
      <w:r>
        <w:rPr>
          <w:rFonts w:hint="eastAsia" w:ascii="宋体" w:hAnsi="宋体" w:eastAsia="宋体" w:cs="宋体"/>
          <w:iCs/>
          <w:color w:val="auto"/>
          <w:kern w:val="0"/>
          <w:sz w:val="21"/>
          <w:szCs w:val="21"/>
          <w:highlight w:val="none"/>
        </w:rPr>
        <w:t>4、地接社及其从业人员在行程中安排另</w:t>
      </w:r>
      <w:r>
        <w:rPr>
          <w:rFonts w:hint="eastAsia" w:ascii="宋体" w:hAnsi="宋体" w:eastAsia="宋体" w:cs="宋体"/>
          <w:color w:val="auto"/>
          <w:kern w:val="0"/>
          <w:sz w:val="21"/>
          <w:szCs w:val="21"/>
          <w:highlight w:val="none"/>
        </w:rPr>
        <w:t>行付费旅游项目</w:t>
      </w:r>
      <w:r>
        <w:rPr>
          <w:rFonts w:hint="eastAsia" w:ascii="宋体" w:hAnsi="宋体" w:eastAsia="宋体" w:cs="宋体"/>
          <w:iCs/>
          <w:color w:val="auto"/>
          <w:kern w:val="0"/>
          <w:sz w:val="21"/>
          <w:szCs w:val="21"/>
          <w:highlight w:val="none"/>
        </w:rPr>
        <w:t>的，责任由订立本合同的旅行社承担；</w:t>
      </w:r>
    </w:p>
    <w:p w14:paraId="54E0EBC8">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iCs/>
          <w:color w:val="auto"/>
          <w:kern w:val="0"/>
          <w:sz w:val="21"/>
          <w:szCs w:val="21"/>
          <w:highlight w:val="none"/>
        </w:rPr>
        <w:t>5、另</w:t>
      </w:r>
      <w:r>
        <w:rPr>
          <w:rFonts w:hint="eastAsia" w:ascii="宋体" w:hAnsi="宋体" w:eastAsia="宋体" w:cs="宋体"/>
          <w:color w:val="auto"/>
          <w:kern w:val="0"/>
          <w:sz w:val="21"/>
          <w:szCs w:val="21"/>
          <w:highlight w:val="none"/>
        </w:rPr>
        <w:t>行</w:t>
      </w:r>
      <w:r>
        <w:rPr>
          <w:rFonts w:hint="eastAsia" w:ascii="宋体" w:hAnsi="宋体" w:eastAsia="宋体" w:cs="宋体"/>
          <w:iCs/>
          <w:color w:val="auto"/>
          <w:kern w:val="0"/>
          <w:sz w:val="21"/>
          <w:szCs w:val="21"/>
          <w:highlight w:val="none"/>
        </w:rPr>
        <w:t>付费旅游项目具体约定见《自愿参加另行付费旅游项目补充协议》。</w:t>
      </w:r>
    </w:p>
    <w:p w14:paraId="002861A5">
      <w:pPr>
        <w:tabs>
          <w:tab w:val="left" w:pos="5565"/>
        </w:tabs>
        <w:adjustRightInd w:val="0"/>
        <w:snapToGrid w:val="0"/>
        <w:spacing w:line="360" w:lineRule="auto"/>
        <w:ind w:firstLine="422" w:firstLineChars="200"/>
        <w:jc w:val="left"/>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第七条  争议的解决方式</w:t>
      </w:r>
    </w:p>
    <w:p w14:paraId="43ED6781">
      <w:pPr>
        <w:tabs>
          <w:tab w:val="left" w:pos="5565"/>
        </w:tabs>
        <w:adjustRightInd w:val="0"/>
        <w:snapToGri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本合同履行过程中发生争议，由双方协商解决；亦可向合同签订地的旅游质监执法机构、消费者协会、有关的调解组织等有关部门或者机构申请调解。协商或者调解不成的，按下列第</w:t>
      </w:r>
      <w:r>
        <w:rPr>
          <w:rFonts w:hint="eastAsia" w:ascii="宋体" w:hAnsi="宋体" w:eastAsia="宋体" w:cs="宋体"/>
          <w:color w:val="auto"/>
          <w:kern w:val="0"/>
          <w:sz w:val="21"/>
          <w:szCs w:val="21"/>
          <w:highlight w:val="none"/>
          <w:u w:val="single"/>
        </w:rPr>
        <w:t>2</w:t>
      </w:r>
      <w:r>
        <w:rPr>
          <w:rFonts w:hint="eastAsia" w:ascii="宋体" w:hAnsi="宋体" w:eastAsia="宋体" w:cs="宋体"/>
          <w:color w:val="auto"/>
          <w:kern w:val="0"/>
          <w:sz w:val="21"/>
          <w:szCs w:val="21"/>
          <w:highlight w:val="none"/>
        </w:rPr>
        <w:t>种方式解决：</w:t>
      </w:r>
    </w:p>
    <w:p w14:paraId="129314A4">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1、提交</w:t>
      </w:r>
      <w:r>
        <w:rPr>
          <w:rFonts w:hint="eastAsia" w:ascii="宋体" w:hAnsi="宋体" w:eastAsia="宋体" w:cs="宋体"/>
          <w:color w:val="auto"/>
          <w:kern w:val="0"/>
          <w:sz w:val="21"/>
          <w:szCs w:val="21"/>
          <w:highlight w:val="none"/>
          <w:u w:val="single"/>
        </w:rPr>
        <w:t>宁波市</w:t>
      </w:r>
      <w:r>
        <w:rPr>
          <w:rFonts w:hint="eastAsia" w:ascii="宋体" w:hAnsi="宋体" w:eastAsia="宋体" w:cs="宋体"/>
          <w:color w:val="auto"/>
          <w:kern w:val="0"/>
          <w:sz w:val="21"/>
          <w:szCs w:val="21"/>
          <w:highlight w:val="none"/>
        </w:rPr>
        <w:t>仲裁委员会仲裁；</w:t>
      </w:r>
    </w:p>
    <w:p w14:paraId="33395621">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2、依法向人民法院起诉。</w:t>
      </w:r>
    </w:p>
    <w:p w14:paraId="40F12E16">
      <w:pPr>
        <w:tabs>
          <w:tab w:val="left" w:pos="5565"/>
        </w:tabs>
        <w:adjustRightInd w:val="0"/>
        <w:spacing w:line="360" w:lineRule="auto"/>
        <w:ind w:firstLine="422" w:firstLineChars="200"/>
        <w:jc w:val="left"/>
        <w:textAlignment w:val="baseline"/>
        <w:rPr>
          <w:rFonts w:hint="eastAsia" w:ascii="宋体" w:hAnsi="宋体" w:eastAsia="宋体" w:cs="宋体"/>
          <w:b/>
          <w:iCs/>
          <w:color w:val="auto"/>
          <w:kern w:val="0"/>
          <w:sz w:val="21"/>
          <w:szCs w:val="21"/>
          <w:highlight w:val="none"/>
        </w:rPr>
      </w:pPr>
      <w:r>
        <w:rPr>
          <w:rFonts w:hint="eastAsia" w:ascii="宋体" w:hAnsi="宋体" w:eastAsia="宋体" w:cs="宋体"/>
          <w:b/>
          <w:color w:val="auto"/>
          <w:kern w:val="0"/>
          <w:sz w:val="21"/>
          <w:szCs w:val="21"/>
          <w:highlight w:val="none"/>
        </w:rPr>
        <w:t xml:space="preserve">第八条  </w:t>
      </w:r>
      <w:r>
        <w:rPr>
          <w:rFonts w:hint="eastAsia" w:ascii="宋体" w:hAnsi="宋体" w:eastAsia="宋体" w:cs="宋体"/>
          <w:b/>
          <w:iCs/>
          <w:color w:val="auto"/>
          <w:kern w:val="0"/>
          <w:sz w:val="21"/>
          <w:szCs w:val="21"/>
          <w:highlight w:val="none"/>
        </w:rPr>
        <w:t>其他约定事项</w:t>
      </w:r>
    </w:p>
    <w:p w14:paraId="41FD7323">
      <w:pPr>
        <w:tabs>
          <w:tab w:val="left" w:pos="5565"/>
        </w:tabs>
        <w:adjustRightInd w:val="0"/>
        <w:snapToGrid w:val="0"/>
        <w:spacing w:line="360" w:lineRule="auto"/>
        <w:ind w:firstLine="411" w:firstLineChars="196"/>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未尽事宜，经旅游者和旅行社双方协商一致，可以列入补充条款。（如合同空间不够，可以另附纸张，由双方签字或者盖章确认。）</w:t>
      </w:r>
    </w:p>
    <w:p w14:paraId="26F27C76">
      <w:pPr>
        <w:adjustRightInd w:val="0"/>
        <w:spacing w:line="360" w:lineRule="auto"/>
        <w:textAlignment w:val="baseline"/>
        <w:rPr>
          <w:rFonts w:hint="eastAsia" w:ascii="宋体" w:hAnsi="宋体" w:eastAsia="宋体" w:cs="宋体"/>
          <w:color w:val="auto"/>
          <w:kern w:val="0"/>
          <w:sz w:val="21"/>
          <w:szCs w:val="21"/>
          <w:highlight w:val="none"/>
        </w:rPr>
      </w:pPr>
    </w:p>
    <w:p w14:paraId="4D26F235">
      <w:pPr>
        <w:adjustRightInd w:val="0"/>
        <w:spacing w:line="360" w:lineRule="auto"/>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______________________________公司就旅游合同、行程须知中的特别提醒、警示以及合同中对旅行社责任免除等约定，贵公司已提醒我注意并向我作了充分的说明，对此内容我已知悉，根据我目前的健康状况，我适宜参加本次旅游。</w:t>
      </w:r>
    </w:p>
    <w:p w14:paraId="76FDB73E">
      <w:pPr>
        <w:adjustRightInd w:val="0"/>
        <w:spacing w:line="360" w:lineRule="auto"/>
        <w:ind w:firstLine="420" w:firstLineChars="199"/>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第九条  合同效力</w:t>
      </w:r>
    </w:p>
    <w:p w14:paraId="4FE6A50B">
      <w:pPr>
        <w:widowControl/>
        <w:tabs>
          <w:tab w:val="left" w:pos="5565"/>
        </w:tabs>
        <w:adjustRightInd w:val="0"/>
        <w:spacing w:line="360" w:lineRule="auto"/>
        <w:ind w:firstLine="210" w:firstLineChars="1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本合同一式</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份，双方各持</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份，具有同等法律效力，自双方当事人签字或者盖章之日起生效。</w:t>
      </w:r>
    </w:p>
    <w:p w14:paraId="7D6E01A9">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旅游者代表签字（盖章）：_____________    旅行社盖章：________________________</w:t>
      </w:r>
    </w:p>
    <w:p w14:paraId="6ED0B321">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证件号码：</w:t>
      </w:r>
      <w:r>
        <w:rPr>
          <w:rFonts w:hint="eastAsia" w:ascii="宋体" w:hAnsi="宋体" w:eastAsia="宋体" w:cs="宋体"/>
          <w:color w:val="auto"/>
          <w:kern w:val="0"/>
          <w:sz w:val="21"/>
          <w:szCs w:val="21"/>
          <w:highlight w:val="none"/>
          <w:lang w:val="zh-CN"/>
        </w:rPr>
        <w:t>___________________________</w:t>
      </w:r>
      <w:r>
        <w:rPr>
          <w:rFonts w:hint="eastAsia" w:ascii="宋体" w:hAnsi="宋体" w:eastAsia="宋体" w:cs="宋体"/>
          <w:color w:val="auto"/>
          <w:kern w:val="0"/>
          <w:sz w:val="21"/>
          <w:szCs w:val="21"/>
          <w:highlight w:val="none"/>
        </w:rPr>
        <w:t xml:space="preserve">    签约代表签字（盖章）：______________</w:t>
      </w:r>
    </w:p>
    <w:p w14:paraId="5E5C4B58">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    址：</w:t>
      </w:r>
      <w:r>
        <w:rPr>
          <w:rFonts w:hint="eastAsia" w:ascii="宋体" w:hAnsi="宋体" w:eastAsia="宋体" w:cs="宋体"/>
          <w:color w:val="auto"/>
          <w:kern w:val="0"/>
          <w:sz w:val="21"/>
          <w:szCs w:val="21"/>
          <w:highlight w:val="none"/>
          <w:lang w:val="zh-CN"/>
        </w:rPr>
        <w:t>___________________________</w:t>
      </w:r>
      <w:r>
        <w:rPr>
          <w:rFonts w:hint="eastAsia" w:ascii="宋体" w:hAnsi="宋体" w:eastAsia="宋体" w:cs="宋体"/>
          <w:color w:val="auto"/>
          <w:kern w:val="0"/>
          <w:sz w:val="21"/>
          <w:szCs w:val="21"/>
          <w:highlight w:val="none"/>
        </w:rPr>
        <w:t xml:space="preserve">    营业地址（网点）：____________________</w:t>
      </w:r>
    </w:p>
    <w:p w14:paraId="3EA621CE">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lang w:val="zh-CN"/>
        </w:rPr>
        <w:t>___________________________</w:t>
      </w:r>
      <w:r>
        <w:rPr>
          <w:rFonts w:hint="eastAsia" w:ascii="宋体" w:hAnsi="宋体" w:eastAsia="宋体" w:cs="宋体"/>
          <w:color w:val="auto"/>
          <w:kern w:val="0"/>
          <w:sz w:val="21"/>
          <w:szCs w:val="21"/>
          <w:highlight w:val="none"/>
        </w:rPr>
        <w:t xml:space="preserve">    联系电话：</w:t>
      </w:r>
      <w:r>
        <w:rPr>
          <w:rFonts w:hint="eastAsia" w:ascii="宋体" w:hAnsi="宋体" w:eastAsia="宋体" w:cs="宋体"/>
          <w:i/>
          <w:iCs/>
          <w:color w:val="auto"/>
          <w:kern w:val="0"/>
          <w:sz w:val="21"/>
          <w:szCs w:val="21"/>
          <w:highlight w:val="none"/>
          <w:u w:val="single"/>
        </w:rPr>
        <w:t xml:space="preserve">                          </w:t>
      </w:r>
    </w:p>
    <w:p w14:paraId="2C989E38">
      <w:pPr>
        <w:tabs>
          <w:tab w:val="left" w:pos="5565"/>
        </w:tabs>
        <w:adjustRightInd w:val="0"/>
        <w:spacing w:line="360" w:lineRule="auto"/>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签约日期：__________年______月______日   签约日期：_________年______月______日</w:t>
      </w:r>
    </w:p>
    <w:p w14:paraId="7454C77B">
      <w:pPr>
        <w:keepNext w:val="0"/>
        <w:keepLines w:val="0"/>
        <w:pageBreakBefore w:val="0"/>
        <w:shd w:val="clear"/>
        <w:kinsoku/>
        <w:overflowPunct/>
        <w:topLinePunct w:val="0"/>
        <w:autoSpaceDE/>
        <w:autoSpaceDN/>
        <w:bidi w:val="0"/>
        <w:adjustRightInd/>
        <w:spacing w:line="408" w:lineRule="auto"/>
        <w:jc w:val="left"/>
        <w:textAlignment w:val="auto"/>
        <w:outlineLvl w:val="9"/>
        <w:rPr>
          <w:rFonts w:ascii="宋体" w:hAnsi="宋体" w:eastAsia="宋体" w:cs="宋体"/>
          <w:color w:val="auto"/>
          <w:szCs w:val="21"/>
          <w:highlight w:val="none"/>
        </w:rPr>
      </w:pPr>
      <w:r>
        <w:rPr>
          <w:rFonts w:hint="eastAsia" w:ascii="宋体" w:hAnsi="宋体" w:eastAsia="宋体" w:cs="宋体"/>
          <w:color w:val="auto"/>
          <w:kern w:val="0"/>
          <w:sz w:val="21"/>
          <w:szCs w:val="21"/>
          <w:highlight w:val="none"/>
        </w:rPr>
        <w:t xml:space="preserve">签约地点：                             旅行社监督、投诉电话：  </w:t>
      </w:r>
    </w:p>
    <w:p w14:paraId="64B23F2D">
      <w:pPr>
        <w:spacing w:line="400" w:lineRule="exact"/>
        <w:jc w:val="right"/>
        <w:outlineLvl w:val="0"/>
        <w:rPr>
          <w:rFonts w:ascii="宋体" w:hAnsi="宋体" w:cs="宋体"/>
          <w:color w:val="auto"/>
          <w:szCs w:val="21"/>
          <w:highlight w:val="none"/>
        </w:rPr>
      </w:pPr>
    </w:p>
    <w:p w14:paraId="5B69C446">
      <w:pPr>
        <w:snapToGrid w:val="0"/>
        <w:spacing w:line="360" w:lineRule="auto"/>
        <w:ind w:firstLine="420" w:firstLineChars="200"/>
        <w:rPr>
          <w:rFonts w:ascii="宋体" w:hAnsi="宋体" w:cs="宋体"/>
          <w:color w:val="auto"/>
          <w:szCs w:val="21"/>
          <w:highlight w:val="none"/>
        </w:rPr>
      </w:pPr>
    </w:p>
    <w:p w14:paraId="13DC790B">
      <w:pPr>
        <w:rPr>
          <w:rFonts w:ascii="宋体" w:hAnsi="宋体" w:cs="宋体"/>
          <w:color w:val="auto"/>
          <w:spacing w:val="-4"/>
          <w:szCs w:val="21"/>
          <w:highlight w:val="none"/>
        </w:rPr>
      </w:pPr>
      <w:r>
        <w:rPr>
          <w:rFonts w:hint="eastAsia" w:ascii="宋体" w:hAnsi="宋体" w:cs="宋体"/>
          <w:color w:val="auto"/>
          <w:spacing w:val="-4"/>
          <w:szCs w:val="21"/>
          <w:highlight w:val="none"/>
        </w:rPr>
        <w:br w:type="page"/>
      </w:r>
    </w:p>
    <w:p w14:paraId="4C375077">
      <w:pPr>
        <w:spacing w:after="330"/>
        <w:jc w:val="center"/>
        <w:outlineLvl w:val="0"/>
        <w:rPr>
          <w:rFonts w:asciiTheme="majorEastAsia" w:hAnsiTheme="majorEastAsia" w:eastAsiaTheme="majorEastAsia"/>
          <w:color w:val="auto"/>
          <w:highlight w:val="none"/>
        </w:rPr>
      </w:pPr>
      <w:bookmarkStart w:id="42" w:name="_Toc24904"/>
      <w:r>
        <w:rPr>
          <w:rFonts w:asciiTheme="majorEastAsia" w:hAnsiTheme="majorEastAsia" w:eastAsiaTheme="majorEastAsia"/>
          <w:b/>
          <w:bCs/>
          <w:color w:val="auto"/>
          <w:sz w:val="32"/>
          <w:szCs w:val="40"/>
          <w:highlight w:val="none"/>
        </w:rPr>
        <w:t>第六章  响应文件格式</w:t>
      </w:r>
      <w:bookmarkEnd w:id="40"/>
      <w:bookmarkEnd w:id="41"/>
      <w:bookmarkEnd w:id="42"/>
    </w:p>
    <w:p w14:paraId="120E8F86">
      <w:pPr>
        <w:snapToGrid w:val="0"/>
        <w:spacing w:line="440" w:lineRule="exact"/>
        <w:rPr>
          <w:rFonts w:asciiTheme="majorEastAsia" w:hAnsiTheme="majorEastAsia" w:eastAsiaTheme="majorEastAsia"/>
          <w:b/>
          <w:bCs/>
          <w:color w:val="auto"/>
          <w:szCs w:val="21"/>
          <w:highlight w:val="none"/>
        </w:rPr>
      </w:pPr>
      <w:bookmarkStart w:id="43" w:name="_Toc476585059"/>
      <w:r>
        <w:rPr>
          <w:rFonts w:asciiTheme="majorEastAsia" w:hAnsiTheme="majorEastAsia" w:eastAsiaTheme="majorEastAsia"/>
          <w:b/>
          <w:bCs/>
          <w:color w:val="auto"/>
          <w:szCs w:val="21"/>
          <w:highlight w:val="none"/>
        </w:rPr>
        <w:t>一、</w:t>
      </w:r>
      <w:r>
        <w:rPr>
          <w:rFonts w:hint="eastAsia" w:asciiTheme="majorEastAsia" w:hAnsiTheme="majorEastAsia" w:eastAsiaTheme="majorEastAsia"/>
          <w:b/>
          <w:bCs/>
          <w:color w:val="auto"/>
          <w:szCs w:val="21"/>
          <w:highlight w:val="none"/>
        </w:rPr>
        <w:t>备份响应文件</w:t>
      </w:r>
      <w:r>
        <w:rPr>
          <w:rFonts w:asciiTheme="majorEastAsia" w:hAnsiTheme="majorEastAsia" w:eastAsiaTheme="majorEastAsia"/>
          <w:b/>
          <w:bCs/>
          <w:color w:val="auto"/>
          <w:szCs w:val="21"/>
          <w:highlight w:val="none"/>
        </w:rPr>
        <w:t>外层包装封面格式</w:t>
      </w:r>
      <w:bookmarkEnd w:id="43"/>
    </w:p>
    <w:p w14:paraId="3DF356F9">
      <w:pPr>
        <w:snapToGrid w:val="0"/>
        <w:spacing w:line="440" w:lineRule="exact"/>
        <w:jc w:val="center"/>
        <w:rPr>
          <w:rFonts w:asciiTheme="majorEastAsia" w:hAnsiTheme="majorEastAsia" w:eastAsiaTheme="majorEastAsia"/>
          <w:color w:val="auto"/>
          <w:szCs w:val="21"/>
          <w:highlight w:val="none"/>
        </w:rPr>
      </w:pPr>
    </w:p>
    <w:p w14:paraId="62D04795">
      <w:pPr>
        <w:snapToGrid w:val="0"/>
        <w:spacing w:line="440" w:lineRule="exact"/>
        <w:jc w:val="center"/>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 xml:space="preserve">    </w:t>
      </w:r>
      <w:r>
        <w:rPr>
          <w:rFonts w:hint="eastAsia" w:asciiTheme="majorEastAsia" w:hAnsiTheme="majorEastAsia" w:eastAsiaTheme="majorEastAsia"/>
          <w:b/>
          <w:bCs/>
          <w:color w:val="auto"/>
          <w:szCs w:val="21"/>
          <w:highlight w:val="none"/>
        </w:rPr>
        <w:t xml:space="preserve">响 应 </w:t>
      </w:r>
      <w:r>
        <w:rPr>
          <w:rFonts w:asciiTheme="majorEastAsia" w:hAnsiTheme="majorEastAsia" w:eastAsiaTheme="majorEastAsia"/>
          <w:b/>
          <w:bCs/>
          <w:color w:val="auto"/>
          <w:szCs w:val="21"/>
          <w:highlight w:val="none"/>
        </w:rPr>
        <w:t xml:space="preserve">文 件        </w:t>
      </w:r>
    </w:p>
    <w:p w14:paraId="38A6CE48">
      <w:pPr>
        <w:snapToGrid w:val="0"/>
        <w:spacing w:line="440" w:lineRule="exact"/>
        <w:rPr>
          <w:rFonts w:asciiTheme="majorEastAsia" w:hAnsiTheme="majorEastAsia" w:eastAsiaTheme="majorEastAsia"/>
          <w:bCs/>
          <w:color w:val="auto"/>
          <w:szCs w:val="21"/>
          <w:highlight w:val="none"/>
        </w:rPr>
      </w:pPr>
    </w:p>
    <w:p w14:paraId="0A1A0D27">
      <w:pPr>
        <w:snapToGrid w:val="0"/>
        <w:spacing w:line="440" w:lineRule="exact"/>
        <w:rPr>
          <w:rFonts w:asciiTheme="majorEastAsia" w:hAnsiTheme="majorEastAsia" w:eastAsiaTheme="majorEastAsia"/>
          <w:bCs/>
          <w:color w:val="auto"/>
          <w:szCs w:val="21"/>
          <w:highlight w:val="none"/>
        </w:rPr>
      </w:pPr>
    </w:p>
    <w:p w14:paraId="4F8B4362">
      <w:pPr>
        <w:snapToGrid w:val="0"/>
        <w:spacing w:line="440" w:lineRule="exac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 xml:space="preserve">项目名称： </w:t>
      </w:r>
    </w:p>
    <w:p w14:paraId="3E66534D">
      <w:pPr>
        <w:snapToGrid w:val="0"/>
        <w:spacing w:line="440" w:lineRule="exact"/>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项目</w:t>
      </w:r>
      <w:r>
        <w:rPr>
          <w:rFonts w:asciiTheme="majorEastAsia" w:hAnsiTheme="majorEastAsia" w:eastAsiaTheme="majorEastAsia"/>
          <w:bCs/>
          <w:color w:val="auto"/>
          <w:szCs w:val="21"/>
          <w:highlight w:val="none"/>
        </w:rPr>
        <w:t xml:space="preserve">编号： </w:t>
      </w:r>
    </w:p>
    <w:p w14:paraId="2DFE1024">
      <w:pPr>
        <w:snapToGrid w:val="0"/>
        <w:spacing w:line="440" w:lineRule="exac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响应文件名称：</w:t>
      </w:r>
      <w:r>
        <w:rPr>
          <w:rFonts w:hint="eastAsia" w:asciiTheme="majorEastAsia" w:hAnsiTheme="majorEastAsia" w:eastAsiaTheme="majorEastAsia"/>
          <w:bCs/>
          <w:color w:val="auto"/>
          <w:szCs w:val="21"/>
          <w:highlight w:val="none"/>
        </w:rPr>
        <w:t>电子响应文件的备份文件</w:t>
      </w:r>
    </w:p>
    <w:p w14:paraId="5E550322">
      <w:pPr>
        <w:pStyle w:val="15"/>
        <w:snapToGrid w:val="0"/>
        <w:spacing w:line="440" w:lineRule="exact"/>
        <w:ind w:firstLine="0"/>
        <w:rPr>
          <w:rFonts w:asciiTheme="majorEastAsia" w:hAnsiTheme="majorEastAsia" w:eastAsiaTheme="majorEastAsia"/>
          <w:bCs/>
          <w:color w:val="auto"/>
          <w:szCs w:val="21"/>
          <w:highlight w:val="none"/>
        </w:rPr>
      </w:pPr>
    </w:p>
    <w:p w14:paraId="263DE103">
      <w:pPr>
        <w:pStyle w:val="15"/>
        <w:snapToGrid w:val="0"/>
        <w:spacing w:line="440" w:lineRule="exact"/>
        <w:ind w:firstLine="0"/>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供应商名称：</w:t>
      </w:r>
    </w:p>
    <w:p w14:paraId="4A0CEF17">
      <w:pPr>
        <w:pStyle w:val="15"/>
        <w:snapToGrid w:val="0"/>
        <w:spacing w:line="440" w:lineRule="exact"/>
        <w:ind w:firstLine="0"/>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供应商地址：</w:t>
      </w:r>
    </w:p>
    <w:p w14:paraId="0106552E">
      <w:pPr>
        <w:pStyle w:val="15"/>
        <w:snapToGrid w:val="0"/>
        <w:spacing w:line="440" w:lineRule="exact"/>
        <w:ind w:firstLine="932" w:firstLineChars="444"/>
        <w:jc w:val="center"/>
        <w:rPr>
          <w:rFonts w:asciiTheme="majorEastAsia" w:hAnsiTheme="majorEastAsia" w:eastAsiaTheme="majorEastAsia"/>
          <w:bCs/>
          <w:color w:val="auto"/>
          <w:szCs w:val="21"/>
          <w:highlight w:val="none"/>
        </w:rPr>
      </w:pPr>
    </w:p>
    <w:p w14:paraId="358CBD8F">
      <w:pPr>
        <w:pStyle w:val="15"/>
        <w:snapToGrid w:val="0"/>
        <w:spacing w:line="440" w:lineRule="exact"/>
        <w:ind w:firstLine="0"/>
        <w:jc w:val="center"/>
        <w:rPr>
          <w:rFonts w:asciiTheme="majorEastAsia" w:hAnsiTheme="majorEastAsia" w:eastAsiaTheme="majorEastAsia"/>
          <w:b/>
          <w:color w:val="auto"/>
          <w:szCs w:val="21"/>
          <w:highlight w:val="none"/>
        </w:rPr>
      </w:pPr>
      <w:r>
        <w:rPr>
          <w:rFonts w:asciiTheme="majorEastAsia" w:hAnsiTheme="majorEastAsia" w:eastAsiaTheme="majorEastAsia"/>
          <w:b/>
          <w:bCs/>
          <w:color w:val="auto"/>
          <w:szCs w:val="21"/>
          <w:highlight w:val="none"/>
        </w:rPr>
        <w:t>提交首次响应文件截止时间后</w:t>
      </w:r>
      <w:r>
        <w:rPr>
          <w:rFonts w:asciiTheme="majorEastAsia" w:hAnsiTheme="majorEastAsia" w:eastAsiaTheme="majorEastAsia"/>
          <w:b/>
          <w:color w:val="auto"/>
          <w:szCs w:val="21"/>
          <w:highlight w:val="none"/>
        </w:rPr>
        <w:t>启封</w:t>
      </w:r>
    </w:p>
    <w:p w14:paraId="3AE16FB7">
      <w:pPr>
        <w:snapToGrid w:val="0"/>
        <w:spacing w:line="440" w:lineRule="exact"/>
        <w:ind w:firstLine="3570" w:firstLineChars="1700"/>
        <w:rPr>
          <w:rFonts w:asciiTheme="majorEastAsia" w:hAnsiTheme="majorEastAsia" w:eastAsiaTheme="majorEastAsia"/>
          <w:bCs/>
          <w:color w:val="auto"/>
          <w:szCs w:val="21"/>
          <w:highlight w:val="none"/>
        </w:rPr>
      </w:pPr>
    </w:p>
    <w:p w14:paraId="1F17C378">
      <w:pPr>
        <w:pStyle w:val="15"/>
        <w:snapToGrid w:val="0"/>
        <w:spacing w:line="440" w:lineRule="exact"/>
        <w:ind w:firstLine="873" w:firstLineChars="416"/>
        <w:rPr>
          <w:rFonts w:asciiTheme="majorEastAsia" w:hAnsiTheme="majorEastAsia" w:eastAsiaTheme="majorEastAsia"/>
          <w:color w:val="auto"/>
          <w:szCs w:val="21"/>
          <w:highlight w:val="none"/>
        </w:rPr>
      </w:pPr>
    </w:p>
    <w:p w14:paraId="4C52649E">
      <w:pPr>
        <w:pStyle w:val="15"/>
        <w:snapToGrid w:val="0"/>
        <w:spacing w:line="440" w:lineRule="exact"/>
        <w:ind w:firstLine="873" w:firstLineChars="416"/>
        <w:rPr>
          <w:rFonts w:asciiTheme="majorEastAsia" w:hAnsiTheme="majorEastAsia" w:eastAsiaTheme="majorEastAsia"/>
          <w:color w:val="auto"/>
          <w:szCs w:val="21"/>
          <w:highlight w:val="none"/>
        </w:rPr>
      </w:pPr>
    </w:p>
    <w:p w14:paraId="57FF727E">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7C23B343">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2E046D51">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01F13849">
      <w:pPr>
        <w:snapToGrid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color w:val="auto"/>
          <w:szCs w:val="21"/>
          <w:highlight w:val="none"/>
        </w:rPr>
        <w:t>二</w:t>
      </w:r>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电子</w:t>
      </w:r>
      <w:r>
        <w:rPr>
          <w:rFonts w:asciiTheme="majorEastAsia" w:hAnsiTheme="majorEastAsia" w:eastAsiaTheme="majorEastAsia"/>
          <w:b/>
          <w:color w:val="auto"/>
          <w:szCs w:val="21"/>
          <w:highlight w:val="none"/>
        </w:rPr>
        <w:t>响应文件封面格式</w:t>
      </w:r>
    </w:p>
    <w:p w14:paraId="05826C25">
      <w:pPr>
        <w:spacing w:line="440" w:lineRule="exact"/>
        <w:jc w:val="center"/>
        <w:rPr>
          <w:rFonts w:asciiTheme="majorEastAsia" w:hAnsiTheme="majorEastAsia" w:eastAsiaTheme="majorEastAsia"/>
          <w:color w:val="auto"/>
          <w:szCs w:val="21"/>
          <w:highlight w:val="none"/>
        </w:rPr>
      </w:pPr>
    </w:p>
    <w:p w14:paraId="1613E7DB">
      <w:pPr>
        <w:spacing w:line="440" w:lineRule="exact"/>
        <w:rPr>
          <w:rFonts w:asciiTheme="majorEastAsia" w:hAnsiTheme="majorEastAsia" w:eastAsiaTheme="majorEastAsia"/>
          <w:b/>
          <w:bCs/>
          <w:color w:val="auto"/>
          <w:szCs w:val="21"/>
          <w:highlight w:val="none"/>
        </w:rPr>
      </w:pPr>
    </w:p>
    <w:p w14:paraId="474E128F">
      <w:pPr>
        <w:spacing w:line="440" w:lineRule="exact"/>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bCs/>
          <w:color w:val="auto"/>
          <w:szCs w:val="21"/>
          <w:highlight w:val="none"/>
        </w:rPr>
        <w:t xml:space="preserve">响 应 </w:t>
      </w:r>
      <w:r>
        <w:rPr>
          <w:rFonts w:asciiTheme="majorEastAsia" w:hAnsiTheme="majorEastAsia" w:eastAsiaTheme="majorEastAsia"/>
          <w:b/>
          <w:bCs/>
          <w:color w:val="auto"/>
          <w:szCs w:val="21"/>
          <w:highlight w:val="none"/>
        </w:rPr>
        <w:t>文</w:t>
      </w:r>
      <w:r>
        <w:rPr>
          <w:rFonts w:hint="eastAsia" w:asciiTheme="majorEastAsia" w:hAnsiTheme="majorEastAsia" w:eastAsiaTheme="majorEastAsia"/>
          <w:b/>
          <w:bCs/>
          <w:color w:val="auto"/>
          <w:szCs w:val="21"/>
          <w:highlight w:val="none"/>
        </w:rPr>
        <w:t xml:space="preserve"> </w:t>
      </w:r>
      <w:r>
        <w:rPr>
          <w:rFonts w:asciiTheme="majorEastAsia" w:hAnsiTheme="majorEastAsia" w:eastAsiaTheme="majorEastAsia"/>
          <w:b/>
          <w:bCs/>
          <w:color w:val="auto"/>
          <w:szCs w:val="21"/>
          <w:highlight w:val="none"/>
        </w:rPr>
        <w:t>件</w:t>
      </w:r>
    </w:p>
    <w:p w14:paraId="1DB85945">
      <w:pPr>
        <w:spacing w:line="440" w:lineRule="exact"/>
        <w:rPr>
          <w:rFonts w:asciiTheme="majorEastAsia" w:hAnsiTheme="majorEastAsia" w:eastAsiaTheme="majorEastAsia"/>
          <w:color w:val="auto"/>
          <w:szCs w:val="21"/>
          <w:highlight w:val="none"/>
        </w:rPr>
      </w:pPr>
    </w:p>
    <w:p w14:paraId="43E0CFB2">
      <w:pPr>
        <w:spacing w:line="440" w:lineRule="exact"/>
        <w:rPr>
          <w:rFonts w:asciiTheme="majorEastAsia" w:hAnsiTheme="majorEastAsia" w:eastAsiaTheme="majorEastAsia"/>
          <w:color w:val="auto"/>
          <w:szCs w:val="21"/>
          <w:highlight w:val="none"/>
        </w:rPr>
      </w:pPr>
    </w:p>
    <w:p w14:paraId="0899D6C6">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项目名称：</w:t>
      </w:r>
    </w:p>
    <w:p w14:paraId="6BBB35F8">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项目编号：</w:t>
      </w:r>
    </w:p>
    <w:p w14:paraId="5038D2DD">
      <w:pPr>
        <w:pStyle w:val="15"/>
        <w:snapToGrid w:val="0"/>
        <w:spacing w:line="440" w:lineRule="exact"/>
        <w:ind w:firstLine="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响应文件名称：资信技术文件/报价文件</w:t>
      </w:r>
    </w:p>
    <w:p w14:paraId="1BF25AA7">
      <w:pPr>
        <w:pStyle w:val="15"/>
        <w:snapToGrid w:val="0"/>
        <w:spacing w:line="440" w:lineRule="exact"/>
        <w:ind w:firstLine="0"/>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供应商名称：</w:t>
      </w:r>
    </w:p>
    <w:p w14:paraId="2DAFB02C">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bCs/>
          <w:color w:val="auto"/>
          <w:szCs w:val="21"/>
          <w:highlight w:val="none"/>
        </w:rPr>
        <w:t>供应商地址：</w:t>
      </w:r>
    </w:p>
    <w:p w14:paraId="5F6D0E4D">
      <w:pPr>
        <w:spacing w:line="440" w:lineRule="exact"/>
        <w:jc w:val="center"/>
        <w:rPr>
          <w:rFonts w:asciiTheme="majorEastAsia" w:hAnsiTheme="majorEastAsia" w:eastAsiaTheme="majorEastAsia"/>
          <w:color w:val="auto"/>
          <w:szCs w:val="21"/>
          <w:highlight w:val="none"/>
        </w:rPr>
      </w:pPr>
    </w:p>
    <w:p w14:paraId="20BA50FC">
      <w:pPr>
        <w:spacing w:line="440" w:lineRule="exact"/>
        <w:jc w:val="center"/>
        <w:rPr>
          <w:rFonts w:asciiTheme="majorEastAsia" w:hAnsiTheme="majorEastAsia" w:eastAsiaTheme="majorEastAsia"/>
          <w:color w:val="auto"/>
          <w:szCs w:val="21"/>
          <w:highlight w:val="none"/>
        </w:rPr>
      </w:pPr>
    </w:p>
    <w:p w14:paraId="6DABDD36">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0961B26D">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0DA15721">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2C33EDC6">
      <w:pPr>
        <w:spacing w:line="440" w:lineRule="exact"/>
        <w:jc w:val="center"/>
        <w:rPr>
          <w:rFonts w:asciiTheme="majorEastAsia" w:hAnsiTheme="majorEastAsia" w:eastAsiaTheme="majorEastAsia"/>
          <w:color w:val="auto"/>
          <w:szCs w:val="21"/>
          <w:highlight w:val="none"/>
        </w:rPr>
      </w:pPr>
    </w:p>
    <w:p w14:paraId="6904CB5A">
      <w:pPr>
        <w:spacing w:line="440" w:lineRule="exact"/>
        <w:jc w:val="center"/>
        <w:rPr>
          <w:rFonts w:asciiTheme="majorEastAsia" w:hAnsiTheme="majorEastAsia" w:eastAsiaTheme="majorEastAsia"/>
          <w:color w:val="auto"/>
          <w:szCs w:val="21"/>
          <w:highlight w:val="none"/>
        </w:rPr>
      </w:pPr>
    </w:p>
    <w:p w14:paraId="03BCA8E6">
      <w:pPr>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    </w:t>
      </w:r>
    </w:p>
    <w:p w14:paraId="4E583444">
      <w:pPr>
        <w:spacing w:line="440" w:lineRule="exact"/>
        <w:jc w:val="center"/>
        <w:rPr>
          <w:rFonts w:asciiTheme="majorEastAsia" w:hAnsiTheme="majorEastAsia" w:eastAsiaTheme="majorEastAsia"/>
          <w:color w:val="auto"/>
          <w:szCs w:val="21"/>
          <w:highlight w:val="none"/>
        </w:rPr>
      </w:pPr>
    </w:p>
    <w:p w14:paraId="7E9C1810">
      <w:pPr>
        <w:spacing w:line="440" w:lineRule="exact"/>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格式一：</w:t>
      </w:r>
    </w:p>
    <w:p w14:paraId="3CFA1A72">
      <w:pPr>
        <w:spacing w:line="440" w:lineRule="exact"/>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资格条件自查表</w:t>
      </w:r>
    </w:p>
    <w:p w14:paraId="7A631502">
      <w:pPr>
        <w:pStyle w:val="2"/>
        <w:ind w:firstLine="210"/>
        <w:rPr>
          <w:color w:val="auto"/>
          <w:highlight w:val="none"/>
        </w:rPr>
      </w:pPr>
    </w:p>
    <w:tbl>
      <w:tblPr>
        <w:tblStyle w:val="45"/>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8"/>
        <w:gridCol w:w="5687"/>
        <w:gridCol w:w="1282"/>
        <w:gridCol w:w="1607"/>
      </w:tblGrid>
      <w:tr w14:paraId="39CA1A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778" w:type="dxa"/>
            <w:vAlign w:val="center"/>
          </w:tcPr>
          <w:p w14:paraId="35287E9C">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Style w:val="48"/>
                <w:rFonts w:cs="Times New Roman" w:asciiTheme="majorEastAsia" w:hAnsiTheme="majorEastAsia" w:eastAsiaTheme="majorEastAsia"/>
                <w:b/>
                <w:bCs w:val="0"/>
                <w:color w:val="auto"/>
                <w:szCs w:val="21"/>
                <w:highlight w:val="none"/>
              </w:rPr>
            </w:pPr>
            <w:r>
              <w:rPr>
                <w:rStyle w:val="48"/>
                <w:rFonts w:cs="Times New Roman" w:asciiTheme="majorEastAsia" w:hAnsiTheme="majorEastAsia" w:eastAsiaTheme="majorEastAsia"/>
                <w:b/>
                <w:bCs w:val="0"/>
                <w:color w:val="auto"/>
                <w:szCs w:val="21"/>
                <w:highlight w:val="none"/>
              </w:rPr>
              <w:t>评审</w:t>
            </w:r>
          </w:p>
          <w:p w14:paraId="6EC6BC5B">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bCs w:val="0"/>
                <w:color w:val="auto"/>
                <w:szCs w:val="21"/>
                <w:highlight w:val="none"/>
              </w:rPr>
            </w:pPr>
            <w:r>
              <w:rPr>
                <w:rStyle w:val="48"/>
                <w:rFonts w:cs="Times New Roman" w:asciiTheme="majorEastAsia" w:hAnsiTheme="majorEastAsia" w:eastAsiaTheme="majorEastAsia"/>
                <w:b/>
                <w:bCs w:val="0"/>
                <w:color w:val="auto"/>
                <w:szCs w:val="21"/>
                <w:highlight w:val="none"/>
              </w:rPr>
              <w:t>内容</w:t>
            </w:r>
          </w:p>
        </w:tc>
        <w:tc>
          <w:tcPr>
            <w:tcW w:w="5687" w:type="dxa"/>
            <w:vAlign w:val="center"/>
          </w:tcPr>
          <w:p w14:paraId="4748D794">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color w:val="auto"/>
                <w:szCs w:val="21"/>
                <w:highlight w:val="none"/>
              </w:rPr>
            </w:pPr>
            <w:r>
              <w:rPr>
                <w:rStyle w:val="48"/>
                <w:rFonts w:cs="Times New Roman" w:asciiTheme="majorEastAsia" w:hAnsiTheme="majorEastAsia" w:eastAsiaTheme="majorEastAsia"/>
                <w:color w:val="auto"/>
                <w:szCs w:val="21"/>
                <w:highlight w:val="none"/>
              </w:rPr>
              <w:t>磋商文件要求</w:t>
            </w:r>
          </w:p>
        </w:tc>
        <w:tc>
          <w:tcPr>
            <w:tcW w:w="1282" w:type="dxa"/>
            <w:vAlign w:val="center"/>
          </w:tcPr>
          <w:p w14:paraId="49A57CA0">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color w:val="auto"/>
                <w:szCs w:val="21"/>
                <w:highlight w:val="none"/>
              </w:rPr>
            </w:pPr>
            <w:r>
              <w:rPr>
                <w:rStyle w:val="48"/>
                <w:rFonts w:cs="Times New Roman" w:asciiTheme="majorEastAsia" w:hAnsiTheme="majorEastAsia" w:eastAsiaTheme="majorEastAsia"/>
                <w:color w:val="auto"/>
                <w:szCs w:val="21"/>
                <w:highlight w:val="none"/>
              </w:rPr>
              <w:t>自查结论</w:t>
            </w:r>
          </w:p>
        </w:tc>
        <w:tc>
          <w:tcPr>
            <w:tcW w:w="1607" w:type="dxa"/>
            <w:vAlign w:val="center"/>
          </w:tcPr>
          <w:p w14:paraId="62A14366">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color w:val="auto"/>
                <w:szCs w:val="21"/>
                <w:highlight w:val="none"/>
              </w:rPr>
            </w:pPr>
            <w:r>
              <w:rPr>
                <w:rStyle w:val="48"/>
                <w:rFonts w:cs="Times New Roman" w:asciiTheme="majorEastAsia" w:hAnsiTheme="majorEastAsia" w:eastAsiaTheme="majorEastAsia"/>
                <w:color w:val="auto"/>
                <w:szCs w:val="21"/>
                <w:highlight w:val="none"/>
              </w:rPr>
              <w:t>证明资料页码</w:t>
            </w:r>
          </w:p>
        </w:tc>
      </w:tr>
      <w:tr w14:paraId="7DE329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restart"/>
            <w:vAlign w:val="center"/>
          </w:tcPr>
          <w:p w14:paraId="6A863667">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cs="Times New Roman" w:asciiTheme="majorEastAsia" w:hAnsiTheme="majorEastAsia" w:eastAsiaTheme="majorEastAsia"/>
                <w:b/>
                <w:bCs w:val="0"/>
                <w:color w:val="auto"/>
                <w:szCs w:val="21"/>
                <w:highlight w:val="none"/>
              </w:rPr>
            </w:pPr>
            <w:r>
              <w:rPr>
                <w:rFonts w:hint="eastAsia" w:cs="Times New Roman" w:asciiTheme="majorEastAsia" w:hAnsiTheme="majorEastAsia" w:eastAsiaTheme="majorEastAsia"/>
                <w:b/>
                <w:bCs w:val="0"/>
                <w:color w:val="auto"/>
                <w:szCs w:val="21"/>
                <w:highlight w:val="none"/>
              </w:rPr>
              <w:t>资</w:t>
            </w:r>
          </w:p>
          <w:p w14:paraId="2DB756C1">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cs="Times New Roman" w:asciiTheme="majorEastAsia" w:hAnsiTheme="majorEastAsia" w:eastAsiaTheme="majorEastAsia"/>
                <w:b/>
                <w:bCs w:val="0"/>
                <w:color w:val="auto"/>
                <w:szCs w:val="21"/>
                <w:highlight w:val="none"/>
              </w:rPr>
            </w:pPr>
            <w:r>
              <w:rPr>
                <w:rFonts w:hint="eastAsia" w:cs="Times New Roman" w:asciiTheme="majorEastAsia" w:hAnsiTheme="majorEastAsia" w:eastAsiaTheme="majorEastAsia"/>
                <w:b/>
                <w:bCs w:val="0"/>
                <w:color w:val="auto"/>
                <w:szCs w:val="21"/>
                <w:highlight w:val="none"/>
              </w:rPr>
              <w:t>格</w:t>
            </w:r>
          </w:p>
          <w:p w14:paraId="50FF9CD6">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cs="Times New Roman" w:asciiTheme="majorEastAsia" w:hAnsiTheme="majorEastAsia" w:eastAsiaTheme="majorEastAsia"/>
                <w:b/>
                <w:bCs w:val="0"/>
                <w:color w:val="auto"/>
                <w:szCs w:val="21"/>
                <w:highlight w:val="none"/>
              </w:rPr>
            </w:pPr>
            <w:r>
              <w:rPr>
                <w:rFonts w:hint="eastAsia" w:cs="Times New Roman" w:asciiTheme="majorEastAsia" w:hAnsiTheme="majorEastAsia" w:eastAsiaTheme="majorEastAsia"/>
                <w:b/>
                <w:bCs w:val="0"/>
                <w:color w:val="auto"/>
                <w:szCs w:val="21"/>
                <w:highlight w:val="none"/>
              </w:rPr>
              <w:t>性</w:t>
            </w:r>
          </w:p>
          <w:p w14:paraId="427B7AF7">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cs="Times New Roman" w:asciiTheme="majorEastAsia" w:hAnsiTheme="majorEastAsia" w:eastAsiaTheme="majorEastAsia"/>
                <w:b/>
                <w:bCs w:val="0"/>
                <w:color w:val="auto"/>
                <w:szCs w:val="21"/>
                <w:highlight w:val="none"/>
              </w:rPr>
            </w:pPr>
            <w:r>
              <w:rPr>
                <w:rFonts w:hint="eastAsia" w:cs="Times New Roman" w:asciiTheme="majorEastAsia" w:hAnsiTheme="majorEastAsia" w:eastAsiaTheme="majorEastAsia"/>
                <w:b/>
                <w:bCs w:val="0"/>
                <w:color w:val="auto"/>
                <w:szCs w:val="21"/>
                <w:highlight w:val="none"/>
              </w:rPr>
              <w:t>审</w:t>
            </w:r>
          </w:p>
          <w:p w14:paraId="5947D0EE">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bCs w:val="0"/>
                <w:color w:val="auto"/>
                <w:szCs w:val="21"/>
                <w:highlight w:val="none"/>
              </w:rPr>
            </w:pPr>
            <w:r>
              <w:rPr>
                <w:rFonts w:hint="eastAsia" w:cs="Times New Roman" w:asciiTheme="majorEastAsia" w:hAnsiTheme="majorEastAsia" w:eastAsiaTheme="majorEastAsia"/>
                <w:b/>
                <w:bCs w:val="0"/>
                <w:color w:val="auto"/>
                <w:szCs w:val="21"/>
                <w:highlight w:val="none"/>
              </w:rPr>
              <w:t>查</w:t>
            </w:r>
          </w:p>
        </w:tc>
        <w:tc>
          <w:tcPr>
            <w:tcW w:w="5687" w:type="dxa"/>
            <w:vAlign w:val="center"/>
          </w:tcPr>
          <w:p w14:paraId="0D2A62CC">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b/>
                <w:color w:val="auto"/>
                <w:kern w:val="2"/>
                <w:sz w:val="21"/>
                <w:szCs w:val="21"/>
                <w:highlight w:val="none"/>
                <w:lang w:val="en-US" w:eastAsia="zh-CN" w:bidi="ar-SA"/>
              </w:rPr>
            </w:pPr>
            <w:r>
              <w:rPr>
                <w:rFonts w:hint="eastAsia" w:cs="Times New Roman" w:asciiTheme="majorEastAsia" w:hAnsiTheme="majorEastAsia" w:eastAsiaTheme="majorEastAsia"/>
                <w:color w:val="auto"/>
                <w:szCs w:val="21"/>
                <w:highlight w:val="none"/>
                <w:lang w:eastAsia="zh-CN"/>
              </w:rPr>
              <w:t>（一）供应商资格声明函</w:t>
            </w:r>
            <w:r>
              <w:rPr>
                <w:rFonts w:hint="eastAsia" w:cs="Times New Roman" w:asciiTheme="majorEastAsia" w:hAnsiTheme="majorEastAsia" w:eastAsiaTheme="majorEastAsia"/>
                <w:color w:val="auto"/>
                <w:szCs w:val="21"/>
                <w:highlight w:val="none"/>
              </w:rPr>
              <w:t>；</w:t>
            </w:r>
          </w:p>
        </w:tc>
        <w:tc>
          <w:tcPr>
            <w:tcW w:w="1282" w:type="dxa"/>
            <w:vAlign w:val="center"/>
          </w:tcPr>
          <w:p w14:paraId="6FA50A0A">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□通过</w:t>
            </w:r>
          </w:p>
          <w:p w14:paraId="0222C57F">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□不通过</w:t>
            </w:r>
          </w:p>
        </w:tc>
        <w:tc>
          <w:tcPr>
            <w:tcW w:w="1607" w:type="dxa"/>
            <w:vAlign w:val="center"/>
          </w:tcPr>
          <w:p w14:paraId="304676E8">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color w:val="auto"/>
                <w:kern w:val="2"/>
                <w:sz w:val="21"/>
                <w:szCs w:val="21"/>
                <w:highlight w:val="none"/>
                <w:lang w:val="en-US" w:eastAsia="zh-CN" w:bidi="ar-SA"/>
              </w:rPr>
            </w:pPr>
            <w:r>
              <w:rPr>
                <w:rFonts w:hint="eastAsia" w:ascii="Times New Roman" w:hAnsi="Times New Roman" w:eastAsia="宋体" w:cs="Times New Roman"/>
                <w:color w:val="auto"/>
                <w:highlight w:val="none"/>
              </w:rPr>
              <w:t>第（ ）页</w:t>
            </w:r>
          </w:p>
        </w:tc>
      </w:tr>
      <w:tr w14:paraId="6731C0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6405E58F">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bCs/>
                <w:color w:val="auto"/>
                <w:szCs w:val="21"/>
                <w:highlight w:val="none"/>
              </w:rPr>
            </w:pPr>
          </w:p>
        </w:tc>
        <w:tc>
          <w:tcPr>
            <w:tcW w:w="5687" w:type="dxa"/>
            <w:vAlign w:val="center"/>
          </w:tcPr>
          <w:p w14:paraId="0AC7B046">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b/>
                <w:color w:val="auto"/>
                <w:kern w:val="2"/>
                <w:sz w:val="21"/>
                <w:szCs w:val="21"/>
                <w:highlight w:val="none"/>
                <w:lang w:val="en-US" w:eastAsia="zh-CN" w:bidi="ar-SA"/>
              </w:rPr>
            </w:pPr>
            <w:r>
              <w:rPr>
                <w:rFonts w:hint="eastAsia" w:cs="Times New Roman" w:asciiTheme="majorEastAsia" w:hAnsiTheme="majorEastAsia" w:eastAsiaTheme="majorEastAsia"/>
                <w:color w:val="auto"/>
                <w:szCs w:val="21"/>
                <w:highlight w:val="none"/>
                <w:lang w:val="en-US" w:eastAsia="zh-CN"/>
              </w:rPr>
              <w:t>（二）提供有效的营业执照副本原件扫描件或者电子营业执照加盖供应商公章；响应供应商如果有名称变更的，应提供由行政主管部门出具的变更证明文件；</w:t>
            </w:r>
          </w:p>
        </w:tc>
        <w:tc>
          <w:tcPr>
            <w:tcW w:w="1282" w:type="dxa"/>
            <w:vAlign w:val="center"/>
          </w:tcPr>
          <w:p w14:paraId="7E837877">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□通过</w:t>
            </w:r>
          </w:p>
          <w:p w14:paraId="3D8D37A2">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color w:val="auto"/>
                <w:szCs w:val="21"/>
                <w:highlight w:val="none"/>
              </w:rPr>
            </w:pPr>
            <w:r>
              <w:rPr>
                <w:rFonts w:hint="eastAsia" w:ascii="Times New Roman" w:hAnsi="Times New Roman" w:eastAsia="宋体" w:cs="Times New Roman"/>
                <w:color w:val="auto"/>
                <w:highlight w:val="none"/>
              </w:rPr>
              <w:t>□不通过</w:t>
            </w:r>
          </w:p>
        </w:tc>
        <w:tc>
          <w:tcPr>
            <w:tcW w:w="1607" w:type="dxa"/>
            <w:vAlign w:val="center"/>
          </w:tcPr>
          <w:p w14:paraId="596EA061">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color w:val="auto"/>
                <w:kern w:val="2"/>
                <w:sz w:val="21"/>
                <w:szCs w:val="21"/>
                <w:highlight w:val="none"/>
                <w:lang w:val="en-US" w:eastAsia="zh-CN" w:bidi="ar-SA"/>
              </w:rPr>
            </w:pPr>
            <w:r>
              <w:rPr>
                <w:rFonts w:hint="eastAsia" w:ascii="Times New Roman" w:hAnsi="Times New Roman" w:eastAsia="宋体" w:cs="Times New Roman"/>
                <w:color w:val="auto"/>
                <w:highlight w:val="none"/>
              </w:rPr>
              <w:t>第（ ）页</w:t>
            </w:r>
          </w:p>
        </w:tc>
      </w:tr>
      <w:tr w14:paraId="14F381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323BBEE1">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bCs/>
                <w:color w:val="auto"/>
                <w:szCs w:val="21"/>
                <w:highlight w:val="none"/>
              </w:rPr>
            </w:pPr>
          </w:p>
        </w:tc>
        <w:tc>
          <w:tcPr>
            <w:tcW w:w="5687" w:type="dxa"/>
            <w:vAlign w:val="center"/>
          </w:tcPr>
          <w:p w14:paraId="1AF24CAA">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color w:val="auto"/>
                <w:szCs w:val="21"/>
                <w:highlight w:val="none"/>
                <w:lang w:val="en-US" w:eastAsia="zh-CN"/>
              </w:rPr>
            </w:pPr>
            <w:r>
              <w:rPr>
                <w:rFonts w:hint="eastAsia" w:cs="Times New Roman" w:asciiTheme="majorEastAsia" w:hAnsiTheme="majorEastAsia" w:eastAsiaTheme="majorEastAsia"/>
                <w:color w:val="auto"/>
                <w:szCs w:val="21"/>
                <w:highlight w:val="none"/>
                <w:lang w:val="en-US" w:eastAsia="zh-CN"/>
              </w:rPr>
              <w:t>（三）①中小企业声明函（格式见附件）；</w:t>
            </w:r>
          </w:p>
          <w:p w14:paraId="36F55770">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color w:val="auto"/>
                <w:szCs w:val="21"/>
                <w:highlight w:val="none"/>
                <w:lang w:val="en-US" w:eastAsia="zh-CN"/>
              </w:rPr>
            </w:pPr>
            <w:r>
              <w:rPr>
                <w:rFonts w:hint="eastAsia" w:cs="Times New Roman" w:asciiTheme="majorEastAsia" w:hAnsiTheme="majorEastAsia" w:eastAsiaTheme="majorEastAsia"/>
                <w:color w:val="auto"/>
                <w:szCs w:val="21"/>
                <w:highlight w:val="none"/>
                <w:lang w:val="en-US" w:eastAsia="zh-CN"/>
              </w:rPr>
              <w:t>或②供应商为监狱企业的证明文件：省级以上监狱管理局、戒毒管理局（含新疆生产建设兵团）出具（如是，请提供。格式自拟）；</w:t>
            </w:r>
          </w:p>
          <w:p w14:paraId="6638FE73">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color w:val="auto"/>
                <w:szCs w:val="21"/>
                <w:highlight w:val="none"/>
                <w:lang w:val="en-US" w:eastAsia="zh-CN"/>
              </w:rPr>
            </w:pPr>
            <w:r>
              <w:rPr>
                <w:rFonts w:hint="eastAsia" w:cs="Times New Roman" w:asciiTheme="majorEastAsia" w:hAnsiTheme="majorEastAsia" w:eastAsiaTheme="majorEastAsia"/>
                <w:color w:val="auto"/>
                <w:szCs w:val="21"/>
                <w:highlight w:val="none"/>
                <w:lang w:val="en-US" w:eastAsia="zh-CN"/>
              </w:rPr>
              <w:t>或③残疾人福利性单位声明函（如是，请提供。格式见附件）</w:t>
            </w:r>
          </w:p>
        </w:tc>
        <w:tc>
          <w:tcPr>
            <w:tcW w:w="1282" w:type="dxa"/>
            <w:vAlign w:val="center"/>
          </w:tcPr>
          <w:p w14:paraId="75056314">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ascii="Times New Roman" w:hAnsi="Times New Roman" w:eastAsia="宋体" w:cs="Times New Roman"/>
                <w:color w:val="auto"/>
                <w:highlight w:val="none"/>
              </w:rPr>
            </w:pPr>
          </w:p>
        </w:tc>
        <w:tc>
          <w:tcPr>
            <w:tcW w:w="1607" w:type="dxa"/>
            <w:vAlign w:val="center"/>
          </w:tcPr>
          <w:p w14:paraId="1BC19A2A">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highlight w:val="none"/>
              </w:rPr>
            </w:pPr>
          </w:p>
        </w:tc>
      </w:tr>
      <w:tr w14:paraId="4E0555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7E48BE08">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bCs/>
                <w:color w:val="auto"/>
                <w:szCs w:val="21"/>
                <w:highlight w:val="none"/>
              </w:rPr>
            </w:pPr>
          </w:p>
        </w:tc>
        <w:tc>
          <w:tcPr>
            <w:tcW w:w="5687" w:type="dxa"/>
            <w:vAlign w:val="center"/>
          </w:tcPr>
          <w:p w14:paraId="6F2FF8AF">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cs="Times New Roman" w:asciiTheme="majorEastAsia" w:hAnsiTheme="majorEastAsia" w:eastAsiaTheme="majorEastAsia"/>
                <w:bCs/>
                <w:color w:val="auto"/>
                <w:szCs w:val="21"/>
                <w:highlight w:val="none"/>
                <w:lang w:eastAsia="zh-CN"/>
              </w:rPr>
              <w:t>（四）</w:t>
            </w:r>
            <w:r>
              <w:rPr>
                <w:rFonts w:hint="eastAsia" w:cs="Times New Roman" w:asciiTheme="majorEastAsia" w:hAnsiTheme="majorEastAsia" w:eastAsiaTheme="majorEastAsia"/>
                <w:bCs/>
                <w:color w:val="auto"/>
                <w:szCs w:val="21"/>
                <w:highlight w:val="none"/>
                <w:lang w:val="en-US" w:eastAsia="zh-CN"/>
              </w:rPr>
              <w:t>有效的《旅行社业务经营许可证》</w:t>
            </w:r>
            <w:r>
              <w:rPr>
                <w:rFonts w:hint="eastAsia" w:cs="Times New Roman" w:asciiTheme="majorEastAsia" w:hAnsiTheme="majorEastAsia" w:eastAsiaTheme="majorEastAsia"/>
                <w:bCs/>
                <w:color w:val="auto"/>
                <w:szCs w:val="21"/>
                <w:highlight w:val="none"/>
              </w:rPr>
              <w:t>；</w:t>
            </w:r>
          </w:p>
        </w:tc>
        <w:tc>
          <w:tcPr>
            <w:tcW w:w="1282" w:type="dxa"/>
            <w:vAlign w:val="center"/>
          </w:tcPr>
          <w:p w14:paraId="4787615E">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□通过</w:t>
            </w:r>
          </w:p>
          <w:p w14:paraId="0B3F5EF6">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color w:val="auto"/>
                <w:szCs w:val="21"/>
                <w:highlight w:val="none"/>
              </w:rPr>
            </w:pPr>
            <w:r>
              <w:rPr>
                <w:rFonts w:hint="eastAsia" w:ascii="Times New Roman" w:hAnsi="Times New Roman" w:eastAsia="宋体" w:cs="Times New Roman"/>
                <w:color w:val="auto"/>
                <w:highlight w:val="none"/>
              </w:rPr>
              <w:t>□不通过</w:t>
            </w:r>
          </w:p>
        </w:tc>
        <w:tc>
          <w:tcPr>
            <w:tcW w:w="1607" w:type="dxa"/>
            <w:vAlign w:val="center"/>
          </w:tcPr>
          <w:p w14:paraId="60C7DBF7">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Cs/>
                <w:color w:val="auto"/>
                <w:kern w:val="2"/>
                <w:sz w:val="21"/>
                <w:szCs w:val="21"/>
                <w:highlight w:val="none"/>
                <w:lang w:val="en-US" w:eastAsia="zh-CN" w:bidi="ar-SA"/>
              </w:rPr>
            </w:pPr>
            <w:r>
              <w:rPr>
                <w:rFonts w:hint="eastAsia" w:ascii="Times New Roman" w:hAnsi="Times New Roman" w:eastAsia="宋体" w:cs="Times New Roman"/>
                <w:color w:val="auto"/>
                <w:highlight w:val="none"/>
              </w:rPr>
              <w:t>第（ ）页</w:t>
            </w:r>
          </w:p>
        </w:tc>
      </w:tr>
      <w:tr w14:paraId="4EEB0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2554EAAA">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bCs/>
                <w:color w:val="auto"/>
                <w:szCs w:val="21"/>
                <w:highlight w:val="none"/>
              </w:rPr>
            </w:pPr>
          </w:p>
        </w:tc>
        <w:tc>
          <w:tcPr>
            <w:tcW w:w="5687" w:type="dxa"/>
            <w:vAlign w:val="center"/>
          </w:tcPr>
          <w:p w14:paraId="6BC118AD">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cs="Times New Roman" w:asciiTheme="majorEastAsia" w:hAnsiTheme="majorEastAsia" w:eastAsiaTheme="majorEastAsia"/>
                <w:bCs/>
                <w:color w:val="auto"/>
                <w:szCs w:val="21"/>
                <w:highlight w:val="none"/>
                <w:lang w:eastAsia="zh-CN"/>
              </w:rPr>
              <w:t>（五）满足《中华人民共和国政府采购法》第二十二条规定；未被“信用中国”（www.creditchina.gov.cn)、中国政府采购网（www.ccgp.gov.cn）列入失信被执行人、重大税收违法案件当事人名单、政府采购严重违法失信行为记录名单（以采购代理机构于投标截止日当天在信用中国网站及中国政府采购网查询结果为准，如相关失信记录已失效，投标人需提供相关证明资料）；</w:t>
            </w:r>
          </w:p>
        </w:tc>
        <w:tc>
          <w:tcPr>
            <w:tcW w:w="1282" w:type="dxa"/>
            <w:vAlign w:val="center"/>
          </w:tcPr>
          <w:p w14:paraId="4F00C746">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□通过</w:t>
            </w:r>
          </w:p>
          <w:p w14:paraId="0A03A077">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color w:val="auto"/>
                <w:szCs w:val="21"/>
                <w:highlight w:val="none"/>
              </w:rPr>
            </w:pPr>
            <w:r>
              <w:rPr>
                <w:rFonts w:hint="eastAsia" w:ascii="Times New Roman" w:hAnsi="Times New Roman" w:eastAsia="宋体" w:cs="Times New Roman"/>
                <w:color w:val="auto"/>
                <w:highlight w:val="none"/>
              </w:rPr>
              <w:t>□不通过</w:t>
            </w:r>
          </w:p>
        </w:tc>
        <w:tc>
          <w:tcPr>
            <w:tcW w:w="1607" w:type="dxa"/>
            <w:vAlign w:val="center"/>
          </w:tcPr>
          <w:p w14:paraId="76AA7059">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Cs/>
                <w:color w:val="auto"/>
                <w:kern w:val="2"/>
                <w:sz w:val="21"/>
                <w:szCs w:val="21"/>
                <w:highlight w:val="none"/>
                <w:lang w:val="en-US" w:eastAsia="zh-CN" w:bidi="ar-SA"/>
              </w:rPr>
            </w:pPr>
            <w:r>
              <w:rPr>
                <w:rFonts w:cs="Times New Roman" w:asciiTheme="majorEastAsia" w:hAnsiTheme="majorEastAsia" w:eastAsiaTheme="majorEastAsia"/>
                <w:color w:val="auto"/>
                <w:szCs w:val="21"/>
                <w:highlight w:val="none"/>
              </w:rPr>
              <w:t>第（ ）页</w:t>
            </w:r>
          </w:p>
        </w:tc>
      </w:tr>
      <w:tr w14:paraId="7B0857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2D5F0C56">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bCs/>
                <w:color w:val="auto"/>
                <w:szCs w:val="21"/>
                <w:highlight w:val="none"/>
              </w:rPr>
            </w:pPr>
          </w:p>
        </w:tc>
        <w:tc>
          <w:tcPr>
            <w:tcW w:w="5687" w:type="dxa"/>
            <w:vAlign w:val="center"/>
          </w:tcPr>
          <w:p w14:paraId="329F17B2">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cs="Times New Roman" w:asciiTheme="majorEastAsia" w:hAnsiTheme="majorEastAsia" w:eastAsiaTheme="majorEastAsia"/>
                <w:bCs/>
                <w:color w:val="auto"/>
                <w:szCs w:val="21"/>
                <w:highlight w:val="none"/>
                <w:lang w:eastAsia="zh-CN"/>
              </w:rPr>
              <w:t>（六）</w:t>
            </w:r>
            <w:r>
              <w:rPr>
                <w:rFonts w:cs="Times New Roman" w:asciiTheme="majorEastAsia" w:hAnsiTheme="majorEastAsia" w:eastAsiaTheme="majorEastAsia"/>
                <w:color w:val="auto"/>
                <w:szCs w:val="21"/>
                <w:highlight w:val="none"/>
              </w:rPr>
              <w:t>本项目</w:t>
            </w:r>
            <w:r>
              <w:rPr>
                <w:rFonts w:hint="eastAsia" w:cs="Times New Roman" w:asciiTheme="majorEastAsia" w:hAnsiTheme="majorEastAsia" w:eastAsiaTheme="majorEastAsia"/>
                <w:color w:val="auto"/>
                <w:szCs w:val="21"/>
                <w:highlight w:val="none"/>
                <w:lang w:eastAsia="zh-CN"/>
              </w:rPr>
              <w:t>不</w:t>
            </w:r>
            <w:r>
              <w:rPr>
                <w:rFonts w:cs="Times New Roman" w:asciiTheme="majorEastAsia" w:hAnsiTheme="majorEastAsia" w:eastAsiaTheme="majorEastAsia"/>
                <w:color w:val="auto"/>
                <w:szCs w:val="21"/>
                <w:highlight w:val="none"/>
              </w:rPr>
              <w:t>接受联合体</w:t>
            </w:r>
            <w:r>
              <w:rPr>
                <w:rFonts w:hint="eastAsia" w:cs="宋体" w:asciiTheme="majorEastAsia" w:hAnsiTheme="majorEastAsia" w:eastAsiaTheme="majorEastAsia"/>
                <w:color w:val="auto"/>
                <w:szCs w:val="21"/>
                <w:highlight w:val="none"/>
              </w:rPr>
              <w:t>参加磋商活动</w:t>
            </w:r>
            <w:r>
              <w:rPr>
                <w:rFonts w:hint="eastAsia" w:cs="宋体" w:asciiTheme="majorEastAsia" w:hAnsiTheme="majorEastAsia" w:eastAsiaTheme="majorEastAsia"/>
                <w:color w:val="auto"/>
                <w:szCs w:val="21"/>
                <w:highlight w:val="none"/>
                <w:lang w:eastAsia="zh-CN"/>
              </w:rPr>
              <w:t>。</w:t>
            </w:r>
          </w:p>
        </w:tc>
        <w:tc>
          <w:tcPr>
            <w:tcW w:w="1282" w:type="dxa"/>
            <w:vAlign w:val="center"/>
          </w:tcPr>
          <w:p w14:paraId="6FF3926C">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□通过</w:t>
            </w:r>
          </w:p>
          <w:p w14:paraId="6B45B474">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color w:val="auto"/>
                <w:kern w:val="2"/>
                <w:sz w:val="21"/>
                <w:szCs w:val="21"/>
                <w:highlight w:val="none"/>
                <w:lang w:val="en-US" w:eastAsia="zh-CN" w:bidi="ar-SA"/>
              </w:rPr>
            </w:pPr>
            <w:r>
              <w:rPr>
                <w:rFonts w:hint="eastAsia" w:ascii="Times New Roman" w:hAnsi="Times New Roman" w:eastAsia="宋体" w:cs="Times New Roman"/>
                <w:color w:val="auto"/>
                <w:highlight w:val="none"/>
              </w:rPr>
              <w:t>□不通过</w:t>
            </w:r>
          </w:p>
        </w:tc>
        <w:tc>
          <w:tcPr>
            <w:tcW w:w="1607" w:type="dxa"/>
            <w:vAlign w:val="center"/>
          </w:tcPr>
          <w:p w14:paraId="2439F9F8">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color w:val="auto"/>
                <w:kern w:val="2"/>
                <w:sz w:val="21"/>
                <w:szCs w:val="21"/>
                <w:highlight w:val="none"/>
                <w:lang w:val="en-US" w:eastAsia="zh-CN" w:bidi="ar-SA"/>
              </w:rPr>
            </w:pPr>
            <w:r>
              <w:rPr>
                <w:rFonts w:hint="eastAsia" w:cs="Times New Roman" w:asciiTheme="majorEastAsia" w:hAnsiTheme="majorEastAsia" w:eastAsiaTheme="majorEastAsia"/>
                <w:color w:val="auto"/>
                <w:szCs w:val="21"/>
                <w:highlight w:val="none"/>
              </w:rPr>
              <w:t>第（ ）页</w:t>
            </w:r>
          </w:p>
        </w:tc>
      </w:tr>
    </w:tbl>
    <w:p w14:paraId="2C712A1B">
      <w:pPr>
        <w:adjustRightInd w:val="0"/>
        <w:spacing w:line="440" w:lineRule="exact"/>
        <w:rPr>
          <w:rFonts w:asciiTheme="majorEastAsia" w:hAnsiTheme="majorEastAsia" w:eastAsiaTheme="majorEastAsia"/>
          <w:b/>
          <w:color w:val="auto"/>
          <w:szCs w:val="21"/>
          <w:highlight w:val="none"/>
        </w:rPr>
      </w:pPr>
    </w:p>
    <w:p w14:paraId="7C8CAAFF">
      <w:pPr>
        <w:adjustRightInd w:val="0"/>
        <w:spacing w:line="440" w:lineRule="exact"/>
        <w:jc w:val="center"/>
        <w:rPr>
          <w:rFonts w:asciiTheme="majorEastAsia" w:hAnsiTheme="majorEastAsia" w:eastAsiaTheme="majorEastAsia"/>
          <w:b/>
          <w:color w:val="auto"/>
          <w:szCs w:val="21"/>
          <w:highlight w:val="none"/>
        </w:rPr>
      </w:pPr>
    </w:p>
    <w:p w14:paraId="345AF150">
      <w:pPr>
        <w:widowControl/>
        <w:jc w:val="left"/>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br w:type="page"/>
      </w:r>
    </w:p>
    <w:p w14:paraId="239A074C">
      <w:pPr>
        <w:adjustRightInd w:val="0"/>
        <w:spacing w:line="440" w:lineRule="exact"/>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符合性自查表</w:t>
      </w:r>
    </w:p>
    <w:p w14:paraId="6A6421EA">
      <w:pPr>
        <w:adjustRightInd w:val="0"/>
        <w:spacing w:line="440" w:lineRule="exact"/>
        <w:jc w:val="center"/>
        <w:rPr>
          <w:rFonts w:asciiTheme="majorEastAsia" w:hAnsiTheme="majorEastAsia" w:eastAsiaTheme="majorEastAsia"/>
          <w:b/>
          <w:color w:val="auto"/>
          <w:szCs w:val="21"/>
          <w:highlight w:val="none"/>
        </w:rPr>
      </w:pPr>
    </w:p>
    <w:tbl>
      <w:tblPr>
        <w:tblStyle w:val="45"/>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067"/>
        <w:gridCol w:w="4175"/>
        <w:gridCol w:w="1410"/>
        <w:gridCol w:w="2192"/>
      </w:tblGrid>
      <w:tr w14:paraId="472A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Align w:val="center"/>
          </w:tcPr>
          <w:p w14:paraId="2A0B5506">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评审</w:t>
            </w:r>
          </w:p>
          <w:p w14:paraId="2C334F74">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内容</w:t>
            </w:r>
          </w:p>
        </w:tc>
        <w:tc>
          <w:tcPr>
            <w:tcW w:w="4175" w:type="dxa"/>
            <w:vAlign w:val="center"/>
          </w:tcPr>
          <w:p w14:paraId="6CD6CDDF">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磋商文件要求</w:t>
            </w:r>
          </w:p>
        </w:tc>
        <w:tc>
          <w:tcPr>
            <w:tcW w:w="1410" w:type="dxa"/>
            <w:vAlign w:val="center"/>
          </w:tcPr>
          <w:p w14:paraId="2578780F">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自查结论</w:t>
            </w:r>
          </w:p>
        </w:tc>
        <w:tc>
          <w:tcPr>
            <w:tcW w:w="2192" w:type="dxa"/>
            <w:vAlign w:val="center"/>
          </w:tcPr>
          <w:p w14:paraId="3967A3E4">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证明资料页码</w:t>
            </w:r>
          </w:p>
        </w:tc>
      </w:tr>
      <w:tr w14:paraId="5B69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restart"/>
            <w:vAlign w:val="center"/>
          </w:tcPr>
          <w:p w14:paraId="13736214">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符</w:t>
            </w:r>
          </w:p>
          <w:p w14:paraId="415A8756">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合</w:t>
            </w:r>
          </w:p>
          <w:p w14:paraId="146AA827">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性</w:t>
            </w:r>
          </w:p>
          <w:p w14:paraId="29A2A3BE">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审</w:t>
            </w:r>
          </w:p>
          <w:p w14:paraId="6BFF4D29">
            <w:pPr>
              <w:spacing w:line="280" w:lineRule="exact"/>
              <w:jc w:val="center"/>
              <w:rPr>
                <w:rFonts w:ascii="宋体" w:hAnsi="宋体" w:cs="宋体"/>
                <w:color w:val="auto"/>
                <w:szCs w:val="21"/>
                <w:highlight w:val="none"/>
              </w:rPr>
            </w:pPr>
            <w:r>
              <w:rPr>
                <w:rFonts w:hint="eastAsia" w:ascii="宋体" w:hAnsi="宋体" w:cs="宋体"/>
                <w:b/>
                <w:bCs/>
                <w:color w:val="auto"/>
                <w:szCs w:val="21"/>
                <w:highlight w:val="none"/>
              </w:rPr>
              <w:t>查</w:t>
            </w:r>
          </w:p>
        </w:tc>
        <w:tc>
          <w:tcPr>
            <w:tcW w:w="4175" w:type="dxa"/>
            <w:vAlign w:val="center"/>
          </w:tcPr>
          <w:p w14:paraId="25F37C1B">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（一）响应函已提交并符合磋商文件要求；</w:t>
            </w:r>
          </w:p>
        </w:tc>
        <w:tc>
          <w:tcPr>
            <w:tcW w:w="1410" w:type="dxa"/>
            <w:vAlign w:val="center"/>
          </w:tcPr>
          <w:p w14:paraId="3C552619">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5EEE54E1">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2807C78E">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35B6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6E4F0EC8">
            <w:pPr>
              <w:spacing w:line="280" w:lineRule="exact"/>
              <w:jc w:val="center"/>
              <w:rPr>
                <w:rFonts w:ascii="宋体" w:hAnsi="宋体" w:cs="宋体"/>
                <w:color w:val="auto"/>
                <w:szCs w:val="21"/>
                <w:highlight w:val="none"/>
              </w:rPr>
            </w:pPr>
          </w:p>
        </w:tc>
        <w:tc>
          <w:tcPr>
            <w:tcW w:w="4175" w:type="dxa"/>
            <w:vAlign w:val="center"/>
          </w:tcPr>
          <w:p w14:paraId="2C79D5FD">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（二）按照磋商文件规定要求签署或盖章；</w:t>
            </w:r>
          </w:p>
        </w:tc>
        <w:tc>
          <w:tcPr>
            <w:tcW w:w="1410" w:type="dxa"/>
            <w:vAlign w:val="center"/>
          </w:tcPr>
          <w:p w14:paraId="5DD93D75">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36E4DFF9">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45DB86B7">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3EBF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33F16CAD">
            <w:pPr>
              <w:spacing w:line="280" w:lineRule="exact"/>
              <w:jc w:val="center"/>
              <w:rPr>
                <w:rFonts w:ascii="宋体" w:hAnsi="宋体" w:cs="宋体"/>
                <w:color w:val="auto"/>
                <w:szCs w:val="21"/>
                <w:highlight w:val="none"/>
              </w:rPr>
            </w:pPr>
          </w:p>
        </w:tc>
        <w:tc>
          <w:tcPr>
            <w:tcW w:w="4175" w:type="dxa"/>
            <w:vAlign w:val="center"/>
          </w:tcPr>
          <w:p w14:paraId="42C5AB53">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（三）响应文件规定部分有法定代表人签署本人姓名（或印盖本人姓名章），或签署人提供有效的法定代表人授权委托书且授权委托书填写项目齐全的；</w:t>
            </w:r>
          </w:p>
        </w:tc>
        <w:tc>
          <w:tcPr>
            <w:tcW w:w="1410" w:type="dxa"/>
            <w:vAlign w:val="center"/>
          </w:tcPr>
          <w:p w14:paraId="1B73DC29">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6E8154DA">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7786485D">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535F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4649C98F">
            <w:pPr>
              <w:spacing w:line="280" w:lineRule="exact"/>
              <w:jc w:val="center"/>
              <w:rPr>
                <w:rFonts w:ascii="宋体" w:hAnsi="宋体" w:cs="宋体"/>
                <w:color w:val="auto"/>
                <w:szCs w:val="21"/>
                <w:highlight w:val="none"/>
              </w:rPr>
            </w:pPr>
          </w:p>
        </w:tc>
        <w:tc>
          <w:tcPr>
            <w:tcW w:w="4175" w:type="dxa"/>
            <w:vAlign w:val="center"/>
          </w:tcPr>
          <w:p w14:paraId="2A987042">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（四）响应文件标明的响应或偏离与事实相符且无虚假投标的；</w:t>
            </w:r>
          </w:p>
        </w:tc>
        <w:tc>
          <w:tcPr>
            <w:tcW w:w="1410" w:type="dxa"/>
            <w:vAlign w:val="center"/>
          </w:tcPr>
          <w:p w14:paraId="280DE5F2">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39615DBB">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149A63B1">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6F9D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6C2C16BF">
            <w:pPr>
              <w:spacing w:line="280" w:lineRule="exact"/>
              <w:jc w:val="center"/>
              <w:rPr>
                <w:rFonts w:ascii="宋体" w:hAnsi="宋体" w:cs="宋体"/>
                <w:color w:val="auto"/>
                <w:szCs w:val="21"/>
                <w:highlight w:val="none"/>
              </w:rPr>
            </w:pPr>
          </w:p>
        </w:tc>
        <w:tc>
          <w:tcPr>
            <w:tcW w:w="4175" w:type="dxa"/>
            <w:vAlign w:val="center"/>
          </w:tcPr>
          <w:p w14:paraId="58413383">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（五）响应文件的实质性内容使用中文表述且意思表述明确，前后无矛盾且使用计量单位符合磋商文件要求的；</w:t>
            </w:r>
          </w:p>
        </w:tc>
        <w:tc>
          <w:tcPr>
            <w:tcW w:w="1410" w:type="dxa"/>
            <w:vAlign w:val="center"/>
          </w:tcPr>
          <w:p w14:paraId="7F047BF7">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669E79BD">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6BE8BDB5">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635E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55" w:hRule="atLeast"/>
          <w:jc w:val="center"/>
        </w:trPr>
        <w:tc>
          <w:tcPr>
            <w:tcW w:w="1067" w:type="dxa"/>
            <w:vMerge w:val="continue"/>
            <w:vAlign w:val="center"/>
          </w:tcPr>
          <w:p w14:paraId="66146430">
            <w:pPr>
              <w:spacing w:line="280" w:lineRule="exact"/>
              <w:jc w:val="center"/>
              <w:rPr>
                <w:rFonts w:ascii="宋体" w:hAnsi="宋体" w:cs="宋体"/>
                <w:color w:val="auto"/>
                <w:szCs w:val="21"/>
                <w:highlight w:val="none"/>
              </w:rPr>
            </w:pPr>
          </w:p>
        </w:tc>
        <w:tc>
          <w:tcPr>
            <w:tcW w:w="4175" w:type="dxa"/>
            <w:vAlign w:val="center"/>
          </w:tcPr>
          <w:p w14:paraId="74BAC2C5">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（六）带“*”的条款满足磋商文件要求、已实质性响应磋商文件要求且响应文件无采购人不能接受的附加条件的；</w:t>
            </w:r>
          </w:p>
        </w:tc>
        <w:tc>
          <w:tcPr>
            <w:tcW w:w="1410" w:type="dxa"/>
            <w:vAlign w:val="center"/>
          </w:tcPr>
          <w:p w14:paraId="587514EC">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695FCC5D">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2687066C">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5C48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24F74620">
            <w:pPr>
              <w:spacing w:line="280" w:lineRule="exact"/>
              <w:jc w:val="center"/>
              <w:rPr>
                <w:rFonts w:ascii="宋体" w:hAnsi="宋体" w:cs="宋体"/>
                <w:color w:val="auto"/>
                <w:szCs w:val="21"/>
                <w:highlight w:val="none"/>
              </w:rPr>
            </w:pPr>
          </w:p>
        </w:tc>
        <w:tc>
          <w:tcPr>
            <w:tcW w:w="4175" w:type="dxa"/>
            <w:vAlign w:val="center"/>
          </w:tcPr>
          <w:p w14:paraId="1D65AF3F">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 xml:space="preserve">（七）允许偏离的技术、性能指标或者辅助功能项目发生负偏离未达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项（含）以上的</w:t>
            </w:r>
          </w:p>
        </w:tc>
        <w:tc>
          <w:tcPr>
            <w:tcW w:w="1410" w:type="dxa"/>
            <w:vAlign w:val="center"/>
          </w:tcPr>
          <w:p w14:paraId="172F7CFA">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194132AE">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1F6492B7">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6EF2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30461C4B">
            <w:pPr>
              <w:spacing w:line="280" w:lineRule="exact"/>
              <w:jc w:val="center"/>
              <w:rPr>
                <w:rFonts w:ascii="宋体" w:hAnsi="宋体" w:cs="宋体"/>
                <w:color w:val="auto"/>
                <w:szCs w:val="21"/>
                <w:highlight w:val="none"/>
              </w:rPr>
            </w:pPr>
          </w:p>
        </w:tc>
        <w:tc>
          <w:tcPr>
            <w:tcW w:w="4175" w:type="dxa"/>
            <w:vAlign w:val="center"/>
          </w:tcPr>
          <w:p w14:paraId="5BD127B5">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（八）投标技术方案明确，不存在一个或一个以上备选（替代）投标方案的；</w:t>
            </w:r>
          </w:p>
        </w:tc>
        <w:tc>
          <w:tcPr>
            <w:tcW w:w="1410" w:type="dxa"/>
            <w:vAlign w:val="center"/>
          </w:tcPr>
          <w:p w14:paraId="58C0AE20">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79E50773">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56E4A7D1">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4D44E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3E9CC23B">
            <w:pPr>
              <w:spacing w:line="280" w:lineRule="exact"/>
              <w:jc w:val="center"/>
              <w:rPr>
                <w:rFonts w:ascii="宋体" w:hAnsi="宋体" w:cs="宋体"/>
                <w:color w:val="auto"/>
                <w:szCs w:val="21"/>
                <w:highlight w:val="none"/>
              </w:rPr>
            </w:pPr>
          </w:p>
        </w:tc>
        <w:tc>
          <w:tcPr>
            <w:tcW w:w="4175" w:type="dxa"/>
            <w:vAlign w:val="center"/>
          </w:tcPr>
          <w:p w14:paraId="301A86E9">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（九）不存在法律、法规和磋商文件规定的其他无效情形；</w:t>
            </w:r>
          </w:p>
        </w:tc>
        <w:tc>
          <w:tcPr>
            <w:tcW w:w="1410" w:type="dxa"/>
            <w:vAlign w:val="center"/>
          </w:tcPr>
          <w:p w14:paraId="2E319FFA">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09618A46">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5AD03BC3">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24C95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7DFA6A9B">
            <w:pPr>
              <w:spacing w:line="280" w:lineRule="exact"/>
              <w:jc w:val="center"/>
              <w:rPr>
                <w:rFonts w:ascii="宋体" w:hAnsi="宋体" w:cs="宋体"/>
                <w:color w:val="auto"/>
                <w:szCs w:val="21"/>
                <w:highlight w:val="none"/>
              </w:rPr>
            </w:pPr>
          </w:p>
        </w:tc>
        <w:tc>
          <w:tcPr>
            <w:tcW w:w="4175" w:type="dxa"/>
            <w:vAlign w:val="center"/>
          </w:tcPr>
          <w:p w14:paraId="385E70DF">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（十）不存在响应文件的有效期不满足磋商文件要求情形。</w:t>
            </w:r>
          </w:p>
        </w:tc>
        <w:tc>
          <w:tcPr>
            <w:tcW w:w="1410" w:type="dxa"/>
            <w:vAlign w:val="center"/>
          </w:tcPr>
          <w:p w14:paraId="10441AF5">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0F1F7821">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18287837">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bl>
    <w:p w14:paraId="6EEAE859">
      <w:pPr>
        <w:jc w:val="center"/>
        <w:rPr>
          <w:b/>
          <w:bCs/>
          <w:color w:val="auto"/>
          <w:sz w:val="28"/>
          <w:szCs w:val="28"/>
          <w:highlight w:val="none"/>
        </w:rPr>
      </w:pPr>
      <w:r>
        <w:rPr>
          <w:rFonts w:asciiTheme="majorEastAsia" w:hAnsiTheme="majorEastAsia" w:eastAsiaTheme="majorEastAsia"/>
          <w:color w:val="auto"/>
          <w:szCs w:val="21"/>
          <w:highlight w:val="none"/>
        </w:rPr>
        <w:br w:type="page"/>
      </w:r>
      <w:bookmarkStart w:id="44" w:name="_Toc381615432"/>
      <w:bookmarkStart w:id="45" w:name="_Toc518897062"/>
      <w:r>
        <w:rPr>
          <w:rFonts w:hint="eastAsia" w:eastAsiaTheme="majorEastAsia"/>
          <w:b/>
          <w:bCs/>
          <w:color w:val="auto"/>
          <w:sz w:val="28"/>
          <w:szCs w:val="28"/>
          <w:highlight w:val="none"/>
        </w:rPr>
        <w:t>磋商响应函</w:t>
      </w:r>
      <w:r>
        <w:rPr>
          <w:rFonts w:hint="eastAsia"/>
          <w:b/>
          <w:bCs/>
          <w:color w:val="auto"/>
          <w:sz w:val="28"/>
          <w:szCs w:val="28"/>
          <w:highlight w:val="none"/>
        </w:rPr>
        <w:t>及磋商响应函附录</w:t>
      </w:r>
      <w:bookmarkEnd w:id="44"/>
      <w:bookmarkEnd w:id="45"/>
    </w:p>
    <w:p w14:paraId="57A781E2">
      <w:pPr>
        <w:rPr>
          <w:color w:val="auto"/>
          <w:highlight w:val="none"/>
        </w:rPr>
      </w:pPr>
    </w:p>
    <w:p w14:paraId="3EFCCEDC">
      <w:pPr>
        <w:jc w:val="center"/>
        <w:rPr>
          <w:color w:val="auto"/>
          <w:sz w:val="28"/>
          <w:highlight w:val="none"/>
        </w:rPr>
      </w:pPr>
      <w:r>
        <w:rPr>
          <w:rFonts w:hint="eastAsia"/>
          <w:color w:val="auto"/>
          <w:sz w:val="28"/>
          <w:highlight w:val="none"/>
        </w:rPr>
        <w:t>（一）磋商响应函</w:t>
      </w:r>
    </w:p>
    <w:p w14:paraId="67331900">
      <w:pPr>
        <w:spacing w:line="360" w:lineRule="auto"/>
        <w:ind w:firstLine="420" w:firstLineChars="200"/>
        <w:rPr>
          <w:rFonts w:ascii="宋体" w:hAnsi="宋体"/>
          <w:color w:val="auto"/>
          <w:szCs w:val="21"/>
          <w:highlight w:val="none"/>
        </w:rPr>
      </w:pPr>
    </w:p>
    <w:p w14:paraId="3FFD380A">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（采购人名称）: </w:t>
      </w:r>
    </w:p>
    <w:p w14:paraId="2DC78CE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1．我方己仔细研究了</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（项目名称）磋商文件的全部内容，愿意以人民币（大写）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元整（￥</w:t>
      </w:r>
      <w:r>
        <w:rPr>
          <w:rFonts w:hint="eastAsia" w:ascii="宋体" w:hAnsi="宋体"/>
          <w:color w:val="auto"/>
          <w:szCs w:val="21"/>
          <w:highlight w:val="none"/>
          <w:u w:val="single"/>
        </w:rPr>
        <w:t xml:space="preserve">       元</w:t>
      </w:r>
      <w:r>
        <w:rPr>
          <w:rFonts w:hint="eastAsia" w:ascii="宋体" w:hAnsi="宋体"/>
          <w:color w:val="auto"/>
          <w:szCs w:val="21"/>
          <w:highlight w:val="none"/>
        </w:rPr>
        <w:t>）的磋商总报价，按合同约定实施和完成相关服务。</w:t>
      </w:r>
    </w:p>
    <w:p w14:paraId="3F42448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2．我方承诺在磋商有效期满足磋商文件规定。</w:t>
      </w:r>
    </w:p>
    <w:p w14:paraId="3B45C3C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3．如我方确定成交：</w:t>
      </w:r>
    </w:p>
    <w:p w14:paraId="20E97E7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(l）我方承诺在收到确定成交通知书后，在磋商文件规定的期限内与你方签订合同。</w:t>
      </w:r>
    </w:p>
    <w:p w14:paraId="7A120A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(2）随同本磋商响应函递交的磋商响应函附录属于合同文件的组成部分。</w:t>
      </w:r>
    </w:p>
    <w:p w14:paraId="2592BD2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4．我方在此声明，所递交的响应文件及有关资料内容完整、真实和准确，且不存在第二章“供应商须知”规定的任何一种情形。</w:t>
      </w:r>
    </w:p>
    <w:p w14:paraId="0F5547E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5. </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14:paraId="3575ABCE">
      <w:pPr>
        <w:spacing w:line="360" w:lineRule="auto"/>
        <w:ind w:firstLine="420" w:firstLineChars="200"/>
        <w:rPr>
          <w:rFonts w:ascii="宋体" w:hAnsi="宋体"/>
          <w:color w:val="auto"/>
          <w:szCs w:val="21"/>
          <w:highlight w:val="none"/>
        </w:rPr>
      </w:pPr>
    </w:p>
    <w:p w14:paraId="380AAB7D">
      <w:pPr>
        <w:spacing w:line="360" w:lineRule="auto"/>
        <w:ind w:firstLine="420" w:firstLineChars="200"/>
        <w:rPr>
          <w:rFonts w:ascii="宋体" w:hAnsi="宋体"/>
          <w:color w:val="auto"/>
          <w:szCs w:val="21"/>
          <w:highlight w:val="none"/>
        </w:rPr>
      </w:pPr>
    </w:p>
    <w:p w14:paraId="58ACD369">
      <w:pPr>
        <w:spacing w:line="360" w:lineRule="auto"/>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p>
    <w:p w14:paraId="29D04D17">
      <w:pPr>
        <w:spacing w:line="360" w:lineRule="auto"/>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14:paraId="59358C64">
      <w:pPr>
        <w:spacing w:line="360" w:lineRule="auto"/>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14:paraId="33681FC3">
      <w:pPr>
        <w:spacing w:line="360" w:lineRule="auto"/>
        <w:rPr>
          <w:rFonts w:ascii="宋体" w:hAnsi="宋体"/>
          <w:color w:val="auto"/>
          <w:szCs w:val="21"/>
          <w:highlight w:val="none"/>
        </w:rPr>
      </w:pPr>
      <w:r>
        <w:rPr>
          <w:rFonts w:hint="eastAsia" w:ascii="宋体" w:hAnsi="宋体"/>
          <w:color w:val="auto"/>
          <w:szCs w:val="21"/>
          <w:highlight w:val="none"/>
        </w:rPr>
        <w:t>网址：</w:t>
      </w:r>
      <w:r>
        <w:rPr>
          <w:rFonts w:hint="eastAsia" w:ascii="宋体" w:hAnsi="宋体"/>
          <w:color w:val="auto"/>
          <w:szCs w:val="21"/>
          <w:highlight w:val="none"/>
          <w:u w:val="single"/>
        </w:rPr>
        <w:t xml:space="preserve">                                 </w:t>
      </w:r>
    </w:p>
    <w:p w14:paraId="0FFC395D">
      <w:pPr>
        <w:spacing w:line="360" w:lineRule="auto"/>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14:paraId="62CE639A">
      <w:pPr>
        <w:spacing w:line="360" w:lineRule="auto"/>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14:paraId="467C06F0">
      <w:pPr>
        <w:spacing w:line="360" w:lineRule="auto"/>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14:paraId="07B89542">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D44FA6F">
      <w:pPr>
        <w:pStyle w:val="2"/>
        <w:ind w:firstLine="0" w:firstLineChars="0"/>
        <w:rPr>
          <w:color w:val="auto"/>
          <w:highlight w:val="none"/>
        </w:rPr>
      </w:pPr>
    </w:p>
    <w:p w14:paraId="4462CF26">
      <w:pPr>
        <w:spacing w:line="360" w:lineRule="auto"/>
        <w:ind w:firstLine="420" w:firstLineChars="200"/>
        <w:rPr>
          <w:rFonts w:ascii="宋体" w:hAnsi="宋体"/>
          <w:color w:val="auto"/>
          <w:szCs w:val="21"/>
          <w:highlight w:val="none"/>
        </w:rPr>
        <w:sectPr>
          <w:headerReference r:id="rId11" w:type="default"/>
          <w:footerReference r:id="rId12" w:type="default"/>
          <w:pgSz w:w="11906" w:h="16838"/>
          <w:pgMar w:top="1440" w:right="1800" w:bottom="1440" w:left="1800" w:header="851" w:footer="992" w:gutter="0"/>
          <w:cols w:space="720" w:num="1"/>
          <w:docGrid w:type="lines" w:linePitch="312" w:charSpace="0"/>
        </w:sectPr>
      </w:pPr>
    </w:p>
    <w:p w14:paraId="6EC35F3C">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格式二：</w:t>
      </w:r>
    </w:p>
    <w:p w14:paraId="765343AB">
      <w:pPr>
        <w:spacing w:line="440" w:lineRule="exact"/>
        <w:jc w:val="center"/>
        <w:rPr>
          <w:rFonts w:asciiTheme="majorEastAsia" w:hAnsiTheme="majorEastAsia" w:eastAsiaTheme="majorEastAsia"/>
          <w:b/>
          <w:color w:val="auto"/>
          <w:spacing w:val="-4"/>
          <w:szCs w:val="21"/>
          <w:highlight w:val="none"/>
        </w:rPr>
      </w:pPr>
      <w:r>
        <w:rPr>
          <w:rFonts w:hint="eastAsia" w:asciiTheme="majorEastAsia" w:hAnsiTheme="majorEastAsia" w:eastAsiaTheme="majorEastAsia"/>
          <w:b/>
          <w:color w:val="auto"/>
          <w:spacing w:val="-4"/>
          <w:szCs w:val="21"/>
          <w:highlight w:val="none"/>
        </w:rPr>
        <w:t>供应商资格声明函</w:t>
      </w:r>
    </w:p>
    <w:p w14:paraId="6F42E8B5">
      <w:pPr>
        <w:pStyle w:val="2"/>
        <w:ind w:firstLine="210"/>
        <w:rPr>
          <w:color w:val="auto"/>
          <w:highlight w:val="none"/>
        </w:rPr>
      </w:pPr>
    </w:p>
    <w:p w14:paraId="1E149FA3">
      <w:pPr>
        <w:spacing w:line="360" w:lineRule="auto"/>
        <w:rPr>
          <w:rFonts w:ascii="宋体" w:hAnsi="宋体" w:cs="宋体"/>
          <w:b/>
          <w:color w:val="auto"/>
          <w:kern w:val="1"/>
          <w:szCs w:val="21"/>
          <w:highlight w:val="none"/>
        </w:rPr>
      </w:pPr>
      <w:r>
        <w:rPr>
          <w:rFonts w:hint="eastAsia" w:ascii="宋体" w:hAnsi="宋体"/>
          <w:bCs/>
          <w:color w:val="auto"/>
          <w:szCs w:val="21"/>
          <w:highlight w:val="none"/>
        </w:rPr>
        <w:t>致：</w:t>
      </w:r>
      <w:r>
        <w:rPr>
          <w:rFonts w:hint="eastAsia" w:ascii="宋体" w:hAnsi="宋体"/>
          <w:color w:val="auto"/>
          <w:szCs w:val="21"/>
          <w:highlight w:val="none"/>
          <w:u w:val="single"/>
          <w:lang w:eastAsia="zh-CN"/>
        </w:rPr>
        <w:t>宁波市海曙区古林镇中心小学</w:t>
      </w:r>
      <w:r>
        <w:rPr>
          <w:rFonts w:hint="eastAsia" w:ascii="宋体" w:hAnsi="宋体"/>
          <w:color w:val="auto"/>
          <w:szCs w:val="21"/>
          <w:highlight w:val="none"/>
          <w:u w:val="single"/>
        </w:rPr>
        <w:t>、宁波之新招标咨询有限公司</w:t>
      </w:r>
    </w:p>
    <w:p w14:paraId="5C13D8D0">
      <w:pPr>
        <w:spacing w:line="360" w:lineRule="auto"/>
        <w:ind w:firstLine="424"/>
        <w:rPr>
          <w:rFonts w:ascii="宋体" w:hAnsi="宋体" w:cs="宋体"/>
          <w:b/>
          <w:bCs/>
          <w:color w:val="auto"/>
          <w:kern w:val="1"/>
          <w:szCs w:val="21"/>
          <w:highlight w:val="none"/>
        </w:rPr>
      </w:pPr>
      <w:r>
        <w:rPr>
          <w:rFonts w:ascii="宋体" w:hAnsi="宋体" w:cs="宋体"/>
          <w:b/>
          <w:color w:val="auto"/>
          <w:kern w:val="1"/>
          <w:szCs w:val="21"/>
          <w:highlight w:val="none"/>
        </w:rPr>
        <w:t>本单位</w:t>
      </w:r>
      <w:r>
        <w:rPr>
          <w:rFonts w:hint="eastAsia" w:ascii="宋体" w:hAnsi="宋体" w:cs="宋体"/>
          <w:b/>
          <w:color w:val="auto"/>
          <w:kern w:val="1"/>
          <w:szCs w:val="21"/>
          <w:highlight w:val="none"/>
        </w:rPr>
        <w:t>自愿</w:t>
      </w:r>
      <w:r>
        <w:rPr>
          <w:rFonts w:ascii="宋体" w:hAnsi="宋体" w:cs="宋体"/>
          <w:b/>
          <w:color w:val="auto"/>
          <w:kern w:val="1"/>
          <w:szCs w:val="21"/>
          <w:highlight w:val="none"/>
        </w:rPr>
        <w:t>参加</w:t>
      </w:r>
      <w:r>
        <w:rPr>
          <w:rFonts w:hint="eastAsia" w:ascii="宋体" w:hAnsi="宋体" w:cs="宋体"/>
          <w:b/>
          <w:color w:val="auto"/>
          <w:kern w:val="1"/>
          <w:szCs w:val="21"/>
          <w:highlight w:val="none"/>
        </w:rPr>
        <w:t>磋商</w:t>
      </w:r>
      <w:r>
        <w:rPr>
          <w:rFonts w:ascii="宋体" w:hAnsi="宋体" w:cs="宋体"/>
          <w:b/>
          <w:color w:val="auto"/>
          <w:kern w:val="1"/>
          <w:szCs w:val="21"/>
          <w:highlight w:val="none"/>
        </w:rPr>
        <w:t>并声明</w:t>
      </w:r>
      <w:r>
        <w:rPr>
          <w:rFonts w:hint="eastAsia" w:ascii="宋体" w:hAnsi="宋体" w:cs="宋体"/>
          <w:b/>
          <w:bCs/>
          <w:color w:val="auto"/>
          <w:kern w:val="1"/>
          <w:szCs w:val="21"/>
          <w:highlight w:val="none"/>
        </w:rPr>
        <w:t>：</w:t>
      </w:r>
    </w:p>
    <w:p w14:paraId="2C35785F">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1、具有独立承担民事责任的能力；</w:t>
      </w:r>
    </w:p>
    <w:p w14:paraId="158321C9">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2、具有良好的商业信誉和健全的财务会计制度；</w:t>
      </w:r>
    </w:p>
    <w:p w14:paraId="0AD7C4CC">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3、具有履行本项目合同所必需的设备和专业技术能力；</w:t>
      </w:r>
    </w:p>
    <w:p w14:paraId="65643667">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4、已依法缴纳了税收和社会保障资金；</w:t>
      </w:r>
    </w:p>
    <w:p w14:paraId="63BE5B9A">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5、在参加本次政府采购活动前三年内，在经营活动中没有重大违法记录（没有因违法经营受到刑事处罚或者责令停产停业、吊销许可证或者执照、较大数额罚款等行政处罚）；</w:t>
      </w:r>
    </w:p>
    <w:p w14:paraId="44F51646">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6、</w:t>
      </w:r>
      <w:r>
        <w:rPr>
          <w:rFonts w:ascii="宋体" w:hAnsi="宋体" w:cs="Arial"/>
          <w:color w:val="auto"/>
          <w:szCs w:val="21"/>
          <w:highlight w:val="none"/>
        </w:rPr>
        <w:t>本单位</w:t>
      </w:r>
      <w:r>
        <w:rPr>
          <w:rFonts w:hint="eastAsia" w:ascii="宋体" w:hAnsi="宋体" w:cs="Arial"/>
          <w:color w:val="auto"/>
          <w:szCs w:val="21"/>
          <w:highlight w:val="none"/>
        </w:rPr>
        <w:t>至响应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14:paraId="195FCC09">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7、具有</w:t>
      </w:r>
      <w:r>
        <w:rPr>
          <w:rFonts w:ascii="宋体" w:hAnsi="宋体" w:cs="Arial"/>
          <w:color w:val="auto"/>
          <w:szCs w:val="21"/>
          <w:highlight w:val="none"/>
        </w:rPr>
        <w:t>法律、行政法规规定的其他条件</w:t>
      </w:r>
      <w:r>
        <w:rPr>
          <w:rFonts w:hint="eastAsia" w:ascii="宋体" w:hAnsi="宋体" w:cs="Arial"/>
          <w:color w:val="auto"/>
          <w:szCs w:val="21"/>
          <w:highlight w:val="none"/>
        </w:rPr>
        <w:t>；</w:t>
      </w:r>
    </w:p>
    <w:p w14:paraId="643ADDE9">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8、</w:t>
      </w:r>
      <w:r>
        <w:rPr>
          <w:rFonts w:ascii="宋体" w:hAnsi="宋体" w:cs="Arial"/>
          <w:color w:val="auto"/>
          <w:szCs w:val="21"/>
          <w:highlight w:val="none"/>
        </w:rPr>
        <w:t>本单位的法定代表人或单位负责人与所参</w:t>
      </w:r>
      <w:r>
        <w:rPr>
          <w:rFonts w:hint="eastAsia" w:ascii="宋体" w:hAnsi="宋体" w:cs="Arial"/>
          <w:color w:val="auto"/>
          <w:szCs w:val="21"/>
          <w:highlight w:val="none"/>
        </w:rPr>
        <w:t>与</w:t>
      </w:r>
      <w:r>
        <w:rPr>
          <w:rFonts w:ascii="宋体" w:hAnsi="宋体" w:cs="Arial"/>
          <w:color w:val="auto"/>
          <w:szCs w:val="21"/>
          <w:highlight w:val="none"/>
        </w:rPr>
        <w:t>本项目</w:t>
      </w:r>
      <w:r>
        <w:rPr>
          <w:rFonts w:hint="eastAsia" w:ascii="宋体" w:hAnsi="宋体" w:cs="Arial"/>
          <w:color w:val="auto"/>
          <w:szCs w:val="21"/>
          <w:highlight w:val="none"/>
        </w:rPr>
        <w:t>磋商</w:t>
      </w:r>
      <w:r>
        <w:rPr>
          <w:rFonts w:ascii="宋体" w:hAnsi="宋体" w:cs="Arial"/>
          <w:color w:val="auto"/>
          <w:szCs w:val="21"/>
          <w:highlight w:val="none"/>
        </w:rPr>
        <w:t>的其他</w:t>
      </w:r>
      <w:r>
        <w:rPr>
          <w:rFonts w:hint="eastAsia" w:ascii="宋体" w:hAnsi="宋体" w:cs="Arial"/>
          <w:color w:val="auto"/>
          <w:szCs w:val="21"/>
          <w:highlight w:val="none"/>
        </w:rPr>
        <w:t>供应商</w:t>
      </w:r>
      <w:r>
        <w:rPr>
          <w:rFonts w:ascii="宋体" w:hAnsi="宋体" w:cs="Arial"/>
          <w:color w:val="auto"/>
          <w:szCs w:val="21"/>
          <w:highlight w:val="none"/>
        </w:rPr>
        <w:t>的法定代表人或单位负责人不为同一人且与其他</w:t>
      </w:r>
      <w:r>
        <w:rPr>
          <w:rFonts w:hint="eastAsia" w:ascii="宋体" w:hAnsi="宋体" w:cs="Arial"/>
          <w:color w:val="auto"/>
          <w:szCs w:val="21"/>
          <w:highlight w:val="none"/>
        </w:rPr>
        <w:t>供应商</w:t>
      </w:r>
      <w:r>
        <w:rPr>
          <w:rFonts w:ascii="宋体" w:hAnsi="宋体" w:cs="Arial"/>
          <w:color w:val="auto"/>
          <w:szCs w:val="21"/>
          <w:highlight w:val="none"/>
        </w:rPr>
        <w:t>之间不存在直接控股、管理关系</w:t>
      </w:r>
      <w:r>
        <w:rPr>
          <w:rFonts w:hint="eastAsia" w:ascii="宋体" w:hAnsi="宋体" w:cs="Arial"/>
          <w:color w:val="auto"/>
          <w:szCs w:val="21"/>
          <w:highlight w:val="none"/>
        </w:rPr>
        <w:t>；</w:t>
      </w:r>
    </w:p>
    <w:p w14:paraId="7FD758C8">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9、</w:t>
      </w:r>
      <w:r>
        <w:rPr>
          <w:rFonts w:ascii="宋体" w:hAnsi="宋体" w:cs="Arial"/>
          <w:color w:val="auto"/>
          <w:szCs w:val="21"/>
          <w:highlight w:val="none"/>
        </w:rPr>
        <w:t>本单位</w:t>
      </w:r>
      <w:r>
        <w:rPr>
          <w:rFonts w:hint="eastAsia" w:ascii="宋体" w:hAnsi="宋体" w:cs="Arial"/>
          <w:color w:val="auto"/>
          <w:szCs w:val="21"/>
          <w:highlight w:val="none"/>
        </w:rPr>
        <w:t>不是</w:t>
      </w:r>
      <w:r>
        <w:rPr>
          <w:rFonts w:ascii="宋体" w:hAnsi="宋体" w:cs="Arial"/>
          <w:color w:val="auto"/>
          <w:szCs w:val="21"/>
          <w:highlight w:val="none"/>
        </w:rPr>
        <w:t>为本项目提供整体设计、规范编制或者项目管理、监理、检测等服务的</w:t>
      </w:r>
      <w:r>
        <w:rPr>
          <w:rFonts w:hint="eastAsia" w:ascii="宋体" w:hAnsi="宋体" w:cs="Arial"/>
          <w:color w:val="auto"/>
          <w:szCs w:val="21"/>
          <w:highlight w:val="none"/>
        </w:rPr>
        <w:t>供应商。</w:t>
      </w:r>
    </w:p>
    <w:p w14:paraId="67A75692">
      <w:pPr>
        <w:spacing w:line="440" w:lineRule="exact"/>
        <w:ind w:right="159" w:firstLine="420" w:firstLineChars="200"/>
        <w:jc w:val="left"/>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特此声明！</w:t>
      </w:r>
    </w:p>
    <w:p w14:paraId="2D61FB22">
      <w:pPr>
        <w:spacing w:line="440" w:lineRule="exact"/>
        <w:ind w:right="159" w:firstLine="420" w:firstLineChars="200"/>
        <w:jc w:val="left"/>
        <w:rPr>
          <w:rFonts w:asciiTheme="majorEastAsia" w:hAnsiTheme="majorEastAsia" w:eastAsiaTheme="majorEastAsia"/>
          <w:color w:val="auto"/>
          <w:kern w:val="0"/>
          <w:szCs w:val="21"/>
          <w:highlight w:val="none"/>
        </w:rPr>
      </w:pPr>
    </w:p>
    <w:p w14:paraId="703C1517">
      <w:pPr>
        <w:spacing w:line="440" w:lineRule="exact"/>
        <w:rPr>
          <w:rFonts w:asciiTheme="majorEastAsia" w:hAnsiTheme="majorEastAsia" w:eastAsiaTheme="majorEastAsia"/>
          <w:color w:val="auto"/>
          <w:szCs w:val="21"/>
          <w:highlight w:val="none"/>
        </w:rPr>
      </w:pPr>
    </w:p>
    <w:p w14:paraId="76418838">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1ED58FAB">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3923B15C">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t>日期：</w:t>
      </w: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格式三：</w:t>
      </w:r>
    </w:p>
    <w:p w14:paraId="1AACDE99">
      <w:pPr>
        <w:adjustRightInd w:val="0"/>
        <w:spacing w:line="440" w:lineRule="exact"/>
        <w:jc w:val="center"/>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评分索引表</w:t>
      </w:r>
    </w:p>
    <w:tbl>
      <w:tblPr>
        <w:tblStyle w:val="45"/>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5045"/>
        <w:gridCol w:w="1326"/>
        <w:gridCol w:w="1210"/>
      </w:tblGrid>
      <w:tr w14:paraId="2C6E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52" w:type="pct"/>
            <w:vAlign w:val="center"/>
          </w:tcPr>
          <w:p w14:paraId="0E762161">
            <w:pPr>
              <w:contextualSpacing/>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项目</w:t>
            </w:r>
          </w:p>
        </w:tc>
        <w:tc>
          <w:tcPr>
            <w:tcW w:w="2960" w:type="pct"/>
            <w:vAlign w:val="center"/>
          </w:tcPr>
          <w:p w14:paraId="52BD8BA7">
            <w:pPr>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评审内容</w:t>
            </w:r>
          </w:p>
        </w:tc>
        <w:tc>
          <w:tcPr>
            <w:tcW w:w="778" w:type="pct"/>
            <w:vAlign w:val="center"/>
          </w:tcPr>
          <w:p w14:paraId="513241C0">
            <w:pPr>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自评分</w:t>
            </w:r>
          </w:p>
          <w:p w14:paraId="551CA1BB">
            <w:pPr>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得分</w:t>
            </w:r>
          </w:p>
        </w:tc>
        <w:tc>
          <w:tcPr>
            <w:tcW w:w="711" w:type="pct"/>
            <w:vAlign w:val="center"/>
          </w:tcPr>
          <w:p w14:paraId="0B2F0772">
            <w:pPr>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对应页码</w:t>
            </w:r>
          </w:p>
        </w:tc>
      </w:tr>
      <w:tr w14:paraId="3F07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restart"/>
            <w:vAlign w:val="center"/>
          </w:tcPr>
          <w:p w14:paraId="798C3F62">
            <w:pPr>
              <w:autoSpaceDE w:val="0"/>
              <w:autoSpaceDN w:val="0"/>
              <w:adjustRightInd w:val="0"/>
              <w:jc w:val="center"/>
              <w:rPr>
                <w:rFonts w:asciiTheme="majorEastAsia" w:hAnsiTheme="majorEastAsia" w:eastAsiaTheme="majorEastAsia"/>
                <w:b/>
                <w:bCs/>
                <w:color w:val="auto"/>
                <w:szCs w:val="21"/>
                <w:highlight w:val="none"/>
                <w:lang w:val="zh-CN"/>
              </w:rPr>
            </w:pPr>
            <w:r>
              <w:rPr>
                <w:rFonts w:asciiTheme="majorEastAsia" w:hAnsiTheme="majorEastAsia" w:eastAsiaTheme="majorEastAsia"/>
                <w:b/>
                <w:bCs/>
                <w:color w:val="auto"/>
                <w:szCs w:val="21"/>
                <w:highlight w:val="none"/>
                <w:lang w:val="zh-CN"/>
              </w:rPr>
              <w:t>资信</w:t>
            </w:r>
          </w:p>
          <w:p w14:paraId="4ACCC501">
            <w:pPr>
              <w:autoSpaceDE w:val="0"/>
              <w:autoSpaceDN w:val="0"/>
              <w:adjustRightInd w:val="0"/>
              <w:jc w:val="center"/>
              <w:rPr>
                <w:rFonts w:asciiTheme="majorEastAsia" w:hAnsiTheme="majorEastAsia" w:eastAsiaTheme="majorEastAsia"/>
                <w:b/>
                <w:bCs/>
                <w:color w:val="auto"/>
                <w:szCs w:val="21"/>
                <w:highlight w:val="none"/>
                <w:lang w:val="zh-CN"/>
              </w:rPr>
            </w:pPr>
            <w:r>
              <w:rPr>
                <w:rFonts w:asciiTheme="majorEastAsia" w:hAnsiTheme="majorEastAsia" w:eastAsiaTheme="majorEastAsia"/>
                <w:b/>
                <w:bCs/>
                <w:color w:val="auto"/>
                <w:szCs w:val="21"/>
                <w:highlight w:val="none"/>
                <w:lang w:val="zh-CN"/>
              </w:rPr>
              <w:t>技术分</w:t>
            </w:r>
          </w:p>
        </w:tc>
        <w:tc>
          <w:tcPr>
            <w:tcW w:w="2960" w:type="pct"/>
            <w:vAlign w:val="center"/>
          </w:tcPr>
          <w:p w14:paraId="4D58EEFD">
            <w:pPr>
              <w:contextualSpacing/>
              <w:jc w:val="left"/>
              <w:rPr>
                <w:rFonts w:asciiTheme="majorEastAsia" w:hAnsiTheme="majorEastAsia" w:eastAsiaTheme="majorEastAsia"/>
                <w:bCs/>
                <w:color w:val="auto"/>
                <w:szCs w:val="21"/>
                <w:highlight w:val="none"/>
              </w:rPr>
            </w:pPr>
          </w:p>
        </w:tc>
        <w:tc>
          <w:tcPr>
            <w:tcW w:w="778" w:type="pct"/>
            <w:vAlign w:val="center"/>
          </w:tcPr>
          <w:p w14:paraId="0DE9136C">
            <w:pPr>
              <w:contextualSpacing/>
              <w:jc w:val="left"/>
              <w:rPr>
                <w:rFonts w:asciiTheme="majorEastAsia" w:hAnsiTheme="majorEastAsia" w:eastAsiaTheme="majorEastAsia"/>
                <w:bCs/>
                <w:color w:val="auto"/>
                <w:szCs w:val="21"/>
                <w:highlight w:val="none"/>
              </w:rPr>
            </w:pPr>
          </w:p>
        </w:tc>
        <w:tc>
          <w:tcPr>
            <w:tcW w:w="711" w:type="pct"/>
            <w:vAlign w:val="center"/>
          </w:tcPr>
          <w:p w14:paraId="641993AF">
            <w:pPr>
              <w:contextualSpacing/>
              <w:jc w:val="left"/>
              <w:rPr>
                <w:rFonts w:asciiTheme="majorEastAsia" w:hAnsiTheme="majorEastAsia" w:eastAsiaTheme="majorEastAsia"/>
                <w:bCs/>
                <w:color w:val="auto"/>
                <w:szCs w:val="21"/>
                <w:highlight w:val="none"/>
              </w:rPr>
            </w:pPr>
          </w:p>
        </w:tc>
      </w:tr>
      <w:tr w14:paraId="69FA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55055DAB">
            <w:pPr>
              <w:contextualSpacing/>
              <w:jc w:val="center"/>
              <w:rPr>
                <w:rFonts w:asciiTheme="majorEastAsia" w:hAnsiTheme="majorEastAsia" w:eastAsiaTheme="majorEastAsia"/>
                <w:b/>
                <w:color w:val="auto"/>
                <w:szCs w:val="21"/>
                <w:highlight w:val="none"/>
              </w:rPr>
            </w:pPr>
          </w:p>
        </w:tc>
        <w:tc>
          <w:tcPr>
            <w:tcW w:w="2960" w:type="pct"/>
            <w:vAlign w:val="center"/>
          </w:tcPr>
          <w:p w14:paraId="6D621C97">
            <w:pPr>
              <w:contextualSpacing/>
              <w:jc w:val="left"/>
              <w:rPr>
                <w:rFonts w:asciiTheme="majorEastAsia" w:hAnsiTheme="majorEastAsia" w:eastAsiaTheme="majorEastAsia"/>
                <w:color w:val="auto"/>
                <w:szCs w:val="21"/>
                <w:highlight w:val="none"/>
              </w:rPr>
            </w:pPr>
          </w:p>
        </w:tc>
        <w:tc>
          <w:tcPr>
            <w:tcW w:w="778" w:type="pct"/>
            <w:vAlign w:val="center"/>
          </w:tcPr>
          <w:p w14:paraId="152A0A7A">
            <w:pPr>
              <w:contextualSpacing/>
              <w:jc w:val="left"/>
              <w:rPr>
                <w:rFonts w:asciiTheme="majorEastAsia" w:hAnsiTheme="majorEastAsia" w:eastAsiaTheme="majorEastAsia"/>
                <w:color w:val="auto"/>
                <w:szCs w:val="21"/>
                <w:highlight w:val="none"/>
              </w:rPr>
            </w:pPr>
          </w:p>
        </w:tc>
        <w:tc>
          <w:tcPr>
            <w:tcW w:w="711" w:type="pct"/>
            <w:vAlign w:val="center"/>
          </w:tcPr>
          <w:p w14:paraId="14696344">
            <w:pPr>
              <w:contextualSpacing/>
              <w:jc w:val="left"/>
              <w:rPr>
                <w:rFonts w:asciiTheme="majorEastAsia" w:hAnsiTheme="majorEastAsia" w:eastAsiaTheme="majorEastAsia"/>
                <w:color w:val="auto"/>
                <w:szCs w:val="21"/>
                <w:highlight w:val="none"/>
              </w:rPr>
            </w:pPr>
          </w:p>
        </w:tc>
      </w:tr>
      <w:tr w14:paraId="4BBA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7AFB8ACB">
            <w:pPr>
              <w:contextualSpacing/>
              <w:jc w:val="center"/>
              <w:rPr>
                <w:rFonts w:asciiTheme="majorEastAsia" w:hAnsiTheme="majorEastAsia" w:eastAsiaTheme="majorEastAsia"/>
                <w:b/>
                <w:color w:val="auto"/>
                <w:szCs w:val="21"/>
                <w:highlight w:val="none"/>
              </w:rPr>
            </w:pPr>
          </w:p>
        </w:tc>
        <w:tc>
          <w:tcPr>
            <w:tcW w:w="2960" w:type="pct"/>
            <w:vAlign w:val="center"/>
          </w:tcPr>
          <w:p w14:paraId="3A264F27">
            <w:pPr>
              <w:rPr>
                <w:rFonts w:asciiTheme="majorEastAsia" w:hAnsiTheme="majorEastAsia" w:eastAsiaTheme="majorEastAsia"/>
                <w:color w:val="auto"/>
                <w:szCs w:val="21"/>
                <w:highlight w:val="none"/>
              </w:rPr>
            </w:pPr>
          </w:p>
        </w:tc>
        <w:tc>
          <w:tcPr>
            <w:tcW w:w="778" w:type="pct"/>
            <w:vAlign w:val="center"/>
          </w:tcPr>
          <w:p w14:paraId="22049C76">
            <w:pPr>
              <w:rPr>
                <w:rFonts w:asciiTheme="majorEastAsia" w:hAnsiTheme="majorEastAsia" w:eastAsiaTheme="majorEastAsia"/>
                <w:color w:val="auto"/>
                <w:szCs w:val="21"/>
                <w:highlight w:val="none"/>
              </w:rPr>
            </w:pPr>
          </w:p>
        </w:tc>
        <w:tc>
          <w:tcPr>
            <w:tcW w:w="711" w:type="pct"/>
            <w:vAlign w:val="center"/>
          </w:tcPr>
          <w:p w14:paraId="4AE91EB4">
            <w:pPr>
              <w:rPr>
                <w:rFonts w:asciiTheme="majorEastAsia" w:hAnsiTheme="majorEastAsia" w:eastAsiaTheme="majorEastAsia"/>
                <w:color w:val="auto"/>
                <w:szCs w:val="21"/>
                <w:highlight w:val="none"/>
              </w:rPr>
            </w:pPr>
          </w:p>
        </w:tc>
      </w:tr>
      <w:tr w14:paraId="57A3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6182AD19">
            <w:pPr>
              <w:contextualSpacing/>
              <w:jc w:val="center"/>
              <w:rPr>
                <w:rFonts w:asciiTheme="majorEastAsia" w:hAnsiTheme="majorEastAsia" w:eastAsiaTheme="majorEastAsia"/>
                <w:b/>
                <w:color w:val="auto"/>
                <w:szCs w:val="21"/>
                <w:highlight w:val="none"/>
              </w:rPr>
            </w:pPr>
          </w:p>
        </w:tc>
        <w:tc>
          <w:tcPr>
            <w:tcW w:w="2960" w:type="pct"/>
            <w:vAlign w:val="center"/>
          </w:tcPr>
          <w:p w14:paraId="2F38BE7B">
            <w:pPr>
              <w:rPr>
                <w:rFonts w:asciiTheme="majorEastAsia" w:hAnsiTheme="majorEastAsia" w:eastAsiaTheme="majorEastAsia"/>
                <w:color w:val="auto"/>
                <w:szCs w:val="21"/>
                <w:highlight w:val="none"/>
              </w:rPr>
            </w:pPr>
          </w:p>
        </w:tc>
        <w:tc>
          <w:tcPr>
            <w:tcW w:w="778" w:type="pct"/>
            <w:vAlign w:val="center"/>
          </w:tcPr>
          <w:p w14:paraId="216EE242">
            <w:pPr>
              <w:rPr>
                <w:rFonts w:cs="新宋体" w:asciiTheme="majorEastAsia" w:hAnsiTheme="majorEastAsia" w:eastAsiaTheme="majorEastAsia"/>
                <w:color w:val="auto"/>
                <w:szCs w:val="21"/>
                <w:highlight w:val="none"/>
              </w:rPr>
            </w:pPr>
          </w:p>
        </w:tc>
        <w:tc>
          <w:tcPr>
            <w:tcW w:w="711" w:type="pct"/>
            <w:vAlign w:val="center"/>
          </w:tcPr>
          <w:p w14:paraId="5FF98EF4">
            <w:pPr>
              <w:rPr>
                <w:rFonts w:cs="新宋体" w:asciiTheme="majorEastAsia" w:hAnsiTheme="majorEastAsia" w:eastAsiaTheme="majorEastAsia"/>
                <w:color w:val="auto"/>
                <w:szCs w:val="21"/>
                <w:highlight w:val="none"/>
              </w:rPr>
            </w:pPr>
          </w:p>
        </w:tc>
      </w:tr>
      <w:tr w14:paraId="6302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11825D07">
            <w:pPr>
              <w:contextualSpacing/>
              <w:jc w:val="center"/>
              <w:rPr>
                <w:rFonts w:asciiTheme="majorEastAsia" w:hAnsiTheme="majorEastAsia" w:eastAsiaTheme="majorEastAsia"/>
                <w:b/>
                <w:color w:val="auto"/>
                <w:szCs w:val="21"/>
                <w:highlight w:val="none"/>
              </w:rPr>
            </w:pPr>
          </w:p>
        </w:tc>
        <w:tc>
          <w:tcPr>
            <w:tcW w:w="2960" w:type="pct"/>
            <w:vAlign w:val="center"/>
          </w:tcPr>
          <w:p w14:paraId="5A932A02">
            <w:pPr>
              <w:contextualSpacing/>
              <w:jc w:val="left"/>
              <w:rPr>
                <w:rFonts w:asciiTheme="majorEastAsia" w:hAnsiTheme="majorEastAsia" w:eastAsiaTheme="majorEastAsia"/>
                <w:color w:val="auto"/>
                <w:szCs w:val="21"/>
                <w:highlight w:val="none"/>
              </w:rPr>
            </w:pPr>
          </w:p>
        </w:tc>
        <w:tc>
          <w:tcPr>
            <w:tcW w:w="778" w:type="pct"/>
            <w:vAlign w:val="center"/>
          </w:tcPr>
          <w:p w14:paraId="6F013217">
            <w:pPr>
              <w:contextualSpacing/>
              <w:jc w:val="left"/>
              <w:rPr>
                <w:rFonts w:asciiTheme="majorEastAsia" w:hAnsiTheme="majorEastAsia" w:eastAsiaTheme="majorEastAsia"/>
                <w:color w:val="auto"/>
                <w:szCs w:val="21"/>
                <w:highlight w:val="none"/>
              </w:rPr>
            </w:pPr>
          </w:p>
        </w:tc>
        <w:tc>
          <w:tcPr>
            <w:tcW w:w="711" w:type="pct"/>
            <w:vAlign w:val="center"/>
          </w:tcPr>
          <w:p w14:paraId="7FECB0B3">
            <w:pPr>
              <w:contextualSpacing/>
              <w:jc w:val="left"/>
              <w:rPr>
                <w:rFonts w:asciiTheme="majorEastAsia" w:hAnsiTheme="majorEastAsia" w:eastAsiaTheme="majorEastAsia"/>
                <w:color w:val="auto"/>
                <w:szCs w:val="21"/>
                <w:highlight w:val="none"/>
              </w:rPr>
            </w:pPr>
          </w:p>
        </w:tc>
      </w:tr>
      <w:tr w14:paraId="16CA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410C1820">
            <w:pPr>
              <w:contextualSpacing/>
              <w:jc w:val="center"/>
              <w:rPr>
                <w:rFonts w:asciiTheme="majorEastAsia" w:hAnsiTheme="majorEastAsia" w:eastAsiaTheme="majorEastAsia"/>
                <w:b/>
                <w:color w:val="auto"/>
                <w:szCs w:val="21"/>
                <w:highlight w:val="none"/>
              </w:rPr>
            </w:pPr>
          </w:p>
        </w:tc>
        <w:tc>
          <w:tcPr>
            <w:tcW w:w="2960" w:type="pct"/>
            <w:vAlign w:val="center"/>
          </w:tcPr>
          <w:p w14:paraId="0A3A37B1">
            <w:pPr>
              <w:contextualSpacing/>
              <w:jc w:val="left"/>
              <w:rPr>
                <w:rFonts w:asciiTheme="majorEastAsia" w:hAnsiTheme="majorEastAsia" w:eastAsiaTheme="majorEastAsia"/>
                <w:color w:val="auto"/>
                <w:szCs w:val="21"/>
                <w:highlight w:val="none"/>
              </w:rPr>
            </w:pPr>
          </w:p>
        </w:tc>
        <w:tc>
          <w:tcPr>
            <w:tcW w:w="778" w:type="pct"/>
            <w:vAlign w:val="center"/>
          </w:tcPr>
          <w:p w14:paraId="3F469836">
            <w:pPr>
              <w:contextualSpacing/>
              <w:jc w:val="left"/>
              <w:rPr>
                <w:rFonts w:asciiTheme="majorEastAsia" w:hAnsiTheme="majorEastAsia" w:eastAsiaTheme="majorEastAsia"/>
                <w:color w:val="auto"/>
                <w:szCs w:val="21"/>
                <w:highlight w:val="none"/>
              </w:rPr>
            </w:pPr>
          </w:p>
        </w:tc>
        <w:tc>
          <w:tcPr>
            <w:tcW w:w="711" w:type="pct"/>
            <w:vAlign w:val="center"/>
          </w:tcPr>
          <w:p w14:paraId="05F48D3A">
            <w:pPr>
              <w:contextualSpacing/>
              <w:jc w:val="left"/>
              <w:rPr>
                <w:rFonts w:asciiTheme="majorEastAsia" w:hAnsiTheme="majorEastAsia" w:eastAsiaTheme="majorEastAsia"/>
                <w:color w:val="auto"/>
                <w:szCs w:val="21"/>
                <w:highlight w:val="none"/>
              </w:rPr>
            </w:pPr>
          </w:p>
        </w:tc>
      </w:tr>
      <w:tr w14:paraId="5DB0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6CE9A1EE">
            <w:pPr>
              <w:contextualSpacing/>
              <w:jc w:val="center"/>
              <w:rPr>
                <w:rFonts w:asciiTheme="majorEastAsia" w:hAnsiTheme="majorEastAsia" w:eastAsiaTheme="majorEastAsia"/>
                <w:b/>
                <w:color w:val="auto"/>
                <w:szCs w:val="21"/>
                <w:highlight w:val="none"/>
              </w:rPr>
            </w:pPr>
          </w:p>
        </w:tc>
        <w:tc>
          <w:tcPr>
            <w:tcW w:w="2960" w:type="pct"/>
            <w:vAlign w:val="center"/>
          </w:tcPr>
          <w:p w14:paraId="7C556EB4">
            <w:pPr>
              <w:contextualSpacing/>
              <w:jc w:val="left"/>
              <w:rPr>
                <w:rFonts w:asciiTheme="majorEastAsia" w:hAnsiTheme="majorEastAsia" w:eastAsiaTheme="majorEastAsia"/>
                <w:color w:val="auto"/>
                <w:szCs w:val="21"/>
                <w:highlight w:val="none"/>
              </w:rPr>
            </w:pPr>
          </w:p>
        </w:tc>
        <w:tc>
          <w:tcPr>
            <w:tcW w:w="778" w:type="pct"/>
            <w:vAlign w:val="center"/>
          </w:tcPr>
          <w:p w14:paraId="0024E7DD">
            <w:pPr>
              <w:contextualSpacing/>
              <w:jc w:val="left"/>
              <w:rPr>
                <w:rFonts w:asciiTheme="majorEastAsia" w:hAnsiTheme="majorEastAsia" w:eastAsiaTheme="majorEastAsia"/>
                <w:color w:val="auto"/>
                <w:szCs w:val="21"/>
                <w:highlight w:val="none"/>
              </w:rPr>
            </w:pPr>
          </w:p>
        </w:tc>
        <w:tc>
          <w:tcPr>
            <w:tcW w:w="711" w:type="pct"/>
            <w:vAlign w:val="center"/>
          </w:tcPr>
          <w:p w14:paraId="1C466AE1">
            <w:pPr>
              <w:contextualSpacing/>
              <w:jc w:val="left"/>
              <w:rPr>
                <w:rFonts w:asciiTheme="majorEastAsia" w:hAnsiTheme="majorEastAsia" w:eastAsiaTheme="majorEastAsia"/>
                <w:color w:val="auto"/>
                <w:szCs w:val="21"/>
                <w:highlight w:val="none"/>
              </w:rPr>
            </w:pPr>
          </w:p>
        </w:tc>
      </w:tr>
      <w:tr w14:paraId="2C41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360D4F12">
            <w:pPr>
              <w:contextualSpacing/>
              <w:jc w:val="center"/>
              <w:rPr>
                <w:rFonts w:asciiTheme="majorEastAsia" w:hAnsiTheme="majorEastAsia" w:eastAsiaTheme="majorEastAsia"/>
                <w:b/>
                <w:color w:val="auto"/>
                <w:szCs w:val="21"/>
                <w:highlight w:val="none"/>
              </w:rPr>
            </w:pPr>
          </w:p>
        </w:tc>
        <w:tc>
          <w:tcPr>
            <w:tcW w:w="2960" w:type="pct"/>
            <w:vAlign w:val="center"/>
          </w:tcPr>
          <w:p w14:paraId="1262798F">
            <w:pPr>
              <w:contextualSpacing/>
              <w:jc w:val="left"/>
              <w:rPr>
                <w:rFonts w:asciiTheme="majorEastAsia" w:hAnsiTheme="majorEastAsia" w:eastAsiaTheme="majorEastAsia"/>
                <w:color w:val="auto"/>
                <w:szCs w:val="21"/>
                <w:highlight w:val="none"/>
              </w:rPr>
            </w:pPr>
          </w:p>
        </w:tc>
        <w:tc>
          <w:tcPr>
            <w:tcW w:w="778" w:type="pct"/>
            <w:vAlign w:val="center"/>
          </w:tcPr>
          <w:p w14:paraId="12CFF269">
            <w:pPr>
              <w:contextualSpacing/>
              <w:jc w:val="left"/>
              <w:rPr>
                <w:rFonts w:asciiTheme="majorEastAsia" w:hAnsiTheme="majorEastAsia" w:eastAsiaTheme="majorEastAsia"/>
                <w:color w:val="auto"/>
                <w:szCs w:val="21"/>
                <w:highlight w:val="none"/>
              </w:rPr>
            </w:pPr>
          </w:p>
        </w:tc>
        <w:tc>
          <w:tcPr>
            <w:tcW w:w="711" w:type="pct"/>
            <w:vAlign w:val="center"/>
          </w:tcPr>
          <w:p w14:paraId="7BE3800C">
            <w:pPr>
              <w:contextualSpacing/>
              <w:jc w:val="left"/>
              <w:rPr>
                <w:rFonts w:asciiTheme="majorEastAsia" w:hAnsiTheme="majorEastAsia" w:eastAsiaTheme="majorEastAsia"/>
                <w:color w:val="auto"/>
                <w:szCs w:val="21"/>
                <w:highlight w:val="none"/>
              </w:rPr>
            </w:pPr>
          </w:p>
        </w:tc>
      </w:tr>
      <w:tr w14:paraId="7A48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270E7206">
            <w:pPr>
              <w:contextualSpacing/>
              <w:jc w:val="center"/>
              <w:rPr>
                <w:rFonts w:asciiTheme="majorEastAsia" w:hAnsiTheme="majorEastAsia" w:eastAsiaTheme="majorEastAsia"/>
                <w:b/>
                <w:color w:val="auto"/>
                <w:szCs w:val="21"/>
                <w:highlight w:val="none"/>
              </w:rPr>
            </w:pPr>
          </w:p>
        </w:tc>
        <w:tc>
          <w:tcPr>
            <w:tcW w:w="2960" w:type="pct"/>
            <w:vAlign w:val="center"/>
          </w:tcPr>
          <w:p w14:paraId="4E863765">
            <w:pPr>
              <w:contextualSpacing/>
              <w:jc w:val="left"/>
              <w:rPr>
                <w:rFonts w:asciiTheme="majorEastAsia" w:hAnsiTheme="majorEastAsia" w:eastAsiaTheme="majorEastAsia"/>
                <w:color w:val="auto"/>
                <w:szCs w:val="21"/>
                <w:highlight w:val="none"/>
              </w:rPr>
            </w:pPr>
          </w:p>
        </w:tc>
        <w:tc>
          <w:tcPr>
            <w:tcW w:w="778" w:type="pct"/>
            <w:vAlign w:val="center"/>
          </w:tcPr>
          <w:p w14:paraId="43E10690">
            <w:pPr>
              <w:contextualSpacing/>
              <w:jc w:val="left"/>
              <w:rPr>
                <w:rFonts w:asciiTheme="majorEastAsia" w:hAnsiTheme="majorEastAsia" w:eastAsiaTheme="majorEastAsia"/>
                <w:color w:val="auto"/>
                <w:szCs w:val="21"/>
                <w:highlight w:val="none"/>
              </w:rPr>
            </w:pPr>
          </w:p>
        </w:tc>
        <w:tc>
          <w:tcPr>
            <w:tcW w:w="711" w:type="pct"/>
            <w:vAlign w:val="center"/>
          </w:tcPr>
          <w:p w14:paraId="08AC5B99">
            <w:pPr>
              <w:contextualSpacing/>
              <w:jc w:val="left"/>
              <w:rPr>
                <w:rFonts w:asciiTheme="majorEastAsia" w:hAnsiTheme="majorEastAsia" w:eastAsiaTheme="majorEastAsia"/>
                <w:color w:val="auto"/>
                <w:szCs w:val="21"/>
                <w:highlight w:val="none"/>
              </w:rPr>
            </w:pPr>
          </w:p>
        </w:tc>
      </w:tr>
      <w:tr w14:paraId="2D57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7B429662">
            <w:pPr>
              <w:contextualSpacing/>
              <w:jc w:val="center"/>
              <w:rPr>
                <w:rFonts w:asciiTheme="majorEastAsia" w:hAnsiTheme="majorEastAsia" w:eastAsiaTheme="majorEastAsia"/>
                <w:b/>
                <w:color w:val="auto"/>
                <w:szCs w:val="21"/>
                <w:highlight w:val="none"/>
              </w:rPr>
            </w:pPr>
          </w:p>
        </w:tc>
        <w:tc>
          <w:tcPr>
            <w:tcW w:w="2960" w:type="pct"/>
            <w:vAlign w:val="center"/>
          </w:tcPr>
          <w:p w14:paraId="247EFE35">
            <w:pPr>
              <w:contextualSpacing/>
              <w:jc w:val="left"/>
              <w:rPr>
                <w:rFonts w:asciiTheme="majorEastAsia" w:hAnsiTheme="majorEastAsia" w:eastAsiaTheme="majorEastAsia"/>
                <w:color w:val="auto"/>
                <w:szCs w:val="21"/>
                <w:highlight w:val="none"/>
              </w:rPr>
            </w:pPr>
          </w:p>
        </w:tc>
        <w:tc>
          <w:tcPr>
            <w:tcW w:w="778" w:type="pct"/>
            <w:vAlign w:val="center"/>
          </w:tcPr>
          <w:p w14:paraId="625A3A48">
            <w:pPr>
              <w:contextualSpacing/>
              <w:jc w:val="left"/>
              <w:rPr>
                <w:rFonts w:asciiTheme="majorEastAsia" w:hAnsiTheme="majorEastAsia" w:eastAsiaTheme="majorEastAsia"/>
                <w:color w:val="auto"/>
                <w:szCs w:val="21"/>
                <w:highlight w:val="none"/>
              </w:rPr>
            </w:pPr>
          </w:p>
        </w:tc>
        <w:tc>
          <w:tcPr>
            <w:tcW w:w="711" w:type="pct"/>
            <w:vAlign w:val="center"/>
          </w:tcPr>
          <w:p w14:paraId="4375F030">
            <w:pPr>
              <w:contextualSpacing/>
              <w:jc w:val="left"/>
              <w:rPr>
                <w:rFonts w:asciiTheme="majorEastAsia" w:hAnsiTheme="majorEastAsia" w:eastAsiaTheme="majorEastAsia"/>
                <w:color w:val="auto"/>
                <w:szCs w:val="21"/>
                <w:highlight w:val="none"/>
              </w:rPr>
            </w:pPr>
          </w:p>
        </w:tc>
      </w:tr>
      <w:tr w14:paraId="1864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30383A35">
            <w:pPr>
              <w:contextualSpacing/>
              <w:jc w:val="center"/>
              <w:rPr>
                <w:rFonts w:asciiTheme="majorEastAsia" w:hAnsiTheme="majorEastAsia" w:eastAsiaTheme="majorEastAsia"/>
                <w:b/>
                <w:color w:val="auto"/>
                <w:szCs w:val="21"/>
                <w:highlight w:val="none"/>
              </w:rPr>
            </w:pPr>
          </w:p>
        </w:tc>
        <w:tc>
          <w:tcPr>
            <w:tcW w:w="2960" w:type="pct"/>
            <w:vAlign w:val="center"/>
          </w:tcPr>
          <w:p w14:paraId="616A7D1C">
            <w:pPr>
              <w:contextualSpacing/>
              <w:jc w:val="left"/>
              <w:rPr>
                <w:rFonts w:asciiTheme="majorEastAsia" w:hAnsiTheme="majorEastAsia" w:eastAsiaTheme="majorEastAsia"/>
                <w:color w:val="auto"/>
                <w:szCs w:val="21"/>
                <w:highlight w:val="none"/>
              </w:rPr>
            </w:pPr>
          </w:p>
        </w:tc>
        <w:tc>
          <w:tcPr>
            <w:tcW w:w="778" w:type="pct"/>
            <w:vAlign w:val="center"/>
          </w:tcPr>
          <w:p w14:paraId="387A8E64">
            <w:pPr>
              <w:contextualSpacing/>
              <w:jc w:val="left"/>
              <w:rPr>
                <w:rFonts w:asciiTheme="majorEastAsia" w:hAnsiTheme="majorEastAsia" w:eastAsiaTheme="majorEastAsia"/>
                <w:color w:val="auto"/>
                <w:szCs w:val="21"/>
                <w:highlight w:val="none"/>
              </w:rPr>
            </w:pPr>
          </w:p>
        </w:tc>
        <w:tc>
          <w:tcPr>
            <w:tcW w:w="711" w:type="pct"/>
            <w:vAlign w:val="center"/>
          </w:tcPr>
          <w:p w14:paraId="3C6F6BC3">
            <w:pPr>
              <w:contextualSpacing/>
              <w:jc w:val="left"/>
              <w:rPr>
                <w:rFonts w:asciiTheme="majorEastAsia" w:hAnsiTheme="majorEastAsia" w:eastAsiaTheme="majorEastAsia"/>
                <w:color w:val="auto"/>
                <w:szCs w:val="21"/>
                <w:highlight w:val="none"/>
              </w:rPr>
            </w:pPr>
          </w:p>
        </w:tc>
      </w:tr>
    </w:tbl>
    <w:p w14:paraId="56D792E2">
      <w:pPr>
        <w:pStyle w:val="20"/>
        <w:spacing w:line="440" w:lineRule="exact"/>
        <w:ind w:firstLine="0"/>
        <w:rPr>
          <w:rFonts w:asciiTheme="majorEastAsia" w:hAnsiTheme="majorEastAsia" w:eastAsiaTheme="majorEastAsia"/>
          <w:b/>
          <w:color w:val="auto"/>
          <w:sz w:val="21"/>
          <w:szCs w:val="21"/>
          <w:highlight w:val="none"/>
        </w:rPr>
      </w:pPr>
    </w:p>
    <w:p w14:paraId="29DF0F20">
      <w:pPr>
        <w:pStyle w:val="20"/>
        <w:spacing w:line="440" w:lineRule="exact"/>
        <w:ind w:firstLine="0"/>
        <w:rPr>
          <w:rFonts w:asciiTheme="majorEastAsia" w:hAnsiTheme="majorEastAsia" w:eastAsiaTheme="majorEastAsia"/>
          <w:b/>
          <w:color w:val="auto"/>
          <w:sz w:val="21"/>
          <w:szCs w:val="21"/>
          <w:highlight w:val="none"/>
        </w:rPr>
      </w:pPr>
      <w:r>
        <w:rPr>
          <w:rFonts w:asciiTheme="majorEastAsia" w:hAnsiTheme="majorEastAsia" w:eastAsiaTheme="majorEastAsia"/>
          <w:color w:val="auto"/>
          <w:highlight w:val="none"/>
        </w:rPr>
        <w:br w:type="page"/>
      </w:r>
      <w:r>
        <w:rPr>
          <w:rFonts w:hint="eastAsia" w:asciiTheme="majorEastAsia" w:hAnsiTheme="majorEastAsia" w:eastAsiaTheme="majorEastAsia"/>
          <w:b/>
          <w:color w:val="auto"/>
          <w:sz w:val="21"/>
          <w:szCs w:val="21"/>
          <w:highlight w:val="none"/>
        </w:rPr>
        <w:t>格式四：</w:t>
      </w:r>
    </w:p>
    <w:p w14:paraId="7A8488A2">
      <w:pPr>
        <w:pStyle w:val="20"/>
        <w:spacing w:line="440" w:lineRule="exact"/>
        <w:ind w:firstLine="0"/>
        <w:jc w:val="center"/>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法定代表人（负责人）身份证明</w:t>
      </w:r>
    </w:p>
    <w:p w14:paraId="4B287794">
      <w:pPr>
        <w:adjustRightInd w:val="0"/>
        <w:spacing w:line="440" w:lineRule="exact"/>
        <w:jc w:val="left"/>
        <w:rPr>
          <w:rFonts w:asciiTheme="majorEastAsia" w:hAnsiTheme="majorEastAsia" w:eastAsiaTheme="majorEastAsia"/>
          <w:b/>
          <w:color w:val="auto"/>
          <w:szCs w:val="21"/>
          <w:highlight w:val="none"/>
        </w:rPr>
      </w:pPr>
    </w:p>
    <w:p w14:paraId="6DB7A78B">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单位名称：</w:t>
      </w:r>
      <w:r>
        <w:rPr>
          <w:rFonts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u w:val="single"/>
        </w:rPr>
        <w:t xml:space="preserve">       </w:t>
      </w:r>
    </w:p>
    <w:p w14:paraId="7C3AA4A0">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地    址：</w:t>
      </w:r>
      <w:r>
        <w:rPr>
          <w:rFonts w:asciiTheme="majorEastAsia" w:hAnsiTheme="majorEastAsia" w:eastAsiaTheme="majorEastAsia"/>
          <w:color w:val="auto"/>
          <w:szCs w:val="21"/>
          <w:highlight w:val="none"/>
          <w:u w:val="single"/>
        </w:rPr>
        <w:t xml:space="preserve">                                                                     </w:t>
      </w:r>
    </w:p>
    <w:p w14:paraId="4E4C2043">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姓    名：</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性    别：</w:t>
      </w:r>
      <w:r>
        <w:rPr>
          <w:rFonts w:asciiTheme="majorEastAsia" w:hAnsiTheme="majorEastAsia" w:eastAsiaTheme="majorEastAsia"/>
          <w:color w:val="auto"/>
          <w:szCs w:val="21"/>
          <w:highlight w:val="none"/>
          <w:u w:val="single"/>
        </w:rPr>
        <w:t xml:space="preserve">                            </w:t>
      </w:r>
    </w:p>
    <w:p w14:paraId="1B37093F">
      <w:pPr>
        <w:spacing w:line="440" w:lineRule="exact"/>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年    龄：</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职    务：</w:t>
      </w:r>
      <w:r>
        <w:rPr>
          <w:rFonts w:asciiTheme="majorEastAsia" w:hAnsiTheme="majorEastAsia" w:eastAsiaTheme="majorEastAsia"/>
          <w:color w:val="auto"/>
          <w:szCs w:val="21"/>
          <w:highlight w:val="none"/>
          <w:u w:val="single"/>
        </w:rPr>
        <w:t xml:space="preserve">                            </w:t>
      </w:r>
    </w:p>
    <w:p w14:paraId="18918BA5">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身份证号码：</w:t>
      </w:r>
      <w:r>
        <w:rPr>
          <w:rFonts w:asciiTheme="majorEastAsia" w:hAnsiTheme="majorEastAsia" w:eastAsiaTheme="majorEastAsia"/>
          <w:color w:val="auto"/>
          <w:szCs w:val="21"/>
          <w:highlight w:val="none"/>
          <w:u w:val="single"/>
        </w:rPr>
        <w:t xml:space="preserve">                                                                   </w:t>
      </w:r>
    </w:p>
    <w:p w14:paraId="44AE96BC">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系</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（供应商名称）的法定代表人（负责人），为</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（项目编号、项目名称）项目，签署上述项目的响应文件，进行合同谈判、签署合同和处理与之有关的一切事宜。</w:t>
      </w:r>
    </w:p>
    <w:p w14:paraId="1A41F2BD">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特此证明。</w:t>
      </w:r>
    </w:p>
    <w:p w14:paraId="6AD22F4B">
      <w:pPr>
        <w:spacing w:line="440" w:lineRule="exact"/>
        <w:rPr>
          <w:rFonts w:asciiTheme="majorEastAsia" w:hAnsiTheme="majorEastAsia" w:eastAsiaTheme="majorEastAsia"/>
          <w:color w:val="auto"/>
          <w:szCs w:val="21"/>
          <w:highlight w:val="none"/>
        </w:rPr>
      </w:pPr>
    </w:p>
    <w:p w14:paraId="02CC556A">
      <w:pPr>
        <w:spacing w:line="440" w:lineRule="exac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后附法定代表人（负责人）身份证正反面复印件，加盖公章。</w:t>
      </w:r>
    </w:p>
    <w:p w14:paraId="67042D31">
      <w:pPr>
        <w:spacing w:line="440" w:lineRule="exact"/>
        <w:rPr>
          <w:rFonts w:asciiTheme="majorEastAsia" w:hAnsiTheme="majorEastAsia" w:eastAsiaTheme="majorEastAsia"/>
          <w:color w:val="auto"/>
          <w:szCs w:val="21"/>
          <w:highlight w:val="none"/>
        </w:rPr>
      </w:pPr>
    </w:p>
    <w:p w14:paraId="277A06D0">
      <w:pPr>
        <w:spacing w:line="440" w:lineRule="exact"/>
        <w:rPr>
          <w:rFonts w:asciiTheme="majorEastAsia" w:hAnsiTheme="majorEastAsia" w:eastAsiaTheme="majorEastAsia"/>
          <w:color w:val="auto"/>
          <w:szCs w:val="21"/>
          <w:highlight w:val="none"/>
        </w:rPr>
      </w:pPr>
    </w:p>
    <w:p w14:paraId="3955A6DB">
      <w:pPr>
        <w:spacing w:line="440" w:lineRule="exact"/>
        <w:rPr>
          <w:rFonts w:asciiTheme="majorEastAsia" w:hAnsiTheme="majorEastAsia" w:eastAsiaTheme="majorEastAsia"/>
          <w:color w:val="auto"/>
          <w:szCs w:val="21"/>
          <w:highlight w:val="none"/>
        </w:rPr>
      </w:pPr>
    </w:p>
    <w:p w14:paraId="69C6944E">
      <w:pPr>
        <w:spacing w:line="440" w:lineRule="exact"/>
        <w:rPr>
          <w:rFonts w:asciiTheme="majorEastAsia" w:hAnsiTheme="majorEastAsia" w:eastAsiaTheme="majorEastAsia"/>
          <w:color w:val="auto"/>
          <w:szCs w:val="21"/>
          <w:highlight w:val="none"/>
        </w:rPr>
      </w:pPr>
    </w:p>
    <w:p w14:paraId="0C395326">
      <w:pPr>
        <w:spacing w:line="440" w:lineRule="exact"/>
        <w:rPr>
          <w:rFonts w:asciiTheme="majorEastAsia" w:hAnsiTheme="majorEastAsia" w:eastAsiaTheme="majorEastAsia"/>
          <w:color w:val="auto"/>
          <w:szCs w:val="21"/>
          <w:highlight w:val="none"/>
        </w:rPr>
      </w:pPr>
    </w:p>
    <w:p w14:paraId="319471D7">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7F099208">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法定代表人（负责人）（签字或盖章）：                       </w:t>
      </w:r>
    </w:p>
    <w:p w14:paraId="094C5FC4">
      <w:pPr>
        <w:adjustRightInd w:val="0"/>
        <w:spacing w:line="440" w:lineRule="exact"/>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559A8375">
      <w:pPr>
        <w:adjustRightInd w:val="0"/>
        <w:spacing w:line="440" w:lineRule="exact"/>
        <w:jc w:val="left"/>
        <w:rPr>
          <w:rFonts w:asciiTheme="majorEastAsia" w:hAnsiTheme="majorEastAsia" w:eastAsiaTheme="majorEastAsia"/>
          <w:color w:val="auto"/>
          <w:szCs w:val="21"/>
          <w:highlight w:val="none"/>
        </w:rPr>
      </w:pPr>
    </w:p>
    <w:p w14:paraId="0278AEB2">
      <w:pPr>
        <w:adjustRightInd w:val="0"/>
        <w:spacing w:line="440" w:lineRule="exact"/>
        <w:jc w:val="left"/>
        <w:rPr>
          <w:rFonts w:asciiTheme="majorEastAsia" w:hAnsiTheme="majorEastAsia" w:eastAsiaTheme="majorEastAsia"/>
          <w:color w:val="auto"/>
          <w:szCs w:val="21"/>
          <w:highlight w:val="none"/>
        </w:rPr>
      </w:pPr>
    </w:p>
    <w:p w14:paraId="572BB0EF">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rPr>
        <w:t>五</w:t>
      </w:r>
      <w:r>
        <w:rPr>
          <w:rFonts w:asciiTheme="majorEastAsia" w:hAnsiTheme="majorEastAsia" w:eastAsiaTheme="majorEastAsia"/>
          <w:b/>
          <w:color w:val="auto"/>
          <w:szCs w:val="21"/>
          <w:highlight w:val="none"/>
        </w:rPr>
        <w:t>：</w:t>
      </w:r>
    </w:p>
    <w:p w14:paraId="48C54F13">
      <w:pPr>
        <w:spacing w:line="440" w:lineRule="exact"/>
        <w:jc w:val="center"/>
        <w:rPr>
          <w:rFonts w:asciiTheme="majorEastAsia" w:hAnsiTheme="majorEastAsia" w:eastAsiaTheme="majorEastAsia"/>
          <w:b/>
          <w:color w:val="auto"/>
          <w:sz w:val="18"/>
          <w:szCs w:val="18"/>
          <w:highlight w:val="none"/>
        </w:rPr>
      </w:pPr>
      <w:r>
        <w:rPr>
          <w:rFonts w:asciiTheme="majorEastAsia" w:hAnsiTheme="majorEastAsia" w:eastAsiaTheme="majorEastAsia"/>
          <w:b/>
          <w:color w:val="auto"/>
          <w:sz w:val="18"/>
          <w:szCs w:val="18"/>
          <w:highlight w:val="none"/>
        </w:rPr>
        <w:t>法定代表人（负责人）授权委托书</w:t>
      </w:r>
    </w:p>
    <w:p w14:paraId="17EDD8EF">
      <w:pPr>
        <w:pStyle w:val="20"/>
        <w:spacing w:line="440" w:lineRule="exact"/>
        <w:jc w:val="center"/>
        <w:rPr>
          <w:rFonts w:asciiTheme="majorEastAsia" w:hAnsiTheme="majorEastAsia" w:eastAsiaTheme="majorEastAsia"/>
          <w:color w:val="auto"/>
          <w:szCs w:val="18"/>
          <w:highlight w:val="none"/>
        </w:rPr>
      </w:pPr>
    </w:p>
    <w:p w14:paraId="549C1941">
      <w:pPr>
        <w:pStyle w:val="20"/>
        <w:spacing w:line="440" w:lineRule="exact"/>
        <w:ind w:firstLine="0"/>
        <w:rPr>
          <w:rFonts w:asciiTheme="majorEastAsia" w:hAnsiTheme="majorEastAsia" w:eastAsiaTheme="majorEastAsia"/>
          <w:color w:val="auto"/>
          <w:szCs w:val="18"/>
          <w:highlight w:val="none"/>
        </w:rPr>
      </w:pPr>
      <w:r>
        <w:rPr>
          <w:rFonts w:asciiTheme="majorEastAsia" w:hAnsiTheme="majorEastAsia" w:eastAsiaTheme="majorEastAsia"/>
          <w:color w:val="auto"/>
          <w:szCs w:val="18"/>
          <w:highlight w:val="none"/>
          <w:u w:val="single"/>
        </w:rPr>
        <w:t xml:space="preserve">致       </w:t>
      </w:r>
      <w:r>
        <w:rPr>
          <w:rFonts w:asciiTheme="majorEastAsia" w:hAnsiTheme="majorEastAsia" w:eastAsiaTheme="majorEastAsia"/>
          <w:color w:val="auto"/>
          <w:szCs w:val="18"/>
          <w:highlight w:val="none"/>
        </w:rPr>
        <w:t>（采购人名称）：</w:t>
      </w:r>
    </w:p>
    <w:p w14:paraId="6E95CEE3">
      <w:pPr>
        <w:pStyle w:val="20"/>
        <w:spacing w:line="440" w:lineRule="exact"/>
        <w:rPr>
          <w:rFonts w:asciiTheme="majorEastAsia" w:hAnsiTheme="majorEastAsia" w:eastAsiaTheme="majorEastAsia"/>
          <w:color w:val="auto"/>
          <w:szCs w:val="18"/>
          <w:highlight w:val="none"/>
        </w:rPr>
      </w:pPr>
    </w:p>
    <w:p w14:paraId="5D555EEB">
      <w:pPr>
        <w:pStyle w:val="20"/>
        <w:spacing w:line="440" w:lineRule="exact"/>
        <w:ind w:firstLine="344" w:firstLineChars="200"/>
        <w:rPr>
          <w:rFonts w:asciiTheme="majorEastAsia" w:hAnsiTheme="majorEastAsia" w:eastAsiaTheme="majorEastAsia"/>
          <w:color w:val="auto"/>
          <w:szCs w:val="18"/>
          <w:highlight w:val="none"/>
        </w:rPr>
      </w:pP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（供应商全称）法定代表人（负责人）</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（姓名、职务）授权</w:t>
      </w:r>
      <w:r>
        <w:rPr>
          <w:rFonts w:asciiTheme="majorEastAsia" w:hAnsiTheme="majorEastAsia" w:eastAsiaTheme="majorEastAsia"/>
          <w:color w:val="auto"/>
          <w:szCs w:val="18"/>
          <w:highlight w:val="none"/>
          <w:u w:val="single"/>
        </w:rPr>
        <w:t xml:space="preserve">           </w:t>
      </w:r>
      <w:r>
        <w:rPr>
          <w:rFonts w:hint="eastAsia"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（授权代表姓名、职务）为本公司合法代理人，参加贵方组织的</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（项目编号、项目名称）项目的采购活动，代表本公司处理采购活动中的一切事宜。</w:t>
      </w:r>
    </w:p>
    <w:p w14:paraId="3FF8988A">
      <w:pPr>
        <w:pStyle w:val="20"/>
        <w:spacing w:line="440" w:lineRule="exact"/>
        <w:ind w:firstLine="344" w:firstLineChars="200"/>
        <w:rPr>
          <w:rFonts w:asciiTheme="majorEastAsia" w:hAnsiTheme="majorEastAsia" w:eastAsiaTheme="majorEastAsia"/>
          <w:color w:val="auto"/>
          <w:szCs w:val="18"/>
          <w:highlight w:val="none"/>
        </w:rPr>
      </w:pPr>
      <w:r>
        <w:rPr>
          <w:rFonts w:asciiTheme="majorEastAsia" w:hAnsiTheme="majorEastAsia" w:eastAsiaTheme="majorEastAsia"/>
          <w:color w:val="auto"/>
          <w:szCs w:val="18"/>
          <w:highlight w:val="none"/>
        </w:rPr>
        <w:t>本授权书于</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年</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月</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日签字生效，特此声明。</w:t>
      </w:r>
    </w:p>
    <w:p w14:paraId="0C2B1BAA">
      <w:pPr>
        <w:pStyle w:val="20"/>
        <w:spacing w:line="440" w:lineRule="exact"/>
        <w:rPr>
          <w:rFonts w:asciiTheme="majorEastAsia" w:hAnsiTheme="majorEastAsia" w:eastAsiaTheme="majorEastAsia"/>
          <w:color w:val="auto"/>
          <w:szCs w:val="18"/>
          <w:highlight w:val="none"/>
        </w:rPr>
      </w:pPr>
    </w:p>
    <w:p w14:paraId="67713C7A">
      <w:pPr>
        <w:pStyle w:val="20"/>
        <w:spacing w:line="440" w:lineRule="exact"/>
        <w:rPr>
          <w:rFonts w:asciiTheme="majorEastAsia" w:hAnsiTheme="majorEastAsia" w:eastAsiaTheme="majorEastAsia"/>
          <w:color w:val="auto"/>
          <w:szCs w:val="18"/>
          <w:highlight w:val="none"/>
        </w:rPr>
      </w:pPr>
    </w:p>
    <w:p w14:paraId="03E35856">
      <w:pPr>
        <w:pStyle w:val="20"/>
        <w:spacing w:line="440" w:lineRule="exact"/>
        <w:ind w:firstLine="345" w:firstLineChars="200"/>
        <w:rPr>
          <w:rFonts w:asciiTheme="majorEastAsia" w:hAnsiTheme="majorEastAsia" w:eastAsiaTheme="majorEastAsia"/>
          <w:b/>
          <w:color w:val="auto"/>
          <w:szCs w:val="18"/>
          <w:highlight w:val="none"/>
        </w:rPr>
      </w:pPr>
      <w:r>
        <w:rPr>
          <w:rFonts w:asciiTheme="majorEastAsia" w:hAnsiTheme="majorEastAsia" w:eastAsiaTheme="majorEastAsia"/>
          <w:b/>
          <w:color w:val="auto"/>
          <w:szCs w:val="18"/>
          <w:highlight w:val="none"/>
        </w:rPr>
        <w:t>后附授权代表身份证正反面复印件。</w:t>
      </w:r>
    </w:p>
    <w:p w14:paraId="6F2CCDFB">
      <w:pPr>
        <w:pStyle w:val="20"/>
        <w:spacing w:line="440" w:lineRule="exact"/>
        <w:rPr>
          <w:rFonts w:asciiTheme="majorEastAsia" w:hAnsiTheme="majorEastAsia" w:eastAsiaTheme="majorEastAsia"/>
          <w:color w:val="auto"/>
          <w:szCs w:val="18"/>
          <w:highlight w:val="none"/>
        </w:rPr>
      </w:pPr>
    </w:p>
    <w:p w14:paraId="7BF9A8A2">
      <w:pPr>
        <w:pStyle w:val="20"/>
        <w:spacing w:line="440" w:lineRule="exact"/>
        <w:rPr>
          <w:rFonts w:asciiTheme="majorEastAsia" w:hAnsiTheme="majorEastAsia" w:eastAsiaTheme="majorEastAsia"/>
          <w:color w:val="auto"/>
          <w:sz w:val="21"/>
          <w:szCs w:val="21"/>
          <w:highlight w:val="none"/>
        </w:rPr>
      </w:pPr>
    </w:p>
    <w:p w14:paraId="7ACED5B6">
      <w:pPr>
        <w:pStyle w:val="20"/>
        <w:spacing w:line="440" w:lineRule="exact"/>
        <w:ind w:left="3366" w:leftChars="1600" w:hanging="6"/>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法定代表人（负责人）（签字或盖章）：</w:t>
      </w:r>
    </w:p>
    <w:p w14:paraId="5FCBFF5A">
      <w:pPr>
        <w:pStyle w:val="20"/>
        <w:spacing w:line="440" w:lineRule="exact"/>
        <w:ind w:left="3366" w:leftChars="1600" w:hanging="6"/>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供应商全称（盖章）： </w:t>
      </w:r>
    </w:p>
    <w:p w14:paraId="59B7165E">
      <w:pPr>
        <w:pStyle w:val="20"/>
        <w:spacing w:line="440" w:lineRule="exact"/>
        <w:ind w:left="3366" w:leftChars="1600" w:hanging="6"/>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日  期：</w:t>
      </w:r>
    </w:p>
    <w:p w14:paraId="382CAC07">
      <w:pPr>
        <w:pStyle w:val="20"/>
        <w:spacing w:line="440" w:lineRule="exact"/>
        <w:rPr>
          <w:rFonts w:asciiTheme="majorEastAsia" w:hAnsiTheme="majorEastAsia" w:eastAsiaTheme="majorEastAsia"/>
          <w:color w:val="auto"/>
          <w:sz w:val="21"/>
          <w:szCs w:val="21"/>
          <w:highlight w:val="none"/>
        </w:rPr>
      </w:pPr>
    </w:p>
    <w:p w14:paraId="3B1B61C6">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附：</w:t>
      </w:r>
    </w:p>
    <w:p w14:paraId="471B0893">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授权代表姓名：（印刷体）</w:t>
      </w:r>
    </w:p>
    <w:p w14:paraId="1FED8018">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职        务：</w:t>
      </w:r>
    </w:p>
    <w:p w14:paraId="54F52780">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授权代表签字：</w:t>
      </w:r>
    </w:p>
    <w:p w14:paraId="68C59D84">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详细通讯地址：</w:t>
      </w:r>
    </w:p>
    <w:p w14:paraId="3D92E133">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邮 政 编  码：</w:t>
      </w:r>
    </w:p>
    <w:p w14:paraId="2AB4DCDE">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传        真：</w:t>
      </w:r>
    </w:p>
    <w:p w14:paraId="32A1A963">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电        话：</w:t>
      </w:r>
    </w:p>
    <w:p w14:paraId="0DD9AEAB">
      <w:pPr>
        <w:pStyle w:val="20"/>
        <w:spacing w:line="440" w:lineRule="exact"/>
        <w:rPr>
          <w:rFonts w:asciiTheme="majorEastAsia" w:hAnsiTheme="majorEastAsia" w:eastAsiaTheme="majorEastAsia"/>
          <w:color w:val="auto"/>
          <w:sz w:val="21"/>
          <w:szCs w:val="21"/>
          <w:highlight w:val="none"/>
        </w:rPr>
      </w:pPr>
    </w:p>
    <w:p w14:paraId="392771CE">
      <w:pPr>
        <w:spacing w:line="440" w:lineRule="exact"/>
        <w:rPr>
          <w:rFonts w:asciiTheme="majorEastAsia" w:hAnsiTheme="majorEastAsia" w:eastAsiaTheme="majorEastAsia"/>
          <w:b/>
          <w:bCs/>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bCs/>
          <w:color w:val="auto"/>
          <w:szCs w:val="21"/>
          <w:highlight w:val="none"/>
        </w:rPr>
        <w:t>格式</w:t>
      </w:r>
      <w:r>
        <w:rPr>
          <w:rFonts w:hint="eastAsia" w:asciiTheme="majorEastAsia" w:hAnsiTheme="majorEastAsia" w:eastAsiaTheme="majorEastAsia"/>
          <w:b/>
          <w:bCs/>
          <w:color w:val="auto"/>
          <w:szCs w:val="21"/>
          <w:highlight w:val="none"/>
        </w:rPr>
        <w:t>六</w:t>
      </w:r>
      <w:r>
        <w:rPr>
          <w:rFonts w:asciiTheme="majorEastAsia" w:hAnsiTheme="majorEastAsia" w:eastAsiaTheme="majorEastAsia"/>
          <w:b/>
          <w:bCs/>
          <w:color w:val="auto"/>
          <w:szCs w:val="21"/>
          <w:highlight w:val="none"/>
        </w:rPr>
        <w:t>：</w:t>
      </w:r>
    </w:p>
    <w:p w14:paraId="70C91257">
      <w:pPr>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磋商声明书</w:t>
      </w:r>
    </w:p>
    <w:p w14:paraId="09B3257B">
      <w:pPr>
        <w:spacing w:line="440" w:lineRule="exact"/>
        <w:jc w:val="center"/>
        <w:rPr>
          <w:rFonts w:asciiTheme="majorEastAsia" w:hAnsiTheme="majorEastAsia" w:eastAsiaTheme="majorEastAsia"/>
          <w:b/>
          <w:color w:val="auto"/>
          <w:szCs w:val="21"/>
          <w:highlight w:val="none"/>
        </w:rPr>
      </w:pPr>
    </w:p>
    <w:p w14:paraId="3ADE2DE6">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致：</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（采购人名称）</w:t>
      </w:r>
    </w:p>
    <w:p w14:paraId="13F7FA86">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根据贵方为</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（项目名称）的竞争性磋商采购公告（项目编号：</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），签字代表</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（姓名）经正式授权并代表供应商</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（供应商名称）提交的</w:t>
      </w:r>
      <w:r>
        <w:rPr>
          <w:rFonts w:hint="eastAsia" w:asciiTheme="majorEastAsia" w:hAnsiTheme="majorEastAsia" w:eastAsiaTheme="majorEastAsia"/>
          <w:color w:val="auto"/>
          <w:szCs w:val="21"/>
          <w:highlight w:val="none"/>
        </w:rPr>
        <w:t>电子响应文件一份；电子响应文件的备份文件</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份</w:t>
      </w:r>
      <w:r>
        <w:rPr>
          <w:rFonts w:asciiTheme="majorEastAsia" w:hAnsiTheme="majorEastAsia" w:eastAsiaTheme="majorEastAsia"/>
          <w:color w:val="auto"/>
          <w:szCs w:val="21"/>
          <w:highlight w:val="none"/>
        </w:rPr>
        <w:t>。</w:t>
      </w:r>
    </w:p>
    <w:p w14:paraId="2F113C91">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据此函，签字代表宣布同意如下：</w:t>
      </w:r>
    </w:p>
    <w:p w14:paraId="482A9D16">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1、供应商已详细审查全部“磋商文件”，包括修改文件（如有的话）以及全部参考资料和有关附件，已经了解我方对于磋商文件、采购过程、采购结果有依法进行询问、质疑、投诉的权利及相关渠道和要求。</w:t>
      </w:r>
    </w:p>
    <w:p w14:paraId="12C0A4AA">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2、供应商在提交响应文件之前已经与贵方进行了充分的沟通，完全理解并接受磋商文件的各项规定和要求，对磋商文件的合理性、合法性不再有异议。</w:t>
      </w:r>
    </w:p>
    <w:p w14:paraId="626C52C0">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3、本磋商有效期自开标日起</w:t>
      </w:r>
      <w:r>
        <w:rPr>
          <w:rFonts w:hint="eastAsia" w:asciiTheme="majorEastAsia" w:hAnsiTheme="majorEastAsia" w:eastAsiaTheme="majorEastAsia"/>
          <w:color w:val="auto"/>
          <w:szCs w:val="21"/>
          <w:highlight w:val="none"/>
          <w:u w:val="single"/>
        </w:rPr>
        <w:t xml:space="preserve"> 90 </w:t>
      </w:r>
      <w:r>
        <w:rPr>
          <w:rFonts w:asciiTheme="majorEastAsia" w:hAnsiTheme="majorEastAsia" w:eastAsiaTheme="majorEastAsia"/>
          <w:color w:val="auto"/>
          <w:szCs w:val="21"/>
          <w:highlight w:val="none"/>
        </w:rPr>
        <w:t>日历</w:t>
      </w:r>
      <w:r>
        <w:rPr>
          <w:rFonts w:hint="eastAsia" w:asciiTheme="majorEastAsia" w:hAnsiTheme="majorEastAsia" w:eastAsiaTheme="majorEastAsia"/>
          <w:color w:val="auto"/>
          <w:szCs w:val="21"/>
          <w:highlight w:val="none"/>
        </w:rPr>
        <w:t>天</w:t>
      </w:r>
      <w:r>
        <w:rPr>
          <w:rFonts w:asciiTheme="majorEastAsia" w:hAnsiTheme="majorEastAsia" w:eastAsiaTheme="majorEastAsia"/>
          <w:color w:val="auto"/>
          <w:szCs w:val="21"/>
          <w:highlight w:val="none"/>
        </w:rPr>
        <w:t>。</w:t>
      </w:r>
    </w:p>
    <w:p w14:paraId="0D9FD0E9">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4、如成交，本响应文件至本项目合同履行完毕止均保持有效，本供应商将按“磋商文件”及政府采购法律、法规的规定履行合同责任和义务。</w:t>
      </w:r>
    </w:p>
    <w:p w14:paraId="4C461218">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5、供应商同意按照贵方要求提供与本次采购有关的一切数据或资料。</w:t>
      </w:r>
    </w:p>
    <w:p w14:paraId="72D7AB36">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6、与本项目采购有关的一切正式往来信函请寄：</w:t>
      </w:r>
    </w:p>
    <w:p w14:paraId="612F0ED4">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地址：</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邮编：</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电话：</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536D2C8F">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传真：</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供应商代表姓名：</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职务：</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74C45199">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开户银行：</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银行帐号：</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5D82B63C">
      <w:pPr>
        <w:spacing w:line="440" w:lineRule="exact"/>
        <w:rPr>
          <w:rFonts w:asciiTheme="majorEastAsia" w:hAnsiTheme="majorEastAsia" w:eastAsiaTheme="majorEastAsia"/>
          <w:color w:val="auto"/>
          <w:szCs w:val="21"/>
          <w:highlight w:val="none"/>
        </w:rPr>
      </w:pPr>
    </w:p>
    <w:p w14:paraId="7CBA751B">
      <w:pPr>
        <w:spacing w:line="440" w:lineRule="exact"/>
        <w:rPr>
          <w:rFonts w:asciiTheme="majorEastAsia" w:hAnsiTheme="majorEastAsia" w:eastAsiaTheme="majorEastAsia"/>
          <w:color w:val="auto"/>
          <w:szCs w:val="21"/>
          <w:highlight w:val="none"/>
        </w:rPr>
      </w:pPr>
    </w:p>
    <w:p w14:paraId="3E10D450">
      <w:pPr>
        <w:spacing w:line="440" w:lineRule="exact"/>
        <w:rPr>
          <w:rFonts w:asciiTheme="majorEastAsia" w:hAnsiTheme="majorEastAsia" w:eastAsiaTheme="majorEastAsia"/>
          <w:color w:val="auto"/>
          <w:szCs w:val="21"/>
          <w:highlight w:val="none"/>
        </w:rPr>
      </w:pPr>
    </w:p>
    <w:p w14:paraId="509B5263">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5C1993E1">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686FA3F0">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00A446E2">
      <w:pPr>
        <w:spacing w:line="440" w:lineRule="exact"/>
        <w:rPr>
          <w:rFonts w:asciiTheme="majorEastAsia" w:hAnsiTheme="majorEastAsia" w:eastAsiaTheme="majorEastAsia"/>
          <w:color w:val="auto"/>
          <w:szCs w:val="21"/>
          <w:highlight w:val="none"/>
        </w:rPr>
      </w:pPr>
    </w:p>
    <w:p w14:paraId="1A93E6C4">
      <w:pP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p>
    <w:p w14:paraId="35DF30EE">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rPr>
        <w:t>七</w:t>
      </w:r>
      <w:r>
        <w:rPr>
          <w:rFonts w:asciiTheme="majorEastAsia" w:hAnsiTheme="majorEastAsia" w:eastAsiaTheme="majorEastAsia"/>
          <w:b/>
          <w:color w:val="auto"/>
          <w:szCs w:val="21"/>
          <w:highlight w:val="none"/>
        </w:rPr>
        <w:t>：</w:t>
      </w:r>
    </w:p>
    <w:p w14:paraId="19F6253D">
      <w:pPr>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采购需求响应（偏离）表</w:t>
      </w:r>
    </w:p>
    <w:p w14:paraId="5914F50F">
      <w:pPr>
        <w:spacing w:line="440" w:lineRule="exact"/>
        <w:ind w:firstLine="3089"/>
        <w:rPr>
          <w:rFonts w:asciiTheme="majorEastAsia" w:hAnsiTheme="majorEastAsia" w:eastAsiaTheme="majorEastAsia"/>
          <w:b/>
          <w:color w:val="auto"/>
          <w:szCs w:val="21"/>
          <w:highlight w:val="none"/>
        </w:rPr>
      </w:pPr>
    </w:p>
    <w:p w14:paraId="1B75292E">
      <w:pPr>
        <w:spacing w:line="360" w:lineRule="auto"/>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4738"/>
        <w:gridCol w:w="900"/>
        <w:gridCol w:w="1426"/>
      </w:tblGrid>
      <w:tr w14:paraId="53FFB1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883" w:type="dxa"/>
            <w:vAlign w:val="center"/>
          </w:tcPr>
          <w:p w14:paraId="5EF527C4">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w:t>
            </w:r>
          </w:p>
        </w:tc>
        <w:tc>
          <w:tcPr>
            <w:tcW w:w="4738" w:type="dxa"/>
            <w:vAlign w:val="center"/>
          </w:tcPr>
          <w:p w14:paraId="7B9811DF">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磋商文件要求</w:t>
            </w:r>
          </w:p>
        </w:tc>
        <w:tc>
          <w:tcPr>
            <w:tcW w:w="900" w:type="dxa"/>
            <w:vAlign w:val="center"/>
          </w:tcPr>
          <w:p w14:paraId="57322D41">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是否</w:t>
            </w:r>
          </w:p>
          <w:p w14:paraId="28F71087">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响应</w:t>
            </w:r>
          </w:p>
        </w:tc>
        <w:tc>
          <w:tcPr>
            <w:tcW w:w="1426" w:type="dxa"/>
            <w:vAlign w:val="center"/>
          </w:tcPr>
          <w:p w14:paraId="6273536A">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供应商的</w:t>
            </w:r>
          </w:p>
          <w:p w14:paraId="6DD999E9">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承诺或说明</w:t>
            </w:r>
          </w:p>
        </w:tc>
      </w:tr>
      <w:tr w14:paraId="3FDDAD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49C49558">
            <w:pPr>
              <w:snapToGrid w:val="0"/>
              <w:jc w:val="center"/>
              <w:rPr>
                <w:rFonts w:asciiTheme="majorEastAsia" w:hAnsiTheme="majorEastAsia" w:eastAsiaTheme="majorEastAsia"/>
                <w:color w:val="auto"/>
                <w:szCs w:val="21"/>
                <w:highlight w:val="none"/>
              </w:rPr>
            </w:pPr>
          </w:p>
        </w:tc>
        <w:tc>
          <w:tcPr>
            <w:tcW w:w="4738" w:type="dxa"/>
            <w:vAlign w:val="center"/>
          </w:tcPr>
          <w:p w14:paraId="1F7257AE">
            <w:pPr>
              <w:jc w:val="center"/>
              <w:rPr>
                <w:rFonts w:asciiTheme="majorEastAsia" w:hAnsiTheme="majorEastAsia" w:eastAsiaTheme="majorEastAsia"/>
                <w:color w:val="auto"/>
                <w:szCs w:val="21"/>
                <w:highlight w:val="none"/>
              </w:rPr>
            </w:pPr>
          </w:p>
        </w:tc>
        <w:tc>
          <w:tcPr>
            <w:tcW w:w="900" w:type="dxa"/>
            <w:vAlign w:val="center"/>
          </w:tcPr>
          <w:p w14:paraId="4AC581D7">
            <w:pPr>
              <w:snapToGrid w:val="0"/>
              <w:jc w:val="center"/>
              <w:rPr>
                <w:rFonts w:asciiTheme="majorEastAsia" w:hAnsiTheme="majorEastAsia" w:eastAsiaTheme="majorEastAsia"/>
                <w:color w:val="auto"/>
                <w:szCs w:val="21"/>
                <w:highlight w:val="none"/>
              </w:rPr>
            </w:pPr>
          </w:p>
        </w:tc>
        <w:tc>
          <w:tcPr>
            <w:tcW w:w="1426" w:type="dxa"/>
            <w:vAlign w:val="center"/>
          </w:tcPr>
          <w:p w14:paraId="4C8FE98C">
            <w:pPr>
              <w:snapToGrid w:val="0"/>
              <w:jc w:val="center"/>
              <w:rPr>
                <w:rFonts w:asciiTheme="majorEastAsia" w:hAnsiTheme="majorEastAsia" w:eastAsiaTheme="majorEastAsia"/>
                <w:color w:val="auto"/>
                <w:szCs w:val="21"/>
                <w:highlight w:val="none"/>
              </w:rPr>
            </w:pPr>
          </w:p>
        </w:tc>
      </w:tr>
      <w:tr w14:paraId="3FA0E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09F3E697">
            <w:pPr>
              <w:jc w:val="center"/>
              <w:rPr>
                <w:rFonts w:asciiTheme="majorEastAsia" w:hAnsiTheme="majorEastAsia" w:eastAsiaTheme="majorEastAsia"/>
                <w:color w:val="auto"/>
                <w:szCs w:val="21"/>
                <w:highlight w:val="none"/>
              </w:rPr>
            </w:pPr>
          </w:p>
        </w:tc>
        <w:tc>
          <w:tcPr>
            <w:tcW w:w="4738" w:type="dxa"/>
            <w:vAlign w:val="center"/>
          </w:tcPr>
          <w:p w14:paraId="6FACC9EB">
            <w:pPr>
              <w:jc w:val="center"/>
              <w:rPr>
                <w:rFonts w:asciiTheme="majorEastAsia" w:hAnsiTheme="majorEastAsia" w:eastAsiaTheme="majorEastAsia"/>
                <w:color w:val="auto"/>
                <w:szCs w:val="21"/>
                <w:highlight w:val="none"/>
              </w:rPr>
            </w:pPr>
          </w:p>
        </w:tc>
        <w:tc>
          <w:tcPr>
            <w:tcW w:w="900" w:type="dxa"/>
            <w:vAlign w:val="center"/>
          </w:tcPr>
          <w:p w14:paraId="1F931E6C">
            <w:pPr>
              <w:snapToGrid w:val="0"/>
              <w:jc w:val="center"/>
              <w:rPr>
                <w:rFonts w:asciiTheme="majorEastAsia" w:hAnsiTheme="majorEastAsia" w:eastAsiaTheme="majorEastAsia"/>
                <w:color w:val="auto"/>
                <w:szCs w:val="21"/>
                <w:highlight w:val="none"/>
              </w:rPr>
            </w:pPr>
          </w:p>
        </w:tc>
        <w:tc>
          <w:tcPr>
            <w:tcW w:w="1426" w:type="dxa"/>
            <w:vAlign w:val="center"/>
          </w:tcPr>
          <w:p w14:paraId="6EE7F9B8">
            <w:pPr>
              <w:snapToGrid w:val="0"/>
              <w:jc w:val="center"/>
              <w:rPr>
                <w:rFonts w:asciiTheme="majorEastAsia" w:hAnsiTheme="majorEastAsia" w:eastAsiaTheme="majorEastAsia"/>
                <w:color w:val="auto"/>
                <w:szCs w:val="21"/>
                <w:highlight w:val="none"/>
              </w:rPr>
            </w:pPr>
          </w:p>
        </w:tc>
      </w:tr>
      <w:tr w14:paraId="3F08D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6B607899">
            <w:pPr>
              <w:snapToGrid w:val="0"/>
              <w:jc w:val="center"/>
              <w:rPr>
                <w:rFonts w:asciiTheme="majorEastAsia" w:hAnsiTheme="majorEastAsia" w:eastAsiaTheme="majorEastAsia"/>
                <w:color w:val="auto"/>
                <w:szCs w:val="21"/>
                <w:highlight w:val="none"/>
              </w:rPr>
            </w:pPr>
          </w:p>
        </w:tc>
        <w:tc>
          <w:tcPr>
            <w:tcW w:w="4738" w:type="dxa"/>
            <w:vAlign w:val="center"/>
          </w:tcPr>
          <w:p w14:paraId="00E60963">
            <w:pPr>
              <w:jc w:val="center"/>
              <w:rPr>
                <w:rFonts w:asciiTheme="majorEastAsia" w:hAnsiTheme="majorEastAsia" w:eastAsiaTheme="majorEastAsia"/>
                <w:color w:val="auto"/>
                <w:szCs w:val="21"/>
                <w:highlight w:val="none"/>
              </w:rPr>
            </w:pPr>
          </w:p>
        </w:tc>
        <w:tc>
          <w:tcPr>
            <w:tcW w:w="900" w:type="dxa"/>
            <w:vAlign w:val="center"/>
          </w:tcPr>
          <w:p w14:paraId="638F5CF0">
            <w:pPr>
              <w:jc w:val="center"/>
              <w:rPr>
                <w:rFonts w:asciiTheme="majorEastAsia" w:hAnsiTheme="majorEastAsia" w:eastAsiaTheme="majorEastAsia"/>
                <w:color w:val="auto"/>
                <w:szCs w:val="21"/>
                <w:highlight w:val="none"/>
              </w:rPr>
            </w:pPr>
          </w:p>
        </w:tc>
        <w:tc>
          <w:tcPr>
            <w:tcW w:w="1426" w:type="dxa"/>
            <w:vAlign w:val="center"/>
          </w:tcPr>
          <w:p w14:paraId="26B1B448">
            <w:pPr>
              <w:jc w:val="center"/>
              <w:rPr>
                <w:rFonts w:asciiTheme="majorEastAsia" w:hAnsiTheme="majorEastAsia" w:eastAsiaTheme="majorEastAsia"/>
                <w:color w:val="auto"/>
                <w:szCs w:val="21"/>
                <w:highlight w:val="none"/>
              </w:rPr>
            </w:pPr>
          </w:p>
        </w:tc>
      </w:tr>
      <w:tr w14:paraId="681488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4E8AF658">
            <w:pPr>
              <w:snapToGrid w:val="0"/>
              <w:jc w:val="center"/>
              <w:rPr>
                <w:rFonts w:asciiTheme="majorEastAsia" w:hAnsiTheme="majorEastAsia" w:eastAsiaTheme="majorEastAsia"/>
                <w:color w:val="auto"/>
                <w:szCs w:val="21"/>
                <w:highlight w:val="none"/>
              </w:rPr>
            </w:pPr>
          </w:p>
        </w:tc>
        <w:tc>
          <w:tcPr>
            <w:tcW w:w="4738" w:type="dxa"/>
            <w:vAlign w:val="center"/>
          </w:tcPr>
          <w:p w14:paraId="4242D276">
            <w:pPr>
              <w:jc w:val="center"/>
              <w:rPr>
                <w:rFonts w:asciiTheme="majorEastAsia" w:hAnsiTheme="majorEastAsia" w:eastAsiaTheme="majorEastAsia"/>
                <w:color w:val="auto"/>
                <w:szCs w:val="21"/>
                <w:highlight w:val="none"/>
              </w:rPr>
            </w:pPr>
          </w:p>
        </w:tc>
        <w:tc>
          <w:tcPr>
            <w:tcW w:w="900" w:type="dxa"/>
            <w:vAlign w:val="center"/>
          </w:tcPr>
          <w:p w14:paraId="5B1467A9">
            <w:pPr>
              <w:snapToGrid w:val="0"/>
              <w:jc w:val="center"/>
              <w:rPr>
                <w:rFonts w:asciiTheme="majorEastAsia" w:hAnsiTheme="majorEastAsia" w:eastAsiaTheme="majorEastAsia"/>
                <w:color w:val="auto"/>
                <w:szCs w:val="21"/>
                <w:highlight w:val="none"/>
              </w:rPr>
            </w:pPr>
          </w:p>
        </w:tc>
        <w:tc>
          <w:tcPr>
            <w:tcW w:w="1426" w:type="dxa"/>
            <w:vAlign w:val="center"/>
          </w:tcPr>
          <w:p w14:paraId="2E26A183">
            <w:pPr>
              <w:jc w:val="center"/>
              <w:rPr>
                <w:rFonts w:asciiTheme="majorEastAsia" w:hAnsiTheme="majorEastAsia" w:eastAsiaTheme="majorEastAsia"/>
                <w:color w:val="auto"/>
                <w:szCs w:val="21"/>
                <w:highlight w:val="none"/>
              </w:rPr>
            </w:pPr>
          </w:p>
        </w:tc>
      </w:tr>
      <w:tr w14:paraId="3E3124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1FD4971E">
            <w:pPr>
              <w:snapToGrid w:val="0"/>
              <w:jc w:val="center"/>
              <w:rPr>
                <w:rFonts w:asciiTheme="majorEastAsia" w:hAnsiTheme="majorEastAsia" w:eastAsiaTheme="majorEastAsia"/>
                <w:color w:val="auto"/>
                <w:szCs w:val="21"/>
                <w:highlight w:val="none"/>
              </w:rPr>
            </w:pPr>
          </w:p>
        </w:tc>
        <w:tc>
          <w:tcPr>
            <w:tcW w:w="4738" w:type="dxa"/>
            <w:vAlign w:val="center"/>
          </w:tcPr>
          <w:p w14:paraId="15F535E3">
            <w:pPr>
              <w:jc w:val="center"/>
              <w:rPr>
                <w:rFonts w:asciiTheme="majorEastAsia" w:hAnsiTheme="majorEastAsia" w:eastAsiaTheme="majorEastAsia"/>
                <w:color w:val="auto"/>
                <w:szCs w:val="21"/>
                <w:highlight w:val="none"/>
              </w:rPr>
            </w:pPr>
          </w:p>
        </w:tc>
        <w:tc>
          <w:tcPr>
            <w:tcW w:w="900" w:type="dxa"/>
            <w:vAlign w:val="center"/>
          </w:tcPr>
          <w:p w14:paraId="125BB7E2">
            <w:pPr>
              <w:snapToGrid w:val="0"/>
              <w:jc w:val="center"/>
              <w:rPr>
                <w:rFonts w:asciiTheme="majorEastAsia" w:hAnsiTheme="majorEastAsia" w:eastAsiaTheme="majorEastAsia"/>
                <w:color w:val="auto"/>
                <w:szCs w:val="21"/>
                <w:highlight w:val="none"/>
              </w:rPr>
            </w:pPr>
          </w:p>
        </w:tc>
        <w:tc>
          <w:tcPr>
            <w:tcW w:w="1426" w:type="dxa"/>
            <w:vAlign w:val="center"/>
          </w:tcPr>
          <w:p w14:paraId="6C959DBD">
            <w:pPr>
              <w:jc w:val="center"/>
              <w:rPr>
                <w:rFonts w:asciiTheme="majorEastAsia" w:hAnsiTheme="majorEastAsia" w:eastAsiaTheme="majorEastAsia"/>
                <w:color w:val="auto"/>
                <w:szCs w:val="21"/>
                <w:highlight w:val="none"/>
              </w:rPr>
            </w:pPr>
          </w:p>
        </w:tc>
      </w:tr>
      <w:tr w14:paraId="221FE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28A20844">
            <w:pPr>
              <w:snapToGrid w:val="0"/>
              <w:jc w:val="center"/>
              <w:rPr>
                <w:rFonts w:asciiTheme="majorEastAsia" w:hAnsiTheme="majorEastAsia" w:eastAsiaTheme="majorEastAsia"/>
                <w:color w:val="auto"/>
                <w:szCs w:val="21"/>
                <w:highlight w:val="none"/>
              </w:rPr>
            </w:pPr>
          </w:p>
        </w:tc>
        <w:tc>
          <w:tcPr>
            <w:tcW w:w="4738" w:type="dxa"/>
            <w:vAlign w:val="center"/>
          </w:tcPr>
          <w:p w14:paraId="1E44E19C">
            <w:pPr>
              <w:jc w:val="center"/>
              <w:rPr>
                <w:rFonts w:asciiTheme="majorEastAsia" w:hAnsiTheme="majorEastAsia" w:eastAsiaTheme="majorEastAsia"/>
                <w:color w:val="auto"/>
                <w:szCs w:val="21"/>
                <w:highlight w:val="none"/>
              </w:rPr>
            </w:pPr>
          </w:p>
        </w:tc>
        <w:tc>
          <w:tcPr>
            <w:tcW w:w="900" w:type="dxa"/>
            <w:vAlign w:val="center"/>
          </w:tcPr>
          <w:p w14:paraId="4FE4A976">
            <w:pPr>
              <w:snapToGrid w:val="0"/>
              <w:jc w:val="center"/>
              <w:rPr>
                <w:rFonts w:asciiTheme="majorEastAsia" w:hAnsiTheme="majorEastAsia" w:eastAsiaTheme="majorEastAsia"/>
                <w:color w:val="auto"/>
                <w:szCs w:val="21"/>
                <w:highlight w:val="none"/>
              </w:rPr>
            </w:pPr>
          </w:p>
        </w:tc>
        <w:tc>
          <w:tcPr>
            <w:tcW w:w="1426" w:type="dxa"/>
            <w:vAlign w:val="center"/>
          </w:tcPr>
          <w:p w14:paraId="1C069A40">
            <w:pPr>
              <w:jc w:val="center"/>
              <w:rPr>
                <w:rFonts w:asciiTheme="majorEastAsia" w:hAnsiTheme="majorEastAsia" w:eastAsiaTheme="majorEastAsia"/>
                <w:color w:val="auto"/>
                <w:szCs w:val="21"/>
                <w:highlight w:val="none"/>
              </w:rPr>
            </w:pPr>
          </w:p>
        </w:tc>
      </w:tr>
      <w:tr w14:paraId="2B9046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41900346">
            <w:pPr>
              <w:snapToGrid w:val="0"/>
              <w:jc w:val="center"/>
              <w:rPr>
                <w:rFonts w:asciiTheme="majorEastAsia" w:hAnsiTheme="majorEastAsia" w:eastAsiaTheme="majorEastAsia"/>
                <w:color w:val="auto"/>
                <w:szCs w:val="21"/>
                <w:highlight w:val="none"/>
              </w:rPr>
            </w:pPr>
          </w:p>
        </w:tc>
        <w:tc>
          <w:tcPr>
            <w:tcW w:w="4738" w:type="dxa"/>
            <w:vAlign w:val="center"/>
          </w:tcPr>
          <w:p w14:paraId="29965849">
            <w:pPr>
              <w:jc w:val="center"/>
              <w:rPr>
                <w:rFonts w:asciiTheme="majorEastAsia" w:hAnsiTheme="majorEastAsia" w:eastAsiaTheme="majorEastAsia"/>
                <w:color w:val="auto"/>
                <w:szCs w:val="21"/>
                <w:highlight w:val="none"/>
              </w:rPr>
            </w:pPr>
          </w:p>
        </w:tc>
        <w:tc>
          <w:tcPr>
            <w:tcW w:w="900" w:type="dxa"/>
            <w:vAlign w:val="center"/>
          </w:tcPr>
          <w:p w14:paraId="508C9B56">
            <w:pPr>
              <w:jc w:val="center"/>
              <w:rPr>
                <w:rFonts w:asciiTheme="majorEastAsia" w:hAnsiTheme="majorEastAsia" w:eastAsiaTheme="majorEastAsia"/>
                <w:color w:val="auto"/>
                <w:szCs w:val="21"/>
                <w:highlight w:val="none"/>
              </w:rPr>
            </w:pPr>
          </w:p>
        </w:tc>
        <w:tc>
          <w:tcPr>
            <w:tcW w:w="1426" w:type="dxa"/>
            <w:vAlign w:val="center"/>
          </w:tcPr>
          <w:p w14:paraId="610ED564">
            <w:pPr>
              <w:jc w:val="center"/>
              <w:rPr>
                <w:rFonts w:asciiTheme="majorEastAsia" w:hAnsiTheme="majorEastAsia" w:eastAsiaTheme="majorEastAsia"/>
                <w:color w:val="auto"/>
                <w:szCs w:val="21"/>
                <w:highlight w:val="none"/>
              </w:rPr>
            </w:pPr>
          </w:p>
        </w:tc>
      </w:tr>
      <w:tr w14:paraId="69EE3A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697D67C2">
            <w:pPr>
              <w:jc w:val="center"/>
              <w:rPr>
                <w:rFonts w:asciiTheme="majorEastAsia" w:hAnsiTheme="majorEastAsia" w:eastAsiaTheme="majorEastAsia"/>
                <w:color w:val="auto"/>
                <w:szCs w:val="21"/>
                <w:highlight w:val="none"/>
              </w:rPr>
            </w:pPr>
          </w:p>
        </w:tc>
        <w:tc>
          <w:tcPr>
            <w:tcW w:w="4738" w:type="dxa"/>
            <w:vAlign w:val="center"/>
          </w:tcPr>
          <w:p w14:paraId="2D708867">
            <w:pPr>
              <w:jc w:val="center"/>
              <w:rPr>
                <w:rFonts w:asciiTheme="majorEastAsia" w:hAnsiTheme="majorEastAsia" w:eastAsiaTheme="majorEastAsia"/>
                <w:color w:val="auto"/>
                <w:szCs w:val="21"/>
                <w:highlight w:val="none"/>
              </w:rPr>
            </w:pPr>
          </w:p>
        </w:tc>
        <w:tc>
          <w:tcPr>
            <w:tcW w:w="900" w:type="dxa"/>
            <w:vAlign w:val="center"/>
          </w:tcPr>
          <w:p w14:paraId="3C6A996E">
            <w:pPr>
              <w:jc w:val="center"/>
              <w:rPr>
                <w:rFonts w:asciiTheme="majorEastAsia" w:hAnsiTheme="majorEastAsia" w:eastAsiaTheme="majorEastAsia"/>
                <w:color w:val="auto"/>
                <w:szCs w:val="21"/>
                <w:highlight w:val="none"/>
              </w:rPr>
            </w:pPr>
          </w:p>
        </w:tc>
        <w:tc>
          <w:tcPr>
            <w:tcW w:w="1426" w:type="dxa"/>
            <w:vAlign w:val="center"/>
          </w:tcPr>
          <w:p w14:paraId="0140F447">
            <w:pPr>
              <w:jc w:val="center"/>
              <w:rPr>
                <w:rFonts w:asciiTheme="majorEastAsia" w:hAnsiTheme="majorEastAsia" w:eastAsiaTheme="majorEastAsia"/>
                <w:color w:val="auto"/>
                <w:szCs w:val="21"/>
                <w:highlight w:val="none"/>
              </w:rPr>
            </w:pPr>
          </w:p>
        </w:tc>
      </w:tr>
    </w:tbl>
    <w:p w14:paraId="10D0534C">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注：根据磋商文件第二章</w:t>
      </w:r>
      <w:r>
        <w:rPr>
          <w:rFonts w:hint="eastAsia" w:asciiTheme="majorEastAsia" w:hAnsiTheme="majorEastAsia" w:eastAsiaTheme="majorEastAsia"/>
          <w:color w:val="auto"/>
          <w:szCs w:val="21"/>
          <w:highlight w:val="none"/>
        </w:rPr>
        <w:t xml:space="preserve"> 采购需求</w:t>
      </w:r>
      <w:r>
        <w:rPr>
          <w:rFonts w:asciiTheme="majorEastAsia" w:hAnsiTheme="majorEastAsia" w:eastAsiaTheme="majorEastAsia"/>
          <w:color w:val="auto"/>
          <w:szCs w:val="21"/>
          <w:highlight w:val="none"/>
        </w:rPr>
        <w:t>中的内容逐条响应</w:t>
      </w:r>
      <w:r>
        <w:rPr>
          <w:rFonts w:hint="eastAsia" w:asciiTheme="majorEastAsia" w:hAnsiTheme="majorEastAsia" w:eastAsiaTheme="majorEastAsia"/>
          <w:color w:val="auto"/>
          <w:szCs w:val="21"/>
          <w:highlight w:val="none"/>
        </w:rPr>
        <w:t>；如全部响应的则在上表空白处填写“全部响应，无偏离”字样</w:t>
      </w:r>
      <w:r>
        <w:rPr>
          <w:rFonts w:asciiTheme="majorEastAsia" w:hAnsiTheme="majorEastAsia" w:eastAsiaTheme="majorEastAsia"/>
          <w:color w:val="auto"/>
          <w:szCs w:val="21"/>
          <w:highlight w:val="none"/>
        </w:rPr>
        <w:t>。</w:t>
      </w:r>
    </w:p>
    <w:p w14:paraId="269032AB">
      <w:pPr>
        <w:spacing w:line="440" w:lineRule="exact"/>
        <w:rPr>
          <w:rFonts w:asciiTheme="majorEastAsia" w:hAnsiTheme="majorEastAsia" w:eastAsiaTheme="majorEastAsia"/>
          <w:color w:val="auto"/>
          <w:szCs w:val="21"/>
          <w:highlight w:val="none"/>
        </w:rPr>
      </w:pPr>
    </w:p>
    <w:p w14:paraId="45AF7D43">
      <w:pPr>
        <w:spacing w:line="440" w:lineRule="exact"/>
        <w:rPr>
          <w:rFonts w:asciiTheme="majorEastAsia" w:hAnsiTheme="majorEastAsia" w:eastAsiaTheme="majorEastAsia"/>
          <w:color w:val="auto"/>
          <w:spacing w:val="-4"/>
          <w:szCs w:val="21"/>
          <w:highlight w:val="none"/>
        </w:rPr>
      </w:pPr>
    </w:p>
    <w:p w14:paraId="5B16BA91">
      <w:pPr>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供应商全称（公章）：</w:t>
      </w:r>
    </w:p>
    <w:p w14:paraId="321D4549">
      <w:pPr>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 xml:space="preserve">法定代表人（负责人）或授权代表（签字或盖章）：                       </w:t>
      </w:r>
    </w:p>
    <w:p w14:paraId="1722B9BE">
      <w:pPr>
        <w:pStyle w:val="20"/>
        <w:spacing w:line="440" w:lineRule="exact"/>
        <w:ind w:firstLine="0"/>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日期：</w:t>
      </w:r>
    </w:p>
    <w:p w14:paraId="683C4119">
      <w:pPr>
        <w:spacing w:line="440" w:lineRule="exact"/>
        <w:rPr>
          <w:rFonts w:asciiTheme="majorEastAsia" w:hAnsiTheme="majorEastAsia" w:eastAsiaTheme="majorEastAsia"/>
          <w:color w:val="auto"/>
          <w:szCs w:val="21"/>
          <w:highlight w:val="none"/>
        </w:rPr>
      </w:pPr>
    </w:p>
    <w:p w14:paraId="2518B124">
      <w:pPr>
        <w:spacing w:line="440" w:lineRule="exact"/>
        <w:rPr>
          <w:rFonts w:asciiTheme="majorEastAsia" w:hAnsiTheme="majorEastAsia" w:eastAsiaTheme="majorEastAsia"/>
          <w:color w:val="auto"/>
          <w:szCs w:val="21"/>
          <w:highlight w:val="none"/>
        </w:rPr>
      </w:pPr>
    </w:p>
    <w:p w14:paraId="37F1C8CF">
      <w:pPr>
        <w:pStyle w:val="20"/>
        <w:spacing w:line="440" w:lineRule="exact"/>
        <w:ind w:firstLine="0"/>
        <w:jc w:val="left"/>
        <w:rPr>
          <w:rFonts w:asciiTheme="majorEastAsia" w:hAnsiTheme="majorEastAsia" w:eastAsiaTheme="majorEastAsia"/>
          <w:b/>
          <w:color w:val="auto"/>
          <w:spacing w:val="0"/>
          <w:sz w:val="21"/>
          <w:szCs w:val="21"/>
          <w:highlight w:val="none"/>
        </w:rPr>
      </w:pPr>
      <w:r>
        <w:rPr>
          <w:rFonts w:asciiTheme="majorEastAsia" w:hAnsiTheme="majorEastAsia" w:eastAsiaTheme="majorEastAsia"/>
          <w:b/>
          <w:color w:val="auto"/>
          <w:spacing w:val="0"/>
          <w:sz w:val="21"/>
          <w:szCs w:val="21"/>
          <w:highlight w:val="none"/>
        </w:rPr>
        <w:t xml:space="preserve"> </w:t>
      </w:r>
    </w:p>
    <w:p w14:paraId="344A5701">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rPr>
        <w:t>八</w:t>
      </w:r>
      <w:r>
        <w:rPr>
          <w:rFonts w:asciiTheme="majorEastAsia" w:hAnsiTheme="majorEastAsia" w:eastAsiaTheme="majorEastAsia"/>
          <w:b/>
          <w:color w:val="auto"/>
          <w:szCs w:val="21"/>
          <w:highlight w:val="none"/>
        </w:rPr>
        <w:t>：</w:t>
      </w:r>
    </w:p>
    <w:p w14:paraId="6FA92B33">
      <w:pPr>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人员配置表</w:t>
      </w:r>
    </w:p>
    <w:p w14:paraId="2B590F43">
      <w:pPr>
        <w:spacing w:line="440" w:lineRule="exact"/>
        <w:jc w:val="center"/>
        <w:rPr>
          <w:rFonts w:asciiTheme="majorEastAsia" w:hAnsiTheme="majorEastAsia" w:eastAsiaTheme="majorEastAsia"/>
          <w:b/>
          <w:color w:val="auto"/>
          <w:szCs w:val="21"/>
          <w:highlight w:val="none"/>
        </w:rPr>
      </w:pPr>
    </w:p>
    <w:p w14:paraId="1784BC62">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0" w:type="auto"/>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08"/>
        <w:gridCol w:w="880"/>
        <w:gridCol w:w="1234"/>
        <w:gridCol w:w="732"/>
        <w:gridCol w:w="1710"/>
        <w:gridCol w:w="1710"/>
        <w:gridCol w:w="1787"/>
      </w:tblGrid>
      <w:tr w14:paraId="714DDA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708" w:type="dxa"/>
            <w:vAlign w:val="center"/>
          </w:tcPr>
          <w:p w14:paraId="7FA49D3E">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序号</w:t>
            </w:r>
          </w:p>
        </w:tc>
        <w:tc>
          <w:tcPr>
            <w:tcW w:w="880" w:type="dxa"/>
            <w:vAlign w:val="center"/>
          </w:tcPr>
          <w:p w14:paraId="2DD363FC">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姓名</w:t>
            </w:r>
          </w:p>
        </w:tc>
        <w:tc>
          <w:tcPr>
            <w:tcW w:w="1234" w:type="dxa"/>
            <w:vAlign w:val="center"/>
          </w:tcPr>
          <w:p w14:paraId="7BC5AF66">
            <w:pPr>
              <w:spacing w:line="440" w:lineRule="exact"/>
              <w:jc w:val="center"/>
              <w:rPr>
                <w:rFonts w:asciiTheme="majorEastAsia" w:hAnsiTheme="majorEastAsia" w:eastAsiaTheme="majorEastAsia"/>
                <w:b/>
                <w:bCs/>
                <w:color w:val="auto"/>
                <w:kern w:val="0"/>
                <w:szCs w:val="21"/>
                <w:highlight w:val="none"/>
              </w:rPr>
            </w:pPr>
            <w:r>
              <w:rPr>
                <w:rFonts w:hint="eastAsia" w:asciiTheme="majorEastAsia" w:hAnsiTheme="majorEastAsia" w:eastAsiaTheme="majorEastAsia"/>
                <w:b/>
                <w:bCs/>
                <w:color w:val="auto"/>
                <w:kern w:val="0"/>
                <w:szCs w:val="21"/>
                <w:highlight w:val="none"/>
              </w:rPr>
              <w:t>本项目分工</w:t>
            </w:r>
          </w:p>
        </w:tc>
        <w:tc>
          <w:tcPr>
            <w:tcW w:w="732" w:type="dxa"/>
            <w:vAlign w:val="center"/>
          </w:tcPr>
          <w:p w14:paraId="32F04193">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年龄</w:t>
            </w:r>
          </w:p>
        </w:tc>
        <w:tc>
          <w:tcPr>
            <w:tcW w:w="1710" w:type="dxa"/>
            <w:vAlign w:val="center"/>
          </w:tcPr>
          <w:p w14:paraId="57BC9330">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身份证号</w:t>
            </w:r>
          </w:p>
        </w:tc>
        <w:tc>
          <w:tcPr>
            <w:tcW w:w="1710" w:type="dxa"/>
            <w:vAlign w:val="center"/>
          </w:tcPr>
          <w:p w14:paraId="61652F3B">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职称或技术等级</w:t>
            </w:r>
          </w:p>
        </w:tc>
        <w:tc>
          <w:tcPr>
            <w:tcW w:w="1787" w:type="dxa"/>
            <w:vAlign w:val="center"/>
          </w:tcPr>
          <w:p w14:paraId="424A612F">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承担过的类似项目</w:t>
            </w:r>
          </w:p>
        </w:tc>
      </w:tr>
      <w:tr w14:paraId="73A931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1673EC46">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1</w:t>
            </w:r>
          </w:p>
        </w:tc>
        <w:tc>
          <w:tcPr>
            <w:tcW w:w="880" w:type="dxa"/>
            <w:vAlign w:val="center"/>
          </w:tcPr>
          <w:p w14:paraId="12A6660D">
            <w:pPr>
              <w:spacing w:line="440" w:lineRule="exact"/>
              <w:rPr>
                <w:rFonts w:asciiTheme="majorEastAsia" w:hAnsiTheme="majorEastAsia" w:eastAsiaTheme="majorEastAsia"/>
                <w:color w:val="auto"/>
                <w:kern w:val="0"/>
                <w:szCs w:val="21"/>
                <w:highlight w:val="none"/>
              </w:rPr>
            </w:pPr>
          </w:p>
        </w:tc>
        <w:tc>
          <w:tcPr>
            <w:tcW w:w="1234" w:type="dxa"/>
            <w:vAlign w:val="center"/>
          </w:tcPr>
          <w:p w14:paraId="5F2EEAB3">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07EA508F">
            <w:pPr>
              <w:spacing w:line="440" w:lineRule="exact"/>
              <w:jc w:val="center"/>
              <w:rPr>
                <w:rFonts w:asciiTheme="majorEastAsia" w:hAnsiTheme="majorEastAsia" w:eastAsiaTheme="majorEastAsia"/>
                <w:color w:val="auto"/>
                <w:kern w:val="0"/>
                <w:szCs w:val="21"/>
                <w:highlight w:val="none"/>
              </w:rPr>
            </w:pPr>
          </w:p>
        </w:tc>
        <w:tc>
          <w:tcPr>
            <w:tcW w:w="1710" w:type="dxa"/>
          </w:tcPr>
          <w:p w14:paraId="6CBA96AE">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379DFBF1">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669204F8">
            <w:pPr>
              <w:spacing w:line="440" w:lineRule="exact"/>
              <w:jc w:val="center"/>
              <w:rPr>
                <w:rFonts w:asciiTheme="majorEastAsia" w:hAnsiTheme="majorEastAsia" w:eastAsiaTheme="majorEastAsia"/>
                <w:color w:val="auto"/>
                <w:kern w:val="0"/>
                <w:szCs w:val="21"/>
                <w:highlight w:val="none"/>
              </w:rPr>
            </w:pPr>
          </w:p>
        </w:tc>
      </w:tr>
      <w:tr w14:paraId="4AE102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50F08BC6">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2</w:t>
            </w:r>
          </w:p>
        </w:tc>
        <w:tc>
          <w:tcPr>
            <w:tcW w:w="880" w:type="dxa"/>
            <w:vAlign w:val="center"/>
          </w:tcPr>
          <w:p w14:paraId="78790211">
            <w:pPr>
              <w:spacing w:line="440" w:lineRule="exact"/>
              <w:rPr>
                <w:rFonts w:asciiTheme="majorEastAsia" w:hAnsiTheme="majorEastAsia" w:eastAsiaTheme="majorEastAsia"/>
                <w:color w:val="auto"/>
                <w:kern w:val="0"/>
                <w:szCs w:val="21"/>
                <w:highlight w:val="none"/>
              </w:rPr>
            </w:pPr>
          </w:p>
        </w:tc>
        <w:tc>
          <w:tcPr>
            <w:tcW w:w="1234" w:type="dxa"/>
            <w:vAlign w:val="center"/>
          </w:tcPr>
          <w:p w14:paraId="6343E858">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7CDD9831">
            <w:pPr>
              <w:spacing w:line="440" w:lineRule="exact"/>
              <w:jc w:val="center"/>
              <w:rPr>
                <w:rFonts w:asciiTheme="majorEastAsia" w:hAnsiTheme="majorEastAsia" w:eastAsiaTheme="majorEastAsia"/>
                <w:color w:val="auto"/>
                <w:kern w:val="0"/>
                <w:szCs w:val="21"/>
                <w:highlight w:val="none"/>
              </w:rPr>
            </w:pPr>
          </w:p>
        </w:tc>
        <w:tc>
          <w:tcPr>
            <w:tcW w:w="1710" w:type="dxa"/>
          </w:tcPr>
          <w:p w14:paraId="252083A6">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60ACB936">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636BBC39">
            <w:pPr>
              <w:spacing w:line="440" w:lineRule="exact"/>
              <w:jc w:val="center"/>
              <w:rPr>
                <w:rFonts w:asciiTheme="majorEastAsia" w:hAnsiTheme="majorEastAsia" w:eastAsiaTheme="majorEastAsia"/>
                <w:color w:val="auto"/>
                <w:kern w:val="0"/>
                <w:szCs w:val="21"/>
                <w:highlight w:val="none"/>
              </w:rPr>
            </w:pPr>
          </w:p>
        </w:tc>
      </w:tr>
      <w:tr w14:paraId="580B3A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721F73CA">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3</w:t>
            </w:r>
          </w:p>
        </w:tc>
        <w:tc>
          <w:tcPr>
            <w:tcW w:w="880" w:type="dxa"/>
            <w:vAlign w:val="center"/>
          </w:tcPr>
          <w:p w14:paraId="4ED85C44">
            <w:pPr>
              <w:spacing w:line="440" w:lineRule="exact"/>
              <w:rPr>
                <w:rFonts w:asciiTheme="majorEastAsia" w:hAnsiTheme="majorEastAsia" w:eastAsiaTheme="majorEastAsia"/>
                <w:color w:val="auto"/>
                <w:kern w:val="0"/>
                <w:szCs w:val="21"/>
                <w:highlight w:val="none"/>
              </w:rPr>
            </w:pPr>
          </w:p>
        </w:tc>
        <w:tc>
          <w:tcPr>
            <w:tcW w:w="1234" w:type="dxa"/>
            <w:vAlign w:val="center"/>
          </w:tcPr>
          <w:p w14:paraId="529302EC">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79FF8B40">
            <w:pPr>
              <w:spacing w:line="440" w:lineRule="exact"/>
              <w:jc w:val="center"/>
              <w:rPr>
                <w:rFonts w:asciiTheme="majorEastAsia" w:hAnsiTheme="majorEastAsia" w:eastAsiaTheme="majorEastAsia"/>
                <w:color w:val="auto"/>
                <w:kern w:val="0"/>
                <w:szCs w:val="21"/>
                <w:highlight w:val="none"/>
              </w:rPr>
            </w:pPr>
          </w:p>
        </w:tc>
        <w:tc>
          <w:tcPr>
            <w:tcW w:w="1710" w:type="dxa"/>
          </w:tcPr>
          <w:p w14:paraId="2763F5FB">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740D8D1D">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01E38270">
            <w:pPr>
              <w:spacing w:line="440" w:lineRule="exact"/>
              <w:jc w:val="center"/>
              <w:rPr>
                <w:rFonts w:asciiTheme="majorEastAsia" w:hAnsiTheme="majorEastAsia" w:eastAsiaTheme="majorEastAsia"/>
                <w:color w:val="auto"/>
                <w:kern w:val="0"/>
                <w:szCs w:val="21"/>
                <w:highlight w:val="none"/>
              </w:rPr>
            </w:pPr>
          </w:p>
        </w:tc>
      </w:tr>
      <w:tr w14:paraId="128992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23A0F96E">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4</w:t>
            </w:r>
          </w:p>
        </w:tc>
        <w:tc>
          <w:tcPr>
            <w:tcW w:w="880" w:type="dxa"/>
            <w:vAlign w:val="center"/>
          </w:tcPr>
          <w:p w14:paraId="1C2A1A96">
            <w:pPr>
              <w:spacing w:line="440" w:lineRule="exact"/>
              <w:rPr>
                <w:rFonts w:asciiTheme="majorEastAsia" w:hAnsiTheme="majorEastAsia" w:eastAsiaTheme="majorEastAsia"/>
                <w:color w:val="auto"/>
                <w:kern w:val="0"/>
                <w:szCs w:val="21"/>
                <w:highlight w:val="none"/>
              </w:rPr>
            </w:pPr>
          </w:p>
        </w:tc>
        <w:tc>
          <w:tcPr>
            <w:tcW w:w="1234" w:type="dxa"/>
            <w:vAlign w:val="center"/>
          </w:tcPr>
          <w:p w14:paraId="3EDCAF3A">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2B752E98">
            <w:pPr>
              <w:spacing w:line="440" w:lineRule="exact"/>
              <w:jc w:val="center"/>
              <w:rPr>
                <w:rFonts w:asciiTheme="majorEastAsia" w:hAnsiTheme="majorEastAsia" w:eastAsiaTheme="majorEastAsia"/>
                <w:color w:val="auto"/>
                <w:kern w:val="0"/>
                <w:szCs w:val="21"/>
                <w:highlight w:val="none"/>
              </w:rPr>
            </w:pPr>
          </w:p>
        </w:tc>
        <w:tc>
          <w:tcPr>
            <w:tcW w:w="1710" w:type="dxa"/>
          </w:tcPr>
          <w:p w14:paraId="26791ECB">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5417C6A1">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0B1951B6">
            <w:pPr>
              <w:spacing w:line="440" w:lineRule="exact"/>
              <w:jc w:val="center"/>
              <w:rPr>
                <w:rFonts w:asciiTheme="majorEastAsia" w:hAnsiTheme="majorEastAsia" w:eastAsiaTheme="majorEastAsia"/>
                <w:color w:val="auto"/>
                <w:kern w:val="0"/>
                <w:szCs w:val="21"/>
                <w:highlight w:val="none"/>
              </w:rPr>
            </w:pPr>
          </w:p>
        </w:tc>
      </w:tr>
      <w:tr w14:paraId="709766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2FF860CE">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5</w:t>
            </w:r>
          </w:p>
        </w:tc>
        <w:tc>
          <w:tcPr>
            <w:tcW w:w="880" w:type="dxa"/>
            <w:vAlign w:val="center"/>
          </w:tcPr>
          <w:p w14:paraId="4B6995AB">
            <w:pPr>
              <w:spacing w:line="440" w:lineRule="exact"/>
              <w:rPr>
                <w:rFonts w:asciiTheme="majorEastAsia" w:hAnsiTheme="majorEastAsia" w:eastAsiaTheme="majorEastAsia"/>
                <w:color w:val="auto"/>
                <w:kern w:val="0"/>
                <w:szCs w:val="21"/>
                <w:highlight w:val="none"/>
              </w:rPr>
            </w:pPr>
          </w:p>
        </w:tc>
        <w:tc>
          <w:tcPr>
            <w:tcW w:w="1234" w:type="dxa"/>
            <w:vAlign w:val="center"/>
          </w:tcPr>
          <w:p w14:paraId="428F49E1">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14FF4F62">
            <w:pPr>
              <w:spacing w:line="440" w:lineRule="exact"/>
              <w:jc w:val="center"/>
              <w:rPr>
                <w:rFonts w:asciiTheme="majorEastAsia" w:hAnsiTheme="majorEastAsia" w:eastAsiaTheme="majorEastAsia"/>
                <w:color w:val="auto"/>
                <w:kern w:val="0"/>
                <w:szCs w:val="21"/>
                <w:highlight w:val="none"/>
              </w:rPr>
            </w:pPr>
          </w:p>
        </w:tc>
        <w:tc>
          <w:tcPr>
            <w:tcW w:w="1710" w:type="dxa"/>
          </w:tcPr>
          <w:p w14:paraId="6BC074C0">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1BC0B0BD">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572B1E0C">
            <w:pPr>
              <w:spacing w:line="440" w:lineRule="exact"/>
              <w:jc w:val="center"/>
              <w:rPr>
                <w:rFonts w:asciiTheme="majorEastAsia" w:hAnsiTheme="majorEastAsia" w:eastAsiaTheme="majorEastAsia"/>
                <w:color w:val="auto"/>
                <w:kern w:val="0"/>
                <w:szCs w:val="21"/>
                <w:highlight w:val="none"/>
              </w:rPr>
            </w:pPr>
          </w:p>
        </w:tc>
      </w:tr>
      <w:tr w14:paraId="1E2CBC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45F656D4">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6</w:t>
            </w:r>
          </w:p>
        </w:tc>
        <w:tc>
          <w:tcPr>
            <w:tcW w:w="880" w:type="dxa"/>
            <w:vAlign w:val="center"/>
          </w:tcPr>
          <w:p w14:paraId="5AE02D05">
            <w:pPr>
              <w:spacing w:line="440" w:lineRule="exact"/>
              <w:rPr>
                <w:rFonts w:asciiTheme="majorEastAsia" w:hAnsiTheme="majorEastAsia" w:eastAsiaTheme="majorEastAsia"/>
                <w:color w:val="auto"/>
                <w:kern w:val="0"/>
                <w:szCs w:val="21"/>
                <w:highlight w:val="none"/>
              </w:rPr>
            </w:pPr>
          </w:p>
        </w:tc>
        <w:tc>
          <w:tcPr>
            <w:tcW w:w="1234" w:type="dxa"/>
            <w:vAlign w:val="center"/>
          </w:tcPr>
          <w:p w14:paraId="0FCB44E4">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709C3101">
            <w:pPr>
              <w:spacing w:line="440" w:lineRule="exact"/>
              <w:jc w:val="center"/>
              <w:rPr>
                <w:rFonts w:asciiTheme="majorEastAsia" w:hAnsiTheme="majorEastAsia" w:eastAsiaTheme="majorEastAsia"/>
                <w:color w:val="auto"/>
                <w:kern w:val="0"/>
                <w:szCs w:val="21"/>
                <w:highlight w:val="none"/>
              </w:rPr>
            </w:pPr>
          </w:p>
        </w:tc>
        <w:tc>
          <w:tcPr>
            <w:tcW w:w="1710" w:type="dxa"/>
          </w:tcPr>
          <w:p w14:paraId="3B87DDD9">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5DA89C60">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3332420A">
            <w:pPr>
              <w:spacing w:line="440" w:lineRule="exact"/>
              <w:jc w:val="center"/>
              <w:rPr>
                <w:rFonts w:asciiTheme="majorEastAsia" w:hAnsiTheme="majorEastAsia" w:eastAsiaTheme="majorEastAsia"/>
                <w:color w:val="auto"/>
                <w:kern w:val="0"/>
                <w:szCs w:val="21"/>
                <w:highlight w:val="none"/>
              </w:rPr>
            </w:pPr>
          </w:p>
        </w:tc>
      </w:tr>
      <w:tr w14:paraId="4DA93A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4F3DCDC4">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7</w:t>
            </w:r>
          </w:p>
        </w:tc>
        <w:tc>
          <w:tcPr>
            <w:tcW w:w="880" w:type="dxa"/>
            <w:vAlign w:val="center"/>
          </w:tcPr>
          <w:p w14:paraId="21D407A8">
            <w:pPr>
              <w:spacing w:line="440" w:lineRule="exact"/>
              <w:rPr>
                <w:rFonts w:asciiTheme="majorEastAsia" w:hAnsiTheme="majorEastAsia" w:eastAsiaTheme="majorEastAsia"/>
                <w:color w:val="auto"/>
                <w:kern w:val="0"/>
                <w:szCs w:val="21"/>
                <w:highlight w:val="none"/>
              </w:rPr>
            </w:pPr>
          </w:p>
        </w:tc>
        <w:tc>
          <w:tcPr>
            <w:tcW w:w="1234" w:type="dxa"/>
            <w:vAlign w:val="center"/>
          </w:tcPr>
          <w:p w14:paraId="28C2107B">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15B8A7EA">
            <w:pPr>
              <w:spacing w:line="440" w:lineRule="exact"/>
              <w:jc w:val="center"/>
              <w:rPr>
                <w:rFonts w:asciiTheme="majorEastAsia" w:hAnsiTheme="majorEastAsia" w:eastAsiaTheme="majorEastAsia"/>
                <w:color w:val="auto"/>
                <w:kern w:val="0"/>
                <w:szCs w:val="21"/>
                <w:highlight w:val="none"/>
              </w:rPr>
            </w:pPr>
          </w:p>
        </w:tc>
        <w:tc>
          <w:tcPr>
            <w:tcW w:w="1710" w:type="dxa"/>
          </w:tcPr>
          <w:p w14:paraId="7896052E">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449C6AD3">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75062116">
            <w:pPr>
              <w:spacing w:line="440" w:lineRule="exact"/>
              <w:jc w:val="center"/>
              <w:rPr>
                <w:rFonts w:asciiTheme="majorEastAsia" w:hAnsiTheme="majorEastAsia" w:eastAsiaTheme="majorEastAsia"/>
                <w:color w:val="auto"/>
                <w:kern w:val="0"/>
                <w:szCs w:val="21"/>
                <w:highlight w:val="none"/>
              </w:rPr>
            </w:pPr>
          </w:p>
        </w:tc>
      </w:tr>
      <w:tr w14:paraId="0DB5D6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0F407515">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8</w:t>
            </w:r>
          </w:p>
        </w:tc>
        <w:tc>
          <w:tcPr>
            <w:tcW w:w="880" w:type="dxa"/>
            <w:vAlign w:val="center"/>
          </w:tcPr>
          <w:p w14:paraId="4B2DCFC0">
            <w:pPr>
              <w:spacing w:line="440" w:lineRule="exact"/>
              <w:rPr>
                <w:rFonts w:asciiTheme="majorEastAsia" w:hAnsiTheme="majorEastAsia" w:eastAsiaTheme="majorEastAsia"/>
                <w:color w:val="auto"/>
                <w:kern w:val="0"/>
                <w:szCs w:val="21"/>
                <w:highlight w:val="none"/>
              </w:rPr>
            </w:pPr>
          </w:p>
        </w:tc>
        <w:tc>
          <w:tcPr>
            <w:tcW w:w="1234" w:type="dxa"/>
            <w:vAlign w:val="center"/>
          </w:tcPr>
          <w:p w14:paraId="7BC744F4">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378F1001">
            <w:pPr>
              <w:spacing w:line="440" w:lineRule="exact"/>
              <w:jc w:val="center"/>
              <w:rPr>
                <w:rFonts w:asciiTheme="majorEastAsia" w:hAnsiTheme="majorEastAsia" w:eastAsiaTheme="majorEastAsia"/>
                <w:color w:val="auto"/>
                <w:kern w:val="0"/>
                <w:szCs w:val="21"/>
                <w:highlight w:val="none"/>
              </w:rPr>
            </w:pPr>
          </w:p>
        </w:tc>
        <w:tc>
          <w:tcPr>
            <w:tcW w:w="1710" w:type="dxa"/>
          </w:tcPr>
          <w:p w14:paraId="0670E953">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10CF21E1">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49B09A29">
            <w:pPr>
              <w:spacing w:line="440" w:lineRule="exact"/>
              <w:jc w:val="center"/>
              <w:rPr>
                <w:rFonts w:asciiTheme="majorEastAsia" w:hAnsiTheme="majorEastAsia" w:eastAsiaTheme="majorEastAsia"/>
                <w:color w:val="auto"/>
                <w:kern w:val="0"/>
                <w:szCs w:val="21"/>
                <w:highlight w:val="none"/>
              </w:rPr>
            </w:pPr>
          </w:p>
        </w:tc>
      </w:tr>
      <w:tr w14:paraId="7EA6AE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404BBC82">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9</w:t>
            </w:r>
          </w:p>
        </w:tc>
        <w:tc>
          <w:tcPr>
            <w:tcW w:w="880" w:type="dxa"/>
            <w:vAlign w:val="center"/>
          </w:tcPr>
          <w:p w14:paraId="1B952593">
            <w:pPr>
              <w:spacing w:line="440" w:lineRule="exact"/>
              <w:rPr>
                <w:rFonts w:asciiTheme="majorEastAsia" w:hAnsiTheme="majorEastAsia" w:eastAsiaTheme="majorEastAsia"/>
                <w:color w:val="auto"/>
                <w:kern w:val="0"/>
                <w:szCs w:val="21"/>
                <w:highlight w:val="none"/>
              </w:rPr>
            </w:pPr>
          </w:p>
        </w:tc>
        <w:tc>
          <w:tcPr>
            <w:tcW w:w="1234" w:type="dxa"/>
            <w:vAlign w:val="center"/>
          </w:tcPr>
          <w:p w14:paraId="786ACEC8">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0F9EF400">
            <w:pPr>
              <w:spacing w:line="440" w:lineRule="exact"/>
              <w:jc w:val="center"/>
              <w:rPr>
                <w:rFonts w:asciiTheme="majorEastAsia" w:hAnsiTheme="majorEastAsia" w:eastAsiaTheme="majorEastAsia"/>
                <w:color w:val="auto"/>
                <w:kern w:val="0"/>
                <w:szCs w:val="21"/>
                <w:highlight w:val="none"/>
              </w:rPr>
            </w:pPr>
          </w:p>
        </w:tc>
        <w:tc>
          <w:tcPr>
            <w:tcW w:w="1710" w:type="dxa"/>
          </w:tcPr>
          <w:p w14:paraId="2D3A71EC">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6A454B2B">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5C199D18">
            <w:pPr>
              <w:spacing w:line="440" w:lineRule="exact"/>
              <w:jc w:val="center"/>
              <w:rPr>
                <w:rFonts w:asciiTheme="majorEastAsia" w:hAnsiTheme="majorEastAsia" w:eastAsiaTheme="majorEastAsia"/>
                <w:color w:val="auto"/>
                <w:kern w:val="0"/>
                <w:szCs w:val="21"/>
                <w:highlight w:val="none"/>
              </w:rPr>
            </w:pPr>
          </w:p>
        </w:tc>
      </w:tr>
      <w:tr w14:paraId="5549D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4622566D">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10</w:t>
            </w:r>
          </w:p>
        </w:tc>
        <w:tc>
          <w:tcPr>
            <w:tcW w:w="880" w:type="dxa"/>
            <w:vAlign w:val="center"/>
          </w:tcPr>
          <w:p w14:paraId="3E7DF907">
            <w:pPr>
              <w:spacing w:line="440" w:lineRule="exact"/>
              <w:rPr>
                <w:rFonts w:asciiTheme="majorEastAsia" w:hAnsiTheme="majorEastAsia" w:eastAsiaTheme="majorEastAsia"/>
                <w:color w:val="auto"/>
                <w:kern w:val="0"/>
                <w:szCs w:val="21"/>
                <w:highlight w:val="none"/>
              </w:rPr>
            </w:pPr>
          </w:p>
        </w:tc>
        <w:tc>
          <w:tcPr>
            <w:tcW w:w="1234" w:type="dxa"/>
            <w:vAlign w:val="center"/>
          </w:tcPr>
          <w:p w14:paraId="5274B89D">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11F40ABB">
            <w:pPr>
              <w:spacing w:line="440" w:lineRule="exact"/>
              <w:jc w:val="center"/>
              <w:rPr>
                <w:rFonts w:asciiTheme="majorEastAsia" w:hAnsiTheme="majorEastAsia" w:eastAsiaTheme="majorEastAsia"/>
                <w:color w:val="auto"/>
                <w:kern w:val="0"/>
                <w:szCs w:val="21"/>
                <w:highlight w:val="none"/>
              </w:rPr>
            </w:pPr>
          </w:p>
        </w:tc>
        <w:tc>
          <w:tcPr>
            <w:tcW w:w="1710" w:type="dxa"/>
          </w:tcPr>
          <w:p w14:paraId="76CFF8D0">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6BCC7799">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2EDC96D8">
            <w:pPr>
              <w:spacing w:line="440" w:lineRule="exact"/>
              <w:jc w:val="center"/>
              <w:rPr>
                <w:rFonts w:asciiTheme="majorEastAsia" w:hAnsiTheme="majorEastAsia" w:eastAsiaTheme="majorEastAsia"/>
                <w:color w:val="auto"/>
                <w:kern w:val="0"/>
                <w:szCs w:val="21"/>
                <w:highlight w:val="none"/>
              </w:rPr>
            </w:pPr>
          </w:p>
        </w:tc>
      </w:tr>
      <w:tr w14:paraId="2AFC8C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178EE644">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w:t>
            </w:r>
          </w:p>
        </w:tc>
        <w:tc>
          <w:tcPr>
            <w:tcW w:w="880" w:type="dxa"/>
            <w:vAlign w:val="center"/>
          </w:tcPr>
          <w:p w14:paraId="7FF226E0">
            <w:pPr>
              <w:spacing w:line="440" w:lineRule="exact"/>
              <w:rPr>
                <w:rFonts w:asciiTheme="majorEastAsia" w:hAnsiTheme="majorEastAsia" w:eastAsiaTheme="majorEastAsia"/>
                <w:color w:val="auto"/>
                <w:kern w:val="0"/>
                <w:szCs w:val="21"/>
                <w:highlight w:val="none"/>
              </w:rPr>
            </w:pPr>
          </w:p>
        </w:tc>
        <w:tc>
          <w:tcPr>
            <w:tcW w:w="1234" w:type="dxa"/>
            <w:vAlign w:val="center"/>
          </w:tcPr>
          <w:p w14:paraId="758B4862">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48E54C03">
            <w:pPr>
              <w:spacing w:line="440" w:lineRule="exact"/>
              <w:jc w:val="center"/>
              <w:rPr>
                <w:rFonts w:asciiTheme="majorEastAsia" w:hAnsiTheme="majorEastAsia" w:eastAsiaTheme="majorEastAsia"/>
                <w:color w:val="auto"/>
                <w:kern w:val="0"/>
                <w:szCs w:val="21"/>
                <w:highlight w:val="none"/>
              </w:rPr>
            </w:pPr>
          </w:p>
        </w:tc>
        <w:tc>
          <w:tcPr>
            <w:tcW w:w="1710" w:type="dxa"/>
          </w:tcPr>
          <w:p w14:paraId="77579F29">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1C1E2589">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2E828AAA">
            <w:pPr>
              <w:spacing w:line="440" w:lineRule="exact"/>
              <w:jc w:val="center"/>
              <w:rPr>
                <w:rFonts w:asciiTheme="majorEastAsia" w:hAnsiTheme="majorEastAsia" w:eastAsiaTheme="majorEastAsia"/>
                <w:color w:val="auto"/>
                <w:kern w:val="0"/>
                <w:szCs w:val="21"/>
                <w:highlight w:val="none"/>
              </w:rPr>
            </w:pPr>
          </w:p>
        </w:tc>
      </w:tr>
    </w:tbl>
    <w:p w14:paraId="206DF1C4">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注：上表中注明项目</w:t>
      </w:r>
      <w:r>
        <w:rPr>
          <w:rFonts w:hint="eastAsia" w:asciiTheme="majorEastAsia" w:hAnsiTheme="majorEastAsia" w:eastAsiaTheme="majorEastAsia"/>
          <w:color w:val="auto"/>
          <w:szCs w:val="21"/>
          <w:highlight w:val="none"/>
        </w:rPr>
        <w:t>负责人</w:t>
      </w:r>
      <w:r>
        <w:rPr>
          <w:rFonts w:asciiTheme="majorEastAsia" w:hAnsiTheme="majorEastAsia" w:eastAsiaTheme="majorEastAsia"/>
          <w:color w:val="auto"/>
          <w:szCs w:val="21"/>
          <w:highlight w:val="none"/>
        </w:rPr>
        <w:t>；后附资料根据评分标准及磋商文件要求提供。</w:t>
      </w:r>
    </w:p>
    <w:p w14:paraId="596E639C">
      <w:pPr>
        <w:spacing w:line="440" w:lineRule="exact"/>
        <w:rPr>
          <w:rFonts w:asciiTheme="majorEastAsia" w:hAnsiTheme="majorEastAsia" w:eastAsiaTheme="majorEastAsia"/>
          <w:color w:val="auto"/>
          <w:szCs w:val="21"/>
          <w:highlight w:val="none"/>
        </w:rPr>
      </w:pPr>
    </w:p>
    <w:p w14:paraId="25F32611">
      <w:pPr>
        <w:spacing w:line="440" w:lineRule="exact"/>
        <w:rPr>
          <w:rFonts w:asciiTheme="majorEastAsia" w:hAnsiTheme="majorEastAsia" w:eastAsiaTheme="majorEastAsia"/>
          <w:color w:val="auto"/>
          <w:szCs w:val="21"/>
          <w:highlight w:val="none"/>
        </w:rPr>
      </w:pPr>
    </w:p>
    <w:p w14:paraId="19C1BC23">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22E17670">
      <w:pPr>
        <w:adjustRightInd w:val="0"/>
        <w:spacing w:line="440" w:lineRule="exact"/>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690A5983">
      <w:pPr>
        <w:adjustRightInd w:val="0"/>
        <w:spacing w:line="440" w:lineRule="exact"/>
        <w:jc w:val="left"/>
        <w:rPr>
          <w:rFonts w:asciiTheme="majorEastAsia" w:hAnsiTheme="majorEastAsia" w:eastAsiaTheme="majorEastAsia"/>
          <w:color w:val="auto"/>
          <w:szCs w:val="21"/>
          <w:highlight w:val="none"/>
        </w:rPr>
      </w:pPr>
    </w:p>
    <w:p w14:paraId="303A9BB5">
      <w:pPr>
        <w:adjustRightInd w:val="0"/>
        <w:spacing w:line="440" w:lineRule="exact"/>
        <w:jc w:val="left"/>
        <w:rPr>
          <w:rFonts w:asciiTheme="majorEastAsia" w:hAnsiTheme="majorEastAsia" w:eastAsiaTheme="majorEastAsia"/>
          <w:color w:val="auto"/>
          <w:szCs w:val="21"/>
          <w:highlight w:val="none"/>
        </w:rPr>
      </w:pPr>
    </w:p>
    <w:p w14:paraId="78F4FAB0">
      <w:pPr>
        <w:adjustRightInd w:val="0"/>
        <w:spacing w:line="440" w:lineRule="exact"/>
        <w:jc w:val="left"/>
        <w:rPr>
          <w:rFonts w:asciiTheme="majorEastAsia" w:hAnsiTheme="majorEastAsia" w:eastAsiaTheme="majorEastAsia"/>
          <w:color w:val="auto"/>
          <w:szCs w:val="21"/>
          <w:highlight w:val="none"/>
        </w:rPr>
      </w:pPr>
    </w:p>
    <w:p w14:paraId="73F1516F">
      <w:pPr>
        <w:adjustRightInd w:val="0"/>
        <w:spacing w:line="440" w:lineRule="exact"/>
        <w:jc w:val="left"/>
        <w:rPr>
          <w:rFonts w:asciiTheme="majorEastAsia" w:hAnsiTheme="majorEastAsia" w:eastAsiaTheme="majorEastAsia"/>
          <w:color w:val="auto"/>
          <w:szCs w:val="21"/>
          <w:highlight w:val="none"/>
        </w:rPr>
      </w:pPr>
    </w:p>
    <w:p w14:paraId="50BD6F8F">
      <w:pPr>
        <w:adjustRightInd w:val="0"/>
        <w:spacing w:line="440" w:lineRule="exact"/>
        <w:jc w:val="left"/>
        <w:rPr>
          <w:rFonts w:asciiTheme="majorEastAsia" w:hAnsiTheme="majorEastAsia" w:eastAsiaTheme="majorEastAsia"/>
          <w:color w:val="auto"/>
          <w:szCs w:val="21"/>
          <w:highlight w:val="none"/>
        </w:rPr>
      </w:pPr>
    </w:p>
    <w:p w14:paraId="37863CCE">
      <w:pPr>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p>
    <w:p w14:paraId="43C1B607">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rPr>
        <w:t>九</w:t>
      </w:r>
      <w:r>
        <w:rPr>
          <w:rFonts w:asciiTheme="majorEastAsia" w:hAnsiTheme="majorEastAsia" w:eastAsiaTheme="majorEastAsia"/>
          <w:b/>
          <w:color w:val="auto"/>
          <w:szCs w:val="21"/>
          <w:highlight w:val="none"/>
        </w:rPr>
        <w:t>：</w:t>
      </w:r>
    </w:p>
    <w:p w14:paraId="3863ED8C">
      <w:pPr>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项目业绩表</w:t>
      </w:r>
    </w:p>
    <w:p w14:paraId="11A2B325">
      <w:pPr>
        <w:spacing w:line="440" w:lineRule="exact"/>
        <w:ind w:firstLine="3089"/>
        <w:rPr>
          <w:rFonts w:asciiTheme="majorEastAsia" w:hAnsiTheme="majorEastAsia" w:eastAsiaTheme="majorEastAsia"/>
          <w:b/>
          <w:color w:val="auto"/>
          <w:szCs w:val="21"/>
          <w:highlight w:val="none"/>
        </w:rPr>
      </w:pPr>
    </w:p>
    <w:p w14:paraId="44C2E712">
      <w:pPr>
        <w:spacing w:line="440" w:lineRule="exact"/>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55"/>
        <w:gridCol w:w="2160"/>
        <w:gridCol w:w="1625"/>
        <w:gridCol w:w="1956"/>
      </w:tblGrid>
      <w:tr w14:paraId="2A20B4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11EE5ADD">
            <w:pPr>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序号</w:t>
            </w:r>
          </w:p>
        </w:tc>
        <w:tc>
          <w:tcPr>
            <w:tcW w:w="2355" w:type="dxa"/>
            <w:vAlign w:val="center"/>
          </w:tcPr>
          <w:p w14:paraId="14C8C786">
            <w:pPr>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项目名称</w:t>
            </w:r>
          </w:p>
        </w:tc>
        <w:tc>
          <w:tcPr>
            <w:tcW w:w="2160" w:type="dxa"/>
            <w:vAlign w:val="center"/>
          </w:tcPr>
          <w:p w14:paraId="47B2D854">
            <w:pPr>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合同签订时间</w:t>
            </w:r>
          </w:p>
        </w:tc>
        <w:tc>
          <w:tcPr>
            <w:tcW w:w="1625" w:type="dxa"/>
            <w:vAlign w:val="center"/>
          </w:tcPr>
          <w:p w14:paraId="372E6E8B">
            <w:pPr>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合同服务内容</w:t>
            </w:r>
          </w:p>
        </w:tc>
        <w:tc>
          <w:tcPr>
            <w:tcW w:w="1956" w:type="dxa"/>
            <w:vAlign w:val="center"/>
          </w:tcPr>
          <w:p w14:paraId="647ABD53">
            <w:pPr>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项目甲方联系人/联系电话</w:t>
            </w:r>
          </w:p>
        </w:tc>
      </w:tr>
      <w:tr w14:paraId="078864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5ECEC063">
            <w:pPr>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w:t>
            </w:r>
          </w:p>
        </w:tc>
        <w:tc>
          <w:tcPr>
            <w:tcW w:w="2355" w:type="dxa"/>
            <w:vAlign w:val="center"/>
          </w:tcPr>
          <w:p w14:paraId="73AB2DFC">
            <w:pPr>
              <w:spacing w:line="440" w:lineRule="exact"/>
              <w:rPr>
                <w:rFonts w:asciiTheme="majorEastAsia" w:hAnsiTheme="majorEastAsia" w:eastAsiaTheme="majorEastAsia"/>
                <w:color w:val="auto"/>
                <w:szCs w:val="21"/>
                <w:highlight w:val="none"/>
              </w:rPr>
            </w:pPr>
          </w:p>
        </w:tc>
        <w:tc>
          <w:tcPr>
            <w:tcW w:w="2160" w:type="dxa"/>
            <w:vAlign w:val="center"/>
          </w:tcPr>
          <w:p w14:paraId="09B3B0B1">
            <w:pPr>
              <w:snapToGrid w:val="0"/>
              <w:spacing w:line="440" w:lineRule="exact"/>
              <w:rPr>
                <w:rFonts w:asciiTheme="majorEastAsia" w:hAnsiTheme="majorEastAsia" w:eastAsiaTheme="majorEastAsia"/>
                <w:color w:val="auto"/>
                <w:szCs w:val="21"/>
                <w:highlight w:val="none"/>
              </w:rPr>
            </w:pPr>
          </w:p>
        </w:tc>
        <w:tc>
          <w:tcPr>
            <w:tcW w:w="1625" w:type="dxa"/>
            <w:vAlign w:val="center"/>
          </w:tcPr>
          <w:p w14:paraId="2252F90E">
            <w:pPr>
              <w:snapToGrid w:val="0"/>
              <w:spacing w:line="440" w:lineRule="exact"/>
              <w:rPr>
                <w:rFonts w:asciiTheme="majorEastAsia" w:hAnsiTheme="majorEastAsia" w:eastAsiaTheme="majorEastAsia"/>
                <w:color w:val="auto"/>
                <w:szCs w:val="21"/>
                <w:highlight w:val="none"/>
              </w:rPr>
            </w:pPr>
          </w:p>
        </w:tc>
        <w:tc>
          <w:tcPr>
            <w:tcW w:w="1956" w:type="dxa"/>
            <w:vAlign w:val="center"/>
          </w:tcPr>
          <w:p w14:paraId="03289339">
            <w:pPr>
              <w:snapToGrid w:val="0"/>
              <w:spacing w:line="440" w:lineRule="exact"/>
              <w:rPr>
                <w:rFonts w:asciiTheme="majorEastAsia" w:hAnsiTheme="majorEastAsia" w:eastAsiaTheme="majorEastAsia"/>
                <w:color w:val="auto"/>
                <w:szCs w:val="21"/>
                <w:highlight w:val="none"/>
              </w:rPr>
            </w:pPr>
          </w:p>
        </w:tc>
      </w:tr>
      <w:tr w14:paraId="451598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1732F207">
            <w:pPr>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w:t>
            </w:r>
          </w:p>
        </w:tc>
        <w:tc>
          <w:tcPr>
            <w:tcW w:w="2355" w:type="dxa"/>
            <w:vAlign w:val="center"/>
          </w:tcPr>
          <w:p w14:paraId="53212D3A">
            <w:pPr>
              <w:spacing w:line="440" w:lineRule="exact"/>
              <w:rPr>
                <w:rFonts w:asciiTheme="majorEastAsia" w:hAnsiTheme="majorEastAsia" w:eastAsiaTheme="majorEastAsia"/>
                <w:color w:val="auto"/>
                <w:szCs w:val="21"/>
                <w:highlight w:val="none"/>
              </w:rPr>
            </w:pPr>
          </w:p>
        </w:tc>
        <w:tc>
          <w:tcPr>
            <w:tcW w:w="2160" w:type="dxa"/>
            <w:vAlign w:val="center"/>
          </w:tcPr>
          <w:p w14:paraId="0711198A">
            <w:pPr>
              <w:snapToGrid w:val="0"/>
              <w:spacing w:line="440" w:lineRule="exact"/>
              <w:rPr>
                <w:rFonts w:asciiTheme="majorEastAsia" w:hAnsiTheme="majorEastAsia" w:eastAsiaTheme="majorEastAsia"/>
                <w:color w:val="auto"/>
                <w:szCs w:val="21"/>
                <w:highlight w:val="none"/>
              </w:rPr>
            </w:pPr>
          </w:p>
        </w:tc>
        <w:tc>
          <w:tcPr>
            <w:tcW w:w="1625" w:type="dxa"/>
            <w:vAlign w:val="center"/>
          </w:tcPr>
          <w:p w14:paraId="7C8323BA">
            <w:pPr>
              <w:snapToGrid w:val="0"/>
              <w:spacing w:line="440" w:lineRule="exact"/>
              <w:rPr>
                <w:rFonts w:asciiTheme="majorEastAsia" w:hAnsiTheme="majorEastAsia" w:eastAsiaTheme="majorEastAsia"/>
                <w:color w:val="auto"/>
                <w:szCs w:val="21"/>
                <w:highlight w:val="none"/>
              </w:rPr>
            </w:pPr>
          </w:p>
        </w:tc>
        <w:tc>
          <w:tcPr>
            <w:tcW w:w="1956" w:type="dxa"/>
            <w:vAlign w:val="center"/>
          </w:tcPr>
          <w:p w14:paraId="10058EBE">
            <w:pPr>
              <w:snapToGrid w:val="0"/>
              <w:spacing w:line="440" w:lineRule="exact"/>
              <w:rPr>
                <w:rFonts w:asciiTheme="majorEastAsia" w:hAnsiTheme="majorEastAsia" w:eastAsiaTheme="majorEastAsia"/>
                <w:color w:val="auto"/>
                <w:szCs w:val="21"/>
                <w:highlight w:val="none"/>
              </w:rPr>
            </w:pPr>
          </w:p>
        </w:tc>
      </w:tr>
      <w:tr w14:paraId="5075A6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D5B551C">
            <w:pPr>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w:t>
            </w:r>
          </w:p>
        </w:tc>
        <w:tc>
          <w:tcPr>
            <w:tcW w:w="2355" w:type="dxa"/>
            <w:vAlign w:val="center"/>
          </w:tcPr>
          <w:p w14:paraId="3870DF63">
            <w:pPr>
              <w:spacing w:line="440" w:lineRule="exact"/>
              <w:rPr>
                <w:rFonts w:asciiTheme="majorEastAsia" w:hAnsiTheme="majorEastAsia" w:eastAsiaTheme="majorEastAsia"/>
                <w:color w:val="auto"/>
                <w:szCs w:val="21"/>
                <w:highlight w:val="none"/>
              </w:rPr>
            </w:pPr>
          </w:p>
        </w:tc>
        <w:tc>
          <w:tcPr>
            <w:tcW w:w="2160" w:type="dxa"/>
            <w:vAlign w:val="center"/>
          </w:tcPr>
          <w:p w14:paraId="2915BAC9">
            <w:pPr>
              <w:spacing w:line="440" w:lineRule="exact"/>
              <w:jc w:val="center"/>
              <w:rPr>
                <w:rFonts w:asciiTheme="majorEastAsia" w:hAnsiTheme="majorEastAsia" w:eastAsiaTheme="majorEastAsia"/>
                <w:color w:val="auto"/>
                <w:szCs w:val="21"/>
                <w:highlight w:val="none"/>
              </w:rPr>
            </w:pPr>
          </w:p>
        </w:tc>
        <w:tc>
          <w:tcPr>
            <w:tcW w:w="1625" w:type="dxa"/>
            <w:vAlign w:val="center"/>
          </w:tcPr>
          <w:p w14:paraId="4EF69C27">
            <w:pPr>
              <w:spacing w:line="440" w:lineRule="exact"/>
              <w:jc w:val="center"/>
              <w:rPr>
                <w:rFonts w:asciiTheme="majorEastAsia" w:hAnsiTheme="majorEastAsia" w:eastAsiaTheme="majorEastAsia"/>
                <w:color w:val="auto"/>
                <w:szCs w:val="21"/>
                <w:highlight w:val="none"/>
              </w:rPr>
            </w:pPr>
          </w:p>
        </w:tc>
        <w:tc>
          <w:tcPr>
            <w:tcW w:w="1956" w:type="dxa"/>
            <w:vAlign w:val="center"/>
          </w:tcPr>
          <w:p w14:paraId="1754144A">
            <w:pPr>
              <w:spacing w:line="440" w:lineRule="exact"/>
              <w:jc w:val="center"/>
              <w:rPr>
                <w:rFonts w:asciiTheme="majorEastAsia" w:hAnsiTheme="majorEastAsia" w:eastAsiaTheme="majorEastAsia"/>
                <w:color w:val="auto"/>
                <w:szCs w:val="21"/>
                <w:highlight w:val="none"/>
              </w:rPr>
            </w:pPr>
          </w:p>
        </w:tc>
      </w:tr>
      <w:tr w14:paraId="550B3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370BCE95">
            <w:pPr>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w:t>
            </w:r>
          </w:p>
        </w:tc>
        <w:tc>
          <w:tcPr>
            <w:tcW w:w="2355" w:type="dxa"/>
            <w:vAlign w:val="center"/>
          </w:tcPr>
          <w:p w14:paraId="2C0239BD">
            <w:pPr>
              <w:spacing w:line="440" w:lineRule="exact"/>
              <w:rPr>
                <w:rFonts w:asciiTheme="majorEastAsia" w:hAnsiTheme="majorEastAsia" w:eastAsiaTheme="majorEastAsia"/>
                <w:color w:val="auto"/>
                <w:szCs w:val="21"/>
                <w:highlight w:val="none"/>
              </w:rPr>
            </w:pPr>
          </w:p>
        </w:tc>
        <w:tc>
          <w:tcPr>
            <w:tcW w:w="2160" w:type="dxa"/>
            <w:vAlign w:val="center"/>
          </w:tcPr>
          <w:p w14:paraId="75B1A7FC">
            <w:pPr>
              <w:snapToGrid w:val="0"/>
              <w:spacing w:line="440" w:lineRule="exact"/>
              <w:rPr>
                <w:rFonts w:asciiTheme="majorEastAsia" w:hAnsiTheme="majorEastAsia" w:eastAsiaTheme="majorEastAsia"/>
                <w:color w:val="auto"/>
                <w:szCs w:val="21"/>
                <w:highlight w:val="none"/>
              </w:rPr>
            </w:pPr>
          </w:p>
        </w:tc>
        <w:tc>
          <w:tcPr>
            <w:tcW w:w="1625" w:type="dxa"/>
            <w:vAlign w:val="center"/>
          </w:tcPr>
          <w:p w14:paraId="36C5548C">
            <w:pPr>
              <w:spacing w:line="440" w:lineRule="exact"/>
              <w:rPr>
                <w:rFonts w:asciiTheme="majorEastAsia" w:hAnsiTheme="majorEastAsia" w:eastAsiaTheme="majorEastAsia"/>
                <w:color w:val="auto"/>
                <w:szCs w:val="21"/>
                <w:highlight w:val="none"/>
              </w:rPr>
            </w:pPr>
          </w:p>
        </w:tc>
        <w:tc>
          <w:tcPr>
            <w:tcW w:w="1956" w:type="dxa"/>
            <w:vAlign w:val="center"/>
          </w:tcPr>
          <w:p w14:paraId="0F764015">
            <w:pPr>
              <w:spacing w:line="440" w:lineRule="exact"/>
              <w:rPr>
                <w:rFonts w:asciiTheme="majorEastAsia" w:hAnsiTheme="majorEastAsia" w:eastAsiaTheme="majorEastAsia"/>
                <w:color w:val="auto"/>
                <w:szCs w:val="21"/>
                <w:highlight w:val="none"/>
              </w:rPr>
            </w:pPr>
          </w:p>
        </w:tc>
      </w:tr>
      <w:tr w14:paraId="0455B8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06D64325">
            <w:pPr>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w:t>
            </w:r>
          </w:p>
        </w:tc>
        <w:tc>
          <w:tcPr>
            <w:tcW w:w="2355" w:type="dxa"/>
            <w:vAlign w:val="center"/>
          </w:tcPr>
          <w:p w14:paraId="1131EC0A">
            <w:pPr>
              <w:spacing w:line="440" w:lineRule="exact"/>
              <w:rPr>
                <w:rFonts w:asciiTheme="majorEastAsia" w:hAnsiTheme="majorEastAsia" w:eastAsiaTheme="majorEastAsia"/>
                <w:color w:val="auto"/>
                <w:szCs w:val="21"/>
                <w:highlight w:val="none"/>
              </w:rPr>
            </w:pPr>
          </w:p>
        </w:tc>
        <w:tc>
          <w:tcPr>
            <w:tcW w:w="2160" w:type="dxa"/>
            <w:vAlign w:val="center"/>
          </w:tcPr>
          <w:p w14:paraId="7CCBB4BA">
            <w:pPr>
              <w:snapToGrid w:val="0"/>
              <w:spacing w:line="440" w:lineRule="exact"/>
              <w:rPr>
                <w:rFonts w:asciiTheme="majorEastAsia" w:hAnsiTheme="majorEastAsia" w:eastAsiaTheme="majorEastAsia"/>
                <w:color w:val="auto"/>
                <w:szCs w:val="21"/>
                <w:highlight w:val="none"/>
              </w:rPr>
            </w:pPr>
          </w:p>
        </w:tc>
        <w:tc>
          <w:tcPr>
            <w:tcW w:w="1625" w:type="dxa"/>
            <w:vAlign w:val="center"/>
          </w:tcPr>
          <w:p w14:paraId="472B8735">
            <w:pPr>
              <w:spacing w:line="440" w:lineRule="exact"/>
              <w:rPr>
                <w:rFonts w:asciiTheme="majorEastAsia" w:hAnsiTheme="majorEastAsia" w:eastAsiaTheme="majorEastAsia"/>
                <w:color w:val="auto"/>
                <w:szCs w:val="21"/>
                <w:highlight w:val="none"/>
              </w:rPr>
            </w:pPr>
          </w:p>
        </w:tc>
        <w:tc>
          <w:tcPr>
            <w:tcW w:w="1956" w:type="dxa"/>
            <w:vAlign w:val="center"/>
          </w:tcPr>
          <w:p w14:paraId="723AD020">
            <w:pPr>
              <w:spacing w:line="440" w:lineRule="exact"/>
              <w:rPr>
                <w:rFonts w:asciiTheme="majorEastAsia" w:hAnsiTheme="majorEastAsia" w:eastAsiaTheme="majorEastAsia"/>
                <w:color w:val="auto"/>
                <w:szCs w:val="21"/>
                <w:highlight w:val="none"/>
              </w:rPr>
            </w:pPr>
          </w:p>
        </w:tc>
      </w:tr>
      <w:tr w14:paraId="240013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3186E944">
            <w:pPr>
              <w:snapToGrid w:val="0"/>
              <w:spacing w:line="440" w:lineRule="exact"/>
              <w:rPr>
                <w:rFonts w:asciiTheme="majorEastAsia" w:hAnsiTheme="majorEastAsia" w:eastAsiaTheme="majorEastAsia"/>
                <w:color w:val="auto"/>
                <w:szCs w:val="21"/>
                <w:highlight w:val="none"/>
              </w:rPr>
            </w:pPr>
          </w:p>
        </w:tc>
        <w:tc>
          <w:tcPr>
            <w:tcW w:w="2355" w:type="dxa"/>
            <w:vAlign w:val="center"/>
          </w:tcPr>
          <w:p w14:paraId="568F379A">
            <w:pPr>
              <w:spacing w:line="440" w:lineRule="exact"/>
              <w:rPr>
                <w:rFonts w:asciiTheme="majorEastAsia" w:hAnsiTheme="majorEastAsia" w:eastAsiaTheme="majorEastAsia"/>
                <w:color w:val="auto"/>
                <w:szCs w:val="21"/>
                <w:highlight w:val="none"/>
              </w:rPr>
            </w:pPr>
          </w:p>
        </w:tc>
        <w:tc>
          <w:tcPr>
            <w:tcW w:w="2160" w:type="dxa"/>
            <w:vAlign w:val="center"/>
          </w:tcPr>
          <w:p w14:paraId="6D775DF8">
            <w:pPr>
              <w:snapToGrid w:val="0"/>
              <w:spacing w:line="440" w:lineRule="exact"/>
              <w:rPr>
                <w:rFonts w:asciiTheme="majorEastAsia" w:hAnsiTheme="majorEastAsia" w:eastAsiaTheme="majorEastAsia"/>
                <w:color w:val="auto"/>
                <w:szCs w:val="21"/>
                <w:highlight w:val="none"/>
              </w:rPr>
            </w:pPr>
          </w:p>
        </w:tc>
        <w:tc>
          <w:tcPr>
            <w:tcW w:w="1625" w:type="dxa"/>
            <w:vAlign w:val="center"/>
          </w:tcPr>
          <w:p w14:paraId="4E6AE734">
            <w:pPr>
              <w:spacing w:line="440" w:lineRule="exact"/>
              <w:rPr>
                <w:rFonts w:asciiTheme="majorEastAsia" w:hAnsiTheme="majorEastAsia" w:eastAsiaTheme="majorEastAsia"/>
                <w:color w:val="auto"/>
                <w:szCs w:val="21"/>
                <w:highlight w:val="none"/>
              </w:rPr>
            </w:pPr>
          </w:p>
        </w:tc>
        <w:tc>
          <w:tcPr>
            <w:tcW w:w="1956" w:type="dxa"/>
            <w:vAlign w:val="center"/>
          </w:tcPr>
          <w:p w14:paraId="5313F083">
            <w:pPr>
              <w:spacing w:line="440" w:lineRule="exact"/>
              <w:rPr>
                <w:rFonts w:asciiTheme="majorEastAsia" w:hAnsiTheme="majorEastAsia" w:eastAsiaTheme="majorEastAsia"/>
                <w:color w:val="auto"/>
                <w:szCs w:val="21"/>
                <w:highlight w:val="none"/>
              </w:rPr>
            </w:pPr>
          </w:p>
        </w:tc>
      </w:tr>
      <w:tr w14:paraId="065CEA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40DFA5BD">
            <w:pPr>
              <w:snapToGrid w:val="0"/>
              <w:spacing w:line="440" w:lineRule="exact"/>
              <w:rPr>
                <w:rFonts w:asciiTheme="majorEastAsia" w:hAnsiTheme="majorEastAsia" w:eastAsiaTheme="majorEastAsia"/>
                <w:color w:val="auto"/>
                <w:szCs w:val="21"/>
                <w:highlight w:val="none"/>
              </w:rPr>
            </w:pPr>
          </w:p>
        </w:tc>
        <w:tc>
          <w:tcPr>
            <w:tcW w:w="2355" w:type="dxa"/>
            <w:vAlign w:val="center"/>
          </w:tcPr>
          <w:p w14:paraId="0D039A02">
            <w:pPr>
              <w:spacing w:line="440" w:lineRule="exact"/>
              <w:rPr>
                <w:rFonts w:asciiTheme="majorEastAsia" w:hAnsiTheme="majorEastAsia" w:eastAsiaTheme="majorEastAsia"/>
                <w:color w:val="auto"/>
                <w:szCs w:val="21"/>
                <w:highlight w:val="none"/>
              </w:rPr>
            </w:pPr>
          </w:p>
        </w:tc>
        <w:tc>
          <w:tcPr>
            <w:tcW w:w="2160" w:type="dxa"/>
            <w:vAlign w:val="center"/>
          </w:tcPr>
          <w:p w14:paraId="58915155">
            <w:pPr>
              <w:spacing w:line="440" w:lineRule="exact"/>
              <w:jc w:val="center"/>
              <w:rPr>
                <w:rFonts w:asciiTheme="majorEastAsia" w:hAnsiTheme="majorEastAsia" w:eastAsiaTheme="majorEastAsia"/>
                <w:color w:val="auto"/>
                <w:szCs w:val="21"/>
                <w:highlight w:val="none"/>
              </w:rPr>
            </w:pPr>
          </w:p>
        </w:tc>
        <w:tc>
          <w:tcPr>
            <w:tcW w:w="1625" w:type="dxa"/>
            <w:vAlign w:val="center"/>
          </w:tcPr>
          <w:p w14:paraId="1768B0F0">
            <w:pPr>
              <w:spacing w:line="440" w:lineRule="exact"/>
              <w:jc w:val="center"/>
              <w:rPr>
                <w:rFonts w:asciiTheme="majorEastAsia" w:hAnsiTheme="majorEastAsia" w:eastAsiaTheme="majorEastAsia"/>
                <w:color w:val="auto"/>
                <w:szCs w:val="21"/>
                <w:highlight w:val="none"/>
              </w:rPr>
            </w:pPr>
          </w:p>
        </w:tc>
        <w:tc>
          <w:tcPr>
            <w:tcW w:w="1956" w:type="dxa"/>
            <w:vAlign w:val="center"/>
          </w:tcPr>
          <w:p w14:paraId="301C7340">
            <w:pPr>
              <w:spacing w:line="440" w:lineRule="exact"/>
              <w:jc w:val="center"/>
              <w:rPr>
                <w:rFonts w:asciiTheme="majorEastAsia" w:hAnsiTheme="majorEastAsia" w:eastAsiaTheme="majorEastAsia"/>
                <w:color w:val="auto"/>
                <w:szCs w:val="21"/>
                <w:highlight w:val="none"/>
              </w:rPr>
            </w:pPr>
          </w:p>
        </w:tc>
      </w:tr>
      <w:tr w14:paraId="2D2903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1E7FA84">
            <w:pPr>
              <w:spacing w:line="440" w:lineRule="exact"/>
              <w:rPr>
                <w:rFonts w:asciiTheme="majorEastAsia" w:hAnsiTheme="majorEastAsia" w:eastAsiaTheme="majorEastAsia"/>
                <w:color w:val="auto"/>
                <w:szCs w:val="21"/>
                <w:highlight w:val="none"/>
              </w:rPr>
            </w:pPr>
          </w:p>
        </w:tc>
        <w:tc>
          <w:tcPr>
            <w:tcW w:w="2355" w:type="dxa"/>
            <w:vAlign w:val="center"/>
          </w:tcPr>
          <w:p w14:paraId="09884B56">
            <w:pPr>
              <w:spacing w:line="440" w:lineRule="exact"/>
              <w:rPr>
                <w:rFonts w:asciiTheme="majorEastAsia" w:hAnsiTheme="majorEastAsia" w:eastAsiaTheme="majorEastAsia"/>
                <w:color w:val="auto"/>
                <w:szCs w:val="21"/>
                <w:highlight w:val="none"/>
              </w:rPr>
            </w:pPr>
          </w:p>
        </w:tc>
        <w:tc>
          <w:tcPr>
            <w:tcW w:w="2160" w:type="dxa"/>
            <w:vAlign w:val="center"/>
          </w:tcPr>
          <w:p w14:paraId="795CE405">
            <w:pPr>
              <w:spacing w:line="440" w:lineRule="exact"/>
              <w:jc w:val="center"/>
              <w:rPr>
                <w:rFonts w:asciiTheme="majorEastAsia" w:hAnsiTheme="majorEastAsia" w:eastAsiaTheme="majorEastAsia"/>
                <w:color w:val="auto"/>
                <w:szCs w:val="21"/>
                <w:highlight w:val="none"/>
              </w:rPr>
            </w:pPr>
          </w:p>
        </w:tc>
        <w:tc>
          <w:tcPr>
            <w:tcW w:w="1625" w:type="dxa"/>
            <w:vAlign w:val="center"/>
          </w:tcPr>
          <w:p w14:paraId="7DFC96A6">
            <w:pPr>
              <w:spacing w:line="440" w:lineRule="exact"/>
              <w:jc w:val="center"/>
              <w:rPr>
                <w:rFonts w:asciiTheme="majorEastAsia" w:hAnsiTheme="majorEastAsia" w:eastAsiaTheme="majorEastAsia"/>
                <w:color w:val="auto"/>
                <w:szCs w:val="21"/>
                <w:highlight w:val="none"/>
              </w:rPr>
            </w:pPr>
          </w:p>
        </w:tc>
        <w:tc>
          <w:tcPr>
            <w:tcW w:w="1956" w:type="dxa"/>
            <w:vAlign w:val="center"/>
          </w:tcPr>
          <w:p w14:paraId="75E46058">
            <w:pPr>
              <w:spacing w:line="440" w:lineRule="exact"/>
              <w:jc w:val="center"/>
              <w:rPr>
                <w:rFonts w:asciiTheme="majorEastAsia" w:hAnsiTheme="majorEastAsia" w:eastAsiaTheme="majorEastAsia"/>
                <w:color w:val="auto"/>
                <w:szCs w:val="21"/>
                <w:highlight w:val="none"/>
              </w:rPr>
            </w:pPr>
          </w:p>
        </w:tc>
      </w:tr>
      <w:tr w14:paraId="25B3F0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BF1C4FD">
            <w:pPr>
              <w:spacing w:line="440" w:lineRule="exact"/>
              <w:rPr>
                <w:rFonts w:asciiTheme="majorEastAsia" w:hAnsiTheme="majorEastAsia" w:eastAsiaTheme="majorEastAsia"/>
                <w:color w:val="auto"/>
                <w:szCs w:val="21"/>
                <w:highlight w:val="none"/>
              </w:rPr>
            </w:pPr>
          </w:p>
        </w:tc>
        <w:tc>
          <w:tcPr>
            <w:tcW w:w="2355" w:type="dxa"/>
            <w:vAlign w:val="center"/>
          </w:tcPr>
          <w:p w14:paraId="4BBFD954">
            <w:pPr>
              <w:spacing w:line="440" w:lineRule="exact"/>
              <w:rPr>
                <w:rFonts w:asciiTheme="majorEastAsia" w:hAnsiTheme="majorEastAsia" w:eastAsiaTheme="majorEastAsia"/>
                <w:color w:val="auto"/>
                <w:szCs w:val="21"/>
                <w:highlight w:val="none"/>
              </w:rPr>
            </w:pPr>
          </w:p>
        </w:tc>
        <w:tc>
          <w:tcPr>
            <w:tcW w:w="2160" w:type="dxa"/>
            <w:vAlign w:val="center"/>
          </w:tcPr>
          <w:p w14:paraId="1AD68DB2">
            <w:pPr>
              <w:spacing w:line="440" w:lineRule="exact"/>
              <w:jc w:val="center"/>
              <w:rPr>
                <w:rFonts w:asciiTheme="majorEastAsia" w:hAnsiTheme="majorEastAsia" w:eastAsiaTheme="majorEastAsia"/>
                <w:color w:val="auto"/>
                <w:szCs w:val="21"/>
                <w:highlight w:val="none"/>
              </w:rPr>
            </w:pPr>
          </w:p>
        </w:tc>
        <w:tc>
          <w:tcPr>
            <w:tcW w:w="1625" w:type="dxa"/>
            <w:vAlign w:val="center"/>
          </w:tcPr>
          <w:p w14:paraId="4FC65ED7">
            <w:pPr>
              <w:spacing w:line="440" w:lineRule="exact"/>
              <w:jc w:val="center"/>
              <w:rPr>
                <w:rFonts w:asciiTheme="majorEastAsia" w:hAnsiTheme="majorEastAsia" w:eastAsiaTheme="majorEastAsia"/>
                <w:color w:val="auto"/>
                <w:szCs w:val="21"/>
                <w:highlight w:val="none"/>
              </w:rPr>
            </w:pPr>
          </w:p>
        </w:tc>
        <w:tc>
          <w:tcPr>
            <w:tcW w:w="1956" w:type="dxa"/>
            <w:vAlign w:val="center"/>
          </w:tcPr>
          <w:p w14:paraId="15F656E1">
            <w:pPr>
              <w:spacing w:line="440" w:lineRule="exact"/>
              <w:jc w:val="center"/>
              <w:rPr>
                <w:rFonts w:asciiTheme="majorEastAsia" w:hAnsiTheme="majorEastAsia" w:eastAsiaTheme="majorEastAsia"/>
                <w:color w:val="auto"/>
                <w:szCs w:val="21"/>
                <w:highlight w:val="none"/>
              </w:rPr>
            </w:pPr>
          </w:p>
        </w:tc>
      </w:tr>
    </w:tbl>
    <w:p w14:paraId="1D0585D0">
      <w:pPr>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注：根据评分标准提供相关资料。</w:t>
      </w:r>
    </w:p>
    <w:p w14:paraId="3CBC8375">
      <w:pPr>
        <w:spacing w:line="440" w:lineRule="exact"/>
        <w:rPr>
          <w:rFonts w:asciiTheme="majorEastAsia" w:hAnsiTheme="majorEastAsia" w:eastAsiaTheme="majorEastAsia"/>
          <w:color w:val="auto"/>
          <w:szCs w:val="21"/>
          <w:highlight w:val="none"/>
        </w:rPr>
      </w:pPr>
    </w:p>
    <w:p w14:paraId="054FF037">
      <w:pPr>
        <w:spacing w:line="440" w:lineRule="exact"/>
        <w:rPr>
          <w:rFonts w:asciiTheme="majorEastAsia" w:hAnsiTheme="majorEastAsia" w:eastAsiaTheme="majorEastAsia"/>
          <w:color w:val="auto"/>
          <w:szCs w:val="21"/>
          <w:highlight w:val="none"/>
        </w:rPr>
      </w:pPr>
    </w:p>
    <w:p w14:paraId="6DE25771">
      <w:pPr>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供应商全称（公章）：</w:t>
      </w:r>
    </w:p>
    <w:p w14:paraId="370741A0">
      <w:pPr>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 xml:space="preserve">法定代表人（负责人）或授权代表（签字或盖章）：                       </w:t>
      </w:r>
    </w:p>
    <w:p w14:paraId="3C47CE3C">
      <w:pPr>
        <w:spacing w:line="440" w:lineRule="exact"/>
        <w:rPr>
          <w:rFonts w:asciiTheme="majorEastAsia" w:hAnsiTheme="majorEastAsia" w:eastAsiaTheme="majorEastAsia"/>
          <w:b/>
          <w:bCs/>
          <w:color w:val="auto"/>
          <w:szCs w:val="21"/>
          <w:highlight w:val="none"/>
        </w:rPr>
      </w:pPr>
      <w:r>
        <w:rPr>
          <w:rFonts w:asciiTheme="majorEastAsia" w:hAnsiTheme="majorEastAsia" w:eastAsiaTheme="majorEastAsia"/>
          <w:color w:val="auto"/>
          <w:spacing w:val="-4"/>
          <w:szCs w:val="21"/>
          <w:highlight w:val="none"/>
        </w:rPr>
        <w:t>日期：</w:t>
      </w:r>
      <w:r>
        <w:rPr>
          <w:rFonts w:asciiTheme="majorEastAsia" w:hAnsiTheme="majorEastAsia" w:eastAsiaTheme="majorEastAsia"/>
          <w:color w:val="auto"/>
          <w:szCs w:val="21"/>
          <w:highlight w:val="none"/>
        </w:rPr>
        <w:br w:type="page"/>
      </w:r>
      <w:r>
        <w:rPr>
          <w:rFonts w:asciiTheme="majorEastAsia" w:hAnsiTheme="majorEastAsia" w:eastAsiaTheme="majorEastAsia"/>
          <w:b/>
          <w:bCs/>
          <w:color w:val="auto"/>
          <w:szCs w:val="21"/>
          <w:highlight w:val="none"/>
        </w:rPr>
        <w:t>格式十：</w:t>
      </w:r>
    </w:p>
    <w:p w14:paraId="5C72DABB">
      <w:pPr>
        <w:spacing w:line="360" w:lineRule="auto"/>
        <w:jc w:val="center"/>
        <w:rPr>
          <w:rFonts w:ascii="宋体" w:hAnsi="宋体"/>
          <w:b/>
          <w:color w:val="auto"/>
          <w:szCs w:val="21"/>
          <w:highlight w:val="none"/>
        </w:rPr>
      </w:pPr>
      <w:r>
        <w:rPr>
          <w:rFonts w:hint="eastAsia" w:ascii="宋体" w:hAnsi="宋体"/>
          <w:b/>
          <w:color w:val="auto"/>
          <w:szCs w:val="21"/>
          <w:highlight w:val="none"/>
        </w:rPr>
        <w:t>初次报价表</w:t>
      </w:r>
    </w:p>
    <w:p w14:paraId="2DEF9419">
      <w:pPr>
        <w:pStyle w:val="26"/>
        <w:spacing w:before="120" w:after="120"/>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宁波市海曙区古林镇中心小学2025年年度教职工疗休养</w:t>
      </w:r>
    </w:p>
    <w:p w14:paraId="03F06ADD">
      <w:pPr>
        <w:pStyle w:val="26"/>
        <w:spacing w:before="120" w:after="120"/>
        <w:rPr>
          <w:color w:val="auto"/>
          <w:highlight w:val="none"/>
        </w:rPr>
      </w:pPr>
      <w:r>
        <w:rPr>
          <w:rFonts w:hint="eastAsia"/>
          <w:color w:val="auto"/>
          <w:highlight w:val="none"/>
        </w:rPr>
        <w:t>项目编号:</w:t>
      </w:r>
      <w:r>
        <w:rPr>
          <w:rFonts w:hint="eastAsia"/>
          <w:color w:val="auto"/>
          <w:highlight w:val="none"/>
          <w:lang w:eastAsia="zh-CN"/>
        </w:rPr>
        <w:t>2025NBHSWCS302</w:t>
      </w:r>
      <w:r>
        <w:rPr>
          <w:rFonts w:hint="eastAsia"/>
          <w:color w:val="auto"/>
          <w:highlight w:val="none"/>
        </w:rPr>
        <w:t xml:space="preserve"> </w:t>
      </w:r>
    </w:p>
    <w:tbl>
      <w:tblPr>
        <w:tblStyle w:val="45"/>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918"/>
        <w:gridCol w:w="5463"/>
      </w:tblGrid>
      <w:tr w14:paraId="36E4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6" w:type="dxa"/>
            <w:vAlign w:val="center"/>
          </w:tcPr>
          <w:p w14:paraId="4862B2A3">
            <w:pPr>
              <w:keepNext w:val="0"/>
              <w:keepLines w:val="0"/>
              <w:pageBreakBefore w:val="0"/>
              <w:widowControl w:val="0"/>
              <w:kinsoku/>
              <w:wordWrap/>
              <w:overflowPunct/>
              <w:topLinePunct w:val="0"/>
              <w:autoSpaceDE/>
              <w:autoSpaceDN/>
              <w:bidi w:val="0"/>
              <w:snapToGrid w:val="0"/>
              <w:spacing w:before="143" w:beforeLines="50" w:after="143" w:afterLines="50" w:line="240" w:lineRule="auto"/>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序号</w:t>
            </w:r>
          </w:p>
        </w:tc>
        <w:tc>
          <w:tcPr>
            <w:tcW w:w="2918" w:type="dxa"/>
            <w:vAlign w:val="center"/>
          </w:tcPr>
          <w:p w14:paraId="4E5142B4">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eastAsia" w:ascii="宋体" w:hAnsi="宋体" w:eastAsia="宋体" w:cs="Times New Roman"/>
                <w:color w:val="auto"/>
                <w:szCs w:val="21"/>
                <w:highlight w:val="none"/>
                <w:lang w:val="en-US" w:eastAsia="zh-CN"/>
              </w:rPr>
            </w:pPr>
            <w:r>
              <w:rPr>
                <w:rFonts w:hint="eastAsia" w:ascii="宋体" w:hAnsi="宋体" w:eastAsia="宋体" w:cs="仿宋"/>
                <w:color w:val="auto"/>
                <w:szCs w:val="21"/>
                <w:highlight w:val="none"/>
                <w:lang w:val="en-US" w:eastAsia="zh-CN"/>
              </w:rPr>
              <w:t>路线名称</w:t>
            </w:r>
          </w:p>
        </w:tc>
        <w:tc>
          <w:tcPr>
            <w:tcW w:w="5463" w:type="dxa"/>
            <w:vAlign w:val="center"/>
          </w:tcPr>
          <w:p w14:paraId="4429ADE8">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磋商报价（初次报价）</w:t>
            </w:r>
          </w:p>
        </w:tc>
      </w:tr>
      <w:tr w14:paraId="6411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6" w:type="dxa"/>
            <w:vAlign w:val="center"/>
          </w:tcPr>
          <w:p w14:paraId="5A349A05">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2918" w:type="dxa"/>
            <w:vAlign w:val="center"/>
          </w:tcPr>
          <w:p w14:paraId="6CC79563">
            <w:pPr>
              <w:widowControl/>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cs="宋体"/>
                <w:color w:val="auto"/>
                <w:sz w:val="21"/>
                <w:szCs w:val="21"/>
                <w:highlight w:val="none"/>
                <w:lang w:eastAsia="zh-CN"/>
              </w:rPr>
              <w:t>江西</w:t>
            </w:r>
          </w:p>
        </w:tc>
        <w:tc>
          <w:tcPr>
            <w:tcW w:w="5463" w:type="dxa"/>
            <w:vAlign w:val="center"/>
          </w:tcPr>
          <w:p w14:paraId="777559A2">
            <w:pPr>
              <w:widowControl/>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lang w:val="en-US" w:eastAsia="zh-CN"/>
              </w:rPr>
              <w:t>元/人</w:t>
            </w:r>
          </w:p>
        </w:tc>
      </w:tr>
      <w:tr w14:paraId="1722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6" w:type="dxa"/>
            <w:vAlign w:val="center"/>
          </w:tcPr>
          <w:p w14:paraId="1749FDA2">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w:t>
            </w:r>
          </w:p>
        </w:tc>
        <w:tc>
          <w:tcPr>
            <w:tcW w:w="2918" w:type="dxa"/>
            <w:vAlign w:val="center"/>
          </w:tcPr>
          <w:p w14:paraId="73EA30F4">
            <w:pPr>
              <w:widowControl/>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宋体"/>
                <w:color w:val="auto"/>
                <w:sz w:val="21"/>
                <w:szCs w:val="21"/>
                <w:highlight w:val="none"/>
                <w:lang w:eastAsia="zh-CN"/>
              </w:rPr>
              <w:t>江苏</w:t>
            </w:r>
          </w:p>
        </w:tc>
        <w:tc>
          <w:tcPr>
            <w:tcW w:w="5463" w:type="dxa"/>
            <w:vAlign w:val="center"/>
          </w:tcPr>
          <w:p w14:paraId="39BB7005">
            <w:pPr>
              <w:widowControl/>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lang w:val="en-US" w:eastAsia="zh-CN"/>
              </w:rPr>
              <w:t>元/人</w:t>
            </w:r>
          </w:p>
        </w:tc>
      </w:tr>
      <w:tr w14:paraId="645B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087" w:type="dxa"/>
            <w:gridSpan w:val="3"/>
            <w:vAlign w:val="center"/>
          </w:tcPr>
          <w:p w14:paraId="1BAF648D">
            <w:pPr>
              <w:widowControl/>
              <w:spacing w:line="360" w:lineRule="exact"/>
              <w:jc w:val="both"/>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报价声明：</w:t>
            </w:r>
          </w:p>
        </w:tc>
      </w:tr>
    </w:tbl>
    <w:p w14:paraId="101938E3">
      <w:pPr>
        <w:snapToGrid w:val="0"/>
        <w:spacing w:before="50" w:after="50" w:line="360" w:lineRule="auto"/>
        <w:ind w:left="-23" w:leftChars="-11" w:right="27" w:rightChars="13" w:firstLine="21" w:firstLineChars="10"/>
        <w:rPr>
          <w:rFonts w:ascii="宋体" w:hAnsi="宋体" w:eastAsia="宋体" w:cs="宋体"/>
          <w:bCs/>
          <w:color w:val="auto"/>
          <w:szCs w:val="21"/>
          <w:highlight w:val="none"/>
        </w:rPr>
      </w:pPr>
      <w:r>
        <w:rPr>
          <w:rFonts w:hint="eastAsia" w:ascii="宋体" w:hAnsi="宋体" w:eastAsia="宋体" w:cs="宋体"/>
          <w:bCs/>
          <w:color w:val="auto"/>
          <w:szCs w:val="21"/>
          <w:highlight w:val="none"/>
        </w:rPr>
        <w:t>注</w:t>
      </w:r>
      <w:r>
        <w:rPr>
          <w:rFonts w:ascii="宋体" w:hAnsi="宋体" w:eastAsia="宋体" w:cs="宋体"/>
          <w:bCs/>
          <w:color w:val="auto"/>
          <w:szCs w:val="21"/>
          <w:highlight w:val="none"/>
        </w:rPr>
        <w:t>:</w:t>
      </w:r>
    </w:p>
    <w:p w14:paraId="7110E9D8">
      <w:pPr>
        <w:snapToGrid w:val="0"/>
        <w:spacing w:before="50" w:after="50" w:line="360" w:lineRule="auto"/>
        <w:ind w:left="-23" w:leftChars="-11" w:right="27" w:rightChars="13" w:firstLine="21" w:firstLineChars="1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b w:val="0"/>
          <w:bCs/>
          <w:color w:val="auto"/>
          <w:szCs w:val="21"/>
          <w:highlight w:val="none"/>
          <w:lang w:eastAsia="zh-CN"/>
        </w:rPr>
        <w:t>报价均包含完成疗休养的交通费、住宿费、餐饮费、人身意外保险费，各旅游景点的所有门票、导游、领队的经费、司机的费用、服务费、保险、税费等完成疗休养的所有费用。如遇工作等原因有调整可能，房价等因素因季节性涨价的，请各供应商报价时自行掌握考虑，采购人不再进行调整任何费用</w:t>
      </w:r>
    </w:p>
    <w:p w14:paraId="00F57E70">
      <w:pPr>
        <w:keepNext w:val="0"/>
        <w:keepLines w:val="0"/>
        <w:pageBreakBefore w:val="0"/>
        <w:widowControl w:val="0"/>
        <w:shd w:val="clear"/>
        <w:kinsoku/>
        <w:wordWrap/>
        <w:overflowPunct/>
        <w:topLinePunct w:val="0"/>
        <w:bidi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报价一经涂改，应在涂改处加盖供应商公章或者由法定代表人（负责人）或授权代表签字或盖章。</w:t>
      </w:r>
    </w:p>
    <w:p w14:paraId="70C1BA00">
      <w:pPr>
        <w:spacing w:line="440" w:lineRule="exact"/>
        <w:rPr>
          <w:rFonts w:asciiTheme="majorEastAsia" w:hAnsiTheme="majorEastAsia" w:eastAsiaTheme="majorEastAsia"/>
          <w:color w:val="auto"/>
          <w:szCs w:val="21"/>
          <w:highlight w:val="none"/>
        </w:rPr>
      </w:pPr>
      <w:r>
        <w:rPr>
          <w:rFonts w:hint="eastAsia" w:ascii="宋体" w:hAnsi="宋体" w:eastAsia="宋体" w:cs="宋体"/>
          <w:color w:val="auto"/>
          <w:sz w:val="21"/>
          <w:szCs w:val="21"/>
          <w:highlight w:val="none"/>
        </w:rPr>
        <w:t>本项目采用单价报价，报价不做竞争，供应商在响应文件统一填报：</w:t>
      </w:r>
      <w:r>
        <w:rPr>
          <w:rFonts w:hint="eastAsia" w:ascii="宋体" w:hAnsi="宋体" w:cs="宋体"/>
          <w:color w:val="auto"/>
          <w:highlight w:val="none"/>
          <w:lang w:val="zh-CN" w:eastAsia="zh-CN"/>
        </w:rPr>
        <w:t>江西</w:t>
      </w:r>
      <w:r>
        <w:rPr>
          <w:rFonts w:hint="eastAsia" w:ascii="宋体" w:hAnsi="宋体" w:eastAsia="宋体" w:cs="宋体"/>
          <w:color w:val="auto"/>
          <w:highlight w:val="none"/>
          <w:lang w:val="zh-CN" w:eastAsia="zh-CN"/>
        </w:rPr>
        <w:t>：</w:t>
      </w:r>
      <w:r>
        <w:rPr>
          <w:rFonts w:hint="eastAsia" w:ascii="宋体" w:hAnsi="宋体" w:cs="宋体"/>
          <w:color w:val="auto"/>
          <w:highlight w:val="none"/>
          <w:lang w:val="en-US" w:eastAsia="zh-CN"/>
        </w:rPr>
        <w:t>30</w:t>
      </w:r>
      <w:r>
        <w:rPr>
          <w:rFonts w:hint="eastAsia" w:ascii="宋体" w:hAnsi="宋体" w:cs="宋体"/>
          <w:color w:val="auto"/>
          <w:highlight w:val="none"/>
          <w:lang w:val="zh-CN" w:eastAsia="zh-CN"/>
        </w:rPr>
        <w:t>00</w:t>
      </w:r>
      <w:r>
        <w:rPr>
          <w:rFonts w:hint="eastAsia" w:ascii="宋体" w:hAnsi="宋体" w:eastAsia="宋体" w:cs="宋体"/>
          <w:color w:val="auto"/>
          <w:highlight w:val="none"/>
          <w:lang w:val="zh-CN" w:eastAsia="zh-CN"/>
        </w:rPr>
        <w:t>元/人、</w:t>
      </w:r>
      <w:r>
        <w:rPr>
          <w:rFonts w:hint="eastAsia" w:ascii="宋体" w:hAnsi="宋体" w:cs="宋体"/>
          <w:color w:val="auto"/>
          <w:highlight w:val="none"/>
          <w:lang w:val="zh-CN" w:eastAsia="zh-CN"/>
        </w:rPr>
        <w:t>江苏</w:t>
      </w:r>
      <w:r>
        <w:rPr>
          <w:rFonts w:hint="eastAsia" w:ascii="宋体" w:hAnsi="宋体" w:eastAsia="宋体" w:cs="宋体"/>
          <w:color w:val="auto"/>
          <w:highlight w:val="none"/>
          <w:lang w:val="zh-CN" w:eastAsia="zh-CN"/>
        </w:rPr>
        <w:t>：3000元/人。政采云系统上统一填报总价</w:t>
      </w:r>
      <w:r>
        <w:rPr>
          <w:rFonts w:hint="eastAsia" w:ascii="宋体" w:hAnsi="宋体" w:cs="宋体"/>
          <w:color w:val="auto"/>
          <w:highlight w:val="none"/>
          <w:lang w:val="zh-CN" w:eastAsia="zh-CN"/>
        </w:rPr>
        <w:t>405000</w:t>
      </w:r>
      <w:r>
        <w:rPr>
          <w:rFonts w:hint="eastAsia" w:ascii="宋体" w:hAnsi="宋体" w:eastAsia="宋体" w:cs="宋体"/>
          <w:color w:val="auto"/>
          <w:highlight w:val="none"/>
          <w:lang w:val="zh-CN" w:eastAsia="zh-CN"/>
        </w:rPr>
        <w:t>元。如未按要求填报，由评标委员会进行修正，投标人不接受修正的，做无效标处理</w:t>
      </w:r>
      <w:r>
        <w:rPr>
          <w:rFonts w:hint="eastAsia" w:ascii="宋体" w:hAnsi="宋体" w:eastAsia="宋体" w:cs="宋体"/>
          <w:color w:val="auto"/>
          <w:sz w:val="21"/>
          <w:szCs w:val="21"/>
          <w:highlight w:val="none"/>
        </w:rPr>
        <w:t>。备注：以上线路的报价中，3000元/人的部分由本次采购预算支付，超出部分由疗休养出行人自行承担，最终每人结算金额将根据出行时最终确定的价格为准。</w:t>
      </w:r>
    </w:p>
    <w:p w14:paraId="13CA59A4">
      <w:pPr>
        <w:spacing w:line="440" w:lineRule="exact"/>
        <w:rPr>
          <w:rFonts w:asciiTheme="majorEastAsia" w:hAnsiTheme="majorEastAsia" w:eastAsiaTheme="majorEastAsia"/>
          <w:color w:val="auto"/>
          <w:szCs w:val="21"/>
          <w:highlight w:val="none"/>
        </w:rPr>
      </w:pPr>
    </w:p>
    <w:p w14:paraId="0C2F8E9D">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7497DAD5">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法定代表人（负责人）或授权代表（签字或盖章）：          </w:t>
      </w:r>
    </w:p>
    <w:p w14:paraId="16EE733E">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2B4E2DF9">
      <w:pPr>
        <w:pStyle w:val="15"/>
        <w:ind w:firstLine="0"/>
        <w:rPr>
          <w:rFonts w:asciiTheme="majorEastAsia" w:hAnsiTheme="majorEastAsia" w:eastAsiaTheme="majorEastAsia"/>
          <w:color w:val="auto"/>
          <w:szCs w:val="21"/>
          <w:highlight w:val="none"/>
        </w:rPr>
      </w:pPr>
    </w:p>
    <w:p w14:paraId="098E3979">
      <w:pPr>
        <w:pStyle w:val="15"/>
        <w:ind w:firstLine="0"/>
        <w:rPr>
          <w:rFonts w:asciiTheme="majorEastAsia" w:hAnsiTheme="majorEastAsia" w:eastAsiaTheme="majorEastAsia"/>
          <w:color w:val="auto"/>
          <w:szCs w:val="21"/>
          <w:highlight w:val="none"/>
        </w:rPr>
        <w:sectPr>
          <w:headerReference r:id="rId13" w:type="default"/>
          <w:footerReference r:id="rId14" w:type="default"/>
          <w:footerReference r:id="rId15" w:type="even"/>
          <w:pgSz w:w="11906" w:h="16838"/>
          <w:pgMar w:top="1440" w:right="1800" w:bottom="1440" w:left="1800" w:header="851" w:footer="992" w:gutter="0"/>
          <w:cols w:space="720" w:num="1"/>
          <w:docGrid w:linePitch="602" w:charSpace="-1675"/>
        </w:sectPr>
      </w:pPr>
    </w:p>
    <w:p w14:paraId="4B648FCF">
      <w:pPr>
        <w:spacing w:line="440" w:lineRule="exact"/>
        <w:jc w:val="left"/>
        <w:rPr>
          <w:rFonts w:asciiTheme="majorEastAsia" w:hAnsiTheme="majorEastAsia" w:eastAsiaTheme="majorEastAsia"/>
          <w:b/>
          <w:color w:val="auto"/>
          <w:szCs w:val="21"/>
          <w:highlight w:val="none"/>
        </w:rPr>
      </w:pPr>
      <w:bookmarkStart w:id="46" w:name="_Toc476585060"/>
      <w:bookmarkStart w:id="47" w:name="_Toc25084"/>
      <w:r>
        <w:rPr>
          <w:rFonts w:asciiTheme="majorEastAsia" w:hAnsiTheme="majorEastAsia" w:eastAsiaTheme="majorEastAsia"/>
          <w:b/>
          <w:bCs/>
          <w:color w:val="auto"/>
          <w:szCs w:val="21"/>
          <w:highlight w:val="none"/>
        </w:rPr>
        <w:t>格式十</w:t>
      </w:r>
      <w:r>
        <w:rPr>
          <w:rFonts w:hint="eastAsia" w:asciiTheme="majorEastAsia" w:hAnsiTheme="majorEastAsia" w:eastAsiaTheme="majorEastAsia"/>
          <w:b/>
          <w:bCs/>
          <w:color w:val="auto"/>
          <w:szCs w:val="21"/>
          <w:highlight w:val="none"/>
        </w:rPr>
        <w:t>一</w:t>
      </w:r>
      <w:r>
        <w:rPr>
          <w:rFonts w:asciiTheme="majorEastAsia" w:hAnsiTheme="majorEastAsia" w:eastAsiaTheme="majorEastAsia"/>
          <w:b/>
          <w:bCs/>
          <w:color w:val="auto"/>
          <w:szCs w:val="21"/>
          <w:highlight w:val="none"/>
        </w:rPr>
        <w:t>：</w:t>
      </w:r>
      <w:bookmarkEnd w:id="46"/>
    </w:p>
    <w:bookmarkEnd w:id="47"/>
    <w:p w14:paraId="6BBCF63D">
      <w:pPr>
        <w:pStyle w:val="20"/>
        <w:spacing w:line="360" w:lineRule="auto"/>
        <w:ind w:firstLine="0"/>
        <w:contextualSpacing/>
        <w:jc w:val="center"/>
        <w:rPr>
          <w:rFonts w:hAnsi="宋体"/>
          <w:b/>
          <w:color w:val="auto"/>
          <w:sz w:val="21"/>
          <w:szCs w:val="21"/>
          <w:highlight w:val="none"/>
        </w:rPr>
      </w:pPr>
      <w:r>
        <w:rPr>
          <w:rFonts w:hint="eastAsia" w:hAnsi="宋体"/>
          <w:b/>
          <w:color w:val="auto"/>
          <w:sz w:val="21"/>
          <w:szCs w:val="21"/>
          <w:highlight w:val="none"/>
        </w:rPr>
        <w:t>中小企业声明函</w:t>
      </w:r>
    </w:p>
    <w:p w14:paraId="027DAFC9">
      <w:pPr>
        <w:spacing w:line="360" w:lineRule="auto"/>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　　本公司（联合体）郑重声明，根据《政府采购促进中小企业发展管理办法》（财库[2020]46号）的规定，本公司（联合体）参加</w:t>
      </w:r>
      <w:r>
        <w:rPr>
          <w:rFonts w:hint="eastAsia" w:ascii="宋体" w:hAnsi="宋体" w:cs="宋体"/>
          <w:color w:val="auto"/>
          <w:kern w:val="0"/>
          <w:szCs w:val="21"/>
          <w:highlight w:val="none"/>
          <w:u w:val="single"/>
          <w:lang w:eastAsia="zh-CN"/>
        </w:rPr>
        <w:t>宁波市海曙区古林镇中心小学</w:t>
      </w:r>
      <w:r>
        <w:rPr>
          <w:rFonts w:hint="eastAsia" w:ascii="宋体" w:hAnsi="宋体" w:cs="宋体"/>
          <w:color w:val="auto"/>
          <w:kern w:val="0"/>
          <w:szCs w:val="21"/>
          <w:highlight w:val="none"/>
        </w:rPr>
        <w:t>的</w:t>
      </w:r>
      <w:r>
        <w:rPr>
          <w:rFonts w:hint="eastAsia" w:ascii="宋体" w:hAnsi="宋体" w:cs="宋体"/>
          <w:color w:val="auto"/>
          <w:kern w:val="0"/>
          <w:szCs w:val="21"/>
          <w:highlight w:val="none"/>
          <w:u w:val="single"/>
          <w:lang w:eastAsia="zh-CN"/>
        </w:rPr>
        <w:t>宁波市海曙区古林镇中心小学2025年年度教职工疗休养</w:t>
      </w:r>
      <w:r>
        <w:rPr>
          <w:rFonts w:hint="eastAsia" w:ascii="宋体" w:hAnsi="宋体" w:cs="宋体"/>
          <w:color w:val="auto"/>
          <w:kern w:val="0"/>
          <w:szCs w:val="21"/>
          <w:highlight w:val="none"/>
        </w:rPr>
        <w:t>采购活动，服务全部由符合政策要求的中小企业承接。相关企业（含联合体中的中小企业、签订分包意向协议的中小企业）的具体情况如下：</w:t>
      </w:r>
    </w:p>
    <w:p w14:paraId="119452F2">
      <w:pPr>
        <w:pStyle w:val="2"/>
        <w:spacing w:after="0" w:line="360" w:lineRule="auto"/>
        <w:ind w:firstLineChars="200"/>
        <w:contextualSpacing/>
        <w:rPr>
          <w:rFonts w:ascii="宋体" w:hAnsi="宋体" w:cs="宋体"/>
          <w:color w:val="auto"/>
          <w:kern w:val="0"/>
          <w:szCs w:val="21"/>
          <w:highlight w:val="none"/>
        </w:rPr>
      </w:pPr>
      <w:r>
        <w:rPr>
          <w:rFonts w:hint="eastAsia" w:ascii="宋体" w:hAnsi="宋体"/>
          <w:color w:val="auto"/>
          <w:szCs w:val="21"/>
          <w:highlight w:val="none"/>
        </w:rPr>
        <w:t>1、</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教职工疗休养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属于</w:t>
      </w:r>
      <w:r>
        <w:rPr>
          <w:rFonts w:hint="eastAsia"/>
          <w:color w:val="auto"/>
          <w:szCs w:val="21"/>
          <w:highlight w:val="none"/>
          <w:u w:val="single"/>
        </w:rPr>
        <w:t xml:space="preserve"> </w:t>
      </w:r>
      <w:r>
        <w:rPr>
          <w:rFonts w:hint="eastAsia" w:ascii="宋体" w:hAnsi="宋体"/>
          <w:b/>
          <w:bCs/>
          <w:color w:val="auto"/>
          <w:szCs w:val="21"/>
          <w:highlight w:val="none"/>
          <w:u w:val="single"/>
          <w:lang w:bidi="ar"/>
        </w:rPr>
        <w:t>其他未列明行业</w:t>
      </w:r>
      <w:r>
        <w:rPr>
          <w:rFonts w:hint="eastAsia"/>
          <w:color w:val="auto"/>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bidi="ar"/>
        </w:rPr>
        <w:t>承接</w:t>
      </w:r>
      <w:r>
        <w:rPr>
          <w:rFonts w:hint="eastAsia" w:ascii="宋体" w:hAnsi="宋体" w:cs="宋体"/>
          <w:color w:val="auto"/>
          <w:kern w:val="0"/>
          <w:szCs w:val="21"/>
          <w:highlight w:val="none"/>
        </w:rPr>
        <w:t>企业为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万元，属于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（中型企业、小型企业、微型企业）；</w:t>
      </w:r>
    </w:p>
    <w:p w14:paraId="6D0ABF48">
      <w:pPr>
        <w:pStyle w:val="2"/>
        <w:spacing w:after="0" w:line="360" w:lineRule="auto"/>
        <w:ind w:firstLine="422" w:firstLineChars="200"/>
        <w:contextualSpacing/>
        <w:rPr>
          <w:rFonts w:ascii="宋体" w:hAnsi="宋体" w:cs="宋体"/>
          <w:b/>
          <w:bCs/>
          <w:color w:val="auto"/>
          <w:kern w:val="0"/>
          <w:szCs w:val="21"/>
          <w:highlight w:val="none"/>
        </w:rPr>
      </w:pPr>
      <w:r>
        <w:rPr>
          <w:rFonts w:hint="eastAsia" w:ascii="宋体" w:hAnsi="宋体" w:cs="宋体"/>
          <w:b/>
          <w:bCs/>
          <w:color w:val="auto"/>
          <w:kern w:val="0"/>
          <w:szCs w:val="21"/>
          <w:highlight w:val="none"/>
        </w:rPr>
        <w:t>以上企业，不属于大企业的分支机构，不存在控股股东为大企业的情形，也不存在与大企业的负责人为同一人的情形。</w:t>
      </w:r>
    </w:p>
    <w:p w14:paraId="45EE1FE2">
      <w:pPr>
        <w:pStyle w:val="2"/>
        <w:spacing w:after="0" w:line="360" w:lineRule="auto"/>
        <w:ind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本企业对上述声明内容的真实性负责。如有虚假，将依法承担相应责任。</w:t>
      </w:r>
    </w:p>
    <w:p w14:paraId="10D6AA86">
      <w:pPr>
        <w:pStyle w:val="2"/>
        <w:spacing w:after="0" w:line="360" w:lineRule="auto"/>
        <w:ind w:firstLine="210"/>
        <w:contextualSpacing/>
        <w:rPr>
          <w:rFonts w:ascii="宋体" w:hAnsi="宋体" w:cs="宋体"/>
          <w:color w:val="auto"/>
          <w:kern w:val="0"/>
          <w:szCs w:val="21"/>
          <w:highlight w:val="none"/>
        </w:rPr>
      </w:pPr>
    </w:p>
    <w:p w14:paraId="424406C7">
      <w:pPr>
        <w:pStyle w:val="2"/>
        <w:spacing w:after="0" w:line="360" w:lineRule="auto"/>
        <w:ind w:firstLine="210"/>
        <w:contextualSpacing/>
        <w:rPr>
          <w:rFonts w:ascii="宋体" w:hAnsi="宋体" w:cs="宋体"/>
          <w:color w:val="auto"/>
          <w:kern w:val="0"/>
          <w:szCs w:val="21"/>
          <w:highlight w:val="none"/>
        </w:rPr>
      </w:pPr>
    </w:p>
    <w:p w14:paraId="3BE9A104">
      <w:pPr>
        <w:pStyle w:val="2"/>
        <w:spacing w:after="0" w:line="360" w:lineRule="auto"/>
        <w:ind w:firstLine="210"/>
        <w:contextualSpacing/>
        <w:rPr>
          <w:rFonts w:ascii="宋体" w:hAnsi="宋体" w:cs="宋体"/>
          <w:color w:val="auto"/>
          <w:kern w:val="0"/>
          <w:szCs w:val="21"/>
          <w:highlight w:val="none"/>
        </w:rPr>
      </w:pPr>
      <w:r>
        <w:rPr>
          <w:rFonts w:hint="eastAsia" w:ascii="宋体" w:hAnsi="宋体" w:cs="宋体"/>
          <w:color w:val="auto"/>
          <w:kern w:val="0"/>
          <w:szCs w:val="21"/>
          <w:highlight w:val="none"/>
        </w:rPr>
        <w:t>企业名称（盖章）：</w:t>
      </w:r>
    </w:p>
    <w:p w14:paraId="046B5C58">
      <w:pPr>
        <w:pStyle w:val="2"/>
        <w:spacing w:after="0" w:line="360" w:lineRule="auto"/>
        <w:ind w:firstLine="210"/>
        <w:contextualSpacing/>
        <w:rPr>
          <w:rFonts w:ascii="宋体" w:hAnsi="宋体" w:cs="宋体"/>
          <w:color w:val="auto"/>
          <w:kern w:val="0"/>
          <w:szCs w:val="21"/>
          <w:highlight w:val="none"/>
        </w:rPr>
      </w:pPr>
      <w:r>
        <w:rPr>
          <w:rFonts w:hint="eastAsia" w:ascii="宋体" w:hAnsi="宋体" w:cs="宋体"/>
          <w:color w:val="auto"/>
          <w:kern w:val="0"/>
          <w:szCs w:val="21"/>
          <w:highlight w:val="none"/>
        </w:rPr>
        <w:t>日期：</w:t>
      </w:r>
    </w:p>
    <w:p w14:paraId="7E69679B">
      <w:pPr>
        <w:pStyle w:val="2"/>
        <w:spacing w:after="0" w:line="360" w:lineRule="auto"/>
        <w:ind w:firstLine="210"/>
        <w:contextualSpacing/>
        <w:rPr>
          <w:rFonts w:ascii="宋体" w:hAnsi="宋体" w:cs="宋体"/>
          <w:color w:val="auto"/>
          <w:kern w:val="0"/>
          <w:szCs w:val="21"/>
          <w:highlight w:val="none"/>
        </w:rPr>
      </w:pPr>
    </w:p>
    <w:p w14:paraId="68720935">
      <w:pPr>
        <w:pStyle w:val="2"/>
        <w:spacing w:after="0" w:line="360" w:lineRule="auto"/>
        <w:ind w:firstLine="210"/>
        <w:contextualSpacing/>
        <w:rPr>
          <w:rFonts w:ascii="宋体" w:hAnsi="宋体" w:cs="宋体"/>
          <w:color w:val="auto"/>
          <w:kern w:val="0"/>
          <w:szCs w:val="21"/>
          <w:highlight w:val="none"/>
        </w:rPr>
      </w:pPr>
      <w:r>
        <w:rPr>
          <w:rFonts w:hint="eastAsia" w:ascii="宋体" w:hAnsi="宋体" w:cs="宋体"/>
          <w:color w:val="auto"/>
          <w:kern w:val="0"/>
          <w:szCs w:val="21"/>
          <w:highlight w:val="none"/>
        </w:rPr>
        <w:t>注：从业人员、营业收入、资产总额填报上一年度数据，无上一年度数据的新成立企业可不填报。</w:t>
      </w:r>
    </w:p>
    <w:p w14:paraId="6EF66AEB">
      <w:pPr>
        <w:spacing w:line="440" w:lineRule="exact"/>
        <w:rPr>
          <w:rFonts w:asciiTheme="majorEastAsia" w:hAnsiTheme="majorEastAsia" w:eastAsiaTheme="majorEastAsia"/>
          <w:b/>
          <w:bCs/>
          <w:color w:val="auto"/>
          <w:szCs w:val="21"/>
          <w:highlight w:val="none"/>
        </w:rPr>
      </w:pPr>
    </w:p>
    <w:p w14:paraId="2C548139">
      <w:pPr>
        <w:spacing w:line="440" w:lineRule="exact"/>
        <w:rPr>
          <w:rFonts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风险提示：</w:t>
      </w:r>
    </w:p>
    <w:p w14:paraId="06B685C0">
      <w:pPr>
        <w:spacing w:line="440" w:lineRule="exact"/>
        <w:ind w:firstLine="360" w:firstLineChars="200"/>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1、《中小企业声明函》由参加投标的供应商提交并对其真实性负责。</w:t>
      </w:r>
    </w:p>
    <w:p w14:paraId="5F5005B4">
      <w:pPr>
        <w:spacing w:line="440" w:lineRule="exact"/>
        <w:ind w:firstLine="360" w:firstLineChars="200"/>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2、中标、成交供应商享受《政府采购促进中小企业发展管理办法》（财库[2020]46号）规定的中小企业扶持政策的，</w:t>
      </w:r>
      <w:r>
        <w:rPr>
          <w:rFonts w:hint="eastAsia" w:asciiTheme="majorEastAsia" w:hAnsiTheme="majorEastAsia" w:eastAsiaTheme="majorEastAsia"/>
          <w:b/>
          <w:bCs/>
          <w:color w:val="auto"/>
          <w:sz w:val="18"/>
          <w:szCs w:val="18"/>
          <w:highlight w:val="none"/>
        </w:rPr>
        <w:t>采购人、采购代理机构应当随中标、成交结果公开中标、成交供应商的《中小企业声明函》</w:t>
      </w:r>
      <w:r>
        <w:rPr>
          <w:rFonts w:hint="eastAsia" w:asciiTheme="majorEastAsia" w:hAnsiTheme="majorEastAsia" w:eastAsiaTheme="majorEastAsia"/>
          <w:color w:val="auto"/>
          <w:sz w:val="18"/>
          <w:szCs w:val="18"/>
          <w:highlight w:val="none"/>
        </w:rPr>
        <w:t>。</w:t>
      </w:r>
    </w:p>
    <w:p w14:paraId="2C6C0589">
      <w:pPr>
        <w:spacing w:line="440" w:lineRule="exact"/>
        <w:ind w:firstLine="360" w:firstLineChars="200"/>
        <w:rPr>
          <w:rFonts w:eastAsiaTheme="majorEastAsia"/>
          <w:color w:val="auto"/>
          <w:sz w:val="18"/>
          <w:szCs w:val="18"/>
          <w:highlight w:val="none"/>
        </w:rPr>
      </w:pPr>
      <w:r>
        <w:rPr>
          <w:rFonts w:hint="eastAsia" w:asciiTheme="majorEastAsia" w:hAnsiTheme="majorEastAsia" w:eastAsiaTheme="majorEastAsia"/>
          <w:color w:val="auto"/>
          <w:sz w:val="18"/>
          <w:szCs w:val="18"/>
          <w:highlight w:val="none"/>
        </w:rPr>
        <w:t>3、供应商按照《政府采购促进中小企业发展管理办法》（财库[2020]46号）规定提供声明函内容不实的，属于</w:t>
      </w:r>
      <w:r>
        <w:rPr>
          <w:rFonts w:hint="eastAsia" w:asciiTheme="majorEastAsia" w:hAnsiTheme="majorEastAsia" w:eastAsiaTheme="majorEastAsia"/>
          <w:b/>
          <w:bCs/>
          <w:color w:val="auto"/>
          <w:sz w:val="18"/>
          <w:szCs w:val="18"/>
          <w:highlight w:val="none"/>
        </w:rPr>
        <w:t>提供虚假材料谋取中标、成交</w:t>
      </w:r>
      <w:r>
        <w:rPr>
          <w:rFonts w:hint="eastAsia" w:asciiTheme="majorEastAsia" w:hAnsiTheme="majorEastAsia" w:eastAsiaTheme="majorEastAsia"/>
          <w:color w:val="auto"/>
          <w:sz w:val="18"/>
          <w:szCs w:val="18"/>
          <w:highlight w:val="none"/>
        </w:rPr>
        <w:t>，依照《中华人民共和国政府采购法》等国家有关规定追究相应责任。</w:t>
      </w:r>
    </w:p>
    <w:p w14:paraId="46D025A8">
      <w:pPr>
        <w:rPr>
          <w:rFonts w:hAnsi="宋体"/>
          <w:b/>
          <w:color w:val="auto"/>
          <w:szCs w:val="21"/>
          <w:highlight w:val="none"/>
        </w:rPr>
      </w:pPr>
      <w:r>
        <w:rPr>
          <w:rFonts w:hint="eastAsia" w:hAnsi="宋体"/>
          <w:b/>
          <w:color w:val="auto"/>
          <w:szCs w:val="21"/>
          <w:highlight w:val="none"/>
        </w:rPr>
        <w:br w:type="page"/>
      </w:r>
    </w:p>
    <w:p w14:paraId="385F7165">
      <w:pPr>
        <w:spacing w:line="440" w:lineRule="exact"/>
        <w:rPr>
          <w:rFonts w:ascii="宋体" w:hAnsi="宋体"/>
          <w:color w:val="auto"/>
          <w:szCs w:val="21"/>
          <w:highlight w:val="none"/>
        </w:rPr>
      </w:pPr>
      <w:r>
        <w:rPr>
          <w:rFonts w:asciiTheme="majorEastAsia" w:hAnsiTheme="majorEastAsia" w:eastAsiaTheme="majorEastAsia"/>
          <w:b/>
          <w:color w:val="auto"/>
          <w:szCs w:val="21"/>
          <w:highlight w:val="none"/>
        </w:rPr>
        <w:t>格式十</w:t>
      </w:r>
      <w:r>
        <w:rPr>
          <w:rFonts w:hint="eastAsia" w:asciiTheme="majorEastAsia" w:hAnsiTheme="majorEastAsia" w:eastAsiaTheme="majorEastAsia"/>
          <w:b/>
          <w:color w:val="auto"/>
          <w:szCs w:val="21"/>
          <w:highlight w:val="none"/>
        </w:rPr>
        <w:t>二：政府采购领域商业贿赂行为承诺书</w:t>
      </w:r>
    </w:p>
    <w:p w14:paraId="5F3E2513">
      <w:pPr>
        <w:spacing w:line="440" w:lineRule="exact"/>
        <w:rPr>
          <w:rFonts w:ascii="宋体" w:hAnsi="宋体"/>
          <w:color w:val="auto"/>
          <w:szCs w:val="21"/>
          <w:highlight w:val="none"/>
        </w:rPr>
      </w:pPr>
    </w:p>
    <w:p w14:paraId="2D2E083B">
      <w:pPr>
        <w:spacing w:line="440" w:lineRule="exact"/>
        <w:jc w:val="center"/>
        <w:rPr>
          <w:rFonts w:ascii="宋体" w:hAnsi="宋体"/>
          <w:color w:val="auto"/>
          <w:szCs w:val="21"/>
          <w:highlight w:val="none"/>
        </w:rPr>
      </w:pPr>
      <w:r>
        <w:rPr>
          <w:rFonts w:hint="eastAsia" w:ascii="宋体" w:hAnsi="宋体"/>
          <w:b/>
          <w:bCs/>
          <w:color w:val="auto"/>
          <w:sz w:val="28"/>
          <w:szCs w:val="28"/>
          <w:highlight w:val="none"/>
        </w:rPr>
        <w:t>政府采购领域商业贿赂行为承诺书</w:t>
      </w:r>
    </w:p>
    <w:p w14:paraId="15BD176A">
      <w:pPr>
        <w:spacing w:line="360" w:lineRule="auto"/>
        <w:textAlignment w:val="baseline"/>
        <w:rPr>
          <w:rFonts w:ascii="宋体" w:hAnsi="宋体" w:cs="宋体"/>
          <w:b/>
          <w:bCs/>
          <w:color w:val="auto"/>
          <w:kern w:val="0"/>
          <w:szCs w:val="21"/>
          <w:highlight w:val="none"/>
        </w:rPr>
      </w:pPr>
      <w:r>
        <w:rPr>
          <w:rFonts w:hint="eastAsia" w:ascii="宋体" w:hAnsi="宋体" w:cs="宋体"/>
          <w:b/>
          <w:color w:val="auto"/>
          <w:kern w:val="0"/>
          <w:szCs w:val="21"/>
          <w:highlight w:val="none"/>
        </w:rPr>
        <w:t>致：宁波之新招标咨询有限公司</w:t>
      </w:r>
    </w:p>
    <w:p w14:paraId="1EA884EC">
      <w:pPr>
        <w:spacing w:line="360" w:lineRule="auto"/>
        <w:ind w:firstLine="420" w:firstLineChars="200"/>
        <w:textAlignment w:val="baseline"/>
        <w:rPr>
          <w:rFonts w:ascii="宋体" w:hAnsi="宋体" w:cs="宋体"/>
          <w:color w:val="auto"/>
          <w:kern w:val="0"/>
          <w:szCs w:val="21"/>
          <w:highlight w:val="none"/>
          <w:lang w:eastAsia="zh-TW"/>
        </w:rPr>
      </w:pPr>
      <w:r>
        <w:rPr>
          <w:rFonts w:hint="eastAsia" w:ascii="宋体" w:hAnsi="宋体" w:cs="宋体"/>
          <w:color w:val="auto"/>
          <w:kern w:val="0"/>
          <w:szCs w:val="21"/>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14:paraId="38A14C7A">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一、依法参与政府采购活动，遵纪守法，诚信经营，公平竞争。</w:t>
      </w:r>
    </w:p>
    <w:p w14:paraId="5B4798BF">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二、不向采购单位、采购代理机构和政府采购评审专家提供任何形式的商业贿赂；对索取或接受商业贿赂的单位和个人，及时向财政部门和纪检监察机关举报。</w:t>
      </w:r>
    </w:p>
    <w:p w14:paraId="5059C247">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三、不以提供虚假资质文件等形式参与政府采购活动，不以虚假材料谋取中标。</w:t>
      </w:r>
    </w:p>
    <w:p w14:paraId="1EB01247">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四、不采取不正当手段诋毁、排挤其他供应商，与其他参与政府采购活动供应商保持良性的竞争关系。</w:t>
      </w:r>
    </w:p>
    <w:p w14:paraId="6874C29B">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五、不与采购单位、采购代理机构和政府采购评审专家恶意串通，自觉维护政府采购公平竞争的市场秩序。</w:t>
      </w:r>
    </w:p>
    <w:p w14:paraId="110E0BB5">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六、不与其他供应商串通采取围标、陪标等商业欺诈手段谋取中标，积极维护国家利益、社会公共利益和采购单位的合法权益。</w:t>
      </w:r>
    </w:p>
    <w:p w14:paraId="262E4077">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七、严格履行政府采购合同约定义务，不在政府采购合同执行过程中采取降低质量或标准、减少数量、拖延交付时间等方式损害采购单位的利益，并自觉承担违约责任。</w:t>
      </w:r>
    </w:p>
    <w:p w14:paraId="1FBD3555">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八、自觉接受并积极配合财政部门和纪检监察机关依法实施的监督检查，如实反映情况，及时提供有关证明材料。</w:t>
      </w:r>
    </w:p>
    <w:p w14:paraId="2C63E353">
      <w:pPr>
        <w:pStyle w:val="132"/>
        <w:adjustRightInd/>
        <w:spacing w:line="360" w:lineRule="auto"/>
        <w:ind w:left="0"/>
        <w:rPr>
          <w:color w:val="auto"/>
          <w:highlight w:val="none"/>
        </w:rPr>
      </w:pPr>
    </w:p>
    <w:p w14:paraId="7C7A445C">
      <w:pPr>
        <w:spacing w:line="360" w:lineRule="auto"/>
        <w:ind w:firstLine="420" w:firstLineChars="200"/>
        <w:textAlignment w:val="baseline"/>
        <w:rPr>
          <w:rFonts w:ascii="宋体" w:hAnsi="宋体" w:cs="宋体"/>
          <w:color w:val="auto"/>
          <w:szCs w:val="21"/>
          <w:highlight w:val="none"/>
          <w:u w:val="single"/>
        </w:rPr>
      </w:pPr>
      <w:r>
        <w:rPr>
          <w:rFonts w:hint="eastAsia" w:ascii="宋体" w:hAnsi="宋体" w:cs="宋体"/>
          <w:color w:val="auto"/>
          <w:szCs w:val="21"/>
          <w:highlight w:val="none"/>
        </w:rPr>
        <w:t>供应商名称（并加盖公章）：</w:t>
      </w:r>
      <w:r>
        <w:rPr>
          <w:rFonts w:hint="eastAsia" w:ascii="宋体" w:hAnsi="宋体" w:cs="宋体"/>
          <w:color w:val="auto"/>
          <w:szCs w:val="21"/>
          <w:highlight w:val="none"/>
          <w:u w:val="single"/>
        </w:rPr>
        <w:t xml:space="preserve">                             </w:t>
      </w:r>
    </w:p>
    <w:p w14:paraId="1AA6A8B7">
      <w:pPr>
        <w:spacing w:line="360" w:lineRule="auto"/>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法定代表人或其授权代表（签名或印章）：</w:t>
      </w:r>
      <w:r>
        <w:rPr>
          <w:rFonts w:hint="eastAsia" w:ascii="宋体" w:hAnsi="宋体" w:cs="宋体"/>
          <w:color w:val="auto"/>
          <w:szCs w:val="21"/>
          <w:highlight w:val="none"/>
          <w:u w:val="single"/>
        </w:rPr>
        <w:t xml:space="preserve">                   </w:t>
      </w:r>
    </w:p>
    <w:p w14:paraId="63966896">
      <w:pPr>
        <w:spacing w:line="360" w:lineRule="auto"/>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9E2EE76">
      <w:pPr>
        <w:spacing w:line="440" w:lineRule="exact"/>
        <w:rPr>
          <w:rFonts w:ascii="宋体" w:hAnsi="宋体"/>
          <w:color w:val="auto"/>
          <w:szCs w:val="21"/>
          <w:highlight w:val="none"/>
        </w:rPr>
      </w:pPr>
    </w:p>
    <w:p w14:paraId="7DBA938D">
      <w:pPr>
        <w:pStyle w:val="21"/>
        <w:ind w:firstLine="344"/>
        <w:rPr>
          <w:color w:val="auto"/>
          <w:highlight w:val="none"/>
        </w:rPr>
        <w:sectPr>
          <w:pgSz w:w="11907" w:h="16840"/>
          <w:pgMar w:top="1440" w:right="1800" w:bottom="1440" w:left="1800" w:header="709" w:footer="1134" w:gutter="0"/>
          <w:cols w:space="720" w:num="1"/>
          <w:docGrid w:linePitch="285" w:charSpace="0"/>
        </w:sectPr>
      </w:pPr>
    </w:p>
    <w:tbl>
      <w:tblPr>
        <w:tblStyle w:val="45"/>
        <w:tblpPr w:leftFromText="180" w:rightFromText="180" w:vertAnchor="page" w:horzAnchor="margin" w:tblpXSpec="center" w:tblpY="886"/>
        <w:tblW w:w="15318" w:type="dxa"/>
        <w:tblInd w:w="0" w:type="dxa"/>
        <w:tblLayout w:type="fixed"/>
        <w:tblCellMar>
          <w:top w:w="0" w:type="dxa"/>
          <w:left w:w="108" w:type="dxa"/>
          <w:bottom w:w="0" w:type="dxa"/>
          <w:right w:w="108" w:type="dxa"/>
        </w:tblCellMar>
      </w:tblPr>
      <w:tblGrid>
        <w:gridCol w:w="2376"/>
        <w:gridCol w:w="1498"/>
        <w:gridCol w:w="1763"/>
        <w:gridCol w:w="1660"/>
        <w:gridCol w:w="1240"/>
        <w:gridCol w:w="1480"/>
        <w:gridCol w:w="1520"/>
        <w:gridCol w:w="1285"/>
        <w:gridCol w:w="1275"/>
        <w:gridCol w:w="1221"/>
      </w:tblGrid>
      <w:tr w14:paraId="0A6E587D">
        <w:tblPrEx>
          <w:tblCellMar>
            <w:top w:w="0" w:type="dxa"/>
            <w:left w:w="108" w:type="dxa"/>
            <w:bottom w:w="0" w:type="dxa"/>
            <w:right w:w="108" w:type="dxa"/>
          </w:tblCellMar>
        </w:tblPrEx>
        <w:trPr>
          <w:trHeight w:val="420" w:hRule="atLeast"/>
        </w:trPr>
        <w:tc>
          <w:tcPr>
            <w:tcW w:w="15318" w:type="dxa"/>
            <w:gridSpan w:val="10"/>
            <w:tcBorders>
              <w:top w:val="nil"/>
              <w:left w:val="nil"/>
              <w:bottom w:val="nil"/>
              <w:right w:val="nil"/>
            </w:tcBorders>
            <w:shd w:val="clear" w:color="auto" w:fill="auto"/>
            <w:vAlign w:val="bottom"/>
          </w:tcPr>
          <w:p w14:paraId="71484E70">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中小微行业划型标准规定（根据工信部联企业〔2011〕300号制定）【以文件规定为准】</w:t>
            </w:r>
          </w:p>
        </w:tc>
      </w:tr>
      <w:tr w14:paraId="17FB724A">
        <w:tblPrEx>
          <w:tblCellMar>
            <w:top w:w="0" w:type="dxa"/>
            <w:left w:w="108" w:type="dxa"/>
            <w:bottom w:w="0" w:type="dxa"/>
            <w:right w:w="108" w:type="dxa"/>
          </w:tblCellMar>
        </w:tblPrEx>
        <w:trPr>
          <w:trHeight w:val="465" w:hRule="atLeast"/>
        </w:trPr>
        <w:tc>
          <w:tcPr>
            <w:tcW w:w="2376" w:type="dxa"/>
            <w:vMerge w:val="restart"/>
            <w:tcBorders>
              <w:top w:val="single" w:color="auto" w:sz="8" w:space="0"/>
              <w:left w:val="single" w:color="auto" w:sz="8" w:space="0"/>
              <w:bottom w:val="single" w:color="000000" w:sz="4" w:space="0"/>
              <w:right w:val="single" w:color="auto" w:sz="8" w:space="0"/>
            </w:tcBorders>
            <w:shd w:val="clear" w:color="auto" w:fill="auto"/>
            <w:vAlign w:val="center"/>
          </w:tcPr>
          <w:p w14:paraId="1D745CA9">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行业</w:t>
            </w:r>
          </w:p>
        </w:tc>
        <w:tc>
          <w:tcPr>
            <w:tcW w:w="4921" w:type="dxa"/>
            <w:gridSpan w:val="3"/>
            <w:tcBorders>
              <w:top w:val="single" w:color="auto" w:sz="8" w:space="0"/>
              <w:left w:val="nil"/>
              <w:bottom w:val="single" w:color="auto" w:sz="4" w:space="0"/>
              <w:right w:val="single" w:color="000000" w:sz="8" w:space="0"/>
            </w:tcBorders>
            <w:shd w:val="clear" w:color="auto" w:fill="auto"/>
            <w:vAlign w:val="bottom"/>
          </w:tcPr>
          <w:p w14:paraId="78F1A755">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中型企业</w:t>
            </w:r>
          </w:p>
        </w:tc>
        <w:tc>
          <w:tcPr>
            <w:tcW w:w="4240" w:type="dxa"/>
            <w:gridSpan w:val="3"/>
            <w:tcBorders>
              <w:top w:val="single" w:color="auto" w:sz="8" w:space="0"/>
              <w:left w:val="nil"/>
              <w:bottom w:val="single" w:color="auto" w:sz="4" w:space="0"/>
              <w:right w:val="single" w:color="000000" w:sz="8" w:space="0"/>
            </w:tcBorders>
            <w:shd w:val="clear" w:color="auto" w:fill="auto"/>
            <w:vAlign w:val="bottom"/>
          </w:tcPr>
          <w:p w14:paraId="2FFB777C">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小型企业</w:t>
            </w:r>
          </w:p>
        </w:tc>
        <w:tc>
          <w:tcPr>
            <w:tcW w:w="3781" w:type="dxa"/>
            <w:gridSpan w:val="3"/>
            <w:tcBorders>
              <w:top w:val="single" w:color="auto" w:sz="8" w:space="0"/>
              <w:left w:val="nil"/>
              <w:bottom w:val="single" w:color="auto" w:sz="4" w:space="0"/>
              <w:right w:val="single" w:color="000000" w:sz="8" w:space="0"/>
            </w:tcBorders>
            <w:shd w:val="clear" w:color="auto" w:fill="auto"/>
            <w:vAlign w:val="bottom"/>
          </w:tcPr>
          <w:p w14:paraId="4CBB0518">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微型企业</w:t>
            </w:r>
          </w:p>
        </w:tc>
      </w:tr>
      <w:tr w14:paraId="607E484D">
        <w:tblPrEx>
          <w:tblCellMar>
            <w:top w:w="0" w:type="dxa"/>
            <w:left w:w="108" w:type="dxa"/>
            <w:bottom w:w="0" w:type="dxa"/>
            <w:right w:w="108" w:type="dxa"/>
          </w:tblCellMar>
        </w:tblPrEx>
        <w:trPr>
          <w:trHeight w:val="525" w:hRule="atLeast"/>
        </w:trPr>
        <w:tc>
          <w:tcPr>
            <w:tcW w:w="2376" w:type="dxa"/>
            <w:vMerge w:val="continue"/>
            <w:tcBorders>
              <w:top w:val="single" w:color="auto" w:sz="8" w:space="0"/>
              <w:left w:val="single" w:color="auto" w:sz="8" w:space="0"/>
              <w:bottom w:val="single" w:color="000000" w:sz="4" w:space="0"/>
              <w:right w:val="single" w:color="auto" w:sz="8" w:space="0"/>
            </w:tcBorders>
            <w:shd w:val="clear" w:color="auto" w:fill="auto"/>
            <w:vAlign w:val="center"/>
          </w:tcPr>
          <w:p w14:paraId="6EBE4EC6">
            <w:pPr>
              <w:jc w:val="left"/>
              <w:rPr>
                <w:rFonts w:ascii="宋体" w:hAnsi="宋体" w:cs="宋体"/>
                <w:b/>
                <w:bCs/>
                <w:color w:val="auto"/>
                <w:kern w:val="0"/>
                <w:sz w:val="18"/>
                <w:szCs w:val="18"/>
                <w:highlight w:val="none"/>
              </w:rPr>
            </w:pPr>
          </w:p>
        </w:tc>
        <w:tc>
          <w:tcPr>
            <w:tcW w:w="1498" w:type="dxa"/>
            <w:tcBorders>
              <w:top w:val="nil"/>
              <w:left w:val="nil"/>
              <w:bottom w:val="single" w:color="auto" w:sz="4" w:space="0"/>
              <w:right w:val="single" w:color="auto" w:sz="4" w:space="0"/>
            </w:tcBorders>
            <w:shd w:val="clear" w:color="auto" w:fill="auto"/>
            <w:vAlign w:val="bottom"/>
          </w:tcPr>
          <w:p w14:paraId="5103B3B1">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763" w:type="dxa"/>
            <w:tcBorders>
              <w:top w:val="nil"/>
              <w:left w:val="nil"/>
              <w:bottom w:val="single" w:color="auto" w:sz="4" w:space="0"/>
              <w:right w:val="single" w:color="auto" w:sz="4" w:space="0"/>
            </w:tcBorders>
            <w:shd w:val="clear" w:color="auto" w:fill="auto"/>
            <w:vAlign w:val="bottom"/>
          </w:tcPr>
          <w:p w14:paraId="2AE96BE4">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p w14:paraId="5EB3F13E">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0" w:type="dxa"/>
            <w:tcBorders>
              <w:top w:val="nil"/>
              <w:left w:val="nil"/>
              <w:bottom w:val="single" w:color="auto" w:sz="4" w:space="0"/>
              <w:right w:val="single" w:color="auto" w:sz="8" w:space="0"/>
            </w:tcBorders>
            <w:shd w:val="clear" w:color="auto" w:fill="auto"/>
            <w:vAlign w:val="bottom"/>
          </w:tcPr>
          <w:p w14:paraId="42C75474">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p w14:paraId="6767CF80">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40" w:type="dxa"/>
            <w:tcBorders>
              <w:top w:val="nil"/>
              <w:left w:val="nil"/>
              <w:bottom w:val="single" w:color="auto" w:sz="4" w:space="0"/>
              <w:right w:val="single" w:color="auto" w:sz="4" w:space="0"/>
            </w:tcBorders>
            <w:shd w:val="clear" w:color="auto" w:fill="auto"/>
            <w:vAlign w:val="bottom"/>
          </w:tcPr>
          <w:p w14:paraId="63E6A202">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480" w:type="dxa"/>
            <w:tcBorders>
              <w:top w:val="nil"/>
              <w:left w:val="nil"/>
              <w:bottom w:val="single" w:color="auto" w:sz="4" w:space="0"/>
              <w:right w:val="single" w:color="auto" w:sz="4" w:space="0"/>
            </w:tcBorders>
            <w:shd w:val="clear" w:color="auto" w:fill="auto"/>
            <w:vAlign w:val="bottom"/>
          </w:tcPr>
          <w:p w14:paraId="57FFAACA">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p w14:paraId="752A4B6A">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520" w:type="dxa"/>
            <w:tcBorders>
              <w:top w:val="nil"/>
              <w:left w:val="nil"/>
              <w:bottom w:val="single" w:color="auto" w:sz="4" w:space="0"/>
              <w:right w:val="single" w:color="auto" w:sz="8" w:space="0"/>
            </w:tcBorders>
            <w:shd w:val="clear" w:color="auto" w:fill="auto"/>
            <w:vAlign w:val="bottom"/>
          </w:tcPr>
          <w:p w14:paraId="5D27D854">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p w14:paraId="4AA97366">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85" w:type="dxa"/>
            <w:tcBorders>
              <w:top w:val="nil"/>
              <w:left w:val="nil"/>
              <w:bottom w:val="single" w:color="auto" w:sz="4" w:space="0"/>
              <w:right w:val="single" w:color="auto" w:sz="4" w:space="0"/>
            </w:tcBorders>
            <w:shd w:val="clear" w:color="auto" w:fill="auto"/>
            <w:vAlign w:val="bottom"/>
          </w:tcPr>
          <w:p w14:paraId="4AF204D4">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275" w:type="dxa"/>
            <w:tcBorders>
              <w:top w:val="nil"/>
              <w:left w:val="nil"/>
              <w:bottom w:val="single" w:color="auto" w:sz="4" w:space="0"/>
              <w:right w:val="single" w:color="auto" w:sz="4" w:space="0"/>
            </w:tcBorders>
            <w:shd w:val="clear" w:color="auto" w:fill="auto"/>
            <w:vAlign w:val="bottom"/>
          </w:tcPr>
          <w:p w14:paraId="23127880">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营业收入Y（万元）</w:t>
            </w:r>
          </w:p>
        </w:tc>
        <w:tc>
          <w:tcPr>
            <w:tcW w:w="1221" w:type="dxa"/>
            <w:tcBorders>
              <w:top w:val="nil"/>
              <w:left w:val="nil"/>
              <w:bottom w:val="single" w:color="auto" w:sz="4" w:space="0"/>
              <w:right w:val="single" w:color="auto" w:sz="8" w:space="0"/>
            </w:tcBorders>
            <w:shd w:val="clear" w:color="auto" w:fill="auto"/>
            <w:vAlign w:val="bottom"/>
          </w:tcPr>
          <w:p w14:paraId="676AA4C5">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资产总额Z（万元）</w:t>
            </w:r>
          </w:p>
        </w:tc>
      </w:tr>
      <w:tr w14:paraId="5FD1649C">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06F3A09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1、农林牧渔业</w:t>
            </w:r>
          </w:p>
        </w:tc>
        <w:tc>
          <w:tcPr>
            <w:tcW w:w="1498" w:type="dxa"/>
            <w:tcBorders>
              <w:top w:val="nil"/>
              <w:left w:val="nil"/>
              <w:bottom w:val="single" w:color="auto" w:sz="4" w:space="0"/>
              <w:right w:val="single" w:color="auto" w:sz="4" w:space="0"/>
            </w:tcBorders>
            <w:shd w:val="clear" w:color="auto" w:fill="auto"/>
            <w:vAlign w:val="bottom"/>
          </w:tcPr>
          <w:p w14:paraId="5B6AA2CC">
            <w:pPr>
              <w:jc w:val="left"/>
              <w:rPr>
                <w:rFonts w:ascii="宋体" w:hAnsi="宋体" w:cs="宋体"/>
                <w:color w:val="auto"/>
                <w:kern w:val="0"/>
                <w:sz w:val="18"/>
                <w:szCs w:val="18"/>
                <w:highlight w:val="none"/>
              </w:rPr>
            </w:pPr>
          </w:p>
        </w:tc>
        <w:tc>
          <w:tcPr>
            <w:tcW w:w="1763" w:type="dxa"/>
            <w:tcBorders>
              <w:top w:val="nil"/>
              <w:left w:val="nil"/>
              <w:bottom w:val="single" w:color="auto" w:sz="4" w:space="0"/>
              <w:right w:val="single" w:color="auto" w:sz="4" w:space="0"/>
            </w:tcBorders>
            <w:shd w:val="clear" w:color="auto" w:fill="auto"/>
            <w:vAlign w:val="bottom"/>
          </w:tcPr>
          <w:p w14:paraId="4DB16DC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shd w:val="clear" w:color="auto" w:fill="auto"/>
            <w:vAlign w:val="bottom"/>
          </w:tcPr>
          <w:p w14:paraId="67B6328D">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1B550E07">
            <w:pPr>
              <w:jc w:val="left"/>
              <w:rPr>
                <w:rFonts w:ascii="宋体" w:hAnsi="宋体" w:cs="宋体"/>
                <w:color w:val="auto"/>
                <w:kern w:val="0"/>
                <w:sz w:val="18"/>
                <w:szCs w:val="18"/>
                <w:highlight w:val="none"/>
              </w:rPr>
            </w:pPr>
          </w:p>
        </w:tc>
        <w:tc>
          <w:tcPr>
            <w:tcW w:w="1480" w:type="dxa"/>
            <w:tcBorders>
              <w:top w:val="nil"/>
              <w:left w:val="nil"/>
              <w:bottom w:val="single" w:color="auto" w:sz="4" w:space="0"/>
              <w:right w:val="single" w:color="auto" w:sz="4" w:space="0"/>
            </w:tcBorders>
            <w:shd w:val="clear" w:color="auto" w:fill="auto"/>
            <w:vAlign w:val="bottom"/>
          </w:tcPr>
          <w:p w14:paraId="3936B79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520" w:type="dxa"/>
            <w:tcBorders>
              <w:top w:val="nil"/>
              <w:left w:val="nil"/>
              <w:bottom w:val="single" w:color="auto" w:sz="4" w:space="0"/>
              <w:right w:val="single" w:color="auto" w:sz="8" w:space="0"/>
            </w:tcBorders>
            <w:shd w:val="clear" w:color="auto" w:fill="auto"/>
            <w:vAlign w:val="bottom"/>
          </w:tcPr>
          <w:p w14:paraId="3667C34E">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5719B4CC">
            <w:pPr>
              <w:jc w:val="left"/>
              <w:rPr>
                <w:rFonts w:ascii="宋体" w:hAnsi="宋体" w:cs="宋体"/>
                <w:color w:val="auto"/>
                <w:kern w:val="0"/>
                <w:sz w:val="18"/>
                <w:szCs w:val="18"/>
                <w:highlight w:val="none"/>
              </w:rPr>
            </w:pPr>
          </w:p>
        </w:tc>
        <w:tc>
          <w:tcPr>
            <w:tcW w:w="1275" w:type="dxa"/>
            <w:tcBorders>
              <w:top w:val="nil"/>
              <w:left w:val="nil"/>
              <w:bottom w:val="single" w:color="auto" w:sz="4" w:space="0"/>
              <w:right w:val="single" w:color="auto" w:sz="4" w:space="0"/>
            </w:tcBorders>
            <w:shd w:val="clear" w:color="auto" w:fill="auto"/>
            <w:vAlign w:val="bottom"/>
          </w:tcPr>
          <w:p w14:paraId="43BADEF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c>
          <w:tcPr>
            <w:tcW w:w="1221" w:type="dxa"/>
            <w:tcBorders>
              <w:top w:val="nil"/>
              <w:left w:val="nil"/>
              <w:bottom w:val="single" w:color="auto" w:sz="4" w:space="0"/>
              <w:right w:val="single" w:color="auto" w:sz="8" w:space="0"/>
            </w:tcBorders>
            <w:shd w:val="clear" w:color="auto" w:fill="auto"/>
            <w:vAlign w:val="bottom"/>
          </w:tcPr>
          <w:p w14:paraId="48E60083">
            <w:pPr>
              <w:jc w:val="left"/>
              <w:rPr>
                <w:rFonts w:ascii="宋体" w:hAnsi="宋体" w:cs="宋体"/>
                <w:color w:val="auto"/>
                <w:kern w:val="0"/>
                <w:sz w:val="18"/>
                <w:szCs w:val="18"/>
                <w:highlight w:val="none"/>
              </w:rPr>
            </w:pPr>
          </w:p>
        </w:tc>
      </w:tr>
      <w:tr w14:paraId="4CAC1529">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2CB79C3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2、工业</w:t>
            </w:r>
          </w:p>
        </w:tc>
        <w:tc>
          <w:tcPr>
            <w:tcW w:w="1498" w:type="dxa"/>
            <w:tcBorders>
              <w:top w:val="nil"/>
              <w:left w:val="nil"/>
              <w:bottom w:val="single" w:color="auto" w:sz="4" w:space="0"/>
              <w:right w:val="single" w:color="auto" w:sz="4" w:space="0"/>
            </w:tcBorders>
            <w:shd w:val="clear" w:color="auto" w:fill="auto"/>
            <w:vAlign w:val="bottom"/>
          </w:tcPr>
          <w:p w14:paraId="2F7B451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vAlign w:val="bottom"/>
          </w:tcPr>
          <w:p w14:paraId="2502548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660" w:type="dxa"/>
            <w:tcBorders>
              <w:top w:val="nil"/>
              <w:left w:val="nil"/>
              <w:bottom w:val="single" w:color="auto" w:sz="4" w:space="0"/>
              <w:right w:val="single" w:color="auto" w:sz="8" w:space="0"/>
            </w:tcBorders>
            <w:shd w:val="clear" w:color="auto" w:fill="auto"/>
            <w:vAlign w:val="bottom"/>
          </w:tcPr>
          <w:p w14:paraId="5B77CC68">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2009A79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vAlign w:val="bottom"/>
          </w:tcPr>
          <w:p w14:paraId="3E22215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520" w:type="dxa"/>
            <w:tcBorders>
              <w:top w:val="nil"/>
              <w:left w:val="nil"/>
              <w:bottom w:val="single" w:color="auto" w:sz="4" w:space="0"/>
              <w:right w:val="single" w:color="auto" w:sz="8" w:space="0"/>
            </w:tcBorders>
            <w:shd w:val="clear" w:color="auto" w:fill="auto"/>
            <w:vAlign w:val="bottom"/>
          </w:tcPr>
          <w:p w14:paraId="41CE44F6">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2E8BC60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vAlign w:val="bottom"/>
          </w:tcPr>
          <w:p w14:paraId="25E730E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c>
          <w:tcPr>
            <w:tcW w:w="1221" w:type="dxa"/>
            <w:tcBorders>
              <w:top w:val="nil"/>
              <w:left w:val="nil"/>
              <w:bottom w:val="single" w:color="auto" w:sz="4" w:space="0"/>
              <w:right w:val="single" w:color="auto" w:sz="8" w:space="0"/>
            </w:tcBorders>
            <w:shd w:val="clear" w:color="auto" w:fill="auto"/>
            <w:vAlign w:val="bottom"/>
          </w:tcPr>
          <w:p w14:paraId="0556DC35">
            <w:pPr>
              <w:jc w:val="left"/>
              <w:rPr>
                <w:rFonts w:ascii="宋体" w:hAnsi="宋体" w:cs="宋体"/>
                <w:color w:val="auto"/>
                <w:kern w:val="0"/>
                <w:sz w:val="18"/>
                <w:szCs w:val="18"/>
                <w:highlight w:val="none"/>
              </w:rPr>
            </w:pPr>
          </w:p>
        </w:tc>
      </w:tr>
      <w:tr w14:paraId="304804F8">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32E057D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3、建筑业</w:t>
            </w:r>
          </w:p>
        </w:tc>
        <w:tc>
          <w:tcPr>
            <w:tcW w:w="1498" w:type="dxa"/>
            <w:tcBorders>
              <w:top w:val="nil"/>
              <w:left w:val="nil"/>
              <w:bottom w:val="single" w:color="auto" w:sz="4" w:space="0"/>
              <w:right w:val="single" w:color="auto" w:sz="4" w:space="0"/>
            </w:tcBorders>
            <w:shd w:val="clear" w:color="auto" w:fill="auto"/>
            <w:vAlign w:val="bottom"/>
          </w:tcPr>
          <w:p w14:paraId="6D74710B">
            <w:pPr>
              <w:jc w:val="left"/>
              <w:rPr>
                <w:rFonts w:ascii="宋体" w:hAnsi="宋体" w:cs="宋体"/>
                <w:color w:val="auto"/>
                <w:kern w:val="0"/>
                <w:sz w:val="18"/>
                <w:szCs w:val="18"/>
                <w:highlight w:val="none"/>
              </w:rPr>
            </w:pPr>
          </w:p>
        </w:tc>
        <w:tc>
          <w:tcPr>
            <w:tcW w:w="1763" w:type="dxa"/>
            <w:tcBorders>
              <w:top w:val="nil"/>
              <w:left w:val="nil"/>
              <w:bottom w:val="single" w:color="auto" w:sz="4" w:space="0"/>
              <w:right w:val="single" w:color="auto" w:sz="4" w:space="0"/>
            </w:tcBorders>
            <w:shd w:val="clear" w:color="auto" w:fill="auto"/>
            <w:vAlign w:val="bottom"/>
          </w:tcPr>
          <w:p w14:paraId="1AE8039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660" w:type="dxa"/>
            <w:tcBorders>
              <w:top w:val="nil"/>
              <w:left w:val="nil"/>
              <w:bottom w:val="single" w:color="auto" w:sz="4" w:space="0"/>
              <w:right w:val="single" w:color="auto" w:sz="8" w:space="0"/>
            </w:tcBorders>
            <w:shd w:val="clear" w:color="auto" w:fill="auto"/>
            <w:vAlign w:val="bottom"/>
          </w:tcPr>
          <w:p w14:paraId="4E62B35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240" w:type="dxa"/>
            <w:tcBorders>
              <w:top w:val="nil"/>
              <w:left w:val="nil"/>
              <w:bottom w:val="single" w:color="auto" w:sz="4" w:space="0"/>
              <w:right w:val="single" w:color="auto" w:sz="4" w:space="0"/>
            </w:tcBorders>
            <w:shd w:val="clear" w:color="auto" w:fill="auto"/>
            <w:vAlign w:val="bottom"/>
          </w:tcPr>
          <w:p w14:paraId="5165F163">
            <w:pPr>
              <w:jc w:val="left"/>
              <w:rPr>
                <w:rFonts w:ascii="宋体" w:hAnsi="宋体" w:cs="宋体"/>
                <w:color w:val="auto"/>
                <w:kern w:val="0"/>
                <w:sz w:val="18"/>
                <w:szCs w:val="18"/>
                <w:highlight w:val="none"/>
              </w:rPr>
            </w:pPr>
          </w:p>
        </w:tc>
        <w:tc>
          <w:tcPr>
            <w:tcW w:w="1480" w:type="dxa"/>
            <w:tcBorders>
              <w:top w:val="nil"/>
              <w:left w:val="nil"/>
              <w:bottom w:val="single" w:color="auto" w:sz="4" w:space="0"/>
              <w:right w:val="single" w:color="auto" w:sz="4" w:space="0"/>
            </w:tcBorders>
            <w:shd w:val="clear" w:color="auto" w:fill="auto"/>
            <w:vAlign w:val="bottom"/>
          </w:tcPr>
          <w:p w14:paraId="79DD705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520" w:type="dxa"/>
            <w:tcBorders>
              <w:top w:val="nil"/>
              <w:left w:val="nil"/>
              <w:bottom w:val="single" w:color="auto" w:sz="4" w:space="0"/>
              <w:right w:val="single" w:color="auto" w:sz="8" w:space="0"/>
            </w:tcBorders>
            <w:shd w:val="clear" w:color="auto" w:fill="auto"/>
            <w:vAlign w:val="bottom"/>
          </w:tcPr>
          <w:p w14:paraId="59BCF4E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285" w:type="dxa"/>
            <w:tcBorders>
              <w:top w:val="nil"/>
              <w:left w:val="nil"/>
              <w:bottom w:val="single" w:color="auto" w:sz="4" w:space="0"/>
              <w:right w:val="single" w:color="auto" w:sz="4" w:space="0"/>
            </w:tcBorders>
            <w:shd w:val="clear" w:color="auto" w:fill="auto"/>
            <w:vAlign w:val="bottom"/>
          </w:tcPr>
          <w:p w14:paraId="38604B67">
            <w:pPr>
              <w:jc w:val="left"/>
              <w:rPr>
                <w:rFonts w:ascii="宋体" w:hAnsi="宋体" w:cs="宋体"/>
                <w:color w:val="auto"/>
                <w:kern w:val="0"/>
                <w:sz w:val="18"/>
                <w:szCs w:val="18"/>
                <w:highlight w:val="none"/>
              </w:rPr>
            </w:pPr>
          </w:p>
        </w:tc>
        <w:tc>
          <w:tcPr>
            <w:tcW w:w="1275" w:type="dxa"/>
            <w:tcBorders>
              <w:top w:val="nil"/>
              <w:left w:val="nil"/>
              <w:bottom w:val="single" w:color="auto" w:sz="4" w:space="0"/>
              <w:right w:val="single" w:color="auto" w:sz="4" w:space="0"/>
            </w:tcBorders>
            <w:shd w:val="clear" w:color="auto" w:fill="auto"/>
            <w:vAlign w:val="bottom"/>
          </w:tcPr>
          <w:p w14:paraId="46819D6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c>
          <w:tcPr>
            <w:tcW w:w="1221" w:type="dxa"/>
            <w:tcBorders>
              <w:top w:val="nil"/>
              <w:left w:val="nil"/>
              <w:bottom w:val="single" w:color="auto" w:sz="4" w:space="0"/>
              <w:right w:val="single" w:color="auto" w:sz="8" w:space="0"/>
            </w:tcBorders>
            <w:shd w:val="clear" w:color="auto" w:fill="auto"/>
            <w:vAlign w:val="bottom"/>
          </w:tcPr>
          <w:p w14:paraId="63393B3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67CCBE34">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054AE80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4、批发业</w:t>
            </w:r>
          </w:p>
        </w:tc>
        <w:tc>
          <w:tcPr>
            <w:tcW w:w="1498" w:type="dxa"/>
            <w:tcBorders>
              <w:top w:val="nil"/>
              <w:left w:val="nil"/>
              <w:bottom w:val="single" w:color="auto" w:sz="4" w:space="0"/>
              <w:right w:val="single" w:color="auto" w:sz="4" w:space="0"/>
            </w:tcBorders>
            <w:shd w:val="clear" w:color="auto" w:fill="auto"/>
            <w:vAlign w:val="bottom"/>
          </w:tcPr>
          <w:p w14:paraId="7B0AA9D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63" w:type="dxa"/>
            <w:tcBorders>
              <w:top w:val="nil"/>
              <w:left w:val="nil"/>
              <w:bottom w:val="single" w:color="auto" w:sz="4" w:space="0"/>
              <w:right w:val="single" w:color="auto" w:sz="4" w:space="0"/>
            </w:tcBorders>
            <w:shd w:val="clear" w:color="auto" w:fill="auto"/>
            <w:vAlign w:val="bottom"/>
          </w:tcPr>
          <w:p w14:paraId="445E50B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660" w:type="dxa"/>
            <w:tcBorders>
              <w:top w:val="nil"/>
              <w:left w:val="nil"/>
              <w:bottom w:val="single" w:color="auto" w:sz="4" w:space="0"/>
              <w:right w:val="single" w:color="auto" w:sz="8" w:space="0"/>
            </w:tcBorders>
            <w:shd w:val="clear" w:color="auto" w:fill="auto"/>
            <w:vAlign w:val="bottom"/>
          </w:tcPr>
          <w:p w14:paraId="61577E65">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3372D79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480" w:type="dxa"/>
            <w:tcBorders>
              <w:top w:val="nil"/>
              <w:left w:val="nil"/>
              <w:bottom w:val="single" w:color="auto" w:sz="4" w:space="0"/>
              <w:right w:val="single" w:color="auto" w:sz="4" w:space="0"/>
            </w:tcBorders>
            <w:shd w:val="clear" w:color="auto" w:fill="auto"/>
            <w:vAlign w:val="bottom"/>
          </w:tcPr>
          <w:p w14:paraId="06E9AF5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520" w:type="dxa"/>
            <w:tcBorders>
              <w:top w:val="nil"/>
              <w:left w:val="nil"/>
              <w:bottom w:val="single" w:color="auto" w:sz="4" w:space="0"/>
              <w:right w:val="single" w:color="auto" w:sz="8" w:space="0"/>
            </w:tcBorders>
            <w:shd w:val="clear" w:color="auto" w:fill="auto"/>
            <w:vAlign w:val="bottom"/>
          </w:tcPr>
          <w:p w14:paraId="4E8D2CF5">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41C59B9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c>
          <w:tcPr>
            <w:tcW w:w="1275" w:type="dxa"/>
            <w:tcBorders>
              <w:top w:val="nil"/>
              <w:left w:val="nil"/>
              <w:bottom w:val="single" w:color="auto" w:sz="4" w:space="0"/>
              <w:right w:val="single" w:color="auto" w:sz="4" w:space="0"/>
            </w:tcBorders>
            <w:shd w:val="clear" w:color="auto" w:fill="auto"/>
            <w:vAlign w:val="bottom"/>
          </w:tcPr>
          <w:p w14:paraId="79D5A24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c>
          <w:tcPr>
            <w:tcW w:w="1221" w:type="dxa"/>
            <w:tcBorders>
              <w:top w:val="nil"/>
              <w:left w:val="nil"/>
              <w:bottom w:val="single" w:color="auto" w:sz="4" w:space="0"/>
              <w:right w:val="single" w:color="auto" w:sz="8" w:space="0"/>
            </w:tcBorders>
            <w:shd w:val="clear" w:color="auto" w:fill="auto"/>
            <w:vAlign w:val="bottom"/>
          </w:tcPr>
          <w:p w14:paraId="32CF6B37">
            <w:pPr>
              <w:jc w:val="left"/>
              <w:rPr>
                <w:rFonts w:ascii="宋体" w:hAnsi="宋体" w:cs="宋体"/>
                <w:color w:val="auto"/>
                <w:kern w:val="0"/>
                <w:sz w:val="18"/>
                <w:szCs w:val="18"/>
                <w:highlight w:val="none"/>
              </w:rPr>
            </w:pPr>
          </w:p>
        </w:tc>
      </w:tr>
      <w:tr w14:paraId="00F3D604">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570BAF6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5、零售业</w:t>
            </w:r>
          </w:p>
        </w:tc>
        <w:tc>
          <w:tcPr>
            <w:tcW w:w="1498" w:type="dxa"/>
            <w:tcBorders>
              <w:top w:val="nil"/>
              <w:left w:val="nil"/>
              <w:bottom w:val="single" w:color="auto" w:sz="4" w:space="0"/>
              <w:right w:val="single" w:color="auto" w:sz="4" w:space="0"/>
            </w:tcBorders>
            <w:shd w:val="clear" w:color="auto" w:fill="auto"/>
            <w:vAlign w:val="bottom"/>
          </w:tcPr>
          <w:p w14:paraId="1A45611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63" w:type="dxa"/>
            <w:tcBorders>
              <w:top w:val="nil"/>
              <w:left w:val="nil"/>
              <w:bottom w:val="single" w:color="auto" w:sz="4" w:space="0"/>
              <w:right w:val="single" w:color="auto" w:sz="4" w:space="0"/>
            </w:tcBorders>
            <w:shd w:val="clear" w:color="auto" w:fill="auto"/>
            <w:vAlign w:val="bottom"/>
          </w:tcPr>
          <w:p w14:paraId="164BA7B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shd w:val="clear" w:color="auto" w:fill="auto"/>
            <w:vAlign w:val="bottom"/>
          </w:tcPr>
          <w:p w14:paraId="4BE7CF0C">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2798C46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480" w:type="dxa"/>
            <w:tcBorders>
              <w:top w:val="nil"/>
              <w:left w:val="nil"/>
              <w:bottom w:val="single" w:color="auto" w:sz="4" w:space="0"/>
              <w:right w:val="single" w:color="auto" w:sz="4" w:space="0"/>
            </w:tcBorders>
            <w:shd w:val="clear" w:color="auto" w:fill="auto"/>
            <w:vAlign w:val="bottom"/>
          </w:tcPr>
          <w:p w14:paraId="05A870E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520" w:type="dxa"/>
            <w:tcBorders>
              <w:top w:val="nil"/>
              <w:left w:val="nil"/>
              <w:bottom w:val="single" w:color="auto" w:sz="4" w:space="0"/>
              <w:right w:val="single" w:color="auto" w:sz="8" w:space="0"/>
            </w:tcBorders>
            <w:shd w:val="clear" w:color="auto" w:fill="auto"/>
            <w:vAlign w:val="bottom"/>
          </w:tcPr>
          <w:p w14:paraId="1D2AAC2E">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7EEE924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407376C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0C9A3299">
            <w:pPr>
              <w:jc w:val="left"/>
              <w:rPr>
                <w:rFonts w:ascii="宋体" w:hAnsi="宋体" w:cs="宋体"/>
                <w:color w:val="auto"/>
                <w:kern w:val="0"/>
                <w:sz w:val="18"/>
                <w:szCs w:val="18"/>
                <w:highlight w:val="none"/>
              </w:rPr>
            </w:pPr>
          </w:p>
        </w:tc>
      </w:tr>
      <w:tr w14:paraId="5A08E117">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7F2CFF2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6、交通运输业</w:t>
            </w:r>
          </w:p>
        </w:tc>
        <w:tc>
          <w:tcPr>
            <w:tcW w:w="1498" w:type="dxa"/>
            <w:tcBorders>
              <w:top w:val="nil"/>
              <w:left w:val="nil"/>
              <w:bottom w:val="single" w:color="auto" w:sz="4" w:space="0"/>
              <w:right w:val="single" w:color="auto" w:sz="4" w:space="0"/>
            </w:tcBorders>
            <w:shd w:val="clear" w:color="auto" w:fill="auto"/>
            <w:vAlign w:val="bottom"/>
          </w:tcPr>
          <w:p w14:paraId="7AD5626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vAlign w:val="bottom"/>
          </w:tcPr>
          <w:p w14:paraId="53AB360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660" w:type="dxa"/>
            <w:tcBorders>
              <w:top w:val="nil"/>
              <w:left w:val="nil"/>
              <w:bottom w:val="single" w:color="auto" w:sz="4" w:space="0"/>
              <w:right w:val="single" w:color="auto" w:sz="8" w:space="0"/>
            </w:tcBorders>
            <w:shd w:val="clear" w:color="auto" w:fill="auto"/>
            <w:vAlign w:val="bottom"/>
          </w:tcPr>
          <w:p w14:paraId="3B404875">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42713B9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vAlign w:val="bottom"/>
          </w:tcPr>
          <w:p w14:paraId="55A75CA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520" w:type="dxa"/>
            <w:tcBorders>
              <w:top w:val="nil"/>
              <w:left w:val="nil"/>
              <w:bottom w:val="single" w:color="auto" w:sz="4" w:space="0"/>
              <w:right w:val="single" w:color="auto" w:sz="8" w:space="0"/>
            </w:tcBorders>
            <w:shd w:val="clear" w:color="auto" w:fill="auto"/>
            <w:vAlign w:val="bottom"/>
          </w:tcPr>
          <w:p w14:paraId="76D6A636">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0E4763B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vAlign w:val="bottom"/>
          </w:tcPr>
          <w:p w14:paraId="70ADBE0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V＜200</w:t>
            </w:r>
          </w:p>
        </w:tc>
        <w:tc>
          <w:tcPr>
            <w:tcW w:w="1221" w:type="dxa"/>
            <w:tcBorders>
              <w:top w:val="nil"/>
              <w:left w:val="nil"/>
              <w:bottom w:val="single" w:color="auto" w:sz="4" w:space="0"/>
              <w:right w:val="single" w:color="auto" w:sz="8" w:space="0"/>
            </w:tcBorders>
            <w:shd w:val="clear" w:color="auto" w:fill="auto"/>
            <w:vAlign w:val="bottom"/>
          </w:tcPr>
          <w:p w14:paraId="0CF4FE66">
            <w:pPr>
              <w:jc w:val="left"/>
              <w:rPr>
                <w:rFonts w:ascii="宋体" w:hAnsi="宋体" w:cs="宋体"/>
                <w:color w:val="auto"/>
                <w:kern w:val="0"/>
                <w:sz w:val="18"/>
                <w:szCs w:val="18"/>
                <w:highlight w:val="none"/>
              </w:rPr>
            </w:pPr>
          </w:p>
        </w:tc>
      </w:tr>
      <w:tr w14:paraId="266A582A">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5C307D7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7、仓储业</w:t>
            </w:r>
          </w:p>
        </w:tc>
        <w:tc>
          <w:tcPr>
            <w:tcW w:w="1498" w:type="dxa"/>
            <w:tcBorders>
              <w:top w:val="nil"/>
              <w:left w:val="nil"/>
              <w:bottom w:val="single" w:color="auto" w:sz="4" w:space="0"/>
              <w:right w:val="single" w:color="auto" w:sz="4" w:space="0"/>
            </w:tcBorders>
            <w:shd w:val="clear" w:color="auto" w:fill="auto"/>
            <w:vAlign w:val="bottom"/>
          </w:tcPr>
          <w:p w14:paraId="039777B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63" w:type="dxa"/>
            <w:tcBorders>
              <w:top w:val="nil"/>
              <w:left w:val="nil"/>
              <w:bottom w:val="single" w:color="auto" w:sz="4" w:space="0"/>
              <w:right w:val="single" w:color="auto" w:sz="4" w:space="0"/>
            </w:tcBorders>
            <w:shd w:val="clear" w:color="auto" w:fill="auto"/>
            <w:vAlign w:val="bottom"/>
          </w:tcPr>
          <w:p w14:paraId="0A86F9E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660" w:type="dxa"/>
            <w:tcBorders>
              <w:top w:val="nil"/>
              <w:left w:val="nil"/>
              <w:bottom w:val="single" w:color="auto" w:sz="4" w:space="0"/>
              <w:right w:val="single" w:color="auto" w:sz="8" w:space="0"/>
            </w:tcBorders>
            <w:shd w:val="clear" w:color="auto" w:fill="auto"/>
            <w:vAlign w:val="bottom"/>
          </w:tcPr>
          <w:p w14:paraId="51CCF3DE">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5902AC6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480" w:type="dxa"/>
            <w:tcBorders>
              <w:top w:val="nil"/>
              <w:left w:val="nil"/>
              <w:bottom w:val="single" w:color="auto" w:sz="4" w:space="0"/>
              <w:right w:val="single" w:color="auto" w:sz="4" w:space="0"/>
            </w:tcBorders>
            <w:shd w:val="clear" w:color="auto" w:fill="auto"/>
            <w:vAlign w:val="bottom"/>
          </w:tcPr>
          <w:p w14:paraId="6879D12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vAlign w:val="bottom"/>
          </w:tcPr>
          <w:p w14:paraId="1D767C69">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4ED4E34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vAlign w:val="bottom"/>
          </w:tcPr>
          <w:p w14:paraId="5C0CD9B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4E5EA2FB">
            <w:pPr>
              <w:jc w:val="left"/>
              <w:rPr>
                <w:rFonts w:ascii="宋体" w:hAnsi="宋体" w:cs="宋体"/>
                <w:color w:val="auto"/>
                <w:kern w:val="0"/>
                <w:sz w:val="18"/>
                <w:szCs w:val="18"/>
                <w:highlight w:val="none"/>
              </w:rPr>
            </w:pPr>
          </w:p>
        </w:tc>
      </w:tr>
      <w:tr w14:paraId="535F04F3">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3FE0DC6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8、邮政业</w:t>
            </w:r>
          </w:p>
        </w:tc>
        <w:tc>
          <w:tcPr>
            <w:tcW w:w="1498" w:type="dxa"/>
            <w:tcBorders>
              <w:top w:val="nil"/>
              <w:left w:val="nil"/>
              <w:bottom w:val="single" w:color="auto" w:sz="4" w:space="0"/>
              <w:right w:val="single" w:color="auto" w:sz="4" w:space="0"/>
            </w:tcBorders>
            <w:shd w:val="clear" w:color="auto" w:fill="auto"/>
            <w:vAlign w:val="bottom"/>
          </w:tcPr>
          <w:p w14:paraId="6BFEDC0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vAlign w:val="bottom"/>
          </w:tcPr>
          <w:p w14:paraId="080E6FF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660" w:type="dxa"/>
            <w:tcBorders>
              <w:top w:val="nil"/>
              <w:left w:val="nil"/>
              <w:bottom w:val="single" w:color="auto" w:sz="4" w:space="0"/>
              <w:right w:val="single" w:color="auto" w:sz="8" w:space="0"/>
            </w:tcBorders>
            <w:shd w:val="clear" w:color="auto" w:fill="auto"/>
            <w:vAlign w:val="bottom"/>
          </w:tcPr>
          <w:p w14:paraId="11302DAE">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2838505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vAlign w:val="bottom"/>
          </w:tcPr>
          <w:p w14:paraId="17ED09B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vAlign w:val="bottom"/>
          </w:tcPr>
          <w:p w14:paraId="7EA6E208">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10F1339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vAlign w:val="bottom"/>
          </w:tcPr>
          <w:p w14:paraId="32E2692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0B3A1DCB">
            <w:pPr>
              <w:jc w:val="left"/>
              <w:rPr>
                <w:rFonts w:ascii="宋体" w:hAnsi="宋体" w:cs="宋体"/>
                <w:color w:val="auto"/>
                <w:kern w:val="0"/>
                <w:sz w:val="18"/>
                <w:szCs w:val="18"/>
                <w:highlight w:val="none"/>
              </w:rPr>
            </w:pPr>
          </w:p>
        </w:tc>
      </w:tr>
      <w:tr w14:paraId="0C4FD9E8">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0E78343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9、住宿业</w:t>
            </w:r>
          </w:p>
        </w:tc>
        <w:tc>
          <w:tcPr>
            <w:tcW w:w="1498" w:type="dxa"/>
            <w:tcBorders>
              <w:top w:val="nil"/>
              <w:left w:val="nil"/>
              <w:bottom w:val="single" w:color="auto" w:sz="4" w:space="0"/>
              <w:right w:val="single" w:color="auto" w:sz="4" w:space="0"/>
            </w:tcBorders>
            <w:shd w:val="clear" w:color="auto" w:fill="auto"/>
            <w:vAlign w:val="bottom"/>
          </w:tcPr>
          <w:p w14:paraId="514A980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vAlign w:val="bottom"/>
          </w:tcPr>
          <w:p w14:paraId="23F1AEB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shd w:val="clear" w:color="auto" w:fill="auto"/>
            <w:vAlign w:val="bottom"/>
          </w:tcPr>
          <w:p w14:paraId="7F4A871B">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2BD18CF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vAlign w:val="bottom"/>
          </w:tcPr>
          <w:p w14:paraId="737408C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vAlign w:val="bottom"/>
          </w:tcPr>
          <w:p w14:paraId="6B080E2A">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5DBEC81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17D5A1E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556A36AE">
            <w:pPr>
              <w:jc w:val="left"/>
              <w:rPr>
                <w:rFonts w:ascii="宋体" w:hAnsi="宋体" w:cs="宋体"/>
                <w:color w:val="auto"/>
                <w:kern w:val="0"/>
                <w:sz w:val="18"/>
                <w:szCs w:val="18"/>
                <w:highlight w:val="none"/>
              </w:rPr>
            </w:pPr>
          </w:p>
        </w:tc>
      </w:tr>
      <w:tr w14:paraId="442BB056">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5209835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10、餐饮业</w:t>
            </w:r>
          </w:p>
        </w:tc>
        <w:tc>
          <w:tcPr>
            <w:tcW w:w="1498" w:type="dxa"/>
            <w:tcBorders>
              <w:top w:val="nil"/>
              <w:left w:val="nil"/>
              <w:bottom w:val="single" w:color="auto" w:sz="4" w:space="0"/>
              <w:right w:val="single" w:color="auto" w:sz="4" w:space="0"/>
            </w:tcBorders>
            <w:shd w:val="clear" w:color="auto" w:fill="auto"/>
            <w:vAlign w:val="bottom"/>
          </w:tcPr>
          <w:p w14:paraId="0A28AF5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vAlign w:val="bottom"/>
          </w:tcPr>
          <w:p w14:paraId="4DCCFB5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shd w:val="clear" w:color="auto" w:fill="auto"/>
            <w:vAlign w:val="bottom"/>
          </w:tcPr>
          <w:p w14:paraId="362FF77B">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61D2013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vAlign w:val="bottom"/>
          </w:tcPr>
          <w:p w14:paraId="48FA7E1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vAlign w:val="bottom"/>
          </w:tcPr>
          <w:p w14:paraId="15592D36">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2AB8876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0C8C4F2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V＜100</w:t>
            </w:r>
          </w:p>
        </w:tc>
        <w:tc>
          <w:tcPr>
            <w:tcW w:w="1221" w:type="dxa"/>
            <w:tcBorders>
              <w:top w:val="nil"/>
              <w:left w:val="nil"/>
              <w:bottom w:val="single" w:color="auto" w:sz="4" w:space="0"/>
              <w:right w:val="single" w:color="auto" w:sz="8" w:space="0"/>
            </w:tcBorders>
            <w:shd w:val="clear" w:color="auto" w:fill="auto"/>
            <w:vAlign w:val="bottom"/>
          </w:tcPr>
          <w:p w14:paraId="2EBC17C3">
            <w:pPr>
              <w:jc w:val="left"/>
              <w:rPr>
                <w:rFonts w:ascii="宋体" w:hAnsi="宋体" w:cs="宋体"/>
                <w:color w:val="auto"/>
                <w:kern w:val="0"/>
                <w:sz w:val="18"/>
                <w:szCs w:val="18"/>
                <w:highlight w:val="none"/>
              </w:rPr>
            </w:pPr>
          </w:p>
        </w:tc>
      </w:tr>
      <w:tr w14:paraId="089018C1">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124B0C7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11、信息传输业</w:t>
            </w:r>
          </w:p>
        </w:tc>
        <w:tc>
          <w:tcPr>
            <w:tcW w:w="1498" w:type="dxa"/>
            <w:tcBorders>
              <w:top w:val="nil"/>
              <w:left w:val="nil"/>
              <w:bottom w:val="single" w:color="auto" w:sz="4" w:space="0"/>
              <w:right w:val="single" w:color="auto" w:sz="4" w:space="0"/>
            </w:tcBorders>
            <w:shd w:val="clear" w:color="auto" w:fill="auto"/>
            <w:vAlign w:val="bottom"/>
          </w:tcPr>
          <w:p w14:paraId="0B336CF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63" w:type="dxa"/>
            <w:tcBorders>
              <w:top w:val="nil"/>
              <w:left w:val="nil"/>
              <w:bottom w:val="single" w:color="auto" w:sz="4" w:space="0"/>
              <w:right w:val="single" w:color="auto" w:sz="4" w:space="0"/>
            </w:tcBorders>
            <w:shd w:val="clear" w:color="auto" w:fill="auto"/>
            <w:vAlign w:val="bottom"/>
          </w:tcPr>
          <w:p w14:paraId="24F6A4A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660" w:type="dxa"/>
            <w:tcBorders>
              <w:top w:val="nil"/>
              <w:left w:val="nil"/>
              <w:bottom w:val="single" w:color="auto" w:sz="4" w:space="0"/>
              <w:right w:val="single" w:color="auto" w:sz="8" w:space="0"/>
            </w:tcBorders>
            <w:shd w:val="clear" w:color="auto" w:fill="auto"/>
            <w:vAlign w:val="bottom"/>
          </w:tcPr>
          <w:p w14:paraId="6933331E">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75A8743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vAlign w:val="bottom"/>
          </w:tcPr>
          <w:p w14:paraId="6473099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vAlign w:val="bottom"/>
          </w:tcPr>
          <w:p w14:paraId="431D58BA">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59402CD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55B0D33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3DF06485">
            <w:pPr>
              <w:jc w:val="left"/>
              <w:rPr>
                <w:rFonts w:ascii="宋体" w:hAnsi="宋体" w:cs="宋体"/>
                <w:color w:val="auto"/>
                <w:kern w:val="0"/>
                <w:sz w:val="18"/>
                <w:szCs w:val="18"/>
                <w:highlight w:val="none"/>
              </w:rPr>
            </w:pPr>
          </w:p>
        </w:tc>
      </w:tr>
      <w:tr w14:paraId="6346BEAD">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4D66EF8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12、软件和信息技术服务业</w:t>
            </w:r>
          </w:p>
        </w:tc>
        <w:tc>
          <w:tcPr>
            <w:tcW w:w="1498" w:type="dxa"/>
            <w:tcBorders>
              <w:top w:val="nil"/>
              <w:left w:val="nil"/>
              <w:bottom w:val="single" w:color="auto" w:sz="4" w:space="0"/>
              <w:right w:val="single" w:color="auto" w:sz="4" w:space="0"/>
            </w:tcBorders>
            <w:shd w:val="clear" w:color="auto" w:fill="auto"/>
            <w:vAlign w:val="bottom"/>
          </w:tcPr>
          <w:p w14:paraId="77DFBB8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vAlign w:val="bottom"/>
          </w:tcPr>
          <w:p w14:paraId="3A8ACF7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660" w:type="dxa"/>
            <w:tcBorders>
              <w:top w:val="nil"/>
              <w:left w:val="nil"/>
              <w:bottom w:val="single" w:color="auto" w:sz="4" w:space="0"/>
              <w:right w:val="single" w:color="auto" w:sz="8" w:space="0"/>
            </w:tcBorders>
            <w:shd w:val="clear" w:color="auto" w:fill="auto"/>
            <w:vAlign w:val="bottom"/>
          </w:tcPr>
          <w:p w14:paraId="435FE7F3">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6A30299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vAlign w:val="bottom"/>
          </w:tcPr>
          <w:p w14:paraId="4DF4E04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520" w:type="dxa"/>
            <w:tcBorders>
              <w:top w:val="nil"/>
              <w:left w:val="nil"/>
              <w:bottom w:val="single" w:color="auto" w:sz="4" w:space="0"/>
              <w:right w:val="single" w:color="auto" w:sz="8" w:space="0"/>
            </w:tcBorders>
            <w:shd w:val="clear" w:color="auto" w:fill="auto"/>
            <w:vAlign w:val="bottom"/>
          </w:tcPr>
          <w:p w14:paraId="4FDC2374">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32B3C8F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29F2DE0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c>
          <w:tcPr>
            <w:tcW w:w="1221" w:type="dxa"/>
            <w:tcBorders>
              <w:top w:val="nil"/>
              <w:left w:val="nil"/>
              <w:bottom w:val="single" w:color="auto" w:sz="4" w:space="0"/>
              <w:right w:val="single" w:color="auto" w:sz="8" w:space="0"/>
            </w:tcBorders>
            <w:shd w:val="clear" w:color="auto" w:fill="auto"/>
            <w:vAlign w:val="bottom"/>
          </w:tcPr>
          <w:p w14:paraId="2506C855">
            <w:pPr>
              <w:jc w:val="left"/>
              <w:rPr>
                <w:rFonts w:ascii="宋体" w:hAnsi="宋体" w:cs="宋体"/>
                <w:color w:val="auto"/>
                <w:kern w:val="0"/>
                <w:sz w:val="18"/>
                <w:szCs w:val="18"/>
                <w:highlight w:val="none"/>
              </w:rPr>
            </w:pPr>
          </w:p>
        </w:tc>
      </w:tr>
      <w:tr w14:paraId="0D624B2F">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5037754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13、房地产开发经营</w:t>
            </w:r>
          </w:p>
        </w:tc>
        <w:tc>
          <w:tcPr>
            <w:tcW w:w="1498" w:type="dxa"/>
            <w:tcBorders>
              <w:top w:val="nil"/>
              <w:left w:val="nil"/>
              <w:bottom w:val="single" w:color="auto" w:sz="4" w:space="0"/>
              <w:right w:val="single" w:color="auto" w:sz="4" w:space="0"/>
            </w:tcBorders>
            <w:shd w:val="clear" w:color="auto" w:fill="auto"/>
            <w:vAlign w:val="bottom"/>
          </w:tcPr>
          <w:p w14:paraId="035B355B">
            <w:pPr>
              <w:jc w:val="left"/>
              <w:rPr>
                <w:rFonts w:ascii="宋体" w:hAnsi="宋体" w:cs="宋体"/>
                <w:color w:val="auto"/>
                <w:kern w:val="0"/>
                <w:sz w:val="18"/>
                <w:szCs w:val="18"/>
                <w:highlight w:val="none"/>
              </w:rPr>
            </w:pPr>
          </w:p>
        </w:tc>
        <w:tc>
          <w:tcPr>
            <w:tcW w:w="1763" w:type="dxa"/>
            <w:tcBorders>
              <w:top w:val="nil"/>
              <w:left w:val="nil"/>
              <w:bottom w:val="single" w:color="auto" w:sz="4" w:space="0"/>
              <w:right w:val="single" w:color="auto" w:sz="4" w:space="0"/>
            </w:tcBorders>
            <w:shd w:val="clear" w:color="auto" w:fill="auto"/>
            <w:vAlign w:val="bottom"/>
          </w:tcPr>
          <w:p w14:paraId="47F0BC3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660" w:type="dxa"/>
            <w:tcBorders>
              <w:top w:val="nil"/>
              <w:left w:val="nil"/>
              <w:bottom w:val="single" w:color="auto" w:sz="4" w:space="0"/>
              <w:right w:val="single" w:color="auto" w:sz="8" w:space="0"/>
            </w:tcBorders>
            <w:shd w:val="clear" w:color="auto" w:fill="auto"/>
            <w:vAlign w:val="bottom"/>
          </w:tcPr>
          <w:p w14:paraId="73CD13B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240" w:type="dxa"/>
            <w:tcBorders>
              <w:top w:val="nil"/>
              <w:left w:val="nil"/>
              <w:bottom w:val="single" w:color="auto" w:sz="4" w:space="0"/>
              <w:right w:val="single" w:color="auto" w:sz="4" w:space="0"/>
            </w:tcBorders>
            <w:shd w:val="clear" w:color="auto" w:fill="auto"/>
            <w:vAlign w:val="bottom"/>
          </w:tcPr>
          <w:p w14:paraId="4645BC36">
            <w:pPr>
              <w:jc w:val="left"/>
              <w:rPr>
                <w:rFonts w:ascii="宋体" w:hAnsi="宋体" w:cs="宋体"/>
                <w:color w:val="auto"/>
                <w:kern w:val="0"/>
                <w:sz w:val="18"/>
                <w:szCs w:val="18"/>
                <w:highlight w:val="none"/>
              </w:rPr>
            </w:pPr>
          </w:p>
        </w:tc>
        <w:tc>
          <w:tcPr>
            <w:tcW w:w="1480" w:type="dxa"/>
            <w:tcBorders>
              <w:top w:val="nil"/>
              <w:left w:val="nil"/>
              <w:bottom w:val="single" w:color="auto" w:sz="4" w:space="0"/>
              <w:right w:val="single" w:color="auto" w:sz="4" w:space="0"/>
            </w:tcBorders>
            <w:shd w:val="clear" w:color="auto" w:fill="auto"/>
            <w:vAlign w:val="bottom"/>
          </w:tcPr>
          <w:p w14:paraId="329808D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vAlign w:val="bottom"/>
          </w:tcPr>
          <w:p w14:paraId="479F4AA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1285" w:type="dxa"/>
            <w:tcBorders>
              <w:top w:val="nil"/>
              <w:left w:val="nil"/>
              <w:bottom w:val="single" w:color="auto" w:sz="4" w:space="0"/>
              <w:right w:val="single" w:color="auto" w:sz="4" w:space="0"/>
            </w:tcBorders>
            <w:shd w:val="clear" w:color="auto" w:fill="auto"/>
            <w:vAlign w:val="bottom"/>
          </w:tcPr>
          <w:p w14:paraId="4750291C">
            <w:pPr>
              <w:jc w:val="left"/>
              <w:rPr>
                <w:rFonts w:ascii="宋体" w:hAnsi="宋体" w:cs="宋体"/>
                <w:color w:val="auto"/>
                <w:kern w:val="0"/>
                <w:sz w:val="18"/>
                <w:szCs w:val="18"/>
                <w:highlight w:val="none"/>
              </w:rPr>
            </w:pPr>
          </w:p>
        </w:tc>
        <w:tc>
          <w:tcPr>
            <w:tcW w:w="1275" w:type="dxa"/>
            <w:tcBorders>
              <w:top w:val="nil"/>
              <w:left w:val="nil"/>
              <w:bottom w:val="single" w:color="auto" w:sz="4" w:space="0"/>
              <w:right w:val="single" w:color="auto" w:sz="4" w:space="0"/>
            </w:tcBorders>
            <w:shd w:val="clear" w:color="auto" w:fill="auto"/>
            <w:vAlign w:val="bottom"/>
          </w:tcPr>
          <w:p w14:paraId="22EDF66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2FDB987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09136F72">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355DCF6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14、物业管理</w:t>
            </w:r>
          </w:p>
        </w:tc>
        <w:tc>
          <w:tcPr>
            <w:tcW w:w="1498" w:type="dxa"/>
            <w:tcBorders>
              <w:top w:val="nil"/>
              <w:left w:val="nil"/>
              <w:bottom w:val="single" w:color="auto" w:sz="4" w:space="0"/>
              <w:right w:val="single" w:color="auto" w:sz="4" w:space="0"/>
            </w:tcBorders>
            <w:shd w:val="clear" w:color="auto" w:fill="auto"/>
            <w:vAlign w:val="bottom"/>
          </w:tcPr>
          <w:p w14:paraId="1495DDD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vAlign w:val="bottom"/>
          </w:tcPr>
          <w:p w14:paraId="584EE53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660" w:type="dxa"/>
            <w:tcBorders>
              <w:top w:val="nil"/>
              <w:left w:val="nil"/>
              <w:bottom w:val="single" w:color="auto" w:sz="4" w:space="0"/>
              <w:right w:val="single" w:color="auto" w:sz="8" w:space="0"/>
            </w:tcBorders>
            <w:shd w:val="clear" w:color="auto" w:fill="auto"/>
            <w:vAlign w:val="bottom"/>
          </w:tcPr>
          <w:p w14:paraId="5D7868B5">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1FCE0D0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80" w:type="dxa"/>
            <w:tcBorders>
              <w:top w:val="nil"/>
              <w:left w:val="nil"/>
              <w:bottom w:val="single" w:color="auto" w:sz="4" w:space="0"/>
              <w:right w:val="single" w:color="auto" w:sz="4" w:space="0"/>
            </w:tcBorders>
            <w:shd w:val="clear" w:color="auto" w:fill="auto"/>
            <w:vAlign w:val="bottom"/>
          </w:tcPr>
          <w:p w14:paraId="4DA60C8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520" w:type="dxa"/>
            <w:tcBorders>
              <w:top w:val="nil"/>
              <w:left w:val="nil"/>
              <w:bottom w:val="single" w:color="auto" w:sz="4" w:space="0"/>
              <w:right w:val="single" w:color="auto" w:sz="8" w:space="0"/>
            </w:tcBorders>
            <w:shd w:val="clear" w:color="auto" w:fill="auto"/>
            <w:vAlign w:val="bottom"/>
          </w:tcPr>
          <w:p w14:paraId="347492D2">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63CCA9F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c>
          <w:tcPr>
            <w:tcW w:w="1275" w:type="dxa"/>
            <w:tcBorders>
              <w:top w:val="nil"/>
              <w:left w:val="nil"/>
              <w:bottom w:val="single" w:color="auto" w:sz="4" w:space="0"/>
              <w:right w:val="single" w:color="auto" w:sz="4" w:space="0"/>
            </w:tcBorders>
            <w:shd w:val="clear" w:color="auto" w:fill="auto"/>
            <w:vAlign w:val="bottom"/>
          </w:tcPr>
          <w:p w14:paraId="6D602D2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c>
          <w:tcPr>
            <w:tcW w:w="1221" w:type="dxa"/>
            <w:tcBorders>
              <w:top w:val="nil"/>
              <w:left w:val="nil"/>
              <w:bottom w:val="single" w:color="auto" w:sz="4" w:space="0"/>
              <w:right w:val="single" w:color="auto" w:sz="8" w:space="0"/>
            </w:tcBorders>
            <w:shd w:val="clear" w:color="auto" w:fill="auto"/>
            <w:vAlign w:val="bottom"/>
          </w:tcPr>
          <w:p w14:paraId="3A807D30">
            <w:pPr>
              <w:jc w:val="left"/>
              <w:rPr>
                <w:rFonts w:ascii="宋体" w:hAnsi="宋体" w:cs="宋体"/>
                <w:color w:val="auto"/>
                <w:kern w:val="0"/>
                <w:sz w:val="18"/>
                <w:szCs w:val="18"/>
                <w:highlight w:val="none"/>
              </w:rPr>
            </w:pPr>
          </w:p>
        </w:tc>
      </w:tr>
      <w:tr w14:paraId="2BDCBF5C">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56BC48A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15、租赁和商务服务业</w:t>
            </w:r>
          </w:p>
        </w:tc>
        <w:tc>
          <w:tcPr>
            <w:tcW w:w="1498" w:type="dxa"/>
            <w:tcBorders>
              <w:top w:val="nil"/>
              <w:left w:val="nil"/>
              <w:bottom w:val="single" w:color="auto" w:sz="4" w:space="0"/>
              <w:right w:val="single" w:color="auto" w:sz="4" w:space="0"/>
            </w:tcBorders>
            <w:shd w:val="clear" w:color="auto" w:fill="auto"/>
            <w:vAlign w:val="bottom"/>
          </w:tcPr>
          <w:p w14:paraId="29FC259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vAlign w:val="bottom"/>
          </w:tcPr>
          <w:p w14:paraId="58F3E470">
            <w:pPr>
              <w:jc w:val="left"/>
              <w:rPr>
                <w:rFonts w:ascii="宋体" w:hAnsi="宋体" w:cs="宋体"/>
                <w:color w:val="auto"/>
                <w:kern w:val="0"/>
                <w:sz w:val="18"/>
                <w:szCs w:val="18"/>
                <w:highlight w:val="none"/>
              </w:rPr>
            </w:pPr>
          </w:p>
        </w:tc>
        <w:tc>
          <w:tcPr>
            <w:tcW w:w="1660" w:type="dxa"/>
            <w:tcBorders>
              <w:top w:val="nil"/>
              <w:left w:val="nil"/>
              <w:bottom w:val="single" w:color="auto" w:sz="4" w:space="0"/>
              <w:right w:val="single" w:color="auto" w:sz="8" w:space="0"/>
            </w:tcBorders>
            <w:shd w:val="clear" w:color="auto" w:fill="auto"/>
            <w:vAlign w:val="bottom"/>
          </w:tcPr>
          <w:p w14:paraId="5014A1F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240" w:type="dxa"/>
            <w:tcBorders>
              <w:top w:val="nil"/>
              <w:left w:val="nil"/>
              <w:bottom w:val="single" w:color="auto" w:sz="4" w:space="0"/>
              <w:right w:val="single" w:color="auto" w:sz="4" w:space="0"/>
            </w:tcBorders>
            <w:shd w:val="clear" w:color="auto" w:fill="auto"/>
            <w:vAlign w:val="bottom"/>
          </w:tcPr>
          <w:p w14:paraId="33B9E51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vAlign w:val="bottom"/>
          </w:tcPr>
          <w:p w14:paraId="5563BC6A">
            <w:pPr>
              <w:jc w:val="left"/>
              <w:rPr>
                <w:rFonts w:ascii="宋体" w:hAnsi="宋体" w:cs="宋体"/>
                <w:color w:val="auto"/>
                <w:kern w:val="0"/>
                <w:sz w:val="18"/>
                <w:szCs w:val="18"/>
                <w:highlight w:val="none"/>
              </w:rPr>
            </w:pPr>
          </w:p>
        </w:tc>
        <w:tc>
          <w:tcPr>
            <w:tcW w:w="1520" w:type="dxa"/>
            <w:tcBorders>
              <w:top w:val="nil"/>
              <w:left w:val="nil"/>
              <w:bottom w:val="single" w:color="auto" w:sz="4" w:space="0"/>
              <w:right w:val="single" w:color="auto" w:sz="8" w:space="0"/>
            </w:tcBorders>
            <w:shd w:val="clear" w:color="auto" w:fill="auto"/>
            <w:vAlign w:val="bottom"/>
          </w:tcPr>
          <w:p w14:paraId="2770C65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285" w:type="dxa"/>
            <w:tcBorders>
              <w:top w:val="nil"/>
              <w:left w:val="nil"/>
              <w:bottom w:val="single" w:color="auto" w:sz="4" w:space="0"/>
              <w:right w:val="single" w:color="auto" w:sz="4" w:space="0"/>
            </w:tcBorders>
            <w:shd w:val="clear" w:color="auto" w:fill="auto"/>
            <w:vAlign w:val="bottom"/>
          </w:tcPr>
          <w:p w14:paraId="3506FE0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6CD65931">
            <w:pPr>
              <w:jc w:val="left"/>
              <w:rPr>
                <w:rFonts w:ascii="宋体" w:hAnsi="宋体" w:cs="宋体"/>
                <w:color w:val="auto"/>
                <w:kern w:val="0"/>
                <w:sz w:val="18"/>
                <w:szCs w:val="18"/>
                <w:highlight w:val="none"/>
              </w:rPr>
            </w:pPr>
          </w:p>
        </w:tc>
        <w:tc>
          <w:tcPr>
            <w:tcW w:w="1221" w:type="dxa"/>
            <w:tcBorders>
              <w:top w:val="nil"/>
              <w:left w:val="nil"/>
              <w:bottom w:val="single" w:color="auto" w:sz="4" w:space="0"/>
              <w:right w:val="single" w:color="auto" w:sz="8" w:space="0"/>
            </w:tcBorders>
            <w:shd w:val="clear" w:color="auto" w:fill="auto"/>
            <w:vAlign w:val="bottom"/>
          </w:tcPr>
          <w:p w14:paraId="251C6CA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5DB88BEB">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8" w:space="0"/>
              <w:right w:val="single" w:color="auto" w:sz="8" w:space="0"/>
            </w:tcBorders>
            <w:shd w:val="clear" w:color="auto" w:fill="auto"/>
            <w:vAlign w:val="bottom"/>
          </w:tcPr>
          <w:p w14:paraId="608FECAF">
            <w:pPr>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16、其他未列明行业</w:t>
            </w:r>
          </w:p>
        </w:tc>
        <w:tc>
          <w:tcPr>
            <w:tcW w:w="1498" w:type="dxa"/>
            <w:tcBorders>
              <w:top w:val="nil"/>
              <w:left w:val="nil"/>
              <w:bottom w:val="single" w:color="auto" w:sz="8" w:space="0"/>
              <w:right w:val="single" w:color="auto" w:sz="4" w:space="0"/>
            </w:tcBorders>
            <w:shd w:val="clear" w:color="auto" w:fill="auto"/>
            <w:vAlign w:val="bottom"/>
          </w:tcPr>
          <w:p w14:paraId="07D38845">
            <w:pPr>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100≤X＜300</w:t>
            </w:r>
          </w:p>
        </w:tc>
        <w:tc>
          <w:tcPr>
            <w:tcW w:w="1763" w:type="dxa"/>
            <w:tcBorders>
              <w:top w:val="nil"/>
              <w:left w:val="nil"/>
              <w:bottom w:val="single" w:color="auto" w:sz="8" w:space="0"/>
              <w:right w:val="single" w:color="auto" w:sz="4" w:space="0"/>
            </w:tcBorders>
            <w:shd w:val="clear" w:color="auto" w:fill="auto"/>
            <w:vAlign w:val="bottom"/>
          </w:tcPr>
          <w:p w14:paraId="71959FF2">
            <w:pPr>
              <w:jc w:val="left"/>
              <w:rPr>
                <w:rFonts w:ascii="宋体" w:hAnsi="宋体" w:cs="宋体"/>
                <w:b/>
                <w:bCs/>
                <w:color w:val="auto"/>
                <w:kern w:val="0"/>
                <w:sz w:val="18"/>
                <w:szCs w:val="18"/>
                <w:highlight w:val="none"/>
              </w:rPr>
            </w:pPr>
          </w:p>
        </w:tc>
        <w:tc>
          <w:tcPr>
            <w:tcW w:w="1660" w:type="dxa"/>
            <w:tcBorders>
              <w:top w:val="nil"/>
              <w:left w:val="nil"/>
              <w:bottom w:val="single" w:color="auto" w:sz="8" w:space="0"/>
              <w:right w:val="single" w:color="auto" w:sz="8" w:space="0"/>
            </w:tcBorders>
            <w:shd w:val="clear" w:color="auto" w:fill="auto"/>
            <w:vAlign w:val="bottom"/>
          </w:tcPr>
          <w:p w14:paraId="6A9029E4">
            <w:pPr>
              <w:jc w:val="left"/>
              <w:rPr>
                <w:rFonts w:ascii="宋体" w:hAnsi="宋体" w:cs="宋体"/>
                <w:b/>
                <w:bCs/>
                <w:color w:val="auto"/>
                <w:kern w:val="0"/>
                <w:sz w:val="18"/>
                <w:szCs w:val="18"/>
                <w:highlight w:val="none"/>
              </w:rPr>
            </w:pPr>
          </w:p>
        </w:tc>
        <w:tc>
          <w:tcPr>
            <w:tcW w:w="1240" w:type="dxa"/>
            <w:tcBorders>
              <w:top w:val="nil"/>
              <w:left w:val="nil"/>
              <w:bottom w:val="single" w:color="auto" w:sz="8" w:space="0"/>
              <w:right w:val="single" w:color="auto" w:sz="4" w:space="0"/>
            </w:tcBorders>
            <w:shd w:val="clear" w:color="auto" w:fill="auto"/>
            <w:vAlign w:val="bottom"/>
          </w:tcPr>
          <w:p w14:paraId="74A3348B">
            <w:pPr>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10≤X＜100</w:t>
            </w:r>
          </w:p>
        </w:tc>
        <w:tc>
          <w:tcPr>
            <w:tcW w:w="1480" w:type="dxa"/>
            <w:tcBorders>
              <w:top w:val="nil"/>
              <w:left w:val="nil"/>
              <w:bottom w:val="single" w:color="auto" w:sz="8" w:space="0"/>
              <w:right w:val="single" w:color="auto" w:sz="4" w:space="0"/>
            </w:tcBorders>
            <w:shd w:val="clear" w:color="auto" w:fill="auto"/>
            <w:vAlign w:val="bottom"/>
          </w:tcPr>
          <w:p w14:paraId="4AE7B4CE">
            <w:pPr>
              <w:jc w:val="left"/>
              <w:rPr>
                <w:rFonts w:ascii="宋体" w:hAnsi="宋体" w:cs="宋体"/>
                <w:b/>
                <w:bCs/>
                <w:color w:val="auto"/>
                <w:kern w:val="0"/>
                <w:sz w:val="18"/>
                <w:szCs w:val="18"/>
                <w:highlight w:val="none"/>
              </w:rPr>
            </w:pPr>
          </w:p>
        </w:tc>
        <w:tc>
          <w:tcPr>
            <w:tcW w:w="1520" w:type="dxa"/>
            <w:tcBorders>
              <w:top w:val="nil"/>
              <w:left w:val="nil"/>
              <w:bottom w:val="single" w:color="auto" w:sz="8" w:space="0"/>
              <w:right w:val="single" w:color="auto" w:sz="8" w:space="0"/>
            </w:tcBorders>
            <w:shd w:val="clear" w:color="auto" w:fill="auto"/>
            <w:vAlign w:val="bottom"/>
          </w:tcPr>
          <w:p w14:paraId="62ACD024">
            <w:pPr>
              <w:jc w:val="left"/>
              <w:rPr>
                <w:rFonts w:ascii="宋体" w:hAnsi="宋体" w:cs="宋体"/>
                <w:b/>
                <w:bCs/>
                <w:color w:val="auto"/>
                <w:kern w:val="0"/>
                <w:sz w:val="18"/>
                <w:szCs w:val="18"/>
                <w:highlight w:val="none"/>
              </w:rPr>
            </w:pPr>
          </w:p>
        </w:tc>
        <w:tc>
          <w:tcPr>
            <w:tcW w:w="1285" w:type="dxa"/>
            <w:tcBorders>
              <w:top w:val="nil"/>
              <w:left w:val="nil"/>
              <w:bottom w:val="single" w:color="auto" w:sz="8" w:space="0"/>
              <w:right w:val="single" w:color="auto" w:sz="4" w:space="0"/>
            </w:tcBorders>
            <w:shd w:val="clear" w:color="auto" w:fill="auto"/>
            <w:vAlign w:val="bottom"/>
          </w:tcPr>
          <w:p w14:paraId="4912077E">
            <w:pPr>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X＜10</w:t>
            </w:r>
          </w:p>
        </w:tc>
        <w:tc>
          <w:tcPr>
            <w:tcW w:w="1275" w:type="dxa"/>
            <w:tcBorders>
              <w:top w:val="nil"/>
              <w:left w:val="nil"/>
              <w:bottom w:val="single" w:color="auto" w:sz="8" w:space="0"/>
              <w:right w:val="single" w:color="auto" w:sz="4" w:space="0"/>
            </w:tcBorders>
            <w:shd w:val="clear" w:color="auto" w:fill="auto"/>
            <w:vAlign w:val="bottom"/>
          </w:tcPr>
          <w:p w14:paraId="3B84EAB5">
            <w:pPr>
              <w:jc w:val="left"/>
              <w:rPr>
                <w:rFonts w:ascii="宋体" w:hAnsi="宋体" w:cs="宋体"/>
                <w:b/>
                <w:bCs/>
                <w:color w:val="auto"/>
                <w:kern w:val="0"/>
                <w:sz w:val="18"/>
                <w:szCs w:val="18"/>
                <w:highlight w:val="none"/>
              </w:rPr>
            </w:pPr>
          </w:p>
        </w:tc>
        <w:tc>
          <w:tcPr>
            <w:tcW w:w="1221" w:type="dxa"/>
            <w:tcBorders>
              <w:top w:val="nil"/>
              <w:left w:val="nil"/>
              <w:bottom w:val="single" w:color="auto" w:sz="8" w:space="0"/>
              <w:right w:val="single" w:color="auto" w:sz="8" w:space="0"/>
            </w:tcBorders>
            <w:shd w:val="clear" w:color="auto" w:fill="auto"/>
            <w:vAlign w:val="bottom"/>
          </w:tcPr>
          <w:p w14:paraId="3354B4A0">
            <w:pPr>
              <w:jc w:val="left"/>
              <w:rPr>
                <w:rFonts w:ascii="宋体" w:hAnsi="宋体" w:cs="宋体"/>
                <w:b/>
                <w:bCs/>
                <w:color w:val="auto"/>
                <w:kern w:val="0"/>
                <w:sz w:val="18"/>
                <w:szCs w:val="18"/>
                <w:highlight w:val="none"/>
              </w:rPr>
            </w:pPr>
          </w:p>
        </w:tc>
      </w:tr>
      <w:tr w14:paraId="78AE5CDB">
        <w:tblPrEx>
          <w:tblCellMar>
            <w:top w:w="0" w:type="dxa"/>
            <w:left w:w="108" w:type="dxa"/>
            <w:bottom w:w="0" w:type="dxa"/>
            <w:right w:w="108" w:type="dxa"/>
          </w:tblCellMar>
        </w:tblPrEx>
        <w:trPr>
          <w:trHeight w:val="285" w:hRule="atLeast"/>
        </w:trPr>
        <w:tc>
          <w:tcPr>
            <w:tcW w:w="15318" w:type="dxa"/>
            <w:gridSpan w:val="10"/>
            <w:tcBorders>
              <w:top w:val="nil"/>
              <w:left w:val="nil"/>
              <w:bottom w:val="nil"/>
              <w:right w:val="nil"/>
            </w:tcBorders>
            <w:shd w:val="clear" w:color="auto" w:fill="auto"/>
            <w:vAlign w:val="bottom"/>
          </w:tcPr>
          <w:p w14:paraId="0D878F94">
            <w:pPr>
              <w:jc w:val="left"/>
              <w:rPr>
                <w:rFonts w:ascii="宋体" w:hAnsi="宋体" w:cs="宋体"/>
                <w:color w:val="auto"/>
                <w:sz w:val="18"/>
                <w:szCs w:val="18"/>
                <w:highlight w:val="none"/>
              </w:rPr>
            </w:pPr>
            <w:r>
              <w:rPr>
                <w:rFonts w:hint="eastAsia" w:ascii="宋体" w:hAnsi="宋体" w:cs="宋体"/>
                <w:color w:val="auto"/>
                <w:sz w:val="18"/>
                <w:szCs w:val="18"/>
                <w:highlight w:val="none"/>
              </w:rPr>
              <w:t>说明：1、企业类型的划分以统计部门的统计数据为依据。</w:t>
            </w:r>
          </w:p>
          <w:p w14:paraId="291C74A0">
            <w:pPr>
              <w:ind w:firstLine="540" w:firstLineChars="300"/>
              <w:jc w:val="left"/>
              <w:rPr>
                <w:rFonts w:ascii="宋体" w:hAnsi="宋体" w:cs="宋体"/>
                <w:color w:val="auto"/>
                <w:sz w:val="18"/>
                <w:szCs w:val="18"/>
                <w:highlight w:val="none"/>
              </w:rPr>
            </w:pPr>
            <w:r>
              <w:rPr>
                <w:rFonts w:hint="eastAsia" w:ascii="宋体" w:hAnsi="宋体" w:cs="宋体"/>
                <w:color w:val="auto"/>
                <w:sz w:val="18"/>
                <w:szCs w:val="18"/>
                <w:highlight w:val="none"/>
              </w:rPr>
              <w:t>2、个体工商户和本规定以外的行业，参照本规定进行划型。</w:t>
            </w:r>
          </w:p>
          <w:p w14:paraId="5FAFFF90">
            <w:pPr>
              <w:ind w:firstLine="540" w:firstLineChars="300"/>
              <w:jc w:val="left"/>
              <w:rPr>
                <w:rFonts w:ascii="宋体" w:hAnsi="宋体" w:cs="宋体"/>
                <w:color w:val="auto"/>
                <w:sz w:val="18"/>
                <w:szCs w:val="18"/>
                <w:highlight w:val="none"/>
              </w:rPr>
            </w:pPr>
            <w:r>
              <w:rPr>
                <w:rFonts w:hint="eastAsia" w:ascii="宋体" w:hAnsi="宋体" w:cs="宋体"/>
                <w:color w:val="auto"/>
                <w:sz w:val="18"/>
                <w:szCs w:val="18"/>
                <w:highlight w:val="none"/>
              </w:rPr>
              <w:t>3、本规定的中型企业标准上限即为大型企业标准的下限。</w:t>
            </w:r>
          </w:p>
        </w:tc>
      </w:tr>
    </w:tbl>
    <w:p w14:paraId="07554499">
      <w:pPr>
        <w:pStyle w:val="2"/>
        <w:ind w:firstLine="211"/>
        <w:rPr>
          <w:b/>
          <w:bCs/>
          <w:color w:val="auto"/>
          <w:highlight w:val="none"/>
        </w:rPr>
      </w:pPr>
    </w:p>
    <w:sectPr>
      <w:headerReference r:id="rId16" w:type="default"/>
      <w:footerReference r:id="rId17" w:type="default"/>
      <w:pgSz w:w="16838" w:h="11906" w:orient="landscape"/>
      <w:pgMar w:top="1440" w:right="1800" w:bottom="1440" w:left="180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3C9B106-50F9-416F-BC24-80424B3F218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FD2A07D3-2B71-47D1-B3B6-2517D6C3550E}"/>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7F" w:usb3="00000000" w:csb0="003F01F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汉鼎简细圆">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embedRegular r:id="rId3" w:fontKey="{24D414BE-F8C0-4F27-9FF0-A41A0D3D16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23BC2">
    <w:pPr>
      <w:pStyle w:val="32"/>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DF008">
    <w:pPr>
      <w:pStyle w:val="32"/>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65342D">
                          <w:pPr>
                            <w:pStyle w:val="32"/>
                            <w:jc w:val="center"/>
                            <w:rPr>
                              <w:rStyle w:val="49"/>
                            </w:rPr>
                          </w:pPr>
                          <w:r>
                            <w:fldChar w:fldCharType="begin"/>
                          </w:r>
                          <w:r>
                            <w:rPr>
                              <w:rStyle w:val="49"/>
                            </w:rPr>
                            <w:instrText xml:space="preserve">PAGE  </w:instrText>
                          </w:r>
                          <w:r>
                            <w:fldChar w:fldCharType="separate"/>
                          </w:r>
                          <w:r>
                            <w:rPr>
                              <w:rStyle w:val="49"/>
                            </w:rPr>
                            <w:t>103</w:t>
                          </w:r>
                          <w:r>
                            <w:fldChar w:fldCharType="end"/>
                          </w:r>
                        </w:p>
                      </w:txbxContent>
                    </wps:txbx>
                    <wps:bodyPr wrap="square" lIns="0" tIns="0" rIns="0" bIns="0" upright="1"/>
                  </wps:wsp>
                </a:graphicData>
              </a:graphic>
            </wp:anchor>
          </w:drawing>
        </mc:Choice>
        <mc:Fallback>
          <w:pict>
            <v:shape id="文本框 4"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T2QNIAAAAFAQAADwAAAAAAAAABACAAAAAiAAAAZHJzL2Rvd25yZXYueG1sUEsB&#10;AhQAFAAAAAgAh07iQOmUsbnCAQAAjwMAAA4AAAAAAAAAAQAgAAAAIQEAAGRycy9lMm9Eb2MueG1s&#10;UEsFBgAAAAAGAAYAWQEAAFUFAAAAAA==&#10;">
              <v:fill on="f" focussize="0,0"/>
              <v:stroke on="f"/>
              <v:imagedata o:title=""/>
              <o:lock v:ext="edit" aspectratio="f"/>
              <v:textbox inset="0mm,0mm,0mm,0mm">
                <w:txbxContent>
                  <w:p w14:paraId="1665342D">
                    <w:pPr>
                      <w:pStyle w:val="32"/>
                      <w:jc w:val="center"/>
                      <w:rPr>
                        <w:rStyle w:val="49"/>
                      </w:rPr>
                    </w:pPr>
                    <w:r>
                      <w:fldChar w:fldCharType="begin"/>
                    </w:r>
                    <w:r>
                      <w:rPr>
                        <w:rStyle w:val="49"/>
                      </w:rPr>
                      <w:instrText xml:space="preserve">PAGE  </w:instrText>
                    </w:r>
                    <w:r>
                      <w:fldChar w:fldCharType="separate"/>
                    </w:r>
                    <w:r>
                      <w:rPr>
                        <w:rStyle w:val="49"/>
                      </w:rPr>
                      <w:t>103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A13CE">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429C0">
    <w:pPr>
      <w:pStyle w:val="32"/>
      <w:tabs>
        <w:tab w:val="center" w:pos="4312"/>
        <w:tab w:val="left" w:pos="4894"/>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8A67">
    <w:pPr>
      <w:pStyle w:val="32"/>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12364011"/>
                          </w:sdtPr>
                          <w:sdtContent>
                            <w:p w14:paraId="5069919D">
                              <w:pPr>
                                <w:pStyle w:val="32"/>
                                <w:jc w:val="center"/>
                              </w:pPr>
                              <w:r>
                                <w:fldChar w:fldCharType="begin"/>
                              </w:r>
                              <w:r>
                                <w:instrText xml:space="preserve">PAGE   \* MERGEFORMAT</w:instrText>
                              </w:r>
                              <w:r>
                                <w:fldChar w:fldCharType="separate"/>
                              </w:r>
                              <w:r>
                                <w:rPr>
                                  <w:lang w:val="zh-CN"/>
                                </w:rPr>
                                <w:t>26</w:t>
                              </w:r>
                              <w:r>
                                <w:fldChar w:fldCharType="end"/>
                              </w:r>
                            </w:p>
                          </w:sdtContent>
                        </w:sdt>
                        <w:p w14:paraId="623E1F2F">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sdt>
                    <w:sdtPr>
                      <w:id w:val="412364011"/>
                    </w:sdtPr>
                    <w:sdtContent>
                      <w:p w14:paraId="5069919D">
                        <w:pPr>
                          <w:pStyle w:val="32"/>
                          <w:jc w:val="center"/>
                        </w:pPr>
                        <w:r>
                          <w:fldChar w:fldCharType="begin"/>
                        </w:r>
                        <w:r>
                          <w:instrText xml:space="preserve">PAGE   \* MERGEFORMAT</w:instrText>
                        </w:r>
                        <w:r>
                          <w:fldChar w:fldCharType="separate"/>
                        </w:r>
                        <w:r>
                          <w:rPr>
                            <w:lang w:val="zh-CN"/>
                          </w:rPr>
                          <w:t>26</w:t>
                        </w:r>
                        <w:r>
                          <w:fldChar w:fldCharType="end"/>
                        </w:r>
                      </w:p>
                    </w:sdtContent>
                  </w:sdt>
                  <w:p w14:paraId="623E1F2F">
                    <w:pPr>
                      <w:pStyle w:val="2"/>
                      <w:ind w:firstLine="21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E44F5">
    <w:pPr>
      <w:pStyle w:val="3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12804531"/>
                          </w:sdtPr>
                          <w:sdtContent>
                            <w:p w14:paraId="34261CA9">
                              <w:pPr>
                                <w:pStyle w:val="32"/>
                                <w:jc w:val="center"/>
                              </w:pPr>
                              <w:r>
                                <w:fldChar w:fldCharType="begin"/>
                              </w:r>
                              <w:r>
                                <w:instrText xml:space="preserve">PAGE   \* MERGEFORMAT</w:instrText>
                              </w:r>
                              <w:r>
                                <w:fldChar w:fldCharType="separate"/>
                              </w:r>
                              <w:r>
                                <w:rPr>
                                  <w:lang w:val="zh-CN"/>
                                </w:rPr>
                                <w:t>25</w:t>
                              </w:r>
                              <w:r>
                                <w:fldChar w:fldCharType="end"/>
                              </w:r>
                            </w:p>
                          </w:sdtContent>
                        </w:sdt>
                        <w:p w14:paraId="4C4C043F">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sdt>
                    <w:sdtPr>
                      <w:id w:val="512804531"/>
                    </w:sdtPr>
                    <w:sdtContent>
                      <w:p w14:paraId="34261CA9">
                        <w:pPr>
                          <w:pStyle w:val="32"/>
                          <w:jc w:val="center"/>
                        </w:pPr>
                        <w:r>
                          <w:fldChar w:fldCharType="begin"/>
                        </w:r>
                        <w:r>
                          <w:instrText xml:space="preserve">PAGE   \* MERGEFORMAT</w:instrText>
                        </w:r>
                        <w:r>
                          <w:fldChar w:fldCharType="separate"/>
                        </w:r>
                        <w:r>
                          <w:rPr>
                            <w:lang w:val="zh-CN"/>
                          </w:rPr>
                          <w:t>25</w:t>
                        </w:r>
                        <w:r>
                          <w:fldChar w:fldCharType="end"/>
                        </w:r>
                      </w:p>
                    </w:sdtContent>
                  </w:sdt>
                  <w:p w14:paraId="4C4C043F">
                    <w:pPr>
                      <w:pStyle w:val="2"/>
                      <w:ind w:firstLine="21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B3A04">
    <w:pPr>
      <w:pStyle w:val="3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43440643"/>
                          </w:sdtPr>
                          <w:sdtContent>
                            <w:p w14:paraId="68FC812A">
                              <w:pPr>
                                <w:pStyle w:val="32"/>
                                <w:jc w:val="center"/>
                              </w:pPr>
                              <w:r>
                                <w:fldChar w:fldCharType="begin"/>
                              </w:r>
                              <w:r>
                                <w:instrText xml:space="preserve">PAGE   \* MERGEFORMAT</w:instrText>
                              </w:r>
                              <w:r>
                                <w:fldChar w:fldCharType="separate"/>
                              </w:r>
                              <w:r>
                                <w:rPr>
                                  <w:lang w:val="zh-CN"/>
                                </w:rPr>
                                <w:t>26</w:t>
                              </w:r>
                              <w:r>
                                <w:fldChar w:fldCharType="end"/>
                              </w:r>
                            </w:p>
                          </w:sdtContent>
                        </w:sdt>
                        <w:p w14:paraId="41BD255F">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sdt>
                    <w:sdtPr>
                      <w:id w:val="1743440643"/>
                    </w:sdtPr>
                    <w:sdtContent>
                      <w:p w14:paraId="68FC812A">
                        <w:pPr>
                          <w:pStyle w:val="32"/>
                          <w:jc w:val="center"/>
                        </w:pPr>
                        <w:r>
                          <w:fldChar w:fldCharType="begin"/>
                        </w:r>
                        <w:r>
                          <w:instrText xml:space="preserve">PAGE   \* MERGEFORMAT</w:instrText>
                        </w:r>
                        <w:r>
                          <w:fldChar w:fldCharType="separate"/>
                        </w:r>
                        <w:r>
                          <w:rPr>
                            <w:lang w:val="zh-CN"/>
                          </w:rPr>
                          <w:t>26</w:t>
                        </w:r>
                        <w:r>
                          <w:fldChar w:fldCharType="end"/>
                        </w:r>
                      </w:p>
                    </w:sdtContent>
                  </w:sdt>
                  <w:p w14:paraId="41BD255F">
                    <w:pPr>
                      <w:pStyle w:val="2"/>
                      <w:ind w:firstLine="210"/>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EFF1B">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76370">
                          <w:pPr>
                            <w:pStyle w:val="32"/>
                            <w:rPr>
                              <w:rStyle w:val="49"/>
                            </w:rPr>
                          </w:pPr>
                          <w:r>
                            <w:fldChar w:fldCharType="begin"/>
                          </w:r>
                          <w:r>
                            <w:rPr>
                              <w:rStyle w:val="49"/>
                            </w:rPr>
                            <w:instrText xml:space="preserve">PAGE  </w:instrText>
                          </w:r>
                          <w:r>
                            <w:fldChar w:fldCharType="separate"/>
                          </w:r>
                          <w:r>
                            <w:rPr>
                              <w:rStyle w:val="49"/>
                            </w:rP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D876370">
                    <w:pPr>
                      <w:pStyle w:val="32"/>
                      <w:rPr>
                        <w:rStyle w:val="49"/>
                      </w:rPr>
                    </w:pPr>
                    <w:r>
                      <w:fldChar w:fldCharType="begin"/>
                    </w:r>
                    <w:r>
                      <w:rPr>
                        <w:rStyle w:val="49"/>
                      </w:rPr>
                      <w:instrText xml:space="preserve">PAGE  </w:instrText>
                    </w:r>
                    <w:r>
                      <w:fldChar w:fldCharType="separate"/>
                    </w:r>
                    <w:r>
                      <w:rPr>
                        <w:rStyle w:val="49"/>
                      </w:rP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D1100">
    <w:pPr>
      <w:pStyle w:val="3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A1AD3B">
                          <w:pPr>
                            <w:pStyle w:val="32"/>
                            <w:rPr>
                              <w:rStyle w:val="49"/>
                            </w:rPr>
                          </w:pPr>
                          <w:r>
                            <w:fldChar w:fldCharType="begin"/>
                          </w:r>
                          <w:r>
                            <w:rPr>
                              <w:rStyle w:val="49"/>
                            </w:rPr>
                            <w:instrText xml:space="preserve">PAGE  </w:instrText>
                          </w:r>
                          <w:r>
                            <w:fldChar w:fldCharType="separate"/>
                          </w:r>
                          <w:r>
                            <w:rPr>
                              <w:rStyle w:val="49"/>
                            </w:rPr>
                            <w:t>99</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MDu3afNAQAApwMAAA4AAAAAAAAAAQAgAAAAHwEAAGRycy9l&#10;Mm9Eb2MueG1sUEsFBgAAAAAGAAYAWQEAAF4FAAAAAA==&#10;">
              <v:fill on="f" focussize="0,0"/>
              <v:stroke on="f"/>
              <v:imagedata o:title=""/>
              <o:lock v:ext="edit" aspectratio="f"/>
              <v:textbox inset="0mm,0mm,0mm,0mm" style="mso-fit-shape-to-text:t;">
                <w:txbxContent>
                  <w:p w14:paraId="1CA1AD3B">
                    <w:pPr>
                      <w:pStyle w:val="32"/>
                      <w:rPr>
                        <w:rStyle w:val="49"/>
                      </w:rPr>
                    </w:pPr>
                    <w:r>
                      <w:fldChar w:fldCharType="begin"/>
                    </w:r>
                    <w:r>
                      <w:rPr>
                        <w:rStyle w:val="49"/>
                      </w:rPr>
                      <w:instrText xml:space="preserve">PAGE  </w:instrText>
                    </w:r>
                    <w:r>
                      <w:fldChar w:fldCharType="separate"/>
                    </w:r>
                    <w:r>
                      <w:rPr>
                        <w:rStyle w:val="49"/>
                      </w:rPr>
                      <w:t>99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4F111">
    <w:pPr>
      <w:pStyle w:val="32"/>
      <w:framePr w:wrap="around" w:vAnchor="text" w:hAnchor="margin" w:xAlign="center" w:y="1"/>
      <w:rPr>
        <w:rStyle w:val="49"/>
      </w:rPr>
    </w:pPr>
    <w:r>
      <w:fldChar w:fldCharType="begin"/>
    </w:r>
    <w:r>
      <w:rPr>
        <w:rStyle w:val="49"/>
      </w:rPr>
      <w:instrText xml:space="preserve">PAGE  </w:instrText>
    </w:r>
    <w:r>
      <w:fldChar w:fldCharType="separate"/>
    </w:r>
    <w:r>
      <w:rPr>
        <w:rStyle w:val="49"/>
      </w:rPr>
      <w:t>3</w:t>
    </w:r>
    <w:r>
      <w:fldChar w:fldCharType="end"/>
    </w:r>
  </w:p>
  <w:p w14:paraId="1B688D59">
    <w:pPr>
      <w:pStyle w:val="3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F0894">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E0F74">
    <w:pPr>
      <w:pStyle w:val="3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1C297">
    <w:pPr>
      <w:pStyle w:val="3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4CBA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7E37B">
    <w:pPr>
      <w:pStyle w:val="3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2"/>
      <w:lvlText w:val="%1."/>
      <w:lvlJc w:val="left"/>
      <w:pPr>
        <w:tabs>
          <w:tab w:val="left" w:pos="1200"/>
        </w:tabs>
        <w:ind w:left="1200" w:hanging="360"/>
      </w:pPr>
    </w:lvl>
  </w:abstractNum>
  <w:abstractNum w:abstractNumId="1">
    <w:nsid w:val="00000003"/>
    <w:multiLevelType w:val="singleLevel"/>
    <w:tmpl w:val="00000003"/>
    <w:lvl w:ilvl="0" w:tentative="0">
      <w:start w:val="3"/>
      <w:numFmt w:val="decimal"/>
      <w:suff w:val="nothing"/>
      <w:lvlText w:val="%1."/>
      <w:lvlJc w:val="left"/>
    </w:lvl>
  </w:abstractNum>
  <w:abstractNum w:abstractNumId="2">
    <w:nsid w:val="00000004"/>
    <w:multiLevelType w:val="singleLevel"/>
    <w:tmpl w:val="00000004"/>
    <w:lvl w:ilvl="0" w:tentative="0">
      <w:start w:val="1"/>
      <w:numFmt w:val="decimal"/>
      <w:suff w:val="nothing"/>
      <w:lvlText w:val="%1."/>
      <w:lvlJc w:val="left"/>
      <w:pPr>
        <w:tabs>
          <w:tab w:val="left" w:pos="0"/>
        </w:tabs>
        <w:ind w:left="0" w:firstLine="0"/>
      </w:pPr>
    </w:lvl>
  </w:abstractNum>
  <w:abstractNum w:abstractNumId="3">
    <w:nsid w:val="29D120CC"/>
    <w:multiLevelType w:val="singleLevel"/>
    <w:tmpl w:val="29D120CC"/>
    <w:lvl w:ilvl="0" w:tentative="0">
      <w:start w:val="1"/>
      <w:numFmt w:val="decimal"/>
      <w:suff w:val="nothing"/>
      <w:lvlText w:val="（%1）"/>
      <w:lvlJc w:val="left"/>
      <w:pPr>
        <w:ind w:left="-2"/>
      </w:pPr>
    </w:lvl>
  </w:abstractNum>
  <w:abstractNum w:abstractNumId="4">
    <w:nsid w:val="3FA65839"/>
    <w:multiLevelType w:val="singleLevel"/>
    <w:tmpl w:val="3FA65839"/>
    <w:lvl w:ilvl="0" w:tentative="0">
      <w:start w:val="2"/>
      <w:numFmt w:val="chineseCounting"/>
      <w:suff w:val="nothing"/>
      <w:lvlText w:val="%1、"/>
      <w:lvlJc w:val="left"/>
      <w:rPr>
        <w:rFonts w:hint="eastAsia"/>
      </w:rPr>
    </w:lvl>
  </w:abstractNum>
  <w:abstractNum w:abstractNumId="5">
    <w:nsid w:val="5950E9B0"/>
    <w:multiLevelType w:val="singleLevel"/>
    <w:tmpl w:val="5950E9B0"/>
    <w:lvl w:ilvl="0" w:tentative="0">
      <w:start w:val="2"/>
      <w:numFmt w:val="decimal"/>
      <w:suff w:val="nothing"/>
      <w:lvlText w:val="%1、"/>
      <w:lvlJc w:val="left"/>
    </w:lvl>
  </w:abstractNum>
  <w:abstractNum w:abstractNumId="6">
    <w:nsid w:val="5C9C1424"/>
    <w:multiLevelType w:val="singleLevel"/>
    <w:tmpl w:val="5C9C1424"/>
    <w:lvl w:ilvl="0" w:tentative="0">
      <w:start w:val="1"/>
      <w:numFmt w:val="decimal"/>
      <w:suff w:val="nothing"/>
      <w:lvlText w:val="（%1）"/>
      <w:lvlJc w:val="left"/>
    </w:lvl>
  </w:abstractNum>
  <w:abstractNum w:abstractNumId="7">
    <w:nsid w:val="5F532B37"/>
    <w:multiLevelType w:val="singleLevel"/>
    <w:tmpl w:val="5F532B37"/>
    <w:lvl w:ilvl="0" w:tentative="0">
      <w:start w:val="5"/>
      <w:numFmt w:val="chineseCounting"/>
      <w:suff w:val="nothing"/>
      <w:lvlText w:val="%1．"/>
      <w:lvlJc w:val="left"/>
      <w:rPr>
        <w:rFonts w:hint="eastAsia"/>
      </w:r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YTlhZmU0YjYzYzIzMjhlZTgyNDAyODAxZjRkYTIifQ=="/>
    <w:docVar w:name="KSO_WPS_MARK_KEY" w:val="f5041266-02ca-4d4e-a480-12c5701251e8"/>
  </w:docVars>
  <w:rsids>
    <w:rsidRoot w:val="00172A27"/>
    <w:rsid w:val="0000232C"/>
    <w:rsid w:val="00002340"/>
    <w:rsid w:val="00003C84"/>
    <w:rsid w:val="00003E72"/>
    <w:rsid w:val="00004853"/>
    <w:rsid w:val="00004DAD"/>
    <w:rsid w:val="00005402"/>
    <w:rsid w:val="00006B94"/>
    <w:rsid w:val="00010EE5"/>
    <w:rsid w:val="00012249"/>
    <w:rsid w:val="00022EAC"/>
    <w:rsid w:val="00025453"/>
    <w:rsid w:val="0002650F"/>
    <w:rsid w:val="00030EE2"/>
    <w:rsid w:val="000448ED"/>
    <w:rsid w:val="000458CB"/>
    <w:rsid w:val="00045CE8"/>
    <w:rsid w:val="00046414"/>
    <w:rsid w:val="00046D5E"/>
    <w:rsid w:val="00047E2F"/>
    <w:rsid w:val="00050BCE"/>
    <w:rsid w:val="0005393E"/>
    <w:rsid w:val="00053E73"/>
    <w:rsid w:val="00054AF2"/>
    <w:rsid w:val="00056325"/>
    <w:rsid w:val="000571C4"/>
    <w:rsid w:val="00061AEC"/>
    <w:rsid w:val="00062988"/>
    <w:rsid w:val="000657C7"/>
    <w:rsid w:val="00065BE7"/>
    <w:rsid w:val="00066E18"/>
    <w:rsid w:val="000720D7"/>
    <w:rsid w:val="00083CF4"/>
    <w:rsid w:val="000851F4"/>
    <w:rsid w:val="000859B2"/>
    <w:rsid w:val="000923A4"/>
    <w:rsid w:val="000939A6"/>
    <w:rsid w:val="000947C1"/>
    <w:rsid w:val="000A09AF"/>
    <w:rsid w:val="000A3559"/>
    <w:rsid w:val="000A5F5B"/>
    <w:rsid w:val="000B0A91"/>
    <w:rsid w:val="000B1FCD"/>
    <w:rsid w:val="000B2F45"/>
    <w:rsid w:val="000B6BB2"/>
    <w:rsid w:val="000C089B"/>
    <w:rsid w:val="000C37C7"/>
    <w:rsid w:val="000C3838"/>
    <w:rsid w:val="000C4120"/>
    <w:rsid w:val="000C58DC"/>
    <w:rsid w:val="000C5FAD"/>
    <w:rsid w:val="000D35A5"/>
    <w:rsid w:val="000D6E0B"/>
    <w:rsid w:val="000D6E35"/>
    <w:rsid w:val="000D74FA"/>
    <w:rsid w:val="000D79B4"/>
    <w:rsid w:val="000E0064"/>
    <w:rsid w:val="000E1CC3"/>
    <w:rsid w:val="000E61BB"/>
    <w:rsid w:val="000E6730"/>
    <w:rsid w:val="000F0AF6"/>
    <w:rsid w:val="000F5E84"/>
    <w:rsid w:val="00100A19"/>
    <w:rsid w:val="001011D3"/>
    <w:rsid w:val="00106050"/>
    <w:rsid w:val="00107904"/>
    <w:rsid w:val="001143D4"/>
    <w:rsid w:val="00115360"/>
    <w:rsid w:val="00115E82"/>
    <w:rsid w:val="001171B9"/>
    <w:rsid w:val="001218CA"/>
    <w:rsid w:val="00125AC3"/>
    <w:rsid w:val="00127FC4"/>
    <w:rsid w:val="00132400"/>
    <w:rsid w:val="00133732"/>
    <w:rsid w:val="001369E9"/>
    <w:rsid w:val="0013739C"/>
    <w:rsid w:val="001431AF"/>
    <w:rsid w:val="00144528"/>
    <w:rsid w:val="001511C5"/>
    <w:rsid w:val="0015273F"/>
    <w:rsid w:val="0015306E"/>
    <w:rsid w:val="00153870"/>
    <w:rsid w:val="00160260"/>
    <w:rsid w:val="00160606"/>
    <w:rsid w:val="00162145"/>
    <w:rsid w:val="0016652D"/>
    <w:rsid w:val="00166543"/>
    <w:rsid w:val="00170B6D"/>
    <w:rsid w:val="001724DF"/>
    <w:rsid w:val="001726B7"/>
    <w:rsid w:val="00172A27"/>
    <w:rsid w:val="00172BDA"/>
    <w:rsid w:val="00172D19"/>
    <w:rsid w:val="001732A7"/>
    <w:rsid w:val="0017579A"/>
    <w:rsid w:val="001777F8"/>
    <w:rsid w:val="00177DE8"/>
    <w:rsid w:val="00177E04"/>
    <w:rsid w:val="00184837"/>
    <w:rsid w:val="00187F26"/>
    <w:rsid w:val="00190270"/>
    <w:rsid w:val="001917A8"/>
    <w:rsid w:val="001A26A1"/>
    <w:rsid w:val="001A2700"/>
    <w:rsid w:val="001A5587"/>
    <w:rsid w:val="001B0956"/>
    <w:rsid w:val="001B3F2D"/>
    <w:rsid w:val="001B4948"/>
    <w:rsid w:val="001B5175"/>
    <w:rsid w:val="001B60D2"/>
    <w:rsid w:val="001B623B"/>
    <w:rsid w:val="001B667C"/>
    <w:rsid w:val="001B7473"/>
    <w:rsid w:val="001B7DF3"/>
    <w:rsid w:val="001C3AA1"/>
    <w:rsid w:val="001C583B"/>
    <w:rsid w:val="001C66F4"/>
    <w:rsid w:val="001D3DDA"/>
    <w:rsid w:val="001D72C5"/>
    <w:rsid w:val="001D75CC"/>
    <w:rsid w:val="001E0625"/>
    <w:rsid w:val="001E458E"/>
    <w:rsid w:val="001E6092"/>
    <w:rsid w:val="001E68D3"/>
    <w:rsid w:val="001E72FC"/>
    <w:rsid w:val="001F29C6"/>
    <w:rsid w:val="001F5D1A"/>
    <w:rsid w:val="001F7A32"/>
    <w:rsid w:val="0020093D"/>
    <w:rsid w:val="00212619"/>
    <w:rsid w:val="002152F7"/>
    <w:rsid w:val="00215668"/>
    <w:rsid w:val="002178E0"/>
    <w:rsid w:val="00220C43"/>
    <w:rsid w:val="002214B9"/>
    <w:rsid w:val="00222689"/>
    <w:rsid w:val="00223627"/>
    <w:rsid w:val="002270F1"/>
    <w:rsid w:val="00227933"/>
    <w:rsid w:val="002359D4"/>
    <w:rsid w:val="00237C4B"/>
    <w:rsid w:val="00241C15"/>
    <w:rsid w:val="002446EA"/>
    <w:rsid w:val="00246DEC"/>
    <w:rsid w:val="00251396"/>
    <w:rsid w:val="002526DD"/>
    <w:rsid w:val="0026750A"/>
    <w:rsid w:val="00291BB6"/>
    <w:rsid w:val="00293097"/>
    <w:rsid w:val="00295D96"/>
    <w:rsid w:val="002A6653"/>
    <w:rsid w:val="002A77B9"/>
    <w:rsid w:val="002B4A32"/>
    <w:rsid w:val="002B5280"/>
    <w:rsid w:val="002C0995"/>
    <w:rsid w:val="002C16CF"/>
    <w:rsid w:val="002C204D"/>
    <w:rsid w:val="002C49F7"/>
    <w:rsid w:val="002C7B9E"/>
    <w:rsid w:val="002D26B5"/>
    <w:rsid w:val="002D6A42"/>
    <w:rsid w:val="002D7944"/>
    <w:rsid w:val="002D7D28"/>
    <w:rsid w:val="002D7D71"/>
    <w:rsid w:val="002E1BD4"/>
    <w:rsid w:val="002E23EB"/>
    <w:rsid w:val="002E485A"/>
    <w:rsid w:val="002E6792"/>
    <w:rsid w:val="002E703C"/>
    <w:rsid w:val="002F2CDC"/>
    <w:rsid w:val="002F3D11"/>
    <w:rsid w:val="002F4CD2"/>
    <w:rsid w:val="0030392A"/>
    <w:rsid w:val="003045D6"/>
    <w:rsid w:val="0031198D"/>
    <w:rsid w:val="00316F3A"/>
    <w:rsid w:val="00321EE1"/>
    <w:rsid w:val="00322E66"/>
    <w:rsid w:val="003238AF"/>
    <w:rsid w:val="0033032B"/>
    <w:rsid w:val="0033233E"/>
    <w:rsid w:val="003354D9"/>
    <w:rsid w:val="00336E82"/>
    <w:rsid w:val="00337B6B"/>
    <w:rsid w:val="00341CEA"/>
    <w:rsid w:val="0035115F"/>
    <w:rsid w:val="00352BBC"/>
    <w:rsid w:val="00352D20"/>
    <w:rsid w:val="0036250E"/>
    <w:rsid w:val="00363640"/>
    <w:rsid w:val="00364608"/>
    <w:rsid w:val="00377456"/>
    <w:rsid w:val="003775CA"/>
    <w:rsid w:val="00382F61"/>
    <w:rsid w:val="003847A7"/>
    <w:rsid w:val="00386A7C"/>
    <w:rsid w:val="00390CAF"/>
    <w:rsid w:val="00394DA6"/>
    <w:rsid w:val="00397CD1"/>
    <w:rsid w:val="003B148D"/>
    <w:rsid w:val="003B1F83"/>
    <w:rsid w:val="003C1205"/>
    <w:rsid w:val="003C300D"/>
    <w:rsid w:val="003D31B1"/>
    <w:rsid w:val="003D5C70"/>
    <w:rsid w:val="003E4EE3"/>
    <w:rsid w:val="003E7FEB"/>
    <w:rsid w:val="00400C99"/>
    <w:rsid w:val="004011BB"/>
    <w:rsid w:val="0040447C"/>
    <w:rsid w:val="00411240"/>
    <w:rsid w:val="004142E6"/>
    <w:rsid w:val="004151AE"/>
    <w:rsid w:val="004161EB"/>
    <w:rsid w:val="004200E9"/>
    <w:rsid w:val="00422D3C"/>
    <w:rsid w:val="00423717"/>
    <w:rsid w:val="00424243"/>
    <w:rsid w:val="00425CD1"/>
    <w:rsid w:val="00431C5D"/>
    <w:rsid w:val="00434B44"/>
    <w:rsid w:val="00440758"/>
    <w:rsid w:val="0044080A"/>
    <w:rsid w:val="004411EE"/>
    <w:rsid w:val="0044223E"/>
    <w:rsid w:val="00462D6F"/>
    <w:rsid w:val="004633FC"/>
    <w:rsid w:val="0046362F"/>
    <w:rsid w:val="00466513"/>
    <w:rsid w:val="00466E3F"/>
    <w:rsid w:val="00472673"/>
    <w:rsid w:val="004779D6"/>
    <w:rsid w:val="00480482"/>
    <w:rsid w:val="00490214"/>
    <w:rsid w:val="004913C5"/>
    <w:rsid w:val="004929E2"/>
    <w:rsid w:val="00497BEA"/>
    <w:rsid w:val="004A00AB"/>
    <w:rsid w:val="004A02F7"/>
    <w:rsid w:val="004A659B"/>
    <w:rsid w:val="004A75B2"/>
    <w:rsid w:val="004B396D"/>
    <w:rsid w:val="004B4D30"/>
    <w:rsid w:val="004C0033"/>
    <w:rsid w:val="004C08C4"/>
    <w:rsid w:val="004C137F"/>
    <w:rsid w:val="004C22A1"/>
    <w:rsid w:val="004C3F68"/>
    <w:rsid w:val="004C4203"/>
    <w:rsid w:val="004C4F9F"/>
    <w:rsid w:val="004C500C"/>
    <w:rsid w:val="004C521D"/>
    <w:rsid w:val="004C7499"/>
    <w:rsid w:val="004D34F9"/>
    <w:rsid w:val="004E0818"/>
    <w:rsid w:val="004E3AB9"/>
    <w:rsid w:val="004E481E"/>
    <w:rsid w:val="004E50EA"/>
    <w:rsid w:val="004F0D00"/>
    <w:rsid w:val="004F172D"/>
    <w:rsid w:val="004F30A5"/>
    <w:rsid w:val="0050231D"/>
    <w:rsid w:val="00507637"/>
    <w:rsid w:val="005112E1"/>
    <w:rsid w:val="00514FE8"/>
    <w:rsid w:val="0052063E"/>
    <w:rsid w:val="00521A21"/>
    <w:rsid w:val="00530FEB"/>
    <w:rsid w:val="00531338"/>
    <w:rsid w:val="0053249E"/>
    <w:rsid w:val="005332BF"/>
    <w:rsid w:val="005340E2"/>
    <w:rsid w:val="00541690"/>
    <w:rsid w:val="0054497E"/>
    <w:rsid w:val="0054604A"/>
    <w:rsid w:val="00553801"/>
    <w:rsid w:val="005544A1"/>
    <w:rsid w:val="00554696"/>
    <w:rsid w:val="00554C0D"/>
    <w:rsid w:val="00557C5F"/>
    <w:rsid w:val="005649B6"/>
    <w:rsid w:val="00567130"/>
    <w:rsid w:val="00570134"/>
    <w:rsid w:val="0057226B"/>
    <w:rsid w:val="0057588C"/>
    <w:rsid w:val="00575C53"/>
    <w:rsid w:val="005763A1"/>
    <w:rsid w:val="005769E9"/>
    <w:rsid w:val="00580428"/>
    <w:rsid w:val="0058768D"/>
    <w:rsid w:val="00597C31"/>
    <w:rsid w:val="005A37B4"/>
    <w:rsid w:val="005B45CC"/>
    <w:rsid w:val="005B5AC9"/>
    <w:rsid w:val="005B63AD"/>
    <w:rsid w:val="005B66A5"/>
    <w:rsid w:val="005B7013"/>
    <w:rsid w:val="005C0CE9"/>
    <w:rsid w:val="005C4515"/>
    <w:rsid w:val="005C5FDA"/>
    <w:rsid w:val="005D3DE6"/>
    <w:rsid w:val="005D5291"/>
    <w:rsid w:val="005D66E7"/>
    <w:rsid w:val="005D6929"/>
    <w:rsid w:val="005E1E93"/>
    <w:rsid w:val="005F0728"/>
    <w:rsid w:val="005F316C"/>
    <w:rsid w:val="005F3572"/>
    <w:rsid w:val="005F581D"/>
    <w:rsid w:val="005F66BA"/>
    <w:rsid w:val="005F6E4E"/>
    <w:rsid w:val="005F780E"/>
    <w:rsid w:val="00600D64"/>
    <w:rsid w:val="00601CE6"/>
    <w:rsid w:val="00601F90"/>
    <w:rsid w:val="006046CC"/>
    <w:rsid w:val="00605F3C"/>
    <w:rsid w:val="00611906"/>
    <w:rsid w:val="00621B91"/>
    <w:rsid w:val="00624C85"/>
    <w:rsid w:val="00625816"/>
    <w:rsid w:val="00626F8A"/>
    <w:rsid w:val="00631157"/>
    <w:rsid w:val="00633D43"/>
    <w:rsid w:val="00634F57"/>
    <w:rsid w:val="00635FDE"/>
    <w:rsid w:val="006427FA"/>
    <w:rsid w:val="00643539"/>
    <w:rsid w:val="00645D9C"/>
    <w:rsid w:val="00647708"/>
    <w:rsid w:val="0065211E"/>
    <w:rsid w:val="00656FB7"/>
    <w:rsid w:val="00661885"/>
    <w:rsid w:val="00663962"/>
    <w:rsid w:val="00667073"/>
    <w:rsid w:val="006700E0"/>
    <w:rsid w:val="00671C05"/>
    <w:rsid w:val="006736C5"/>
    <w:rsid w:val="0067438D"/>
    <w:rsid w:val="00676432"/>
    <w:rsid w:val="00680479"/>
    <w:rsid w:val="006805E8"/>
    <w:rsid w:val="006825E3"/>
    <w:rsid w:val="00683314"/>
    <w:rsid w:val="006839AB"/>
    <w:rsid w:val="006840B6"/>
    <w:rsid w:val="006906F3"/>
    <w:rsid w:val="00694C07"/>
    <w:rsid w:val="006A1AFE"/>
    <w:rsid w:val="006A361E"/>
    <w:rsid w:val="006A3F80"/>
    <w:rsid w:val="006A5B26"/>
    <w:rsid w:val="006A64A2"/>
    <w:rsid w:val="006B215C"/>
    <w:rsid w:val="006B56F1"/>
    <w:rsid w:val="006C2AD2"/>
    <w:rsid w:val="006C47EF"/>
    <w:rsid w:val="006C5B33"/>
    <w:rsid w:val="006D09AA"/>
    <w:rsid w:val="006D2F1F"/>
    <w:rsid w:val="006D418A"/>
    <w:rsid w:val="006D61B4"/>
    <w:rsid w:val="006D6453"/>
    <w:rsid w:val="006D7C82"/>
    <w:rsid w:val="006E059E"/>
    <w:rsid w:val="006E2343"/>
    <w:rsid w:val="006E36EB"/>
    <w:rsid w:val="006E578F"/>
    <w:rsid w:val="006E6D5E"/>
    <w:rsid w:val="006F4586"/>
    <w:rsid w:val="00707035"/>
    <w:rsid w:val="00710118"/>
    <w:rsid w:val="00710C2C"/>
    <w:rsid w:val="00711644"/>
    <w:rsid w:val="00714828"/>
    <w:rsid w:val="00722CCE"/>
    <w:rsid w:val="007312D7"/>
    <w:rsid w:val="00731EA7"/>
    <w:rsid w:val="00737834"/>
    <w:rsid w:val="00741892"/>
    <w:rsid w:val="007464E6"/>
    <w:rsid w:val="007534E4"/>
    <w:rsid w:val="00755E31"/>
    <w:rsid w:val="007602DF"/>
    <w:rsid w:val="00761BC5"/>
    <w:rsid w:val="00767871"/>
    <w:rsid w:val="00767974"/>
    <w:rsid w:val="0077075A"/>
    <w:rsid w:val="007768A1"/>
    <w:rsid w:val="00784417"/>
    <w:rsid w:val="007859AE"/>
    <w:rsid w:val="00792A25"/>
    <w:rsid w:val="007B18C6"/>
    <w:rsid w:val="007B3FC6"/>
    <w:rsid w:val="007B5179"/>
    <w:rsid w:val="007B63AD"/>
    <w:rsid w:val="007B730B"/>
    <w:rsid w:val="007C1F4A"/>
    <w:rsid w:val="007C21C7"/>
    <w:rsid w:val="007D07F5"/>
    <w:rsid w:val="007D37AF"/>
    <w:rsid w:val="007D6684"/>
    <w:rsid w:val="007D79BE"/>
    <w:rsid w:val="007D7AA0"/>
    <w:rsid w:val="007E0AD6"/>
    <w:rsid w:val="007E1896"/>
    <w:rsid w:val="007E2A24"/>
    <w:rsid w:val="007E361E"/>
    <w:rsid w:val="007E42C2"/>
    <w:rsid w:val="007E6005"/>
    <w:rsid w:val="007E604A"/>
    <w:rsid w:val="007E7193"/>
    <w:rsid w:val="007F5218"/>
    <w:rsid w:val="0080515F"/>
    <w:rsid w:val="00806607"/>
    <w:rsid w:val="00806D44"/>
    <w:rsid w:val="008114F5"/>
    <w:rsid w:val="00814BA8"/>
    <w:rsid w:val="00817020"/>
    <w:rsid w:val="00817314"/>
    <w:rsid w:val="00820131"/>
    <w:rsid w:val="008206AE"/>
    <w:rsid w:val="00823784"/>
    <w:rsid w:val="00835A9B"/>
    <w:rsid w:val="0083654B"/>
    <w:rsid w:val="008419E8"/>
    <w:rsid w:val="00844E16"/>
    <w:rsid w:val="00845F1B"/>
    <w:rsid w:val="00860421"/>
    <w:rsid w:val="008605F3"/>
    <w:rsid w:val="00863284"/>
    <w:rsid w:val="0086654C"/>
    <w:rsid w:val="00867E96"/>
    <w:rsid w:val="00871F60"/>
    <w:rsid w:val="00872DEC"/>
    <w:rsid w:val="0087311A"/>
    <w:rsid w:val="0087440E"/>
    <w:rsid w:val="00877242"/>
    <w:rsid w:val="00877D77"/>
    <w:rsid w:val="00880D1D"/>
    <w:rsid w:val="00886FD7"/>
    <w:rsid w:val="0089065A"/>
    <w:rsid w:val="0089191F"/>
    <w:rsid w:val="00893B52"/>
    <w:rsid w:val="00894737"/>
    <w:rsid w:val="00896276"/>
    <w:rsid w:val="00897984"/>
    <w:rsid w:val="008A08C1"/>
    <w:rsid w:val="008A23D8"/>
    <w:rsid w:val="008A5DC1"/>
    <w:rsid w:val="008B0F6F"/>
    <w:rsid w:val="008B27E6"/>
    <w:rsid w:val="008B2A39"/>
    <w:rsid w:val="008B4B12"/>
    <w:rsid w:val="008B57A1"/>
    <w:rsid w:val="008B5932"/>
    <w:rsid w:val="008B62F1"/>
    <w:rsid w:val="008B6C4A"/>
    <w:rsid w:val="008C16D0"/>
    <w:rsid w:val="008C1D46"/>
    <w:rsid w:val="008D1236"/>
    <w:rsid w:val="008D6C31"/>
    <w:rsid w:val="008E2A17"/>
    <w:rsid w:val="008E4E58"/>
    <w:rsid w:val="008F38F0"/>
    <w:rsid w:val="008F72B5"/>
    <w:rsid w:val="008F79B2"/>
    <w:rsid w:val="00906B23"/>
    <w:rsid w:val="009132E4"/>
    <w:rsid w:val="009144F6"/>
    <w:rsid w:val="00914E19"/>
    <w:rsid w:val="00914E76"/>
    <w:rsid w:val="00916538"/>
    <w:rsid w:val="009216B2"/>
    <w:rsid w:val="00921A3D"/>
    <w:rsid w:val="0092387B"/>
    <w:rsid w:val="0093095C"/>
    <w:rsid w:val="0094011B"/>
    <w:rsid w:val="0094357B"/>
    <w:rsid w:val="00944363"/>
    <w:rsid w:val="0095308E"/>
    <w:rsid w:val="00953D95"/>
    <w:rsid w:val="00955F2B"/>
    <w:rsid w:val="00956E59"/>
    <w:rsid w:val="00963FDD"/>
    <w:rsid w:val="009642CD"/>
    <w:rsid w:val="009656E6"/>
    <w:rsid w:val="009670E2"/>
    <w:rsid w:val="0097079B"/>
    <w:rsid w:val="0098161E"/>
    <w:rsid w:val="009816BB"/>
    <w:rsid w:val="00986025"/>
    <w:rsid w:val="009863B4"/>
    <w:rsid w:val="0099018E"/>
    <w:rsid w:val="00991CEB"/>
    <w:rsid w:val="009920BB"/>
    <w:rsid w:val="00997604"/>
    <w:rsid w:val="009A0C93"/>
    <w:rsid w:val="009A2C82"/>
    <w:rsid w:val="009A5168"/>
    <w:rsid w:val="009B011C"/>
    <w:rsid w:val="009B15CB"/>
    <w:rsid w:val="009B1CE8"/>
    <w:rsid w:val="009B553B"/>
    <w:rsid w:val="009B56C2"/>
    <w:rsid w:val="009B5CA5"/>
    <w:rsid w:val="009C11E1"/>
    <w:rsid w:val="009C2808"/>
    <w:rsid w:val="009C45C3"/>
    <w:rsid w:val="009C72A7"/>
    <w:rsid w:val="009C7E4E"/>
    <w:rsid w:val="009D11A4"/>
    <w:rsid w:val="009D63E6"/>
    <w:rsid w:val="009D64AE"/>
    <w:rsid w:val="009D664E"/>
    <w:rsid w:val="009D7B62"/>
    <w:rsid w:val="009E44FC"/>
    <w:rsid w:val="009E4CFD"/>
    <w:rsid w:val="009E50B5"/>
    <w:rsid w:val="009F5A8E"/>
    <w:rsid w:val="009F7D29"/>
    <w:rsid w:val="00A011F0"/>
    <w:rsid w:val="00A01462"/>
    <w:rsid w:val="00A0659C"/>
    <w:rsid w:val="00A107E2"/>
    <w:rsid w:val="00A155E7"/>
    <w:rsid w:val="00A20710"/>
    <w:rsid w:val="00A22667"/>
    <w:rsid w:val="00A23717"/>
    <w:rsid w:val="00A2531E"/>
    <w:rsid w:val="00A25FD9"/>
    <w:rsid w:val="00A314C9"/>
    <w:rsid w:val="00A32CAB"/>
    <w:rsid w:val="00A349C0"/>
    <w:rsid w:val="00A352FE"/>
    <w:rsid w:val="00A40ED8"/>
    <w:rsid w:val="00A46B4A"/>
    <w:rsid w:val="00A47709"/>
    <w:rsid w:val="00A50ABD"/>
    <w:rsid w:val="00A52D31"/>
    <w:rsid w:val="00A57BB3"/>
    <w:rsid w:val="00A6231A"/>
    <w:rsid w:val="00A63A48"/>
    <w:rsid w:val="00A6610B"/>
    <w:rsid w:val="00A80D2E"/>
    <w:rsid w:val="00A81DEB"/>
    <w:rsid w:val="00A86F7E"/>
    <w:rsid w:val="00A90B17"/>
    <w:rsid w:val="00A95F8D"/>
    <w:rsid w:val="00A96D0D"/>
    <w:rsid w:val="00A97359"/>
    <w:rsid w:val="00AA42CC"/>
    <w:rsid w:val="00AA68D1"/>
    <w:rsid w:val="00AA699B"/>
    <w:rsid w:val="00AA6DD2"/>
    <w:rsid w:val="00AB0EAA"/>
    <w:rsid w:val="00AB166F"/>
    <w:rsid w:val="00AB1758"/>
    <w:rsid w:val="00AB2ACA"/>
    <w:rsid w:val="00AB4221"/>
    <w:rsid w:val="00AB4346"/>
    <w:rsid w:val="00AB4B9A"/>
    <w:rsid w:val="00AB61A1"/>
    <w:rsid w:val="00AB7AF3"/>
    <w:rsid w:val="00AC35B8"/>
    <w:rsid w:val="00AC36CA"/>
    <w:rsid w:val="00AC4D9F"/>
    <w:rsid w:val="00AD0530"/>
    <w:rsid w:val="00AD1176"/>
    <w:rsid w:val="00AD3759"/>
    <w:rsid w:val="00AD4807"/>
    <w:rsid w:val="00AD5FB2"/>
    <w:rsid w:val="00AD7C6E"/>
    <w:rsid w:val="00AE4D25"/>
    <w:rsid w:val="00AE796F"/>
    <w:rsid w:val="00AF7501"/>
    <w:rsid w:val="00B0153B"/>
    <w:rsid w:val="00B03353"/>
    <w:rsid w:val="00B045DA"/>
    <w:rsid w:val="00B062DE"/>
    <w:rsid w:val="00B06CB4"/>
    <w:rsid w:val="00B105F9"/>
    <w:rsid w:val="00B10D54"/>
    <w:rsid w:val="00B13A83"/>
    <w:rsid w:val="00B176C1"/>
    <w:rsid w:val="00B21DAE"/>
    <w:rsid w:val="00B2423B"/>
    <w:rsid w:val="00B277FE"/>
    <w:rsid w:val="00B30314"/>
    <w:rsid w:val="00B3175C"/>
    <w:rsid w:val="00B328A3"/>
    <w:rsid w:val="00B3405D"/>
    <w:rsid w:val="00B3486B"/>
    <w:rsid w:val="00B36CF1"/>
    <w:rsid w:val="00B40FF0"/>
    <w:rsid w:val="00B462A1"/>
    <w:rsid w:val="00B53C92"/>
    <w:rsid w:val="00B56961"/>
    <w:rsid w:val="00B57D43"/>
    <w:rsid w:val="00B62200"/>
    <w:rsid w:val="00B66605"/>
    <w:rsid w:val="00B676A7"/>
    <w:rsid w:val="00B72845"/>
    <w:rsid w:val="00B74C66"/>
    <w:rsid w:val="00B91851"/>
    <w:rsid w:val="00B922D3"/>
    <w:rsid w:val="00B969E4"/>
    <w:rsid w:val="00BA2AA2"/>
    <w:rsid w:val="00BA5943"/>
    <w:rsid w:val="00BB1B89"/>
    <w:rsid w:val="00BB2D20"/>
    <w:rsid w:val="00BC1D3F"/>
    <w:rsid w:val="00BC21A8"/>
    <w:rsid w:val="00BC3F6C"/>
    <w:rsid w:val="00BC4767"/>
    <w:rsid w:val="00BD046E"/>
    <w:rsid w:val="00BD2525"/>
    <w:rsid w:val="00BD3F96"/>
    <w:rsid w:val="00BD4C05"/>
    <w:rsid w:val="00BD6920"/>
    <w:rsid w:val="00BE02A2"/>
    <w:rsid w:val="00BE3305"/>
    <w:rsid w:val="00BE4376"/>
    <w:rsid w:val="00BE7F4B"/>
    <w:rsid w:val="00BF064A"/>
    <w:rsid w:val="00BF34E6"/>
    <w:rsid w:val="00BF3CBD"/>
    <w:rsid w:val="00BF661F"/>
    <w:rsid w:val="00BF6990"/>
    <w:rsid w:val="00BF6F8E"/>
    <w:rsid w:val="00C00DC7"/>
    <w:rsid w:val="00C02FA7"/>
    <w:rsid w:val="00C03BE6"/>
    <w:rsid w:val="00C04277"/>
    <w:rsid w:val="00C04463"/>
    <w:rsid w:val="00C05595"/>
    <w:rsid w:val="00C07A38"/>
    <w:rsid w:val="00C11DF7"/>
    <w:rsid w:val="00C14A8F"/>
    <w:rsid w:val="00C21D39"/>
    <w:rsid w:val="00C24ED1"/>
    <w:rsid w:val="00C2566C"/>
    <w:rsid w:val="00C25ECE"/>
    <w:rsid w:val="00C32EF2"/>
    <w:rsid w:val="00C4083D"/>
    <w:rsid w:val="00C41EC4"/>
    <w:rsid w:val="00C43836"/>
    <w:rsid w:val="00C464C2"/>
    <w:rsid w:val="00C54017"/>
    <w:rsid w:val="00C5450C"/>
    <w:rsid w:val="00C55112"/>
    <w:rsid w:val="00C55CB3"/>
    <w:rsid w:val="00C55CD5"/>
    <w:rsid w:val="00C5733D"/>
    <w:rsid w:val="00C62FC3"/>
    <w:rsid w:val="00C74CCB"/>
    <w:rsid w:val="00C75D21"/>
    <w:rsid w:val="00C7732D"/>
    <w:rsid w:val="00C813C4"/>
    <w:rsid w:val="00C85DCD"/>
    <w:rsid w:val="00C90458"/>
    <w:rsid w:val="00C9110D"/>
    <w:rsid w:val="00C95F88"/>
    <w:rsid w:val="00CA161A"/>
    <w:rsid w:val="00CA66D2"/>
    <w:rsid w:val="00CA7F63"/>
    <w:rsid w:val="00CB5BAE"/>
    <w:rsid w:val="00CC0216"/>
    <w:rsid w:val="00CC0E1E"/>
    <w:rsid w:val="00CC148D"/>
    <w:rsid w:val="00CC60B4"/>
    <w:rsid w:val="00CC6477"/>
    <w:rsid w:val="00CD03A9"/>
    <w:rsid w:val="00CD2E3F"/>
    <w:rsid w:val="00CE5D8F"/>
    <w:rsid w:val="00CE7514"/>
    <w:rsid w:val="00CF2E34"/>
    <w:rsid w:val="00CF2FBA"/>
    <w:rsid w:val="00CF3C4A"/>
    <w:rsid w:val="00CF4786"/>
    <w:rsid w:val="00D010EE"/>
    <w:rsid w:val="00D053C3"/>
    <w:rsid w:val="00D07012"/>
    <w:rsid w:val="00D1282E"/>
    <w:rsid w:val="00D1398D"/>
    <w:rsid w:val="00D13E6E"/>
    <w:rsid w:val="00D25BDE"/>
    <w:rsid w:val="00D276FE"/>
    <w:rsid w:val="00D31341"/>
    <w:rsid w:val="00D33117"/>
    <w:rsid w:val="00D4306A"/>
    <w:rsid w:val="00D443D7"/>
    <w:rsid w:val="00D47966"/>
    <w:rsid w:val="00D51F8C"/>
    <w:rsid w:val="00D64707"/>
    <w:rsid w:val="00D668F1"/>
    <w:rsid w:val="00D70976"/>
    <w:rsid w:val="00D7333D"/>
    <w:rsid w:val="00D74243"/>
    <w:rsid w:val="00D77A44"/>
    <w:rsid w:val="00D80415"/>
    <w:rsid w:val="00D8197E"/>
    <w:rsid w:val="00D83B6A"/>
    <w:rsid w:val="00D846DA"/>
    <w:rsid w:val="00D84DA8"/>
    <w:rsid w:val="00D8697E"/>
    <w:rsid w:val="00D93E0E"/>
    <w:rsid w:val="00D94796"/>
    <w:rsid w:val="00DA2A61"/>
    <w:rsid w:val="00DA661A"/>
    <w:rsid w:val="00DA77B8"/>
    <w:rsid w:val="00DB1BA2"/>
    <w:rsid w:val="00DB3CB7"/>
    <w:rsid w:val="00DC04AB"/>
    <w:rsid w:val="00DC1713"/>
    <w:rsid w:val="00DC31C9"/>
    <w:rsid w:val="00DC34AB"/>
    <w:rsid w:val="00DD05CF"/>
    <w:rsid w:val="00DD1A2F"/>
    <w:rsid w:val="00DD207F"/>
    <w:rsid w:val="00DD25F6"/>
    <w:rsid w:val="00DD61FA"/>
    <w:rsid w:val="00DD76C5"/>
    <w:rsid w:val="00DE09BE"/>
    <w:rsid w:val="00DE0B02"/>
    <w:rsid w:val="00DE1395"/>
    <w:rsid w:val="00DE4891"/>
    <w:rsid w:val="00DE53DB"/>
    <w:rsid w:val="00DE583E"/>
    <w:rsid w:val="00DE7517"/>
    <w:rsid w:val="00DF15F4"/>
    <w:rsid w:val="00E05B04"/>
    <w:rsid w:val="00E07C48"/>
    <w:rsid w:val="00E14CEE"/>
    <w:rsid w:val="00E15D28"/>
    <w:rsid w:val="00E17129"/>
    <w:rsid w:val="00E17F26"/>
    <w:rsid w:val="00E221DD"/>
    <w:rsid w:val="00E23182"/>
    <w:rsid w:val="00E236C1"/>
    <w:rsid w:val="00E23F86"/>
    <w:rsid w:val="00E26B67"/>
    <w:rsid w:val="00E331EC"/>
    <w:rsid w:val="00E34A2D"/>
    <w:rsid w:val="00E4152D"/>
    <w:rsid w:val="00E416D8"/>
    <w:rsid w:val="00E42BB2"/>
    <w:rsid w:val="00E45EDE"/>
    <w:rsid w:val="00E50A7B"/>
    <w:rsid w:val="00E52055"/>
    <w:rsid w:val="00E558B6"/>
    <w:rsid w:val="00E55CCD"/>
    <w:rsid w:val="00E5711A"/>
    <w:rsid w:val="00E6008D"/>
    <w:rsid w:val="00E629B7"/>
    <w:rsid w:val="00E62CF1"/>
    <w:rsid w:val="00E65495"/>
    <w:rsid w:val="00E7167C"/>
    <w:rsid w:val="00E72B0F"/>
    <w:rsid w:val="00E72EFB"/>
    <w:rsid w:val="00E765CC"/>
    <w:rsid w:val="00E77C2C"/>
    <w:rsid w:val="00E80BA4"/>
    <w:rsid w:val="00E81ECA"/>
    <w:rsid w:val="00E85938"/>
    <w:rsid w:val="00E859FE"/>
    <w:rsid w:val="00E87EB7"/>
    <w:rsid w:val="00E903C8"/>
    <w:rsid w:val="00E91963"/>
    <w:rsid w:val="00E93766"/>
    <w:rsid w:val="00E94268"/>
    <w:rsid w:val="00E94B76"/>
    <w:rsid w:val="00E95B3D"/>
    <w:rsid w:val="00E9608B"/>
    <w:rsid w:val="00EA5889"/>
    <w:rsid w:val="00EA709F"/>
    <w:rsid w:val="00EB0BF6"/>
    <w:rsid w:val="00EB1E6A"/>
    <w:rsid w:val="00EB3626"/>
    <w:rsid w:val="00EB52C8"/>
    <w:rsid w:val="00EB567D"/>
    <w:rsid w:val="00EC43CB"/>
    <w:rsid w:val="00EC7034"/>
    <w:rsid w:val="00ED256A"/>
    <w:rsid w:val="00ED2A2A"/>
    <w:rsid w:val="00ED2C7C"/>
    <w:rsid w:val="00ED2D63"/>
    <w:rsid w:val="00ED454F"/>
    <w:rsid w:val="00ED6B77"/>
    <w:rsid w:val="00EE57CB"/>
    <w:rsid w:val="00EE610F"/>
    <w:rsid w:val="00EE706B"/>
    <w:rsid w:val="00EE763E"/>
    <w:rsid w:val="00EE76CC"/>
    <w:rsid w:val="00EF169F"/>
    <w:rsid w:val="00EF1C32"/>
    <w:rsid w:val="00EF1EE0"/>
    <w:rsid w:val="00F00082"/>
    <w:rsid w:val="00F00EF7"/>
    <w:rsid w:val="00F06855"/>
    <w:rsid w:val="00F07B34"/>
    <w:rsid w:val="00F14044"/>
    <w:rsid w:val="00F17011"/>
    <w:rsid w:val="00F217C1"/>
    <w:rsid w:val="00F237C3"/>
    <w:rsid w:val="00F2534A"/>
    <w:rsid w:val="00F27798"/>
    <w:rsid w:val="00F3091C"/>
    <w:rsid w:val="00F316AE"/>
    <w:rsid w:val="00F33520"/>
    <w:rsid w:val="00F3584E"/>
    <w:rsid w:val="00F36866"/>
    <w:rsid w:val="00F36EF7"/>
    <w:rsid w:val="00F36FAF"/>
    <w:rsid w:val="00F371AB"/>
    <w:rsid w:val="00F40AB0"/>
    <w:rsid w:val="00F46CA3"/>
    <w:rsid w:val="00F53BE1"/>
    <w:rsid w:val="00F54872"/>
    <w:rsid w:val="00F57638"/>
    <w:rsid w:val="00F62555"/>
    <w:rsid w:val="00F64F3D"/>
    <w:rsid w:val="00F651D9"/>
    <w:rsid w:val="00F66240"/>
    <w:rsid w:val="00F66364"/>
    <w:rsid w:val="00F67110"/>
    <w:rsid w:val="00F70F73"/>
    <w:rsid w:val="00F773EC"/>
    <w:rsid w:val="00F80167"/>
    <w:rsid w:val="00F848C6"/>
    <w:rsid w:val="00F8550B"/>
    <w:rsid w:val="00F86002"/>
    <w:rsid w:val="00F87C5B"/>
    <w:rsid w:val="00F87DE1"/>
    <w:rsid w:val="00F94085"/>
    <w:rsid w:val="00FA2791"/>
    <w:rsid w:val="00FA559F"/>
    <w:rsid w:val="00FB0848"/>
    <w:rsid w:val="00FB7698"/>
    <w:rsid w:val="00FC034C"/>
    <w:rsid w:val="00FC188A"/>
    <w:rsid w:val="00FC469A"/>
    <w:rsid w:val="00FC5EC7"/>
    <w:rsid w:val="00FC6AC0"/>
    <w:rsid w:val="00FC71E6"/>
    <w:rsid w:val="00FD2A65"/>
    <w:rsid w:val="00FD2B72"/>
    <w:rsid w:val="00FE1459"/>
    <w:rsid w:val="00FE5222"/>
    <w:rsid w:val="00FF0CA3"/>
    <w:rsid w:val="00FF1A5E"/>
    <w:rsid w:val="00FF5AA9"/>
    <w:rsid w:val="00FF5C5B"/>
    <w:rsid w:val="00FF6D6C"/>
    <w:rsid w:val="013C0007"/>
    <w:rsid w:val="0162159B"/>
    <w:rsid w:val="01B85939"/>
    <w:rsid w:val="01BB61BD"/>
    <w:rsid w:val="01D21907"/>
    <w:rsid w:val="01EB45F2"/>
    <w:rsid w:val="020625FB"/>
    <w:rsid w:val="02385327"/>
    <w:rsid w:val="02620527"/>
    <w:rsid w:val="02795380"/>
    <w:rsid w:val="02C96DB0"/>
    <w:rsid w:val="02FF6845"/>
    <w:rsid w:val="03C84E21"/>
    <w:rsid w:val="04022639"/>
    <w:rsid w:val="044A5EDE"/>
    <w:rsid w:val="04AA5F08"/>
    <w:rsid w:val="04D96AB8"/>
    <w:rsid w:val="050B40DD"/>
    <w:rsid w:val="050E40F8"/>
    <w:rsid w:val="062F2669"/>
    <w:rsid w:val="06A25EEE"/>
    <w:rsid w:val="06C03CAC"/>
    <w:rsid w:val="06D95264"/>
    <w:rsid w:val="07394DD0"/>
    <w:rsid w:val="07996087"/>
    <w:rsid w:val="08932267"/>
    <w:rsid w:val="08A22BF8"/>
    <w:rsid w:val="08C259F6"/>
    <w:rsid w:val="08D23882"/>
    <w:rsid w:val="08FA03DC"/>
    <w:rsid w:val="090E1FF0"/>
    <w:rsid w:val="09212C58"/>
    <w:rsid w:val="097C0FAA"/>
    <w:rsid w:val="0A002254"/>
    <w:rsid w:val="0A087413"/>
    <w:rsid w:val="0A147A53"/>
    <w:rsid w:val="0A3C0A8D"/>
    <w:rsid w:val="0A3D307F"/>
    <w:rsid w:val="0AB441DD"/>
    <w:rsid w:val="0ABC1ED9"/>
    <w:rsid w:val="0AF82081"/>
    <w:rsid w:val="0BA835B8"/>
    <w:rsid w:val="0BBB373A"/>
    <w:rsid w:val="0C0C5AAE"/>
    <w:rsid w:val="0C947A29"/>
    <w:rsid w:val="0CC84DF3"/>
    <w:rsid w:val="0D203C9B"/>
    <w:rsid w:val="0D56303B"/>
    <w:rsid w:val="0DD4218D"/>
    <w:rsid w:val="0EA51D38"/>
    <w:rsid w:val="0F051957"/>
    <w:rsid w:val="0F0A008A"/>
    <w:rsid w:val="0F1B3632"/>
    <w:rsid w:val="0F301163"/>
    <w:rsid w:val="0F334C38"/>
    <w:rsid w:val="0F642CF8"/>
    <w:rsid w:val="0FB73D2F"/>
    <w:rsid w:val="0FC758F8"/>
    <w:rsid w:val="0FF06A88"/>
    <w:rsid w:val="10147E0F"/>
    <w:rsid w:val="10266D7B"/>
    <w:rsid w:val="102B5060"/>
    <w:rsid w:val="10406177"/>
    <w:rsid w:val="10FB3C80"/>
    <w:rsid w:val="113809F6"/>
    <w:rsid w:val="119D01C8"/>
    <w:rsid w:val="12207515"/>
    <w:rsid w:val="123546C8"/>
    <w:rsid w:val="12BF5DF8"/>
    <w:rsid w:val="13216104"/>
    <w:rsid w:val="133A6CC1"/>
    <w:rsid w:val="137F4200"/>
    <w:rsid w:val="139C13BB"/>
    <w:rsid w:val="13A75DAC"/>
    <w:rsid w:val="13CA09F7"/>
    <w:rsid w:val="13D939C8"/>
    <w:rsid w:val="13DF413D"/>
    <w:rsid w:val="143B4022"/>
    <w:rsid w:val="144A2B13"/>
    <w:rsid w:val="144C4A34"/>
    <w:rsid w:val="14692254"/>
    <w:rsid w:val="146E6FF5"/>
    <w:rsid w:val="14AB35FB"/>
    <w:rsid w:val="14BB34A7"/>
    <w:rsid w:val="14F50F46"/>
    <w:rsid w:val="15327CA7"/>
    <w:rsid w:val="157732FC"/>
    <w:rsid w:val="15FE6B6D"/>
    <w:rsid w:val="16047B0A"/>
    <w:rsid w:val="16221E39"/>
    <w:rsid w:val="16236A1C"/>
    <w:rsid w:val="1665050A"/>
    <w:rsid w:val="168F3FC1"/>
    <w:rsid w:val="169D0AD8"/>
    <w:rsid w:val="172F259E"/>
    <w:rsid w:val="174906AB"/>
    <w:rsid w:val="174F5E14"/>
    <w:rsid w:val="182F2EB5"/>
    <w:rsid w:val="18305A48"/>
    <w:rsid w:val="187015C3"/>
    <w:rsid w:val="189A6EC9"/>
    <w:rsid w:val="18CB5AC6"/>
    <w:rsid w:val="18EF2867"/>
    <w:rsid w:val="19055902"/>
    <w:rsid w:val="192C6C17"/>
    <w:rsid w:val="19FB778E"/>
    <w:rsid w:val="1A0845CE"/>
    <w:rsid w:val="1A5A653E"/>
    <w:rsid w:val="1AA12791"/>
    <w:rsid w:val="1AC934B7"/>
    <w:rsid w:val="1AF81FEE"/>
    <w:rsid w:val="1B1A3F56"/>
    <w:rsid w:val="1B39508C"/>
    <w:rsid w:val="1B3F29C7"/>
    <w:rsid w:val="1BA1188B"/>
    <w:rsid w:val="1BCE0761"/>
    <w:rsid w:val="1C0F2E9C"/>
    <w:rsid w:val="1C612F73"/>
    <w:rsid w:val="1C7D70BD"/>
    <w:rsid w:val="1CAF5EA6"/>
    <w:rsid w:val="1CC506F8"/>
    <w:rsid w:val="1CF2415D"/>
    <w:rsid w:val="1D640B2F"/>
    <w:rsid w:val="1E307161"/>
    <w:rsid w:val="1E8459D7"/>
    <w:rsid w:val="1ECE5B24"/>
    <w:rsid w:val="1F1D2A14"/>
    <w:rsid w:val="1F2148E7"/>
    <w:rsid w:val="1F3C5FFF"/>
    <w:rsid w:val="1F3D1604"/>
    <w:rsid w:val="1F5D0D59"/>
    <w:rsid w:val="1F787A0A"/>
    <w:rsid w:val="1F9F6779"/>
    <w:rsid w:val="1FCF0E22"/>
    <w:rsid w:val="20077526"/>
    <w:rsid w:val="203A33BA"/>
    <w:rsid w:val="20F25437"/>
    <w:rsid w:val="212F64BC"/>
    <w:rsid w:val="214B6E00"/>
    <w:rsid w:val="21692707"/>
    <w:rsid w:val="219730D1"/>
    <w:rsid w:val="21B345B5"/>
    <w:rsid w:val="21C51DFB"/>
    <w:rsid w:val="21D700B7"/>
    <w:rsid w:val="21D963BE"/>
    <w:rsid w:val="22322BE0"/>
    <w:rsid w:val="22764F96"/>
    <w:rsid w:val="22A5481F"/>
    <w:rsid w:val="22AF2762"/>
    <w:rsid w:val="22BA496D"/>
    <w:rsid w:val="230C2EF7"/>
    <w:rsid w:val="23134F76"/>
    <w:rsid w:val="233F546C"/>
    <w:rsid w:val="23871813"/>
    <w:rsid w:val="23E94CB0"/>
    <w:rsid w:val="24140310"/>
    <w:rsid w:val="243C5887"/>
    <w:rsid w:val="245851F6"/>
    <w:rsid w:val="25764DB6"/>
    <w:rsid w:val="25A33F10"/>
    <w:rsid w:val="25DB5C14"/>
    <w:rsid w:val="25F52650"/>
    <w:rsid w:val="266A0EB5"/>
    <w:rsid w:val="268649AB"/>
    <w:rsid w:val="269C7711"/>
    <w:rsid w:val="26C9458B"/>
    <w:rsid w:val="26F0310B"/>
    <w:rsid w:val="2781724E"/>
    <w:rsid w:val="27A71B32"/>
    <w:rsid w:val="27FB5E50"/>
    <w:rsid w:val="27FD0101"/>
    <w:rsid w:val="28251848"/>
    <w:rsid w:val="2829057B"/>
    <w:rsid w:val="288B6F3E"/>
    <w:rsid w:val="288D19A1"/>
    <w:rsid w:val="28EB2EE5"/>
    <w:rsid w:val="29124F7B"/>
    <w:rsid w:val="293C0FF3"/>
    <w:rsid w:val="293D1A07"/>
    <w:rsid w:val="29611443"/>
    <w:rsid w:val="297A2260"/>
    <w:rsid w:val="29CF7159"/>
    <w:rsid w:val="2A550833"/>
    <w:rsid w:val="2A5E0991"/>
    <w:rsid w:val="2A616496"/>
    <w:rsid w:val="2A67344C"/>
    <w:rsid w:val="2AA25D4B"/>
    <w:rsid w:val="2AC25681"/>
    <w:rsid w:val="2AE15F6D"/>
    <w:rsid w:val="2B28535F"/>
    <w:rsid w:val="2B324AEE"/>
    <w:rsid w:val="2B366D72"/>
    <w:rsid w:val="2BBA2A4D"/>
    <w:rsid w:val="2BE4228F"/>
    <w:rsid w:val="2BEA19B8"/>
    <w:rsid w:val="2C2B327B"/>
    <w:rsid w:val="2CBD4E08"/>
    <w:rsid w:val="2D6459B8"/>
    <w:rsid w:val="2D900F1E"/>
    <w:rsid w:val="2D90548E"/>
    <w:rsid w:val="2DCE7877"/>
    <w:rsid w:val="2E426D24"/>
    <w:rsid w:val="2E503288"/>
    <w:rsid w:val="2E8E1FA8"/>
    <w:rsid w:val="2EE76A63"/>
    <w:rsid w:val="2F53333C"/>
    <w:rsid w:val="2FCF38F4"/>
    <w:rsid w:val="2FF479A2"/>
    <w:rsid w:val="2FFE0506"/>
    <w:rsid w:val="300B243D"/>
    <w:rsid w:val="302F785C"/>
    <w:rsid w:val="30901F3D"/>
    <w:rsid w:val="309B7C47"/>
    <w:rsid w:val="31CF4FB5"/>
    <w:rsid w:val="32134BBA"/>
    <w:rsid w:val="328C5A54"/>
    <w:rsid w:val="32A10A97"/>
    <w:rsid w:val="32AB6ADD"/>
    <w:rsid w:val="32BC5610"/>
    <w:rsid w:val="33A043AE"/>
    <w:rsid w:val="33AE4AA0"/>
    <w:rsid w:val="345A52C4"/>
    <w:rsid w:val="347B7798"/>
    <w:rsid w:val="34953230"/>
    <w:rsid w:val="34BD5638"/>
    <w:rsid w:val="34F35160"/>
    <w:rsid w:val="35090AC8"/>
    <w:rsid w:val="35102141"/>
    <w:rsid w:val="35193004"/>
    <w:rsid w:val="354030ED"/>
    <w:rsid w:val="35A93573"/>
    <w:rsid w:val="3627310D"/>
    <w:rsid w:val="36941E25"/>
    <w:rsid w:val="36D264D8"/>
    <w:rsid w:val="36E653D5"/>
    <w:rsid w:val="376D2DA2"/>
    <w:rsid w:val="37B07A7B"/>
    <w:rsid w:val="38530109"/>
    <w:rsid w:val="38A731D0"/>
    <w:rsid w:val="390B273E"/>
    <w:rsid w:val="39136190"/>
    <w:rsid w:val="394A5C9D"/>
    <w:rsid w:val="397270FA"/>
    <w:rsid w:val="39BC7D90"/>
    <w:rsid w:val="39D7038C"/>
    <w:rsid w:val="3A2A4EC5"/>
    <w:rsid w:val="3A6E06A9"/>
    <w:rsid w:val="3A745EF5"/>
    <w:rsid w:val="3A9659C1"/>
    <w:rsid w:val="3AE617DC"/>
    <w:rsid w:val="3B115D13"/>
    <w:rsid w:val="3B3F20D2"/>
    <w:rsid w:val="3B597A59"/>
    <w:rsid w:val="3B5B643B"/>
    <w:rsid w:val="3B820508"/>
    <w:rsid w:val="3B9B1F32"/>
    <w:rsid w:val="3C1E28EE"/>
    <w:rsid w:val="3C4166B2"/>
    <w:rsid w:val="3C69438A"/>
    <w:rsid w:val="3C914884"/>
    <w:rsid w:val="3C980B6F"/>
    <w:rsid w:val="3CBD19FA"/>
    <w:rsid w:val="3DD41933"/>
    <w:rsid w:val="3DD72946"/>
    <w:rsid w:val="3E3D2177"/>
    <w:rsid w:val="3E4D2DB7"/>
    <w:rsid w:val="3E4E6376"/>
    <w:rsid w:val="3E6B1947"/>
    <w:rsid w:val="3E8D6B21"/>
    <w:rsid w:val="3F06752F"/>
    <w:rsid w:val="3F6119DD"/>
    <w:rsid w:val="4021710D"/>
    <w:rsid w:val="40311F9D"/>
    <w:rsid w:val="405A550A"/>
    <w:rsid w:val="40D63E2B"/>
    <w:rsid w:val="40E43DC9"/>
    <w:rsid w:val="40E75D7E"/>
    <w:rsid w:val="41CB0627"/>
    <w:rsid w:val="41DC429C"/>
    <w:rsid w:val="41EB5CB5"/>
    <w:rsid w:val="421551E2"/>
    <w:rsid w:val="42254899"/>
    <w:rsid w:val="422A1A07"/>
    <w:rsid w:val="42CF3FC4"/>
    <w:rsid w:val="42FA721C"/>
    <w:rsid w:val="43665216"/>
    <w:rsid w:val="44070728"/>
    <w:rsid w:val="44090311"/>
    <w:rsid w:val="441B2E6A"/>
    <w:rsid w:val="444572E8"/>
    <w:rsid w:val="44714970"/>
    <w:rsid w:val="44825B98"/>
    <w:rsid w:val="448B6CF5"/>
    <w:rsid w:val="44D81AAD"/>
    <w:rsid w:val="452774EC"/>
    <w:rsid w:val="452B0731"/>
    <w:rsid w:val="457148DF"/>
    <w:rsid w:val="457C0C7E"/>
    <w:rsid w:val="45E8304E"/>
    <w:rsid w:val="45EC17B9"/>
    <w:rsid w:val="45F76490"/>
    <w:rsid w:val="45F861E1"/>
    <w:rsid w:val="463830AB"/>
    <w:rsid w:val="46896661"/>
    <w:rsid w:val="46BC6216"/>
    <w:rsid w:val="47117CF1"/>
    <w:rsid w:val="472B4AD7"/>
    <w:rsid w:val="478551BE"/>
    <w:rsid w:val="47907D9B"/>
    <w:rsid w:val="47B8315F"/>
    <w:rsid w:val="47E57A2C"/>
    <w:rsid w:val="48330165"/>
    <w:rsid w:val="48667CC5"/>
    <w:rsid w:val="4885166B"/>
    <w:rsid w:val="48AA518C"/>
    <w:rsid w:val="48E40CC7"/>
    <w:rsid w:val="48E45884"/>
    <w:rsid w:val="48EB62D2"/>
    <w:rsid w:val="492C67CC"/>
    <w:rsid w:val="493E5B0B"/>
    <w:rsid w:val="495D5F7E"/>
    <w:rsid w:val="49790378"/>
    <w:rsid w:val="49EB0E4B"/>
    <w:rsid w:val="4A4F1A3A"/>
    <w:rsid w:val="4A6358AE"/>
    <w:rsid w:val="4A8318E3"/>
    <w:rsid w:val="4AE93D30"/>
    <w:rsid w:val="4AFF1B0B"/>
    <w:rsid w:val="4BB12033"/>
    <w:rsid w:val="4BF06B03"/>
    <w:rsid w:val="4BFD5ED1"/>
    <w:rsid w:val="4C192CCB"/>
    <w:rsid w:val="4C1E6B76"/>
    <w:rsid w:val="4C202877"/>
    <w:rsid w:val="4C266296"/>
    <w:rsid w:val="4C4216B0"/>
    <w:rsid w:val="4C484B4B"/>
    <w:rsid w:val="4C85486A"/>
    <w:rsid w:val="4CDB125F"/>
    <w:rsid w:val="4CEC703E"/>
    <w:rsid w:val="4CFC3529"/>
    <w:rsid w:val="4D064BEB"/>
    <w:rsid w:val="4D66163C"/>
    <w:rsid w:val="4DA15E9C"/>
    <w:rsid w:val="4DA64CC3"/>
    <w:rsid w:val="4DF139E3"/>
    <w:rsid w:val="4DFB65D5"/>
    <w:rsid w:val="4E4B66B0"/>
    <w:rsid w:val="4E8D6872"/>
    <w:rsid w:val="4E93668F"/>
    <w:rsid w:val="4ED35B25"/>
    <w:rsid w:val="4ED91D06"/>
    <w:rsid w:val="4EE40DC8"/>
    <w:rsid w:val="4EF16C79"/>
    <w:rsid w:val="4F26303D"/>
    <w:rsid w:val="4F6E7DA9"/>
    <w:rsid w:val="4F905051"/>
    <w:rsid w:val="4FAA6CD7"/>
    <w:rsid w:val="4FFD171F"/>
    <w:rsid w:val="502A51AB"/>
    <w:rsid w:val="5091315F"/>
    <w:rsid w:val="5124375A"/>
    <w:rsid w:val="51521769"/>
    <w:rsid w:val="519C1341"/>
    <w:rsid w:val="519F6507"/>
    <w:rsid w:val="51A27095"/>
    <w:rsid w:val="51B15B98"/>
    <w:rsid w:val="51E12C52"/>
    <w:rsid w:val="51E4049B"/>
    <w:rsid w:val="52734E7B"/>
    <w:rsid w:val="52997281"/>
    <w:rsid w:val="529F66D1"/>
    <w:rsid w:val="53EA1EA1"/>
    <w:rsid w:val="53FF452E"/>
    <w:rsid w:val="54594012"/>
    <w:rsid w:val="54B04D65"/>
    <w:rsid w:val="54EE5A3A"/>
    <w:rsid w:val="55657D26"/>
    <w:rsid w:val="56286EF5"/>
    <w:rsid w:val="564E7462"/>
    <w:rsid w:val="565A1835"/>
    <w:rsid w:val="56AD6862"/>
    <w:rsid w:val="57791C75"/>
    <w:rsid w:val="577B4EBB"/>
    <w:rsid w:val="57B617AB"/>
    <w:rsid w:val="58151EE2"/>
    <w:rsid w:val="584C42FE"/>
    <w:rsid w:val="5856190E"/>
    <w:rsid w:val="585B3AB8"/>
    <w:rsid w:val="586300B0"/>
    <w:rsid w:val="586C15A6"/>
    <w:rsid w:val="58732AF0"/>
    <w:rsid w:val="58F505D4"/>
    <w:rsid w:val="590644CD"/>
    <w:rsid w:val="590C69EC"/>
    <w:rsid w:val="59B870AC"/>
    <w:rsid w:val="59FC5E38"/>
    <w:rsid w:val="5A3C32B3"/>
    <w:rsid w:val="5A4D3B1B"/>
    <w:rsid w:val="5AA10B25"/>
    <w:rsid w:val="5B045A8D"/>
    <w:rsid w:val="5B7B3EE4"/>
    <w:rsid w:val="5BC546AB"/>
    <w:rsid w:val="5C243BD7"/>
    <w:rsid w:val="5C491078"/>
    <w:rsid w:val="5CD61264"/>
    <w:rsid w:val="5CE31AF3"/>
    <w:rsid w:val="5D073E02"/>
    <w:rsid w:val="5D371976"/>
    <w:rsid w:val="5D5B684D"/>
    <w:rsid w:val="5D9246F5"/>
    <w:rsid w:val="5DC51066"/>
    <w:rsid w:val="5DF47B6B"/>
    <w:rsid w:val="5E4E3EED"/>
    <w:rsid w:val="5E5653E7"/>
    <w:rsid w:val="5E645268"/>
    <w:rsid w:val="5E885B1B"/>
    <w:rsid w:val="5EC44A50"/>
    <w:rsid w:val="5EDB322A"/>
    <w:rsid w:val="5EE240B6"/>
    <w:rsid w:val="5F427FDD"/>
    <w:rsid w:val="6015514F"/>
    <w:rsid w:val="60481EFD"/>
    <w:rsid w:val="604F334E"/>
    <w:rsid w:val="60A40A49"/>
    <w:rsid w:val="60E467FB"/>
    <w:rsid w:val="612E0F45"/>
    <w:rsid w:val="61501B8A"/>
    <w:rsid w:val="61564143"/>
    <w:rsid w:val="617C0E30"/>
    <w:rsid w:val="617C33F9"/>
    <w:rsid w:val="617F54AD"/>
    <w:rsid w:val="61907A39"/>
    <w:rsid w:val="62514446"/>
    <w:rsid w:val="62555481"/>
    <w:rsid w:val="627F5760"/>
    <w:rsid w:val="62E47405"/>
    <w:rsid w:val="63641231"/>
    <w:rsid w:val="63956584"/>
    <w:rsid w:val="64520456"/>
    <w:rsid w:val="64881A93"/>
    <w:rsid w:val="64A77F63"/>
    <w:rsid w:val="64BD5A8C"/>
    <w:rsid w:val="64D8306F"/>
    <w:rsid w:val="650631E7"/>
    <w:rsid w:val="650679A9"/>
    <w:rsid w:val="653D0CAF"/>
    <w:rsid w:val="6557469C"/>
    <w:rsid w:val="65645EFA"/>
    <w:rsid w:val="656A2AE6"/>
    <w:rsid w:val="657A309B"/>
    <w:rsid w:val="665105B6"/>
    <w:rsid w:val="66834D76"/>
    <w:rsid w:val="66B44F24"/>
    <w:rsid w:val="67011D77"/>
    <w:rsid w:val="67125365"/>
    <w:rsid w:val="676A4BA2"/>
    <w:rsid w:val="679503FD"/>
    <w:rsid w:val="67D33415"/>
    <w:rsid w:val="688750A2"/>
    <w:rsid w:val="68A730EA"/>
    <w:rsid w:val="69595208"/>
    <w:rsid w:val="698E1E86"/>
    <w:rsid w:val="6A5D4326"/>
    <w:rsid w:val="6A6D0618"/>
    <w:rsid w:val="6A7449B2"/>
    <w:rsid w:val="6AC43F09"/>
    <w:rsid w:val="6B0C7886"/>
    <w:rsid w:val="6B113535"/>
    <w:rsid w:val="6B154DDE"/>
    <w:rsid w:val="6B196C1B"/>
    <w:rsid w:val="6B247CEA"/>
    <w:rsid w:val="6C7A0F7D"/>
    <w:rsid w:val="6C7B14DC"/>
    <w:rsid w:val="6CAC58B6"/>
    <w:rsid w:val="6CE7029A"/>
    <w:rsid w:val="6D4551AE"/>
    <w:rsid w:val="6D6305A2"/>
    <w:rsid w:val="6DA06C1D"/>
    <w:rsid w:val="6E5C3553"/>
    <w:rsid w:val="6E9A5C7F"/>
    <w:rsid w:val="6E9C4161"/>
    <w:rsid w:val="6EE64456"/>
    <w:rsid w:val="6EEF0261"/>
    <w:rsid w:val="6EFF15C2"/>
    <w:rsid w:val="6F9C4EF8"/>
    <w:rsid w:val="6FC93450"/>
    <w:rsid w:val="700D68C2"/>
    <w:rsid w:val="703C2D18"/>
    <w:rsid w:val="705160B5"/>
    <w:rsid w:val="70965124"/>
    <w:rsid w:val="70A455FA"/>
    <w:rsid w:val="70C97E1B"/>
    <w:rsid w:val="70F23E30"/>
    <w:rsid w:val="711F0AED"/>
    <w:rsid w:val="713549AA"/>
    <w:rsid w:val="713B0273"/>
    <w:rsid w:val="71742B40"/>
    <w:rsid w:val="717A2D6D"/>
    <w:rsid w:val="71B50F1F"/>
    <w:rsid w:val="71C00E88"/>
    <w:rsid w:val="71CF7886"/>
    <w:rsid w:val="72163527"/>
    <w:rsid w:val="72212A38"/>
    <w:rsid w:val="727F77CE"/>
    <w:rsid w:val="72B30178"/>
    <w:rsid w:val="72E160B4"/>
    <w:rsid w:val="72E61592"/>
    <w:rsid w:val="730E1962"/>
    <w:rsid w:val="73512B07"/>
    <w:rsid w:val="73A2366D"/>
    <w:rsid w:val="73B00F6E"/>
    <w:rsid w:val="73FC791E"/>
    <w:rsid w:val="74556E28"/>
    <w:rsid w:val="74B319D4"/>
    <w:rsid w:val="74D16F93"/>
    <w:rsid w:val="74FC356E"/>
    <w:rsid w:val="755A0912"/>
    <w:rsid w:val="77391286"/>
    <w:rsid w:val="77483CB0"/>
    <w:rsid w:val="776912B5"/>
    <w:rsid w:val="778F29C9"/>
    <w:rsid w:val="77C12254"/>
    <w:rsid w:val="77EC50F0"/>
    <w:rsid w:val="78036F78"/>
    <w:rsid w:val="785A6DF1"/>
    <w:rsid w:val="78734786"/>
    <w:rsid w:val="78CB4B0D"/>
    <w:rsid w:val="78D11849"/>
    <w:rsid w:val="78F47BF9"/>
    <w:rsid w:val="794E04F6"/>
    <w:rsid w:val="79D73A37"/>
    <w:rsid w:val="79E66C8C"/>
    <w:rsid w:val="79FF5D52"/>
    <w:rsid w:val="7A435AF2"/>
    <w:rsid w:val="7AC14E8D"/>
    <w:rsid w:val="7AD6607C"/>
    <w:rsid w:val="7AF1422A"/>
    <w:rsid w:val="7B490FC0"/>
    <w:rsid w:val="7BC55802"/>
    <w:rsid w:val="7BE03D3F"/>
    <w:rsid w:val="7BE31255"/>
    <w:rsid w:val="7C446192"/>
    <w:rsid w:val="7C581800"/>
    <w:rsid w:val="7CA56902"/>
    <w:rsid w:val="7CE50B11"/>
    <w:rsid w:val="7D1F5DBB"/>
    <w:rsid w:val="7D6B2213"/>
    <w:rsid w:val="7DB67961"/>
    <w:rsid w:val="7DE51DC0"/>
    <w:rsid w:val="7DF8570A"/>
    <w:rsid w:val="7E2C1CF7"/>
    <w:rsid w:val="7EC3290B"/>
    <w:rsid w:val="7ECF51B4"/>
    <w:rsid w:val="7ED0310B"/>
    <w:rsid w:val="CB72F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jc w:val="center"/>
      <w:outlineLvl w:val="0"/>
    </w:pPr>
    <w:rPr>
      <w:b/>
      <w:bCs/>
      <w:kern w:val="44"/>
      <w:sz w:val="30"/>
      <w:szCs w:val="44"/>
    </w:rPr>
  </w:style>
  <w:style w:type="paragraph" w:styleId="5">
    <w:name w:val="heading 2"/>
    <w:basedOn w:val="1"/>
    <w:next w:val="1"/>
    <w:qFormat/>
    <w:uiPriority w:val="0"/>
    <w:pPr>
      <w:keepNext/>
      <w:keepLines/>
      <w:spacing w:before="260" w:after="260" w:line="412"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5" w:lineRule="auto"/>
      <w:jc w:val="center"/>
      <w:outlineLvl w:val="2"/>
    </w:pPr>
    <w:rPr>
      <w:rFonts w:ascii="Calibri" w:hAnsi="Calibri"/>
      <w:b/>
      <w:bCs/>
      <w:sz w:val="28"/>
      <w:szCs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qFormat/>
    <w:uiPriority w:val="0"/>
    <w:pPr>
      <w:keepNext/>
      <w:keepLines/>
      <w:tabs>
        <w:tab w:val="left" w:pos="1800"/>
      </w:tabs>
      <w:spacing w:before="280" w:after="290" w:line="374" w:lineRule="auto"/>
      <w:ind w:left="1800" w:hanging="1800"/>
      <w:outlineLvl w:val="4"/>
    </w:pPr>
    <w:rPr>
      <w:b/>
      <w:bCs/>
      <w:sz w:val="28"/>
      <w:szCs w:val="28"/>
    </w:rPr>
  </w:style>
  <w:style w:type="paragraph" w:styleId="9">
    <w:name w:val="heading 6"/>
    <w:basedOn w:val="1"/>
    <w:next w:val="1"/>
    <w:qFormat/>
    <w:uiPriority w:val="0"/>
    <w:pPr>
      <w:keepNext/>
      <w:keepLines/>
      <w:adjustRightInd w:val="0"/>
      <w:spacing w:before="240" w:after="64" w:line="319" w:lineRule="auto"/>
      <w:textAlignment w:val="baseline"/>
      <w:outlineLvl w:val="5"/>
    </w:pPr>
    <w:rPr>
      <w:rFonts w:ascii="Arial" w:hAnsi="Arial" w:eastAsia="黑体"/>
      <w:b/>
      <w:szCs w:val="20"/>
    </w:rPr>
  </w:style>
  <w:style w:type="paragraph" w:styleId="10">
    <w:name w:val="heading 7"/>
    <w:basedOn w:val="1"/>
    <w:next w:val="1"/>
    <w:link w:val="116"/>
    <w:qFormat/>
    <w:uiPriority w:val="0"/>
    <w:pPr>
      <w:keepNext/>
      <w:keepLines/>
      <w:adjustRightInd w:val="0"/>
      <w:spacing w:before="240" w:after="64" w:line="319" w:lineRule="auto"/>
      <w:textAlignment w:val="baseline"/>
      <w:outlineLvl w:val="6"/>
    </w:pPr>
    <w:rPr>
      <w:b/>
      <w:szCs w:val="20"/>
    </w:rPr>
  </w:style>
  <w:style w:type="paragraph" w:styleId="11">
    <w:name w:val="heading 8"/>
    <w:basedOn w:val="1"/>
    <w:next w:val="1"/>
    <w:qFormat/>
    <w:uiPriority w:val="0"/>
    <w:pPr>
      <w:keepNext/>
      <w:keepLines/>
      <w:adjustRightInd w:val="0"/>
      <w:spacing w:before="240" w:after="64" w:line="319" w:lineRule="auto"/>
      <w:textAlignment w:val="baseline"/>
      <w:outlineLvl w:val="7"/>
    </w:pPr>
    <w:rPr>
      <w:rFonts w:ascii="Arial" w:hAnsi="Arial" w:eastAsia="黑体"/>
      <w:szCs w:val="20"/>
    </w:rPr>
  </w:style>
  <w:style w:type="paragraph" w:styleId="12">
    <w:name w:val="heading 9"/>
    <w:basedOn w:val="1"/>
    <w:next w:val="1"/>
    <w:qFormat/>
    <w:uiPriority w:val="0"/>
    <w:pPr>
      <w:keepNext/>
      <w:keepLines/>
      <w:adjustRightInd w:val="0"/>
      <w:spacing w:before="240" w:after="64" w:line="319" w:lineRule="auto"/>
      <w:textAlignment w:val="baseline"/>
      <w:outlineLvl w:val="8"/>
    </w:pPr>
    <w:rPr>
      <w:rFonts w:ascii="Arial" w:hAnsi="Arial" w:eastAsia="黑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21"/>
    <w:semiHidden/>
    <w:unhideWhenUsed/>
    <w:qFormat/>
    <w:uiPriority w:val="99"/>
    <w:pPr>
      <w:ind w:firstLine="420" w:firstLineChars="100"/>
    </w:pPr>
    <w:rPr>
      <w:sz w:val="21"/>
    </w:rPr>
  </w:style>
  <w:style w:type="paragraph" w:styleId="3">
    <w:name w:val="Body Text"/>
    <w:basedOn w:val="1"/>
    <w:next w:val="2"/>
    <w:link w:val="118"/>
    <w:qFormat/>
    <w:uiPriority w:val="0"/>
    <w:pPr>
      <w:spacing w:after="120"/>
    </w:pPr>
    <w:rPr>
      <w:sz w:val="28"/>
    </w:rPr>
  </w:style>
  <w:style w:type="paragraph" w:styleId="13">
    <w:name w:val="toc 7"/>
    <w:basedOn w:val="1"/>
    <w:next w:val="1"/>
    <w:qFormat/>
    <w:uiPriority w:val="0"/>
    <w:pPr>
      <w:ind w:left="1260"/>
      <w:jc w:val="left"/>
    </w:pPr>
    <w:rPr>
      <w:rFonts w:ascii="Calibri" w:hAnsi="Calibri" w:cs="Calibri"/>
      <w:sz w:val="18"/>
      <w:szCs w:val="18"/>
    </w:rPr>
  </w:style>
  <w:style w:type="paragraph" w:styleId="14">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5">
    <w:name w:val="Normal Indent"/>
    <w:basedOn w:val="1"/>
    <w:next w:val="1"/>
    <w:qFormat/>
    <w:uiPriority w:val="0"/>
    <w:pPr>
      <w:ind w:firstLine="420"/>
    </w:pPr>
    <w:rPr>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qFormat/>
    <w:uiPriority w:val="0"/>
    <w:pPr>
      <w:shd w:val="clear" w:color="auto" w:fill="000080"/>
    </w:pPr>
  </w:style>
  <w:style w:type="paragraph" w:styleId="18">
    <w:name w:val="annotation text"/>
    <w:basedOn w:val="1"/>
    <w:link w:val="117"/>
    <w:qFormat/>
    <w:uiPriority w:val="99"/>
  </w:style>
  <w:style w:type="paragraph" w:styleId="19">
    <w:name w:val="Body Text 3"/>
    <w:basedOn w:val="1"/>
    <w:qFormat/>
    <w:uiPriority w:val="0"/>
    <w:pPr>
      <w:snapToGrid w:val="0"/>
      <w:spacing w:before="50" w:after="50"/>
    </w:pPr>
    <w:rPr>
      <w:rFonts w:eastAsia="仿宋_GB2312"/>
      <w:b/>
      <w:bCs/>
      <w:sz w:val="24"/>
      <w:szCs w:val="20"/>
    </w:rPr>
  </w:style>
  <w:style w:type="paragraph" w:styleId="20">
    <w:name w:val="Body Text Indent"/>
    <w:basedOn w:val="1"/>
    <w:next w:val="21"/>
    <w:qFormat/>
    <w:uiPriority w:val="0"/>
    <w:pPr>
      <w:spacing w:line="200" w:lineRule="exact"/>
      <w:ind w:firstLine="301"/>
    </w:pPr>
    <w:rPr>
      <w:rFonts w:ascii="宋体"/>
      <w:spacing w:val="-4"/>
      <w:sz w:val="18"/>
      <w:szCs w:val="20"/>
    </w:rPr>
  </w:style>
  <w:style w:type="paragraph" w:styleId="21">
    <w:name w:val="Body Text First Indent 2"/>
    <w:basedOn w:val="20"/>
    <w:next w:val="2"/>
    <w:qFormat/>
    <w:uiPriority w:val="0"/>
    <w:pPr>
      <w:ind w:firstLine="420" w:firstLineChars="200"/>
    </w:pPr>
  </w:style>
  <w:style w:type="paragraph" w:styleId="22">
    <w:name w:val="List Number 3"/>
    <w:basedOn w:val="1"/>
    <w:qFormat/>
    <w:uiPriority w:val="0"/>
    <w:pPr>
      <w:numPr>
        <w:ilvl w:val="0"/>
        <w:numId w:val="1"/>
      </w:numPr>
    </w:pPr>
  </w:style>
  <w:style w:type="paragraph" w:styleId="23">
    <w:name w:val="List 2"/>
    <w:basedOn w:val="1"/>
    <w:qFormat/>
    <w:uiPriority w:val="0"/>
    <w:pPr>
      <w:ind w:left="400" w:leftChars="200" w:hanging="200" w:hangingChars="200"/>
    </w:pPr>
    <w:rPr>
      <w:sz w:val="28"/>
    </w:rPr>
  </w:style>
  <w:style w:type="paragraph" w:styleId="24">
    <w:name w:val="toc 5"/>
    <w:basedOn w:val="1"/>
    <w:next w:val="1"/>
    <w:qFormat/>
    <w:uiPriority w:val="0"/>
    <w:pPr>
      <w:ind w:left="840"/>
      <w:jc w:val="left"/>
    </w:pPr>
    <w:rPr>
      <w:rFonts w:ascii="Calibri" w:hAnsi="Calibri" w:cs="Calibri"/>
      <w:sz w:val="18"/>
      <w:szCs w:val="18"/>
    </w:rPr>
  </w:style>
  <w:style w:type="paragraph" w:styleId="25">
    <w:name w:val="toc 3"/>
    <w:basedOn w:val="1"/>
    <w:next w:val="1"/>
    <w:qFormat/>
    <w:uiPriority w:val="0"/>
    <w:pPr>
      <w:ind w:left="400" w:leftChars="400"/>
    </w:pPr>
  </w:style>
  <w:style w:type="paragraph" w:styleId="26">
    <w:name w:val="Plain Text"/>
    <w:basedOn w:val="1"/>
    <w:qFormat/>
    <w:uiPriority w:val="0"/>
    <w:pPr>
      <w:spacing w:beforeLines="50" w:afterLines="50" w:line="400" w:lineRule="exact"/>
    </w:pPr>
    <w:rPr>
      <w:rFonts w:ascii="宋体"/>
      <w:szCs w:val="21"/>
    </w:rPr>
  </w:style>
  <w:style w:type="paragraph" w:styleId="27">
    <w:name w:val="toc 8"/>
    <w:basedOn w:val="1"/>
    <w:next w:val="1"/>
    <w:qFormat/>
    <w:uiPriority w:val="0"/>
    <w:pPr>
      <w:ind w:left="1470"/>
      <w:jc w:val="left"/>
    </w:pPr>
    <w:rPr>
      <w:rFonts w:ascii="Calibri" w:hAnsi="Calibri" w:cs="Calibri"/>
      <w:sz w:val="18"/>
      <w:szCs w:val="18"/>
    </w:rPr>
  </w:style>
  <w:style w:type="paragraph" w:styleId="28">
    <w:name w:val="Date"/>
    <w:basedOn w:val="1"/>
    <w:next w:val="1"/>
    <w:link w:val="120"/>
    <w:qFormat/>
    <w:uiPriority w:val="0"/>
    <w:pPr>
      <w:ind w:left="2500" w:leftChars="2500"/>
    </w:pPr>
    <w:rPr>
      <w:rFonts w:eastAsia="楷体_GB2312"/>
      <w:sz w:val="32"/>
      <w:szCs w:val="20"/>
    </w:rPr>
  </w:style>
  <w:style w:type="paragraph" w:styleId="29">
    <w:name w:val="Body Text Indent 2"/>
    <w:basedOn w:val="1"/>
    <w:qFormat/>
    <w:uiPriority w:val="0"/>
    <w:pPr>
      <w:snapToGrid w:val="0"/>
      <w:ind w:firstLine="225" w:firstLineChars="225"/>
    </w:pPr>
    <w:rPr>
      <w:rFonts w:ascii="仿宋_GB2312" w:hAnsi="仿宋_GB2312"/>
      <w:b/>
      <w:bCs/>
      <w:color w:val="000000"/>
      <w:sz w:val="24"/>
    </w:rPr>
  </w:style>
  <w:style w:type="paragraph" w:styleId="30">
    <w:name w:val="endnote text"/>
    <w:basedOn w:val="1"/>
    <w:qFormat/>
    <w:uiPriority w:val="0"/>
    <w:pPr>
      <w:snapToGrid w:val="0"/>
      <w:jc w:val="left"/>
    </w:pPr>
  </w:style>
  <w:style w:type="paragraph" w:styleId="31">
    <w:name w:val="Balloon Text"/>
    <w:basedOn w:val="1"/>
    <w:qFormat/>
    <w:uiPriority w:val="0"/>
    <w:rPr>
      <w:sz w:val="18"/>
      <w:szCs w:val="18"/>
    </w:rPr>
  </w:style>
  <w:style w:type="paragraph" w:styleId="32">
    <w:name w:val="footer"/>
    <w:basedOn w:val="1"/>
    <w:link w:val="99"/>
    <w:qFormat/>
    <w:uiPriority w:val="99"/>
    <w:pPr>
      <w:tabs>
        <w:tab w:val="center" w:pos="4153"/>
        <w:tab w:val="right" w:pos="8306"/>
      </w:tabs>
      <w:snapToGrid w:val="0"/>
      <w:jc w:val="left"/>
    </w:pPr>
    <w:rPr>
      <w:rFonts w:eastAsia="黑体"/>
      <w:kern w:val="0"/>
      <w:sz w:val="18"/>
      <w:szCs w:val="18"/>
    </w:rPr>
  </w:style>
  <w:style w:type="paragraph" w:styleId="33">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4">
    <w:name w:val="toc 1"/>
    <w:basedOn w:val="1"/>
    <w:next w:val="1"/>
    <w:qFormat/>
    <w:uiPriority w:val="39"/>
    <w:pPr>
      <w:spacing w:before="600" w:after="600"/>
    </w:pPr>
    <w:rPr>
      <w:b/>
      <w:sz w:val="32"/>
    </w:rPr>
  </w:style>
  <w:style w:type="paragraph" w:styleId="35">
    <w:name w:val="toc 4"/>
    <w:basedOn w:val="1"/>
    <w:next w:val="1"/>
    <w:qFormat/>
    <w:uiPriority w:val="0"/>
    <w:pPr>
      <w:ind w:left="630"/>
      <w:jc w:val="left"/>
    </w:pPr>
    <w:rPr>
      <w:rFonts w:ascii="Calibri" w:hAnsi="Calibri" w:cs="Calibri"/>
      <w:sz w:val="18"/>
      <w:szCs w:val="18"/>
    </w:rPr>
  </w:style>
  <w:style w:type="paragraph" w:styleId="36">
    <w:name w:val="List"/>
    <w:basedOn w:val="1"/>
    <w:qFormat/>
    <w:uiPriority w:val="0"/>
    <w:pPr>
      <w:ind w:left="200" w:hanging="200" w:hangingChars="200"/>
    </w:pPr>
    <w:rPr>
      <w:sz w:val="28"/>
    </w:rPr>
  </w:style>
  <w:style w:type="paragraph" w:styleId="37">
    <w:name w:val="footnote text"/>
    <w:basedOn w:val="1"/>
    <w:qFormat/>
    <w:uiPriority w:val="0"/>
    <w:pPr>
      <w:snapToGrid w:val="0"/>
      <w:jc w:val="left"/>
    </w:pPr>
    <w:rPr>
      <w:sz w:val="18"/>
      <w:szCs w:val="18"/>
    </w:rPr>
  </w:style>
  <w:style w:type="paragraph" w:styleId="38">
    <w:name w:val="toc 6"/>
    <w:basedOn w:val="1"/>
    <w:next w:val="1"/>
    <w:qFormat/>
    <w:uiPriority w:val="0"/>
    <w:pPr>
      <w:ind w:left="1050"/>
      <w:jc w:val="left"/>
    </w:pPr>
    <w:rPr>
      <w:rFonts w:ascii="Calibri" w:hAnsi="Calibri" w:cs="Calibri"/>
      <w:sz w:val="18"/>
      <w:szCs w:val="18"/>
    </w:rPr>
  </w:style>
  <w:style w:type="paragraph" w:styleId="39">
    <w:name w:val="Body Text Indent 3"/>
    <w:basedOn w:val="1"/>
    <w:qFormat/>
    <w:uiPriority w:val="0"/>
    <w:pPr>
      <w:snapToGrid w:val="0"/>
      <w:ind w:firstLine="200" w:firstLineChars="200"/>
      <w:jc w:val="left"/>
    </w:pPr>
    <w:rPr>
      <w:sz w:val="16"/>
      <w:szCs w:val="16"/>
    </w:rPr>
  </w:style>
  <w:style w:type="paragraph" w:styleId="40">
    <w:name w:val="toc 2"/>
    <w:basedOn w:val="1"/>
    <w:next w:val="1"/>
    <w:qFormat/>
    <w:uiPriority w:val="39"/>
    <w:pPr>
      <w:ind w:left="200" w:leftChars="200"/>
    </w:pPr>
  </w:style>
  <w:style w:type="paragraph" w:styleId="41">
    <w:name w:val="toc 9"/>
    <w:basedOn w:val="1"/>
    <w:next w:val="1"/>
    <w:qFormat/>
    <w:uiPriority w:val="0"/>
    <w:pPr>
      <w:ind w:left="1680"/>
      <w:jc w:val="left"/>
    </w:pPr>
    <w:rPr>
      <w:rFonts w:ascii="Calibri" w:hAnsi="Calibri" w:cs="Calibri"/>
      <w:sz w:val="18"/>
      <w:szCs w:val="18"/>
    </w:rPr>
  </w:style>
  <w:style w:type="paragraph" w:styleId="42">
    <w:name w:val="Body Text 2"/>
    <w:basedOn w:val="1"/>
    <w:qFormat/>
    <w:uiPriority w:val="0"/>
    <w:pPr>
      <w:widowControl/>
      <w:snapToGrid w:val="0"/>
      <w:spacing w:before="50" w:afterLines="50" w:line="400" w:lineRule="exact"/>
      <w:jc w:val="left"/>
    </w:pPr>
    <w:rPr>
      <w:rFonts w:ascii="宋体"/>
      <w:color w:val="000000"/>
      <w:sz w:val="24"/>
    </w:rPr>
  </w:style>
  <w:style w:type="paragraph" w:styleId="43">
    <w:name w:val="Normal (Web)"/>
    <w:basedOn w:val="1"/>
    <w:link w:val="119"/>
    <w:qFormat/>
    <w:uiPriority w:val="99"/>
    <w:pPr>
      <w:widowControl/>
      <w:spacing w:before="100" w:beforeAutospacing="1" w:after="100" w:afterAutospacing="1"/>
      <w:jc w:val="left"/>
    </w:pPr>
    <w:rPr>
      <w:kern w:val="0"/>
      <w:sz w:val="24"/>
    </w:rPr>
  </w:style>
  <w:style w:type="paragraph" w:styleId="44">
    <w:name w:val="annotation subject"/>
    <w:basedOn w:val="18"/>
    <w:next w:val="18"/>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rPr>
  </w:style>
  <w:style w:type="character" w:styleId="49">
    <w:name w:val="page number"/>
    <w:basedOn w:val="47"/>
    <w:qFormat/>
    <w:uiPriority w:val="0"/>
  </w:style>
  <w:style w:type="character" w:styleId="50">
    <w:name w:val="FollowedHyperlink"/>
    <w:qFormat/>
    <w:uiPriority w:val="0"/>
    <w:rPr>
      <w:color w:val="333333"/>
      <w:sz w:val="16"/>
      <w:szCs w:val="0"/>
      <w:u w:val="none"/>
    </w:rPr>
  </w:style>
  <w:style w:type="character" w:styleId="51">
    <w:name w:val="Emphasis"/>
    <w:qFormat/>
    <w:uiPriority w:val="20"/>
  </w:style>
  <w:style w:type="character" w:styleId="52">
    <w:name w:val="Hyperlink"/>
    <w:qFormat/>
    <w:uiPriority w:val="99"/>
    <w:rPr>
      <w:color w:val="333333"/>
      <w:u w:val="none"/>
    </w:rPr>
  </w:style>
  <w:style w:type="character" w:styleId="53">
    <w:name w:val="annotation reference"/>
    <w:qFormat/>
    <w:uiPriority w:val="0"/>
    <w:rPr>
      <w:sz w:val="21"/>
      <w:szCs w:val="21"/>
    </w:rPr>
  </w:style>
  <w:style w:type="paragraph" w:customStyle="1" w:styleId="54">
    <w:name w:val="Char Char Char Char Char Char Char Char Char Char Char Char1 Char"/>
    <w:basedOn w:val="17"/>
    <w:qFormat/>
    <w:uiPriority w:val="0"/>
    <w:rPr>
      <w:rFonts w:ascii="Tahoma" w:hAnsi="Tahoma"/>
      <w:sz w:val="24"/>
    </w:rPr>
  </w:style>
  <w:style w:type="paragraph" w:customStyle="1" w:styleId="55">
    <w:name w:val="_Style 1"/>
    <w:basedOn w:val="1"/>
    <w:qFormat/>
    <w:uiPriority w:val="34"/>
    <w:pPr>
      <w:ind w:firstLine="420" w:firstLineChars="200"/>
    </w:pPr>
    <w:rPr>
      <w:rFonts w:ascii="Calibri" w:hAnsi="Calibri"/>
    </w:rPr>
  </w:style>
  <w:style w:type="paragraph" w:customStyle="1" w:styleId="56">
    <w:name w:val="列表段落1"/>
    <w:basedOn w:val="1"/>
    <w:qFormat/>
    <w:uiPriority w:val="0"/>
    <w:pPr>
      <w:ind w:firstLine="200" w:firstLineChars="200"/>
    </w:pPr>
    <w:rPr>
      <w:rFonts w:ascii="Calibri" w:hAnsi="Calibri" w:cs="Calibri"/>
    </w:rPr>
  </w:style>
  <w:style w:type="paragraph" w:styleId="57">
    <w:name w:val="List Paragraph"/>
    <w:basedOn w:val="1"/>
    <w:link w:val="124"/>
    <w:qFormat/>
    <w:uiPriority w:val="99"/>
    <w:pPr>
      <w:ind w:firstLine="420" w:firstLineChars="200"/>
    </w:pPr>
    <w:rPr>
      <w:rFonts w:ascii="Calibri" w:hAnsi="Calibri"/>
      <w:szCs w:val="22"/>
    </w:rPr>
  </w:style>
  <w:style w:type="paragraph" w:customStyle="1" w:styleId="58">
    <w:name w:val="样式 标题 3 +"/>
    <w:basedOn w:val="6"/>
    <w:qFormat/>
    <w:uiPriority w:val="0"/>
    <w:rPr>
      <w:kern w:val="0"/>
    </w:rPr>
  </w:style>
  <w:style w:type="paragraph" w:customStyle="1" w:styleId="59">
    <w:name w:val="Char1 Char Char Char"/>
    <w:basedOn w:val="1"/>
    <w:qFormat/>
    <w:uiPriority w:val="0"/>
    <w:pPr>
      <w:tabs>
        <w:tab w:val="left" w:pos="840"/>
      </w:tabs>
      <w:ind w:left="840" w:hanging="420"/>
    </w:pPr>
    <w:rPr>
      <w:sz w:val="24"/>
    </w:rPr>
  </w:style>
  <w:style w:type="paragraph" w:customStyle="1" w:styleId="60">
    <w:name w:val="xl66"/>
    <w:basedOn w:val="1"/>
    <w:qFormat/>
    <w:uiPriority w:val="0"/>
    <w:pPr>
      <w:widowControl/>
      <w:pBdr>
        <w:left w:val="single" w:color="auto" w:sz="4" w:space="0"/>
        <w:bottom w:val="single" w:color="auto" w:sz="4" w:space="0"/>
      </w:pBdr>
      <w:spacing w:before="100" w:beforeAutospacing="1" w:after="100" w:afterAutospacing="1"/>
      <w:jc w:val="center"/>
    </w:pPr>
    <w:rPr>
      <w:rFonts w:ascii="宋体"/>
      <w:kern w:val="0"/>
      <w:sz w:val="24"/>
    </w:rPr>
  </w:style>
  <w:style w:type="paragraph" w:customStyle="1" w:styleId="6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62">
    <w:name w:val="默认"/>
    <w:qFormat/>
    <w:uiPriority w:val="0"/>
    <w:rPr>
      <w:rFonts w:ascii="Helvetica" w:hAnsi="Arial Unicode MS" w:eastAsia="Arial Unicode MS" w:cs="Arial Unicode MS"/>
      <w:color w:val="000000"/>
      <w:sz w:val="22"/>
      <w:szCs w:val="22"/>
      <w:lang w:val="en-US" w:eastAsia="zh-CN" w:bidi="ar-SA"/>
    </w:rPr>
  </w:style>
  <w:style w:type="paragraph" w:customStyle="1" w:styleId="63">
    <w:name w:val="普通(网站)2"/>
    <w:basedOn w:val="1"/>
    <w:qFormat/>
    <w:uiPriority w:val="0"/>
    <w:pPr>
      <w:adjustRightInd w:val="0"/>
      <w:spacing w:line="360" w:lineRule="auto"/>
      <w:textAlignment w:val="baseline"/>
    </w:pPr>
    <w:rPr>
      <w:rFonts w:hAnsi="Calibri" w:eastAsia="仿宋"/>
      <w:kern w:val="0"/>
      <w:sz w:val="28"/>
    </w:rPr>
  </w:style>
  <w:style w:type="paragraph" w:customStyle="1" w:styleId="64">
    <w:name w:val="列出段落1"/>
    <w:basedOn w:val="1"/>
    <w:qFormat/>
    <w:uiPriority w:val="0"/>
    <w:pPr>
      <w:ind w:firstLine="200" w:firstLineChars="200"/>
    </w:pPr>
    <w:rPr>
      <w:rFonts w:ascii="Calibri" w:hAnsi="Calibri"/>
      <w:szCs w:val="22"/>
    </w:rPr>
  </w:style>
  <w:style w:type="paragraph" w:customStyle="1" w:styleId="65">
    <w:name w:val="p0"/>
    <w:basedOn w:val="1"/>
    <w:qFormat/>
    <w:uiPriority w:val="0"/>
    <w:pPr>
      <w:widowControl/>
    </w:pPr>
    <w:rPr>
      <w:kern w:val="0"/>
      <w:szCs w:val="21"/>
    </w:rPr>
  </w:style>
  <w:style w:type="paragraph" w:customStyle="1" w:styleId="66">
    <w:name w:val="彩色列表 - 强调文字颜色 11"/>
    <w:basedOn w:val="1"/>
    <w:qFormat/>
    <w:uiPriority w:val="0"/>
    <w:pPr>
      <w:ind w:firstLine="200" w:firstLineChars="200"/>
    </w:pPr>
    <w:rPr>
      <w:rFonts w:ascii="Calibri" w:hAnsi="Calibri"/>
      <w:szCs w:val="22"/>
    </w:rPr>
  </w:style>
  <w:style w:type="paragraph" w:customStyle="1" w:styleId="67">
    <w:name w:val="证文"/>
    <w:basedOn w:val="1"/>
    <w:qFormat/>
    <w:uiPriority w:val="0"/>
    <w:pPr>
      <w:spacing w:line="360" w:lineRule="auto"/>
    </w:pPr>
    <w:rPr>
      <w:sz w:val="24"/>
      <w:szCs w:val="20"/>
    </w:rPr>
  </w:style>
  <w:style w:type="paragraph" w:customStyle="1" w:styleId="68">
    <w:name w:val="正文空2格  1."/>
    <w:basedOn w:val="1"/>
    <w:qFormat/>
    <w:uiPriority w:val="0"/>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69">
    <w:name w:val="标准正文"/>
    <w:basedOn w:val="1"/>
    <w:qFormat/>
    <w:uiPriority w:val="0"/>
    <w:pPr>
      <w:spacing w:line="360" w:lineRule="auto"/>
      <w:ind w:firstLine="200" w:firstLineChars="200"/>
    </w:pPr>
    <w:rPr>
      <w:rFonts w:ascii="仿宋" w:eastAsia="仿宋"/>
      <w:sz w:val="28"/>
      <w:szCs w:val="21"/>
    </w:rPr>
  </w:style>
  <w:style w:type="paragraph" w:customStyle="1" w:styleId="7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71">
    <w:name w:val="xl24"/>
    <w:basedOn w:val="1"/>
    <w:qFormat/>
    <w:uiPriority w:val="0"/>
    <w:pPr>
      <w:widowControl/>
      <w:spacing w:before="100" w:beforeAutospacing="1" w:after="100" w:afterAutospacing="1"/>
      <w:jc w:val="center"/>
      <w:textAlignment w:val="center"/>
    </w:pPr>
    <w:rPr>
      <w:rFonts w:ascii="宋体"/>
      <w:kern w:val="0"/>
      <w:sz w:val="24"/>
    </w:rPr>
  </w:style>
  <w:style w:type="paragraph" w:customStyle="1" w:styleId="72">
    <w:name w:val="此正文"/>
    <w:basedOn w:val="1"/>
    <w:qFormat/>
    <w:uiPriority w:val="0"/>
    <w:pPr>
      <w:spacing w:line="360" w:lineRule="auto"/>
      <w:ind w:firstLine="200" w:firstLineChars="200"/>
    </w:pPr>
    <w:rPr>
      <w:sz w:val="24"/>
    </w:rPr>
  </w:style>
  <w:style w:type="paragraph" w:customStyle="1" w:styleId="73">
    <w:name w:val="自由格式 A"/>
    <w:qFormat/>
    <w:uiPriority w:val="0"/>
    <w:rPr>
      <w:rFonts w:ascii="Helvetica" w:hAnsi="Helvetica" w:eastAsia="ヒラギノ角ゴ Pro W3" w:cs="Times New Roman"/>
      <w:color w:val="000000"/>
      <w:sz w:val="24"/>
      <w:lang w:val="en-US" w:eastAsia="zh-CN" w:bidi="ar-SA"/>
    </w:rPr>
  </w:style>
  <w:style w:type="paragraph" w:customStyle="1" w:styleId="74">
    <w:name w:val="样式 标题 1 + 两端对齐"/>
    <w:basedOn w:val="5"/>
    <w:next w:val="5"/>
    <w:qFormat/>
    <w:uiPriority w:val="0"/>
    <w:pPr>
      <w:autoSpaceDE w:val="0"/>
      <w:autoSpaceDN w:val="0"/>
      <w:adjustRightInd w:val="0"/>
      <w:spacing w:before="340" w:after="330" w:line="240" w:lineRule="auto"/>
      <w:jc w:val="center"/>
    </w:pPr>
    <w:rPr>
      <w:rFonts w:ascii="汉鼎简细圆" w:hAnsi="汉鼎简细圆" w:eastAsia="宋体" w:cs="宋体"/>
      <w:kern w:val="44"/>
      <w:sz w:val="28"/>
      <w:szCs w:val="20"/>
    </w:rPr>
  </w:style>
  <w:style w:type="paragraph" w:customStyle="1" w:styleId="75">
    <w:name w:val="样式 标题 3 +1"/>
    <w:basedOn w:val="6"/>
    <w:qFormat/>
    <w:uiPriority w:val="0"/>
    <w:rPr>
      <w:kern w:val="0"/>
    </w:rPr>
  </w:style>
  <w:style w:type="paragraph" w:customStyle="1" w:styleId="76">
    <w:name w:val="默认段落字体 Para Char Char Char Char Char Char Char Char Char1 Char Char Char Char"/>
    <w:basedOn w:val="1"/>
    <w:qFormat/>
    <w:uiPriority w:val="0"/>
    <w:rPr>
      <w:rFonts w:ascii="Tahoma" w:hAnsi="Tahoma"/>
      <w:sz w:val="24"/>
      <w:szCs w:val="20"/>
    </w:rPr>
  </w:style>
  <w:style w:type="paragraph" w:customStyle="1" w:styleId="77">
    <w:name w:val="Char1"/>
    <w:basedOn w:val="1"/>
    <w:qFormat/>
    <w:uiPriority w:val="0"/>
    <w:rPr>
      <w:rFonts w:ascii="Tahoma" w:hAnsi="Tahoma"/>
      <w:sz w:val="24"/>
      <w:szCs w:val="20"/>
    </w:rPr>
  </w:style>
  <w:style w:type="paragraph" w:customStyle="1" w:styleId="78">
    <w:name w:val="Char11"/>
    <w:basedOn w:val="1"/>
    <w:qFormat/>
    <w:uiPriority w:val="0"/>
    <w:rPr>
      <w:rFonts w:ascii="Tahoma" w:hAnsi="Tahoma"/>
      <w:sz w:val="24"/>
      <w:szCs w:val="20"/>
    </w:rPr>
  </w:style>
  <w:style w:type="paragraph" w:customStyle="1" w:styleId="79">
    <w:name w:val="首行缩进2字符"/>
    <w:basedOn w:val="1"/>
    <w:qFormat/>
    <w:uiPriority w:val="0"/>
    <w:pPr>
      <w:spacing w:line="360" w:lineRule="auto"/>
      <w:ind w:firstLine="200" w:firstLineChars="200"/>
    </w:pPr>
    <w:rPr>
      <w:rFonts w:ascii="Calibri" w:hAnsi="Calibri"/>
      <w:sz w:val="24"/>
      <w:szCs w:val="21"/>
    </w:rPr>
  </w:style>
  <w:style w:type="paragraph" w:customStyle="1" w:styleId="80">
    <w:name w:val="msolistparagraph"/>
    <w:basedOn w:val="1"/>
    <w:qFormat/>
    <w:uiPriority w:val="0"/>
    <w:pPr>
      <w:ind w:firstLine="200" w:firstLineChars="200"/>
    </w:pPr>
    <w:rPr>
      <w:rFonts w:ascii="Calibri" w:hAnsi="Calibri"/>
      <w:szCs w:val="22"/>
    </w:rPr>
  </w:style>
  <w:style w:type="paragraph" w:customStyle="1" w:styleId="81">
    <w:name w:val="big"/>
    <w:basedOn w:val="1"/>
    <w:qFormat/>
    <w:uiPriority w:val="0"/>
    <w:pPr>
      <w:widowControl/>
      <w:spacing w:before="100" w:beforeAutospacing="1" w:after="100" w:afterAutospacing="1"/>
      <w:jc w:val="left"/>
    </w:pPr>
    <w:rPr>
      <w:rFonts w:ascii="宋体"/>
      <w:kern w:val="0"/>
      <w:sz w:val="24"/>
    </w:rPr>
  </w:style>
  <w:style w:type="paragraph" w:customStyle="1" w:styleId="82">
    <w:name w:val="正文段"/>
    <w:basedOn w:val="1"/>
    <w:qFormat/>
    <w:uiPriority w:val="0"/>
    <w:pPr>
      <w:widowControl/>
      <w:snapToGrid w:val="0"/>
      <w:spacing w:afterLines="50"/>
      <w:ind w:firstLine="200" w:firstLineChars="200"/>
    </w:pPr>
    <w:rPr>
      <w:kern w:val="0"/>
      <w:sz w:val="24"/>
      <w:szCs w:val="20"/>
    </w:rPr>
  </w:style>
  <w:style w:type="paragraph" w:customStyle="1" w:styleId="8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4">
    <w:name w:val="Char"/>
    <w:basedOn w:val="1"/>
    <w:qFormat/>
    <w:uiPriority w:val="0"/>
    <w:rPr>
      <w:rFonts w:ascii="仿宋_GB2312" w:eastAsia="仿宋_GB2312"/>
      <w:b/>
      <w:sz w:val="32"/>
      <w:szCs w:val="32"/>
    </w:rPr>
  </w:style>
  <w:style w:type="paragraph" w:customStyle="1" w:styleId="85">
    <w:name w:val="_Style 82"/>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86">
    <w:name w:val="纯文本1"/>
    <w:basedOn w:val="1"/>
    <w:qFormat/>
    <w:uiPriority w:val="0"/>
    <w:pPr>
      <w:adjustRightInd w:val="0"/>
      <w:textAlignment w:val="baseline"/>
    </w:pPr>
    <w:rPr>
      <w:rFonts w:ascii="宋体"/>
      <w:kern w:val="0"/>
      <w:szCs w:val="20"/>
    </w:rPr>
  </w:style>
  <w:style w:type="paragraph" w:customStyle="1" w:styleId="87">
    <w:name w:val="样式1"/>
    <w:basedOn w:val="7"/>
    <w:qFormat/>
    <w:uiPriority w:val="0"/>
  </w:style>
  <w:style w:type="paragraph" w:customStyle="1" w:styleId="88">
    <w:name w:val="地址内"/>
    <w:basedOn w:val="1"/>
    <w:qFormat/>
    <w:uiPriority w:val="0"/>
    <w:rPr>
      <w:szCs w:val="20"/>
    </w:rPr>
  </w:style>
  <w:style w:type="paragraph" w:customStyle="1" w:styleId="89">
    <w:name w:val="Char2"/>
    <w:basedOn w:val="1"/>
    <w:qFormat/>
    <w:uiPriority w:val="0"/>
    <w:pPr>
      <w:widowControl/>
      <w:spacing w:after="160" w:line="240" w:lineRule="exact"/>
      <w:jc w:val="left"/>
    </w:pPr>
    <w:rPr>
      <w:szCs w:val="20"/>
    </w:rPr>
  </w:style>
  <w:style w:type="paragraph" w:customStyle="1" w:styleId="9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1">
    <w:name w:val="_Style 3"/>
    <w:basedOn w:val="1"/>
    <w:qFormat/>
    <w:uiPriority w:val="0"/>
    <w:pPr>
      <w:ind w:firstLine="420" w:firstLineChars="200"/>
    </w:pPr>
    <w:rPr>
      <w:rFonts w:ascii="Calibri" w:hAnsi="Calibri"/>
      <w:szCs w:val="22"/>
    </w:rPr>
  </w:style>
  <w:style w:type="paragraph" w:customStyle="1" w:styleId="92">
    <w:name w:val="正文首行缩进2字符"/>
    <w:basedOn w:val="1"/>
    <w:qFormat/>
    <w:uiPriority w:val="0"/>
    <w:pPr>
      <w:spacing w:line="360" w:lineRule="auto"/>
      <w:ind w:firstLine="200" w:firstLineChars="200"/>
    </w:pPr>
    <w:rPr>
      <w:rFonts w:eastAsia="仿宋"/>
      <w:sz w:val="28"/>
      <w:szCs w:val="20"/>
    </w:rPr>
  </w:style>
  <w:style w:type="character" w:customStyle="1" w:styleId="93">
    <w:name w:val="m_51"/>
    <w:qFormat/>
    <w:uiPriority w:val="0"/>
  </w:style>
  <w:style w:type="character" w:customStyle="1" w:styleId="94">
    <w:name w:val="m_461"/>
    <w:qFormat/>
    <w:uiPriority w:val="0"/>
  </w:style>
  <w:style w:type="character" w:customStyle="1" w:styleId="95">
    <w:name w:val="纯文本 Char"/>
    <w:qFormat/>
    <w:uiPriority w:val="0"/>
    <w:rPr>
      <w:rFonts w:ascii="宋体" w:eastAsia="宋体"/>
      <w:kern w:val="2"/>
      <w:sz w:val="24"/>
      <w:szCs w:val="24"/>
      <w:lang w:val="en-US" w:eastAsia="zh-CN" w:bidi="ar-SA"/>
    </w:rPr>
  </w:style>
  <w:style w:type="character" w:customStyle="1" w:styleId="96">
    <w:name w:val="m_171"/>
    <w:qFormat/>
    <w:uiPriority w:val="0"/>
  </w:style>
  <w:style w:type="character" w:customStyle="1" w:styleId="97">
    <w:name w:val="second-line"/>
    <w:qFormat/>
    <w:uiPriority w:val="0"/>
    <w:rPr>
      <w:color w:val="727272"/>
    </w:rPr>
  </w:style>
  <w:style w:type="character" w:customStyle="1" w:styleId="98">
    <w:name w:val="批注文字 Char"/>
    <w:qFormat/>
    <w:uiPriority w:val="0"/>
    <w:rPr>
      <w:kern w:val="2"/>
      <w:sz w:val="21"/>
      <w:szCs w:val="24"/>
    </w:rPr>
  </w:style>
  <w:style w:type="character" w:customStyle="1" w:styleId="99">
    <w:name w:val="页脚 字符"/>
    <w:link w:val="32"/>
    <w:qFormat/>
    <w:uiPriority w:val="99"/>
    <w:rPr>
      <w:rFonts w:eastAsia="黑体"/>
      <w:snapToGrid/>
      <w:sz w:val="18"/>
      <w:szCs w:val="18"/>
    </w:rPr>
  </w:style>
  <w:style w:type="character" w:customStyle="1" w:styleId="100">
    <w:name w:val="正文缩进 Char"/>
    <w:qFormat/>
    <w:uiPriority w:val="0"/>
    <w:rPr>
      <w:kern w:val="2"/>
      <w:sz w:val="21"/>
    </w:rPr>
  </w:style>
  <w:style w:type="character" w:customStyle="1" w:styleId="101">
    <w:name w:val="正文文本缩进 3 Char"/>
    <w:qFormat/>
    <w:uiPriority w:val="0"/>
    <w:rPr>
      <w:rFonts w:ascii="仿宋_GB2312" w:eastAsia="仿宋_GB2312"/>
      <w:color w:val="000000"/>
      <w:kern w:val="2"/>
      <w:sz w:val="24"/>
      <w:szCs w:val="24"/>
    </w:rPr>
  </w:style>
  <w:style w:type="character" w:customStyle="1" w:styleId="102">
    <w:name w:val="focus"/>
    <w:qFormat/>
    <w:uiPriority w:val="0"/>
    <w:rPr>
      <w:color w:val="23527C"/>
      <w:shd w:val="clear" w:color="auto" w:fill="EEEEEE"/>
    </w:rPr>
  </w:style>
  <w:style w:type="character" w:customStyle="1" w:styleId="103">
    <w:name w:val="font101"/>
    <w:qFormat/>
    <w:uiPriority w:val="0"/>
    <w:rPr>
      <w:rFonts w:hint="eastAsia" w:ascii="宋体" w:hAnsi="宋体" w:eastAsia="宋体" w:cs="宋体"/>
      <w:color w:val="000000"/>
      <w:sz w:val="20"/>
      <w:szCs w:val="20"/>
      <w:u w:val="none"/>
    </w:rPr>
  </w:style>
  <w:style w:type="character" w:customStyle="1" w:styleId="104">
    <w:name w:val="font14zd"/>
    <w:basedOn w:val="47"/>
    <w:qFormat/>
    <w:uiPriority w:val="0"/>
  </w:style>
  <w:style w:type="character" w:customStyle="1" w:styleId="105">
    <w:name w:val="m_391"/>
    <w:qFormat/>
    <w:uiPriority w:val="0"/>
  </w:style>
  <w:style w:type="character" w:customStyle="1" w:styleId="106">
    <w:name w:val="hover9"/>
    <w:qFormat/>
    <w:uiPriority w:val="0"/>
    <w:rPr>
      <w:color w:val="23527C"/>
      <w:shd w:val="clear" w:color="auto" w:fill="EEEEEE"/>
    </w:rPr>
  </w:style>
  <w:style w:type="character" w:customStyle="1" w:styleId="107">
    <w:name w:val="样式 标题 1合同标题卷标题H1h1Level 1 Topic HeadingH11H12H111H13H1... Char"/>
    <w:qFormat/>
    <w:uiPriority w:val="0"/>
    <w:rPr>
      <w:rFonts w:ascii="宋体" w:eastAsia="宋体"/>
      <w:b/>
      <w:bCs/>
      <w:kern w:val="44"/>
      <w:sz w:val="24"/>
      <w:szCs w:val="44"/>
      <w:lang w:val="en-US" w:eastAsia="zh-CN" w:bidi="ar-SA"/>
    </w:rPr>
  </w:style>
  <w:style w:type="character" w:customStyle="1" w:styleId="108">
    <w:name w:val="publishtime"/>
    <w:qFormat/>
    <w:uiPriority w:val="0"/>
    <w:rPr>
      <w:color w:val="666666"/>
    </w:rPr>
  </w:style>
  <w:style w:type="character" w:customStyle="1" w:styleId="109">
    <w:name w:val="text-overflow"/>
    <w:qFormat/>
    <w:uiPriority w:val="0"/>
    <w:rPr>
      <w:sz w:val="21"/>
      <w:szCs w:val="21"/>
    </w:rPr>
  </w:style>
  <w:style w:type="character" w:customStyle="1" w:styleId="110">
    <w:name w:val="hover"/>
    <w:qFormat/>
    <w:uiPriority w:val="0"/>
    <w:rPr>
      <w:color w:val="23527C"/>
      <w:shd w:val="clear" w:color="auto" w:fill="EEEEEE"/>
    </w:rPr>
  </w:style>
  <w:style w:type="character" w:customStyle="1" w:styleId="111">
    <w:name w:val="focus1"/>
    <w:qFormat/>
    <w:uiPriority w:val="0"/>
    <w:rPr>
      <w:color w:val="23527C"/>
      <w:shd w:val="clear" w:color="auto" w:fill="EEEEEE"/>
    </w:rPr>
  </w:style>
  <w:style w:type="character" w:customStyle="1" w:styleId="112">
    <w:name w:val="m_491"/>
    <w:qFormat/>
    <w:uiPriority w:val="0"/>
  </w:style>
  <w:style w:type="character" w:customStyle="1" w:styleId="113">
    <w:name w:val="bold"/>
    <w:qFormat/>
    <w:uiPriority w:val="0"/>
    <w:rPr>
      <w:b/>
    </w:rPr>
  </w:style>
  <w:style w:type="character" w:customStyle="1" w:styleId="114">
    <w:name w:val="m_01"/>
    <w:qFormat/>
    <w:uiPriority w:val="0"/>
  </w:style>
  <w:style w:type="character" w:customStyle="1" w:styleId="115">
    <w:name w:val="font112"/>
    <w:qFormat/>
    <w:uiPriority w:val="0"/>
    <w:rPr>
      <w:rFonts w:hint="eastAsia" w:ascii="宋体" w:hAnsi="宋体" w:eastAsia="宋体" w:cs="宋体"/>
      <w:color w:val="000000"/>
      <w:sz w:val="18"/>
      <w:szCs w:val="18"/>
      <w:u w:val="none"/>
    </w:rPr>
  </w:style>
  <w:style w:type="character" w:customStyle="1" w:styleId="116">
    <w:name w:val="标题 7 字符"/>
    <w:link w:val="10"/>
    <w:qFormat/>
    <w:uiPriority w:val="0"/>
    <w:rPr>
      <w:b/>
      <w:kern w:val="2"/>
      <w:sz w:val="21"/>
    </w:rPr>
  </w:style>
  <w:style w:type="character" w:customStyle="1" w:styleId="117">
    <w:name w:val="批注文字 字符"/>
    <w:link w:val="18"/>
    <w:qFormat/>
    <w:uiPriority w:val="0"/>
    <w:rPr>
      <w:kern w:val="2"/>
      <w:sz w:val="21"/>
      <w:szCs w:val="24"/>
    </w:rPr>
  </w:style>
  <w:style w:type="character" w:customStyle="1" w:styleId="118">
    <w:name w:val="正文文本 字符"/>
    <w:basedOn w:val="47"/>
    <w:link w:val="3"/>
    <w:qFormat/>
    <w:uiPriority w:val="0"/>
    <w:rPr>
      <w:kern w:val="2"/>
      <w:sz w:val="28"/>
      <w:szCs w:val="24"/>
    </w:rPr>
  </w:style>
  <w:style w:type="character" w:customStyle="1" w:styleId="119">
    <w:name w:val="普通(网站) 字符"/>
    <w:link w:val="43"/>
    <w:qFormat/>
    <w:uiPriority w:val="0"/>
    <w:rPr>
      <w:sz w:val="24"/>
      <w:szCs w:val="24"/>
    </w:rPr>
  </w:style>
  <w:style w:type="character" w:customStyle="1" w:styleId="120">
    <w:name w:val="日期 字符"/>
    <w:basedOn w:val="47"/>
    <w:link w:val="28"/>
    <w:qFormat/>
    <w:uiPriority w:val="0"/>
    <w:rPr>
      <w:rFonts w:eastAsia="楷体_GB2312"/>
      <w:kern w:val="2"/>
      <w:sz w:val="32"/>
    </w:rPr>
  </w:style>
  <w:style w:type="character" w:customStyle="1" w:styleId="121">
    <w:name w:val="正文文本首行缩进 字符"/>
    <w:basedOn w:val="118"/>
    <w:link w:val="2"/>
    <w:semiHidden/>
    <w:qFormat/>
    <w:uiPriority w:val="99"/>
    <w:rPr>
      <w:kern w:val="2"/>
      <w:sz w:val="21"/>
      <w:szCs w:val="24"/>
    </w:rPr>
  </w:style>
  <w:style w:type="table" w:customStyle="1" w:styleId="122">
    <w:name w:val="网格型1"/>
    <w:basedOn w:val="4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24">
    <w:name w:val="列表段落 字符"/>
    <w:link w:val="57"/>
    <w:qFormat/>
    <w:locked/>
    <w:uiPriority w:val="99"/>
    <w:rPr>
      <w:rFonts w:ascii="Calibri" w:hAnsi="Calibri"/>
      <w:kern w:val="2"/>
      <w:sz w:val="21"/>
      <w:szCs w:val="22"/>
    </w:rPr>
  </w:style>
  <w:style w:type="paragraph" w:customStyle="1" w:styleId="125">
    <w:name w:val="四号正文"/>
    <w:basedOn w:val="1"/>
    <w:qFormat/>
    <w:uiPriority w:val="0"/>
    <w:pPr>
      <w:spacing w:line="360" w:lineRule="auto"/>
      <w:ind w:firstLine="560" w:firstLineChars="200"/>
    </w:pPr>
    <w:rPr>
      <w:rFonts w:ascii="Calibri" w:hAnsi="Calibri"/>
      <w:sz w:val="28"/>
      <w:szCs w:val="28"/>
    </w:rPr>
  </w:style>
  <w:style w:type="paragraph" w:customStyle="1" w:styleId="126">
    <w:name w:val="1"/>
    <w:basedOn w:val="1"/>
    <w:next w:val="57"/>
    <w:qFormat/>
    <w:uiPriority w:val="99"/>
    <w:pPr>
      <w:ind w:firstLine="420" w:firstLineChars="200"/>
    </w:pPr>
    <w:rPr>
      <w:rFonts w:ascii="Calibri" w:hAnsi="Calibri"/>
      <w:szCs w:val="22"/>
    </w:rPr>
  </w:style>
  <w:style w:type="paragraph" w:customStyle="1" w:styleId="127">
    <w:name w:val="政法委正文样式"/>
    <w:basedOn w:val="125"/>
    <w:qFormat/>
    <w:uiPriority w:val="0"/>
    <w:pPr>
      <w:ind w:firstLine="0" w:firstLineChars="0"/>
    </w:pPr>
    <w:rPr>
      <w:rFonts w:ascii="仿宋" w:hAnsi="仿宋" w:eastAsia="仿宋"/>
      <w:color w:val="000000"/>
    </w:rPr>
  </w:style>
  <w:style w:type="paragraph" w:customStyle="1" w:styleId="12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29">
    <w:name w:val="apple-style-span"/>
    <w:basedOn w:val="47"/>
    <w:qFormat/>
    <w:uiPriority w:val="0"/>
  </w:style>
  <w:style w:type="paragraph" w:customStyle="1" w:styleId="130">
    <w:name w:val="Blockquote"/>
    <w:basedOn w:val="1"/>
    <w:qFormat/>
    <w:uiPriority w:val="0"/>
    <w:pPr>
      <w:autoSpaceDE w:val="0"/>
      <w:autoSpaceDN w:val="0"/>
      <w:adjustRightInd w:val="0"/>
      <w:spacing w:before="100" w:after="100"/>
      <w:ind w:left="360" w:right="360"/>
      <w:jc w:val="left"/>
    </w:pPr>
    <w:rPr>
      <w:sz w:val="24"/>
    </w:rPr>
  </w:style>
  <w:style w:type="paragraph" w:customStyle="1" w:styleId="131">
    <w:name w:val="WPSOffice手动目录 1"/>
    <w:qFormat/>
    <w:uiPriority w:val="0"/>
    <w:rPr>
      <w:rFonts w:ascii="Times New Roman" w:hAnsi="Times New Roman" w:eastAsia="宋体" w:cs="Times New Roman"/>
      <w:lang w:val="en-US" w:eastAsia="zh-CN" w:bidi="ar-SA"/>
    </w:rPr>
  </w:style>
  <w:style w:type="paragraph" w:customStyle="1" w:styleId="132">
    <w:name w:val="正文1"/>
    <w:qFormat/>
    <w:uiPriority w:val="0"/>
    <w:pPr>
      <w:widowControl w:val="0"/>
      <w:adjustRightInd w:val="0"/>
      <w:spacing w:line="318" w:lineRule="atLeast"/>
      <w:ind w:left="369" w:firstLine="369"/>
      <w:jc w:val="both"/>
      <w:textAlignment w:val="baseline"/>
    </w:pPr>
    <w:rPr>
      <w:rFonts w:ascii="宋体" w:hAnsi="Times New Roman" w:eastAsia="宋体" w:cs="Times New Roman"/>
      <w:sz w:val="21"/>
      <w:lang w:val="en-US" w:eastAsia="zh-CN" w:bidi="ar-SA"/>
    </w:rPr>
  </w:style>
  <w:style w:type="paragraph" w:customStyle="1" w:styleId="133">
    <w:name w:val="正文缩进1"/>
    <w:qFormat/>
    <w:uiPriority w:val="0"/>
    <w:pPr>
      <w:ind w:firstLine="420"/>
    </w:pPr>
    <w:rPr>
      <w:rFonts w:ascii="Times New Roman" w:hAnsi="Times New Roman" w:eastAsiaTheme="minorEastAsia" w:cstheme="minorBidi"/>
      <w:sz w:val="21"/>
      <w:lang w:val="en-US" w:eastAsia="zh-CN" w:bidi="ar-SA"/>
    </w:rPr>
  </w:style>
  <w:style w:type="paragraph" w:customStyle="1" w:styleId="134">
    <w:name w:val="正文缩进2"/>
    <w:qFormat/>
    <w:uiPriority w:val="0"/>
    <w:pPr>
      <w:ind w:firstLine="420"/>
    </w:pPr>
    <w:rPr>
      <w:rFonts w:ascii="Times New Roman" w:hAnsi="Times New Roman" w:eastAsiaTheme="minorEastAsia" w:cstheme="minorBidi"/>
      <w:sz w:val="21"/>
      <w:lang w:val="en-US" w:eastAsia="zh-CN" w:bidi="ar-SA"/>
    </w:rPr>
  </w:style>
  <w:style w:type="paragraph" w:customStyle="1" w:styleId="135">
    <w:name w:val="文章正文"/>
    <w:basedOn w:val="1"/>
    <w:qFormat/>
    <w:uiPriority w:val="99"/>
    <w:pPr>
      <w:spacing w:line="360" w:lineRule="auto"/>
      <w:ind w:firstLine="200" w:firstLineChars="200"/>
    </w:pPr>
    <w:rPr>
      <w:sz w:val="24"/>
    </w:rPr>
  </w:style>
  <w:style w:type="paragraph" w:customStyle="1" w:styleId="13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5D46B5-AC2D-4DE6-8F93-3AD2098D0F6F}">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54</Pages>
  <Words>16546</Words>
  <Characters>17296</Characters>
  <Lines>243</Lines>
  <Paragraphs>68</Paragraphs>
  <TotalTime>2</TotalTime>
  <ScaleCrop>false</ScaleCrop>
  <LinksUpToDate>false</LinksUpToDate>
  <CharactersWithSpaces>17338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2019-06-25T22:54:00Z</dcterms:created>
  <dc:creator>黄旭明</dc:creator>
  <cp:lastModifiedBy>斌</cp:lastModifiedBy>
  <cp:lastPrinted>2025-06-09T02:22:00Z</cp:lastPrinted>
  <dcterms:modified xsi:type="dcterms:W3CDTF">2025-06-23T08:56:16Z</dcterms:modified>
  <dc:title>宁波市鄞州区城区内河管理处工程项目设计单位年度资格入围</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1DCFEFA890924D7890A72ADE6B43454D_13</vt:lpwstr>
  </property>
  <property fmtid="{D5CDD505-2E9C-101B-9397-08002B2CF9AE}" pid="4" name="KSOTemplateDocerSaveRecord">
    <vt:lpwstr>eyJoZGlkIjoiNzY3MWZhZWQ0NzIyMDJmOTFiMWM5YWI5NDkzMDUwMmEiLCJ1c2VySWQiOiIyMzIwMTE0NjkifQ==</vt:lpwstr>
  </property>
</Properties>
</file>